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BodyText"/>
        <w:rPr>
          <w:rFonts w:ascii="Arial" w:hAnsi="Arial" w:cs="Arial"/>
          <w:b/>
        </w:rPr>
      </w:pPr>
      <w:r>
        <w:rPr>
          <w:rFonts w:ascii="Arial" w:hAnsi="Arial" w:cs="Arial"/>
          <w:b/>
        </w:rPr>
        <w:t xml:space="preserve"> </w:t>
      </w:r>
    </w:p>
    <w:p>
      <w:pPr>
        <w:jc w:val="center"/>
        <w:rPr>
          <w:rFonts w:ascii="Arial" w:hAnsi="Arial" w:cs="Arial"/>
          <w:b/>
        </w:rPr>
      </w:pPr>
    </w:p>
    <w:p>
      <w:pPr>
        <w:jc w:val="center"/>
        <w:rPr>
          <w:rFonts w:ascii="Arial" w:hAnsi="Arial" w:cs="Arial"/>
          <w:b/>
        </w:rPr>
      </w:pPr>
      <w:r>
        <w:rPr>
          <w:rFonts w:ascii="Arial" w:hAnsi="Arial" w:cs="Arial"/>
          <w:b/>
        </w:rPr>
        <w:t>MAPPING INDIGENOUS PEOPLES EDUCATION LEARNERS’ TECHNOLOGY ENGAGEMENT IN ENGLISH THROUGH PICRAT MODEL</w:t>
      </w:r>
    </w:p>
    <w:p>
      <w:pPr>
        <w:jc w:val="center"/>
        <w:rPr>
          <w:rFonts w:ascii="Arial" w:hAnsi="Arial" w:cs="Arial"/>
          <w:b/>
        </w:rPr>
      </w:pPr>
    </w:p>
    <w:p>
      <w:pPr>
        <w:jc w:val="center"/>
        <w:rPr>
          <w:rFonts w:ascii="Arial" w:hAnsi="Arial" w:cs="Arial"/>
        </w:rPr>
      </w:pPr>
      <w:r>
        <w:rPr>
          <w:rFonts w:ascii="Arial" w:hAnsi="Arial" w:cs="Arial"/>
        </w:rPr>
        <w:t xml:space="preserve"/>
      </w:r>
    </w:p>
    <w:p>
      <w:pPr>
        <w:jc w:val="center"/>
        <w:rPr>
          <w:rFonts w:ascii="Arial" w:hAnsi="Arial" w:cs="Arial"/>
          <w:b/>
        </w:rPr>
      </w:pPr>
    </w:p>
    <w:p>
      <w:pPr>
        <w:jc w:val="center"/>
        <w:rPr>
          <w:rFonts w:ascii="Arial" w:hAnsi="Arial" w:cs="Arial"/>
          <w:b/>
        </w:rPr>
      </w:pPr>
    </w:p>
    <w:p>
      <w:pPr>
        <w:spacing w:after="0" w:line="240" w:lineRule="auto"/>
        <w:jc w:val="center"/>
        <w:rPr>
          <w:rFonts w:ascii="Arial" w:hAnsi="Arial" w:cs="Arial"/>
        </w:rPr>
      </w:pPr>
      <w:r>
        <w:rPr>
          <w:rFonts w:ascii="Arial" w:hAnsi="Arial" w:cs="Arial"/>
        </w:rPr>
        <w:t/>
      </w:r>
    </w:p>
    <w:p>
      <w:pPr>
        <w:spacing w:after="0" w:line="240" w:lineRule="auto"/>
        <w:jc w:val="center"/>
        <w:rPr>
          <w:rFonts w:ascii="Arial" w:hAnsi="Arial" w:cs="Arial"/>
        </w:rPr>
      </w:pPr>
      <w:r>
        <w:rPr>
          <w:rFonts w:ascii="Arial" w:hAnsi="Arial" w:cs="Arial"/>
        </w:rPr>
        <w:t/>
      </w:r>
    </w:p>
    <w:p>
      <w:pPr>
        <w:spacing w:after="0" w:line="240" w:lineRule="auto"/>
        <w:jc w:val="center"/>
        <w:rPr>
          <w:rFonts w:ascii="Arial" w:hAnsi="Arial" w:cs="Arial"/>
          <w:b/>
        </w:rPr>
      </w:pPr>
      <w:r>
        <w:rPr>
          <w:rFonts w:ascii="Arial" w:hAnsi="Arial" w:cs="Arial"/>
          <w:b/>
        </w:rPr>
        <w:t/>
      </w:r>
    </w:p>
    <w:p>
      <w:pPr>
        <w:spacing w:after="0" w:line="240" w:lineRule="auto"/>
        <w:jc w:val="center"/>
        <w:rPr>
          <w:rFonts w:ascii="Arial" w:hAnsi="Arial" w:cs="Arial"/>
        </w:rPr>
      </w:pPr>
      <w:r>
        <w:rPr>
          <w:rFonts w:ascii="Arial" w:hAnsi="Arial" w:cs="Arial"/>
        </w:rPr>
        <w:t/>
      </w:r>
    </w:p>
    <w:p>
      <w:pPr>
        <w:spacing w:after="0" w:line="240" w:lineRule="auto"/>
        <w:jc w:val="center"/>
        <w:rPr>
          <w:rFonts w:ascii="Arial" w:hAnsi="Arial" w:cs="Arial"/>
        </w:rPr>
      </w:pPr>
    </w:p>
    <w:p>
      <w:pPr>
        <w:spacing w:after="0" w:line="240" w:lineRule="auto"/>
        <w:jc w:val="center"/>
        <w:rPr>
          <w:rFonts w:ascii="Arial" w:hAnsi="Arial" w:cs="Arial"/>
        </w:rPr>
      </w:pPr>
    </w:p>
    <w:p>
      <w:pPr>
        <w:jc w:val="center"/>
        <w:rPr>
          <w:rFonts w:ascii="Arial" w:hAnsi="Arial" w:cs="Arial"/>
        </w:rPr>
      </w:pPr>
      <w:r>
        <w:rPr>
          <w:rFonts w:ascii="Arial" w:hAnsi="Arial" w:cs="Arial"/>
        </w:rPr>
        <w:t xml:space="preserve"/>
      </w:r>
    </w:p>
    <w:p>
      <w:pPr>
        <w:spacing w:after="0"/>
        <w:jc w:val="center"/>
        <w:rPr>
          <w:rFonts w:ascii="Arial" w:hAnsi="Arial" w:cs="Arial"/>
        </w:rPr>
      </w:pPr>
    </w:p>
    <w:p>
      <w:pPr>
        <w:spacing w:after="0"/>
        <w:jc w:val="center"/>
        <w:rPr>
          <w:rFonts w:ascii="Arial" w:hAnsi="Arial" w:cs="Arial"/>
        </w:rPr>
      </w:pPr>
    </w:p>
    <w:p>
      <w:pPr>
        <w:spacing w:after="0"/>
        <w:jc w:val="center"/>
        <w:rPr>
          <w:rFonts w:ascii="Arial" w:hAnsi="Arial" w:cs="Arial"/>
        </w:rPr>
      </w:pPr>
      <w:r>
        <w:rPr>
          <w:rFonts w:ascii="Arial" w:hAnsi="Arial" w:cs="Arial"/>
        </w:rPr>
        <w:t xml:space="preserve"/>
      </w:r>
    </w:p>
    <w:p>
      <w:pPr>
        <w:spacing w:after="0"/>
        <w:jc w:val="center"/>
        <w:rPr>
          <w:rFonts w:ascii="Arial" w:hAnsi="Arial" w:cs="Arial"/>
        </w:rPr>
      </w:pPr>
      <w:r>
        <w:rPr>
          <w:rFonts w:ascii="Arial" w:hAnsi="Arial" w:cs="Arial"/>
        </w:rPr>
        <w:t xml:space="preserve"/>
      </w:r>
    </w:p>
    <w:p>
      <w:pPr>
        <w:spacing w:after="0"/>
        <w:jc w:val="center"/>
        <w:rPr>
          <w:rFonts w:ascii="Arial" w:hAnsi="Arial" w:cs="Arial"/>
          <w:b/>
        </w:rPr>
      </w:pPr>
      <w:r>
        <w:rPr>
          <w:rFonts w:ascii="Arial" w:hAnsi="Arial" w:cs="Arial"/>
        </w:rPr>
        <w:t xml:space="preserve"/>
      </w:r>
      <w:r>
        <w:rPr>
          <w:rFonts w:ascii="Arial" w:hAnsi="Arial" w:cs="Arial"/>
          <w:b/>
        </w:rPr>
        <w:t/>
      </w:r>
    </w:p>
    <w:p>
      <w:pPr>
        <w:spacing w:after="0"/>
        <w:jc w:val="center"/>
        <w:rPr>
          <w:rFonts w:ascii="Arial" w:hAnsi="Arial" w:cs="Arial"/>
          <w:b/>
        </w:rPr>
      </w:pPr>
    </w:p>
    <w:p>
      <w:pPr>
        <w:spacing w:after="0"/>
        <w:jc w:val="center"/>
        <w:rPr>
          <w:rFonts w:ascii="Arial" w:hAnsi="Arial" w:cs="Arial"/>
          <w:b/>
        </w:rPr>
      </w:pPr>
    </w:p>
    <w:p>
      <w:pPr>
        <w:jc w:val="center"/>
        <w:rPr>
          <w:rFonts w:ascii="Arial" w:hAnsi="Arial" w:cs="Arial"/>
        </w:rPr>
      </w:pPr>
      <w:r>
        <w:rPr>
          <w:rFonts w:ascii="Arial" w:hAnsi="Arial" w:cs="Arial"/>
        </w:rPr>
        <w:t/>
      </w:r>
    </w:p>
    <w:p>
      <w:pPr>
        <w:jc w:val="center"/>
        <w:rPr>
          <w:rFonts w:ascii="Arial" w:hAnsi="Arial" w:cs="Arial"/>
        </w:rPr>
      </w:pPr>
    </w:p>
    <w:p>
      <w:pPr>
        <w:jc w:val="center"/>
        <w:rPr>
          <w:rFonts w:ascii="Arial" w:hAnsi="Arial" w:cs="Arial"/>
          <w:b/>
        </w:rPr>
      </w:pPr>
    </w:p>
    <w:p>
      <w:pPr>
        <w:jc w:val="center"/>
        <w:rPr>
          <w:rFonts w:ascii="Arial" w:hAnsi="Arial" w:cs="Arial"/>
          <w:b/>
          <w:bCs/>
        </w:rPr>
      </w:pPr>
    </w:p>
    <w:p>
      <w:pPr>
        <w:jc w:val="center"/>
        <w:rPr>
          <w:rFonts w:ascii="Arial" w:hAnsi="Arial" w:cs="Arial"/>
        </w:rPr>
      </w:pPr>
      <w:r>
        <w:rPr>
          <w:rFonts w:ascii="Arial" w:hAnsi="Arial" w:cs="Arial"/>
          <w:b/>
          <w:bCs/>
        </w:rPr>
        <w:t/>
      </w:r>
    </w:p>
    <w:p>
      <w:pPr>
        <w:jc w:val="center"/>
        <w:rPr>
          <w:rFonts w:ascii="Arial" w:hAnsi="Arial" w:cs="Arial"/>
          <w:b/>
        </w:rPr>
      </w:pPr>
    </w:p>
    <w:p>
      <w:pPr>
        <w:jc w:val="center"/>
        <w:rPr>
          <w:rFonts w:ascii="Arial" w:hAnsi="Arial" w:cs="Arial"/>
          <w:b/>
        </w:rPr>
      </w:pPr>
    </w:p>
    <w:p>
      <w:pPr>
        <w:jc w:val="center"/>
        <w:rPr>
          <w:rFonts w:ascii="Arial" w:hAnsi="Arial" w:cs="Arial"/>
          <w:b/>
        </w:rPr>
      </w:pPr>
    </w:p>
    <w:p>
      <w:pPr>
        <w:jc w:val="center"/>
        <w:rPr>
          <w:rFonts w:ascii="Arial" w:hAnsi="Arial" w:cs="Arial"/>
          <w:bCs/>
        </w:rPr>
      </w:pPr>
      <w:r>
        <w:rPr>
          <w:rFonts w:ascii="Arial" w:hAnsi="Arial" w:cs="Arial"/>
          <w:bCs/>
        </w:rPr>
        <w:t/>
      </w:r>
    </w:p>
    <w:p>
      <w:pPr>
        <w:spacing w:line="480" w:lineRule="auto"/>
        <w:jc w:val="center"/>
        <w:rPr>
          <w:rFonts w:ascii="Arial" w:hAnsi="Arial" w:cs="Arial"/>
        </w:rPr>
      </w:pPr>
      <w:r>
        <w:rPr>
          <w:rFonts w:ascii="Arial" w:hAnsi="Arial" w:cs="Arial"/>
        </w:rPr>
        <w:lastRenderedPageBreak/>
        <w:t/>
      </w:r>
    </w:p>
    <w:p>
      <w:pPr>
        <w:spacing w:line="480" w:lineRule="auto"/>
        <w:jc w:val="center"/>
        <w:rPr>
          <w:rFonts w:ascii="Arial" w:hAnsi="Arial" w:cs="Arial"/>
          <w:b/>
        </w:rPr>
      </w:pPr>
      <w:r>
        <w:rPr>
          <w:rFonts w:ascii="Arial" w:hAnsi="Arial" w:cs="Arial"/>
          <w:b/>
        </w:rPr>
        <w:t/>
      </w:r>
    </w:p>
    <w:p>
      <w:pPr>
        <w:spacing w:line="480" w:lineRule="auto"/>
        <w:jc w:val="both"/>
        <w:rPr>
          <w:rFonts w:ascii="Arial" w:hAnsi="Arial" w:cs="Arial"/>
          <w:b/>
        </w:rPr>
      </w:pPr>
      <w:r>
        <w:rPr>
          <w:rFonts w:ascii="Arial" w:hAnsi="Arial" w:cs="Arial"/>
          <w:b/>
        </w:rPr>
        <w:t>Introduction</w:t>
      </w:r>
    </w:p>
    <w:p>
      <w:pPr>
        <w:spacing w:line="480" w:lineRule="auto"/>
        <w:jc w:val="both"/>
        <w:rPr>
          <w:rFonts w:ascii="Arial" w:hAnsi="Arial" w:cs="Arial"/>
        </w:rPr>
      </w:pPr>
      <w:r>
        <w:rPr>
          <w:rFonts w:ascii="Arial" w:hAnsi="Arial" w:cs="Arial"/>
        </w:rPr>
        <w:tab/>
        <w:t>Technology integration has become an important component of contemporary English Language Teaching (ELT) as schools respond to the demands of digital learning, learner diversity, and 21st-century communication skills. In English classrooms, technology can support language development by providing opportunities for interaction, collaboration, and creativity, as well as access to diverse learning resources. In this context, the study examined the nature and extent of technology-supported English instruction among Indigenous learners by identifying effective pedagogical approaches and informing interventions that promote meaningful, culturally responsive, and transformative learning experiences.</w:t>
      </w:r>
    </w:p>
    <w:p>
      <w:pPr>
        <w:spacing w:line="480" w:lineRule="auto"/>
        <w:jc w:val="both"/>
        <w:rPr>
          <w:rFonts w:ascii="Arial" w:hAnsi="Arial" w:cs="Arial"/>
        </w:rPr>
      </w:pPr>
      <w:r>
        <w:rPr>
          <w:rFonts w:ascii="Arial" w:hAnsi="Arial" w:cs="Arial"/>
          <w:noProof/>
          <w:lang w:val="en-PH" w:eastAsia="en-PH"/>
        </w:rPr>
        <mc:AlternateContent>
          <mc:Choice Requires="wps">
            <w:drawing>
              <wp:anchor distT="0" distB="0" distL="114300" distR="114300" simplePos="0" relativeHeight="251760640" behindDoc="0" locked="0" layoutInCell="1" allowOverlap="1">
                <wp:simplePos x="0" y="0"/>
                <wp:positionH relativeFrom="column">
                  <wp:posOffset>5278582</wp:posOffset>
                </wp:positionH>
                <wp:positionV relativeFrom="paragraph">
                  <wp:posOffset>2992647</wp:posOffset>
                </wp:positionV>
                <wp:extent cx="380010" cy="296883"/>
                <wp:effectExtent l="0" t="0" r="1270" b="8255"/>
                <wp:wrapNone/>
                <wp:docPr id="13" name="Rectangle 13"/>
                <wp:cNvGraphicFramePr/>
                <a:graphic xmlns:a="http://schemas.openxmlformats.org/drawingml/2006/main">
                  <a:graphicData uri="http://schemas.microsoft.com/office/word/2010/wordprocessingShape">
                    <wps:wsp>
                      <wps:cNvSpPr/>
                      <wps:spPr>
                        <a:xfrm>
                          <a:off x="0" y="0"/>
                          <a:ext cx="380010" cy="296883"/>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26" style="position:absolute;margin-left:415.65pt;margin-top:235.65pt;width:29.9pt;height:23.4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" fillcolor="white [3212]" stroked="f" strokeweight="1.5pt"/>
            </w:pict>
          </mc:Fallback>
        </mc:AlternateContent>
      </w:r>
      <w:r>
        <w:rPr>
          <w:rFonts w:ascii="Arial" w:hAnsi="Arial" w:cs="Arial"/>
        </w:rPr>
        <w:tab/>
        <w:t xml:space="preserve">Recent studies emphasise the positive role of technology in enhancing learner engagement, motivation, communication, and instructional effectiveness in ELT (Al-Awidi &amp; Alghazo, 2021; Tondeur et al., 2021; Zheng &amp; Warschauer, 2022; Hiver et al., 2023). In the Philippine context, educational reforms and digitalisation initiatives have strengthened the use of technology across basic education. Research conducted in rural and Indigenous settings likewise suggests that technology can support English language learning and culturally responsive </w:t>
      </w:r>
      <w:r>
        <w:rPr>
          <w:rFonts w:ascii="Arial" w:hAnsi="Arial" w:cs="Arial"/>
        </w:rPr>
        <w:lastRenderedPageBreak/>
        <w:t>instruction when aligned with local contexts and learner needs (Agaton &amp; Cueto, 2021; Tuazon &amp; Roxas, 2021; Soto et al., 2023).</w:t>
      </w:r>
    </w:p>
    <w:p>
      <w:pPr>
        <w:spacing w:line="480" w:lineRule="auto"/>
        <w:jc w:val="both"/>
        <w:rPr>
          <w:rFonts w:ascii="Arial" w:hAnsi="Arial" w:cs="Arial"/>
        </w:rPr>
      </w:pPr>
      <w:r>
        <w:rPr>
          <w:rFonts w:ascii="Arial" w:hAnsi="Arial" w:cs="Arial"/>
        </w:rPr>
        <w:tab/>
        <w:t>Despite these developments, research on technology integration in Indigenous Peoples' education remains limited. Existing studies largely focus on technology access, infrastructure, digital readiness, or learner participation, while few have examined how teacher competence and instructional practices affect these outcomes. Furthermore, the application of the PICRAT model in IPEd English classrooms remains underexplored, particularly in geographically isolated and disadvantaged communities. Schindler et al. (2021) note that research on technology and engagement largely focuses on higher education and rarely includes Indigenous or geographically isolated contexts. More specifically, there is a paucity of empirical studies that systematically investigate the interrelationship between teachers’ competence and contextual challenges within the DepEd-Tandag City Division.</w:t>
      </w:r>
    </w:p>
    <w:p>
      <w:pPr>
        <w:spacing w:line="480" w:lineRule="auto"/>
        <w:jc w:val="both"/>
        <w:rPr>
          <w:rFonts w:ascii="Arial" w:hAnsi="Arial" w:cs="Arial"/>
        </w:rPr>
      </w:pPr>
      <w:r>
        <w:rPr>
          <w:rFonts w:ascii="Arial" w:hAnsi="Arial" w:cs="Arial"/>
        </w:rPr>
        <w:tab/>
        <w:t>This study generates context-specific empirical evidence on teachers’ technology integration practices and learner engagement in English Language Teaching (ELT). Moreover, the study is among the first in Mindanao to apply the PICRAT model within IPEd while explicitly grounding technology integration in culturally sustaining pedagogy. The study provides integrated, context-sensitive, and practice-oriented insights that can inform teacher professional development.</w:t>
      </w:r>
    </w:p>
    <w:p>
      <w:pPr>
        <w:spacing w:line="480" w:lineRule="auto"/>
        <w:jc w:val="both"/>
        <w:rPr>
          <w:rFonts w:ascii="Arial" w:hAnsi="Arial" w:cs="Arial"/>
        </w:rPr>
      </w:pPr>
    </w:p>
    <w:p>
      <w:pPr>
        <w:spacing w:line="480" w:lineRule="auto"/>
        <w:jc w:val="both"/>
        <w:rPr>
          <w:rFonts w:ascii="Arial" w:hAnsi="Arial" w:cs="Arial"/>
          <w:b/>
        </w:rPr>
      </w:pPr>
      <w:r>
        <w:rPr>
          <w:rFonts w:ascii="Arial" w:hAnsi="Arial" w:cs="Arial"/>
          <w:b/>
        </w:rPr>
        <w:lastRenderedPageBreak/>
        <w:t>Theoretical Framework</w:t>
      </w:r>
    </w:p>
    <w:p>
      <w:pPr>
        <w:spacing w:line="480" w:lineRule="auto"/>
        <w:jc w:val="both"/>
        <w:rPr>
          <w:rFonts w:ascii="Arial" w:hAnsi="Arial" w:cs="Arial"/>
        </w:rPr>
      </w:pPr>
      <w:r>
        <w:rPr>
          <w:rFonts w:ascii="Arial" w:hAnsi="Arial" w:cs="Arial"/>
        </w:rPr>
        <w:tab/>
        <w:t xml:space="preserve">This study is anchored on the premise that meaningful technology integration in English Language Teaching (ELT) within Indigenous Peoples Education (IPEd) classrooms occurs when technology supports language learning, promotes learner engagement, and remains responsive to Indigenous cultural contexts. </w:t>
      </w:r>
    </w:p>
    <w:p>
      <w:pPr>
        <w:spacing w:line="480" w:lineRule="auto"/>
        <w:jc w:val="both"/>
        <w:rPr>
          <w:rFonts w:ascii="Arial" w:hAnsi="Arial" w:cs="Arial"/>
        </w:rPr>
      </w:pPr>
      <w:r>
        <w:rPr>
          <w:rFonts w:ascii="Arial" w:hAnsi="Arial" w:cs="Arial"/>
        </w:rPr>
        <w:tab/>
        <w:t>The study is primarily grounded in the Interactionist Theory of Second Language Acquisition, which posits that language development occurs through meaningful social interaction, negotiation of meaning, feedback, and collaborative communication. According to Gass, Behney, and Plonsky (2021) and Sato and Loewen (2022), learners acquire language more effectively when they actively participate in interaction-rich learning experiences that encourage communication and authentic language use. In technology-supported English instruction, digital tools provide opportunities for interaction, collaboration, and engagement that facilitate language learning. In the present study, Interactionist Theory explains the learner engagement dimension of technology integration, particularly how technology supports learners’ participation, interaction, collaboration, creativity, and reflection in English learning activities.</w:t>
      </w:r>
    </w:p>
    <w:p>
      <w:pPr>
        <w:spacing w:line="480" w:lineRule="auto"/>
        <w:jc w:val="both"/>
        <w:rPr>
          <w:rFonts w:ascii="Arial" w:hAnsi="Arial" w:cs="Arial"/>
        </w:rPr>
      </w:pPr>
      <w:r>
        <w:rPr>
          <w:rFonts w:ascii="Arial" w:hAnsi="Arial" w:cs="Arial"/>
        </w:rPr>
        <w:tab/>
        <w:t xml:space="preserve">Supporting this perspective is Culturally Sustaining Pedagogy (CSP), which emphasises the importance of sustaining learners’ cultural identities, community knowledge, and linguistic resources within formal education. Paris and Alim (2021) </w:t>
      </w:r>
      <w:r>
        <w:rPr>
          <w:rFonts w:ascii="Arial" w:hAnsi="Arial" w:cs="Arial"/>
        </w:rPr>
        <w:lastRenderedPageBreak/>
        <w:t>and Bang et al. (2023) argue that meaningful learning occurs when instruction recognises and values learners' cultural experiences rather than requiring learners to assimilate into dominant educational practices. Within Indigenous Peoples Education, CSP provides a framework for ensuring that technology integration remains culturally responsive and contextually relevant. It guides teachers in designing English learning experiences that incorporate Indigenous knowledge systems, local narratives, community experiences, and culturally meaningful content. In this study, CSP explains the cultural responsiveness and contextualization components of technology-supported instruction and supports the development of English-learning activities aligned with Indigenous learners’ identities and lived experiences.</w:t>
      </w:r>
    </w:p>
    <w:p>
      <w:pPr>
        <w:spacing w:line="480" w:lineRule="auto"/>
        <w:jc w:val="both"/>
        <w:rPr>
          <w:rFonts w:ascii="Arial" w:hAnsi="Arial" w:cs="Arial"/>
        </w:rPr>
      </w:pPr>
      <w:r>
        <w:rPr>
          <w:rFonts w:ascii="Arial" w:hAnsi="Arial" w:cs="Arial"/>
        </w:rPr>
        <w:tab/>
        <w:t xml:space="preserve">The study is further supported by the Technological Pedagogical and Content Knowledge (TPACK) framework, which posits that effective technology integration depends on teachers’ ability to integrate technological, pedagogical, and content knowledge in ways that enhance learning. Research has shown that teachers with stronger TPACK competence are more capable of designing learner-centred, technology-supported instructional experiences that promote meaningful engagement and improved learning outcomes (Tondeur et al., 2021; Schmid, Brianza, &amp; Petko, 2021). Within English Language Teaching, TPACK provides a foundation for understanding teachers’ competence in selecting, adapting, and utilising digital tools that support language instruction. In the present study, TPACK serves as the theoretical basis for examining teachers’ competence in technology </w:t>
      </w:r>
      <w:r>
        <w:rPr>
          <w:rFonts w:ascii="Arial" w:hAnsi="Arial" w:cs="Arial"/>
        </w:rPr>
        <w:lastRenderedPageBreak/>
        <w:t>integration and their implementation of technology-supported instructional practices in IPEd English classrooms.</w:t>
      </w:r>
    </w:p>
    <w:p>
      <w:pPr>
        <w:spacing w:line="480" w:lineRule="auto"/>
        <w:jc w:val="both"/>
        <w:rPr>
          <w:rFonts w:ascii="Arial" w:hAnsi="Arial" w:cs="Arial"/>
        </w:rPr>
      </w:pPr>
      <w:r>
        <w:rPr>
          <w:rFonts w:ascii="Arial" w:hAnsi="Arial" w:cs="Arial"/>
        </w:rPr>
        <w:tab/>
        <w:t>These theories converge through the PICRAT model, which serves as the study’s central analytical framework. PICRAT provides a dual lens for examining technology integration by focusing on both learner engagement and teachers’ instructional use of technology. The learner dimension examines the extent to which technology promotes passive, interactive, and creative engagement, while the teacher dimension evaluates technology use as a replacement, an amplification, or a transformation of instructional practice.</w:t>
      </w:r>
    </w:p>
    <w:p>
      <w:pPr>
        <w:spacing w:line="480" w:lineRule="auto"/>
        <w:jc w:val="both"/>
        <w:rPr>
          <w:rFonts w:ascii="Arial" w:hAnsi="Arial" w:cs="Arial"/>
        </w:rPr>
      </w:pPr>
      <w:r>
        <w:rPr>
          <w:rFonts w:ascii="Arial" w:hAnsi="Arial" w:cs="Arial"/>
        </w:rPr>
        <w:tab/>
        <w:t xml:space="preserve"> Within this framework, Interactionist Theory explains how technology supports learner engagement and language development, CSP ensures that technology-supported instruction remains culturally sustaining and responsive to Indigenous contexts, and TPACK explains how teachers’ competence influences the quality of technology integration. The integration of these perspectives enables the study to examine the relationships among teacher competence, learner engagement, instructional practices, RAT-level technology use, and contextual challenges in Indigenous learning environments. Furthermore, it provides the theoretical foundation for developing a PICRAT-guided intervention program to strengthen culturally responsive and transformative technology integration in English Language Teaching within Indigenous Peoples' Education.</w:t>
      </w:r>
    </w:p>
    <w:p>
      <w:pPr>
        <w:spacing w:line="480" w:lineRule="auto"/>
        <w:jc w:val="both"/>
        <w:rPr>
          <w:rFonts w:ascii="Arial" w:hAnsi="Arial" w:cs="Arial"/>
          <w:b/>
        </w:rPr>
      </w:pPr>
    </w:p>
    <w:p>
      <w:pPr>
        <w:spacing w:line="480" w:lineRule="auto"/>
        <w:jc w:val="both"/>
        <w:rPr>
          <w:rFonts w:ascii="Arial" w:hAnsi="Arial" w:cs="Arial"/>
          <w:b/>
        </w:rPr>
      </w:pPr>
      <w:r>
        <w:rPr>
          <w:rFonts w:ascii="Arial" w:hAnsi="Arial" w:cs="Arial"/>
          <w:b/>
        </w:rPr>
        <w:lastRenderedPageBreak/>
        <w:t>Conceptual Framework</w:t>
      </w:r>
    </w:p>
    <w:p>
      <w:pPr>
        <w:spacing w:line="480" w:lineRule="auto"/>
        <w:jc w:val="both"/>
        <w:rPr>
          <w:rFonts w:ascii="Arial" w:hAnsi="Arial" w:cs="Arial"/>
        </w:rPr>
      </w:pPr>
      <w:r>
        <w:rPr>
          <w:rFonts w:ascii="Arial" w:hAnsi="Arial" w:cs="Arial"/>
        </w:rPr>
        <w:tab/>
      </w:r>
      <w:r>
        <w:rPr>
          <w:rFonts w:ascii="Arial" w:hAnsi="Arial" w:cs="Arial"/>
        </w:rPr>
        <w:t>This study is anchored on established scholarly frameworks and relevant national legal and policy foundations that support meaningful and equitable technology integration in English Language Teaching (ELT), particularly within Indigenous Peoples Education (IPEd). This study is anchored on legal and policy frameworks that support the provision of culturally responsive, inclusive, and technology-enhanced education for Indigenous learners. Republic Act No. 8371, otherwise known as the Indigenous Peoples’ Rights Act (IPRA) of 1997, recognises the rights of Indigenous Peoples to culturally appropriate educational systems that preserve and promote their cultural heritage, traditions, and knowledge systems. Likewise, Republic Act No. 10533, or the Enhanced Basic Education Act of 2013, institutionalises a learner-centred, inclusive, and culture-sensitive curriculum that responds to the diverse needs and contexts of Filipino learners. These policies establish the foundation for implementing educational programs that respect Indigenous identities while promoting equitable access to quality education.</w:t>
      </w:r>
    </w:p>
    <w:p>
      <w:pPr>
        <w:spacing w:line="480" w:lineRule="auto"/>
        <w:jc w:val="both"/>
        <w:rPr>
          <w:rFonts w:ascii="Arial" w:hAnsi="Arial" w:cs="Arial"/>
        </w:rPr>
      </w:pPr>
      <w:r>
        <w:rPr>
          <w:rFonts w:ascii="Arial" w:hAnsi="Arial" w:cs="Arial"/>
        </w:rPr>
        <w:tab/>
      </w:r>
      <w:r>
        <w:rPr>
          <w:rFonts w:ascii="Arial" w:hAnsi="Arial" w:cs="Arial"/>
        </w:rPr>
        <w:t xml:space="preserve">Further strengthening this foundation are the Department of Education’s Indigenous Peoples Education (IPEd) Policy Framework under DepEd Order No. 62, s. 2011, which promotes the integration of Indigenous knowledge systems and practices into the basic education curriculum. In addition, the Basic Education Learning Continuity Plan (DepEd, 2020), the Digital Rise Program, and the </w:t>
      </w:r>
      <w:r>
        <w:rPr>
          <w:rFonts w:ascii="Arial" w:hAnsi="Arial" w:cs="Arial"/>
        </w:rPr>
        <w:lastRenderedPageBreak/>
        <w:t>Connecting the Last Mile Schools Program support the integration of technology in teaching and learning, particularly in geographically isolated and disadvantaged areas. These policies emphasise equitable access to digital resources, teacher capability-building, contextualised instruction, and the development of meaningful learning experiences that address the realities of Indigenous communities. These legal and policy frameworks provide the basis for examining technology-supported English language instruction within Indigenous Peoples' Education settings.</w:t>
      </w:r>
    </w:p>
    <w:p>
      <w:pPr>
        <w:spacing w:line="480" w:lineRule="auto"/>
        <w:jc w:val="both"/>
        <w:rPr>
          <w:rFonts w:ascii="Arial" w:hAnsi="Arial" w:cs="Arial"/>
        </w:rPr>
      </w:pPr>
      <w:r>
        <w:rPr>
          <w:rFonts w:ascii="Arial" w:hAnsi="Arial" w:cs="Arial"/>
        </w:rPr>
        <w:tab/>
      </w:r>
      <w:r>
        <w:rPr>
          <w:rFonts w:ascii="Arial" w:hAnsi="Arial" w:cs="Arial"/>
        </w:rPr>
        <w:t xml:space="preserve">Guided by these policy directions, the study adopts the PICRAT model as the conceptual lens for examining technology integration in English Language Teaching among Indigenous Peoples Education learners. The PICRAT model provides a comprehensive framework for understanding how technology influences both teachers’ instructional practices and learners’ engagement in the learning process. </w:t>
      </w:r>
    </w:p>
    <w:p>
      <w:pPr>
        <w:spacing w:line="480" w:lineRule="auto"/>
        <w:jc w:val="both"/>
        <w:rPr>
          <w:rFonts w:ascii="Arial" w:hAnsi="Arial" w:cs="Arial"/>
        </w:rPr>
      </w:pPr>
      <w:r>
        <w:rPr>
          <w:rFonts w:ascii="Arial" w:hAnsi="Arial" w:cs="Arial"/>
        </w:rPr>
        <w:tab/>
      </w:r>
      <w:r>
        <w:rPr>
          <w:rFonts w:ascii="Arial" w:hAnsi="Arial" w:cs="Arial"/>
        </w:rPr>
        <w:t>As shown in Figure 1, the framework identifies teachers’ competence in integrating technology, technology-supported learner engagement, teachers’ technology integration practices, and contextual challenges as the study's primary variables. These variables are examined to determine their individual characteristics, their relationships with one another, and their influence on teachers’ RAT-level technology use.</w:t>
      </w:r>
    </w:p>
    <w:p>
      <w:pPr>
        <w:spacing w:line="480" w:lineRule="auto"/>
        <w:jc w:val="both"/>
        <w:rPr>
          <w:rFonts w:ascii="Arial" w:hAnsi="Arial" w:cs="Arial"/>
        </w:rPr>
      </w:pPr>
    </w:p>
    <w:p>
      <w:pPr>
        <w:spacing w:line="480" w:lineRule="auto"/>
        <w:jc w:val="both"/>
        <w:rPr>
          <w:rFonts w:ascii="Arial" w:hAnsi="Arial" w:cs="Arial"/>
        </w:rPr>
      </w:pPr>
    </w:p>
    <w:p>
      <w:pPr>
        <w:jc w:val="both"/>
        <w:rPr>
          <w:rFonts w:ascii="Arial" w:hAnsi="Arial" w:cs="Arial"/>
        </w:rPr>
      </w:pPr>
      <w:r>
        <w:rPr>
          <w:rFonts w:ascii="Arial" w:hAnsi="Arial" w:cs="Arial"/>
          <w:noProof/>
          <w:lang w:val="en-PH" w:eastAsia="en-PH"/>
        </w:rPr>
        <w:lastRenderedPageBreak/>
        <mc:AlternateContent>
          <mc:Choice Requires="wps">
            <w:drawing>
              <wp:anchor distT="0" distB="0" distL="114300" distR="114300" simplePos="0" relativeHeight="251674111" behindDoc="1" locked="0" layoutInCell="1" allowOverlap="1">
                <wp:simplePos x="0" y="0"/>
                <wp:positionH relativeFrom="column">
                  <wp:posOffset>1732915</wp:posOffset>
                </wp:positionH>
                <wp:positionV relativeFrom="paragraph">
                  <wp:posOffset>-63500</wp:posOffset>
                </wp:positionV>
                <wp:extent cx="2190465" cy="1279525"/>
                <wp:effectExtent l="0" t="0" r="19685" b="15875"/>
                <wp:wrapNone/>
                <wp:docPr id="25" name="Rectangle 25"/>
                <wp:cNvGraphicFramePr/>
                <a:graphic xmlns:a="http://schemas.openxmlformats.org/drawingml/2006/main">
                  <a:graphicData uri="http://schemas.microsoft.com/office/word/2010/wordprocessingShape">
                    <wps:wsp>
                      <wps:cNvSpPr/>
                      <wps:spPr>
                        <a:xfrm>
                          <a:off x="0" y="0"/>
                          <a:ext cx="2190465" cy="127952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pPr>
                              <w:spacing w:after="0"/>
                              <w:jc w:val="center"/>
                              <w:rPr>
                                <w:rFonts w:ascii="Arial" w:hAnsi="Arial" w:cs="Arial"/>
                              </w:rPr>
                            </w:pPr>
                            <w:r>
                              <w:rPr>
                                <w:rFonts w:ascii="Arial" w:hAnsi="Arial" w:cs="Arial"/>
                              </w:rPr>
                              <w:t>Teachers’ Level of Competence in Integration Technology</w:t>
                            </w:r>
                          </w:p>
                          <w:p>
                            <w:pPr>
                              <w:spacing w:after="0"/>
                              <w:jc w:val="center"/>
                              <w:rPr>
                                <w:rFonts w:ascii="Arial" w:hAnsi="Arial" w:cs="Arial"/>
                              </w:rPr>
                            </w:pPr>
                            <w:r>
                              <w:rPr>
                                <w:rFonts w:ascii="Arial" w:hAnsi="Arial" w:cs="Arial"/>
                              </w:rPr>
                              <w:t>in English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left:0;text-align:left;margin-left:136.45pt;margin-top:-5pt;width:172.5pt;height:100.75pt;z-index:-251642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" filled="f" strokecolor="black [3200]" strokeweight="1.5pt">
                <v:stroke joinstyle="round"/>
                <v:textbox>
                  <w:txbxContent>
                    <w:p>
                      <w:pPr>
                        <w:spacing w:after="0"/>
                        <w:jc w:val="center"/>
                        <w:rPr>
                          <w:rFonts w:ascii="Arial" w:hAnsi="Arial" w:cs="Arial"/>
                        </w:rPr>
                      </w:pPr>
                      <w:r>
                        <w:rPr>
                          <w:rFonts w:ascii="Arial" w:hAnsi="Arial" w:cs="Arial"/>
                        </w:rPr>
                        <w:t>Teachers’ Level of Competence in Integration Technology</w:t>
                      </w:r>
                    </w:p>
                    <w:p>
                      <w:pPr>
                        <w:spacing w:after="0"/>
                        <w:jc w:val="center"/>
                        <w:rPr>
                          <w:rFonts w:ascii="Arial" w:hAnsi="Arial" w:cs="Arial"/>
                        </w:rPr>
                      </w:pPr>
                      <w:r>
                        <w:rPr>
                          <w:rFonts w:ascii="Arial" w:hAnsi="Arial" w:cs="Arial"/>
                        </w:rPr>
                        <w:t>in English Class</w:t>
                      </w:r>
                    </w:p>
                  </w:txbxContent>
                </v:textbox>
              </v:rect>
            </w:pict>
          </mc:Fallback>
        </mc:AlternateContent>
      </w: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r>
        <w:rPr>
          <w:rFonts w:ascii="Arial" w:hAnsi="Arial" w:cs="Arial"/>
          <w:noProof/>
          <w:lang w:val="en-PH" w:eastAsia="en-PH"/>
        </w:rPr>
        <mc:AlternateContent>
          <mc:Choice Requires="wps">
            <w:drawing>
              <wp:anchor distT="0" distB="0" distL="114300" distR="114300" simplePos="0" relativeHeight="251755520" behindDoc="0" locked="0" layoutInCell="1" allowOverlap="1">
                <wp:simplePos x="0" y="0"/>
                <wp:positionH relativeFrom="column">
                  <wp:posOffset>4674235</wp:posOffset>
                </wp:positionH>
                <wp:positionV relativeFrom="paragraph">
                  <wp:posOffset>296273</wp:posOffset>
                </wp:positionV>
                <wp:extent cx="6217" cy="401885"/>
                <wp:effectExtent l="0" t="0" r="32385" b="36830"/>
                <wp:wrapNone/>
                <wp:docPr id="34" name="Straight Connector 34"/>
                <wp:cNvGraphicFramePr/>
                <a:graphic xmlns:a="http://schemas.openxmlformats.org/drawingml/2006/main">
                  <a:graphicData uri="http://schemas.microsoft.com/office/word/2010/wordprocessingShape">
                    <wps:wsp>
                      <wps:cNvCnPr/>
                      <wps:spPr>
                        <a:xfrm>
                          <a:off x="0" y="0"/>
                          <a:ext cx="6217" cy="40188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id="Straight Connector 34"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05pt,23.35pt" to="368.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" strokecolor="black [3200]" strokeweight="1.5pt">
                <v:stroke joinstyle="miter"/>
              </v:line>
            </w:pict>
          </mc:Fallback>
        </mc:AlternateContent>
      </w:r>
      <w:r>
        <w:rPr>
          <w:rFonts w:ascii="Arial" w:hAnsi="Arial" w:cs="Arial"/>
          <w:noProof/>
          <w:lang w:val="en-PH" w:eastAsia="en-PH"/>
        </w:rPr>
        <mc:AlternateContent>
          <mc:Choice Requires="wps">
            <w:drawing>
              <wp:anchor distT="0" distB="0" distL="114300" distR="114300" simplePos="0" relativeHeight="251753472" behindDoc="0" locked="0" layoutInCell="1" allowOverlap="1">
                <wp:simplePos x="0" y="0"/>
                <wp:positionH relativeFrom="column">
                  <wp:posOffset>1074093</wp:posOffset>
                </wp:positionH>
                <wp:positionV relativeFrom="paragraph">
                  <wp:posOffset>297836</wp:posOffset>
                </wp:positionV>
                <wp:extent cx="0" cy="398136"/>
                <wp:effectExtent l="0" t="0" r="19050" b="21590"/>
                <wp:wrapNone/>
                <wp:docPr id="31" name="Straight Connector 31"/>
                <wp:cNvGraphicFramePr/>
                <a:graphic xmlns:a="http://schemas.openxmlformats.org/drawingml/2006/main">
                  <a:graphicData uri="http://schemas.microsoft.com/office/word/2010/wordprocessingShape">
                    <wps:wsp>
                      <wps:cNvCnPr/>
                      <wps:spPr>
                        <a:xfrm>
                          <a:off x="0" y="0"/>
                          <a:ext cx="0" cy="39813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id="Straight Connector 31"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5pt,23.45pt" to="84.5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" strokecolor="black [3200]" strokeweight="1.5pt">
                <v:stroke joinstyle="miter"/>
              </v:line>
            </w:pict>
          </mc:Fallback>
        </mc:AlternateContent>
      </w:r>
      <w:r>
        <w:rPr>
          <w:rFonts w:ascii="Arial" w:hAnsi="Arial" w:cs="Arial"/>
          <w:noProof/>
          <w:lang w:val="en-PH" w:eastAsia="en-PH"/>
        </w:rPr>
        <mc:AlternateContent>
          <mc:Choice Requires="wps">
            <w:drawing>
              <wp:anchor distT="0" distB="0" distL="114300" distR="114300" simplePos="0" relativeHeight="251673600" behindDoc="0" locked="0" layoutInCell="1" allowOverlap="1">
                <wp:simplePos x="0" y="0"/>
                <wp:positionH relativeFrom="column">
                  <wp:posOffset>1063625</wp:posOffset>
                </wp:positionH>
                <wp:positionV relativeFrom="paragraph">
                  <wp:posOffset>304165</wp:posOffset>
                </wp:positionV>
                <wp:extent cx="3615690" cy="5715"/>
                <wp:effectExtent l="0" t="0" r="22860" b="32385"/>
                <wp:wrapNone/>
                <wp:docPr id="20" name="Straight Connector 20"/>
                <wp:cNvGraphicFramePr/>
                <a:graphic xmlns:a="http://schemas.openxmlformats.org/drawingml/2006/main">
                  <a:graphicData uri="http://schemas.microsoft.com/office/word/2010/wordprocessingShape">
                    <wps:wsp>
                      <wps:cNvCnPr/>
                      <wps:spPr>
                        <a:xfrm flipV="1">
                          <a:off x="0" y="0"/>
                          <a:ext cx="3615690" cy="5715"/>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id="Straight Connector 20"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5pt,23.95pt" to="368.4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" strokecolor="black [3213]" strokeweight="1.5pt">
                <v:stroke joinstyle="miter"/>
              </v:line>
            </w:pict>
          </mc:Fallback>
        </mc:AlternateContent>
      </w:r>
      <w:r>
        <w:rPr>
          <w:rFonts w:ascii="Arial" w:hAnsi="Arial" w:cs="Arial"/>
          <w:noProof/>
          <w:lang w:val="en-PH" w:eastAsia="en-PH"/>
        </w:rPr>
        <mc:AlternateContent>
          <mc:Choice Requires="wps">
            <w:drawing>
              <wp:anchor distT="0" distB="0" distL="114300" distR="114300" simplePos="0" relativeHeight="251674624" behindDoc="0" locked="0" layoutInCell="1" allowOverlap="1">
                <wp:simplePos x="0" y="0"/>
                <wp:positionH relativeFrom="column">
                  <wp:posOffset>2818130</wp:posOffset>
                </wp:positionH>
                <wp:positionV relativeFrom="paragraph">
                  <wp:posOffset>7620</wp:posOffset>
                </wp:positionV>
                <wp:extent cx="3175" cy="297180"/>
                <wp:effectExtent l="0" t="0" r="34925" b="26670"/>
                <wp:wrapNone/>
                <wp:docPr id="21" name="Straight Connector 21"/>
                <wp:cNvGraphicFramePr/>
                <a:graphic xmlns:a="http://schemas.openxmlformats.org/drawingml/2006/main">
                  <a:graphicData uri="http://schemas.microsoft.com/office/word/2010/wordprocessingShape">
                    <wps:wsp>
                      <wps:cNvCnPr/>
                      <wps:spPr>
                        <a:xfrm>
                          <a:off x="0" y="0"/>
                          <a:ext cx="3175" cy="2971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id="Straight Connector 2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9pt,.6pt" to="222.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" strokecolor="black [3200]" strokeweight="1.5pt">
                <v:stroke joinstyle="miter"/>
              </v:line>
            </w:pict>
          </mc:Fallback>
        </mc:AlternateContent>
      </w:r>
    </w:p>
    <w:p>
      <w:pPr>
        <w:tabs>
          <w:tab w:val="left" w:pos="5620"/>
        </w:tabs>
        <w:jc w:val="both"/>
        <w:rPr>
          <w:rFonts w:ascii="Arial" w:hAnsi="Arial" w:cs="Arial"/>
        </w:rPr>
      </w:pPr>
      <w:r>
        <w:rPr>
          <w:rFonts w:ascii="Arial" w:hAnsi="Arial" w:cs="Arial"/>
        </w:rPr>
        <w:tab/>
      </w:r>
    </w:p>
    <w:p>
      <w:pPr>
        <w:jc w:val="both"/>
        <w:rPr>
          <w:rFonts w:ascii="Arial" w:hAnsi="Arial" w:cs="Arial"/>
        </w:rPr>
      </w:pPr>
      <w:r>
        <w:rPr>
          <w:rFonts w:ascii="Arial" w:hAnsi="Arial" w:cs="Arial"/>
          <w:noProof/>
          <w:lang w:val="en-PH" w:eastAsia="en-PH"/>
        </w:rPr>
        <mc:AlternateContent>
          <mc:Choice Requires="wps">
            <w:drawing>
              <wp:anchor distT="0" distB="0" distL="114300" distR="114300" simplePos="0" relativeHeight="251713536" behindDoc="1" locked="0" layoutInCell="1" allowOverlap="1">
                <wp:simplePos x="0" y="0"/>
                <wp:positionH relativeFrom="column">
                  <wp:posOffset>-12065</wp:posOffset>
                </wp:positionH>
                <wp:positionV relativeFrom="paragraph">
                  <wp:posOffset>94615</wp:posOffset>
                </wp:positionV>
                <wp:extent cx="2190115" cy="1279525"/>
                <wp:effectExtent l="0" t="0" r="19685" b="15875"/>
                <wp:wrapNone/>
                <wp:docPr id="48" name="Rectangle 48"/>
                <wp:cNvGraphicFramePr/>
                <a:graphic xmlns:a="http://schemas.openxmlformats.org/drawingml/2006/main">
                  <a:graphicData uri="http://schemas.microsoft.com/office/word/2010/wordprocessingShape">
                    <wps:wsp>
                      <wps:cNvSpPr/>
                      <wps:spPr>
                        <a:xfrm>
                          <a:off x="0" y="0"/>
                          <a:ext cx="2190115" cy="127952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pPr>
                              <w:spacing w:after="0"/>
                              <w:jc w:val="center"/>
                              <w:rPr>
                                <w:rFonts w:ascii="Arial" w:hAnsi="Arial" w:cs="Arial"/>
                              </w:rPr>
                            </w:pPr>
                            <w:r>
                              <w:rPr>
                                <w:rFonts w:ascii="Arial" w:hAnsi="Arial" w:cs="Arial"/>
                              </w:rPr>
                              <w:t xml:space="preserve">Teachers’ Technology Integration </w:t>
                            </w:r>
                          </w:p>
                          <w:p>
                            <w:pPr>
                              <w:spacing w:after="0"/>
                              <w:jc w:val="center"/>
                              <w:rPr>
                                <w:rFonts w:ascii="Arial" w:hAnsi="Arial" w:cs="Arial"/>
                              </w:rPr>
                            </w:pPr>
                            <w:r>
                              <w:rPr>
                                <w:rFonts w:ascii="Arial" w:hAnsi="Arial" w:cs="Arial"/>
                              </w:rPr>
                              <w:t>(PICRAT – Teacher Side)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7" style="position:absolute;left:0;text-align:left;margin-left:-.95pt;margin-top:7.45pt;width:172.45pt;height:100.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" filled="f" strokecolor="black [3200]" strokeweight="1.5pt">
                <v:stroke joinstyle="round"/>
                <v:textbox>
                  <w:txbxContent>
                    <w:p>
                      <w:pPr>
                        <w:spacing w:after="0"/>
                        <w:jc w:val="center"/>
                        <w:rPr>
                          <w:rFonts w:ascii="Arial" w:hAnsi="Arial" w:cs="Arial"/>
                        </w:rPr>
                      </w:pPr>
                      <w:r>
                        <w:rPr>
                          <w:rFonts w:ascii="Arial" w:hAnsi="Arial" w:cs="Arial"/>
                        </w:rPr>
                        <w:t xml:space="preserve">Teachers’ Technology Integration </w:t>
                      </w:r>
                    </w:p>
                    <w:p>
                      <w:pPr>
                        <w:spacing w:after="0"/>
                        <w:jc w:val="center"/>
                        <w:rPr>
                          <w:rFonts w:ascii="Arial" w:hAnsi="Arial" w:cs="Arial"/>
                        </w:rPr>
                      </w:pPr>
                      <w:r>
                        <w:rPr>
                          <w:rFonts w:ascii="Arial" w:hAnsi="Arial" w:cs="Arial"/>
                        </w:rPr>
                        <w:t>(PICRAT – Teacher Side)</w:t>
                      </w:r>
                    </w:p>
                  </w:txbxContent>
                </v:textbox>
              </v:rect>
            </w:pict>
          </mc:Fallback>
        </mc:AlternateContent>
      </w:r>
      <w:r>
        <w:rPr>
          <w:rFonts w:ascii="Arial" w:hAnsi="Arial" w:cs="Arial"/>
          <w:noProof/>
          <w:lang w:val="en-PH" w:eastAsia="en-PH"/>
        </w:rPr>
        <mc:AlternateContent>
          <mc:Choice Requires="wps">
            <w:drawing>
              <wp:anchor distT="0" distB="0" distL="114300" distR="114300" simplePos="0" relativeHeight="251717632" behindDoc="1" locked="0" layoutInCell="1" allowOverlap="1">
                <wp:simplePos x="0" y="0"/>
                <wp:positionH relativeFrom="column">
                  <wp:posOffset>3604421</wp:posOffset>
                </wp:positionH>
                <wp:positionV relativeFrom="paragraph">
                  <wp:posOffset>96520</wp:posOffset>
                </wp:positionV>
                <wp:extent cx="2190115" cy="1279525"/>
                <wp:effectExtent l="0" t="0" r="19685" b="15875"/>
                <wp:wrapNone/>
                <wp:docPr id="50" name="Rectangle 50"/>
                <wp:cNvGraphicFramePr/>
                <a:graphic xmlns:a="http://schemas.openxmlformats.org/drawingml/2006/main">
                  <a:graphicData uri="http://schemas.microsoft.com/office/word/2010/wordprocessingShape">
                    <wps:wsp>
                      <wps:cNvSpPr/>
                      <wps:spPr>
                        <a:xfrm>
                          <a:off x="0" y="0"/>
                          <a:ext cx="2190115" cy="127952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pPr>
                              <w:spacing w:after="0"/>
                              <w:jc w:val="center"/>
                              <w:rPr>
                                <w:rFonts w:ascii="Arial" w:hAnsi="Arial" w:cs="Arial"/>
                              </w:rPr>
                            </w:pPr>
                            <w:r>
                              <w:rPr>
                                <w:rFonts w:ascii="Arial" w:hAnsi="Arial" w:cs="Arial"/>
                              </w:rPr>
                              <w:t xml:space="preserve">Learners’ Technology Integration </w:t>
                            </w:r>
                          </w:p>
                          <w:p>
                            <w:pPr>
                              <w:spacing w:after="0"/>
                              <w:jc w:val="center"/>
                              <w:rPr>
                                <w:rFonts w:ascii="Arial" w:hAnsi="Arial" w:cs="Arial"/>
                              </w:rPr>
                            </w:pPr>
                            <w:r>
                              <w:rPr>
                                <w:rFonts w:ascii="Arial" w:hAnsi="Arial" w:cs="Arial"/>
                              </w:rPr>
                              <w:t>(PICRAT – Learner Side)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8" style="position:absolute;left:0;text-align:left;margin-left:283.8pt;margin-top:7.6pt;width:172.45pt;height:100.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" filled="f" strokecolor="black [3200]" strokeweight="1.5pt">
                <v:stroke joinstyle="round"/>
                <v:textbox>
                  <w:txbxContent>
                    <w:p>
                      <w:pPr>
                        <w:spacing w:after="0"/>
                        <w:jc w:val="center"/>
                        <w:rPr>
                          <w:rFonts w:ascii="Arial" w:hAnsi="Arial" w:cs="Arial"/>
                        </w:rPr>
                      </w:pPr>
                      <w:r>
                        <w:rPr>
                          <w:rFonts w:ascii="Arial" w:hAnsi="Arial" w:cs="Arial"/>
                        </w:rPr>
                        <w:t xml:space="preserve">Learners’ Technology Integration </w:t>
                      </w:r>
                    </w:p>
                    <w:p>
                      <w:pPr>
                        <w:spacing w:after="0"/>
                        <w:jc w:val="center"/>
                        <w:rPr>
                          <w:rFonts w:ascii="Arial" w:hAnsi="Arial" w:cs="Arial"/>
                        </w:rPr>
                      </w:pPr>
                      <w:r>
                        <w:rPr>
                          <w:rFonts w:ascii="Arial" w:hAnsi="Arial" w:cs="Arial"/>
                        </w:rPr>
                        <w:t>(PICRAT – Learner Side)</w:t>
                      </w:r>
                    </w:p>
                  </w:txbxContent>
                </v:textbox>
              </v:rect>
            </w:pict>
          </mc:Fallback>
        </mc:AlternateContent>
      </w:r>
    </w:p>
    <w:p>
      <w:pPr>
        <w:jc w:val="both"/>
        <w:rPr>
          <w:rFonts w:ascii="Arial" w:hAnsi="Arial" w:cs="Arial"/>
        </w:rPr>
      </w:pPr>
    </w:p>
    <w:p>
      <w:pPr>
        <w:jc w:val="center"/>
        <w:rPr>
          <w:rFonts w:ascii="Arial" w:hAnsi="Arial" w:cs="Arial"/>
          <w:b/>
        </w:rPr>
      </w:pPr>
      <w:r>
        <w:rPr>
          <w:rFonts w:ascii="Arial" w:hAnsi="Arial" w:cs="Arial"/>
          <w:noProof/>
          <w:lang w:val="en-PH" w:eastAsia="en-PH"/>
        </w:rPr>
        <mc:AlternateContent>
          <mc:Choice Requires="wps">
            <w:drawing>
              <wp:anchor distT="0" distB="0" distL="114300" distR="114300" simplePos="0" relativeHeight="251757568" behindDoc="0" locked="0" layoutInCell="1" allowOverlap="1">
                <wp:simplePos x="0" y="0"/>
                <wp:positionH relativeFrom="column">
                  <wp:posOffset>2177415</wp:posOffset>
                </wp:positionH>
                <wp:positionV relativeFrom="paragraph">
                  <wp:posOffset>80010</wp:posOffset>
                </wp:positionV>
                <wp:extent cx="1431290" cy="10160"/>
                <wp:effectExtent l="0" t="0" r="35560" b="27940"/>
                <wp:wrapThrough wrapText="bothSides">
                  <wp:wrapPolygon edited="0">
                    <wp:start x="0" y="0"/>
                    <wp:lineTo x="0" y="40500"/>
                    <wp:lineTo x="21849" y="40500"/>
                    <wp:lineTo x="21849" y="0"/>
                    <wp:lineTo x="0" y="0"/>
                  </wp:wrapPolygon>
                </wp:wrapThrough>
                <wp:docPr id="64" name="Straight Connector 64"/>
                <wp:cNvGraphicFramePr/>
                <a:graphic xmlns:a="http://schemas.openxmlformats.org/drawingml/2006/main">
                  <a:graphicData uri="http://schemas.microsoft.com/office/word/2010/wordprocessingShape">
                    <wps:wsp>
                      <wps:cNvCnPr/>
                      <wps:spPr>
                        <a:xfrm>
                          <a:off x="0" y="0"/>
                          <a:ext cx="1431290" cy="101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A8DE739" id="Straight Connector 64"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45pt,6.3pt" to="284.1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" strokecolor="black [3200]" strokeweight="1.5pt">
                <v:stroke joinstyle="miter"/>
                <w10:wrap type="through"/>
              </v:line>
            </w:pict>
          </mc:Fallback>
        </mc:AlternateContent>
      </w:r>
    </w:p>
    <w:p>
      <w:pPr>
        <w:jc w:val="center"/>
        <w:rPr>
          <w:rFonts w:ascii="Arial" w:hAnsi="Arial" w:cs="Arial"/>
          <w:b/>
        </w:rPr>
      </w:pPr>
    </w:p>
    <w:p>
      <w:pPr>
        <w:jc w:val="center"/>
        <w:rPr>
          <w:rFonts w:ascii="Arial" w:hAnsi="Arial" w:cs="Arial"/>
          <w:b/>
        </w:rPr>
      </w:pPr>
      <w:r>
        <w:rPr>
          <w:rFonts w:ascii="Arial" w:hAnsi="Arial" w:cs="Arial"/>
          <w:noProof/>
          <w:lang w:val="en-PH" w:eastAsia="en-PH"/>
        </w:rPr>
        <mc:AlternateContent>
          <mc:Choice Requires="wps">
            <w:drawing>
              <wp:anchor distT="0" distB="0" distL="114300" distR="114300" simplePos="0" relativeHeight="251703296" behindDoc="0" locked="0" layoutInCell="1" allowOverlap="1">
                <wp:simplePos x="0" y="0"/>
                <wp:positionH relativeFrom="column">
                  <wp:posOffset>4756624</wp:posOffset>
                </wp:positionH>
                <wp:positionV relativeFrom="paragraph">
                  <wp:posOffset>171450</wp:posOffset>
                </wp:positionV>
                <wp:extent cx="0" cy="318770"/>
                <wp:effectExtent l="0" t="0" r="19050" b="24130"/>
                <wp:wrapNone/>
                <wp:docPr id="40" name="Straight Connector 40"/>
                <wp:cNvGraphicFramePr/>
                <a:graphic xmlns:a="http://schemas.openxmlformats.org/drawingml/2006/main">
                  <a:graphicData uri="http://schemas.microsoft.com/office/word/2010/wordprocessingShape">
                    <wps:wsp>
                      <wps:cNvCnPr/>
                      <wps:spPr>
                        <a:xfrm flipH="1">
                          <a:off x="0" y="0"/>
                          <a:ext cx="0" cy="3187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id="Straight Connector 40"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5pt,13.5pt" to="374.5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" strokecolor="black [3200]" strokeweight="1.5pt">
                <v:stroke joinstyle="miter"/>
              </v:line>
            </w:pict>
          </mc:Fallback>
        </mc:AlternateContent>
      </w:r>
      <w:r>
        <w:rPr>
          <w:rFonts w:ascii="Arial" w:hAnsi="Arial" w:cs="Arial"/>
          <w:noProof/>
          <w:lang w:val="en-PH" w:eastAsia="en-PH"/>
        </w:rPr>
        <mc:AlternateContent>
          <mc:Choice Requires="wps">
            <w:drawing>
              <wp:anchor distT="0" distB="0" distL="114300" distR="114300" simplePos="0" relativeHeight="251701248" behindDoc="0" locked="0" layoutInCell="1" allowOverlap="1">
                <wp:simplePos x="0" y="0"/>
                <wp:positionH relativeFrom="column">
                  <wp:posOffset>1104426</wp:posOffset>
                </wp:positionH>
                <wp:positionV relativeFrom="paragraph">
                  <wp:posOffset>154305</wp:posOffset>
                </wp:positionV>
                <wp:extent cx="0" cy="323215"/>
                <wp:effectExtent l="0" t="0" r="19050" b="19685"/>
                <wp:wrapNone/>
                <wp:docPr id="39" name="Straight Connector 39"/>
                <wp:cNvGraphicFramePr/>
                <a:graphic xmlns:a="http://schemas.openxmlformats.org/drawingml/2006/main">
                  <a:graphicData uri="http://schemas.microsoft.com/office/word/2010/wordprocessingShape">
                    <wps:wsp>
                      <wps:cNvCnPr/>
                      <wps:spPr>
                        <a:xfrm flipH="1">
                          <a:off x="0" y="0"/>
                          <a:ext cx="0" cy="3232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id="Straight Connector 39"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95pt,12.15pt" to="86.9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" strokecolor="black [3200]" strokeweight="1.5pt">
                <v:stroke joinstyle="miter"/>
              </v:line>
            </w:pict>
          </mc:Fallback>
        </mc:AlternateContent>
      </w:r>
    </w:p>
    <w:p>
      <w:pPr>
        <w:jc w:val="center"/>
        <w:rPr>
          <w:rFonts w:ascii="Arial" w:hAnsi="Arial" w:cs="Arial"/>
          <w:b/>
        </w:rPr>
      </w:pPr>
      <w:r>
        <w:rPr>
          <w:rFonts w:ascii="Arial" w:hAnsi="Arial" w:cs="Arial"/>
          <w:noProof/>
          <w:lang w:val="en-PH" w:eastAsia="en-PH"/>
        </w:rPr>
        <mc:AlternateContent>
          <mc:Choice Requires="wps">
            <w:drawing>
              <wp:anchor distT="0" distB="0" distL="114300" distR="114300" simplePos="0" relativeHeight="251759616" behindDoc="0" locked="0" layoutInCell="1" allowOverlap="1">
                <wp:simplePos x="0" y="0"/>
                <wp:positionH relativeFrom="column">
                  <wp:posOffset>2880360</wp:posOffset>
                </wp:positionH>
                <wp:positionV relativeFrom="paragraph">
                  <wp:posOffset>177165</wp:posOffset>
                </wp:positionV>
                <wp:extent cx="0" cy="355600"/>
                <wp:effectExtent l="0" t="0" r="19050" b="25400"/>
                <wp:wrapNone/>
                <wp:docPr id="65" name="Straight Connector 65"/>
                <wp:cNvGraphicFramePr/>
                <a:graphic xmlns:a="http://schemas.openxmlformats.org/drawingml/2006/main">
                  <a:graphicData uri="http://schemas.microsoft.com/office/word/2010/wordprocessingShape">
                    <wps:wsp>
                      <wps:cNvCnPr/>
                      <wps:spPr>
                        <a:xfrm>
                          <a:off x="0" y="0"/>
                          <a:ext cx="0" cy="355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id="Straight Connector 65"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8pt,13.95pt" to="226.8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" strokecolor="black [3200]" strokeweight="1.5pt">
                <v:stroke joinstyle="miter"/>
              </v:line>
            </w:pict>
          </mc:Fallback>
        </mc:AlternateContent>
      </w:r>
      <w:r>
        <w:rPr>
          <w:rFonts w:ascii="Arial" w:hAnsi="Arial" w:cs="Arial"/>
          <w:noProof/>
          <w:lang w:val="en-PH" w:eastAsia="en-PH"/>
        </w:rPr>
        <mc:AlternateContent>
          <mc:Choice Requires="wps">
            <w:drawing>
              <wp:anchor distT="0" distB="0" distL="114300" distR="114300" simplePos="0" relativeHeight="251732992" behindDoc="0" locked="0" layoutInCell="1" allowOverlap="1">
                <wp:simplePos x="0" y="0"/>
                <wp:positionH relativeFrom="column">
                  <wp:posOffset>1098645</wp:posOffset>
                </wp:positionH>
                <wp:positionV relativeFrom="paragraph">
                  <wp:posOffset>174937</wp:posOffset>
                </wp:positionV>
                <wp:extent cx="3664424" cy="10047"/>
                <wp:effectExtent l="0" t="0" r="31750" b="28575"/>
                <wp:wrapNone/>
                <wp:docPr id="10" name="Straight Connector 10"/>
                <wp:cNvGraphicFramePr/>
                <a:graphic xmlns:a="http://schemas.openxmlformats.org/drawingml/2006/main">
                  <a:graphicData uri="http://schemas.microsoft.com/office/word/2010/wordprocessingShape">
                    <wps:wsp>
                      <wps:cNvCnPr/>
                      <wps:spPr>
                        <a:xfrm flipV="1">
                          <a:off x="0" y="0"/>
                          <a:ext cx="3664424" cy="10047"/>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id="Straight Connector 10"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pt,13.75pt" to="375.0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" strokecolor="black [3213]" strokeweight="1.5pt">
                <v:stroke joinstyle="miter"/>
              </v:line>
            </w:pict>
          </mc:Fallback>
        </mc:AlternateContent>
      </w:r>
    </w:p>
    <w:p>
      <w:pPr>
        <w:jc w:val="center"/>
        <w:rPr>
          <w:rFonts w:ascii="Arial" w:hAnsi="Arial" w:cs="Arial"/>
          <w:b/>
        </w:rPr>
      </w:pPr>
      <w:r>
        <w:rPr>
          <w:rFonts w:ascii="Arial" w:hAnsi="Arial" w:cs="Arial"/>
          <w:noProof/>
          <w:lang w:val="en-PH" w:eastAsia="en-PH"/>
        </w:rPr>
        <mc:AlternateContent>
          <mc:Choice Requires="wps">
            <w:drawing>
              <wp:anchor distT="0" distB="0" distL="114300" distR="114300" simplePos="0" relativeHeight="251720704" behindDoc="1" locked="0" layoutInCell="1" allowOverlap="1">
                <wp:simplePos x="0" y="0"/>
                <wp:positionH relativeFrom="column">
                  <wp:posOffset>1774825</wp:posOffset>
                </wp:positionH>
                <wp:positionV relativeFrom="paragraph">
                  <wp:posOffset>215900</wp:posOffset>
                </wp:positionV>
                <wp:extent cx="2190465" cy="1279525"/>
                <wp:effectExtent l="0" t="0" r="19685" b="15875"/>
                <wp:wrapNone/>
                <wp:docPr id="52" name="Rectangle 52"/>
                <wp:cNvGraphicFramePr/>
                <a:graphic xmlns:a="http://schemas.openxmlformats.org/drawingml/2006/main">
                  <a:graphicData uri="http://schemas.microsoft.com/office/word/2010/wordprocessingShape">
                    <wps:wsp>
                      <wps:cNvSpPr/>
                      <wps:spPr>
                        <a:xfrm>
                          <a:off x="0" y="0"/>
                          <a:ext cx="2190465" cy="1279525"/>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pPr>
                              <w:spacing w:after="0"/>
                              <w:jc w:val="center"/>
                              <w:rPr>
                                <w:rFonts w:ascii="Arial" w:hAnsi="Arial" w:cs="Arial"/>
                              </w:rPr>
                            </w:pPr>
                            <w:r>
                              <w:rPr>
                                <w:rFonts w:ascii="Arial" w:hAnsi="Arial" w:cs="Arial"/>
                              </w:rPr>
                              <w:t>Challenges Indigenizing English through Technology – Supported Tasks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9" style="position:absolute;left:0;text-align:left;margin-left:139.75pt;margin-top:17pt;width:172.5pt;height:100.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" filled="f" strokecolor="black [3200]" strokeweight="1.5pt">
                <v:stroke joinstyle="round"/>
                <v:textbox>
                  <w:txbxContent>
                    <w:p>
                      <w:pPr>
                        <w:spacing w:after="0"/>
                        <w:jc w:val="center"/>
                        <w:rPr>
                          <w:rFonts w:ascii="Arial" w:hAnsi="Arial" w:cs="Arial"/>
                        </w:rPr>
                      </w:pPr>
                      <w:r>
                        <w:rPr>
                          <w:rFonts w:ascii="Arial" w:hAnsi="Arial" w:cs="Arial"/>
                        </w:rPr>
                        <w:t>Challenges Indigenizing English through Technology – Supported Tasks</w:t>
                      </w:r>
                    </w:p>
                  </w:txbxContent>
                </v:textbox>
              </v:rect>
            </w:pict>
          </mc:Fallback>
        </mc:AlternateContent>
      </w:r>
    </w:p>
    <w:p>
      <w:pPr>
        <w:jc w:val="center"/>
        <w:rPr>
          <w:rFonts w:ascii="Arial" w:hAnsi="Arial" w:cs="Arial"/>
          <w:b/>
        </w:rPr>
      </w:pPr>
    </w:p>
    <w:p>
      <w:pPr>
        <w:jc w:val="center"/>
        <w:rPr>
          <w:rFonts w:ascii="Arial" w:hAnsi="Arial" w:cs="Arial"/>
          <w:b/>
        </w:rPr>
      </w:pPr>
    </w:p>
    <w:p>
      <w:pPr>
        <w:jc w:val="center"/>
        <w:rPr>
          <w:rFonts w:ascii="Arial" w:hAnsi="Arial" w:cs="Arial"/>
          <w:b/>
        </w:rPr>
      </w:pPr>
    </w:p>
    <w:p>
      <w:pPr>
        <w:jc w:val="center"/>
        <w:rPr>
          <w:rFonts w:ascii="Arial" w:hAnsi="Arial" w:cs="Arial"/>
          <w:b/>
        </w:rPr>
      </w:pPr>
      <w:r>
        <w:rPr>
          <w:rFonts w:ascii="Arial" w:hAnsi="Arial" w:cs="Arial"/>
          <w:noProof/>
          <w:lang w:val="en-PH" w:eastAsia="en-PH"/>
        </w:rPr>
        <mc:AlternateContent>
          <mc:Choice Requires="wps">
            <w:drawing>
              <wp:anchor distT="0" distB="0" distL="114300" distR="114300" simplePos="0" relativeHeight="251709440" behindDoc="0" locked="0" layoutInCell="1" allowOverlap="1">
                <wp:simplePos x="0" y="0"/>
                <wp:positionH relativeFrom="margin">
                  <wp:posOffset>2879725</wp:posOffset>
                </wp:positionH>
                <wp:positionV relativeFrom="paragraph">
                  <wp:posOffset>278130</wp:posOffset>
                </wp:positionV>
                <wp:extent cx="0" cy="309562"/>
                <wp:effectExtent l="76200" t="0" r="57150" b="52705"/>
                <wp:wrapNone/>
                <wp:docPr id="44" name="Straight Arrow Connector 44"/>
                <wp:cNvGraphicFramePr/>
                <a:graphic xmlns:a="http://schemas.openxmlformats.org/drawingml/2006/main">
                  <a:graphicData uri="http://schemas.microsoft.com/office/word/2010/wordprocessingShape">
                    <wps:wsp>
                      <wps:cNvCnPr/>
                      <wps:spPr>
                        <a:xfrm>
                          <a:off x="0" y="0"/>
                          <a:ext cx="0" cy="30956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id="_x0000_t32" coordsize="21600,21600" o:spt="32" o:oned="t" path="m,l21600,21600e" filled="f">
                <v:path arrowok="t" fillok="f" o:connecttype="none"/>
                <o:lock v:ext="edit" shapetype="t"/>
              </v:shapetype>
              <v:shape id="Straight Arrow Connector 44" o:spid="_x0000_s1026" type="#_x0000_t32" style="position:absolute;margin-left:226.75pt;margin-top:21.9pt;width:0;height:24.35pt;z-index:2517094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" strokecolor="black [3200]" strokeweight="1.5pt">
                <v:stroke endarrow="block" joinstyle="miter"/>
                <w10:wrap anchorx="margin"/>
              </v:shape>
            </w:pict>
          </mc:Fallback>
        </mc:AlternateContent>
      </w:r>
    </w:p>
    <w:p>
      <w:pPr>
        <w:jc w:val="center"/>
        <w:rPr>
          <w:rFonts w:ascii="Arial" w:hAnsi="Arial" w:cs="Arial"/>
          <w:b/>
        </w:rPr>
      </w:pPr>
    </w:p>
    <w:p>
      <w:pPr>
        <w:jc w:val="center"/>
        <w:rPr>
          <w:rFonts w:ascii="Arial" w:hAnsi="Arial" w:cs="Arial"/>
          <w:b/>
        </w:rPr>
      </w:pPr>
      <w:r>
        <w:rPr>
          <w:rFonts w:ascii="Arial" w:hAnsi="Arial" w:cs="Arial"/>
          <w:noProof/>
          <w:lang w:val="en-PH" w:eastAsia="en-PH"/>
        </w:rPr>
        <mc:AlternateContent>
          <mc:Choice Requires="wps">
            <w:drawing>
              <wp:anchor distT="0" distB="0" distL="114300" distR="114300" simplePos="0" relativeHeight="251722752" behindDoc="1" locked="0" layoutInCell="1" allowOverlap="1">
                <wp:simplePos x="0" y="0"/>
                <wp:positionH relativeFrom="column">
                  <wp:posOffset>1784294</wp:posOffset>
                </wp:positionH>
                <wp:positionV relativeFrom="paragraph">
                  <wp:posOffset>26979</wp:posOffset>
                </wp:positionV>
                <wp:extent cx="2190465" cy="1327094"/>
                <wp:effectExtent l="0" t="0" r="19685" b="26035"/>
                <wp:wrapNone/>
                <wp:docPr id="53" name="Rectangle 53"/>
                <wp:cNvGraphicFramePr/>
                <a:graphic xmlns:a="http://schemas.openxmlformats.org/drawingml/2006/main">
                  <a:graphicData uri="http://schemas.microsoft.com/office/word/2010/wordprocessingShape">
                    <wps:wsp>
                      <wps:cNvSpPr/>
                      <wps:spPr>
                        <a:xfrm>
                          <a:off x="0" y="0"/>
                          <a:ext cx="2190465" cy="1327094"/>
                        </a:xfrm>
                        <a:prstGeom prst="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pPr>
                              <w:spacing w:after="0"/>
                              <w:jc w:val="center"/>
                              <w:rPr>
                                <w:rFonts w:ascii="Arial" w:hAnsi="Arial" w:cs="Arial"/>
                              </w:rPr>
                            </w:pPr>
                            <w:r>
                              <w:rPr>
                                <w:rFonts w:ascii="Arial" w:hAnsi="Arial" w:cs="Arial"/>
                              </w:rPr>
                              <w:t>PICRAT-Guided Transformative Technology Integration Program for English Teachers in Indigenous Peoples Education (IPEd).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30" style="position:absolute;left:0;text-align:left;margin-left:140.5pt;margin-top:2.1pt;width:172.5pt;height:104.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" filled="f" strokecolor="black [3200]" strokeweight="1.5pt">
                <v:stroke joinstyle="round"/>
                <v:textbox>
                  <w:txbxContent>
                    <w:p>
                      <w:pPr>
                        <w:spacing w:after="0"/>
                        <w:jc w:val="center"/>
                        <w:rPr>
                          <w:rFonts w:ascii="Arial" w:hAnsi="Arial" w:cs="Arial"/>
                        </w:rPr>
                      </w:pPr>
                      <w:r>
                        <w:rPr>
                          <w:rFonts w:ascii="Arial" w:hAnsi="Arial" w:cs="Arial"/>
                        </w:rPr>
                        <w:t>PICRAT-Guided Transformative Technology Integration Program for English Teachers in Indigenous Peoples Education (IPEd).</w:t>
                      </w:r>
                    </w:p>
                  </w:txbxContent>
                </v:textbox>
              </v:rect>
            </w:pict>
          </mc:Fallback>
        </mc:AlternateContent>
      </w:r>
    </w:p>
    <w:p>
      <w:pPr>
        <w:jc w:val="center"/>
        <w:rPr>
          <w:rFonts w:ascii="Arial" w:hAnsi="Arial" w:cs="Arial"/>
          <w:b/>
        </w:rPr>
      </w:pPr>
    </w:p>
    <w:p>
      <w:pPr>
        <w:jc w:val="center"/>
        <w:rPr>
          <w:rFonts w:ascii="Arial" w:hAnsi="Arial" w:cs="Arial"/>
          <w:b/>
        </w:rPr>
      </w:pPr>
    </w:p>
    <w:p>
      <w:pPr>
        <w:jc w:val="center"/>
        <w:rPr>
          <w:rFonts w:ascii="Arial" w:hAnsi="Arial" w:cs="Arial"/>
          <w:b/>
        </w:rPr>
      </w:pPr>
    </w:p>
    <w:p>
      <w:pPr>
        <w:jc w:val="center"/>
        <w:rPr>
          <w:rFonts w:ascii="Arial" w:hAnsi="Arial" w:cs="Arial"/>
          <w:b/>
        </w:rPr>
      </w:pPr>
    </w:p>
    <w:p>
      <w:pPr>
        <w:jc w:val="center"/>
        <w:rPr>
          <w:rFonts w:ascii="Arial" w:hAnsi="Arial" w:cs="Arial"/>
          <w:b/>
        </w:rPr>
      </w:pPr>
    </w:p>
    <w:p>
      <w:pPr>
        <w:jc w:val="center"/>
        <w:rPr>
          <w:rFonts w:ascii="Arial" w:hAnsi="Arial" w:cs="Arial"/>
          <w:b/>
        </w:rPr>
      </w:pPr>
      <w:r>
        <w:rPr>
          <w:rFonts w:ascii="Arial" w:hAnsi="Arial" w:cs="Arial"/>
          <w:b/>
        </w:rPr>
        <w:t xml:space="preserve">            Figure 1. </w:t>
      </w:r>
      <w:r>
        <w:rPr>
          <w:rFonts w:ascii="Arial" w:hAnsi="Arial" w:cs="Arial"/>
          <w:bCs/>
          <w:i/>
        </w:rPr>
        <w:t>Schematic Diagram of the Study</w:t>
      </w:r>
    </w:p>
    <w:p>
      <w:pPr>
        <w:spacing w:line="480" w:lineRule="auto"/>
        <w:jc w:val="both"/>
        <w:rPr>
          <w:rFonts w:ascii="Arial" w:hAnsi="Arial" w:cs="Arial"/>
        </w:rPr>
      </w:pPr>
      <w:r>
        <w:rPr>
          <w:rFonts w:ascii="Arial" w:hAnsi="Arial" w:cs="Arial"/>
        </w:rPr>
        <w:lastRenderedPageBreak/>
        <w:tab/>
        <w:t>The schematic diagram of the study, which follows the Input–Process–Output (IPO) model guided by the PICRAT framework to illustrates the relationships among the variables. The input component consists of teachers’ levels of competence in integrating technology in English classes, which includes PICRAT-based pedagogical knowledge, cultural responsiveness and contextualization, technology knowledge and adaptive proficiency, access to technological resources, and reflective teaching practice. It also includes learners’ technology-supported engagement on the learner side of PICRAT, encompassing passive, interactive, collaborative, creative, and reflective forms of engagement, as well as teachers’ technology integration practices on the teacher side of PICRAT, which are categorized as replacement, amplification, and transformation. In addition, the input component accounts for the challenges encountered by teachers in indigenizing English instruction through technology-supported tasks, such as limitations in resources, connectivity, cultural appropriateness, and teacher preparedness. These input variables represent the instructional, learner-related, and contextual conditions that influence how technology is integrated in IPEd English classrooms.</w:t>
      </w:r>
    </w:p>
    <w:p>
      <w:pPr>
        <w:spacing w:line="480" w:lineRule="auto"/>
        <w:jc w:val="both"/>
        <w:rPr>
          <w:rFonts w:ascii="Arial" w:hAnsi="Arial" w:cs="Arial"/>
        </w:rPr>
      </w:pPr>
      <w:r>
        <w:rPr>
          <w:rFonts w:ascii="Arial" w:hAnsi="Arial" w:cs="Arial"/>
        </w:rPr>
        <w:tab/>
        <w:t xml:space="preserve">The process component of the framework describes how the input variables are examined and analysed in the study. This involves the collection of quantitative data through validated survey questionnaires administered to English teachers in IPEd schools, followed by the use of appropriate descriptive and correlational statistical techniques to determine the levels of teachers’ competence, learner </w:t>
      </w:r>
      <w:r>
        <w:rPr>
          <w:rFonts w:ascii="Arial" w:hAnsi="Arial" w:cs="Arial"/>
        </w:rPr>
        <w:lastRenderedPageBreak/>
        <w:t>engagement, and technology integration practices, as well as the extent of challenges encountered. Through this process, the study examines the relationships among teacher competence, instructional practices, learner engagement, RAT-level technology use, and contextual challenges, allowing for the identification of patterns and predictive relationships that explain the depth and quality of technology integration in ELT.</w:t>
      </w:r>
    </w:p>
    <w:p>
      <w:pPr>
        <w:spacing w:line="480" w:lineRule="auto"/>
        <w:jc w:val="both"/>
        <w:rPr>
          <w:rFonts w:ascii="Arial" w:hAnsi="Arial" w:cs="Arial"/>
        </w:rPr>
      </w:pPr>
      <w:r>
        <w:rPr>
          <w:rFonts w:ascii="Arial" w:hAnsi="Arial" w:cs="Arial"/>
        </w:rPr>
        <w:tab/>
        <w:t>The output component of the framework is the development of a PICRAT-Guided Transformative Technology Integration Program for English Teachers in Indigenous Peoples Education (IPEd). This intervention program is derived directly from the findings of the study and is intended to enhance teachers’ competence in integrating technology, promote higher levels of learner engagement, particularly interactive and creative engagement, support the progression from replacement-level to amplification- and transformation-level technology use, and address the contextual and cultural challenges faced by teachers in indigenizing English instruction through technology. The output serves as a practical and adaptable guide for improving technology-supported English Language Teaching in IPEd classrooms and aligns with the Department of Education’s mandate for culturally responsive, inclusive, and equitable education.</w:t>
      </w:r>
    </w:p>
    <w:p>
      <w:pPr>
        <w:spacing w:line="480" w:lineRule="auto"/>
        <w:jc w:val="both"/>
        <w:rPr>
          <w:rFonts w:ascii="Arial" w:hAnsi="Arial" w:cs="Arial"/>
          <w:b/>
        </w:rPr>
      </w:pPr>
      <w:r>
        <w:rPr>
          <w:rFonts w:ascii="Arial" w:hAnsi="Arial" w:cs="Arial"/>
          <w:b/>
        </w:rPr>
        <w:t>Statement of the Problem</w:t>
      </w:r>
    </w:p>
    <w:p>
      <w:pPr>
        <w:spacing w:line="480" w:lineRule="auto"/>
        <w:jc w:val="both"/>
        <w:rPr>
          <w:rFonts w:ascii="Arial" w:hAnsi="Arial" w:cs="Arial"/>
        </w:rPr>
      </w:pPr>
      <w:r>
        <w:rPr>
          <w:rFonts w:ascii="Arial" w:hAnsi="Arial" w:cs="Arial"/>
        </w:rPr>
        <w:tab/>
        <w:t xml:space="preserve">This study examines how teachers in Indigenous Peoples Education (IPEd) classrooms integrate technology in English Language Teaching (ELT) through the </w:t>
      </w:r>
      <w:r>
        <w:rPr>
          <w:rFonts w:ascii="Arial" w:hAnsi="Arial" w:cs="Arial"/>
        </w:rPr>
        <w:lastRenderedPageBreak/>
        <w:t>PICRAT model. It investigates teachers’ competence in technology integration, their instructional practices, the extent of technology-supported learner engagement, and the challenges that influence technology use in Indigenous English classrooms.</w:t>
      </w:r>
    </w:p>
    <w:p>
      <w:pPr>
        <w:spacing w:line="480" w:lineRule="auto"/>
        <w:jc w:val="both"/>
        <w:rPr>
          <w:rFonts w:ascii="Arial" w:hAnsi="Arial" w:cs="Arial"/>
        </w:rPr>
      </w:pPr>
      <w:r>
        <w:rPr>
          <w:rFonts w:ascii="Arial" w:hAnsi="Arial" w:cs="Arial"/>
        </w:rPr>
        <w:tab/>
        <w:t>Specifically, this study seeks to answer the following questions:</w:t>
      </w:r>
    </w:p>
    <w:p>
      <w:pPr>
        <w:spacing w:line="480" w:lineRule="auto"/>
        <w:jc w:val="both"/>
        <w:rPr>
          <w:rFonts w:ascii="Arial" w:hAnsi="Arial" w:cs="Arial"/>
        </w:rPr>
      </w:pPr>
      <w:r>
        <w:rPr>
          <w:rFonts w:ascii="Arial" w:hAnsi="Arial" w:cs="Arial"/>
        </w:rPr>
        <w:t>1. What is the level of teachers’ competence in integrating technology in English instruction with Indigenous Peoples learners in terms of:</w:t>
      </w:r>
    </w:p>
    <w:p>
      <w:pPr>
        <w:spacing w:line="480" w:lineRule="auto"/>
        <w:jc w:val="both"/>
        <w:rPr>
          <w:rFonts w:ascii="Arial" w:hAnsi="Arial" w:cs="Arial"/>
        </w:rPr>
      </w:pPr>
      <w:r>
        <w:rPr>
          <w:rFonts w:ascii="Arial" w:hAnsi="Arial" w:cs="Arial"/>
        </w:rPr>
        <w:tab/>
        <w:t>1.1 PICRAT-based pedagogical knowledge;</w:t>
      </w:r>
    </w:p>
    <w:p>
      <w:pPr>
        <w:spacing w:line="480" w:lineRule="auto"/>
        <w:jc w:val="both"/>
        <w:rPr>
          <w:rFonts w:ascii="Arial" w:hAnsi="Arial" w:cs="Arial"/>
        </w:rPr>
      </w:pPr>
      <w:r>
        <w:rPr>
          <w:rFonts w:ascii="Arial" w:hAnsi="Arial" w:cs="Arial"/>
        </w:rPr>
        <w:tab/>
        <w:t>1.2 Cultural responsiveness and contextualization;</w:t>
      </w:r>
    </w:p>
    <w:p>
      <w:pPr>
        <w:spacing w:line="480" w:lineRule="auto"/>
        <w:jc w:val="both"/>
        <w:rPr>
          <w:rFonts w:ascii="Arial" w:hAnsi="Arial" w:cs="Arial"/>
        </w:rPr>
      </w:pPr>
      <w:r>
        <w:rPr>
          <w:rFonts w:ascii="Arial" w:hAnsi="Arial" w:cs="Arial"/>
        </w:rPr>
        <w:tab/>
        <w:t>1.3 Technology knowledge and adaptive proficiency;</w:t>
      </w:r>
    </w:p>
    <w:p>
      <w:pPr>
        <w:spacing w:line="480" w:lineRule="auto"/>
        <w:jc w:val="both"/>
        <w:rPr>
          <w:rFonts w:ascii="Arial" w:hAnsi="Arial" w:cs="Arial"/>
        </w:rPr>
      </w:pPr>
      <w:r>
        <w:rPr>
          <w:rFonts w:ascii="Arial" w:hAnsi="Arial" w:cs="Arial"/>
        </w:rPr>
        <w:tab/>
        <w:t>1.4 Access to technological resources; and</w:t>
      </w:r>
    </w:p>
    <w:p>
      <w:pPr>
        <w:spacing w:line="480" w:lineRule="auto"/>
        <w:jc w:val="both"/>
        <w:rPr>
          <w:rFonts w:ascii="Arial" w:hAnsi="Arial" w:cs="Arial"/>
        </w:rPr>
      </w:pPr>
      <w:r>
        <w:rPr>
          <w:rFonts w:ascii="Arial" w:hAnsi="Arial" w:cs="Arial"/>
        </w:rPr>
        <w:tab/>
        <w:t>1.5 Reflective teaching practice?</w:t>
      </w:r>
    </w:p>
    <w:p>
      <w:pPr>
        <w:spacing w:line="480" w:lineRule="auto"/>
        <w:jc w:val="both"/>
        <w:rPr>
          <w:rFonts w:ascii="Arial" w:hAnsi="Arial" w:cs="Arial"/>
        </w:rPr>
      </w:pPr>
      <w:r>
        <w:rPr>
          <w:rFonts w:ascii="Arial" w:hAnsi="Arial" w:cs="Arial"/>
        </w:rPr>
        <w:t>2. What is the extent of technology-supported learner engagement among Indigenous Peoples learners in English lessons in terms of:</w:t>
      </w:r>
    </w:p>
    <w:p>
      <w:pPr>
        <w:spacing w:line="480" w:lineRule="auto"/>
        <w:jc w:val="both"/>
        <w:rPr>
          <w:rFonts w:ascii="Arial" w:hAnsi="Arial" w:cs="Arial"/>
        </w:rPr>
      </w:pPr>
      <w:r>
        <w:rPr>
          <w:rFonts w:ascii="Arial" w:hAnsi="Arial" w:cs="Arial"/>
        </w:rPr>
        <w:tab/>
        <w:t>2.1 Passive engagement;</w:t>
      </w:r>
    </w:p>
    <w:p>
      <w:pPr>
        <w:spacing w:line="480" w:lineRule="auto"/>
        <w:jc w:val="both"/>
        <w:rPr>
          <w:rFonts w:ascii="Arial" w:hAnsi="Arial" w:cs="Arial"/>
        </w:rPr>
      </w:pPr>
      <w:r>
        <w:rPr>
          <w:rFonts w:ascii="Arial" w:hAnsi="Arial" w:cs="Arial"/>
        </w:rPr>
        <w:tab/>
        <w:t>2.2 Interactive engagement;</w:t>
      </w:r>
    </w:p>
    <w:p>
      <w:pPr>
        <w:spacing w:line="480" w:lineRule="auto"/>
        <w:jc w:val="both"/>
        <w:rPr>
          <w:rFonts w:ascii="Arial" w:hAnsi="Arial" w:cs="Arial"/>
        </w:rPr>
      </w:pPr>
      <w:r>
        <w:rPr>
          <w:rFonts w:ascii="Arial" w:hAnsi="Arial" w:cs="Arial"/>
        </w:rPr>
        <w:tab/>
        <w:t>2.3 Collaborative engagement;</w:t>
      </w:r>
    </w:p>
    <w:p>
      <w:pPr>
        <w:spacing w:line="480" w:lineRule="auto"/>
        <w:jc w:val="both"/>
        <w:rPr>
          <w:rFonts w:ascii="Arial" w:hAnsi="Arial" w:cs="Arial"/>
        </w:rPr>
      </w:pPr>
      <w:r>
        <w:rPr>
          <w:rFonts w:ascii="Arial" w:hAnsi="Arial" w:cs="Arial"/>
        </w:rPr>
        <w:tab/>
        <w:t>2.4 Creative engagement; and</w:t>
      </w:r>
    </w:p>
    <w:p>
      <w:pPr>
        <w:spacing w:line="480" w:lineRule="auto"/>
        <w:jc w:val="both"/>
        <w:rPr>
          <w:rFonts w:ascii="Arial" w:hAnsi="Arial" w:cs="Arial"/>
        </w:rPr>
      </w:pPr>
      <w:r>
        <w:rPr>
          <w:rFonts w:ascii="Arial" w:hAnsi="Arial" w:cs="Arial"/>
        </w:rPr>
        <w:lastRenderedPageBreak/>
        <w:tab/>
        <w:t>2.5 Reflective or metacognitive engagement?</w:t>
      </w:r>
    </w:p>
    <w:p>
      <w:pPr>
        <w:spacing w:line="480" w:lineRule="auto"/>
        <w:jc w:val="both"/>
        <w:rPr>
          <w:rFonts w:ascii="Arial" w:hAnsi="Arial" w:cs="Arial"/>
        </w:rPr>
      </w:pPr>
      <w:r>
        <w:rPr>
          <w:rFonts w:ascii="Arial" w:hAnsi="Arial" w:cs="Arial"/>
        </w:rPr>
        <w:t>3. What is the level of teachers’ technology integration practices in teaching English in IPEd classrooms based on PICRAT-aligned instructional processes in terms of:</w:t>
      </w:r>
    </w:p>
    <w:p>
      <w:pPr>
        <w:spacing w:line="480" w:lineRule="auto"/>
        <w:jc w:val="both"/>
        <w:rPr>
          <w:rFonts w:ascii="Arial" w:hAnsi="Arial" w:cs="Arial"/>
        </w:rPr>
      </w:pPr>
      <w:r>
        <w:rPr>
          <w:rFonts w:ascii="Arial" w:hAnsi="Arial" w:cs="Arial"/>
        </w:rPr>
        <w:tab/>
        <w:t>3.1 Active knowledge-building facilitation;</w:t>
      </w:r>
    </w:p>
    <w:p>
      <w:pPr>
        <w:spacing w:line="480" w:lineRule="auto"/>
        <w:jc w:val="both"/>
        <w:rPr>
          <w:rFonts w:ascii="Arial" w:hAnsi="Arial" w:cs="Arial"/>
        </w:rPr>
      </w:pPr>
      <w:r>
        <w:rPr>
          <w:rFonts w:ascii="Arial" w:hAnsi="Arial" w:cs="Arial"/>
        </w:rPr>
        <w:tab/>
        <w:t>3.2 Activation and linking of prior knowledge;</w:t>
      </w:r>
    </w:p>
    <w:p>
      <w:pPr>
        <w:spacing w:line="480" w:lineRule="auto"/>
        <w:jc w:val="both"/>
        <w:rPr>
          <w:rFonts w:ascii="Arial" w:hAnsi="Arial" w:cs="Arial"/>
        </w:rPr>
      </w:pPr>
      <w:r>
        <w:rPr>
          <w:rFonts w:ascii="Arial" w:hAnsi="Arial" w:cs="Arial"/>
        </w:rPr>
        <w:tab/>
        <w:t>3.3 Inquiry and problem-solving support;</w:t>
      </w:r>
    </w:p>
    <w:p>
      <w:pPr>
        <w:spacing w:line="480" w:lineRule="auto"/>
        <w:jc w:val="both"/>
        <w:rPr>
          <w:rFonts w:ascii="Arial" w:hAnsi="Arial" w:cs="Arial"/>
        </w:rPr>
      </w:pPr>
      <w:r>
        <w:rPr>
          <w:rFonts w:ascii="Arial" w:hAnsi="Arial" w:cs="Arial"/>
        </w:rPr>
        <w:tab/>
        <w:t>3.4 Technology-mediated dialogue and collaboration; and</w:t>
      </w:r>
    </w:p>
    <w:p>
      <w:pPr>
        <w:spacing w:line="480" w:lineRule="auto"/>
        <w:jc w:val="both"/>
        <w:rPr>
          <w:rFonts w:ascii="Arial" w:hAnsi="Arial" w:cs="Arial"/>
        </w:rPr>
      </w:pPr>
      <w:r>
        <w:rPr>
          <w:rFonts w:ascii="Arial" w:hAnsi="Arial" w:cs="Arial"/>
        </w:rPr>
        <w:tab/>
        <w:t>3.5 Culturally responsive task design and scaffolding?</w:t>
      </w:r>
    </w:p>
    <w:p>
      <w:pPr>
        <w:spacing w:line="480" w:lineRule="auto"/>
        <w:jc w:val="both"/>
        <w:rPr>
          <w:rFonts w:ascii="Arial" w:hAnsi="Arial" w:cs="Arial"/>
        </w:rPr>
      </w:pPr>
      <w:r>
        <w:rPr>
          <w:rFonts w:ascii="Arial" w:hAnsi="Arial" w:cs="Arial"/>
        </w:rPr>
        <w:t>4. To what extent do teachers’ uses of technology in English instruction reflect the RAT dimensions of:</w:t>
      </w:r>
    </w:p>
    <w:p>
      <w:pPr>
        <w:spacing w:line="480" w:lineRule="auto"/>
        <w:jc w:val="both"/>
        <w:rPr>
          <w:rFonts w:ascii="Arial" w:hAnsi="Arial" w:cs="Arial"/>
        </w:rPr>
      </w:pPr>
      <w:r>
        <w:rPr>
          <w:rFonts w:ascii="Arial" w:hAnsi="Arial" w:cs="Arial"/>
        </w:rPr>
        <w:tab/>
        <w:t>4.1 Replacement;</w:t>
      </w:r>
    </w:p>
    <w:p>
      <w:pPr>
        <w:spacing w:line="480" w:lineRule="auto"/>
        <w:jc w:val="both"/>
        <w:rPr>
          <w:rFonts w:ascii="Arial" w:hAnsi="Arial" w:cs="Arial"/>
        </w:rPr>
      </w:pPr>
      <w:r>
        <w:rPr>
          <w:rFonts w:ascii="Arial" w:hAnsi="Arial" w:cs="Arial"/>
        </w:rPr>
        <w:tab/>
        <w:t>4.2 Amplification; and</w:t>
      </w:r>
    </w:p>
    <w:p>
      <w:pPr>
        <w:spacing w:line="480" w:lineRule="auto"/>
        <w:jc w:val="both"/>
        <w:rPr>
          <w:rFonts w:ascii="Arial" w:hAnsi="Arial" w:cs="Arial"/>
        </w:rPr>
      </w:pPr>
      <w:r>
        <w:rPr>
          <w:rFonts w:ascii="Arial" w:hAnsi="Arial" w:cs="Arial"/>
        </w:rPr>
        <w:tab/>
        <w:t>4.3 Transformation?</w:t>
      </w:r>
    </w:p>
    <w:p>
      <w:pPr>
        <w:spacing w:line="480" w:lineRule="auto"/>
        <w:jc w:val="both"/>
        <w:rPr>
          <w:rFonts w:ascii="Arial" w:hAnsi="Arial" w:cs="Arial"/>
        </w:rPr>
      </w:pPr>
      <w:r>
        <w:rPr>
          <w:rFonts w:ascii="Arial" w:hAnsi="Arial" w:cs="Arial"/>
        </w:rPr>
        <w:t>5. What is the extent of challenges encountered by teachers in indigenizing English learning through technology-supported tasks that promote thinking, reflection, and culturally responsive engagement?</w:t>
      </w:r>
    </w:p>
    <w:p>
      <w:pPr>
        <w:spacing w:line="480" w:lineRule="auto"/>
        <w:jc w:val="both"/>
        <w:rPr>
          <w:rFonts w:ascii="Arial" w:hAnsi="Arial" w:cs="Arial"/>
        </w:rPr>
      </w:pPr>
      <w:r>
        <w:rPr>
          <w:rFonts w:ascii="Arial" w:hAnsi="Arial" w:cs="Arial"/>
        </w:rPr>
        <w:lastRenderedPageBreak/>
        <w:t>6. Is there a significant relationship between teachers’ competence in integrating technology and their level of technology integration practices in teaching English?</w:t>
      </w:r>
    </w:p>
    <w:p>
      <w:pPr>
        <w:spacing w:line="480" w:lineRule="auto"/>
        <w:jc w:val="both"/>
        <w:rPr>
          <w:rFonts w:ascii="Arial" w:hAnsi="Arial" w:cs="Arial"/>
        </w:rPr>
      </w:pPr>
      <w:r>
        <w:rPr>
          <w:rFonts w:ascii="Arial" w:hAnsi="Arial" w:cs="Arial"/>
        </w:rPr>
        <w:t>7. Is there a significant relationship between teachers’ level of technology integration and learners’ level of technology-supported engagement?</w:t>
      </w:r>
    </w:p>
    <w:p>
      <w:pPr>
        <w:spacing w:line="480" w:lineRule="auto"/>
        <w:jc w:val="both"/>
        <w:rPr>
          <w:rFonts w:ascii="Arial" w:hAnsi="Arial" w:cs="Arial"/>
        </w:rPr>
      </w:pPr>
      <w:r>
        <w:rPr>
          <w:rFonts w:ascii="Arial" w:hAnsi="Arial" w:cs="Arial"/>
        </w:rPr>
        <w:t>8. Which among teacher competence, learner engagement, and teachers’ technology integration practices significantly predicts teachers’ RAT-level technology use in English instruction?</w:t>
      </w:r>
    </w:p>
    <w:p>
      <w:pPr>
        <w:spacing w:line="480" w:lineRule="auto"/>
        <w:jc w:val="both"/>
        <w:rPr>
          <w:rFonts w:ascii="Arial" w:hAnsi="Arial" w:cs="Arial"/>
        </w:rPr>
      </w:pPr>
      <w:r>
        <w:rPr>
          <w:rFonts w:ascii="Arial" w:hAnsi="Arial" w:cs="Arial"/>
        </w:rPr>
        <w:t>9. Is there a significant relationship between the extent of challenges encountered and the extent of teachers’ technology integration and learner engagement?</w:t>
      </w:r>
    </w:p>
    <w:p>
      <w:pPr>
        <w:spacing w:line="480" w:lineRule="auto"/>
        <w:jc w:val="both"/>
        <w:rPr>
          <w:rFonts w:ascii="Arial" w:hAnsi="Arial" w:cs="Arial"/>
        </w:rPr>
      </w:pPr>
      <w:r>
        <w:rPr>
          <w:rFonts w:ascii="Arial" w:hAnsi="Arial" w:cs="Arial"/>
        </w:rPr>
        <w:t>10. What intervention program may be proposed based on the results of the study?</w:t>
      </w:r>
    </w:p>
    <w:p>
      <w:pPr>
        <w:spacing w:line="480" w:lineRule="auto"/>
        <w:jc w:val="both"/>
        <w:rPr>
          <w:rFonts w:ascii="Arial" w:hAnsi="Arial" w:cs="Arial"/>
          <w:b/>
        </w:rPr>
      </w:pPr>
      <w:r>
        <w:rPr>
          <w:rFonts w:ascii="Arial" w:hAnsi="Arial" w:cs="Arial"/>
          <w:b/>
        </w:rPr>
        <w:t>Hypotheses</w:t>
      </w:r>
    </w:p>
    <w:p>
      <w:pPr>
        <w:spacing w:line="480" w:lineRule="auto"/>
        <w:jc w:val="both"/>
        <w:rPr>
          <w:rFonts w:ascii="Arial" w:hAnsi="Arial" w:cs="Arial"/>
        </w:rPr>
      </w:pPr>
      <w:r>
        <w:rPr>
          <w:rFonts w:ascii="Arial" w:hAnsi="Arial" w:cs="Arial"/>
          <w:b/>
        </w:rPr>
        <w:tab/>
      </w:r>
      <w:r>
        <w:rPr>
          <w:rFonts w:ascii="Arial" w:hAnsi="Arial" w:cs="Arial"/>
        </w:rPr>
        <w:t>The following null hypotheses are formulated and tested at the 0.05 level of significance:</w:t>
      </w:r>
    </w:p>
    <w:p>
      <w:pPr>
        <w:spacing w:line="480" w:lineRule="auto"/>
        <w:jc w:val="both"/>
        <w:rPr>
          <w:rFonts w:ascii="Arial" w:hAnsi="Arial" w:cs="Arial"/>
        </w:rPr>
      </w:pPr>
      <w:r>
        <w:rPr>
          <w:rFonts w:ascii="Arial" w:hAnsi="Arial" w:cs="Arial"/>
          <w:b/>
        </w:rPr>
        <w:t>H0</w:t>
      </w:r>
      <w:r>
        <w:rPr>
          <w:rFonts w:ascii="Arial" w:hAnsi="Arial" w:cs="Arial"/>
          <w:b/>
          <w:vertAlign w:val="subscript"/>
        </w:rPr>
        <w:t>1</w:t>
      </w:r>
      <w:r>
        <w:rPr>
          <w:rFonts w:ascii="Arial" w:hAnsi="Arial" w:cs="Arial"/>
          <w:b/>
        </w:rPr>
        <w:t xml:space="preserve">: </w:t>
      </w:r>
      <w:r>
        <w:rPr>
          <w:rFonts w:ascii="Arial" w:hAnsi="Arial" w:cs="Arial"/>
        </w:rPr>
        <w:t>There is no significant relationship between teachers’ competence in integrating technology and their level of technology integration practices in teaching English.</w:t>
      </w:r>
    </w:p>
    <w:p>
      <w:pPr>
        <w:spacing w:line="480" w:lineRule="auto"/>
        <w:jc w:val="both"/>
        <w:rPr>
          <w:rFonts w:ascii="Arial" w:hAnsi="Arial" w:cs="Arial"/>
        </w:rPr>
      </w:pPr>
      <w:r>
        <w:rPr>
          <w:rFonts w:ascii="Arial" w:hAnsi="Arial" w:cs="Arial"/>
          <w:b/>
        </w:rPr>
        <w:t>H0</w:t>
      </w:r>
      <w:r>
        <w:rPr>
          <w:rFonts w:ascii="Arial" w:hAnsi="Arial" w:cs="Arial"/>
          <w:b/>
          <w:vertAlign w:val="subscript"/>
        </w:rPr>
        <w:t>2</w:t>
      </w:r>
      <w:r>
        <w:rPr>
          <w:rFonts w:ascii="Arial" w:hAnsi="Arial" w:cs="Arial"/>
          <w:b/>
        </w:rPr>
        <w:t xml:space="preserve">: </w:t>
      </w:r>
      <w:r>
        <w:rPr>
          <w:rFonts w:ascii="Arial" w:hAnsi="Arial" w:cs="Arial"/>
        </w:rPr>
        <w:t xml:space="preserve">There is no significant relationship between teachers’ level of technology integration and learners’ level of technology-supported engagement. </w:t>
      </w:r>
    </w:p>
    <w:p>
      <w:pPr>
        <w:spacing w:line="480" w:lineRule="auto"/>
        <w:jc w:val="both"/>
        <w:rPr>
          <w:rFonts w:ascii="Arial" w:hAnsi="Arial" w:cs="Arial"/>
          <w:b/>
        </w:rPr>
      </w:pPr>
    </w:p>
    <w:p>
      <w:pPr>
        <w:spacing w:line="480" w:lineRule="auto"/>
        <w:jc w:val="both"/>
        <w:rPr>
          <w:rFonts w:ascii="Arial" w:hAnsi="Arial" w:cs="Arial"/>
        </w:rPr>
      </w:pPr>
      <w:r>
        <w:rPr>
          <w:rFonts w:ascii="Arial" w:hAnsi="Arial" w:cs="Arial"/>
          <w:b/>
        </w:rPr>
        <w:lastRenderedPageBreak/>
        <w:t>H0</w:t>
      </w:r>
      <w:r>
        <w:rPr>
          <w:rFonts w:ascii="Arial" w:hAnsi="Arial" w:cs="Arial"/>
          <w:b/>
          <w:vertAlign w:val="subscript"/>
        </w:rPr>
        <w:t>3</w:t>
      </w:r>
      <w:r>
        <w:rPr>
          <w:rFonts w:ascii="Arial" w:hAnsi="Arial" w:cs="Arial"/>
          <w:b/>
        </w:rPr>
        <w:t xml:space="preserve">: </w:t>
      </w:r>
      <w:r>
        <w:rPr>
          <w:rFonts w:ascii="Arial" w:hAnsi="Arial" w:cs="Arial"/>
        </w:rPr>
        <w:t>There is no significant predictive influence of teachers’ competence, learner engagement, and instructional practices on teachers’ RAT-level technology use in English instruction.</w:t>
      </w:r>
    </w:p>
    <w:p>
      <w:pPr>
        <w:spacing w:line="480" w:lineRule="auto"/>
        <w:jc w:val="both"/>
        <w:rPr>
          <w:rFonts w:ascii="Arial" w:hAnsi="Arial" w:cs="Arial"/>
        </w:rPr>
      </w:pPr>
      <w:r>
        <w:rPr>
          <w:rFonts w:ascii="Arial" w:hAnsi="Arial" w:cs="Arial"/>
          <w:b/>
        </w:rPr>
        <w:t>H0</w:t>
      </w:r>
      <w:r>
        <w:rPr>
          <w:rFonts w:ascii="Arial" w:hAnsi="Arial" w:cs="Arial"/>
          <w:b/>
          <w:vertAlign w:val="subscript"/>
        </w:rPr>
        <w:t>4</w:t>
      </w:r>
      <w:r>
        <w:rPr>
          <w:rFonts w:ascii="Arial" w:hAnsi="Arial" w:cs="Arial"/>
          <w:b/>
        </w:rPr>
        <w:t xml:space="preserve">: </w:t>
      </w:r>
      <w:r>
        <w:rPr>
          <w:rFonts w:ascii="Arial" w:hAnsi="Arial" w:cs="Arial"/>
        </w:rPr>
        <w:t xml:space="preserve">There is no significant relationship between the extent of challenges encountered and the extent of teachers’ technology integration and learner </w:t>
      </w:r>
    </w:p>
    <w:p>
      <w:pPr>
        <w:rPr>
          <w:rFonts w:ascii="Arial" w:hAnsi="Arial" w:cs="Arial"/>
          <w:b/>
        </w:rPr>
      </w:pPr>
      <w:r>
        <w:rPr>
          <w:rFonts w:ascii="Arial" w:hAnsi="Arial" w:cs="Arial"/>
          <w:b/>
        </w:rPr>
        <w:t>Scope and Limitations of the Study</w:t>
      </w:r>
    </w:p>
    <w:p>
      <w:pPr>
        <w:spacing w:line="480" w:lineRule="auto"/>
        <w:jc w:val="both"/>
        <w:rPr>
          <w:rFonts w:ascii="Arial" w:hAnsi="Arial" w:cs="Arial"/>
        </w:rPr>
      </w:pPr>
      <w:r>
        <w:rPr>
          <w:rFonts w:ascii="Arial" w:hAnsi="Arial" w:cs="Arial"/>
          <w:b/>
        </w:rPr>
        <w:tab/>
      </w:r>
      <w:r>
        <w:rPr>
          <w:rFonts w:ascii="Arial" w:hAnsi="Arial" w:cs="Arial"/>
        </w:rPr>
        <w:t xml:space="preserve">This study examines how teachers in Indigenous Peoples Education (IPEd) classrooms under DepEd–Tandag District 2 integrate technology into English Language Teaching through the PICRAT model during the School Year 2025–2026. It covers English teachers assigned to selected IPEd schools in the district and investigates teachers’ competence in integrating technology, their instructional practices based on the PICRAT teacher dimension of Replacement, Amplification, and Transformation, and the extent of technology-supported learner engagement in terms of Passive, Interactive, Collaborative, Creative, and Reflective engagement. </w:t>
      </w:r>
    </w:p>
    <w:p>
      <w:pPr>
        <w:spacing w:line="480" w:lineRule="auto"/>
        <w:jc w:val="both"/>
        <w:rPr>
          <w:rFonts w:ascii="Arial" w:hAnsi="Arial" w:cs="Arial"/>
        </w:rPr>
      </w:pPr>
      <w:r>
        <w:rPr>
          <w:rFonts w:ascii="Arial" w:hAnsi="Arial" w:cs="Arial"/>
        </w:rPr>
        <w:tab/>
        <w:t>The study also identifies challenges teachers encounter in indigenizing English instruction through technology-supported tasks that promote thinking, reflection, and culturally responsive engagement. Data are gathered using a researcher-made, validated survey questionnaire and analysed using descriptive and correlational statistical techniques to determine levels, relationships, and predictive influences among the variables examined.</w:t>
      </w:r>
    </w:p>
    <w:p>
      <w:pPr>
        <w:spacing w:line="480" w:lineRule="auto"/>
        <w:jc w:val="both"/>
        <w:rPr>
          <w:rFonts w:ascii="Arial" w:hAnsi="Arial" w:cs="Arial"/>
        </w:rPr>
      </w:pPr>
      <w:r>
        <w:rPr>
          <w:rFonts w:ascii="Arial" w:hAnsi="Arial" w:cs="Arial"/>
        </w:rPr>
        <w:lastRenderedPageBreak/>
        <w:tab/>
        <w:t>The study is limited to English Language Teaching in IPEd classrooms and excludes other subject areas, grade levels, and non-IPEd schools within the district. It does not measure learners’ academic performance, language proficiency gains, or the effectiveness of the proposed intervention program, as the intervention is designed based on the findings rather than implemented or evaluated within the scope of this research. The findings are based primarily on self-reported data from teachers, which may be influenced by their perceptions, experiences, and familiarity with technology integration and the PICRAT framework. Contextual factors such as varying levels of access to digital devices, internet connectivity, and school-based support systems may also affect the extent and depth of observed technology integration. As such, the results reflect the instructional conditions of the participating IPEd schools and may not be generalizable to other educational contexts.</w:t>
      </w:r>
    </w:p>
    <w:p>
      <w:pPr>
        <w:spacing w:line="480" w:lineRule="auto"/>
        <w:jc w:val="both"/>
        <w:rPr>
          <w:rFonts w:ascii="Arial" w:hAnsi="Arial" w:cs="Arial"/>
          <w:b/>
        </w:rPr>
      </w:pPr>
      <w:r>
        <w:rPr>
          <w:rFonts w:ascii="Arial" w:hAnsi="Arial" w:cs="Arial"/>
          <w:b/>
        </w:rPr>
        <w:t>Significance of the Study</w:t>
      </w:r>
    </w:p>
    <w:p>
      <w:pPr>
        <w:spacing w:line="480" w:lineRule="auto"/>
        <w:jc w:val="both"/>
        <w:rPr>
          <w:rFonts w:ascii="Arial" w:hAnsi="Arial" w:cs="Arial"/>
        </w:rPr>
      </w:pPr>
      <w:r>
        <w:rPr>
          <w:rFonts w:ascii="Arial" w:hAnsi="Arial" w:cs="Arial"/>
        </w:rPr>
        <w:tab/>
        <w:t xml:space="preserve"> The value of this study extends to the following stakeholders:</w:t>
      </w:r>
    </w:p>
    <w:p>
      <w:pPr>
        <w:spacing w:line="480" w:lineRule="auto"/>
        <w:jc w:val="both"/>
        <w:rPr>
          <w:rFonts w:ascii="Arial" w:hAnsi="Arial" w:cs="Arial"/>
        </w:rPr>
      </w:pPr>
      <w:r>
        <w:rPr>
          <w:rFonts w:ascii="Arial" w:hAnsi="Arial" w:cs="Arial"/>
        </w:rPr>
        <w:tab/>
      </w:r>
      <w:r>
        <w:rPr>
          <w:rFonts w:ascii="Arial" w:hAnsi="Arial" w:cs="Arial"/>
          <w:b/>
        </w:rPr>
        <w:t>Indigenous Peoples Learners.</w:t>
      </w:r>
      <w:r>
        <w:rPr>
          <w:rFonts w:ascii="Arial" w:hAnsi="Arial" w:cs="Arial"/>
        </w:rPr>
        <w:t xml:space="preserve"> The findings may contribute to the improvement of English instruction that is culturally responsive, engaging, and supportive of meaningful language development. By promoting interactive and creative forms of engagement through technology, the study supports learning experiences that affirm Indigenous identity while strengthening communicative competence.</w:t>
      </w:r>
    </w:p>
    <w:p>
      <w:pPr>
        <w:spacing w:line="480" w:lineRule="auto"/>
        <w:jc w:val="both"/>
        <w:rPr>
          <w:rFonts w:ascii="Arial" w:hAnsi="Arial" w:cs="Arial"/>
        </w:rPr>
      </w:pPr>
      <w:r>
        <w:rPr>
          <w:rFonts w:ascii="Arial" w:hAnsi="Arial" w:cs="Arial"/>
        </w:rPr>
        <w:lastRenderedPageBreak/>
        <w:tab/>
      </w:r>
      <w:r>
        <w:rPr>
          <w:rFonts w:ascii="Arial" w:hAnsi="Arial" w:cs="Arial"/>
          <w:b/>
        </w:rPr>
        <w:t>English Teachers in IPEd Classrooms.</w:t>
      </w:r>
      <w:r>
        <w:rPr>
          <w:rFonts w:ascii="Arial" w:hAnsi="Arial" w:cs="Arial"/>
        </w:rPr>
        <w:t xml:space="preserve"> The study provides evidence-based insights into effective technology integration practices aligned with the PICRAT framework. It may help teachers reflect on their instructional approaches, strengthen their technological pedagogical competence, and design culturally grounded English learning tasks that move beyond replacement-level technology use toward amplification and transformation.</w:t>
      </w:r>
    </w:p>
    <w:p>
      <w:pPr>
        <w:spacing w:line="480" w:lineRule="auto"/>
        <w:jc w:val="both"/>
        <w:rPr>
          <w:rFonts w:ascii="Arial" w:hAnsi="Arial" w:cs="Arial"/>
        </w:rPr>
      </w:pPr>
      <w:r>
        <w:rPr>
          <w:rFonts w:ascii="Arial" w:hAnsi="Arial" w:cs="Arial"/>
        </w:rPr>
        <w:tab/>
      </w:r>
      <w:r>
        <w:rPr>
          <w:rFonts w:ascii="Arial" w:hAnsi="Arial" w:cs="Arial"/>
          <w:b/>
        </w:rPr>
        <w:t>ICT Coordinators.</w:t>
      </w:r>
      <w:r>
        <w:rPr>
          <w:rFonts w:ascii="Arial" w:hAnsi="Arial" w:cs="Arial"/>
        </w:rPr>
        <w:t xml:space="preserve"> The findings were derived from a deeper understanding of the technological needs, challenges, and instructional realities of IPEd schools. The results may serve as a basis for planning technical assistance, technology-related training programs, and resource management initiatives that support effective classroom technology integration.</w:t>
      </w:r>
    </w:p>
    <w:p>
      <w:pPr>
        <w:spacing w:line="480" w:lineRule="auto"/>
        <w:jc w:val="both"/>
        <w:rPr>
          <w:rFonts w:ascii="Arial" w:hAnsi="Arial" w:cs="Arial"/>
        </w:rPr>
      </w:pPr>
      <w:r>
        <w:rPr>
          <w:rFonts w:ascii="Arial" w:hAnsi="Arial" w:cs="Arial"/>
        </w:rPr>
        <w:tab/>
      </w:r>
      <w:r>
        <w:rPr>
          <w:rFonts w:ascii="Arial" w:hAnsi="Arial" w:cs="Arial"/>
          <w:b/>
        </w:rPr>
        <w:t>School Administrators and Instructional Leaders.</w:t>
      </w:r>
      <w:r>
        <w:rPr>
          <w:rFonts w:ascii="Arial" w:hAnsi="Arial" w:cs="Arial"/>
        </w:rPr>
        <w:t xml:space="preserve"> The results may serve as a basis for designing targeted professional development programs, strategically allocating technological resources, and strengthening school-level support systems for culturally responsive technology integration in ELT.</w:t>
      </w:r>
    </w:p>
    <w:p>
      <w:pPr>
        <w:spacing w:line="480" w:lineRule="auto"/>
        <w:jc w:val="both"/>
        <w:rPr>
          <w:rFonts w:ascii="Arial" w:hAnsi="Arial" w:cs="Arial"/>
        </w:rPr>
      </w:pPr>
      <w:r>
        <w:rPr>
          <w:rFonts w:ascii="Arial" w:hAnsi="Arial" w:cs="Arial"/>
        </w:rPr>
        <w:tab/>
      </w:r>
      <w:r>
        <w:rPr>
          <w:rFonts w:ascii="Arial" w:hAnsi="Arial" w:cs="Arial"/>
          <w:b/>
        </w:rPr>
        <w:t>Department of Education (DepEd) and Policymakers.</w:t>
      </w:r>
      <w:r>
        <w:rPr>
          <w:rFonts w:ascii="Arial" w:hAnsi="Arial" w:cs="Arial"/>
        </w:rPr>
        <w:t xml:space="preserve"> The study offers context-specific empirical data that may inform the implementation of the Indigenous Peoples Education Policy Framework, digital transformation initiatives, and teacher training programs. It provides evidence that can support more responsive and equitable technology integration policies in geographically isolated and disadvantaged communities.</w:t>
      </w:r>
    </w:p>
    <w:p>
      <w:pPr>
        <w:spacing w:line="480" w:lineRule="auto"/>
        <w:jc w:val="both"/>
        <w:rPr>
          <w:rFonts w:ascii="Arial" w:hAnsi="Arial" w:cs="Arial"/>
        </w:rPr>
      </w:pPr>
      <w:r>
        <w:rPr>
          <w:rFonts w:ascii="Arial" w:hAnsi="Arial" w:cs="Arial"/>
        </w:rPr>
        <w:lastRenderedPageBreak/>
        <w:tab/>
      </w:r>
      <w:r>
        <w:rPr>
          <w:rFonts w:ascii="Arial" w:hAnsi="Arial" w:cs="Arial"/>
          <w:b/>
        </w:rPr>
        <w:t>Curriculum Developers and Program Designers.</w:t>
      </w:r>
      <w:r>
        <w:rPr>
          <w:rFonts w:ascii="Arial" w:hAnsi="Arial" w:cs="Arial"/>
        </w:rPr>
        <w:t xml:space="preserve"> The findings may assist in refining curriculum materials and intervention programs that integrate technology while sustaining Indigenous cultural knowledge and language practices within English instruction.</w:t>
      </w:r>
    </w:p>
    <w:p>
      <w:pPr>
        <w:spacing w:line="480" w:lineRule="auto"/>
        <w:jc w:val="both"/>
        <w:rPr>
          <w:rFonts w:ascii="Arial" w:hAnsi="Arial" w:cs="Arial"/>
        </w:rPr>
      </w:pPr>
      <w:r>
        <w:rPr>
          <w:rFonts w:ascii="Arial" w:hAnsi="Arial" w:cs="Arial"/>
        </w:rPr>
        <w:tab/>
      </w:r>
      <w:r>
        <w:rPr>
          <w:rFonts w:ascii="Arial" w:hAnsi="Arial" w:cs="Arial"/>
          <w:b/>
        </w:rPr>
        <w:t>Future Researchers.</w:t>
      </w:r>
      <w:r>
        <w:rPr>
          <w:rFonts w:ascii="Arial" w:hAnsi="Arial" w:cs="Arial"/>
        </w:rPr>
        <w:t xml:space="preserve"> This study contributes to the limited body of research on technology integration in Indigenous educational settings, using an engagement-based analytical framework. It may serve as a reference for future studies exploring technology use, learner engagement, culturally sustaining pedagogy, and instructional transformation in similar contexts.</w:t>
      </w:r>
    </w:p>
    <w:p>
      <w:pPr>
        <w:spacing w:line="480" w:lineRule="auto"/>
        <w:jc w:val="both"/>
        <w:rPr>
          <w:rFonts w:ascii="Arial" w:hAnsi="Arial" w:cs="Arial"/>
          <w:b/>
        </w:rPr>
      </w:pPr>
      <w:r>
        <w:rPr>
          <w:rFonts w:ascii="Arial" w:hAnsi="Arial" w:cs="Arial"/>
          <w:b/>
        </w:rPr>
        <w:t xml:space="preserve">Definition of Terms </w:t>
      </w:r>
    </w:p>
    <w:p>
      <w:pPr>
        <w:spacing w:line="480" w:lineRule="auto"/>
        <w:jc w:val="both"/>
        <w:rPr>
          <w:rFonts w:ascii="Arial" w:hAnsi="Arial" w:cs="Arial"/>
        </w:rPr>
      </w:pPr>
      <w:r>
        <w:rPr>
          <w:rFonts w:ascii="Arial" w:hAnsi="Arial" w:cs="Arial"/>
          <w:b/>
        </w:rPr>
        <w:tab/>
      </w:r>
      <w:r>
        <w:rPr>
          <w:rFonts w:ascii="Arial" w:hAnsi="Arial" w:cs="Arial"/>
        </w:rPr>
        <w:t>The following terms are defined operationally to clarify how they are used in this study:</w:t>
      </w:r>
    </w:p>
    <w:p>
      <w:pPr>
        <w:spacing w:line="480" w:lineRule="auto"/>
        <w:jc w:val="both"/>
        <w:rPr>
          <w:rFonts w:ascii="Arial" w:hAnsi="Arial" w:cs="Arial"/>
        </w:rPr>
      </w:pPr>
      <w:r>
        <w:rPr>
          <w:rFonts w:ascii="Arial" w:hAnsi="Arial" w:cs="Arial"/>
        </w:rPr>
        <w:tab/>
      </w:r>
      <w:r>
        <w:rPr>
          <w:rFonts w:ascii="Arial" w:hAnsi="Arial" w:cs="Arial"/>
          <w:b/>
        </w:rPr>
        <w:t>Amplification.</w:t>
      </w:r>
      <w:r>
        <w:rPr>
          <w:rFonts w:ascii="Arial" w:hAnsi="Arial" w:cs="Arial"/>
        </w:rPr>
        <w:t xml:space="preserve"> It is a level of technology integration in which digital tools enhance the efficiency, clarity, or effectiveness of an existing English Language Teaching (ELT) activity without fundamentally altering the instructional task. In this study, amplification occurs when technology improves delivery, feedback, or engagement while maintaining the lesson's original structure.</w:t>
      </w:r>
    </w:p>
    <w:p>
      <w:pPr>
        <w:spacing w:line="480" w:lineRule="auto"/>
        <w:jc w:val="both"/>
        <w:rPr>
          <w:rFonts w:ascii="Arial" w:hAnsi="Arial" w:cs="Arial"/>
        </w:rPr>
      </w:pPr>
      <w:r>
        <w:rPr>
          <w:rFonts w:ascii="Arial" w:hAnsi="Arial" w:cs="Arial"/>
        </w:rPr>
        <w:tab/>
      </w:r>
      <w:r>
        <w:rPr>
          <w:rFonts w:ascii="Arial" w:hAnsi="Arial" w:cs="Arial"/>
          <w:b/>
        </w:rPr>
        <w:t>Challenges in Indigenizing English Instruction.</w:t>
      </w:r>
      <w:r>
        <w:rPr>
          <w:rFonts w:ascii="Arial" w:hAnsi="Arial" w:cs="Arial"/>
        </w:rPr>
        <w:t xml:space="preserve"> The term refers to the contextual, pedagogical, technological, and cultural challenges teachers encounter when integrating technology into English lessons in ways that are </w:t>
      </w:r>
      <w:r>
        <w:rPr>
          <w:rFonts w:ascii="Arial" w:hAnsi="Arial" w:cs="Arial"/>
        </w:rPr>
        <w:lastRenderedPageBreak/>
        <w:t>culturally responsive and promote higher-order thinking. In this study, these challenges are measured through self-reported indicators such as resource limitations, connectivity issues, curriculum constraints, and lack of training.</w:t>
      </w:r>
    </w:p>
    <w:p>
      <w:pPr>
        <w:spacing w:line="480" w:lineRule="auto"/>
        <w:jc w:val="both"/>
        <w:rPr>
          <w:rFonts w:ascii="Arial" w:hAnsi="Arial" w:cs="Arial"/>
        </w:rPr>
      </w:pPr>
      <w:r>
        <w:rPr>
          <w:rFonts w:ascii="Arial" w:hAnsi="Arial" w:cs="Arial"/>
        </w:rPr>
        <w:tab/>
      </w:r>
      <w:r>
        <w:rPr>
          <w:rFonts w:ascii="Arial" w:hAnsi="Arial" w:cs="Arial"/>
          <w:b/>
        </w:rPr>
        <w:t>Collaborative Engagement.</w:t>
      </w:r>
      <w:r>
        <w:rPr>
          <w:rFonts w:ascii="Arial" w:hAnsi="Arial" w:cs="Arial"/>
        </w:rPr>
        <w:t xml:space="preserve"> It describes a level of learner engagement in which IP learners work with peers through technology-supported activities to construct meaning, exchange ideas, and complete shared English tasks.</w:t>
      </w:r>
    </w:p>
    <w:p>
      <w:pPr>
        <w:spacing w:line="480" w:lineRule="auto"/>
        <w:jc w:val="both"/>
        <w:rPr>
          <w:rFonts w:ascii="Arial" w:hAnsi="Arial" w:cs="Arial"/>
        </w:rPr>
      </w:pPr>
      <w:r>
        <w:rPr>
          <w:rFonts w:ascii="Arial" w:hAnsi="Arial" w:cs="Arial"/>
        </w:rPr>
        <w:tab/>
      </w:r>
      <w:r>
        <w:rPr>
          <w:rFonts w:ascii="Arial" w:hAnsi="Arial" w:cs="Arial"/>
          <w:b/>
        </w:rPr>
        <w:t>Creative Engagement.</w:t>
      </w:r>
      <w:r>
        <w:rPr>
          <w:rFonts w:ascii="Arial" w:hAnsi="Arial" w:cs="Arial"/>
        </w:rPr>
        <w:t xml:space="preserve"> It denotes a form of technology-supported learner participation in which IP learners produce original outputs, express ideas, or construct meaning in English through digital or multimedia tools. This aligns with the Creative level of the PICRAT learner dimension and reflects higher-order thinking and authentic language use.</w:t>
      </w:r>
    </w:p>
    <w:p>
      <w:pPr>
        <w:spacing w:line="480" w:lineRule="auto"/>
        <w:jc w:val="both"/>
        <w:rPr>
          <w:rFonts w:ascii="Arial" w:hAnsi="Arial" w:cs="Arial"/>
        </w:rPr>
      </w:pPr>
      <w:r>
        <w:rPr>
          <w:rFonts w:ascii="Arial" w:hAnsi="Arial" w:cs="Arial"/>
        </w:rPr>
        <w:tab/>
      </w:r>
      <w:r>
        <w:rPr>
          <w:rFonts w:ascii="Arial" w:hAnsi="Arial" w:cs="Arial"/>
          <w:b/>
        </w:rPr>
        <w:t>Culturally Responsive Technology Use.</w:t>
      </w:r>
      <w:r>
        <w:rPr>
          <w:rFonts w:ascii="Arial" w:hAnsi="Arial" w:cs="Arial"/>
        </w:rPr>
        <w:t xml:space="preserve"> It is the application of digital tools in ways that reflect, respect, and incorporate Indigenous learners’ cultural identities, knowledge systems, and community practices. In this study, it refers to teachers’ ability to design and implement technology-supported English tasks that are contextually relevant and culturally appropriate.</w:t>
      </w:r>
    </w:p>
    <w:p>
      <w:pPr>
        <w:spacing w:line="480" w:lineRule="auto"/>
        <w:jc w:val="both"/>
        <w:rPr>
          <w:rFonts w:ascii="Arial" w:hAnsi="Arial" w:cs="Arial"/>
        </w:rPr>
      </w:pPr>
      <w:r>
        <w:rPr>
          <w:rFonts w:ascii="Arial" w:hAnsi="Arial" w:cs="Arial"/>
        </w:rPr>
        <w:tab/>
      </w:r>
      <w:r>
        <w:rPr>
          <w:rFonts w:ascii="Arial" w:hAnsi="Arial" w:cs="Arial"/>
          <w:b/>
        </w:rPr>
        <w:t>Culturally Sustaining Pedagogy (CSP).</w:t>
      </w:r>
      <w:r>
        <w:rPr>
          <w:rFonts w:ascii="Arial" w:hAnsi="Arial" w:cs="Arial"/>
        </w:rPr>
        <w:t xml:space="preserve"> The term refers to an instructional approach that seeks to sustain, affirm, and extend Indigenous learners’ cultural identities, knowledge systems, languages, and community practices within formal education. In this study, CSP guides the contextualization of English instruction and the design of culturally responsive, technology-supported tasks.</w:t>
      </w:r>
    </w:p>
    <w:p>
      <w:pPr>
        <w:spacing w:line="480" w:lineRule="auto"/>
        <w:jc w:val="both"/>
        <w:rPr>
          <w:rFonts w:ascii="Arial" w:hAnsi="Arial" w:cs="Arial"/>
        </w:rPr>
      </w:pPr>
      <w:r>
        <w:rPr>
          <w:rFonts w:ascii="Arial" w:hAnsi="Arial" w:cs="Arial"/>
        </w:rPr>
        <w:lastRenderedPageBreak/>
        <w:tab/>
      </w:r>
      <w:r>
        <w:rPr>
          <w:rFonts w:ascii="Arial" w:hAnsi="Arial" w:cs="Arial"/>
          <w:b/>
        </w:rPr>
        <w:t>Digital Divide.</w:t>
      </w:r>
      <w:r>
        <w:rPr>
          <w:rFonts w:ascii="Arial" w:hAnsi="Arial" w:cs="Arial"/>
        </w:rPr>
        <w:t xml:space="preserve"> It is the inequality in access to digital technologies, internet connectivity, and technological resources among learners and schools. In this study, disparities in IPEd classrooms may affect teachers’ ability to integrate technology and learners’ opportunities for engagement.</w:t>
      </w:r>
    </w:p>
    <w:p>
      <w:pPr>
        <w:spacing w:line="480" w:lineRule="auto"/>
        <w:jc w:val="both"/>
        <w:rPr>
          <w:rFonts w:ascii="Arial" w:hAnsi="Arial" w:cs="Arial"/>
        </w:rPr>
      </w:pPr>
      <w:r>
        <w:rPr>
          <w:rFonts w:ascii="Arial" w:hAnsi="Arial" w:cs="Arial"/>
        </w:rPr>
        <w:tab/>
      </w:r>
      <w:r>
        <w:rPr>
          <w:rFonts w:ascii="Arial" w:hAnsi="Arial" w:cs="Arial"/>
          <w:b/>
        </w:rPr>
        <w:t>English Language Teaching (ELT).</w:t>
      </w:r>
      <w:r>
        <w:rPr>
          <w:rFonts w:ascii="Arial" w:hAnsi="Arial" w:cs="Arial"/>
        </w:rPr>
        <w:t xml:space="preserve"> It is the instructional processes, strategies, and classroom practices used by teachers to develop learners’ English language skills in Indigenous Peoples Education classrooms, particularly through technology integration guided by the PICRAT model.</w:t>
      </w:r>
    </w:p>
    <w:p>
      <w:pPr>
        <w:spacing w:line="480" w:lineRule="auto"/>
        <w:jc w:val="both"/>
        <w:rPr>
          <w:rFonts w:ascii="Arial" w:hAnsi="Arial" w:cs="Arial"/>
        </w:rPr>
      </w:pPr>
      <w:r>
        <w:rPr>
          <w:rFonts w:ascii="Arial" w:hAnsi="Arial" w:cs="Arial"/>
        </w:rPr>
        <w:tab/>
      </w:r>
      <w:r>
        <w:rPr>
          <w:rFonts w:ascii="Arial" w:hAnsi="Arial" w:cs="Arial"/>
          <w:b/>
        </w:rPr>
        <w:t xml:space="preserve">Indigenous Peoples Education (IPEd). </w:t>
      </w:r>
      <w:r>
        <w:rPr>
          <w:rFonts w:ascii="Arial" w:hAnsi="Arial" w:cs="Arial"/>
        </w:rPr>
        <w:t>It is a Department of Education program that provides culturally responsive, community-based, and inclusive basic education for Indigenous learners. In this study, IPEd serves as the educational setting for examining technology integration in ELT.</w:t>
      </w:r>
    </w:p>
    <w:p>
      <w:pPr>
        <w:spacing w:line="480" w:lineRule="auto"/>
        <w:jc w:val="both"/>
        <w:rPr>
          <w:rFonts w:ascii="Arial" w:hAnsi="Arial" w:cs="Arial"/>
        </w:rPr>
      </w:pPr>
      <w:r>
        <w:rPr>
          <w:rFonts w:ascii="Arial" w:hAnsi="Arial" w:cs="Arial"/>
        </w:rPr>
        <w:tab/>
      </w:r>
      <w:r>
        <w:rPr>
          <w:rFonts w:ascii="Arial" w:hAnsi="Arial" w:cs="Arial"/>
          <w:b/>
        </w:rPr>
        <w:t>IP Learners (Indigenous Peoples Learners).</w:t>
      </w:r>
      <w:r>
        <w:rPr>
          <w:rFonts w:ascii="Arial" w:hAnsi="Arial" w:cs="Arial"/>
        </w:rPr>
        <w:t xml:space="preserve"> The term refers to students enrolled in IPEd classrooms who belong to recognised Indigenous cultural communities. In this study, IP learners receive technology-supported English instruction, and their engagement levels are examined using the PICRAT learner dimension.</w:t>
      </w:r>
    </w:p>
    <w:p>
      <w:pPr>
        <w:spacing w:line="480" w:lineRule="auto"/>
        <w:jc w:val="both"/>
        <w:rPr>
          <w:rFonts w:ascii="Arial" w:hAnsi="Arial" w:cs="Arial"/>
        </w:rPr>
      </w:pPr>
      <w:r>
        <w:rPr>
          <w:rFonts w:ascii="Arial" w:hAnsi="Arial" w:cs="Arial"/>
        </w:rPr>
        <w:tab/>
      </w:r>
      <w:r>
        <w:rPr>
          <w:rFonts w:ascii="Arial" w:hAnsi="Arial" w:cs="Arial"/>
          <w:b/>
        </w:rPr>
        <w:t>Interactionist Theory.</w:t>
      </w:r>
      <w:r>
        <w:rPr>
          <w:rFonts w:ascii="Arial" w:hAnsi="Arial" w:cs="Arial"/>
        </w:rPr>
        <w:t xml:space="preserve"> It is a theory of second language acquisition which posits that language development occurs through meaningful social interaction, negotiation of meaning, dialogue, and collaborative communication. This study </w:t>
      </w:r>
      <w:r>
        <w:rPr>
          <w:rFonts w:ascii="Arial" w:hAnsi="Arial" w:cs="Arial"/>
        </w:rPr>
        <w:lastRenderedPageBreak/>
        <w:t>explains how technology-supported interaction facilitates English language learning among IP learners.</w:t>
      </w:r>
    </w:p>
    <w:p>
      <w:pPr>
        <w:spacing w:line="480" w:lineRule="auto"/>
        <w:jc w:val="both"/>
        <w:rPr>
          <w:rFonts w:ascii="Arial" w:hAnsi="Arial" w:cs="Arial"/>
        </w:rPr>
      </w:pPr>
      <w:r>
        <w:rPr>
          <w:rFonts w:ascii="Arial" w:hAnsi="Arial" w:cs="Arial"/>
        </w:rPr>
        <w:tab/>
      </w:r>
      <w:r>
        <w:rPr>
          <w:rFonts w:ascii="Arial" w:hAnsi="Arial" w:cs="Arial"/>
          <w:b/>
        </w:rPr>
        <w:t xml:space="preserve">Learner Engagement. </w:t>
      </w:r>
      <w:r>
        <w:rPr>
          <w:rFonts w:ascii="Arial" w:hAnsi="Arial" w:cs="Arial"/>
        </w:rPr>
        <w:t>It describes the degree, quality, and depth of IP learners’ participation in technology-supported English lessons. In this study, learner engagement is examined across five dimensions: passive, interactive, collaborative, creative, and reflective/metacognitive.</w:t>
      </w:r>
    </w:p>
    <w:p>
      <w:pPr>
        <w:spacing w:line="480" w:lineRule="auto"/>
        <w:jc w:val="both"/>
        <w:rPr>
          <w:rFonts w:ascii="Arial" w:hAnsi="Arial" w:cs="Arial"/>
        </w:rPr>
      </w:pPr>
      <w:r>
        <w:rPr>
          <w:rFonts w:ascii="Arial" w:hAnsi="Arial" w:cs="Arial"/>
        </w:rPr>
        <w:tab/>
      </w:r>
      <w:r>
        <w:rPr>
          <w:rFonts w:ascii="Arial" w:hAnsi="Arial" w:cs="Arial"/>
          <w:b/>
        </w:rPr>
        <w:t xml:space="preserve">Mapping. </w:t>
      </w:r>
      <w:r>
        <w:rPr>
          <w:rFonts w:ascii="Arial" w:hAnsi="Arial" w:cs="Arial"/>
        </w:rPr>
        <w:t>It is a systematic process of identifying, describing, analysing, and categorising teachers’ technology integration practices and IP learners’ levels of engagement in English instruction using the PICRAT model. In this study, mapping involves examining relationships among competence, engagement, instructional practices, RAT levels, and contextual challenges.</w:t>
      </w:r>
    </w:p>
    <w:p>
      <w:pPr>
        <w:spacing w:line="480" w:lineRule="auto"/>
        <w:jc w:val="both"/>
        <w:rPr>
          <w:rFonts w:ascii="Arial" w:hAnsi="Arial" w:cs="Arial"/>
        </w:rPr>
      </w:pPr>
      <w:r>
        <w:rPr>
          <w:rFonts w:ascii="Arial" w:hAnsi="Arial" w:cs="Arial"/>
        </w:rPr>
        <w:tab/>
      </w:r>
      <w:r>
        <w:rPr>
          <w:rFonts w:ascii="Arial" w:hAnsi="Arial" w:cs="Arial"/>
          <w:b/>
        </w:rPr>
        <w:t>Passive Engagement.</w:t>
      </w:r>
      <w:r>
        <w:rPr>
          <w:rFonts w:ascii="Arial" w:hAnsi="Arial" w:cs="Arial"/>
        </w:rPr>
        <w:t xml:space="preserve"> The term refers to a level of learner engagement in which IP learners primarily receive information through technology, such as watching videos or listening to audio, without active interaction or production.</w:t>
      </w:r>
    </w:p>
    <w:p>
      <w:pPr>
        <w:spacing w:line="480" w:lineRule="auto"/>
        <w:jc w:val="both"/>
        <w:rPr>
          <w:rFonts w:ascii="Arial" w:hAnsi="Arial" w:cs="Arial"/>
        </w:rPr>
      </w:pPr>
      <w:r>
        <w:rPr>
          <w:rFonts w:ascii="Arial" w:hAnsi="Arial" w:cs="Arial"/>
        </w:rPr>
        <w:tab/>
      </w:r>
      <w:r>
        <w:rPr>
          <w:rFonts w:ascii="Arial" w:hAnsi="Arial" w:cs="Arial"/>
          <w:b/>
        </w:rPr>
        <w:t>PICRAT Model.</w:t>
      </w:r>
      <w:r>
        <w:rPr>
          <w:rFonts w:ascii="Arial" w:hAnsi="Arial" w:cs="Arial"/>
        </w:rPr>
        <w:t xml:space="preserve"> It is a dual-dimensional framework for analysing technology integration that examines learners’ levels of engagement (Passive, Interactive, Creative) and teachers’ instructional use of technology (Replacement, Amplification, Transformation). In this study, PICRAT serves as the primary analytical framework for mapping technology engagement in English.</w:t>
      </w:r>
    </w:p>
    <w:p>
      <w:pPr>
        <w:spacing w:line="480" w:lineRule="auto"/>
        <w:jc w:val="both"/>
        <w:rPr>
          <w:rFonts w:ascii="Arial" w:hAnsi="Arial" w:cs="Arial"/>
        </w:rPr>
      </w:pPr>
      <w:r>
        <w:rPr>
          <w:rFonts w:ascii="Arial" w:hAnsi="Arial" w:cs="Arial"/>
        </w:rPr>
        <w:lastRenderedPageBreak/>
        <w:tab/>
      </w:r>
      <w:r>
        <w:rPr>
          <w:rFonts w:ascii="Arial" w:hAnsi="Arial" w:cs="Arial"/>
          <w:b/>
        </w:rPr>
        <w:t>Reflective or Metacognitive Engagement.</w:t>
      </w:r>
      <w:r>
        <w:rPr>
          <w:rFonts w:ascii="Arial" w:hAnsi="Arial" w:cs="Arial"/>
        </w:rPr>
        <w:t xml:space="preserve"> It denotes a form of engagement in which IP learners evaluate, monitor, and reflect on their English-learning processes through technology-supported tasks.</w:t>
      </w:r>
    </w:p>
    <w:p>
      <w:pPr>
        <w:spacing w:line="480" w:lineRule="auto"/>
        <w:jc w:val="both"/>
        <w:rPr>
          <w:rFonts w:ascii="Arial" w:hAnsi="Arial" w:cs="Arial"/>
        </w:rPr>
      </w:pPr>
      <w:r>
        <w:rPr>
          <w:rFonts w:ascii="Arial" w:hAnsi="Arial" w:cs="Arial"/>
        </w:rPr>
        <w:tab/>
      </w:r>
      <w:r>
        <w:rPr>
          <w:rFonts w:ascii="Arial" w:hAnsi="Arial" w:cs="Arial"/>
          <w:b/>
        </w:rPr>
        <w:t>Replacement.</w:t>
      </w:r>
      <w:r>
        <w:rPr>
          <w:rFonts w:ascii="Arial" w:hAnsi="Arial" w:cs="Arial"/>
        </w:rPr>
        <w:t xml:space="preserve"> It is a level of technology integration in which digital tools substitute traditional instructional materials or methods without improving or transforming the instructional task. In this study, replacement represents the lowest level of instructional impact under the PICRAT teacher dimension.</w:t>
      </w:r>
    </w:p>
    <w:p>
      <w:pPr>
        <w:spacing w:line="480" w:lineRule="auto"/>
        <w:jc w:val="both"/>
        <w:rPr>
          <w:rFonts w:ascii="Arial" w:hAnsi="Arial" w:cs="Arial"/>
        </w:rPr>
      </w:pPr>
      <w:r>
        <w:rPr>
          <w:rFonts w:ascii="Arial" w:hAnsi="Arial" w:cs="Arial"/>
        </w:rPr>
        <w:tab/>
      </w:r>
      <w:r>
        <w:rPr>
          <w:rFonts w:ascii="Arial" w:hAnsi="Arial" w:cs="Arial"/>
          <w:b/>
        </w:rPr>
        <w:t xml:space="preserve">RAT-Level Technology Use. </w:t>
      </w:r>
      <w:r>
        <w:rPr>
          <w:rFonts w:ascii="Arial" w:hAnsi="Arial" w:cs="Arial"/>
        </w:rPr>
        <w:t>The term refers to the classification of teachers’ instructional use of technology into the categories of Replacement, Amplification, and Transformation. In this study, RAT-level use serves as an outcome variable analysed in relation to teacher competence, learner engagement, and contextual challenges.</w:t>
      </w:r>
    </w:p>
    <w:p>
      <w:pPr>
        <w:spacing w:line="480" w:lineRule="auto"/>
        <w:jc w:val="both"/>
        <w:rPr>
          <w:rFonts w:ascii="Arial" w:hAnsi="Arial" w:cs="Arial"/>
        </w:rPr>
      </w:pPr>
      <w:r>
        <w:rPr>
          <w:rFonts w:ascii="Arial" w:hAnsi="Arial" w:cs="Arial"/>
        </w:rPr>
        <w:tab/>
      </w:r>
      <w:r>
        <w:rPr>
          <w:rFonts w:ascii="Arial" w:hAnsi="Arial" w:cs="Arial"/>
          <w:b/>
        </w:rPr>
        <w:t>Teachers’ Competence in Technology Integration.</w:t>
      </w:r>
      <w:r>
        <w:rPr>
          <w:rFonts w:ascii="Arial" w:hAnsi="Arial" w:cs="Arial"/>
        </w:rPr>
        <w:t xml:space="preserve"> It is a teacher’s ability to effectively integrate technology in English instruction, including PICRAT-based pedagogical knowledge, cultural responsiveness and contextualization, technology knowledge and adaptive proficiency, access to resources, and reflective teaching practice, as measured through the research questionnaire.</w:t>
      </w:r>
    </w:p>
    <w:p>
      <w:pPr>
        <w:spacing w:line="480" w:lineRule="auto"/>
        <w:jc w:val="both"/>
        <w:rPr>
          <w:rFonts w:ascii="Arial" w:hAnsi="Arial" w:cs="Arial"/>
        </w:rPr>
      </w:pPr>
      <w:r>
        <w:rPr>
          <w:rFonts w:ascii="Arial" w:hAnsi="Arial" w:cs="Arial"/>
          <w:b/>
        </w:rPr>
        <w:tab/>
        <w:t>Teachers’ Technology Integration Practices.</w:t>
      </w:r>
      <w:r>
        <w:rPr>
          <w:rFonts w:ascii="Arial" w:hAnsi="Arial" w:cs="Arial"/>
        </w:rPr>
        <w:t xml:space="preserve"> It is an observable and self-reported instructional strategy employed by teachers when integrating technology into English lessons, categorised according to the PICRAT teacher dimension.</w:t>
      </w:r>
    </w:p>
    <w:p>
      <w:pPr>
        <w:spacing w:line="480" w:lineRule="auto"/>
        <w:jc w:val="both"/>
        <w:rPr>
          <w:rFonts w:ascii="Arial" w:hAnsi="Arial" w:cs="Arial"/>
        </w:rPr>
      </w:pPr>
      <w:r>
        <w:rPr>
          <w:rFonts w:ascii="Arial" w:hAnsi="Arial" w:cs="Arial"/>
        </w:rPr>
        <w:lastRenderedPageBreak/>
        <w:tab/>
      </w:r>
      <w:r>
        <w:rPr>
          <w:rFonts w:ascii="Arial" w:hAnsi="Arial" w:cs="Arial"/>
          <w:b/>
        </w:rPr>
        <w:t>Technology Engagement in English.</w:t>
      </w:r>
      <w:r>
        <w:rPr>
          <w:rFonts w:ascii="Arial" w:hAnsi="Arial" w:cs="Arial"/>
        </w:rPr>
        <w:t xml:space="preserve"> The term refers to purposeful, strategic, and context-sensitive use of digital tools to support English language development, learner interaction, and culturally responsive instruction in IPEd classrooms.</w:t>
      </w:r>
    </w:p>
    <w:p>
      <w:pPr>
        <w:spacing w:line="480" w:lineRule="auto"/>
        <w:jc w:val="both"/>
        <w:rPr>
          <w:rFonts w:ascii="Arial" w:hAnsi="Arial" w:cs="Arial"/>
        </w:rPr>
      </w:pPr>
      <w:r>
        <w:rPr>
          <w:rFonts w:ascii="Arial" w:hAnsi="Arial" w:cs="Arial"/>
        </w:rPr>
        <w:tab/>
      </w:r>
      <w:r>
        <w:rPr>
          <w:rFonts w:ascii="Arial" w:hAnsi="Arial" w:cs="Arial"/>
          <w:b/>
        </w:rPr>
        <w:t>Transformation.</w:t>
      </w:r>
      <w:r>
        <w:rPr>
          <w:rFonts w:ascii="Arial" w:hAnsi="Arial" w:cs="Arial"/>
        </w:rPr>
        <w:t xml:space="preserve"> It is a level of technology integration in which digital tools enable instructional activities that were previously impossible through traditional methods. In this study, transformation reflects the highest level of instructional impact under the PICRAT framework and is associated with interactive and creative learner engagement.</w:t>
      </w:r>
    </w:p>
    <w:p>
      <w:pPr>
        <w:rPr>
          <w:rFonts w:ascii="Arial" w:hAnsi="Arial" w:cs="Arial"/>
          <w:b/>
        </w:rPr>
      </w:pPr>
      <w:r>
        <w:rPr>
          <w:rFonts w:ascii="Arial" w:hAnsi="Arial" w:cs="Arial"/>
          <w:b/>
        </w:rPr>
        <w:br w:type="page"/>
      </w:r>
    </w:p>
    <w:p>
      <w:pPr>
        <w:spacing w:line="480" w:lineRule="auto"/>
        <w:jc w:val="center"/>
        <w:rPr>
          <w:rFonts w:ascii="Arial" w:hAnsi="Arial" w:cs="Arial"/>
        </w:rPr>
      </w:pPr>
      <w:r>
        <w:rPr>
          <w:rFonts w:ascii="Arial" w:hAnsi="Arial" w:cs="Arial"/>
        </w:rPr>
        <w:lastRenderedPageBreak/>
        <w:t>Chapter 2</w:t>
      </w:r>
    </w:p>
    <w:p>
      <w:pPr>
        <w:spacing w:line="480" w:lineRule="auto"/>
        <w:jc w:val="center"/>
        <w:rPr>
          <w:rFonts w:ascii="Arial" w:hAnsi="Arial" w:cs="Arial"/>
          <w:b/>
        </w:rPr>
      </w:pPr>
      <w:r>
        <w:rPr>
          <w:rFonts w:ascii="Arial" w:hAnsi="Arial" w:cs="Arial"/>
          <w:b/>
        </w:rPr>
        <w:t>REVIEW OF RELATED LITERATURE AND STUDIES</w:t>
      </w:r>
    </w:p>
    <w:p>
      <w:pPr>
        <w:spacing w:line="480" w:lineRule="auto"/>
        <w:jc w:val="both"/>
        <w:rPr>
          <w:rFonts w:ascii="Arial" w:hAnsi="Arial" w:cs="Arial"/>
        </w:rPr>
      </w:pPr>
      <w:r>
        <w:rPr>
          <w:rFonts w:ascii="Arial" w:hAnsi="Arial" w:cs="Arial"/>
        </w:rPr>
        <w:tab/>
        <w:t>This chapter presents a thematic review of related literature and studies that provide theoretical, empirical, and contextual foundations for examining technology integration in English Language Teaching (ELT) within Indigenous Peoples Education (IPEd) classrooms. Both foreign and local literature are examined to situate the present study within existing research and to identify gaps that justify conducting the study.</w:t>
      </w:r>
    </w:p>
    <w:p>
      <w:pPr>
        <w:spacing w:line="480" w:lineRule="auto"/>
        <w:jc w:val="both"/>
        <w:rPr>
          <w:rFonts w:ascii="Arial" w:hAnsi="Arial" w:cs="Arial"/>
          <w:b/>
        </w:rPr>
      </w:pPr>
      <w:r>
        <w:rPr>
          <w:rFonts w:ascii="Arial" w:hAnsi="Arial" w:cs="Arial"/>
          <w:b/>
        </w:rPr>
        <w:t xml:space="preserve">Technology Integration Frameworks and Teachers’ Competence in ELT. </w:t>
      </w:r>
    </w:p>
    <w:p>
      <w:pPr>
        <w:spacing w:line="480" w:lineRule="auto"/>
        <w:jc w:val="both"/>
        <w:rPr>
          <w:rFonts w:ascii="Arial" w:hAnsi="Arial" w:cs="Arial"/>
        </w:rPr>
      </w:pPr>
      <w:r>
        <w:rPr>
          <w:rFonts w:ascii="Arial" w:hAnsi="Arial" w:cs="Arial"/>
        </w:rPr>
        <w:tab/>
        <w:t xml:space="preserve">Recent literature consistently emphasizes that effective technology integration in English Language Teaching (ELT) requires structured pedagogical frameworks that guide both instructional practice and learner engagement. Rather than treating digital tools as supplementary add-ons, contemporary scholarship positions technology integration as a pedagogically driven process shaped by theoretical models. Kimmons (2020) introduced the PICRAT model as a dual-dimensional framework examining technology use through learner engagement (Passive, Interactive, Creative) and teacher instructional practice (Replacement, Amplification, Transformation). Since its introduction, the model has been increasingly referenced in digital pedagogy discussions, particularly in contexts seeking to evaluate the instructional depth of technology integration rather than mere tool adoption. Empirical studies conducted between 2020 and 2025 </w:t>
      </w:r>
      <w:r>
        <w:rPr>
          <w:rFonts w:ascii="Arial" w:hAnsi="Arial" w:cs="Arial"/>
        </w:rPr>
        <w:lastRenderedPageBreak/>
        <w:t>demonstrate the growing application of PICRAT in language instruction. Wang (2023), through classroom-based implementation in university-level English courses, found that PICRAT-guided planning encouraged instructors to design tasks that shifted from passive digital consumption toward interactive and creative learner production. Learners exposed to transformation-level tasks produced longer written outputs and demonstrated increased collaborative engagement. Similarly, Vasylyshyna (2025) reported that teachers trained in engagement-based technology frameworks were significantly more likely to design inquiry-driven and multimodal language tasks than those without exposure to structured frameworks. These findings suggest that PICRAT provides practical scaffolding for intentional instructional design.</w:t>
      </w:r>
    </w:p>
    <w:p>
      <w:pPr>
        <w:spacing w:line="480" w:lineRule="auto"/>
        <w:jc w:val="both"/>
        <w:rPr>
          <w:rFonts w:ascii="Arial" w:hAnsi="Arial" w:cs="Arial"/>
        </w:rPr>
      </w:pPr>
      <w:r>
        <w:rPr>
          <w:rFonts w:ascii="Arial" w:hAnsi="Arial" w:cs="Arial"/>
        </w:rPr>
        <w:tab/>
        <w:t xml:space="preserve">Beyond PICRAT, research continues to foreground the Technological Pedagogical and Content Knowledge (TPACK) framework as foundational to meaningful technology integration. Tondeur et al. (2021), in a comprehensive review of research on teachers' digital competence, concluded that effective technology integration is contingent on teachers’ ability to synthesize subject-matter knowledge, pedagogical strategies, and technological affordances. Their findings across multiple educational systems revealed that fragmented knowledge, such as technological skills without pedagogical grounding, rarely results in transformative classroom practices. Schmid, Brianza, and Petko (2021) further validated TPACK's predictive power through structural modeling, demonstrating </w:t>
      </w:r>
      <w:r>
        <w:rPr>
          <w:rFonts w:ascii="Arial" w:hAnsi="Arial" w:cs="Arial"/>
        </w:rPr>
        <w:lastRenderedPageBreak/>
        <w:t>that teachers with higher TPACK scores were more likely to implement student-centered and collaborative digital instruction.</w:t>
      </w:r>
    </w:p>
    <w:p>
      <w:pPr>
        <w:spacing w:line="480" w:lineRule="auto"/>
        <w:jc w:val="both"/>
        <w:rPr>
          <w:rFonts w:ascii="Arial" w:hAnsi="Arial" w:cs="Arial"/>
        </w:rPr>
      </w:pPr>
      <w:r>
        <w:rPr>
          <w:rFonts w:ascii="Arial" w:hAnsi="Arial" w:cs="Arial"/>
        </w:rPr>
        <w:tab/>
        <w:t>Specifically in ELT contexts, Tai (2022) examined the relationship between teachers’ TPACK levels and the effectiveness of online English teaching. The study revealed that teachers with stronger integrated knowledge designed tasks emphasizing interaction, feedback, and authentic language use. Rather than relying on slide-based lecture delivery, high TPACK teachers incorporated collaborative writing platforms, peer feedback tools, and multimedia storytelling activities. This aligns with findings by Redmond and Peled (2023), who noted that TPACK competence significantly predicts teachers’ capacity to move from substitution-level to transformation-level integration.</w:t>
      </w:r>
    </w:p>
    <w:p>
      <w:pPr>
        <w:spacing w:line="480" w:lineRule="auto"/>
        <w:jc w:val="both"/>
        <w:rPr>
          <w:rFonts w:ascii="Arial" w:hAnsi="Arial" w:cs="Arial"/>
        </w:rPr>
      </w:pPr>
      <w:r>
        <w:rPr>
          <w:rFonts w:ascii="Arial" w:hAnsi="Arial" w:cs="Arial"/>
        </w:rPr>
        <w:tab/>
        <w:t>Complementing PICRAT and TPACK, other frameworks such as SAMR (Hamilton et al., 2021) and Digital Competence models (Redecker, 2022) provide additional lenses for evaluating technology integration. Hamilton et al. (2021) argue that transformation-level practices that enable previously inconceivable tasks yield deeper cognitive engagement. However, critiques of SAMR caution that it oversimplifies pedagogical complexity. In contrast, PICRAT explicitly integrates learner engagement, making it particularly relevant to ELT, where communicative interaction is central. These comparative discussions highlight the importance of selecting frameworks that account for both instructional practice and learner participation.</w:t>
      </w:r>
    </w:p>
    <w:p>
      <w:pPr>
        <w:spacing w:line="480" w:lineRule="auto"/>
        <w:jc w:val="both"/>
        <w:rPr>
          <w:rFonts w:ascii="Arial" w:hAnsi="Arial" w:cs="Arial"/>
        </w:rPr>
      </w:pPr>
      <w:r>
        <w:rPr>
          <w:rFonts w:ascii="Arial" w:hAnsi="Arial" w:cs="Arial"/>
        </w:rPr>
        <w:lastRenderedPageBreak/>
        <w:tab/>
        <w:t>Meta-analytic studies further reinforce the necessity of framework-guided integration. Schindler et al. (2021), synthesizing more than 100 empirical studies, concluded that technology positively affects learning outcomes only when accompanied by intentional pedagogical design. Bond (2022) similarly found that structured engagement strategies significantly moderate the relationship between digital tool use and academic achievement. These large-scale analyses emphasize that frameworks are not theoretical abstractions but practical mechanisms that influence instructional quality.</w:t>
      </w:r>
    </w:p>
    <w:p>
      <w:pPr>
        <w:spacing w:line="480" w:lineRule="auto"/>
        <w:jc w:val="both"/>
        <w:rPr>
          <w:rFonts w:ascii="Arial" w:hAnsi="Arial" w:cs="Arial"/>
        </w:rPr>
      </w:pPr>
      <w:r>
        <w:rPr>
          <w:rFonts w:ascii="Arial" w:hAnsi="Arial" w:cs="Arial"/>
        </w:rPr>
        <w:tab/>
        <w:t>Research also indicates that teacher beliefs and contextual factors mediate the implementation of the framework. Ertmer and Ottenbreit-Leftwich (2023) demonstrated through qualitative case studies that even technologically skilled teachers may revert to substitution-level practices due to curricular pressures or assessment constraints. This suggests that competence must be accompanied by supportive institutional cultures to enable transformation-level integration. In rural and resource-constrained settings, contextual limitations may further shape the framework's implementation.</w:t>
      </w:r>
    </w:p>
    <w:p>
      <w:pPr>
        <w:spacing w:line="480" w:lineRule="auto"/>
        <w:jc w:val="both"/>
        <w:rPr>
          <w:rFonts w:ascii="Arial" w:hAnsi="Arial" w:cs="Arial"/>
        </w:rPr>
      </w:pPr>
      <w:r>
        <w:rPr>
          <w:rFonts w:ascii="Arial" w:hAnsi="Arial" w:cs="Arial"/>
        </w:rPr>
        <w:tab/>
        <w:t xml:space="preserve">In the Philippine context, Agaton and Cueto (2021) examined digital disparities during remote learning and found that infrastructural inequities intersected with pedagogical readiness. Capulong and Bautista (2022) observed that many teachers in geographically isolated schools relied on low-level substitution practices due to limited professional development. Ramos (2023), </w:t>
      </w:r>
      <w:r>
        <w:rPr>
          <w:rFonts w:ascii="Arial" w:hAnsi="Arial" w:cs="Arial"/>
        </w:rPr>
        <w:lastRenderedPageBreak/>
        <w:t>focusing on Indigenous Peoples Education (IPEd) settings, noted that while digital tools were occasionally used, structured frameworks guiding engagement and transformation were largely absent. These findings underscore the need for contextualized examination of framework-based integration in IPEd classrooms.</w:t>
      </w:r>
    </w:p>
    <w:p>
      <w:pPr>
        <w:spacing w:line="480" w:lineRule="auto"/>
        <w:jc w:val="both"/>
        <w:rPr>
          <w:rFonts w:ascii="Arial" w:hAnsi="Arial" w:cs="Arial"/>
        </w:rPr>
      </w:pPr>
      <w:r>
        <w:rPr>
          <w:rFonts w:ascii="Arial" w:hAnsi="Arial" w:cs="Arial"/>
        </w:rPr>
        <w:tab/>
        <w:t>Moreover, emerging research highlights the importance of engagement-centered frameworks in language education. Zheng and Warschauer (2022) found that multimodal digital composition tasks increased learner agency and communicative competence when intentionally designed. Hiver et al. (2023) reported that technology-enhanced collaborative tasks positively influenced learners' motivation and identity construction in second-language contexts. Such studies demonstrate that engagement and transformation are interrelated outcomes shaped by pedagogical intentionality.</w:t>
      </w:r>
    </w:p>
    <w:p>
      <w:pPr>
        <w:spacing w:line="480" w:lineRule="auto"/>
        <w:jc w:val="both"/>
        <w:rPr>
          <w:rFonts w:ascii="Arial" w:hAnsi="Arial" w:cs="Arial"/>
        </w:rPr>
      </w:pPr>
      <w:r>
        <w:rPr>
          <w:rFonts w:ascii="Arial" w:hAnsi="Arial" w:cs="Arial"/>
        </w:rPr>
        <w:tab/>
        <w:t xml:space="preserve">The literature reveals converging evidence that structured frameworks such as PICRAT and TPACK provide both conceptual and practical lenses for evaluating the depth and quality of technology integration in English Language Teaching. Existing studies consistently demonstrate that teachers’ technological competence, instructional design decisions, and contextual conditions collectively influence whether technology use remains at the level of replacement and amplification or progresses toward transformative learning experiences (Schmid et al., 2021; Tai, 2022; Tondeur et al., 2021). Furthermore, engagement-oriented frameworks emphasize that meaningful technology integration occurs when digital </w:t>
      </w:r>
      <w:r>
        <w:rPr>
          <w:rFonts w:ascii="Arial" w:hAnsi="Arial" w:cs="Arial"/>
        </w:rPr>
        <w:lastRenderedPageBreak/>
        <w:t>tools are intentionally used to promote interaction, collaboration, creativity, and authentic language use rather than mere content delivery (Kimmons, 2020; Wang, 2023; Zheng &amp; Warschauer, 2022). However, despite the growing body of international research, empirical investigations applying these frameworks within Indigenous Peoples Education (IPEd) contexts remain scarce, particularly in geographically isolated and disadvantaged schools where contextual realities may shape technology integration practices differently (Agaton &amp; Cueto, 2021; Ramos, 2023). This gap highlights the need for context-specific research examining how technology integration frameworks operate in Indigenous English-language learning environments.</w:t>
      </w:r>
    </w:p>
    <w:p>
      <w:pPr>
        <w:spacing w:line="480" w:lineRule="auto"/>
        <w:jc w:val="both"/>
        <w:rPr>
          <w:rFonts w:ascii="Arial" w:hAnsi="Arial" w:cs="Arial"/>
        </w:rPr>
      </w:pPr>
      <w:r>
        <w:rPr>
          <w:rFonts w:ascii="Arial" w:hAnsi="Arial" w:cs="Arial"/>
        </w:rPr>
        <w:tab/>
        <w:t xml:space="preserve">The reviewed literature on technology integration frameworks in English Language Teaching collectively underscores that meaningful and transformative digital instruction is not determined by technological availability alone but by the deliberate alignment of pedagogy, content, learner engagement, and contextual responsiveness (Bond, 2022; Schindler et al., 2021; Tondeur et al., 2021). Studies on PICRAT suggest that when teachers design technology-supported tasks that move learners beyond passive consumption toward interactive and creative engagement, deeper participation and more meaningful language production emerge (Kimmons, 2020; Vasylyshyna, 2025; Wang, 2023). Similarly, TPACK research consistently identifies teachers’ integrated technological, pedagogical, and content knowledge as a significant predictor of transformative technology use and effective language instruction (Redmond &amp; Peled, 2023; Schmid et al., 2021; </w:t>
      </w:r>
      <w:r>
        <w:rPr>
          <w:rFonts w:ascii="Arial" w:hAnsi="Arial" w:cs="Arial"/>
        </w:rPr>
        <w:lastRenderedPageBreak/>
        <w:t>Tai, 2022). Comparative analyses of related frameworks, including SAMR and digital competence models, further reinforce the importance of instructional intentionality in fostering higher-order learning outcomes (Hamilton et al., 2021; Redecker, 2022). Nevertheless, evidence from geographically isolated and Indigenous educational settings indicates that infrastructural constraints, limited professional development opportunities, and contextual challenges frequently restrict technology integration to lower levels of implementation (Agaton &amp; Cueto, 2021; Capulong &amp; Bautista, 2022; Ramos, 2023). Addressing this gap, the present study employs the PICRAT framework to systematically map teachers’ technology integration practices and learners’ technology-supported engagement in English Language Teaching among Indigenous learners.</w:t>
      </w:r>
    </w:p>
    <w:p>
      <w:pPr>
        <w:spacing w:line="480" w:lineRule="auto"/>
        <w:jc w:val="both"/>
        <w:rPr>
          <w:rFonts w:ascii="Arial" w:hAnsi="Arial" w:cs="Arial"/>
          <w:b/>
        </w:rPr>
      </w:pPr>
      <w:r>
        <w:rPr>
          <w:rFonts w:ascii="Arial" w:hAnsi="Arial" w:cs="Arial"/>
          <w:b/>
        </w:rPr>
        <w:t>Technology-Supported Learner Engagement in English Language Learning.</w:t>
      </w:r>
    </w:p>
    <w:p>
      <w:pPr>
        <w:spacing w:line="480" w:lineRule="auto"/>
        <w:jc w:val="both"/>
        <w:rPr>
          <w:rFonts w:ascii="Arial" w:hAnsi="Arial" w:cs="Arial"/>
        </w:rPr>
      </w:pPr>
      <w:r>
        <w:rPr>
          <w:rFonts w:ascii="Arial" w:hAnsi="Arial" w:cs="Arial"/>
        </w:rPr>
        <w:t xml:space="preserve"> </w:t>
      </w:r>
      <w:r>
        <w:rPr>
          <w:rFonts w:ascii="Arial" w:hAnsi="Arial" w:cs="Arial"/>
        </w:rPr>
        <w:tab/>
        <w:t xml:space="preserve">A consistent and enduring theme in English Language Teaching (ELT) research is the central role of learner engagement and social interaction in second language acquisition. Interactionist perspectives argue that language learning develops most effectively through meaningful communication, negotiation of meaning, feedback exchange, and collaborative dialogue. Contemporary syntheses of second language acquisition research (Gass, Behney, &amp; Plonsky, 2021; Sato &amp; Loewen, 2022) reaffirm that interaction facilitates noticing of linguistic gaps and promotes deeper processing of input. These studies demonstrate that learners who engage in negotiated interaction exhibit stronger grammatical </w:t>
      </w:r>
      <w:r>
        <w:rPr>
          <w:rFonts w:ascii="Arial" w:hAnsi="Arial" w:cs="Arial"/>
        </w:rPr>
        <w:lastRenderedPageBreak/>
        <w:t>development and communicative competence than those exposed to input-only instructional approaches.</w:t>
      </w:r>
    </w:p>
    <w:p>
      <w:pPr>
        <w:spacing w:line="480" w:lineRule="auto"/>
        <w:jc w:val="both"/>
        <w:rPr>
          <w:rFonts w:ascii="Arial" w:hAnsi="Arial" w:cs="Arial"/>
        </w:rPr>
      </w:pPr>
      <w:r>
        <w:rPr>
          <w:rFonts w:ascii="Arial" w:hAnsi="Arial" w:cs="Arial"/>
        </w:rPr>
        <w:tab/>
        <w:t>Empirical classroom investigations further reinforce this theoretical stance. Sato and Loewen (2022), using quasi-experimental designs, observed that learners participating in collaborative speaking tasks achieved greater gains in fluency and syntactic accuracy than learners engaged in teacher-centered instruction. Loewen and Sato (2023) extended these findings, reporting that interactive tasks increase opportunities for corrective feedback uptake and modified output, both of which are critical mechanisms in language development. These findings suggest that engagement is not merely motivational but cognitively consequential in language acquisition. With the expansion of digital learning environments, researchers have increasingly examined how technology mediates interaction. Al-Awidi and Alghazo (2021) found that digital collaborative platforms significantly increased student participation and motivation in English classes. Learners engaged in interactive tasks with educational applications demonstrated higher engagement scores than those receiving traditional instruction. Similarly, Zheng and Warschauer (2022) reported that multimodal digital composition tasks enhanced learner agency and identity construction, particularly when students were required to co-construct meaning through multimedia tools.</w:t>
      </w:r>
    </w:p>
    <w:p>
      <w:pPr>
        <w:spacing w:line="480" w:lineRule="auto"/>
        <w:jc w:val="both"/>
        <w:rPr>
          <w:rFonts w:ascii="Arial" w:hAnsi="Arial" w:cs="Arial"/>
        </w:rPr>
      </w:pPr>
      <w:r>
        <w:rPr>
          <w:rFonts w:ascii="Arial" w:hAnsi="Arial" w:cs="Arial"/>
        </w:rPr>
        <w:tab/>
        <w:t xml:space="preserve">Reviews of ELT technology integration trends further reveal a pedagogical shift toward interactive and collaborative environments. Başar and Şahin (2022), </w:t>
      </w:r>
      <w:r>
        <w:rPr>
          <w:rFonts w:ascii="Arial" w:hAnsi="Arial" w:cs="Arial"/>
        </w:rPr>
        <w:lastRenderedPageBreak/>
        <w:t>in their systematic review of ELT technology research, identified increasing emphasis on task-based, learner-centered digital instruction. Their analysis showed that studies focusing on collaborative and project-based tasks reported stronger engagement outcomes compared to studies centered on lecture-based digital content delivery. Hiver, Al-Hoorie, and Mercer (2023) similarly found that engagement in technology-enhanced language classrooms is multidimensional, encompassing behavioral participation, cognitive investment, and affective involvement.</w:t>
      </w:r>
    </w:p>
    <w:p>
      <w:pPr>
        <w:spacing w:line="480" w:lineRule="auto"/>
        <w:jc w:val="both"/>
        <w:rPr>
          <w:rFonts w:ascii="Arial" w:hAnsi="Arial" w:cs="Arial"/>
        </w:rPr>
      </w:pPr>
      <w:r>
        <w:rPr>
          <w:rFonts w:ascii="Arial" w:hAnsi="Arial" w:cs="Arial"/>
        </w:rPr>
        <w:tab/>
        <w:t>Despite these promising findings, research cautions against assuming that technology inherently produces engagement. Tondeur et al. (2021) observed that teachers without structured pedagogical frameworks frequently use digital tools for substitution rather than transformation. In such cases, learner engagement remains passive, characterized by observation rather than interaction. Hsu (2023) confirmed that technology-supported instruction yields minimal gains in engagement when activities are presentation-driven rather than collaborative. These findings underscore the importance of distinguishing between levels of engagement rather than treating engagement as a singular construct.</w:t>
      </w:r>
    </w:p>
    <w:p>
      <w:pPr>
        <w:spacing w:line="480" w:lineRule="auto"/>
        <w:jc w:val="both"/>
        <w:rPr>
          <w:rFonts w:ascii="Arial" w:hAnsi="Arial" w:cs="Arial"/>
        </w:rPr>
      </w:pPr>
      <w:r>
        <w:rPr>
          <w:rFonts w:ascii="Arial" w:hAnsi="Arial" w:cs="Arial"/>
        </w:rPr>
        <w:tab/>
        <w:t xml:space="preserve">Moreover, research differentiates types of engagement that contribute differently to learning outcomes. Bond (2022) identified behavioral, cognitive, emotional, and social engagement as distinct but interrelated constructs in digital learning contexts. Collaborative and creative engagement, in particular, was found </w:t>
      </w:r>
      <w:r>
        <w:rPr>
          <w:rFonts w:ascii="Arial" w:hAnsi="Arial" w:cs="Arial"/>
        </w:rPr>
        <w:lastRenderedPageBreak/>
        <w:t>to correlate strongly with higher-order thinking skills and academic persistence. In ELT settings, interactive tasks that require peer feedback, co-authorship, and problem-solving promote deeper cognitive engagement than passive video viewing or digital reading tasks.</w:t>
      </w:r>
    </w:p>
    <w:p>
      <w:pPr>
        <w:spacing w:line="480" w:lineRule="auto"/>
        <w:jc w:val="both"/>
        <w:rPr>
          <w:rFonts w:ascii="Arial" w:hAnsi="Arial" w:cs="Arial"/>
        </w:rPr>
      </w:pPr>
      <w:r>
        <w:rPr>
          <w:rFonts w:ascii="Arial" w:hAnsi="Arial" w:cs="Arial"/>
        </w:rPr>
        <w:tab/>
        <w:t>In Asian contexts, Huang et al. (2022) demonstrated that online collaborative writing platforms improved lexical diversity and syntactic complexity among English learners. Lai and Bower (2020) found that structured peer interaction through digital forums enhanced communicative confidence and participation frequency. However, these studies were conducted primarily in urban or higher-education settings, limiting their generalizability to geographically isolated or Indigenous contexts.</w:t>
      </w:r>
    </w:p>
    <w:p>
      <w:pPr>
        <w:spacing w:line="480" w:lineRule="auto"/>
        <w:jc w:val="both"/>
        <w:rPr>
          <w:rFonts w:ascii="Arial" w:hAnsi="Arial" w:cs="Arial"/>
        </w:rPr>
      </w:pPr>
      <w:r>
        <w:rPr>
          <w:rFonts w:ascii="Arial" w:hAnsi="Arial" w:cs="Arial"/>
        </w:rPr>
        <w:tab/>
        <w:t xml:space="preserve">Philippine-based research on learner engagement in ELT remains comparatively limited. Tuazon and Roxas (2021) reported motivational challenges among Indigenous learners but did not disaggregate engagement into measurable dimensions. Soto et al. (2023) identified barriers to active participation in IPEd classrooms, including technological limitations and insufficient contextualization of digital tasks. These studies suggest that while engagement is recognized as important, it is rarely examined systematically using structured engagement frameworks. Importantly, emerging scholarship emphasizes reflective or metacognitive engagement as a critical but underexplored dimension of digital learning. Hiver et al. (2023) argue that learners who engage in self-assessment </w:t>
      </w:r>
      <w:r>
        <w:rPr>
          <w:rFonts w:ascii="Arial" w:hAnsi="Arial" w:cs="Arial"/>
        </w:rPr>
        <w:lastRenderedPageBreak/>
        <w:t>and reflection during technology-mediated tasks demonstrate stronger language retention. Reflective engagement supports metacognitive awareness, allowing learners to monitor progress and adjust strategies. Yet few ELT studies, particularly in Indigenous settings, explicitly measure reflective engagement.</w:t>
      </w:r>
    </w:p>
    <w:p>
      <w:pPr>
        <w:spacing w:line="480" w:lineRule="auto"/>
        <w:jc w:val="both"/>
        <w:rPr>
          <w:rFonts w:ascii="Arial" w:hAnsi="Arial" w:cs="Arial"/>
        </w:rPr>
      </w:pPr>
      <w:r>
        <w:rPr>
          <w:rFonts w:ascii="Arial" w:hAnsi="Arial" w:cs="Arial"/>
        </w:rPr>
        <w:tab/>
        <w:t xml:space="preserve">The reviewed literature establishes that interaction and engagement are central to language acquisition and that technology can enhance these processes when used intentionally. Consistent with the Interactionist Theory of Second Language Acquisition, meaningful interaction, collaborative dialogue, and feedback exchange facilitate language development and communicative competence (Gass et al., 2021; Sato &amp; Loewen, 2022). Recent studies further demonstrate that technology-mediated environments can strengthen learner participation, collaboration, and language production when digital tools are aligned with pedagogically meaningful tasks (Al-Awidi &amp; Alghazo, 2021; Zheng &amp; Warschauer, 2022; Hiver et al., 2023). However, engagement varies in depth and quality depending on instructional design and the extent to which technology supports active learner involvement rather than passive content consumption (Bond, 2022; Schindler et al., 2021). Existing research often conceptualizes engagement broadly, focusing on behavioral, cognitive, or affective dimensions without systematically examining passive, interactive, collaborative, creative, and reflective forms of engagement. Moreover, empirical investigations of technology-supported engagement among Indigenous learners in English Language Teaching (ELT) contexts remain limited, particularly within geographically isolated and </w:t>
      </w:r>
      <w:r>
        <w:rPr>
          <w:rFonts w:ascii="Arial" w:hAnsi="Arial" w:cs="Arial"/>
        </w:rPr>
        <w:lastRenderedPageBreak/>
        <w:t>disadvantaged educational settings. These gaps justify the present study’s systematic mapping of technology-supported learner engagement using the PICRAT learner dimension to capture nuanced engagement patterns within Indigenous Peoples Education (IPEd) classrooms.</w:t>
      </w:r>
    </w:p>
    <w:p>
      <w:pPr>
        <w:spacing w:line="480" w:lineRule="auto"/>
        <w:jc w:val="both"/>
        <w:rPr>
          <w:rFonts w:ascii="Arial" w:hAnsi="Arial" w:cs="Arial"/>
        </w:rPr>
      </w:pPr>
      <w:r>
        <w:rPr>
          <w:rFonts w:ascii="Arial" w:hAnsi="Arial" w:cs="Arial"/>
        </w:rPr>
        <w:tab/>
        <w:t>Hence, the reviewed literature collectively affirms that learner engagement and social interaction are foundational to second language development, particularly in English Language Teaching contexts where communicative competence is a primary instructional goal. Empirical and theoretical studies consistently demonstrate that interaction through negotiation of meaning, collaborative dialogue, and feedback exchange contributes to measurable linguistic gains, while technology-mediated learning environments can amplify these opportunities when tasks are intentionally designed to promote active participation (Gass et al., 2021; Sato &amp; Loewen, 2022; Zheng &amp; Warschauer, 2022). Nevertheless, research also reveals that digital tools alone do not guarantee meaningful engagement; without structured pedagogical alignment, technology use often remains at a passive or substitution level, limiting learner interaction and knowledge construction (Tondeur et al., 2021; Bond, 2022). Furthermore, although contemporary scholarship increasingly recognizes engagement as a multidimensional construct encompassing behavioral, cognitive, affective, social, and reflective dimensions (Hiver et al., 2023), few studies systematically disaggregate these forms of engagement within Indigenous or geographically isolated ELT contexts.</w:t>
      </w:r>
    </w:p>
    <w:p>
      <w:pPr>
        <w:spacing w:line="480" w:lineRule="auto"/>
        <w:jc w:val="both"/>
        <w:rPr>
          <w:rFonts w:ascii="Arial" w:hAnsi="Arial" w:cs="Arial"/>
        </w:rPr>
      </w:pPr>
      <w:r>
        <w:rPr>
          <w:rFonts w:ascii="Arial" w:hAnsi="Arial" w:cs="Arial"/>
        </w:rPr>
        <w:lastRenderedPageBreak/>
        <w:tab/>
        <w:t>In the Philippine context, existing research has highlighted challenges related to digital access, teacher readiness, and learner participation in technology-supported instruction (Agaton &amp; Cueto, 2021). However, few studies have comprehensively examined how different levels of technology-supported engagement manifest among Indigenous learners in English classrooms. This gap underscores the relevance of employing the PICRAT learner dimension in the present study to provide a nuanced and context-sensitive mapping of engagement patterns and to determine how interaction-oriented digital practices contribute to meaningful language learning among Indigenous learners.</w:t>
      </w:r>
    </w:p>
    <w:p>
      <w:pPr>
        <w:spacing w:line="480" w:lineRule="auto"/>
        <w:jc w:val="both"/>
        <w:rPr>
          <w:rFonts w:ascii="Arial" w:hAnsi="Arial" w:cs="Arial"/>
          <w:b/>
        </w:rPr>
      </w:pPr>
      <w:r>
        <w:rPr>
          <w:rFonts w:ascii="Arial" w:hAnsi="Arial" w:cs="Arial"/>
          <w:b/>
        </w:rPr>
        <w:t xml:space="preserve">Technology Integration Practices and Culturally Sustaining Pedagogy. </w:t>
      </w:r>
    </w:p>
    <w:p>
      <w:pPr>
        <w:spacing w:line="480" w:lineRule="auto"/>
        <w:jc w:val="both"/>
        <w:rPr>
          <w:rFonts w:ascii="Arial" w:hAnsi="Arial" w:cs="Arial"/>
        </w:rPr>
      </w:pPr>
      <w:r>
        <w:rPr>
          <w:rFonts w:ascii="Arial" w:hAnsi="Arial" w:cs="Arial"/>
        </w:rPr>
        <w:tab/>
        <w:t>Culturally Sustaining Pedagogy (CSP) has gained prominence in contemporary educational discourse as an approach that moves beyond cultural responsiveness to actively sustain learners’ linguistic, epistemic, and cultural identities. Paris and Alim (2017) initially conceptualized CSP as a framework that not only acknowledges cultural diversity but also resists assimilationist schooling practices. Recent scholarship has extended this framework into digital learning environments, emphasizing that technology integration must be culturally grounded to avoid reinforcing dominant epistemologies (Paris &amp; Alim, 2021). In language education, CSP calls for instructional practices that integrate learners’ home languages, community narratives, and sociocultural experiences into the formal curriculum.</w:t>
      </w:r>
    </w:p>
    <w:p>
      <w:pPr>
        <w:spacing w:line="480" w:lineRule="auto"/>
        <w:jc w:val="both"/>
        <w:rPr>
          <w:rFonts w:ascii="Arial" w:hAnsi="Arial" w:cs="Arial"/>
        </w:rPr>
      </w:pPr>
      <w:r>
        <w:rPr>
          <w:rFonts w:ascii="Arial" w:hAnsi="Arial" w:cs="Arial"/>
        </w:rPr>
        <w:lastRenderedPageBreak/>
        <w:tab/>
        <w:t>In English Language Teaching (ELT), culturally sustaining approaches challenge deficit-oriented perspectives that treat learners’ linguistic backgrounds as barriers. Ladson-Billings (2021) argues that culturally grounded instruction enhances both academic achievement and identity affirmation. Bang et al. (2023) further contend that culturally sustaining digital pedagogy promotes epistemic justice by validating Indigenous knowledge systems within technologically mediated spaces. Their research highlights the importance of designing digital tasks that reflect community histories, values, and lived experiences. Technology-supported instruction offers significant potential for CSP when intentionally designed. Tzou et al. (2021) documented community-driven digital storytelling projects that integrated Indigenous ecological knowledge into classroom activities. Their findings revealed increased learner engagement and deeper conceptual understanding when digital tasks were rooted in local realities. Similarly, Kral and Schwab (2022) observed that Indigenous youth participating in digital media production projects reported stronger identity affirmation and motivation. These studies illustrate how digital tools can amplify cultural narratives rather than marginalize them.</w:t>
      </w:r>
    </w:p>
    <w:p>
      <w:pPr>
        <w:spacing w:line="480" w:lineRule="auto"/>
        <w:jc w:val="both"/>
        <w:rPr>
          <w:rFonts w:ascii="Arial" w:hAnsi="Arial" w:cs="Arial"/>
        </w:rPr>
      </w:pPr>
      <w:r>
        <w:rPr>
          <w:rFonts w:ascii="Arial" w:hAnsi="Arial" w:cs="Arial"/>
        </w:rPr>
        <w:tab/>
        <w:t xml:space="preserve">However, scholars caution that technology integration without cultural alignment may reproduce inequities. McMahon and Oliver (2021) found that externally imposed digital initiatives in remote Indigenous communities often failed to align with local knowledge systems or community priorities. Selwyn (2023) critiques techno-centric reforms that prioritize innovation over contextual </w:t>
      </w:r>
      <w:r>
        <w:rPr>
          <w:rFonts w:ascii="Arial" w:hAnsi="Arial" w:cs="Arial"/>
        </w:rPr>
        <w:lastRenderedPageBreak/>
        <w:t>relevance. These perspectives emphasize that culturally sustaining integration requires intentional alignment between technological affordances and community epistemologies.</w:t>
      </w:r>
    </w:p>
    <w:p>
      <w:pPr>
        <w:spacing w:line="480" w:lineRule="auto"/>
        <w:jc w:val="both"/>
        <w:rPr>
          <w:rFonts w:ascii="Arial" w:hAnsi="Arial" w:cs="Arial"/>
        </w:rPr>
      </w:pPr>
      <w:r>
        <w:rPr>
          <w:rFonts w:ascii="Arial" w:hAnsi="Arial" w:cs="Arial"/>
        </w:rPr>
        <w:tab/>
        <w:t>Indigenous Peoples Education (IPEd) operates within a policy framework that mandates contextualized and culturally responsive instruction. Tuazon and Roxas (2021) reported that teachers in IPEd schools recognize the importance of integrating Indigenous knowledge but face challenges due to limited localized materials and insufficient training. Their qualitative findings indicate that teachers often rely on mainstream digital content that does not fully reflect Indigenous worldviews. Similarly, Soto et al. (2023) observed that while teachers demonstrate openness to integrating technology, they often lack structured guidance for aligning digital tools with cultural practices.</w:t>
      </w:r>
    </w:p>
    <w:p>
      <w:pPr>
        <w:spacing w:line="480" w:lineRule="auto"/>
        <w:jc w:val="both"/>
        <w:rPr>
          <w:rFonts w:ascii="Arial" w:hAnsi="Arial" w:cs="Arial"/>
        </w:rPr>
      </w:pPr>
      <w:r>
        <w:rPr>
          <w:rFonts w:ascii="Arial" w:hAnsi="Arial" w:cs="Arial"/>
        </w:rPr>
        <w:tab/>
        <w:t>Ramos (2023) further documented that technology use in IPEd classrooms often remains at the substitution level, partly because teachers prioritize content delivery over culturally grounded engagement. This suggests that professional development initiatives may emphasize technical skills without sufficiently addressing cultural contextualization. Consequently, culturally sustaining digital pedagogy remains underdeveloped in many Indigenous school settings.</w:t>
      </w:r>
    </w:p>
    <w:p>
      <w:pPr>
        <w:spacing w:line="480" w:lineRule="auto"/>
        <w:jc w:val="both"/>
        <w:rPr>
          <w:rFonts w:ascii="Arial" w:hAnsi="Arial" w:cs="Arial"/>
        </w:rPr>
      </w:pPr>
      <w:r>
        <w:rPr>
          <w:rFonts w:ascii="Arial" w:hAnsi="Arial" w:cs="Arial"/>
        </w:rPr>
        <w:tab/>
        <w:t xml:space="preserve">International Indigenous education research provides comparative insights. Smith (2021) argues that self-determination in education requires community participation in curricular and technological decision-making. McCarty and Lee </w:t>
      </w:r>
      <w:r>
        <w:rPr>
          <w:rFonts w:ascii="Arial" w:hAnsi="Arial" w:cs="Arial"/>
        </w:rPr>
        <w:lastRenderedPageBreak/>
        <w:t>(2022) emphasize that sustaining Indigenous languages within schooling contexts is central to educational sovereignty. These perspectives align with CSP principles, underscoring that technology-supported instruction must sustain, not supplant, Indigenous linguistic and cultural identities.</w:t>
      </w:r>
    </w:p>
    <w:p>
      <w:pPr>
        <w:spacing w:line="480" w:lineRule="auto"/>
        <w:jc w:val="both"/>
        <w:rPr>
          <w:rFonts w:ascii="Arial" w:hAnsi="Arial" w:cs="Arial"/>
        </w:rPr>
      </w:pPr>
      <w:r>
        <w:rPr>
          <w:rFonts w:ascii="Arial" w:hAnsi="Arial" w:cs="Arial"/>
        </w:rPr>
        <w:tab/>
        <w:t>Recent empirical studies also highlight the role of culturally contextualized digital tasks in improving learner engagement. Resta et al. (2021) found that culturally grounded technology integration increased participation and collaborative interaction among Indigenous learners. When digital storytelling incorporated local traditions and oral histories, learners demonstrated higher levels of cognitive and affective engagement. These findings suggest that cultural relevance enhances not only identity affirmation but also measurable engagement outcomes. Despite the growing body of research on CSP and digital pedagogy, few studies integrate culturally sustaining principles with structured technology integration frameworks such as PICRAT. Most investigations focus either on cultural pedagogy or on digital competence independently. The intersection of culturally responsive task design, engagement levels, and teacher instructional practices remains underexplored, particularly within ELT contexts in geographically isolated communities.</w:t>
      </w:r>
    </w:p>
    <w:p>
      <w:pPr>
        <w:spacing w:line="480" w:lineRule="auto"/>
        <w:jc w:val="both"/>
        <w:rPr>
          <w:rFonts w:ascii="Arial" w:hAnsi="Arial" w:cs="Arial"/>
        </w:rPr>
      </w:pPr>
      <w:r>
        <w:rPr>
          <w:rFonts w:ascii="Arial" w:hAnsi="Arial" w:cs="Arial"/>
        </w:rPr>
        <w:tab/>
        <w:t xml:space="preserve">The literature indicates that technology can function as a tool for cultural amplification when guided by culturally sustaining principles. Culturally Sustaining Pedagogy (CSP) emphasizes the preservation and advancement of learners’ </w:t>
      </w:r>
      <w:r>
        <w:rPr>
          <w:rFonts w:ascii="Arial" w:hAnsi="Arial" w:cs="Arial"/>
        </w:rPr>
        <w:lastRenderedPageBreak/>
        <w:t>cultural identities, languages, and community knowledge within formal educational settings (Paris &amp; Alim, 2021). Recent scholarship further suggests that digital technologies can support the documentation, representation, and transmission of Indigenous knowledge when integrated through culturally responsive instructional approaches (Bang et al., 2023; McCarty &amp; Lee, 2022). However, without intentional design and contextual alignment, technology integration risks reproducing dominant narratives and marginalizing Indigenous ways of knowing (Paris &amp; Alim, 2021; Soto et al., 2023). In IPEd classrooms, where cultural preservation and language development intersect, integrating CSP into structured technology frameworks is especially critical. This study addresses this need by examining how culturally responsive task design is enacted in teachers’ technology integration practices and how these practices influence learner engagement in English instruction.</w:t>
      </w:r>
    </w:p>
    <w:p>
      <w:pPr>
        <w:spacing w:line="480" w:lineRule="auto"/>
        <w:jc w:val="both"/>
        <w:rPr>
          <w:rFonts w:ascii="Arial" w:hAnsi="Arial" w:cs="Arial"/>
        </w:rPr>
      </w:pPr>
      <w:r>
        <w:rPr>
          <w:rFonts w:ascii="Arial" w:hAnsi="Arial" w:cs="Arial"/>
        </w:rPr>
        <w:tab/>
        <w:t xml:space="preserve">The reviewed literature on Culturally Sustaining Pedagogy and technology-supported instruction collectively demonstrates that meaningful digital integration in English Language Teaching must extend beyond technical proficiency to intentionally sustain and amplify learners’ cultural identities, languages, and community knowledge systems. International and local studies consistently affirm that when digital tools are aligned with culturally grounded narratives, community participation, and Indigenous epistemologies, learner engagement, cultural affirmation, and meaningful learning are strengthened (Bang et al., 2023; McCarty &amp; Lee, 2022; Paris &amp; Alim, 2021). Conversely, technology initiatives that prioritize </w:t>
      </w:r>
      <w:r>
        <w:rPr>
          <w:rFonts w:ascii="Arial" w:hAnsi="Arial" w:cs="Arial"/>
        </w:rPr>
        <w:lastRenderedPageBreak/>
        <w:t>innovation without contextual alignment risk reinforcing dominant cultural norms and limiting opportunities for culturally relevant learning experiences (Soto et al., 2023; Tuazon &amp; Roxas, 2021).</w:t>
      </w:r>
    </w:p>
    <w:p>
      <w:pPr>
        <w:spacing w:line="480" w:lineRule="auto"/>
        <w:jc w:val="both"/>
        <w:rPr>
          <w:rFonts w:ascii="Arial" w:hAnsi="Arial" w:cs="Arial"/>
        </w:rPr>
      </w:pPr>
      <w:r>
        <w:rPr>
          <w:rFonts w:ascii="Arial" w:hAnsi="Arial" w:cs="Arial"/>
        </w:rPr>
        <w:tab/>
        <w:t xml:space="preserve"> In Philippine IPEd settings, while policy frameworks advocate contextualized and culturally responsive instruction, empirical studies continue to report challenges related to localized digital content, teacher preparedness, and access to culturally appropriate instructional resources (Agaton &amp; Cueto, 2021; Tuazon &amp; Roxas, 2021). Moreover, existing scholarship frequently examines cultural pedagogy and technology integration as separate areas of inquiry, with limited attention given to how culturally sustaining principles intersect with structured technology integration frameworks such as PICRAT (Kimmons, 2020; Tondeur et al., 2021). Therefore, there remains a critical need to systematically examine how teachers design culturally responsive, technology-supported English-learning tasks and how these practices influence learner engagement in Indigenous educational contexts. Despite growing recognition of the importance of culturally sustaining instruction and meaningful technology integration, few empirical studies have examined the relationships among culturally responsive task design, learner engagement, and technology-supported instructional practices in Indigenous Peoples' Education settings (Ramos, 2023; Soto et al., 2023). The present study addresses this gap by situating Culturally Sustaining Pedagogy within a PICRAT-guided analysis of instructional practices and engagement patterns in IPEd English classrooms, thereby contributing context-</w:t>
      </w:r>
      <w:r>
        <w:rPr>
          <w:rFonts w:ascii="Arial" w:hAnsi="Arial" w:cs="Arial"/>
        </w:rPr>
        <w:lastRenderedPageBreak/>
        <w:t>specific evidence on culturally responsive technology integration among Indigenous learners.</w:t>
      </w:r>
    </w:p>
    <w:p>
      <w:pPr>
        <w:spacing w:line="480" w:lineRule="auto"/>
        <w:jc w:val="both"/>
        <w:rPr>
          <w:rFonts w:ascii="Arial" w:hAnsi="Arial" w:cs="Arial"/>
          <w:b/>
        </w:rPr>
      </w:pPr>
      <w:r>
        <w:rPr>
          <w:rFonts w:ascii="Arial" w:hAnsi="Arial" w:cs="Arial"/>
          <w:b/>
        </w:rPr>
        <w:t>RAT-Level Technology Use in English Language Teaching</w:t>
      </w:r>
    </w:p>
    <w:p>
      <w:pPr>
        <w:spacing w:line="480" w:lineRule="auto"/>
        <w:jc w:val="both"/>
        <w:rPr>
          <w:rFonts w:ascii="Arial" w:hAnsi="Arial" w:cs="Arial"/>
        </w:rPr>
      </w:pPr>
      <w:r>
        <w:rPr>
          <w:rFonts w:ascii="Arial" w:hAnsi="Arial" w:cs="Arial"/>
        </w:rPr>
        <w:tab/>
        <w:t>Indigenous Peoples Education (IPEd) is fundamentally grounded in the recognition of Indigenous sovereignty, self-determination, and the right of communities to culturally relevant and community-controlled educational systems. Scholarship in Indigenous education consistently emphasizes that schooling must align with Indigenous epistemologies, languages, and sociocultural practices rather than impose externally derived curricular models (Smith, 2021; McCarty &amp; Lee, 2022). Sovereignty in education extends beyond curriculum content to include decision-making authority, pedagogical approaches, and community participation in shaping instructional processes. In this regard, Indigenous education frameworks challenge assimilationist schooling models and advocate for contextually grounded, culturally sustaining approaches.</w:t>
      </w:r>
    </w:p>
    <w:p>
      <w:pPr>
        <w:spacing w:line="480" w:lineRule="auto"/>
        <w:jc w:val="both"/>
        <w:rPr>
          <w:rFonts w:ascii="Arial" w:hAnsi="Arial" w:cs="Arial"/>
        </w:rPr>
      </w:pPr>
      <w:r>
        <w:rPr>
          <w:rFonts w:ascii="Arial" w:hAnsi="Arial" w:cs="Arial"/>
        </w:rPr>
        <w:tab/>
        <w:t xml:space="preserve">Contemporary research further highlights that Indigenous sovereignty in education intersects with digital transformation. Bang et al. (2023) argue that technology integration in Indigenous contexts must be approached through an equity and epistemic justice lens, ensuring that digital initiatives amplify rather than marginalize Indigenous knowledge systems. Similarly, McMahon and Oliver (2021) found that technology initiatives in remote Indigenous communities often fail when implemented without meaningful consultation or cultural alignment. Their </w:t>
      </w:r>
      <w:r>
        <w:rPr>
          <w:rFonts w:ascii="Arial" w:hAnsi="Arial" w:cs="Arial"/>
        </w:rPr>
        <w:lastRenderedPageBreak/>
        <w:t>qualitative research demonstrates that context-insensitive digital interventions may inadvertently reinforce systemic inequities.</w:t>
      </w:r>
    </w:p>
    <w:p>
      <w:pPr>
        <w:spacing w:line="480" w:lineRule="auto"/>
        <w:jc w:val="both"/>
        <w:rPr>
          <w:rFonts w:ascii="Arial" w:hAnsi="Arial" w:cs="Arial"/>
        </w:rPr>
      </w:pPr>
      <w:r>
        <w:rPr>
          <w:rFonts w:ascii="Arial" w:hAnsi="Arial" w:cs="Arial"/>
        </w:rPr>
        <w:tab/>
        <w:t>E-learning contextualization has become particularly critical in the aftermath of the COVID-19 pandemic. UNESCO (2023) reports that globally, rural and Indigenous learners experienced disproportionate disruption due to limited digital infrastructure. Agaton and Cueto (2021) documented widening digital divides in the Philippines, noting that learners in geographically isolated areas faced severe connectivity and device shortages. These findings suggest that while digital platforms offer expanded access, they simultaneously expose structural inequities.</w:t>
      </w:r>
    </w:p>
    <w:p>
      <w:pPr>
        <w:spacing w:line="480" w:lineRule="auto"/>
        <w:jc w:val="both"/>
        <w:rPr>
          <w:rFonts w:ascii="Arial" w:hAnsi="Arial" w:cs="Arial"/>
        </w:rPr>
      </w:pPr>
      <w:r>
        <w:rPr>
          <w:rFonts w:ascii="Arial" w:hAnsi="Arial" w:cs="Arial"/>
        </w:rPr>
        <w:tab/>
        <w:t>In Philippine IPEd settings, contextual challenges extend beyond infrastructure. Tuazon and Roxas (2021) observed that teachers in Indigenous schools struggle to balance curriculum requirements with community-based knowledge systems. Soto et al. (2023) similarly reported that teachers often adapt to limited resources by relying on offline or low-tech solutions, including printed modules and radio-based instruction. While these adaptations demonstrate resilience, they also indicate constrained opportunities for transformative digital engagement.</w:t>
      </w:r>
    </w:p>
    <w:p>
      <w:pPr>
        <w:spacing w:line="480" w:lineRule="auto"/>
        <w:jc w:val="both"/>
        <w:rPr>
          <w:rFonts w:ascii="Arial" w:hAnsi="Arial" w:cs="Arial"/>
        </w:rPr>
      </w:pPr>
      <w:r>
        <w:rPr>
          <w:rFonts w:ascii="Arial" w:hAnsi="Arial" w:cs="Arial"/>
        </w:rPr>
        <w:tab/>
        <w:t xml:space="preserve">Research comparing urban and rural contexts reveals significant disparities in the depth of technology integration. Capulong and Bautista (2022) found that urban schools were more likely to implement synchronous online learning and interactive platforms, whereas Indigenous schools relied predominantly on </w:t>
      </w:r>
      <w:r>
        <w:rPr>
          <w:rFonts w:ascii="Arial" w:hAnsi="Arial" w:cs="Arial"/>
        </w:rPr>
        <w:lastRenderedPageBreak/>
        <w:t>asynchronous and low-bandwidth strategies. Ramos (2023) further noted that technology use in IPEd classrooms frequently remains at the substitution level due to infrastructural and training limitations.</w:t>
      </w:r>
    </w:p>
    <w:p>
      <w:pPr>
        <w:spacing w:line="480" w:lineRule="auto"/>
        <w:jc w:val="both"/>
        <w:rPr>
          <w:rFonts w:ascii="Arial" w:hAnsi="Arial" w:cs="Arial"/>
        </w:rPr>
      </w:pPr>
      <w:r>
        <w:rPr>
          <w:rFonts w:ascii="Arial" w:hAnsi="Arial" w:cs="Arial"/>
        </w:rPr>
        <w:tab/>
        <w:t>International research on Indigenous education provides additional insights into contextualized e-learning. Kral and Schwab (2022), in their study of remote Australian Indigenous communities, found that locally grounded digital projects were more sustainable than externally imposed platforms. Their findings emphasize that community ownership and contextual adaptation are key to long-term success. Similarly, Resta et al. (2021) argue that digital equity must consider cultural compatibility, not merely the provision of hardware.</w:t>
      </w:r>
    </w:p>
    <w:p>
      <w:pPr>
        <w:spacing w:line="480" w:lineRule="auto"/>
        <w:jc w:val="both"/>
        <w:rPr>
          <w:rFonts w:ascii="Arial" w:hAnsi="Arial" w:cs="Arial"/>
        </w:rPr>
      </w:pPr>
      <w:r>
        <w:rPr>
          <w:rFonts w:ascii="Arial" w:hAnsi="Arial" w:cs="Arial"/>
        </w:rPr>
        <w:tab/>
        <w:t xml:space="preserve">Moreover, digital exclusion is not solely technological but also socio-cultural. Warschauer (2022) contends that meaningful digital inclusion requires integrating digital literacy with culturally relevant content. Without contextual adaptation, learners may have access to devices yet remain disengaged due to cultural disconnect. Selwyn (2023) critiques technocentric policy narratives that equate device distribution with educational transformation. Policy-level initiatives in the Philippines, such as the Basic Education Learning Continuity Plan and the Connecting the Last Mile Schools Program, aim to address digital inequities. </w:t>
      </w:r>
    </w:p>
    <w:p>
      <w:pPr>
        <w:spacing w:line="480" w:lineRule="auto"/>
        <w:jc w:val="both"/>
        <w:rPr>
          <w:rFonts w:ascii="Arial" w:hAnsi="Arial" w:cs="Arial"/>
        </w:rPr>
      </w:pPr>
      <w:r>
        <w:rPr>
          <w:rFonts w:ascii="Arial" w:hAnsi="Arial" w:cs="Arial"/>
        </w:rPr>
        <w:tab/>
        <w:t xml:space="preserve">Importantly, research rarely examines how Indigenous sovereignty principles intersect with structured technology integration frameworks in English Language Teaching contexts. Indigenous education scholars argue that </w:t>
      </w:r>
      <w:r>
        <w:rPr>
          <w:rFonts w:ascii="Arial" w:hAnsi="Arial" w:cs="Arial"/>
        </w:rPr>
        <w:lastRenderedPageBreak/>
        <w:t>educational initiatives should support self-determination, cultural continuity, and community participation rather than merely providing access to technology (McCarty &amp; Lee, 2022; Paris &amp; Alim, 2021). While studies have documented issues of digital exclusion, unequal access to technological resources, and policy implementation challenges among Indigenous communities, few have explored how teachers navigate these contextual realities as they design culturally responsive, technology-supported English instruction (Agaton &amp; Cueto, 2021; Bang et al., 2023; Tuazon &amp; Roxas, 2021). Moreover, there is limited empirical evidence mapping how technology integration practices align with Indigenous knowledge systems, community values, and principles of educational sovereignty within structured frameworks such as PICRAT and TPACK (Kimmons, 2020; Tondeur et al., 2021; Ramos, 2023).</w:t>
      </w:r>
    </w:p>
    <w:p>
      <w:pPr>
        <w:spacing w:line="480" w:lineRule="auto"/>
        <w:jc w:val="both"/>
        <w:rPr>
          <w:rFonts w:ascii="Arial" w:hAnsi="Arial" w:cs="Arial"/>
        </w:rPr>
      </w:pPr>
      <w:r>
        <w:rPr>
          <w:rFonts w:ascii="Arial" w:hAnsi="Arial" w:cs="Arial"/>
        </w:rPr>
        <w:tab/>
        <w:t xml:space="preserve">The literature underscores that Indigenous education and e-learning contextualization are deeply interconnected. Research consistently emphasizes that meaningful technology integration in Indigenous learning environments requires culturally grounded instructional approaches that recognize local knowledge, linguistic diversity, and community realities (Bang et al., 2023; McCarty &amp; Lee, 2022; Soto et al., 2023). At the same time, contextual factors such as infrastructure limitations, connectivity challenges, teacher preparedness, and access to localized digital resources significantly influence the extent to which technology can be effectively implemented in educational settings (Agaton &amp; Cueto, 2021; Capulong &amp; Bautista, 2022; Tuazon &amp; Roxas, 2021). Although </w:t>
      </w:r>
      <w:r>
        <w:rPr>
          <w:rFonts w:ascii="Arial" w:hAnsi="Arial" w:cs="Arial"/>
        </w:rPr>
        <w:lastRenderedPageBreak/>
        <w:t>international and local studies document these inequities and contextual challenges, there remains insufficient examination of how technology integration practices and technology-supported learner engagement manifest within Indigenous Peoples Education (IPEd) English classrooms. Consequently, this gap underscores the importance of the present study in systematically mapping technology engagement and instructional practices within Indigenous contexts through the PICRAT framework, thereby generating context-specific evidence to inform culturally responsive and transformative English language instruction.</w:t>
      </w:r>
    </w:p>
    <w:p>
      <w:pPr>
        <w:spacing w:line="480" w:lineRule="auto"/>
        <w:jc w:val="both"/>
        <w:rPr>
          <w:rFonts w:ascii="Arial" w:hAnsi="Arial" w:cs="Arial"/>
          <w:b/>
        </w:rPr>
      </w:pPr>
      <w:r>
        <w:rPr>
          <w:rFonts w:ascii="Arial" w:hAnsi="Arial" w:cs="Arial"/>
          <w:b/>
        </w:rPr>
        <w:t>DepEd Technology Initiatives and Last Mile Schools</w:t>
      </w:r>
    </w:p>
    <w:p>
      <w:pPr>
        <w:spacing w:line="480" w:lineRule="auto"/>
        <w:jc w:val="both"/>
        <w:rPr>
          <w:rFonts w:ascii="Arial" w:hAnsi="Arial" w:cs="Arial"/>
        </w:rPr>
      </w:pPr>
      <w:r>
        <w:rPr>
          <w:rFonts w:ascii="Arial" w:hAnsi="Arial" w:cs="Arial"/>
          <w:b/>
        </w:rPr>
        <w:tab/>
      </w:r>
      <w:r>
        <w:rPr>
          <w:rFonts w:ascii="Arial" w:hAnsi="Arial" w:cs="Arial"/>
        </w:rPr>
        <w:t xml:space="preserve">In the Philippine context, the Department of Education has implemented various initiatives to address digital inequities, including the Basic Education Learning Continuity Plan (DepEd, 2020) and the Connecting the Last Mile Schools Program (DepEd, 2021). The Connecting the Last Mile initiative aims to improve access to quality education for learners in geographically isolated and disadvantaged areas through enhanced connectivity, provision of technological resources, and alternative learning delivery modalities (DepEd, 2021). While these policy frameworks emphasize equitable access and digital inclusion, empirical studies reveal persistent gaps between policy intentions and classroom realities. Research indicates that challenges related to inadequate infrastructure, limited internet connectivity, insufficient technological resources, and varying levels of teacher preparedness continue to hinder effective technology integration, </w:t>
      </w:r>
      <w:r>
        <w:rPr>
          <w:rFonts w:ascii="Arial" w:hAnsi="Arial" w:cs="Arial"/>
        </w:rPr>
        <w:lastRenderedPageBreak/>
        <w:t>particularly in rural and Indigenous educational settings (Agaton &amp; Cueto, 2021; Tuazon &amp; Roxas, 2021; Ramos, 2023). Consequently, disparities in access and implementation remain significant concerns despite ongoing government efforts to promote technology-enhanced learning.</w:t>
      </w:r>
    </w:p>
    <w:p>
      <w:pPr>
        <w:spacing w:line="480" w:lineRule="auto"/>
        <w:jc w:val="both"/>
        <w:rPr>
          <w:rFonts w:ascii="Arial" w:hAnsi="Arial" w:cs="Arial"/>
        </w:rPr>
      </w:pPr>
      <w:r>
        <w:rPr>
          <w:rFonts w:ascii="Arial" w:hAnsi="Arial" w:cs="Arial"/>
        </w:rPr>
        <w:tab/>
        <w:t xml:space="preserve">Local studies indicate that despite DepEd initiatives, many IPEd schools continue to experience shortages in ICT resources and limited teacher training (Ramos, 2023; Capulong &amp; Bautista, 2022). These studies contrast policy-level aspirations with on-the-ground conditions, highlighting the need for research that documents actual classroom practices. The present study contributes to this body of work by providing empirical evidence on how technology is integrated in ELT within IPEd classrooms and how teachers navigate policy expectations and contextual constraints. The reviewed literature collectively affirms that Indigenous Peoples' Education is inseparable from principles of sovereignty, self-determination, and culturally grounded curriculum design, and that these principles must extend into digital and e-learning environments. Studies on Indigenous education emphasize that meaningful educational reform should support community agency, cultural continuity, and the preservation of Indigenous knowledge systems rather than merely expanding access to technology (Bang et al., 2023; McCarty &amp; Lee, 2022; Paris &amp; Alim, 2021). </w:t>
      </w:r>
    </w:p>
    <w:p>
      <w:pPr>
        <w:spacing w:line="480" w:lineRule="auto"/>
        <w:jc w:val="both"/>
        <w:rPr>
          <w:rFonts w:ascii="Arial" w:hAnsi="Arial" w:cs="Arial"/>
        </w:rPr>
      </w:pPr>
      <w:r>
        <w:rPr>
          <w:rFonts w:ascii="Arial" w:hAnsi="Arial" w:cs="Arial"/>
        </w:rPr>
        <w:tab/>
        <w:t xml:space="preserve">While global and Philippine studies consistently document infrastructural inequities, device shortages, and connectivity limitations in geographically isolated </w:t>
      </w:r>
      <w:r>
        <w:rPr>
          <w:rFonts w:ascii="Arial" w:hAnsi="Arial" w:cs="Arial"/>
        </w:rPr>
        <w:lastRenderedPageBreak/>
        <w:t>communities, they also emphasize that digital inclusion involves more than technological access; it requires cultural alignment, community participation, and pedagogical intentionality (Agaton &amp; Cueto, 2021; Tuazon &amp; Roxas, 2021; UNESCO, 2023). Research demonstrates that externally imposed, context-insensitive digital initiatives often fail to sustain meaningful engagement, whereas locally grounded and culturally compatible e-learning approaches show greater sustainability and learner participation (Bang et al., 2023; McCarty &amp; Lee, 2022; Soto et al., 2023).</w:t>
      </w:r>
    </w:p>
    <w:p>
      <w:pPr>
        <w:spacing w:line="480" w:lineRule="auto"/>
        <w:jc w:val="both"/>
        <w:rPr>
          <w:rFonts w:ascii="Arial" w:hAnsi="Arial" w:cs="Arial"/>
        </w:rPr>
      </w:pPr>
      <w:r>
        <w:rPr>
          <w:rFonts w:ascii="Arial" w:hAnsi="Arial" w:cs="Arial"/>
        </w:rPr>
        <w:tab/>
        <w:t xml:space="preserve">In the Philippine context, although policy initiatives seek to expand digital equity, empirical studies reveal persistent gaps between policy aspirations and classroom realities, particularly within IPEd settings (DepEd, 2020; DepEd, 2021). Research indicates that inadequate infrastructure, limited internet connectivity, insufficient digital resources, and contextual barriers continue to affect the implementation of technology-supported instruction in geographically isolated schools (Agaton &amp; Cueto, 2021; Capulong &amp; Bautista, 2022; Tuazon &amp; Roxas, 2021). Moreover, existing scholarship frequently examines digital access and Indigenous sovereignty as separate concerns, with limited investigation into how teachers operationalize technology integration within culturally responsive English instruction under contextual constraints (McCarty &amp; Lee, 2022; Ramos, 2023; Soto et al., 2023). Therefore, there remains a critical need to systematically examine how technology integration practices, learner engagement, and contextual challenges intersect within Indigenous ELT classrooms. The present study </w:t>
      </w:r>
      <w:r>
        <w:rPr>
          <w:rFonts w:ascii="Arial" w:hAnsi="Arial" w:cs="Arial"/>
        </w:rPr>
        <w:lastRenderedPageBreak/>
        <w:t>addresses this gap by mapping technology-supported English instruction in IPEd settings through a structured framework that accounts for sovereignty, contextual realities, and pedagogical depth.</w:t>
      </w:r>
    </w:p>
    <w:p>
      <w:pPr>
        <w:spacing w:line="480" w:lineRule="auto"/>
        <w:jc w:val="both"/>
        <w:rPr>
          <w:rFonts w:ascii="Arial" w:hAnsi="Arial" w:cs="Arial"/>
        </w:rPr>
      </w:pPr>
      <w:r>
        <w:rPr>
          <w:rFonts w:ascii="Arial" w:hAnsi="Arial" w:cs="Arial"/>
        </w:rPr>
        <w:tab/>
        <w:t>Recent developments in DepEd’s digital transformation agenda further reinforce the urgency of strengthening technology integration in geographically isolated schools. Programs such as the Basic Education Learning Continuity Plan, the Digital Rise Program, and the Connecting the Last Mile Schools Program aim to reduce digital disparities through device provision, connectivity enhancement, and teacher capacity-building initiatives (DepEd, 2020; DepEd, 2021). However, studies indicate that the effectiveness of these initiatives depends largely on local implementation conditions and the availability of school-level support systems (Agaton &amp; Cueto, 2021; Capulong &amp; Bautista, 2022). In many IPEd contexts, limited infrastructure, unstable electricity supply, and inadequate internet access continue to restrict the full utilization of these programs, resulting in uneven integration of technology within classroom instruction (Ramos, 2023; Tuazon &amp; Roxas, 2021; UNESCO, 2023).</w:t>
      </w:r>
    </w:p>
    <w:p>
      <w:pPr>
        <w:spacing w:line="480" w:lineRule="auto"/>
        <w:jc w:val="both"/>
        <w:rPr>
          <w:rFonts w:ascii="Arial" w:hAnsi="Arial" w:cs="Arial"/>
        </w:rPr>
      </w:pPr>
      <w:r>
        <w:rPr>
          <w:rFonts w:ascii="Arial" w:hAnsi="Arial" w:cs="Arial"/>
        </w:rPr>
        <w:tab/>
        <w:t xml:space="preserve">Moreover, teacher readiness remains a critical factor in translating policy into actual classroom practice. While national initiatives promote digital competence and technology integration, evidence suggests that many teachers in rural and Indigenous schools require sustained professional development that extends beyond technical training and focuses on pedagogical application, </w:t>
      </w:r>
      <w:r>
        <w:rPr>
          <w:rFonts w:ascii="Arial" w:hAnsi="Arial" w:cs="Arial"/>
        </w:rPr>
        <w:lastRenderedPageBreak/>
        <w:t>contextualization, and culturally responsive instruction (Tondeur et al., 2021; Schmid et al., 2021; Tai, 2022). Research further indicates that insufficient support and limited opportunities for continuous professional learning often result in technology use remaining at substitution or replacement levels rather than progressing toward transformative instructional practices (Ertmer &amp; Ottenbreit-Leftwich, 2023; Redmond &amp; Peled, 2023; Tondeur et al., 2021). Consequently, learners may experience fewer opportunities for interactive, collaborative, and higher-order learning experiences supported by technology.</w:t>
      </w:r>
    </w:p>
    <w:p>
      <w:pPr>
        <w:spacing w:line="480" w:lineRule="auto"/>
        <w:jc w:val="both"/>
        <w:rPr>
          <w:rFonts w:ascii="Arial" w:hAnsi="Arial" w:cs="Arial"/>
        </w:rPr>
      </w:pPr>
      <w:r>
        <w:rPr>
          <w:rFonts w:ascii="Arial" w:hAnsi="Arial" w:cs="Arial"/>
        </w:rPr>
        <w:tab/>
        <w:t xml:space="preserve">The reviewed studies demonstrate that the PICRAT model has been widely utilized as a framework for examining technology integration by assessing learner engagement and instructional technology use (Kimmons, 2020). Existing investigations have primarily employed PICRAT to classify technology-supported activities according to learner participation levels and the extent to which technology replaced, amplified, or transformed instructional practices (Wang, 2023; Vasylyshyna, 2025). These studies contributed valuable insights into technology integration in general education, language learning, and digitally supported classrooms by highlighting the relationship between instructional design and learner engagement (Bond, 2022; Zheng &amp; Warschauer, 2022). However, most applications of PICRAT have been conducted in higher education institutions, urban schools, and technologically equipped learning environments, leaving limited evidence regarding its applicability in geographically isolated and culturally diverse educational settings (Schindler et al., 2021; Wang, 2023). </w:t>
      </w:r>
    </w:p>
    <w:p>
      <w:pPr>
        <w:spacing w:line="480" w:lineRule="auto"/>
        <w:jc w:val="both"/>
        <w:rPr>
          <w:rFonts w:ascii="Arial" w:hAnsi="Arial" w:cs="Arial"/>
        </w:rPr>
      </w:pPr>
      <w:r>
        <w:rPr>
          <w:rFonts w:ascii="Arial" w:hAnsi="Arial" w:cs="Arial"/>
        </w:rPr>
        <w:lastRenderedPageBreak/>
        <w:tab/>
        <w:t xml:space="preserve">Furthermore, previous studies typically examined specific dimensions of technology integration in isolation, such as teacher competence, learner engagement, instructional technology use, or digital readiness (Schmid et al., 2021; Tai, 2022; Tondeur et al., 2021). Limited research has simultaneously examined these variables within a single analytical framework that explains how they interact to influence technology integration outcomes (Bond, 2022; Schindler et al., 2021). More importantly, the application of PICRAT within Indigenous Peoples Education contexts remains largely unexplored, particularly in English Language Teaching, where technology integration must address both language development and cultural responsiveness (Kimmons, 2020; Ramos, 2023; Soto et al., 2023). </w:t>
      </w:r>
    </w:p>
    <w:p>
      <w:pPr>
        <w:spacing w:line="480" w:lineRule="auto"/>
        <w:jc w:val="both"/>
        <w:rPr>
          <w:rFonts w:ascii="Arial" w:hAnsi="Arial" w:cs="Arial"/>
        </w:rPr>
      </w:pPr>
      <w:r>
        <w:rPr>
          <w:rFonts w:ascii="Arial" w:hAnsi="Arial" w:cs="Arial"/>
        </w:rPr>
        <w:tab/>
      </w:r>
      <w:r>
        <w:rPr>
          <w:rFonts w:ascii="Arial" w:hAnsi="Arial" w:cs="Arial"/>
        </w:rPr>
        <w:t>The present study addresses these gaps by employing the PICRAT model to provide a comprehensive examination of technology integration in English Language Teaching within Indigenous Peoples' Education settings. By investigating the interrelationships among teacher competence, learner engagement, instructional practices, RAT-level technology use, and contextual challenges, the study extends the application of PICRAT to an underrepresented educational context and contributes empirical evidence for the development of culturally responsive technology integration interventions (Kimmons, 2020; Tondeur et al., 2021; Zheng &amp; Warschauer, 2022).</w:t>
      </w:r>
    </w:p>
    <w:p>
      <w:pPr>
        <w:spacing w:line="480" w:lineRule="auto"/>
        <w:jc w:val="both"/>
        <w:rPr>
          <w:rFonts w:ascii="Arial" w:hAnsi="Arial" w:cs="Arial"/>
          <w:b/>
        </w:rPr>
      </w:pPr>
    </w:p>
    <w:p>
      <w:pPr>
        <w:spacing w:line="480" w:lineRule="auto"/>
        <w:jc w:val="both"/>
        <w:rPr>
          <w:rFonts w:ascii="Arial" w:hAnsi="Arial" w:cs="Arial"/>
          <w:b/>
        </w:rPr>
      </w:pPr>
      <w:r>
        <w:rPr>
          <w:rFonts w:ascii="Arial" w:hAnsi="Arial" w:cs="Arial"/>
          <w:b/>
        </w:rPr>
        <w:lastRenderedPageBreak/>
        <w:t>Synthesis</w:t>
      </w:r>
    </w:p>
    <w:p>
      <w:pPr>
        <w:spacing w:line="480" w:lineRule="auto"/>
        <w:jc w:val="both"/>
        <w:rPr>
          <w:rFonts w:ascii="Arial" w:hAnsi="Arial" w:cs="Arial"/>
        </w:rPr>
      </w:pPr>
      <w:r>
        <w:rPr>
          <w:rFonts w:ascii="Arial" w:hAnsi="Arial" w:cs="Arial"/>
        </w:rPr>
        <w:tab/>
        <w:t>The reviewed literature and studies reveal several interrelated themes concerning technology integration in English Language Teaching, learner engagement, instructional practices, culturally sustaining pedagogy, and Indigenous Peoples Education. Across international and local contexts, research consistently emphasizes that effective technology integration extends beyond the mere use of digital tools and requires purposeful pedagogical planning, teacher competence, and meaningful learner engagement (Bond, 2022; Schindler et al., 2021; Tondeur et al., 2021). Frameworks such as TPACK and PICRAT have been widely recognized for providing structured approaches to examining how technology influences teaching and learning processes and for explaining how instructional decisions shape learner experiences in technology-supported environments (Kimmons, 2020; Schmid et al., 2021; Tai, 2022). Studies utilizing the PICRAT model have demonstrated its usefulness in evaluating both learner engagement and instructional transformation by examining how technology supports passive, interactive, and creative participation while also assessing whether technology functions as a replacement, amplification, or transformation of instructional practices (Kimmons, 2020; V</w:t>
      </w:r>
      <w:r>
        <w:rPr>
          <w:rFonts w:ascii="Arial" w:hAnsi="Arial" w:cs="Arial"/>
        </w:rPr>
        <w:t xml:space="preserve">asylyshyna, 2025; Wang, 2023). </w:t>
      </w:r>
    </w:p>
    <w:p>
      <w:pPr>
        <w:spacing w:line="480" w:lineRule="auto"/>
        <w:jc w:val="both"/>
        <w:rPr>
          <w:rFonts w:ascii="Arial" w:hAnsi="Arial" w:cs="Arial"/>
        </w:rPr>
      </w:pPr>
      <w:r>
        <w:rPr>
          <w:rFonts w:ascii="Arial" w:hAnsi="Arial" w:cs="Arial"/>
        </w:rPr>
        <w:tab/>
        <w:t xml:space="preserve">Literature on learner engagement highlights the importance of interactive, collaborative, creative, and reflective learning experiences in promoting language acquisition, motivation, and meaningful participation (Gass et al., 2021; Hiver et </w:t>
      </w:r>
      <w:r>
        <w:rPr>
          <w:rFonts w:ascii="Arial" w:hAnsi="Arial" w:cs="Arial"/>
        </w:rPr>
        <w:lastRenderedPageBreak/>
        <w:t>al., 2023; Sato &amp; Loewen, 2022). Research on Culturally Sustaining Pedagogy further underscores the need to align technology-supported instruction with learners’ cultural identities, community knowledge systems, and local contexts (Bang et al., 2023; McCarty &amp; Lee, 2022; Paris &amp; Alim, 2021). Within Indigenous educational settings, studies consistently identify challenges related to digital literacy, access to technology, internet connectivity, localized instructional materials, and professional development opportunities, all of which influence the depth and quality of technology integration (Agaton &amp; Cueto, 2021; Ramos, 2023; Tuazon &amp; Roxas, 2021).</w:t>
      </w:r>
    </w:p>
    <w:p>
      <w:pPr>
        <w:spacing w:line="480" w:lineRule="auto"/>
        <w:jc w:val="both"/>
        <w:rPr>
          <w:rFonts w:ascii="Arial" w:hAnsi="Arial" w:cs="Arial"/>
        </w:rPr>
      </w:pPr>
      <w:r>
        <w:rPr>
          <w:rFonts w:ascii="Arial" w:hAnsi="Arial" w:cs="Arial"/>
        </w:rPr>
        <w:tab/>
        <w:t xml:space="preserve">The body of literature reviewed provides a comprehensive understanding of how technology integration in Indigenous English-language classrooms is a complex, multidimensional process shaped by pedagogical, cultural, technological, and contextual factors (Bang et al., 2023; Tondeur et al., 2021; Zheng &amp; Warschauer, 2022). The reviewed studies suggest that meaningful technology integration cannot be adequately understood by examining a single variable in isolation, as teacher competence, learner engagement, instructional practices, and contextual realities collectively influence the extent to which technology enhances learning experiences (Bond, 2022; Schindler et al., 2021; Schmid et al., 2021). Moreover, evidence indicates that technology-supported instruction becomes more effective when it promotes active participation, authentic communication, cultural relevance, and learner-centered engagement (Hiver et al., 2023; Sato &amp; Loewen, 2022; Zheng &amp; Warschauer, 2022). However, despite the </w:t>
      </w:r>
      <w:r>
        <w:rPr>
          <w:rFonts w:ascii="Arial" w:hAnsi="Arial" w:cs="Arial"/>
        </w:rPr>
        <w:lastRenderedPageBreak/>
        <w:t>growing application of technology integration frameworks, there remains limited empirical evidence examining teacher competence, learner engagement, instructional practices, RAT-level technology use, and contextual challenges simultaneously within Indigenous Peoples Education settings (Kimmons, 2020; Ramos, 2023; Soto et al., 2023).</w:t>
      </w:r>
    </w:p>
    <w:p>
      <w:pPr>
        <w:spacing w:line="480" w:lineRule="auto"/>
        <w:jc w:val="both"/>
        <w:rPr>
          <w:rFonts w:ascii="Arial" w:hAnsi="Arial" w:cs="Arial"/>
        </w:rPr>
      </w:pPr>
      <w:r>
        <w:rPr>
          <w:rFonts w:ascii="Arial" w:hAnsi="Arial" w:cs="Arial"/>
        </w:rPr>
        <w:tab/>
        <w:t xml:space="preserve"> Existing studies have largely focused on technology access, digital readiness, or individual dimensions of technology integration, while very few have employed the PICRAT framework in IPEd contexts, and no known local study has comprehensively examined these variables within a single analytical framework. Consequently, the present study employs the PICRAT model to provide a holistic examination of technology integration in English Language Teaching among Indigenous learners and to generate evidence that may inform culturally responsive and contextually relevant educational interventions.</w:t>
      </w:r>
    </w:p>
    <w:p>
      <w:pPr>
        <w:spacing w:line="480" w:lineRule="auto"/>
        <w:jc w:val="both"/>
        <w:rPr>
          <w:rFonts w:ascii="Arial" w:hAnsi="Arial" w:cs="Arial"/>
        </w:rPr>
      </w:pPr>
    </w:p>
    <w:p>
      <w:pPr>
        <w:spacing w:line="480" w:lineRule="auto"/>
        <w:jc w:val="both"/>
        <w:rPr>
          <w:rFonts w:ascii="Arial" w:hAnsi="Arial" w:cs="Arial"/>
        </w:rPr>
      </w:pPr>
    </w:p>
    <w:p>
      <w:pPr>
        <w:spacing w:line="480" w:lineRule="auto"/>
        <w:jc w:val="both"/>
        <w:rPr>
          <w:rFonts w:ascii="Arial" w:hAnsi="Arial" w:cs="Arial"/>
        </w:rPr>
      </w:pPr>
    </w:p>
    <w:p>
      <w:pPr>
        <w:spacing w:line="480" w:lineRule="auto"/>
        <w:jc w:val="both"/>
        <w:rPr>
          <w:rFonts w:ascii="Arial" w:hAnsi="Arial" w:cs="Arial"/>
        </w:rPr>
      </w:pPr>
    </w:p>
    <w:p>
      <w:pPr>
        <w:spacing w:line="480" w:lineRule="auto"/>
        <w:jc w:val="both"/>
        <w:rPr>
          <w:rFonts w:ascii="Arial" w:hAnsi="Arial" w:cs="Arial"/>
        </w:rPr>
      </w:pPr>
    </w:p>
    <w:p>
      <w:pPr>
        <w:spacing w:line="480" w:lineRule="auto"/>
        <w:jc w:val="both"/>
        <w:rPr>
          <w:rFonts w:ascii="Arial" w:hAnsi="Arial" w:cs="Arial"/>
        </w:rPr>
      </w:pPr>
    </w:p>
    <w:p>
      <w:pPr>
        <w:spacing w:line="480" w:lineRule="auto"/>
        <w:jc w:val="both"/>
        <w:rPr>
          <w:rFonts w:ascii="Arial" w:hAnsi="Arial" w:cs="Arial"/>
        </w:rPr>
      </w:pPr>
    </w:p>
    <w:p>
      <w:pPr>
        <w:spacing w:line="480" w:lineRule="auto"/>
        <w:jc w:val="center"/>
        <w:rPr>
          <w:rFonts w:ascii="Arial" w:hAnsi="Arial" w:cs="Arial"/>
        </w:rPr>
      </w:pPr>
      <w:r>
        <w:rPr>
          <w:rFonts w:ascii="Arial" w:hAnsi="Arial" w:cs="Arial"/>
        </w:rPr>
        <w:lastRenderedPageBreak/>
        <w:t>Chapter 3</w:t>
      </w:r>
    </w:p>
    <w:p>
      <w:pPr>
        <w:spacing w:line="480" w:lineRule="auto"/>
        <w:jc w:val="center"/>
        <w:rPr>
          <w:rFonts w:ascii="Arial" w:hAnsi="Arial" w:cs="Arial"/>
          <w:b/>
        </w:rPr>
      </w:pPr>
      <w:r>
        <w:rPr>
          <w:rFonts w:ascii="Arial" w:hAnsi="Arial" w:cs="Arial"/>
          <w:b/>
        </w:rPr>
        <w:t>RESEARCH METHODOLOGY</w:t>
      </w:r>
    </w:p>
    <w:p>
      <w:pPr>
        <w:spacing w:after="120" w:line="480" w:lineRule="auto"/>
        <w:jc w:val="both"/>
        <w:rPr>
          <w:rFonts w:ascii="Arial" w:eastAsia="Times New Roman" w:hAnsi="Arial" w:cs="Arial"/>
          <w:kern w:val="0"/>
          <w:lang w:val="en-PH" w:eastAsia="en-PH"/>
          <w14:ligatures w14:val="none"/>
        </w:rPr>
      </w:pPr>
      <w:bookmarkStart w:id="0" w:name="_Toc43317921"/>
      <w:r>
        <w:rPr>
          <w:rFonts w:ascii="Arial" w:hAnsi="Arial" w:cs="Arial"/>
        </w:rPr>
        <w:tab/>
      </w:r>
      <w:bookmarkEnd w:id="0"/>
      <w:r>
        <w:rPr>
          <w:rFonts w:ascii="Arial" w:eastAsia="Times New Roman" w:hAnsi="Arial" w:cs="Arial"/>
          <w:kern w:val="0"/>
          <w:lang w:val="en-PH" w:eastAsia="en-PH"/>
          <w14:ligatures w14:val="none"/>
        </w:rPr>
        <w:t>This chapter presents the research design, study locale, respondents, sampling procedure, research instruments, data-gathering procedures, and statistical treatment of data used to examine technology integration in English Language Teaching within Indigenous Peoples Education classrooms through the PICRAT model.</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b/>
          <w:bCs/>
          <w:kern w:val="0"/>
          <w:lang w:val="en-PH" w:eastAsia="en-PH"/>
          <w14:ligatures w14:val="none"/>
        </w:rPr>
        <w:t>Research Design</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t>This study employed a descriptive-correlational research design to examine the levels and relationships among teachers’ competence in technology integration, teachers’ technology integration practices, learners’ technology-supported engagement, RAT-level technology use, and the challenges encountered in integrating technology in English Language Teaching within Indigenous Peoples Education (IPEd) classrooms. According to Creswell and Creswell (2018), descriptive research is appropriate for systematically describing existing conditions, practices, and phenomena as they naturally occur, while correlational research is used to determine the degree and direction of relationships among variables without manipulating them.</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noProof/>
          <w:kern w:val="0"/>
          <w:lang w:val="en-PH" w:eastAsia="en-PH"/>
        </w:rPr>
        <mc:AlternateContent>
          <mc:Choice Requires="wps">
            <w:drawing>
              <wp:anchor distT="0" distB="0" distL="114300" distR="114300" simplePos="0" relativeHeight="251761664" behindDoc="0" locked="0" layoutInCell="1" allowOverlap="1">
                <wp:simplePos x="0" y="0"/>
                <wp:positionH relativeFrom="column">
                  <wp:posOffset>5231081</wp:posOffset>
                </wp:positionH>
                <wp:positionV relativeFrom="paragraph">
                  <wp:posOffset>1167781</wp:posOffset>
                </wp:positionV>
                <wp:extent cx="344384" cy="285008"/>
                <wp:effectExtent l="0" t="0" r="17780" b="20320"/>
                <wp:wrapNone/>
                <wp:docPr id="14" name="Rectangle 14"/>
                <wp:cNvGraphicFramePr/>
                <a:graphic xmlns:a="http://schemas.openxmlformats.org/drawingml/2006/main">
                  <a:graphicData uri="http://schemas.microsoft.com/office/word/2010/wordprocessingShape">
                    <wps:wsp>
                      <wps:cNvSpPr/>
                      <wps:spPr>
                        <a:xfrm>
                          <a:off x="0" y="0"/>
                          <a:ext cx="344384" cy="28500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411.9pt;margin-top:91.95pt;width:27.1pt;height:22.4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" fillcolor="white [3201]" strokecolor="white [3212]" strokeweight="1.5pt"/>
            </w:pict>
          </mc:Fallback>
        </mc:AlternateContent>
      </w:r>
      <w:r>
        <w:rPr>
          <w:rFonts w:ascii="Arial" w:eastAsia="Times New Roman" w:hAnsi="Arial" w:cs="Arial"/>
          <w:kern w:val="0"/>
          <w:lang w:val="en-PH" w:eastAsia="en-PH"/>
          <w14:ligatures w14:val="none"/>
        </w:rPr>
        <w:tab/>
        <w:t xml:space="preserve">This design was considered the most appropriate for the study because it enabled the researcher to describe the current status of technology integration in IPEd English classrooms and examine the relationships among the identified </w:t>
      </w:r>
      <w:r>
        <w:rPr>
          <w:rFonts w:ascii="Arial" w:eastAsia="Times New Roman" w:hAnsi="Arial" w:cs="Arial"/>
          <w:kern w:val="0"/>
          <w:lang w:val="en-PH" w:eastAsia="en-PH"/>
          <w14:ligatures w14:val="none"/>
        </w:rPr>
        <w:lastRenderedPageBreak/>
        <w:t>variables within their natural educational context. Furthermore, the study sought to identify factors that significantly predicted teachers’ RAT-level technology use without introducing any treatment or intervention. Since the variables under investigation already existed and could not be ethically or practically manipulated, a descriptive-correlational approach provided the most suitable means of generating empirical evidence regarding technology integration practices, learner engagement, and contextual challenges in Indigenous educational settings.</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b/>
          <w:bCs/>
          <w:kern w:val="0"/>
          <w:lang w:val="en-PH" w:eastAsia="en-PH"/>
          <w14:ligatures w14:val="none"/>
        </w:rPr>
        <w:t>Research Locale</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t xml:space="preserve">The study was conducted in selected Indigenous Peoples Education schools under DepEd–Tandag District 2 during the School Year 2025–2026. These schools were situated in geographically isolated and culturally distinct communities where access to technological resources, such as digital devices, reliable electricity, and internet connectivity, remained limited. The locale was selected because it represented authentic instructional environments in which English teachers integrated technology under contextual constraints related to infrastructure, cultural considerations, and policy implementation. Research indicated that educational settings in geographically isolated and disadvantaged areas presented unique challenges that directly influence technology integration and instructional practices (Agaton &amp; Cueto, 2021). </w:t>
      </w:r>
    </w:p>
    <w:p>
      <w:pPr>
        <w:spacing w:after="120" w:line="480" w:lineRule="auto"/>
        <w:jc w:val="both"/>
        <w:rPr>
          <w:rFonts w:ascii="Arial" w:eastAsia="Times New Roman" w:hAnsi="Arial" w:cs="Arial"/>
          <w:b/>
          <w:bCs/>
          <w:kern w:val="0"/>
          <w:lang w:val="en-PH" w:eastAsia="en-PH"/>
          <w14:ligatures w14:val="none"/>
        </w:rPr>
      </w:pPr>
    </w:p>
    <w:p>
      <w:pPr>
        <w:spacing w:line="480" w:lineRule="auto"/>
        <w:jc w:val="both"/>
        <w:rPr>
          <w:rFonts w:ascii="Arial" w:hAnsi="Arial" w:cs="Arial"/>
        </w:rPr>
      </w:pPr>
    </w:p>
    <w:p>
      <w:pPr>
        <w:spacing w:line="240" w:lineRule="auto"/>
        <w:jc w:val="both"/>
        <w:rPr>
          <w:rFonts w:ascii="Arial" w:hAnsi="Arial" w:cs="Arial"/>
        </w:rPr>
      </w:pPr>
      <w:r>
        <w:rPr>
          <w:rStyle w:val="BodyTextChar"/>
          <w:rFonts w:ascii="Arial" w:hAnsi="Arial" w:cs="Arial"/>
          <w:noProof/>
          <w:lang w:val="en-PH" w:eastAsia="en-PH"/>
        </w:rPr>
        <w:lastRenderedPageBreak/>
        <w:drawing>
          <wp:anchor distT="0" distB="0" distL="114300" distR="114300" simplePos="0" relativeHeight="251730944" behindDoc="0" locked="0" layoutInCell="1" allowOverlap="1">
            <wp:simplePos x="0" y="0"/>
            <wp:positionH relativeFrom="margin">
              <wp:align>right</wp:align>
            </wp:positionH>
            <wp:positionV relativeFrom="paragraph">
              <wp:posOffset>17780</wp:posOffset>
            </wp:positionV>
            <wp:extent cx="5486400" cy="6705600"/>
            <wp:effectExtent l="0" t="0" r="0" b="0"/>
            <wp:wrapThrough wrapText="bothSides">
              <wp:wrapPolygon edited="0">
                <wp:start x="0" y="0"/>
                <wp:lineTo x="0" y="21539"/>
                <wp:lineTo x="21525" y="21539"/>
                <wp:lineTo x="2152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een and Brown Modern Land Plot Sale Promotion Instagram Pos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6705600"/>
                    </a:xfrm>
                    <a:prstGeom prst="rect">
                      <a:avLst/>
                    </a:prstGeom>
                  </pic:spPr>
                </pic:pic>
              </a:graphicData>
            </a:graphic>
            <wp14:sizeRelH relativeFrom="page">
              <wp14:pctWidth>0</wp14:pctWidth>
            </wp14:sizeRelH>
            <wp14:sizeRelV relativeFrom="page">
              <wp14:pctHeight>0</wp14:pctHeight>
            </wp14:sizeRelV>
          </wp:anchor>
        </w:drawing>
      </w:r>
      <w:r>
        <w:rPr>
          <w:rStyle w:val="BodyTextChar"/>
          <w:rFonts w:ascii="Arial" w:hAnsi="Arial" w:cs="Arial"/>
        </w:rPr>
        <w:t xml:space="preserve">Source: Bing Maps (2026). </w:t>
      </w:r>
      <w:r>
        <w:rPr>
          <w:rStyle w:val="BodyTextChar"/>
          <w:rFonts w:ascii="Arial" w:hAnsi="Arial" w:cs="Arial"/>
          <w:i/>
        </w:rPr>
        <w:t>Location map of selected Indigenous Peoples Education schools in DepEd–Tandag District 2</w:t>
      </w:r>
      <w:r>
        <w:rPr>
          <w:rStyle w:val="BodyTextChar"/>
          <w:rFonts w:ascii="Arial" w:hAnsi="Arial" w:cs="Arial"/>
        </w:rPr>
        <w:t xml:space="preserve">. Retrieved May 11, 2026, from https://www.bing.com/maps?cp=9.065074%7E126.194176&amp;lvl=11&amp;style=r   </w:t>
      </w:r>
      <w:r>
        <w:rPr>
          <w:rFonts w:ascii="Arial" w:hAnsi="Arial" w:cs="Arial"/>
          <w:b/>
        </w:rPr>
        <w:t xml:space="preserve"> </w:t>
      </w:r>
    </w:p>
    <w:p>
      <w:pPr>
        <w:spacing w:line="240" w:lineRule="auto"/>
        <w:jc w:val="center"/>
        <w:rPr>
          <w:rFonts w:ascii="Arial" w:hAnsi="Arial" w:cs="Arial"/>
          <w:b/>
          <w:bCs/>
        </w:rPr>
      </w:pPr>
      <w:r>
        <w:rPr>
          <w:rFonts w:ascii="Arial" w:hAnsi="Arial" w:cs="Arial"/>
          <w:b/>
        </w:rPr>
        <w:t xml:space="preserve"> Figure 2. </w:t>
      </w:r>
      <w:r>
        <w:rPr>
          <w:rFonts w:ascii="Arial" w:hAnsi="Arial" w:cs="Arial"/>
          <w:bCs/>
          <w:i/>
        </w:rPr>
        <w:t>Location Map of the Study</w:t>
      </w:r>
    </w:p>
    <w:p>
      <w:pPr>
        <w:spacing w:line="480" w:lineRule="auto"/>
        <w:jc w:val="both"/>
        <w:rPr>
          <w:rStyle w:val="CommentReference"/>
          <w:rFonts w:ascii="Arial" w:hAnsi="Arial" w:cs="Arial"/>
          <w:sz w:val="24"/>
          <w:szCs w:val="24"/>
        </w:rPr>
      </w:pPr>
      <w:r>
        <w:rPr>
          <w:rFonts w:ascii="Arial" w:hAnsi="Arial" w:cs="Arial"/>
          <w:b/>
        </w:rPr>
        <w:lastRenderedPageBreak/>
        <w:t>Research Respondents</w:t>
      </w:r>
    </w:p>
    <w:p>
      <w:pPr>
        <w:spacing w:line="480" w:lineRule="auto"/>
        <w:jc w:val="both"/>
        <w:rPr>
          <w:rFonts w:ascii="Arial" w:hAnsi="Arial" w:cs="Arial"/>
        </w:rPr>
      </w:pPr>
      <w:r>
        <w:rPr>
          <w:rFonts w:ascii="Arial" w:hAnsi="Arial" w:cs="Arial"/>
        </w:rPr>
        <w:tab/>
      </w:r>
      <w:r>
        <w:rPr>
          <w:rFonts w:ascii="Arial" w:hAnsi="Arial" w:cs="Arial"/>
        </w:rPr>
        <w:t>The study's respondents were all English teachers assigned to Indigenous Peoples Education (IPEd) schools under DepEd–Tandag District 2 during the School Year 2025–2026. The study employed complete enumeration, also known as census sampling, in which all members of the target population were included as respondents. This approach was appropriate because the total number of English teachers handling IPEd classes in the district was relatively small and manageable, making it feasible to include the entire population in the study.</w:t>
      </w:r>
    </w:p>
    <w:p>
      <w:pPr>
        <w:spacing w:line="480" w:lineRule="auto"/>
        <w:jc w:val="both"/>
        <w:rPr>
          <w:rFonts w:ascii="Arial" w:hAnsi="Arial" w:cs="Arial"/>
        </w:rPr>
      </w:pPr>
      <w:r>
        <w:rPr>
          <w:rFonts w:ascii="Arial" w:hAnsi="Arial" w:cs="Arial"/>
        </w:rPr>
        <w:tab/>
        <w:t>According to Creswell and Creswell (2018), complete enumeration is appropriate when the population size is limited and when the researcher seeks to obtain comprehensive data that accurately represent the characteristics of the entire group. In the context of Indigenous Peoples Education, where the number of teachers was limited and instructional contexts varied across schools, involving all eligible teachers helped capture diverse experiences and practices related to technology integration in English Language Teaching.</w:t>
      </w:r>
    </w:p>
    <w:p>
      <w:pPr>
        <w:spacing w:line="480" w:lineRule="auto"/>
        <w:jc w:val="both"/>
        <w:rPr>
          <w:rFonts w:ascii="Arial" w:hAnsi="Arial" w:cs="Arial"/>
        </w:rPr>
      </w:pPr>
      <w:r>
        <w:rPr>
          <w:rFonts w:ascii="Arial" w:hAnsi="Arial" w:cs="Arial"/>
        </w:rPr>
        <w:tab/>
        <w:t xml:space="preserve">The use of complete enumeration allowed the study to provide a more accurate description of teachers’ competence in technology integration, technology integration practices, learners’ technology-supported engagement, RAT-level technology use, and the challenges encountered in IPEd classrooms within the district. These teachers handled English classes across the participating grade levels in their respective schools. The distribution of respondents was as </w:t>
      </w:r>
      <w:r>
        <w:rPr>
          <w:rFonts w:ascii="Arial" w:hAnsi="Arial" w:cs="Arial"/>
        </w:rPr>
        <w:lastRenderedPageBreak/>
        <w:t>follows: Banahao Integrated School (12), Pag-asa Tribal Community Integrated School (10), Hitaob Elementary School (4), and Poog Tribal Community Elementary School (4), for a total of thirty (30) respondents. Because the total number of English teachers in the district was relatively small, a census was conducted, allowing all qualified teachers in the population to participate in the study.</w:t>
      </w:r>
    </w:p>
    <w:p>
      <w:pPr>
        <w:spacing w:line="240" w:lineRule="auto"/>
        <w:jc w:val="both"/>
        <w:rPr>
          <w:rFonts w:ascii="Arial" w:hAnsi="Arial" w:cs="Arial"/>
          <w:b/>
        </w:rPr>
      </w:pPr>
      <w:r>
        <w:rPr>
          <w:rFonts w:ascii="Arial" w:hAnsi="Arial" w:cs="Arial"/>
          <w:b/>
        </w:rPr>
        <w:t xml:space="preserve">Table 1. </w:t>
      </w:r>
      <w:r>
        <w:rPr>
          <w:rFonts w:ascii="Arial" w:hAnsi="Arial" w:cs="Arial"/>
          <w:i/>
        </w:rPr>
        <w:t>Distribution of the Respondents</w:t>
      </w:r>
    </w:p>
    <w:tbl>
      <w:tblPr>
        <w:tblStyle w:val="PlainTable4"/>
        <w:tblW w:w="5008" w:type="pct"/>
        <w:tblLayout w:type="fixed"/>
        <w:tblLook w:val="0660" w:firstRow="1" w:lastRow="1" w:firstColumn="0" w:lastColumn="0" w:noHBand="1" w:noVBand="1"/>
      </w:tblPr>
      <w:tblGrid>
        <w:gridCol w:w="6668"/>
        <w:gridCol w:w="1750"/>
        <w:gridCol w:w="236"/>
      </w:tblGrid>
      <w:tr>
        <w:trPr>
          <w:cnfStyle w:val="100000000000" w:firstRow="1" w:lastRow="0" w:firstColumn="0" w:lastColumn="0" w:oddVBand="0" w:evenVBand="0" w:oddHBand="0" w:evenHBand="0" w:firstRowFirstColumn="0" w:firstRowLastColumn="0" w:lastRowFirstColumn="0" w:lastRowLastColumn="0"/>
          <w:trHeight w:val="228"/>
        </w:trPr>
        <w:tc>
          <w:tcPr>
            <w:tcW w:w="3853" w:type="pct"/>
            <w:tcBorders>
              <w:top w:val="single" w:sz="4" w:space="0" w:color="auto"/>
              <w:bottom w:val="single" w:sz="4" w:space="0" w:color="auto"/>
            </w:tcBorders>
            <w:noWrap/>
          </w:tcPr>
          <w:p>
            <w:pPr>
              <w:jc w:val="both"/>
              <w:rPr>
                <w:rFonts w:ascii="Arial" w:hAnsi="Arial" w:cs="Arial"/>
              </w:rPr>
            </w:pPr>
            <w:r>
              <w:rPr>
                <w:rFonts w:ascii="Arial" w:hAnsi="Arial" w:cs="Arial"/>
              </w:rPr>
              <w:t>School Name</w:t>
            </w:r>
          </w:p>
        </w:tc>
        <w:tc>
          <w:tcPr>
            <w:tcW w:w="1011" w:type="pct"/>
            <w:tcBorders>
              <w:top w:val="single" w:sz="4" w:space="0" w:color="auto"/>
              <w:bottom w:val="single" w:sz="4" w:space="0" w:color="auto"/>
            </w:tcBorders>
          </w:tcPr>
          <w:p>
            <w:pPr>
              <w:jc w:val="both"/>
              <w:rPr>
                <w:rFonts w:ascii="Arial" w:hAnsi="Arial" w:cs="Arial"/>
              </w:rPr>
            </w:pPr>
            <w:r>
              <w:rPr>
                <w:rFonts w:ascii="Arial" w:hAnsi="Arial" w:cs="Arial"/>
              </w:rPr>
              <w:t>Respondents</w:t>
            </w:r>
          </w:p>
        </w:tc>
        <w:tc>
          <w:tcPr>
            <w:tcW w:w="136" w:type="pct"/>
            <w:tcBorders>
              <w:top w:val="single" w:sz="4" w:space="0" w:color="auto"/>
              <w:bottom w:val="single" w:sz="4" w:space="0" w:color="auto"/>
            </w:tcBorders>
          </w:tcPr>
          <w:p>
            <w:pPr>
              <w:jc w:val="center"/>
              <w:rPr>
                <w:rFonts w:ascii="Arial" w:hAnsi="Arial" w:cs="Arial"/>
              </w:rPr>
            </w:pPr>
          </w:p>
        </w:tc>
      </w:tr>
      <w:tr>
        <w:trPr>
          <w:trHeight w:val="228"/>
        </w:trPr>
        <w:tc>
          <w:tcPr>
            <w:tcW w:w="3853" w:type="pct"/>
            <w:tcBorders>
              <w:top w:val="single" w:sz="4" w:space="0" w:color="auto"/>
            </w:tcBorders>
            <w:noWrap/>
          </w:tcPr>
          <w:p>
            <w:pPr>
              <w:jc w:val="both"/>
              <w:rPr>
                <w:rFonts w:ascii="Arial" w:hAnsi="Arial" w:cs="Arial"/>
                <w:b/>
              </w:rPr>
            </w:pPr>
          </w:p>
        </w:tc>
        <w:tc>
          <w:tcPr>
            <w:tcW w:w="1011" w:type="pct"/>
            <w:tcBorders>
              <w:top w:val="single" w:sz="4" w:space="0" w:color="auto"/>
            </w:tcBorders>
          </w:tcPr>
          <w:p>
            <w:pPr>
              <w:jc w:val="both"/>
              <w:rPr>
                <w:rFonts w:ascii="Arial" w:hAnsi="Arial" w:cs="Arial"/>
                <w:b/>
              </w:rPr>
            </w:pPr>
          </w:p>
        </w:tc>
        <w:tc>
          <w:tcPr>
            <w:tcW w:w="136" w:type="pct"/>
            <w:tcBorders>
              <w:top w:val="single" w:sz="4" w:space="0" w:color="auto"/>
            </w:tcBorders>
          </w:tcPr>
          <w:p>
            <w:pPr>
              <w:jc w:val="both"/>
              <w:rPr>
                <w:rFonts w:ascii="Arial" w:hAnsi="Arial" w:cs="Arial"/>
              </w:rPr>
            </w:pPr>
          </w:p>
        </w:tc>
      </w:tr>
      <w:tr>
        <w:trPr>
          <w:trHeight w:val="442"/>
        </w:trPr>
        <w:tc>
          <w:tcPr>
            <w:tcW w:w="3853" w:type="pct"/>
            <w:noWrap/>
          </w:tcPr>
          <w:p>
            <w:pPr>
              <w:jc w:val="both"/>
              <w:rPr>
                <w:rFonts w:ascii="Arial" w:hAnsi="Arial" w:cs="Arial"/>
              </w:rPr>
            </w:pPr>
            <w:r>
              <w:rPr>
                <w:rFonts w:ascii="Arial" w:hAnsi="Arial" w:cs="Arial"/>
              </w:rPr>
              <w:t>Banahao Integrated School</w:t>
            </w:r>
          </w:p>
        </w:tc>
        <w:tc>
          <w:tcPr>
            <w:tcW w:w="1011" w:type="pct"/>
          </w:tcPr>
          <w:p>
            <w:pPr>
              <w:rPr>
                <w:rFonts w:ascii="Arial" w:hAnsi="Arial" w:cs="Arial"/>
              </w:rPr>
            </w:pPr>
            <w:r>
              <w:rPr>
                <w:rFonts w:ascii="Arial" w:hAnsi="Arial" w:cs="Arial"/>
              </w:rPr>
              <w:t xml:space="preserve">       12</w:t>
            </w:r>
          </w:p>
        </w:tc>
        <w:tc>
          <w:tcPr>
            <w:tcW w:w="136" w:type="pct"/>
          </w:tcPr>
          <w:p>
            <w:pPr>
              <w:jc w:val="both"/>
              <w:rPr>
                <w:rFonts w:ascii="Arial" w:hAnsi="Arial" w:cs="Arial"/>
              </w:rPr>
            </w:pPr>
          </w:p>
        </w:tc>
      </w:tr>
      <w:tr>
        <w:trPr>
          <w:trHeight w:val="442"/>
        </w:trPr>
        <w:tc>
          <w:tcPr>
            <w:tcW w:w="3853" w:type="pct"/>
            <w:noWrap/>
          </w:tcPr>
          <w:p>
            <w:pPr>
              <w:jc w:val="both"/>
              <w:rPr>
                <w:rFonts w:ascii="Arial" w:hAnsi="Arial" w:cs="Arial"/>
              </w:rPr>
            </w:pPr>
            <w:r>
              <w:rPr>
                <w:rFonts w:ascii="Arial" w:hAnsi="Arial" w:cs="Arial"/>
              </w:rPr>
              <w:t>Hitaob Elementary School</w:t>
            </w:r>
          </w:p>
        </w:tc>
        <w:tc>
          <w:tcPr>
            <w:tcW w:w="1011" w:type="pct"/>
          </w:tcPr>
          <w:p>
            <w:pPr>
              <w:jc w:val="both"/>
              <w:rPr>
                <w:rFonts w:ascii="Arial" w:hAnsi="Arial" w:cs="Arial"/>
              </w:rPr>
            </w:pPr>
            <w:r>
              <w:rPr>
                <w:rFonts w:ascii="Arial" w:hAnsi="Arial" w:cs="Arial"/>
              </w:rPr>
              <w:t xml:space="preserve">        4</w:t>
            </w:r>
          </w:p>
        </w:tc>
        <w:tc>
          <w:tcPr>
            <w:tcW w:w="136" w:type="pct"/>
          </w:tcPr>
          <w:p>
            <w:pPr>
              <w:jc w:val="both"/>
              <w:rPr>
                <w:rFonts w:ascii="Arial" w:hAnsi="Arial" w:cs="Arial"/>
              </w:rPr>
            </w:pPr>
          </w:p>
        </w:tc>
      </w:tr>
      <w:tr>
        <w:trPr>
          <w:trHeight w:val="442"/>
        </w:trPr>
        <w:tc>
          <w:tcPr>
            <w:tcW w:w="3853" w:type="pct"/>
            <w:noWrap/>
          </w:tcPr>
          <w:p>
            <w:pPr>
              <w:jc w:val="both"/>
              <w:rPr>
                <w:rFonts w:ascii="Arial" w:hAnsi="Arial" w:cs="Arial"/>
              </w:rPr>
            </w:pPr>
            <w:r>
              <w:rPr>
                <w:rFonts w:ascii="Arial" w:hAnsi="Arial" w:cs="Arial"/>
              </w:rPr>
              <w:t>Pag-asa Tribal Community Integrated School</w:t>
            </w:r>
          </w:p>
        </w:tc>
        <w:tc>
          <w:tcPr>
            <w:tcW w:w="1011" w:type="pct"/>
          </w:tcPr>
          <w:p>
            <w:pPr>
              <w:jc w:val="both"/>
              <w:rPr>
                <w:rFonts w:ascii="Arial" w:hAnsi="Arial" w:cs="Arial"/>
              </w:rPr>
            </w:pPr>
            <w:r>
              <w:rPr>
                <w:rFonts w:ascii="Arial" w:hAnsi="Arial" w:cs="Arial"/>
              </w:rPr>
              <w:t xml:space="preserve">       10</w:t>
            </w:r>
          </w:p>
        </w:tc>
        <w:tc>
          <w:tcPr>
            <w:tcW w:w="136" w:type="pct"/>
          </w:tcPr>
          <w:p>
            <w:pPr>
              <w:jc w:val="both"/>
              <w:rPr>
                <w:rFonts w:ascii="Arial" w:hAnsi="Arial" w:cs="Arial"/>
              </w:rPr>
            </w:pPr>
          </w:p>
        </w:tc>
      </w:tr>
      <w:tr>
        <w:trPr>
          <w:trHeight w:val="429"/>
        </w:trPr>
        <w:tc>
          <w:tcPr>
            <w:tcW w:w="3853" w:type="pct"/>
            <w:noWrap/>
          </w:tcPr>
          <w:p>
            <w:pPr>
              <w:jc w:val="both"/>
              <w:rPr>
                <w:rFonts w:ascii="Arial" w:hAnsi="Arial" w:cs="Arial"/>
              </w:rPr>
            </w:pPr>
            <w:r>
              <w:rPr>
                <w:rFonts w:ascii="Arial" w:hAnsi="Arial" w:cs="Arial"/>
              </w:rPr>
              <w:t>Poog Tribal Community Integrated School</w:t>
            </w:r>
          </w:p>
        </w:tc>
        <w:tc>
          <w:tcPr>
            <w:tcW w:w="1011" w:type="pct"/>
          </w:tcPr>
          <w:p>
            <w:pPr>
              <w:jc w:val="both"/>
              <w:rPr>
                <w:rFonts w:ascii="Arial" w:hAnsi="Arial" w:cs="Arial"/>
              </w:rPr>
            </w:pPr>
            <w:r>
              <w:rPr>
                <w:rFonts w:ascii="Arial" w:hAnsi="Arial" w:cs="Arial"/>
              </w:rPr>
              <w:t xml:space="preserve">        4</w:t>
            </w:r>
          </w:p>
        </w:tc>
        <w:tc>
          <w:tcPr>
            <w:tcW w:w="136" w:type="pct"/>
          </w:tcPr>
          <w:p>
            <w:pPr>
              <w:jc w:val="both"/>
              <w:rPr>
                <w:rFonts w:ascii="Arial" w:hAnsi="Arial" w:cs="Arial"/>
              </w:rPr>
            </w:pPr>
          </w:p>
        </w:tc>
      </w:tr>
      <w:tr>
        <w:trPr>
          <w:cnfStyle w:val="010000000000" w:firstRow="0" w:lastRow="1" w:firstColumn="0" w:lastColumn="0" w:oddVBand="0" w:evenVBand="0" w:oddHBand="0" w:evenHBand="0" w:firstRowFirstColumn="0" w:firstRowLastColumn="0" w:lastRowFirstColumn="0" w:lastRowLastColumn="0"/>
          <w:trHeight w:val="456"/>
        </w:trPr>
        <w:tc>
          <w:tcPr>
            <w:tcW w:w="3853" w:type="pct"/>
            <w:tcBorders>
              <w:bottom w:val="single" w:sz="4" w:space="0" w:color="auto"/>
            </w:tcBorders>
            <w:noWrap/>
          </w:tcPr>
          <w:p>
            <w:pPr>
              <w:jc w:val="both"/>
              <w:rPr>
                <w:rFonts w:ascii="Arial" w:hAnsi="Arial" w:cs="Arial"/>
              </w:rPr>
            </w:pPr>
            <w:r>
              <w:rPr>
                <w:rFonts w:ascii="Arial" w:hAnsi="Arial" w:cs="Arial"/>
              </w:rPr>
              <w:t>Total</w:t>
            </w:r>
          </w:p>
        </w:tc>
        <w:tc>
          <w:tcPr>
            <w:tcW w:w="1011" w:type="pct"/>
            <w:tcBorders>
              <w:bottom w:val="single" w:sz="4" w:space="0" w:color="auto"/>
            </w:tcBorders>
          </w:tcPr>
          <w:p>
            <w:pPr>
              <w:jc w:val="both"/>
              <w:rPr>
                <w:rFonts w:ascii="Arial" w:hAnsi="Arial" w:cs="Arial"/>
              </w:rPr>
            </w:pPr>
            <w:r>
              <w:rPr>
                <w:rFonts w:ascii="Arial" w:hAnsi="Arial" w:cs="Arial"/>
              </w:rPr>
              <w:t xml:space="preserve">       30</w:t>
            </w:r>
          </w:p>
        </w:tc>
        <w:tc>
          <w:tcPr>
            <w:tcW w:w="136" w:type="pct"/>
            <w:tcBorders>
              <w:bottom w:val="single" w:sz="4" w:space="0" w:color="auto"/>
            </w:tcBorders>
          </w:tcPr>
          <w:p>
            <w:pPr>
              <w:jc w:val="both"/>
              <w:rPr>
                <w:rFonts w:ascii="Arial" w:hAnsi="Arial" w:cs="Arial"/>
              </w:rPr>
            </w:pPr>
          </w:p>
        </w:tc>
      </w:tr>
    </w:tbl>
    <w:p>
      <w:pPr>
        <w:spacing w:after="0" w:line="240" w:lineRule="auto"/>
        <w:jc w:val="both"/>
        <w:rPr>
          <w:rFonts w:ascii="Arial" w:hAnsi="Arial" w:cs="Arial"/>
          <w:i/>
        </w:rPr>
      </w:pPr>
    </w:p>
    <w:p>
      <w:pPr>
        <w:spacing w:after="0" w:line="240" w:lineRule="auto"/>
        <w:jc w:val="both"/>
        <w:rPr>
          <w:rFonts w:ascii="Arial" w:hAnsi="Arial" w:cs="Arial"/>
          <w:i/>
        </w:rPr>
      </w:pPr>
    </w:p>
    <w:p>
      <w:pPr>
        <w:spacing w:line="360" w:lineRule="auto"/>
        <w:jc w:val="both"/>
        <w:rPr>
          <w:rFonts w:ascii="Arial" w:hAnsi="Arial" w:cs="Arial"/>
          <w:b/>
        </w:rPr>
      </w:pPr>
      <w:r>
        <w:rPr>
          <w:rFonts w:ascii="Arial" w:hAnsi="Arial" w:cs="Arial"/>
          <w:b/>
        </w:rPr>
        <w:t xml:space="preserve">Research Instrument </w:t>
      </w:r>
    </w:p>
    <w:p>
      <w:pPr>
        <w:spacing w:line="480" w:lineRule="auto"/>
        <w:jc w:val="both"/>
        <w:rPr>
          <w:rFonts w:ascii="Arial" w:hAnsi="Arial" w:cs="Arial"/>
        </w:rPr>
      </w:pPr>
      <w:r>
        <w:rPr>
          <w:rFonts w:ascii="Arial" w:hAnsi="Arial" w:cs="Arial"/>
        </w:rPr>
        <w:tab/>
        <w:t xml:space="preserve">The primary data-gathering instrument used in this study was a researcher-made questionnaire designed to collect quantitative data on teachers’ competence in technology integration, technology-supported learner engagement, teachers’ technology integration practices, RAT-level technology use, and the challenges encountered in integrating technology in English Language Teaching within Indigenous Peoples Education (IPEd) classrooms. The development of the questionnaire was guided by the Statement of the Problem and anchored on the </w:t>
      </w:r>
      <w:r>
        <w:rPr>
          <w:rFonts w:ascii="Arial" w:hAnsi="Arial" w:cs="Arial"/>
        </w:rPr>
        <w:lastRenderedPageBreak/>
        <w:t>PICRAT model to ensure alignment between the research objectives, variables, and instrument indicators.</w:t>
      </w:r>
    </w:p>
    <w:p>
      <w:pPr>
        <w:spacing w:line="480" w:lineRule="auto"/>
        <w:jc w:val="both"/>
        <w:rPr>
          <w:rFonts w:ascii="Arial" w:hAnsi="Arial" w:cs="Arial"/>
        </w:rPr>
      </w:pPr>
      <w:r>
        <w:rPr>
          <w:rFonts w:ascii="Arial" w:hAnsi="Arial" w:cs="Arial"/>
        </w:rPr>
        <w:tab/>
        <w:t>The questionnaire consisted of five major sections corresponding to the key variables of the study. The first section measured teachers’ competence in integrating technology in terms of PICRAT-based pedagogical knowledge, cultural responsiveness and contextualization, technology knowledge and adaptive proficiency, access to technological resources, and reflective teaching practice. The second section assessed learners’ levels of technology-supported engagement in English lessons in terms of passive, interactive, collaborative, creative, and reflective or metacognitive engagement. The third section measured teachers’ technology integration practices in terms of active knowledge-building facilitation, prior knowledge activation, inquiry and problem-solving, dialogue and collaboration, and culturally responsive task design. The fourth section assessed teachers’ RAT-level technology use in terms of Replacement, Amplification, and Transformation. The fifth section identified the extent of challenges encountered in implementing technology-supported English instruction within Indigenous educational settings.</w:t>
      </w:r>
    </w:p>
    <w:p>
      <w:pPr>
        <w:spacing w:line="480" w:lineRule="auto"/>
        <w:jc w:val="both"/>
        <w:rPr>
          <w:rFonts w:ascii="Arial" w:hAnsi="Arial" w:cs="Arial"/>
        </w:rPr>
      </w:pPr>
      <w:r>
        <w:rPr>
          <w:rFonts w:ascii="Arial" w:hAnsi="Arial" w:cs="Arial"/>
        </w:rPr>
        <w:tab/>
        <w:t xml:space="preserve">All questionnaire items were structured using a five-point Likert scale, with response options ranging from Strongly Disagree to Strongly Agree. Likert-scale instruments are appropriate for measuring perceptions, attitudes, and self-reported practices and are widely used in descriptive and correlational educational research </w:t>
      </w:r>
      <w:r>
        <w:rPr>
          <w:rFonts w:ascii="Arial" w:hAnsi="Arial" w:cs="Arial"/>
        </w:rPr>
        <w:lastRenderedPageBreak/>
        <w:t>(Creswell &amp; Creswell, 2018; Fraenkel, Wallen, &amp; Hyun, 2019). The use of a standardized response scale will allow for the computation of weighted means, standard deviations, and correlational statistics required to address the research questions.</w:t>
      </w:r>
    </w:p>
    <w:p>
      <w:pPr>
        <w:spacing w:line="480" w:lineRule="auto"/>
        <w:jc w:val="both"/>
        <w:rPr>
          <w:rFonts w:ascii="Arial" w:hAnsi="Arial" w:cs="Arial"/>
        </w:rPr>
      </w:pPr>
      <w:r>
        <w:rPr>
          <w:rFonts w:ascii="Arial" w:hAnsi="Arial" w:cs="Arial"/>
        </w:rPr>
        <w:tab/>
        <w:t>To establish the content validity of the research instrument, the researcher-made questionnaire underwent expert validation by five (5) qualified validators from the Department of Education–Tandag City Division, consisting of one (1) Schools Governance and Operations Division (SGOD) Chief and four (4) Education Program Supervisors (EPSs). The validators possessed expertise in English Language Teaching, curriculum implementation, educational research, Indigenous Peoples Education, instructional supervision, and technology integration. They evaluated the instrument based on its clarity, relevance, content adequacy, organization, appropriateness of language, and alignment with the Statement of the Problem and the PICRAT framework. Following the validation process, several revisions were incorporated to improve the quality of the instrument. These revisions included the rewording of selected items for greater clarity and measurability, refinement of sentence structures, and enhancement of the alignment between the questionnaire indicators and the study variables. Suggestions related to cultural responsiveness, contextual appropriateness, and technology integration within Indigenous educational settings were likewise considered in the final revision of the instrument.</w:t>
      </w:r>
    </w:p>
    <w:p>
      <w:pPr>
        <w:spacing w:line="480" w:lineRule="auto"/>
        <w:jc w:val="both"/>
        <w:rPr>
          <w:rFonts w:ascii="Arial" w:hAnsi="Arial" w:cs="Arial"/>
        </w:rPr>
      </w:pPr>
      <w:r>
        <w:rPr>
          <w:rFonts w:ascii="Arial" w:hAnsi="Arial" w:cs="Arial"/>
        </w:rPr>
        <w:lastRenderedPageBreak/>
        <w:tab/>
        <w:t>After the validation process, the revised questionnaire was pilot-tested among English teachers who were not included in the actual respondents of the study to determine its reliability and internal consistency. Reliability testing using Cronbach’s alpha yielded coefficients of .859 for Teachers’ Competence in Integrating Technology, .814 for Technology-Supported Learner Engagement, .855 for Teachers’ Technology Integration Practices, .843 for RAT-Level Technology Use, and .840 for Challenges in Indigenizing English Language Teaching Through Technology, all of which were interpreted as having good reliability. Based on the recommendations of the statistician, Indicator 1 under Passive Engagement, Indicator 3 under Interactive Engagement, and Indicator 7 under Challenges in Technology Integration were removed to further improve the consistency of the instrument. The obtained reliability coefficients indicated that all sections of the questionnaire demonstrated satisfactory internal consistency and were appropriate for use in the conduct of the study, thereby establishing the instrument's suitability for data collection.</w:t>
      </w:r>
    </w:p>
    <w:p>
      <w:pPr>
        <w:spacing w:line="480" w:lineRule="auto"/>
        <w:jc w:val="both"/>
        <w:rPr>
          <w:rFonts w:ascii="Arial" w:hAnsi="Arial" w:cs="Arial"/>
        </w:rPr>
      </w:pPr>
      <w:r>
        <w:rPr>
          <w:rFonts w:ascii="Arial" w:hAnsi="Arial" w:cs="Arial"/>
          <w:b/>
        </w:rPr>
        <w:t xml:space="preserve">Data Gathering Procedure </w:t>
      </w:r>
    </w:p>
    <w:p>
      <w:pPr>
        <w:spacing w:after="120" w:line="480" w:lineRule="auto"/>
        <w:jc w:val="both"/>
        <w:rPr>
          <w:rFonts w:ascii="Arial" w:eastAsia="Times New Roman" w:hAnsi="Arial" w:cs="Arial"/>
          <w:kern w:val="0"/>
          <w:lang w:val="en-PH" w:eastAsia="en-PH"/>
          <w14:ligatures w14:val="none"/>
        </w:rPr>
      </w:pPr>
      <w:r>
        <w:rPr>
          <w:rFonts w:ascii="Arial" w:hAnsi="Arial" w:cs="Arial"/>
          <w:b/>
        </w:rPr>
        <w:tab/>
      </w:r>
      <w:r>
        <w:rPr>
          <w:rFonts w:ascii="Arial" w:eastAsia="Times New Roman" w:hAnsi="Arial" w:cs="Arial"/>
          <w:kern w:val="0"/>
          <w:lang w:val="en-PH" w:eastAsia="en-PH"/>
          <w14:ligatures w14:val="none"/>
        </w:rPr>
        <w:t xml:space="preserve">The data-gathering process was conducted systematically to ensure the accuracy, consistency, and integrity of the research procedures. Prior to conducting the study, the researcher obtained the necessary approvals and permissions from the appropriate authorities. A formal letter requesting permission to conduct the study was submitted to the Schools Division Superintendent of </w:t>
      </w:r>
      <w:r>
        <w:rPr>
          <w:rFonts w:ascii="Arial" w:eastAsia="Times New Roman" w:hAnsi="Arial" w:cs="Arial"/>
          <w:kern w:val="0"/>
          <w:lang w:val="en-PH" w:eastAsia="en-PH"/>
          <w14:ligatures w14:val="none"/>
        </w:rPr>
        <w:lastRenderedPageBreak/>
        <w:t>DepEd–Tandag City. Upon approval, endorsements were secured from the District Supervisor and the school heads of the participating Indigenous Peoples Education (IPEd) schools. These approvals authorized the researcher to administer the research instrument and collect data from the identified respondents.</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t>Before the actual data collection, the researcher finalized the research instrument through content validation and pilot testing. The questionnaire underwent expert validation by qualified education professionals from the Department of Education–Tandag City Division and was subsequently pilot-tested with English teachers who were not included among the study's actual respondents. Necessary revisions were incorporated based on the validators' recommendations and the results of the reliability testing. After the instrument was finalized, the researcher coordinated with the school heads to determine appropriate schedules for administering the questionnaire and to minimize disruption to school activities.</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t xml:space="preserve">During data collection, the researcher personally visited the participating schools and conducted an orientation for the respondents. The purpose of the study, the voluntary nature of participation, confidentiality measures, and the procedures for completing the questionnaire were explained to the respondents. Informed consent was secured prior to the administration of the instrument. The validated questionnaire was then administered in person to all English teachers </w:t>
      </w:r>
      <w:r>
        <w:rPr>
          <w:rFonts w:ascii="Arial" w:eastAsia="Times New Roman" w:hAnsi="Arial" w:cs="Arial"/>
          <w:kern w:val="0"/>
          <w:lang w:val="en-PH" w:eastAsia="en-PH"/>
          <w14:ligatures w14:val="none"/>
        </w:rPr>
        <w:lastRenderedPageBreak/>
        <w:t>identified through a complete enumeration. Standardized instructions were provided to ensure uniform understanding of the questionnaire items and to minimize potential bias or misinterpretation. The researcher remained available throughout the administration process to answer questions and clarify instructions whenever necessary.</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t>Upon completion of the questionnaire, the completed instruments were immediately retrieved and checked for completeness and accuracy. Any incomplete responses were verified, whenever appropriate, while preserving the integrity of the respondents’ answers. The collected data were then coded and organized in a statistical software program for analysis. Responses were classified according to the variables identified in the Statement of the Problem to ensure alignment with the research objectives. Finally, all research data were stored securely in both printed and electronic formats, with access limited solely to the researcher. These procedures ensured the orderly collection, management, and analysis of data throughout the study.</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b/>
          <w:bCs/>
          <w:kern w:val="0"/>
          <w:lang w:val="en-PH" w:eastAsia="en-PH"/>
          <w14:ligatures w14:val="none"/>
        </w:rPr>
        <w:t>Ethical Considerations</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t xml:space="preserve">Ethical considerations were carefully observed throughout the study to protect the dignity and rights of all respondents, particularly in the context of Indigenous Peoples Education (IPEd). Prior to data collection, permission to conduct the study was secured from the National Commission on Indigenous Peoples (NCIP)–Surigao del Sur, the Indigenous Peoples Mandatory </w:t>
      </w:r>
      <w:r>
        <w:rPr>
          <w:rFonts w:ascii="Arial" w:eastAsia="Times New Roman" w:hAnsi="Arial" w:cs="Arial"/>
          <w:kern w:val="0"/>
          <w:lang w:val="en-PH" w:eastAsia="en-PH"/>
          <w14:ligatures w14:val="none"/>
        </w:rPr>
        <w:lastRenderedPageBreak/>
        <w:t>Representative (IPMR) of Tandag City, the Education Program Supervisor (EPS) in IPEd, and the school heads of the participating schools. Ethical considerations, including voluntary participation, informed consent, anonymity, confidentiality of responses, cultural sensitivity, and data privacy, were clearly communicated to all respondents. Respondents were informed that their participation was entirely voluntary and that they could withdraw from the study at any point without any consequences or penalties. Informed consent forms were provided and attached to the study's annexes.</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t>To ensure confidentiality and anonymity, respondents were not required to disclose personal information that could directly identify them unless they chose to do so voluntarily. Codes or numerical identifiers were used instead of names during data organization and analysis. All responses were treated with strict confidentiality and were used solely for academic and research purposes. The collected data were securely stored in password-protected electronic files and in secure printed copies, accessible only to the researcher.</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t xml:space="preserve">Given that the study involved Indigenous Peoples' Education communities, particular attention was paid to protecting Indigenous learners, teachers, and communities from potential cultural misrepresentation or misuse of information. The study also demonstrated cultural sensitivity by recognizing the importance of contextualized, community-responsive educational practices in IPEd settings. Respect for Indigenous knowledge systems and cultural practices was maintained </w:t>
      </w:r>
      <w:r>
        <w:rPr>
          <w:rFonts w:ascii="Arial" w:eastAsia="Times New Roman" w:hAnsi="Arial" w:cs="Arial"/>
          <w:kern w:val="0"/>
          <w:lang w:val="en-PH" w:eastAsia="en-PH"/>
          <w14:ligatures w14:val="none"/>
        </w:rPr>
        <w:lastRenderedPageBreak/>
        <w:t>throughout the research. Furthermore, the study complied with data privacy principles by ensuring that all collected information would not be disclosed, reproduced, or shared with unauthorized individuals or institutions. All collected data will be properly disposed of upon completion of the study, in accordance with ethical research standards and data privacy protocols.</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b/>
          <w:bCs/>
          <w:kern w:val="0"/>
          <w:lang w:val="en-PH" w:eastAsia="en-PH"/>
          <w14:ligatures w14:val="none"/>
        </w:rPr>
        <w:t xml:space="preserve">Statistical Treatment </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t xml:space="preserve">The quantitative data gathered in this study were analyzed using appropriate descriptive and inferential statistical tools aligned with the research objectives and variables. </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b/>
          <w:bCs/>
          <w:kern w:val="0"/>
          <w:lang w:val="en-PH" w:eastAsia="en-PH"/>
          <w14:ligatures w14:val="none"/>
        </w:rPr>
        <w:tab/>
        <w:t>Weighted Mean</w:t>
      </w:r>
      <w:r>
        <w:rPr>
          <w:rFonts w:ascii="Arial" w:eastAsia="Times New Roman" w:hAnsi="Arial" w:cs="Arial"/>
          <w:kern w:val="0"/>
          <w:lang w:val="en-PH" w:eastAsia="en-PH"/>
          <w14:ligatures w14:val="none"/>
        </w:rPr>
        <w:t xml:space="preserve"> and </w:t>
      </w:r>
      <w:r>
        <w:rPr>
          <w:rFonts w:ascii="Arial" w:eastAsia="Times New Roman" w:hAnsi="Arial" w:cs="Arial"/>
          <w:b/>
          <w:bCs/>
          <w:kern w:val="0"/>
          <w:lang w:val="en-PH" w:eastAsia="en-PH"/>
          <w14:ligatures w14:val="none"/>
        </w:rPr>
        <w:t>Standard Deviation</w:t>
      </w:r>
      <w:r>
        <w:rPr>
          <w:rFonts w:ascii="Arial" w:eastAsia="Times New Roman" w:hAnsi="Arial" w:cs="Arial"/>
          <w:kern w:val="0"/>
          <w:lang w:val="en-PH" w:eastAsia="en-PH"/>
          <w14:ligatures w14:val="none"/>
        </w:rPr>
        <w:t xml:space="preserve"> were utilized to determine the level of teachers’ competence in integrating technology, the extent of technology-supported learner engagement, the level of teachers’ technology integration practices based on PICRAT-aligned instructional processes, the extent to which teachers’ technology use reflected the RAT dimensions, and the extent of challenges encountered in integrating technology in ELT.</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b/>
          <w:bCs/>
          <w:kern w:val="0"/>
          <w:lang w:val="en-PH" w:eastAsia="en-PH"/>
          <w14:ligatures w14:val="none"/>
        </w:rPr>
        <w:tab/>
        <w:t xml:space="preserve">Pearson Product-Moment Correlation Coefficient (r) </w:t>
      </w:r>
      <w:r>
        <w:rPr>
          <w:rFonts w:ascii="Arial" w:eastAsia="Times New Roman" w:hAnsi="Arial" w:cs="Arial"/>
          <w:kern w:val="0"/>
          <w:lang w:val="en-PH" w:eastAsia="en-PH"/>
          <w14:ligatures w14:val="none"/>
        </w:rPr>
        <w:t xml:space="preserve">was employed to determine the significant relationships among the variables. </w:t>
      </w:r>
      <w:r>
        <w:rPr>
          <w:rFonts w:ascii="Arial" w:eastAsia="Times New Roman" w:hAnsi="Arial" w:cs="Arial"/>
          <w:b/>
          <w:bCs/>
          <w:kern w:val="0"/>
          <w:lang w:val="en-PH" w:eastAsia="en-PH"/>
          <w14:ligatures w14:val="none"/>
        </w:rPr>
        <w:t>Multiple Linear Regression Analysis</w:t>
      </w:r>
      <w:r>
        <w:rPr>
          <w:rFonts w:ascii="Arial" w:eastAsia="Times New Roman" w:hAnsi="Arial" w:cs="Arial"/>
          <w:kern w:val="0"/>
          <w:lang w:val="en-PH" w:eastAsia="en-PH"/>
          <w14:ligatures w14:val="none"/>
        </w:rPr>
        <w:t xml:space="preserve"> was used to identify the variables that significantly predicted teachers’ RAT-level technology use.</w:t>
      </w:r>
    </w:p>
    <w:p>
      <w:pPr>
        <w:spacing w:line="480" w:lineRule="auto"/>
        <w:jc w:val="center"/>
        <w:rPr>
          <w:rFonts w:ascii="Arial" w:eastAsia="Times New Roman" w:hAnsi="Arial" w:cs="Arial"/>
        </w:rPr>
      </w:pPr>
    </w:p>
    <w:p>
      <w:pPr>
        <w:spacing w:line="480" w:lineRule="auto"/>
        <w:jc w:val="center"/>
        <w:rPr>
          <w:rFonts w:ascii="Arial" w:eastAsia="Times New Roman" w:hAnsi="Arial" w:cs="Arial"/>
        </w:rPr>
      </w:pPr>
    </w:p>
    <w:p>
      <w:pPr>
        <w:spacing w:line="480" w:lineRule="auto"/>
        <w:jc w:val="center"/>
        <w:rPr>
          <w:rFonts w:ascii="Arial" w:hAnsi="Arial" w:cs="Arial"/>
        </w:rPr>
      </w:pPr>
      <w:r>
        <w:rPr>
          <w:rFonts w:ascii="Arial" w:eastAsia="Times New Roman" w:hAnsi="Arial" w:cs="Arial"/>
        </w:rPr>
        <w:lastRenderedPageBreak/>
        <w:t>Chapter 4</w:t>
      </w:r>
    </w:p>
    <w:p>
      <w:pPr>
        <w:spacing w:line="480" w:lineRule="auto"/>
        <w:jc w:val="center"/>
        <w:rPr>
          <w:rFonts w:ascii="Arial" w:hAnsi="Arial" w:cs="Arial"/>
        </w:rPr>
      </w:pPr>
      <w:r>
        <w:rPr>
          <w:rFonts w:ascii="Arial" w:eastAsia="Times New Roman" w:hAnsi="Arial" w:cs="Arial"/>
          <w:b/>
        </w:rPr>
        <w:t>PRESENTATION, ANALYSIS AND INTERPRETATION OF DATA</w:t>
      </w:r>
    </w:p>
    <w:p>
      <w:pPr>
        <w:spacing w:line="480" w:lineRule="auto"/>
        <w:jc w:val="both"/>
        <w:rPr>
          <w:rFonts w:ascii="Arial" w:hAnsi="Arial" w:cs="Arial"/>
        </w:rPr>
      </w:pPr>
      <w:r>
        <w:rPr>
          <w:rFonts w:ascii="Arial" w:eastAsia="Times New Roman" w:hAnsi="Arial" w:cs="Arial"/>
        </w:rPr>
        <w:tab/>
        <w:t xml:space="preserve">This chapter presents, analyzes, and interprets the data gathered from the survey questionnaires administered to English teachers in Indigenous Peoples Education (IPEd) schools. </w:t>
      </w:r>
    </w:p>
    <w:p>
      <w:pPr>
        <w:spacing w:line="240" w:lineRule="auto"/>
        <w:rPr>
          <w:rFonts w:ascii="Arial" w:hAnsi="Arial" w:cs="Arial"/>
        </w:rPr>
      </w:pPr>
      <w:r>
        <w:rPr>
          <w:rFonts w:ascii="Arial" w:eastAsia="Times New Roman" w:hAnsi="Arial" w:cs="Arial"/>
          <w:b/>
        </w:rPr>
        <w:t>Level of Teachers’ Competence in Integrating Technology in English Instruction</w:t>
      </w:r>
    </w:p>
    <w:p>
      <w:pPr>
        <w:spacing w:line="480" w:lineRule="auto"/>
        <w:jc w:val="both"/>
        <w:rPr>
          <w:rFonts w:ascii="Arial" w:hAnsi="Arial" w:cs="Arial"/>
        </w:rPr>
      </w:pPr>
      <w:r>
        <w:rPr>
          <w:rFonts w:ascii="Arial" w:eastAsia="Times New Roman" w:hAnsi="Arial" w:cs="Arial"/>
        </w:rPr>
        <w:tab/>
      </w:r>
      <w:r>
        <w:rPr>
          <w:rFonts w:ascii="Arial" w:hAnsi="Arial" w:cs="Arial"/>
        </w:rPr>
        <w:t>Table 2 presents the teachers’ competence in integrating technology in English instruction among Indigenous Peoples learners.</w:t>
      </w:r>
    </w:p>
    <w:p>
      <w:pPr>
        <w:spacing w:after="0" w:line="240" w:lineRule="auto"/>
        <w:jc w:val="both"/>
        <w:rPr>
          <w:rFonts w:ascii="Arial" w:eastAsia="Times New Roman" w:hAnsi="Arial" w:cs="Arial"/>
          <w:i/>
        </w:rPr>
      </w:pPr>
      <w:r>
        <w:rPr>
          <w:rFonts w:ascii="Arial" w:eastAsia="Times New Roman" w:hAnsi="Arial" w:cs="Arial"/>
          <w:b/>
        </w:rPr>
        <w:t>Table 2.</w:t>
      </w:r>
      <w:r>
        <w:rPr>
          <w:rFonts w:ascii="Arial" w:eastAsia="Times New Roman" w:hAnsi="Arial" w:cs="Arial"/>
          <w:i/>
        </w:rPr>
        <w:t xml:space="preserve">Teachers’ Competence in Integrating Technology in English Language   </w:t>
      </w:r>
    </w:p>
    <w:p>
      <w:pPr>
        <w:spacing w:after="0" w:line="240" w:lineRule="auto"/>
        <w:jc w:val="both"/>
        <w:rPr>
          <w:rFonts w:ascii="Arial" w:eastAsia="Times New Roman" w:hAnsi="Arial" w:cs="Arial"/>
          <w:b/>
          <w:i/>
        </w:rPr>
      </w:pPr>
      <w:r>
        <w:rPr>
          <w:rFonts w:ascii="Arial" w:eastAsia="Times New Roman" w:hAnsi="Arial" w:cs="Arial"/>
          <w:i/>
        </w:rPr>
        <w:t xml:space="preserve">             Teaching</w:t>
      </w:r>
      <w:r>
        <w:rPr>
          <w:rFonts w:ascii="Arial" w:eastAsia="Times New Roman" w:hAnsi="Arial" w:cs="Arial"/>
          <w:b/>
          <w:i/>
        </w:rPr>
        <w:t xml:space="preserve"> </w:t>
      </w:r>
    </w:p>
    <w:p>
      <w:pPr>
        <w:spacing w:after="0" w:line="240" w:lineRule="auto"/>
        <w:jc w:val="both"/>
        <w:rPr>
          <w:rFonts w:ascii="Arial" w:hAnsi="Arial" w:cs="Arial"/>
          <w:i/>
        </w:rPr>
      </w:pPr>
    </w:p>
    <w:tbl>
      <w:tblPr>
        <w:tblW w:w="8793" w:type="dxa"/>
        <w:tblLook w:val="04A0" w:firstRow="1" w:lastRow="0" w:firstColumn="1" w:lastColumn="0" w:noHBand="0" w:noVBand="1"/>
      </w:tblPr>
      <w:tblGrid>
        <w:gridCol w:w="5035"/>
        <w:gridCol w:w="850"/>
        <w:gridCol w:w="2908"/>
      </w:tblGrid>
      <w:tr>
        <w:trPr>
          <w:trHeight w:val="296"/>
        </w:trPr>
        <w:tc>
          <w:tcPr>
            <w:tcW w:w="5035" w:type="dxa"/>
            <w:tcBorders>
              <w:top w:val="single" w:sz="4" w:space="0" w:color="auto"/>
              <w:bottom w:val="single" w:sz="4" w:space="0" w:color="auto"/>
            </w:tcBorders>
          </w:tcPr>
          <w:p>
            <w:pPr>
              <w:spacing w:after="0" w:line="276" w:lineRule="auto"/>
              <w:jc w:val="center"/>
              <w:rPr>
                <w:rFonts w:ascii="Arial" w:hAnsi="Arial" w:cs="Arial"/>
                <w:b/>
              </w:rPr>
            </w:pPr>
            <w:r>
              <w:rPr>
                <w:rFonts w:ascii="Arial" w:eastAsia="Times New Roman" w:hAnsi="Arial" w:cs="Arial"/>
                <w:b/>
              </w:rPr>
              <w:t>Indicator</w:t>
            </w:r>
          </w:p>
        </w:tc>
        <w:tc>
          <w:tcPr>
            <w:tcW w:w="850" w:type="dxa"/>
            <w:tcBorders>
              <w:top w:val="single" w:sz="4" w:space="0" w:color="auto"/>
              <w:bottom w:val="single" w:sz="4" w:space="0" w:color="auto"/>
            </w:tcBorders>
          </w:tcPr>
          <w:p>
            <w:pPr>
              <w:spacing w:after="0" w:line="276" w:lineRule="auto"/>
              <w:jc w:val="center"/>
              <w:rPr>
                <w:rFonts w:ascii="Arial" w:hAnsi="Arial" w:cs="Arial"/>
                <w:b/>
              </w:rPr>
            </w:pPr>
            <w:r>
              <w:rPr>
                <w:rFonts w:ascii="Arial" w:eastAsia="Times New Roman" w:hAnsi="Arial" w:cs="Arial"/>
                <w:b/>
              </w:rPr>
              <w:t>Mean</w:t>
            </w:r>
          </w:p>
        </w:tc>
        <w:tc>
          <w:tcPr>
            <w:tcW w:w="2908" w:type="dxa"/>
            <w:tcBorders>
              <w:top w:val="single" w:sz="4" w:space="0" w:color="auto"/>
              <w:bottom w:val="single" w:sz="4" w:space="0" w:color="auto"/>
            </w:tcBorders>
          </w:tcPr>
          <w:p>
            <w:pPr>
              <w:spacing w:after="0" w:line="276" w:lineRule="auto"/>
              <w:jc w:val="center"/>
              <w:rPr>
                <w:rFonts w:ascii="Arial" w:hAnsi="Arial" w:cs="Arial"/>
                <w:b/>
              </w:rPr>
            </w:pPr>
            <w:r>
              <w:rPr>
                <w:rFonts w:ascii="Arial" w:eastAsia="Times New Roman" w:hAnsi="Arial" w:cs="Arial"/>
                <w:b/>
              </w:rPr>
              <w:t>Adjectival Rating</w:t>
            </w:r>
          </w:p>
        </w:tc>
      </w:tr>
      <w:tr>
        <w:trPr>
          <w:trHeight w:val="608"/>
        </w:trPr>
        <w:tc>
          <w:tcPr>
            <w:tcW w:w="5035" w:type="dxa"/>
            <w:tcBorders>
              <w:top w:val="single" w:sz="4" w:space="0" w:color="auto"/>
            </w:tcBorders>
          </w:tcPr>
          <w:p>
            <w:pPr>
              <w:spacing w:after="0" w:line="276" w:lineRule="auto"/>
              <w:rPr>
                <w:rFonts w:ascii="Arial" w:eastAsia="Times New Roman" w:hAnsi="Arial" w:cs="Arial"/>
              </w:rPr>
            </w:pPr>
            <w:r>
              <w:rPr>
                <w:rFonts w:ascii="Arial" w:eastAsia="Times New Roman" w:hAnsi="Arial" w:cs="Arial"/>
              </w:rPr>
              <w:t>CreativeEngagement/</w:t>
            </w:r>
          </w:p>
          <w:p>
            <w:pPr>
              <w:spacing w:after="0" w:line="276" w:lineRule="auto"/>
              <w:rPr>
                <w:rFonts w:ascii="Arial" w:hAnsi="Arial" w:cs="Arial"/>
              </w:rPr>
            </w:pPr>
            <w:r>
              <w:rPr>
                <w:rFonts w:ascii="Arial" w:eastAsia="Times New Roman" w:hAnsi="Arial" w:cs="Arial"/>
              </w:rPr>
              <w:t>TechnologyUse</w:t>
            </w:r>
          </w:p>
        </w:tc>
        <w:tc>
          <w:tcPr>
            <w:tcW w:w="850" w:type="dxa"/>
            <w:tcBorders>
              <w:top w:val="single" w:sz="4" w:space="0" w:color="auto"/>
            </w:tcBorders>
          </w:tcPr>
          <w:p>
            <w:pPr>
              <w:spacing w:after="0" w:line="276" w:lineRule="auto"/>
              <w:jc w:val="center"/>
              <w:rPr>
                <w:rFonts w:ascii="Arial" w:hAnsi="Arial" w:cs="Arial"/>
              </w:rPr>
            </w:pPr>
            <w:r>
              <w:rPr>
                <w:rFonts w:ascii="Arial" w:eastAsia="Times New Roman" w:hAnsi="Arial" w:cs="Arial"/>
              </w:rPr>
              <w:t>3.83</w:t>
            </w:r>
          </w:p>
        </w:tc>
        <w:tc>
          <w:tcPr>
            <w:tcW w:w="2908" w:type="dxa"/>
            <w:tcBorders>
              <w:top w:val="single" w:sz="4" w:space="0" w:color="auto"/>
            </w:tcBorders>
          </w:tcPr>
          <w:p>
            <w:pPr>
              <w:spacing w:after="0" w:line="276" w:lineRule="auto"/>
              <w:jc w:val="center"/>
              <w:rPr>
                <w:rFonts w:ascii="Arial" w:hAnsi="Arial" w:cs="Arial"/>
              </w:rPr>
            </w:pPr>
            <w:r>
              <w:rPr>
                <w:rFonts w:ascii="Arial" w:eastAsia="Times New Roman" w:hAnsi="Arial" w:cs="Arial"/>
              </w:rPr>
              <w:t>Competent</w:t>
            </w:r>
          </w:p>
        </w:tc>
      </w:tr>
      <w:tr>
        <w:trPr>
          <w:trHeight w:val="296"/>
        </w:trPr>
        <w:tc>
          <w:tcPr>
            <w:tcW w:w="5035" w:type="dxa"/>
          </w:tcPr>
          <w:p>
            <w:pPr>
              <w:spacing w:after="0" w:line="276" w:lineRule="auto"/>
              <w:rPr>
                <w:rFonts w:ascii="Arial" w:hAnsi="Arial" w:cs="Arial"/>
              </w:rPr>
            </w:pPr>
            <w:r>
              <w:rPr>
                <w:rFonts w:ascii="Arial" w:eastAsia="Times New Roman" w:hAnsi="Arial" w:cs="Arial"/>
              </w:rPr>
              <w:t>PICRAT-Based Pedagogical Knowledge</w:t>
            </w:r>
          </w:p>
        </w:tc>
        <w:tc>
          <w:tcPr>
            <w:tcW w:w="850" w:type="dxa"/>
          </w:tcPr>
          <w:p>
            <w:pPr>
              <w:spacing w:after="0" w:line="276" w:lineRule="auto"/>
              <w:jc w:val="center"/>
              <w:rPr>
                <w:rFonts w:ascii="Arial" w:hAnsi="Arial" w:cs="Arial"/>
              </w:rPr>
            </w:pPr>
            <w:r>
              <w:rPr>
                <w:rFonts w:ascii="Arial" w:eastAsia="Times New Roman" w:hAnsi="Arial" w:cs="Arial"/>
              </w:rPr>
              <w:t>3.82</w:t>
            </w:r>
          </w:p>
        </w:tc>
        <w:tc>
          <w:tcPr>
            <w:tcW w:w="2908" w:type="dxa"/>
          </w:tcPr>
          <w:p>
            <w:pPr>
              <w:spacing w:after="0" w:line="276" w:lineRule="auto"/>
              <w:jc w:val="center"/>
              <w:rPr>
                <w:rFonts w:ascii="Arial" w:hAnsi="Arial" w:cs="Arial"/>
              </w:rPr>
            </w:pPr>
            <w:r>
              <w:rPr>
                <w:rFonts w:ascii="Arial" w:eastAsia="Times New Roman" w:hAnsi="Arial" w:cs="Arial"/>
              </w:rPr>
              <w:t>Competent</w:t>
            </w:r>
          </w:p>
        </w:tc>
      </w:tr>
      <w:tr>
        <w:trPr>
          <w:trHeight w:val="608"/>
        </w:trPr>
        <w:tc>
          <w:tcPr>
            <w:tcW w:w="5035" w:type="dxa"/>
          </w:tcPr>
          <w:p>
            <w:pPr>
              <w:spacing w:after="0" w:line="276" w:lineRule="auto"/>
              <w:rPr>
                <w:rFonts w:ascii="Arial" w:hAnsi="Arial" w:cs="Arial"/>
              </w:rPr>
            </w:pPr>
            <w:r>
              <w:rPr>
                <w:rFonts w:ascii="Arial" w:eastAsia="Times New Roman" w:hAnsi="Arial" w:cs="Arial"/>
              </w:rPr>
              <w:t>Cultural Responsiveness and Contextualization</w:t>
            </w:r>
          </w:p>
        </w:tc>
        <w:tc>
          <w:tcPr>
            <w:tcW w:w="850" w:type="dxa"/>
          </w:tcPr>
          <w:p>
            <w:pPr>
              <w:spacing w:after="0" w:line="276" w:lineRule="auto"/>
              <w:jc w:val="center"/>
              <w:rPr>
                <w:rFonts w:ascii="Arial" w:hAnsi="Arial" w:cs="Arial"/>
              </w:rPr>
            </w:pPr>
            <w:r>
              <w:rPr>
                <w:rFonts w:ascii="Arial" w:eastAsia="Times New Roman" w:hAnsi="Arial" w:cs="Arial"/>
              </w:rPr>
              <w:t>3.81</w:t>
            </w:r>
          </w:p>
        </w:tc>
        <w:tc>
          <w:tcPr>
            <w:tcW w:w="2908" w:type="dxa"/>
          </w:tcPr>
          <w:p>
            <w:pPr>
              <w:spacing w:after="0" w:line="276" w:lineRule="auto"/>
              <w:jc w:val="center"/>
              <w:rPr>
                <w:rFonts w:ascii="Arial" w:hAnsi="Arial" w:cs="Arial"/>
              </w:rPr>
            </w:pPr>
            <w:r>
              <w:rPr>
                <w:rFonts w:ascii="Arial" w:eastAsia="Times New Roman" w:hAnsi="Arial" w:cs="Arial"/>
              </w:rPr>
              <w:t>Competent</w:t>
            </w:r>
          </w:p>
        </w:tc>
      </w:tr>
      <w:tr>
        <w:trPr>
          <w:trHeight w:val="313"/>
        </w:trPr>
        <w:tc>
          <w:tcPr>
            <w:tcW w:w="5035" w:type="dxa"/>
          </w:tcPr>
          <w:p>
            <w:pPr>
              <w:spacing w:after="0" w:line="276" w:lineRule="auto"/>
              <w:rPr>
                <w:rFonts w:ascii="Arial" w:hAnsi="Arial" w:cs="Arial"/>
              </w:rPr>
            </w:pPr>
            <w:r>
              <w:rPr>
                <w:rFonts w:ascii="Arial" w:eastAsia="Times New Roman" w:hAnsi="Arial" w:cs="Arial"/>
              </w:rPr>
              <w:t>Access to Technological Resources</w:t>
            </w:r>
          </w:p>
        </w:tc>
        <w:tc>
          <w:tcPr>
            <w:tcW w:w="850" w:type="dxa"/>
          </w:tcPr>
          <w:p>
            <w:pPr>
              <w:spacing w:after="0" w:line="276" w:lineRule="auto"/>
              <w:jc w:val="center"/>
              <w:rPr>
                <w:rFonts w:ascii="Arial" w:hAnsi="Arial" w:cs="Arial"/>
              </w:rPr>
            </w:pPr>
            <w:r>
              <w:rPr>
                <w:rFonts w:ascii="Arial" w:eastAsia="Times New Roman" w:hAnsi="Arial" w:cs="Arial"/>
              </w:rPr>
              <w:t>3.66</w:t>
            </w:r>
          </w:p>
        </w:tc>
        <w:tc>
          <w:tcPr>
            <w:tcW w:w="2908" w:type="dxa"/>
          </w:tcPr>
          <w:p>
            <w:pPr>
              <w:spacing w:after="0" w:line="276" w:lineRule="auto"/>
              <w:jc w:val="center"/>
              <w:rPr>
                <w:rFonts w:ascii="Arial" w:hAnsi="Arial" w:cs="Arial"/>
              </w:rPr>
            </w:pPr>
            <w:r>
              <w:rPr>
                <w:rFonts w:ascii="Arial" w:eastAsia="Times New Roman" w:hAnsi="Arial" w:cs="Arial"/>
              </w:rPr>
              <w:t>Competent</w:t>
            </w:r>
          </w:p>
        </w:tc>
      </w:tr>
      <w:tr>
        <w:trPr>
          <w:trHeight w:val="296"/>
        </w:trPr>
        <w:tc>
          <w:tcPr>
            <w:tcW w:w="5035" w:type="dxa"/>
          </w:tcPr>
          <w:p>
            <w:pPr>
              <w:spacing w:after="0" w:line="276" w:lineRule="auto"/>
              <w:rPr>
                <w:rFonts w:ascii="Arial" w:hAnsi="Arial" w:cs="Arial"/>
              </w:rPr>
            </w:pPr>
            <w:r>
              <w:rPr>
                <w:rFonts w:ascii="Arial" w:eastAsia="Times New Roman" w:hAnsi="Arial" w:cs="Arial"/>
              </w:rPr>
              <w:t>Reflective Teaching Practice</w:t>
            </w:r>
          </w:p>
        </w:tc>
        <w:tc>
          <w:tcPr>
            <w:tcW w:w="850" w:type="dxa"/>
          </w:tcPr>
          <w:p>
            <w:pPr>
              <w:spacing w:after="0" w:line="276" w:lineRule="auto"/>
              <w:jc w:val="center"/>
              <w:rPr>
                <w:rFonts w:ascii="Arial" w:hAnsi="Arial" w:cs="Arial"/>
              </w:rPr>
            </w:pPr>
            <w:r>
              <w:rPr>
                <w:rFonts w:ascii="Arial" w:eastAsia="Times New Roman" w:hAnsi="Arial" w:cs="Arial"/>
              </w:rPr>
              <w:t>3.64</w:t>
            </w:r>
          </w:p>
        </w:tc>
        <w:tc>
          <w:tcPr>
            <w:tcW w:w="2908" w:type="dxa"/>
          </w:tcPr>
          <w:p>
            <w:pPr>
              <w:spacing w:after="0" w:line="276" w:lineRule="auto"/>
              <w:jc w:val="center"/>
              <w:rPr>
                <w:rFonts w:ascii="Arial" w:hAnsi="Arial" w:cs="Arial"/>
              </w:rPr>
            </w:pPr>
            <w:r>
              <w:rPr>
                <w:rFonts w:ascii="Arial" w:eastAsia="Times New Roman" w:hAnsi="Arial" w:cs="Arial"/>
              </w:rPr>
              <w:t>Competent</w:t>
            </w:r>
          </w:p>
        </w:tc>
      </w:tr>
      <w:tr>
        <w:trPr>
          <w:trHeight w:val="398"/>
        </w:trPr>
        <w:tc>
          <w:tcPr>
            <w:tcW w:w="5035" w:type="dxa"/>
            <w:tcBorders>
              <w:bottom w:val="single" w:sz="4" w:space="0" w:color="auto"/>
            </w:tcBorders>
          </w:tcPr>
          <w:p>
            <w:pPr>
              <w:spacing w:after="0" w:line="276" w:lineRule="auto"/>
              <w:rPr>
                <w:rFonts w:ascii="Arial" w:hAnsi="Arial" w:cs="Arial"/>
                <w:b/>
              </w:rPr>
            </w:pPr>
            <w:r>
              <w:rPr>
                <w:rFonts w:ascii="Arial" w:eastAsia="Times New Roman" w:hAnsi="Arial" w:cs="Arial"/>
                <w:b/>
              </w:rPr>
              <w:t>Overall Mean</w:t>
            </w:r>
          </w:p>
        </w:tc>
        <w:tc>
          <w:tcPr>
            <w:tcW w:w="850" w:type="dxa"/>
            <w:tcBorders>
              <w:bottom w:val="single" w:sz="4" w:space="0" w:color="auto"/>
            </w:tcBorders>
          </w:tcPr>
          <w:p>
            <w:pPr>
              <w:spacing w:after="0" w:line="276" w:lineRule="auto"/>
              <w:jc w:val="center"/>
              <w:rPr>
                <w:rFonts w:ascii="Arial" w:hAnsi="Arial" w:cs="Arial"/>
                <w:b/>
              </w:rPr>
            </w:pPr>
            <w:r>
              <w:rPr>
                <w:rFonts w:ascii="Arial" w:eastAsia="Times New Roman" w:hAnsi="Arial" w:cs="Arial"/>
                <w:b/>
              </w:rPr>
              <w:t>3.75</w:t>
            </w:r>
          </w:p>
        </w:tc>
        <w:tc>
          <w:tcPr>
            <w:tcW w:w="2908" w:type="dxa"/>
            <w:tcBorders>
              <w:bottom w:val="single" w:sz="4" w:space="0" w:color="auto"/>
            </w:tcBorders>
          </w:tcPr>
          <w:p>
            <w:pPr>
              <w:spacing w:after="0" w:line="276" w:lineRule="auto"/>
              <w:jc w:val="center"/>
              <w:rPr>
                <w:rFonts w:ascii="Arial" w:hAnsi="Arial" w:cs="Arial"/>
                <w:b/>
              </w:rPr>
            </w:pPr>
            <w:r>
              <w:rPr>
                <w:rFonts w:ascii="Arial" w:eastAsia="Times New Roman" w:hAnsi="Arial" w:cs="Arial"/>
                <w:b/>
              </w:rPr>
              <w:t>Competent</w:t>
            </w:r>
          </w:p>
        </w:tc>
      </w:tr>
      <w:tr>
        <w:trPr>
          <w:trHeight w:val="62"/>
        </w:trPr>
        <w:tc>
          <w:tcPr>
            <w:tcW w:w="5035" w:type="dxa"/>
            <w:tcBorders>
              <w:top w:val="single" w:sz="4" w:space="0" w:color="auto"/>
            </w:tcBorders>
          </w:tcPr>
          <w:p>
            <w:pPr>
              <w:spacing w:line="276" w:lineRule="auto"/>
              <w:rPr>
                <w:rFonts w:ascii="Arial" w:eastAsia="Times New Roman" w:hAnsi="Arial" w:cs="Arial"/>
                <w:b/>
              </w:rPr>
            </w:pPr>
          </w:p>
        </w:tc>
        <w:tc>
          <w:tcPr>
            <w:tcW w:w="850" w:type="dxa"/>
            <w:tcBorders>
              <w:top w:val="single" w:sz="4" w:space="0" w:color="auto"/>
            </w:tcBorders>
          </w:tcPr>
          <w:p>
            <w:pPr>
              <w:spacing w:line="276" w:lineRule="auto"/>
              <w:jc w:val="center"/>
              <w:rPr>
                <w:rFonts w:ascii="Arial" w:eastAsia="Times New Roman" w:hAnsi="Arial" w:cs="Arial"/>
              </w:rPr>
            </w:pPr>
          </w:p>
        </w:tc>
        <w:tc>
          <w:tcPr>
            <w:tcW w:w="2908" w:type="dxa"/>
            <w:tcBorders>
              <w:top w:val="single" w:sz="4" w:space="0" w:color="auto"/>
            </w:tcBorders>
          </w:tcPr>
          <w:p>
            <w:pPr>
              <w:spacing w:line="276" w:lineRule="auto"/>
              <w:jc w:val="center"/>
              <w:rPr>
                <w:rFonts w:ascii="Arial" w:eastAsia="Times New Roman" w:hAnsi="Arial" w:cs="Arial"/>
              </w:rPr>
            </w:pPr>
          </w:p>
        </w:tc>
      </w:tr>
    </w:tbl>
    <w:p>
      <w:pPr>
        <w:spacing w:line="480" w:lineRule="auto"/>
        <w:jc w:val="both"/>
        <w:rPr>
          <w:rFonts w:ascii="Arial" w:hAnsi="Arial" w:cs="Arial"/>
        </w:rPr>
      </w:pPr>
      <w:r>
        <w:rPr>
          <w:rFonts w:ascii="Arial" w:eastAsia="Times New Roman" w:hAnsi="Arial" w:cs="Arial"/>
          <w:b/>
          <w:noProof/>
          <w:lang w:val="en-PH" w:eastAsia="en-PH"/>
        </w:rPr>
        <mc:AlternateContent>
          <mc:Choice Requires="wps">
            <w:drawing>
              <wp:anchor distT="0" distB="0" distL="114300" distR="114300" simplePos="0" relativeHeight="251735040" behindDoc="0" locked="0" layoutInCell="1" allowOverlap="1">
                <wp:simplePos x="0" y="0"/>
                <wp:positionH relativeFrom="margin">
                  <wp:posOffset>5247005</wp:posOffset>
                </wp:positionH>
                <wp:positionV relativeFrom="paragraph">
                  <wp:posOffset>1913890</wp:posOffset>
                </wp:positionV>
                <wp:extent cx="299406" cy="202301"/>
                <wp:effectExtent l="0" t="0" r="24765" b="26670"/>
                <wp:wrapNone/>
                <wp:docPr id="11" name="Rectangle 11"/>
                <wp:cNvGraphicFramePr/>
                <a:graphic xmlns:a="http://schemas.openxmlformats.org/drawingml/2006/main">
                  <a:graphicData uri="http://schemas.microsoft.com/office/word/2010/wordprocessingShape">
                    <wps:wsp>
                      <wps:cNvSpPr/>
                      <wps:spPr>
                        <a:xfrm>
                          <a:off x="0" y="0"/>
                          <a:ext cx="299406" cy="20230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13.15pt;margin-top:150.7pt;width:23.6pt;height:15.95pt;z-index:2517350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" fillcolor="white [3201]" strokecolor="white [3212]" strokeweight="1.5pt">
                <w10:wrap anchorx="margin"/>
              </v:rect>
            </w:pict>
          </mc:Fallback>
        </mc:AlternateContent>
      </w:r>
      <w:r>
        <w:rPr>
          <w:rFonts w:ascii="Arial" w:hAnsi="Arial" w:cs="Arial"/>
        </w:rPr>
        <w:tab/>
        <w:t xml:space="preserve">The teachers’ competence in integrating technology in English instruction among Indigenous Peoples learners was generally rated as competent across all indicators. Among the indicators, Creative Engagement/Technology Use obtained the highest mean with an adjectival rating of Competent. This finding indicates that teachers were generally capable of utilizing technology to promote learner </w:t>
      </w:r>
      <w:r>
        <w:rPr>
          <w:rFonts w:ascii="Arial" w:hAnsi="Arial" w:cs="Arial"/>
        </w:rPr>
        <w:lastRenderedPageBreak/>
        <w:t>creativity, active participation, and meaningful engagement in English learning activities. Such competence reflects teachers’ capacity to design learning experiences that foster higher-order thinking and learner-centered instruction, which are essential components of meaningful technology integration in English Language Teaching.</w:t>
      </w:r>
    </w:p>
    <w:p>
      <w:pPr>
        <w:spacing w:line="480" w:lineRule="auto"/>
        <w:jc w:val="both"/>
        <w:rPr>
          <w:rFonts w:ascii="Arial" w:hAnsi="Arial" w:cs="Arial"/>
        </w:rPr>
      </w:pPr>
      <w:r>
        <w:rPr>
          <w:rFonts w:ascii="Arial" w:hAnsi="Arial" w:cs="Arial"/>
        </w:rPr>
        <w:tab/>
        <w:t>In contrast, Reflective Teaching Practice obtained the lowest mean, although it remained within the Competent level. While teachers demonstrated the ability to integrate technology into instruction, opportunities for systematic reflection, evaluation, and continuous improvement of technology-supported practices may be less evident compared to other competence dimensions. This result may further indicate that teachers tend to prioritize the implementation of technology-enhanced activities while engaging less frequently in reflective processes that assess the effectiveness, appropriateness, and impact of technology use on learners’ language development and engagement.</w:t>
      </w:r>
    </w:p>
    <w:p>
      <w:pPr>
        <w:spacing w:line="480" w:lineRule="auto"/>
        <w:jc w:val="both"/>
        <w:rPr>
          <w:rFonts w:ascii="Arial" w:hAnsi="Arial" w:cs="Arial"/>
        </w:rPr>
      </w:pPr>
      <w:r>
        <w:rPr>
          <w:rFonts w:ascii="Arial" w:hAnsi="Arial" w:cs="Arial"/>
        </w:rPr>
        <w:tab/>
        <w:t xml:space="preserve">The overall mean interpreted as Competent, indicates that teachers generally possessed the necessary competencies to integrate technology in English instruction among Indigenous Peoples learners. This suggests that the respondents were capable of addressing the technological, pedagogical, and contextual demands associated with technology-supported learning despite the realities of teaching in geographically isolated and disadvantaged communities. The finding further implies that teachers were able to utilize technology as a </w:t>
      </w:r>
      <w:r>
        <w:rPr>
          <w:rFonts w:ascii="Arial" w:hAnsi="Arial" w:cs="Arial"/>
        </w:rPr>
        <w:lastRenderedPageBreak/>
        <w:t>meaningful instructional tool while remaining responsive to the learning needs and cultural contexts of Indigenous learners.</w:t>
      </w:r>
    </w:p>
    <w:p>
      <w:pPr>
        <w:spacing w:line="480" w:lineRule="auto"/>
        <w:jc w:val="both"/>
        <w:rPr>
          <w:rFonts w:ascii="Arial" w:hAnsi="Arial" w:cs="Arial"/>
        </w:rPr>
      </w:pPr>
      <w:r>
        <w:rPr>
          <w:rFonts w:ascii="Arial" w:hAnsi="Arial" w:cs="Arial"/>
        </w:rPr>
        <w:tab/>
        <w:t xml:space="preserve">The findings support the Technological Pedagogical and Content Knowledge (TPACK) framework, which emphasizes that effective technology integration requires the intersection of technological, pedagogical, and content knowledge. The results likewise affirm the principles of Interactionist Theory and Culturally Sustaining Pedagogy, which highlight the importance of meaningful learner engagement and culturally responsive instruction. Likewise, Tai (2022) emphasized that competent technology integration contributes to more engaging, learner-centered, and effective language instruction. </w:t>
      </w:r>
    </w:p>
    <w:p>
      <w:pPr>
        <w:spacing w:line="480" w:lineRule="auto"/>
        <w:rPr>
          <w:rFonts w:ascii="Arial" w:hAnsi="Arial" w:cs="Arial"/>
        </w:rPr>
      </w:pPr>
      <w:r>
        <w:rPr>
          <w:rFonts w:ascii="Arial" w:eastAsia="Times New Roman" w:hAnsi="Arial" w:cs="Arial"/>
          <w:b/>
        </w:rPr>
        <w:t>Extent of Technology-Supported Learner Engagement in English Lessons</w:t>
      </w:r>
    </w:p>
    <w:p>
      <w:pPr>
        <w:spacing w:line="480" w:lineRule="auto"/>
        <w:jc w:val="both"/>
        <w:rPr>
          <w:rFonts w:ascii="Arial" w:hAnsi="Arial" w:cs="Arial"/>
        </w:rPr>
      </w:pPr>
      <w:r>
        <w:rPr>
          <w:rFonts w:ascii="Arial" w:eastAsia="Times New Roman" w:hAnsi="Arial" w:cs="Arial"/>
        </w:rPr>
        <w:tab/>
        <w:t xml:space="preserve"> Table 3 presents the extent of technology-supported learner engagement among Indigenous Peoples learners in English lessons.</w:t>
      </w:r>
    </w:p>
    <w:p>
      <w:pPr>
        <w:spacing w:line="480" w:lineRule="auto"/>
        <w:jc w:val="both"/>
        <w:rPr>
          <w:rFonts w:ascii="Arial" w:hAnsi="Arial" w:cs="Arial"/>
        </w:rPr>
      </w:pPr>
      <w:r>
        <w:rPr>
          <w:rFonts w:ascii="Arial" w:eastAsia="Times New Roman" w:hAnsi="Arial" w:cs="Arial"/>
          <w:b/>
        </w:rPr>
        <w:t>Table 3.</w:t>
      </w:r>
      <w:r>
        <w:rPr>
          <w:rFonts w:ascii="Arial" w:eastAsia="Times New Roman" w:hAnsi="Arial" w:cs="Arial"/>
          <w:i/>
        </w:rPr>
        <w:t>Technology-Supported Learner Engagement in English Lessons</w:t>
      </w:r>
    </w:p>
    <w:tbl>
      <w:tblPr>
        <w:tblW w:w="0" w:type="auto"/>
        <w:tblLook w:val="04A0" w:firstRow="1" w:lastRow="0" w:firstColumn="1" w:lastColumn="0" w:noHBand="0" w:noVBand="1"/>
      </w:tblPr>
      <w:tblGrid>
        <w:gridCol w:w="4395"/>
        <w:gridCol w:w="1353"/>
        <w:gridCol w:w="2892"/>
      </w:tblGrid>
      <w:tr>
        <w:tc>
          <w:tcPr>
            <w:tcW w:w="4395" w:type="dxa"/>
            <w:tcBorders>
              <w:top w:val="single" w:sz="4" w:space="0" w:color="auto"/>
              <w:bottom w:val="single" w:sz="4" w:space="0" w:color="auto"/>
            </w:tcBorders>
          </w:tcPr>
          <w:p>
            <w:pPr>
              <w:spacing w:line="276" w:lineRule="auto"/>
              <w:jc w:val="center"/>
              <w:rPr>
                <w:rFonts w:ascii="Arial" w:hAnsi="Arial" w:cs="Arial"/>
              </w:rPr>
            </w:pPr>
            <w:r>
              <w:rPr>
                <w:rFonts w:ascii="Arial" w:hAnsi="Arial" w:cs="Arial"/>
                <w:b/>
              </w:rPr>
              <w:t>Indicator</w:t>
            </w:r>
          </w:p>
        </w:tc>
        <w:tc>
          <w:tcPr>
            <w:tcW w:w="1353" w:type="dxa"/>
            <w:tcBorders>
              <w:top w:val="single" w:sz="4" w:space="0" w:color="auto"/>
              <w:bottom w:val="single" w:sz="4" w:space="0" w:color="auto"/>
            </w:tcBorders>
          </w:tcPr>
          <w:p>
            <w:pPr>
              <w:spacing w:line="276" w:lineRule="auto"/>
              <w:jc w:val="center"/>
              <w:rPr>
                <w:rFonts w:ascii="Arial" w:hAnsi="Arial" w:cs="Arial"/>
              </w:rPr>
            </w:pPr>
            <w:r>
              <w:rPr>
                <w:rFonts w:ascii="Arial" w:hAnsi="Arial" w:cs="Arial"/>
                <w:b/>
              </w:rPr>
              <w:t>Mean</w:t>
            </w:r>
          </w:p>
        </w:tc>
        <w:tc>
          <w:tcPr>
            <w:tcW w:w="2892" w:type="dxa"/>
            <w:tcBorders>
              <w:top w:val="single" w:sz="4" w:space="0" w:color="auto"/>
              <w:bottom w:val="single" w:sz="4" w:space="0" w:color="auto"/>
            </w:tcBorders>
          </w:tcPr>
          <w:p>
            <w:pPr>
              <w:spacing w:line="276" w:lineRule="auto"/>
              <w:jc w:val="center"/>
              <w:rPr>
                <w:rFonts w:ascii="Arial" w:hAnsi="Arial" w:cs="Arial"/>
              </w:rPr>
            </w:pPr>
            <w:r>
              <w:rPr>
                <w:rFonts w:ascii="Arial" w:hAnsi="Arial" w:cs="Arial"/>
                <w:b/>
              </w:rPr>
              <w:t>Adjectival Rating</w:t>
            </w:r>
          </w:p>
        </w:tc>
      </w:tr>
      <w:tr>
        <w:tc>
          <w:tcPr>
            <w:tcW w:w="4395" w:type="dxa"/>
            <w:tcBorders>
              <w:top w:val="single" w:sz="4" w:space="0" w:color="auto"/>
            </w:tcBorders>
          </w:tcPr>
          <w:p>
            <w:pPr>
              <w:spacing w:line="276" w:lineRule="auto"/>
              <w:rPr>
                <w:rFonts w:ascii="Arial" w:hAnsi="Arial" w:cs="Arial"/>
              </w:rPr>
            </w:pPr>
            <w:r>
              <w:rPr>
                <w:rFonts w:ascii="Arial" w:hAnsi="Arial" w:cs="Arial"/>
              </w:rPr>
              <w:t>Passive Engagement</w:t>
            </w:r>
          </w:p>
        </w:tc>
        <w:tc>
          <w:tcPr>
            <w:tcW w:w="1353" w:type="dxa"/>
            <w:tcBorders>
              <w:top w:val="single" w:sz="4" w:space="0" w:color="auto"/>
            </w:tcBorders>
          </w:tcPr>
          <w:p>
            <w:pPr>
              <w:spacing w:line="276" w:lineRule="auto"/>
              <w:jc w:val="center"/>
              <w:rPr>
                <w:rFonts w:ascii="Arial" w:hAnsi="Arial" w:cs="Arial"/>
              </w:rPr>
            </w:pPr>
            <w:r>
              <w:rPr>
                <w:rFonts w:ascii="Arial" w:hAnsi="Arial" w:cs="Arial"/>
              </w:rPr>
              <w:t>3.63</w:t>
            </w:r>
          </w:p>
        </w:tc>
        <w:tc>
          <w:tcPr>
            <w:tcW w:w="2892" w:type="dxa"/>
            <w:tcBorders>
              <w:top w:val="single" w:sz="4" w:space="0" w:color="auto"/>
            </w:tcBorders>
          </w:tcPr>
          <w:p>
            <w:pPr>
              <w:spacing w:line="276" w:lineRule="auto"/>
              <w:jc w:val="center"/>
              <w:rPr>
                <w:rFonts w:ascii="Arial" w:hAnsi="Arial" w:cs="Arial"/>
              </w:rPr>
            </w:pPr>
            <w:r>
              <w:rPr>
                <w:rFonts w:ascii="Arial" w:hAnsi="Arial" w:cs="Arial"/>
              </w:rPr>
              <w:t>Engaged</w:t>
            </w:r>
          </w:p>
        </w:tc>
      </w:tr>
      <w:tr>
        <w:tc>
          <w:tcPr>
            <w:tcW w:w="4395" w:type="dxa"/>
          </w:tcPr>
          <w:p>
            <w:pPr>
              <w:spacing w:line="276" w:lineRule="auto"/>
              <w:rPr>
                <w:rFonts w:ascii="Arial" w:hAnsi="Arial" w:cs="Arial"/>
              </w:rPr>
            </w:pPr>
            <w:r>
              <w:rPr>
                <w:rFonts w:ascii="Arial" w:hAnsi="Arial" w:cs="Arial"/>
              </w:rPr>
              <w:t>Interactive Engagement</w:t>
            </w:r>
          </w:p>
        </w:tc>
        <w:tc>
          <w:tcPr>
            <w:tcW w:w="1353" w:type="dxa"/>
          </w:tcPr>
          <w:p>
            <w:pPr>
              <w:spacing w:line="276" w:lineRule="auto"/>
              <w:jc w:val="center"/>
              <w:rPr>
                <w:rFonts w:ascii="Arial" w:hAnsi="Arial" w:cs="Arial"/>
              </w:rPr>
            </w:pPr>
            <w:r>
              <w:rPr>
                <w:rFonts w:ascii="Arial" w:hAnsi="Arial" w:cs="Arial"/>
              </w:rPr>
              <w:t>3.55</w:t>
            </w:r>
          </w:p>
        </w:tc>
        <w:tc>
          <w:tcPr>
            <w:tcW w:w="2892" w:type="dxa"/>
          </w:tcPr>
          <w:p>
            <w:pPr>
              <w:spacing w:line="276" w:lineRule="auto"/>
              <w:jc w:val="center"/>
              <w:rPr>
                <w:rFonts w:ascii="Arial" w:hAnsi="Arial" w:cs="Arial"/>
              </w:rPr>
            </w:pPr>
            <w:r>
              <w:rPr>
                <w:rFonts w:ascii="Arial" w:hAnsi="Arial" w:cs="Arial"/>
              </w:rPr>
              <w:t>Engaged</w:t>
            </w:r>
          </w:p>
        </w:tc>
      </w:tr>
      <w:tr>
        <w:tc>
          <w:tcPr>
            <w:tcW w:w="4395" w:type="dxa"/>
          </w:tcPr>
          <w:p>
            <w:pPr>
              <w:spacing w:line="276" w:lineRule="auto"/>
              <w:rPr>
                <w:rFonts w:ascii="Arial" w:hAnsi="Arial" w:cs="Arial"/>
              </w:rPr>
            </w:pPr>
            <w:r>
              <w:rPr>
                <w:rFonts w:ascii="Arial" w:hAnsi="Arial" w:cs="Arial"/>
              </w:rPr>
              <w:t>Creative Engagement</w:t>
            </w:r>
          </w:p>
        </w:tc>
        <w:tc>
          <w:tcPr>
            <w:tcW w:w="1353" w:type="dxa"/>
          </w:tcPr>
          <w:p>
            <w:pPr>
              <w:spacing w:line="276" w:lineRule="auto"/>
              <w:jc w:val="center"/>
              <w:rPr>
                <w:rFonts w:ascii="Arial" w:hAnsi="Arial" w:cs="Arial"/>
              </w:rPr>
            </w:pPr>
            <w:r>
              <w:rPr>
                <w:rFonts w:ascii="Arial" w:hAnsi="Arial" w:cs="Arial"/>
              </w:rPr>
              <w:t>3.52</w:t>
            </w:r>
          </w:p>
        </w:tc>
        <w:tc>
          <w:tcPr>
            <w:tcW w:w="2892" w:type="dxa"/>
          </w:tcPr>
          <w:p>
            <w:pPr>
              <w:spacing w:line="276" w:lineRule="auto"/>
              <w:jc w:val="center"/>
              <w:rPr>
                <w:rFonts w:ascii="Arial" w:hAnsi="Arial" w:cs="Arial"/>
              </w:rPr>
            </w:pPr>
            <w:r>
              <w:rPr>
                <w:rFonts w:ascii="Arial" w:hAnsi="Arial" w:cs="Arial"/>
              </w:rPr>
              <w:t>Engaged</w:t>
            </w:r>
          </w:p>
        </w:tc>
      </w:tr>
      <w:tr>
        <w:tc>
          <w:tcPr>
            <w:tcW w:w="4395" w:type="dxa"/>
          </w:tcPr>
          <w:p>
            <w:pPr>
              <w:spacing w:line="276" w:lineRule="auto"/>
              <w:rPr>
                <w:rFonts w:ascii="Arial" w:hAnsi="Arial" w:cs="Arial"/>
              </w:rPr>
            </w:pPr>
            <w:r>
              <w:rPr>
                <w:rFonts w:ascii="Arial" w:hAnsi="Arial" w:cs="Arial"/>
              </w:rPr>
              <w:t>Reflective / Metacognitive Engagement</w:t>
            </w:r>
          </w:p>
        </w:tc>
        <w:tc>
          <w:tcPr>
            <w:tcW w:w="1353" w:type="dxa"/>
          </w:tcPr>
          <w:p>
            <w:pPr>
              <w:spacing w:line="276" w:lineRule="auto"/>
              <w:jc w:val="center"/>
              <w:rPr>
                <w:rFonts w:ascii="Arial" w:hAnsi="Arial" w:cs="Arial"/>
              </w:rPr>
            </w:pPr>
            <w:r>
              <w:rPr>
                <w:rFonts w:ascii="Arial" w:hAnsi="Arial" w:cs="Arial"/>
              </w:rPr>
              <w:t>3.48</w:t>
            </w:r>
          </w:p>
        </w:tc>
        <w:tc>
          <w:tcPr>
            <w:tcW w:w="2892" w:type="dxa"/>
          </w:tcPr>
          <w:p>
            <w:pPr>
              <w:spacing w:line="276" w:lineRule="auto"/>
              <w:jc w:val="center"/>
              <w:rPr>
                <w:rFonts w:ascii="Arial" w:hAnsi="Arial" w:cs="Arial"/>
              </w:rPr>
            </w:pPr>
            <w:r>
              <w:rPr>
                <w:rFonts w:ascii="Arial" w:hAnsi="Arial" w:cs="Arial"/>
              </w:rPr>
              <w:t>Engaged</w:t>
            </w:r>
          </w:p>
        </w:tc>
      </w:tr>
      <w:tr>
        <w:tc>
          <w:tcPr>
            <w:tcW w:w="4395" w:type="dxa"/>
          </w:tcPr>
          <w:p>
            <w:pPr>
              <w:spacing w:line="276" w:lineRule="auto"/>
              <w:rPr>
                <w:rFonts w:ascii="Arial" w:hAnsi="Arial" w:cs="Arial"/>
              </w:rPr>
            </w:pPr>
            <w:r>
              <w:rPr>
                <w:rFonts w:ascii="Arial" w:hAnsi="Arial" w:cs="Arial"/>
              </w:rPr>
              <w:t>Collaborative Engagement</w:t>
            </w:r>
          </w:p>
        </w:tc>
        <w:tc>
          <w:tcPr>
            <w:tcW w:w="1353" w:type="dxa"/>
          </w:tcPr>
          <w:p>
            <w:pPr>
              <w:spacing w:line="276" w:lineRule="auto"/>
              <w:jc w:val="center"/>
              <w:rPr>
                <w:rFonts w:ascii="Arial" w:hAnsi="Arial" w:cs="Arial"/>
              </w:rPr>
            </w:pPr>
            <w:r>
              <w:rPr>
                <w:rFonts w:ascii="Arial" w:hAnsi="Arial" w:cs="Arial"/>
              </w:rPr>
              <w:t>3.39</w:t>
            </w:r>
          </w:p>
        </w:tc>
        <w:tc>
          <w:tcPr>
            <w:tcW w:w="2892" w:type="dxa"/>
          </w:tcPr>
          <w:p>
            <w:pPr>
              <w:spacing w:line="276" w:lineRule="auto"/>
              <w:jc w:val="center"/>
              <w:rPr>
                <w:rFonts w:ascii="Arial" w:hAnsi="Arial" w:cs="Arial"/>
              </w:rPr>
            </w:pPr>
            <w:r>
              <w:rPr>
                <w:rFonts w:ascii="Arial" w:hAnsi="Arial" w:cs="Arial"/>
              </w:rPr>
              <w:t>Moderately Engaged</w:t>
            </w:r>
          </w:p>
        </w:tc>
      </w:tr>
      <w:tr>
        <w:tc>
          <w:tcPr>
            <w:tcW w:w="4395" w:type="dxa"/>
            <w:tcBorders>
              <w:bottom w:val="single" w:sz="4" w:space="0" w:color="auto"/>
            </w:tcBorders>
          </w:tcPr>
          <w:p>
            <w:pPr>
              <w:spacing w:line="276" w:lineRule="auto"/>
              <w:rPr>
                <w:rFonts w:ascii="Arial" w:hAnsi="Arial" w:cs="Arial"/>
                <w:b/>
              </w:rPr>
            </w:pPr>
            <w:r>
              <w:rPr>
                <w:rFonts w:ascii="Arial" w:hAnsi="Arial" w:cs="Arial"/>
                <w:b/>
              </w:rPr>
              <w:t>Overall Mean</w:t>
            </w:r>
          </w:p>
        </w:tc>
        <w:tc>
          <w:tcPr>
            <w:tcW w:w="1353" w:type="dxa"/>
            <w:tcBorders>
              <w:bottom w:val="single" w:sz="4" w:space="0" w:color="auto"/>
            </w:tcBorders>
          </w:tcPr>
          <w:p>
            <w:pPr>
              <w:spacing w:line="276" w:lineRule="auto"/>
              <w:jc w:val="center"/>
              <w:rPr>
                <w:rFonts w:ascii="Arial" w:hAnsi="Arial" w:cs="Arial"/>
                <w:b/>
              </w:rPr>
            </w:pPr>
            <w:r>
              <w:rPr>
                <w:rFonts w:ascii="Arial" w:hAnsi="Arial" w:cs="Arial"/>
                <w:b/>
              </w:rPr>
              <w:t>3.52</w:t>
            </w:r>
          </w:p>
        </w:tc>
        <w:tc>
          <w:tcPr>
            <w:tcW w:w="2892" w:type="dxa"/>
            <w:tcBorders>
              <w:bottom w:val="single" w:sz="4" w:space="0" w:color="auto"/>
            </w:tcBorders>
          </w:tcPr>
          <w:p>
            <w:pPr>
              <w:spacing w:line="276" w:lineRule="auto"/>
              <w:jc w:val="center"/>
              <w:rPr>
                <w:rFonts w:ascii="Arial" w:hAnsi="Arial" w:cs="Arial"/>
                <w:b/>
              </w:rPr>
            </w:pPr>
            <w:r>
              <w:rPr>
                <w:rFonts w:ascii="Arial" w:hAnsi="Arial" w:cs="Arial"/>
                <w:b/>
              </w:rPr>
              <w:t>Engaged</w:t>
            </w:r>
          </w:p>
        </w:tc>
      </w:tr>
    </w:tbl>
    <w:p>
      <w:pPr>
        <w:spacing w:line="480" w:lineRule="auto"/>
        <w:jc w:val="both"/>
        <w:rPr>
          <w:rFonts w:ascii="Arial" w:hAnsi="Arial" w:cs="Arial"/>
        </w:rPr>
      </w:pPr>
      <w:r>
        <w:rPr>
          <w:rFonts w:ascii="Arial" w:hAnsi="Arial" w:cs="Arial"/>
        </w:rPr>
        <w:lastRenderedPageBreak/>
        <w:tab/>
        <w:t>The extent of technology-supported learner engagement in English lessons among Indigenous Peoples learners was generally rated as Engaged across most indicators. Passive Engagement obtained the highest mean with an adjectival rating of Engaged. This finding indicates that learners actively participated in technology-supported activities primarily through accessing, viewing, listening to, and responding to instructional content delivered through digital tools. Such engagement demonstrates that digital tools were able to capture learners’ attention and sustain their involvement in technology-enhanced learning experiences.</w:t>
      </w:r>
    </w:p>
    <w:p>
      <w:pPr>
        <w:spacing w:line="480" w:lineRule="auto"/>
        <w:jc w:val="both"/>
        <w:rPr>
          <w:rFonts w:ascii="Arial" w:hAnsi="Arial" w:cs="Arial"/>
        </w:rPr>
      </w:pPr>
      <w:r>
        <w:rPr>
          <w:rFonts w:ascii="Arial" w:hAnsi="Arial" w:cs="Arial"/>
        </w:rPr>
        <w:tab/>
        <w:t>However,  collaborative engagement obtained the lowest mean with an adjectival rating of Moderately Engaged. The opportunities for technology-mediated collaboration, peer interaction, and collective knowledge construction were less evident compared to other forms of engagement. The result may indicate that learners were more frequently engaged in individual technology-supported tasks rather than collaborative digital activities requiring interaction and shared problem-solving. This lower level of collaborative engagement may be influenced by contextual realities within Indigenous educational settings, including limited access to digital devices, connectivity constraints, and challenges in implementing collaborative technology-supported learning activities in geographically isolated and resource-constrained schools.</w:t>
      </w:r>
    </w:p>
    <w:p>
      <w:pPr>
        <w:spacing w:line="480" w:lineRule="auto"/>
        <w:jc w:val="both"/>
        <w:rPr>
          <w:rFonts w:ascii="Arial" w:hAnsi="Arial" w:cs="Arial"/>
        </w:rPr>
      </w:pPr>
      <w:r>
        <w:rPr>
          <w:rFonts w:ascii="Arial" w:hAnsi="Arial" w:cs="Arial"/>
        </w:rPr>
        <w:tab/>
        <w:t xml:space="preserve">The overall mean interpreted as Engaged, indicates that learners were generally engaged in technology-supported English learning activities. Technology </w:t>
      </w:r>
      <w:r>
        <w:rPr>
          <w:rFonts w:ascii="Arial" w:hAnsi="Arial" w:cs="Arial"/>
        </w:rPr>
        <w:lastRenderedPageBreak/>
        <w:t>was able to facilitate learner participation and involvement in English instruction despite the contextual challenges commonly experienced in Indigenous educational settings. Digital tools served as meaningful learning supports that enabled learners to access instructional content, participate in classroom activities, and engage in language learning tasks. Furthermore, technology integration provided opportunities for learners to become active participants in the learning process rather than merely passive recipients of information.</w:t>
      </w:r>
    </w:p>
    <w:p>
      <w:pPr>
        <w:spacing w:line="480" w:lineRule="auto"/>
        <w:jc w:val="both"/>
        <w:rPr>
          <w:rFonts w:ascii="Arial" w:hAnsi="Arial" w:cs="Arial"/>
        </w:rPr>
      </w:pPr>
      <w:r>
        <w:rPr>
          <w:rFonts w:ascii="Arial" w:hAnsi="Arial" w:cs="Arial"/>
        </w:rPr>
        <w:tab/>
        <w:t xml:space="preserve">The findings support Interactionist Theory, which emphasizes the importance of interaction, participation, and communication in language acquisition. While learners demonstrated a generally engaged level of participation in technology-supported activities, the comparatively lower level of collaborative engagement suggests that opportunities for meaningful dialogue and social interaction may still be enhanced to further support language development. Similar findings were reported by Zheng and Warschauer (2022), who noted that technology-enhanced learning environments can promote learner participation and engagement when instructional activities are intentionally designed to support interaction and meaningful learning experiences. </w:t>
      </w:r>
    </w:p>
    <w:p>
      <w:pPr>
        <w:spacing w:line="480" w:lineRule="auto"/>
        <w:jc w:val="both"/>
        <w:rPr>
          <w:rFonts w:ascii="Arial" w:hAnsi="Arial" w:cs="Arial"/>
        </w:rPr>
      </w:pPr>
      <w:r>
        <w:rPr>
          <w:rFonts w:ascii="Arial" w:hAnsi="Arial" w:cs="Arial"/>
        </w:rPr>
        <w:t xml:space="preserve">to which collaborative digital learning activities are implemented. </w:t>
      </w:r>
    </w:p>
    <w:p>
      <w:pPr>
        <w:spacing w:line="240" w:lineRule="auto"/>
        <w:rPr>
          <w:rFonts w:ascii="Arial" w:hAnsi="Arial" w:cs="Arial"/>
        </w:rPr>
      </w:pPr>
      <w:r>
        <w:rPr>
          <w:rFonts w:ascii="Arial" w:eastAsia="Times New Roman" w:hAnsi="Arial" w:cs="Arial"/>
          <w:b/>
        </w:rPr>
        <w:t>Level of Teachers’ Technology Integration Practices Based on PICRAT-Aligned Instructional Processes</w:t>
      </w:r>
    </w:p>
    <w:p>
      <w:pPr>
        <w:spacing w:line="480" w:lineRule="auto"/>
        <w:jc w:val="both"/>
        <w:rPr>
          <w:rFonts w:ascii="Arial" w:eastAsia="Times New Roman" w:hAnsi="Arial" w:cs="Arial"/>
        </w:rPr>
      </w:pPr>
      <w:r>
        <w:rPr>
          <w:rFonts w:ascii="Arial" w:eastAsia="Times New Roman" w:hAnsi="Arial" w:cs="Arial"/>
        </w:rPr>
        <w:tab/>
        <w:t xml:space="preserve">Table 4 presents the level of teachers’ technology integration practices based on PICRAT-aligned instructional processes. Specifically, it examines the </w:t>
      </w:r>
      <w:r>
        <w:rPr>
          <w:rFonts w:ascii="Arial" w:eastAsia="Times New Roman" w:hAnsi="Arial" w:cs="Arial"/>
        </w:rPr>
        <w:lastRenderedPageBreak/>
        <w:t>extent to which teachers implement technology-supported instructional strategies that promote knowledge construction, inquiry, collaboration, cultural responsiveness, and meaningful learner engagement in English Language Teaching.</w:t>
      </w:r>
    </w:p>
    <w:p>
      <w:pPr>
        <w:spacing w:after="0"/>
        <w:rPr>
          <w:rFonts w:ascii="Arial" w:eastAsia="Times New Roman" w:hAnsi="Arial" w:cs="Arial"/>
          <w:i/>
        </w:rPr>
      </w:pPr>
      <w:r>
        <w:rPr>
          <w:rFonts w:ascii="Arial" w:eastAsia="Times New Roman" w:hAnsi="Arial" w:cs="Arial"/>
          <w:b/>
        </w:rPr>
        <w:t>Table 4</w:t>
      </w:r>
      <w:r>
        <w:rPr>
          <w:rFonts w:ascii="Arial" w:eastAsia="Times New Roman" w:hAnsi="Arial" w:cs="Arial"/>
        </w:rPr>
        <w:t>.</w:t>
      </w:r>
      <w:r>
        <w:rPr>
          <w:rFonts w:ascii="Arial" w:eastAsia="Times New Roman" w:hAnsi="Arial" w:cs="Arial"/>
          <w:i/>
        </w:rPr>
        <w:t xml:space="preserve">Teachers’ Technology Integration Practices Based on PICRAT-Aligned </w:t>
      </w:r>
    </w:p>
    <w:p>
      <w:pPr>
        <w:spacing w:after="0"/>
        <w:rPr>
          <w:rFonts w:ascii="Arial" w:eastAsia="Times New Roman" w:hAnsi="Arial" w:cs="Arial"/>
          <w:i/>
        </w:rPr>
      </w:pPr>
      <w:r>
        <w:rPr>
          <w:rFonts w:ascii="Arial" w:eastAsia="Times New Roman" w:hAnsi="Arial" w:cs="Arial"/>
          <w:i/>
        </w:rPr>
        <w:t xml:space="preserve">             Instructional Processes</w:t>
      </w:r>
    </w:p>
    <w:p>
      <w:pPr>
        <w:spacing w:after="0"/>
        <w:rPr>
          <w:rFonts w:ascii="Arial" w:hAnsi="Arial" w:cs="Arial"/>
          <w:i/>
        </w:rPr>
      </w:pPr>
    </w:p>
    <w:tbl>
      <w:tblPr>
        <w:tblW w:w="0" w:type="auto"/>
        <w:tblLook w:val="04A0" w:firstRow="1" w:lastRow="0" w:firstColumn="1" w:lastColumn="0" w:noHBand="0" w:noVBand="1"/>
      </w:tblPr>
      <w:tblGrid>
        <w:gridCol w:w="4965"/>
        <w:gridCol w:w="830"/>
        <w:gridCol w:w="2845"/>
      </w:tblGrid>
      <w:tr>
        <w:tc>
          <w:tcPr>
            <w:tcW w:w="5103" w:type="dxa"/>
            <w:tcBorders>
              <w:top w:val="single" w:sz="4" w:space="0" w:color="auto"/>
              <w:bottom w:val="single" w:sz="4" w:space="0" w:color="auto"/>
            </w:tcBorders>
          </w:tcPr>
          <w:p>
            <w:pPr>
              <w:spacing w:line="276" w:lineRule="auto"/>
              <w:jc w:val="center"/>
              <w:rPr>
                <w:rFonts w:ascii="Arial" w:hAnsi="Arial" w:cs="Arial"/>
                <w:b/>
              </w:rPr>
            </w:pPr>
            <w:r>
              <w:rPr>
                <w:rFonts w:ascii="Arial" w:hAnsi="Arial" w:cs="Arial"/>
                <w:b/>
              </w:rPr>
              <w:t>Indicator</w:t>
            </w:r>
          </w:p>
        </w:tc>
        <w:tc>
          <w:tcPr>
            <w:tcW w:w="635" w:type="dxa"/>
            <w:tcBorders>
              <w:top w:val="single" w:sz="4" w:space="0" w:color="auto"/>
              <w:bottom w:val="single" w:sz="4" w:space="0" w:color="auto"/>
            </w:tcBorders>
          </w:tcPr>
          <w:p>
            <w:pPr>
              <w:spacing w:line="276" w:lineRule="auto"/>
              <w:jc w:val="center"/>
              <w:rPr>
                <w:rFonts w:ascii="Arial" w:hAnsi="Arial" w:cs="Arial"/>
                <w:b/>
              </w:rPr>
            </w:pPr>
            <w:r>
              <w:rPr>
                <w:rFonts w:ascii="Arial" w:hAnsi="Arial" w:cs="Arial"/>
                <w:b/>
              </w:rPr>
              <w:t>Mean</w:t>
            </w:r>
          </w:p>
        </w:tc>
        <w:tc>
          <w:tcPr>
            <w:tcW w:w="2902" w:type="dxa"/>
            <w:tcBorders>
              <w:top w:val="single" w:sz="4" w:space="0" w:color="auto"/>
              <w:bottom w:val="single" w:sz="4" w:space="0" w:color="auto"/>
            </w:tcBorders>
          </w:tcPr>
          <w:p>
            <w:pPr>
              <w:spacing w:line="276" w:lineRule="auto"/>
              <w:jc w:val="center"/>
              <w:rPr>
                <w:rFonts w:ascii="Arial" w:hAnsi="Arial" w:cs="Arial"/>
                <w:b/>
              </w:rPr>
            </w:pPr>
            <w:r>
              <w:rPr>
                <w:rFonts w:ascii="Arial" w:hAnsi="Arial" w:cs="Arial"/>
                <w:b/>
              </w:rPr>
              <w:t>Adjectival Rating</w:t>
            </w:r>
          </w:p>
        </w:tc>
      </w:tr>
      <w:tr>
        <w:tc>
          <w:tcPr>
            <w:tcW w:w="5103" w:type="dxa"/>
            <w:tcBorders>
              <w:top w:val="single" w:sz="4" w:space="0" w:color="auto"/>
            </w:tcBorders>
          </w:tcPr>
          <w:p>
            <w:pPr>
              <w:spacing w:line="276" w:lineRule="auto"/>
              <w:rPr>
                <w:rFonts w:ascii="Arial" w:hAnsi="Arial" w:cs="Arial"/>
              </w:rPr>
            </w:pPr>
            <w:r>
              <w:rPr>
                <w:rFonts w:ascii="Arial" w:hAnsi="Arial" w:cs="Arial"/>
              </w:rPr>
              <w:t>Active Knowledge-Building Facilitation</w:t>
            </w:r>
          </w:p>
        </w:tc>
        <w:tc>
          <w:tcPr>
            <w:tcW w:w="635" w:type="dxa"/>
            <w:tcBorders>
              <w:top w:val="single" w:sz="4" w:space="0" w:color="auto"/>
            </w:tcBorders>
          </w:tcPr>
          <w:p>
            <w:pPr>
              <w:spacing w:line="276" w:lineRule="auto"/>
              <w:jc w:val="center"/>
              <w:rPr>
                <w:rFonts w:ascii="Arial" w:hAnsi="Arial" w:cs="Arial"/>
              </w:rPr>
            </w:pPr>
            <w:r>
              <w:rPr>
                <w:rFonts w:ascii="Arial" w:hAnsi="Arial" w:cs="Arial"/>
              </w:rPr>
              <w:t>3.20</w:t>
            </w:r>
          </w:p>
        </w:tc>
        <w:tc>
          <w:tcPr>
            <w:tcW w:w="2902" w:type="dxa"/>
            <w:tcBorders>
              <w:top w:val="single" w:sz="4" w:space="0" w:color="auto"/>
            </w:tcBorders>
          </w:tcPr>
          <w:p>
            <w:pPr>
              <w:spacing w:line="276" w:lineRule="auto"/>
              <w:jc w:val="center"/>
              <w:rPr>
                <w:rFonts w:ascii="Arial" w:hAnsi="Arial" w:cs="Arial"/>
              </w:rPr>
            </w:pPr>
            <w:r>
              <w:rPr>
                <w:rFonts w:ascii="Arial" w:hAnsi="Arial" w:cs="Arial"/>
              </w:rPr>
              <w:t>Moderately Practiced</w:t>
            </w:r>
          </w:p>
        </w:tc>
      </w:tr>
      <w:tr>
        <w:tc>
          <w:tcPr>
            <w:tcW w:w="5103" w:type="dxa"/>
          </w:tcPr>
          <w:p>
            <w:pPr>
              <w:spacing w:line="276" w:lineRule="auto"/>
              <w:rPr>
                <w:rFonts w:ascii="Arial" w:hAnsi="Arial" w:cs="Arial"/>
              </w:rPr>
            </w:pPr>
            <w:r>
              <w:rPr>
                <w:rFonts w:ascii="Arial" w:hAnsi="Arial" w:cs="Arial"/>
              </w:rPr>
              <w:t>Inquiry and Problem-Solving Support</w:t>
            </w:r>
          </w:p>
        </w:tc>
        <w:tc>
          <w:tcPr>
            <w:tcW w:w="635" w:type="dxa"/>
          </w:tcPr>
          <w:p>
            <w:pPr>
              <w:spacing w:line="276" w:lineRule="auto"/>
              <w:jc w:val="center"/>
              <w:rPr>
                <w:rFonts w:ascii="Arial" w:hAnsi="Arial" w:cs="Arial"/>
              </w:rPr>
            </w:pPr>
            <w:r>
              <w:rPr>
                <w:rFonts w:ascii="Arial" w:hAnsi="Arial" w:cs="Arial"/>
              </w:rPr>
              <w:t>3.15</w:t>
            </w:r>
          </w:p>
        </w:tc>
        <w:tc>
          <w:tcPr>
            <w:tcW w:w="2902" w:type="dxa"/>
          </w:tcPr>
          <w:p>
            <w:pPr>
              <w:spacing w:line="276" w:lineRule="auto"/>
              <w:jc w:val="center"/>
              <w:rPr>
                <w:rFonts w:ascii="Arial" w:hAnsi="Arial" w:cs="Arial"/>
              </w:rPr>
            </w:pPr>
            <w:r>
              <w:rPr>
                <w:rFonts w:ascii="Arial" w:hAnsi="Arial" w:cs="Arial"/>
              </w:rPr>
              <w:t>Moderately Practiced</w:t>
            </w:r>
          </w:p>
        </w:tc>
      </w:tr>
      <w:tr>
        <w:tc>
          <w:tcPr>
            <w:tcW w:w="5103" w:type="dxa"/>
          </w:tcPr>
          <w:p>
            <w:pPr>
              <w:spacing w:line="276" w:lineRule="auto"/>
              <w:rPr>
                <w:rFonts w:ascii="Arial" w:hAnsi="Arial" w:cs="Arial"/>
              </w:rPr>
            </w:pPr>
            <w:r>
              <w:rPr>
                <w:rFonts w:ascii="Arial" w:hAnsi="Arial" w:cs="Arial"/>
              </w:rPr>
              <w:t>Activation and Linking of Prior Knowledge</w:t>
            </w:r>
          </w:p>
        </w:tc>
        <w:tc>
          <w:tcPr>
            <w:tcW w:w="635" w:type="dxa"/>
          </w:tcPr>
          <w:p>
            <w:pPr>
              <w:spacing w:line="276" w:lineRule="auto"/>
              <w:jc w:val="center"/>
              <w:rPr>
                <w:rFonts w:ascii="Arial" w:hAnsi="Arial" w:cs="Arial"/>
              </w:rPr>
            </w:pPr>
            <w:r>
              <w:rPr>
                <w:rFonts w:ascii="Arial" w:hAnsi="Arial" w:cs="Arial"/>
              </w:rPr>
              <w:t>2.95</w:t>
            </w:r>
          </w:p>
        </w:tc>
        <w:tc>
          <w:tcPr>
            <w:tcW w:w="2902" w:type="dxa"/>
          </w:tcPr>
          <w:p>
            <w:pPr>
              <w:spacing w:line="276" w:lineRule="auto"/>
              <w:jc w:val="center"/>
              <w:rPr>
                <w:rFonts w:ascii="Arial" w:hAnsi="Arial" w:cs="Arial"/>
              </w:rPr>
            </w:pPr>
            <w:r>
              <w:rPr>
                <w:rFonts w:ascii="Arial" w:hAnsi="Arial" w:cs="Arial"/>
              </w:rPr>
              <w:t>Moderately Practiced</w:t>
            </w:r>
          </w:p>
        </w:tc>
      </w:tr>
      <w:tr>
        <w:tc>
          <w:tcPr>
            <w:tcW w:w="5103" w:type="dxa"/>
          </w:tcPr>
          <w:p>
            <w:pPr>
              <w:spacing w:line="276" w:lineRule="auto"/>
              <w:rPr>
                <w:rFonts w:ascii="Arial" w:hAnsi="Arial" w:cs="Arial"/>
              </w:rPr>
            </w:pPr>
            <w:r>
              <w:rPr>
                <w:rFonts w:ascii="Arial" w:hAnsi="Arial" w:cs="Arial"/>
              </w:rPr>
              <w:t>Culturally Responsive Task Design and Scaffolding</w:t>
            </w:r>
          </w:p>
        </w:tc>
        <w:tc>
          <w:tcPr>
            <w:tcW w:w="635" w:type="dxa"/>
          </w:tcPr>
          <w:p>
            <w:pPr>
              <w:spacing w:line="276" w:lineRule="auto"/>
              <w:jc w:val="center"/>
              <w:rPr>
                <w:rFonts w:ascii="Arial" w:hAnsi="Arial" w:cs="Arial"/>
              </w:rPr>
            </w:pPr>
            <w:r>
              <w:rPr>
                <w:rFonts w:ascii="Arial" w:hAnsi="Arial" w:cs="Arial"/>
              </w:rPr>
              <w:t>2.90</w:t>
            </w:r>
          </w:p>
        </w:tc>
        <w:tc>
          <w:tcPr>
            <w:tcW w:w="2902" w:type="dxa"/>
          </w:tcPr>
          <w:p>
            <w:pPr>
              <w:spacing w:line="276" w:lineRule="auto"/>
              <w:jc w:val="center"/>
              <w:rPr>
                <w:rFonts w:ascii="Arial" w:hAnsi="Arial" w:cs="Arial"/>
              </w:rPr>
            </w:pPr>
            <w:r>
              <w:rPr>
                <w:rFonts w:ascii="Arial" w:hAnsi="Arial" w:cs="Arial"/>
              </w:rPr>
              <w:t>Moderately Practiced</w:t>
            </w:r>
          </w:p>
        </w:tc>
      </w:tr>
      <w:tr>
        <w:tc>
          <w:tcPr>
            <w:tcW w:w="5103" w:type="dxa"/>
          </w:tcPr>
          <w:p>
            <w:pPr>
              <w:spacing w:line="276" w:lineRule="auto"/>
              <w:rPr>
                <w:rFonts w:ascii="Arial" w:hAnsi="Arial" w:cs="Arial"/>
              </w:rPr>
            </w:pPr>
            <w:r>
              <w:rPr>
                <w:rFonts w:ascii="Arial" w:hAnsi="Arial" w:cs="Arial"/>
              </w:rPr>
              <w:t>Technology-Mediated Dialogue and Collaboration</w:t>
            </w:r>
          </w:p>
        </w:tc>
        <w:tc>
          <w:tcPr>
            <w:tcW w:w="635" w:type="dxa"/>
          </w:tcPr>
          <w:p>
            <w:pPr>
              <w:spacing w:line="276" w:lineRule="auto"/>
              <w:jc w:val="center"/>
              <w:rPr>
                <w:rFonts w:ascii="Arial" w:hAnsi="Arial" w:cs="Arial"/>
              </w:rPr>
            </w:pPr>
            <w:r>
              <w:rPr>
                <w:rFonts w:ascii="Arial" w:hAnsi="Arial" w:cs="Arial"/>
              </w:rPr>
              <w:t>2.85</w:t>
            </w:r>
          </w:p>
        </w:tc>
        <w:tc>
          <w:tcPr>
            <w:tcW w:w="2902" w:type="dxa"/>
          </w:tcPr>
          <w:p>
            <w:pPr>
              <w:spacing w:line="276" w:lineRule="auto"/>
              <w:jc w:val="center"/>
              <w:rPr>
                <w:rFonts w:ascii="Arial" w:hAnsi="Arial" w:cs="Arial"/>
              </w:rPr>
            </w:pPr>
            <w:r>
              <w:rPr>
                <w:rFonts w:ascii="Arial" w:hAnsi="Arial" w:cs="Arial"/>
              </w:rPr>
              <w:t>Moderately Practiced</w:t>
            </w:r>
          </w:p>
        </w:tc>
      </w:tr>
      <w:tr>
        <w:tc>
          <w:tcPr>
            <w:tcW w:w="5103" w:type="dxa"/>
            <w:tcBorders>
              <w:bottom w:val="single" w:sz="4" w:space="0" w:color="auto"/>
            </w:tcBorders>
          </w:tcPr>
          <w:p>
            <w:pPr>
              <w:spacing w:line="240" w:lineRule="auto"/>
              <w:rPr>
                <w:rFonts w:ascii="Arial" w:hAnsi="Arial" w:cs="Arial"/>
                <w:b/>
              </w:rPr>
            </w:pPr>
            <w:r>
              <w:rPr>
                <w:rFonts w:ascii="Arial" w:hAnsi="Arial" w:cs="Arial"/>
                <w:b/>
              </w:rPr>
              <w:t>Overall Mean</w:t>
            </w:r>
          </w:p>
        </w:tc>
        <w:tc>
          <w:tcPr>
            <w:tcW w:w="635" w:type="dxa"/>
            <w:tcBorders>
              <w:bottom w:val="single" w:sz="4" w:space="0" w:color="auto"/>
            </w:tcBorders>
          </w:tcPr>
          <w:p>
            <w:pPr>
              <w:spacing w:line="240" w:lineRule="auto"/>
              <w:jc w:val="center"/>
              <w:rPr>
                <w:rFonts w:ascii="Arial" w:hAnsi="Arial" w:cs="Arial"/>
                <w:b/>
              </w:rPr>
            </w:pPr>
            <w:r>
              <w:rPr>
                <w:rFonts w:ascii="Arial" w:hAnsi="Arial" w:cs="Arial"/>
                <w:b/>
              </w:rPr>
              <w:t>3.01</w:t>
            </w:r>
          </w:p>
        </w:tc>
        <w:tc>
          <w:tcPr>
            <w:tcW w:w="2902" w:type="dxa"/>
            <w:tcBorders>
              <w:bottom w:val="single" w:sz="4" w:space="0" w:color="auto"/>
            </w:tcBorders>
          </w:tcPr>
          <w:p>
            <w:pPr>
              <w:spacing w:line="240" w:lineRule="auto"/>
              <w:jc w:val="center"/>
              <w:rPr>
                <w:rFonts w:ascii="Arial" w:hAnsi="Arial" w:cs="Arial"/>
                <w:b/>
              </w:rPr>
            </w:pPr>
            <w:r>
              <w:rPr>
                <w:rFonts w:ascii="Arial" w:hAnsi="Arial" w:cs="Arial"/>
                <w:b/>
              </w:rPr>
              <w:t>Moderately Practiced</w:t>
            </w:r>
          </w:p>
        </w:tc>
      </w:tr>
    </w:tbl>
    <w:p>
      <w:pPr>
        <w:spacing w:line="240" w:lineRule="auto"/>
        <w:jc w:val="both"/>
        <w:rPr>
          <w:rFonts w:ascii="Arial" w:hAnsi="Arial" w:cs="Arial"/>
        </w:rPr>
      </w:pPr>
      <w:r>
        <w:rPr>
          <w:rFonts w:ascii="Arial" w:hAnsi="Arial" w:cs="Arial"/>
        </w:rPr>
        <w:tab/>
      </w:r>
    </w:p>
    <w:p>
      <w:pPr>
        <w:spacing w:line="480" w:lineRule="auto"/>
        <w:jc w:val="both"/>
        <w:rPr>
          <w:rFonts w:ascii="Arial" w:hAnsi="Arial" w:cs="Arial"/>
        </w:rPr>
      </w:pPr>
      <w:r>
        <w:rPr>
          <w:rFonts w:ascii="Arial" w:hAnsi="Arial" w:cs="Arial"/>
        </w:rPr>
        <w:tab/>
        <w:t>The teachers’ technology integration practices based on PICRAT-aligned instructional processes were generally rated as Moderately Practiced across all indicators. Active Knowledge-Building Facilitation emerged as the most evident practice. Teachers were more inclined to use technology to support learners’ understanding, exploration of concepts, and construction of knowledge during English instruction. The result implies that technology was utilized not merely as a delivery tool but as a means of facilitating learner engagement and participation in the learning process.</w:t>
      </w:r>
    </w:p>
    <w:p>
      <w:pPr>
        <w:spacing w:line="480" w:lineRule="auto"/>
        <w:jc w:val="both"/>
        <w:rPr>
          <w:rFonts w:ascii="Arial" w:hAnsi="Arial" w:cs="Arial"/>
        </w:rPr>
      </w:pPr>
      <w:r>
        <w:rPr>
          <w:rFonts w:ascii="Arial" w:hAnsi="Arial" w:cs="Arial"/>
        </w:rPr>
        <w:lastRenderedPageBreak/>
        <w:tab/>
        <w:t>Technology-Mediated Dialogue and Collaboration was the least evident instructional practice. The pportunities for technology-supported communication, peer interaction, and collaborative learning were less frequently implemented in classroom instruction. Techers found it more manageable to facilitate individual technology-supported learning activities than collaborative digital experiences, particularly within Indigenous educational settings where access to devices, internet connectivity, and technological resources may be limited.</w:t>
      </w:r>
    </w:p>
    <w:p>
      <w:pPr>
        <w:spacing w:line="480" w:lineRule="auto"/>
        <w:jc w:val="both"/>
        <w:rPr>
          <w:rFonts w:ascii="Arial" w:hAnsi="Arial" w:cs="Arial"/>
        </w:rPr>
      </w:pPr>
      <w:r>
        <w:rPr>
          <w:rFonts w:ascii="Arial" w:hAnsi="Arial" w:cs="Arial"/>
        </w:rPr>
        <w:tab/>
        <w:t>The overall mean indicates that teachers moderately practiced technology integration in English instruction.Technology has become part of classroom instruction; however, its integration has not yet consistently progressed toward more transformative and sustained pedagogical applications. Teachers possess the competence necessary to integrate technology, the consistent implementation of technology-supported instructional processes may still be influenced by contextual realities, resource availability, and the demands of adapting instruction to Indigenous learning environments.</w:t>
      </w:r>
    </w:p>
    <w:p>
      <w:pPr>
        <w:spacing w:line="480" w:lineRule="auto"/>
        <w:jc w:val="both"/>
        <w:rPr>
          <w:rFonts w:ascii="Arial" w:hAnsi="Arial" w:cs="Arial"/>
        </w:rPr>
      </w:pPr>
      <w:r>
        <w:rPr>
          <w:rFonts w:ascii="Arial" w:hAnsi="Arial" w:cs="Arial"/>
        </w:rPr>
        <w:tab/>
        <w:t xml:space="preserve">The findings are consistent with Interactionist Theory, which emphasizes the importance of interaction, collaboration, and meaningful engagement in language learning. The relatively stronger implementation of knowledge-building activities compared with collaborative technology-supported practices suggests that technology integration was more frequently directed toward individual learning experiences than socially mediated learning processes. Similar findings were </w:t>
      </w:r>
      <w:r>
        <w:rPr>
          <w:rFonts w:ascii="Arial" w:hAnsi="Arial" w:cs="Arial"/>
        </w:rPr>
        <w:lastRenderedPageBreak/>
        <w:t xml:space="preserve">reported by Tondeur et al. (2021), who noted that teachers often possess adequate technology-related competence but encounter challenges in translating such competence into higher-level instructional practices. </w:t>
      </w:r>
    </w:p>
    <w:p>
      <w:pPr>
        <w:spacing w:line="480" w:lineRule="auto"/>
        <w:rPr>
          <w:rFonts w:ascii="Arial" w:hAnsi="Arial" w:cs="Arial"/>
        </w:rPr>
      </w:pPr>
      <w:r>
        <w:rPr>
          <w:rFonts w:ascii="Arial" w:eastAsia="Times New Roman" w:hAnsi="Arial" w:cs="Arial"/>
          <w:b/>
        </w:rPr>
        <w:t>Extent to Which Teachers’ Uses of Technology Reflect the RAT Dimensions</w:t>
      </w:r>
    </w:p>
    <w:p>
      <w:pPr>
        <w:spacing w:line="480" w:lineRule="auto"/>
        <w:jc w:val="both"/>
        <w:rPr>
          <w:rFonts w:ascii="Arial" w:eastAsia="Times New Roman" w:hAnsi="Arial" w:cs="Arial"/>
        </w:rPr>
      </w:pPr>
      <w:r>
        <w:rPr>
          <w:rFonts w:ascii="Arial" w:eastAsia="Times New Roman" w:hAnsi="Arial" w:cs="Arial"/>
        </w:rPr>
        <w:tab/>
        <w:t>Table 5 presents the extent to which teachers’ uses of technology in English instruction reflect the RAT dimensions of Replacement, Amplification, and Transformation.</w:t>
      </w:r>
    </w:p>
    <w:p>
      <w:pPr>
        <w:spacing w:line="276" w:lineRule="auto"/>
        <w:jc w:val="both"/>
        <w:rPr>
          <w:rFonts w:ascii="Arial" w:hAnsi="Arial" w:cs="Arial"/>
          <w:i/>
        </w:rPr>
      </w:pPr>
      <w:r>
        <w:rPr>
          <w:rFonts w:ascii="Arial" w:eastAsia="Times New Roman" w:hAnsi="Arial" w:cs="Arial"/>
          <w:b/>
        </w:rPr>
        <w:t>Table 5.</w:t>
      </w:r>
      <w:r>
        <w:rPr>
          <w:rFonts w:ascii="Arial" w:eastAsia="Times New Roman" w:hAnsi="Arial" w:cs="Arial"/>
          <w:i/>
        </w:rPr>
        <w:t>Teachers’ Technology Use According to RAT Dimensions</w:t>
      </w:r>
    </w:p>
    <w:tbl>
      <w:tblPr>
        <w:tblW w:w="0" w:type="auto"/>
        <w:tblLook w:val="04A0" w:firstRow="1" w:lastRow="0" w:firstColumn="1" w:lastColumn="0" w:noHBand="0" w:noVBand="1"/>
      </w:tblPr>
      <w:tblGrid>
        <w:gridCol w:w="2946"/>
        <w:gridCol w:w="2812"/>
        <w:gridCol w:w="2882"/>
      </w:tblGrid>
      <w:tr>
        <w:tc>
          <w:tcPr>
            <w:tcW w:w="3120" w:type="dxa"/>
            <w:tcBorders>
              <w:top w:val="single" w:sz="4" w:space="0" w:color="auto"/>
              <w:bottom w:val="single" w:sz="4" w:space="0" w:color="auto"/>
            </w:tcBorders>
          </w:tcPr>
          <w:p>
            <w:pPr>
              <w:spacing w:line="276" w:lineRule="auto"/>
              <w:jc w:val="center"/>
              <w:rPr>
                <w:rFonts w:ascii="Arial" w:hAnsi="Arial" w:cs="Arial"/>
                <w:b/>
              </w:rPr>
            </w:pPr>
            <w:r>
              <w:rPr>
                <w:rFonts w:ascii="Arial" w:hAnsi="Arial" w:cs="Arial"/>
                <w:b/>
              </w:rPr>
              <w:t>RAT Dimension</w:t>
            </w:r>
          </w:p>
        </w:tc>
        <w:tc>
          <w:tcPr>
            <w:tcW w:w="3120" w:type="dxa"/>
            <w:tcBorders>
              <w:top w:val="single" w:sz="4" w:space="0" w:color="auto"/>
              <w:bottom w:val="single" w:sz="4" w:space="0" w:color="auto"/>
            </w:tcBorders>
          </w:tcPr>
          <w:p>
            <w:pPr>
              <w:spacing w:line="276" w:lineRule="auto"/>
              <w:jc w:val="center"/>
              <w:rPr>
                <w:rFonts w:ascii="Arial" w:hAnsi="Arial" w:cs="Arial"/>
                <w:b/>
              </w:rPr>
            </w:pPr>
            <w:r>
              <w:rPr>
                <w:rFonts w:ascii="Arial" w:hAnsi="Arial" w:cs="Arial"/>
                <w:b/>
              </w:rPr>
              <w:t>Mean</w:t>
            </w:r>
          </w:p>
        </w:tc>
        <w:tc>
          <w:tcPr>
            <w:tcW w:w="3120" w:type="dxa"/>
            <w:tcBorders>
              <w:top w:val="single" w:sz="4" w:space="0" w:color="auto"/>
              <w:bottom w:val="single" w:sz="4" w:space="0" w:color="auto"/>
            </w:tcBorders>
          </w:tcPr>
          <w:p>
            <w:pPr>
              <w:spacing w:line="276" w:lineRule="auto"/>
              <w:jc w:val="center"/>
              <w:rPr>
                <w:rFonts w:ascii="Arial" w:hAnsi="Arial" w:cs="Arial"/>
                <w:b/>
              </w:rPr>
            </w:pPr>
            <w:r>
              <w:rPr>
                <w:rFonts w:ascii="Arial" w:hAnsi="Arial" w:cs="Arial"/>
                <w:b/>
              </w:rPr>
              <w:t>Adjectival Rating</w:t>
            </w:r>
          </w:p>
        </w:tc>
      </w:tr>
      <w:tr>
        <w:tc>
          <w:tcPr>
            <w:tcW w:w="3120" w:type="dxa"/>
            <w:tcBorders>
              <w:top w:val="single" w:sz="4" w:space="0" w:color="auto"/>
            </w:tcBorders>
          </w:tcPr>
          <w:p>
            <w:pPr>
              <w:spacing w:line="276" w:lineRule="auto"/>
              <w:rPr>
                <w:rFonts w:ascii="Arial" w:hAnsi="Arial" w:cs="Arial"/>
              </w:rPr>
            </w:pPr>
            <w:r>
              <w:rPr>
                <w:rFonts w:ascii="Arial" w:hAnsi="Arial" w:cs="Arial"/>
              </w:rPr>
              <w:t>Transformation</w:t>
            </w:r>
          </w:p>
        </w:tc>
        <w:tc>
          <w:tcPr>
            <w:tcW w:w="3120" w:type="dxa"/>
            <w:tcBorders>
              <w:top w:val="single" w:sz="4" w:space="0" w:color="auto"/>
            </w:tcBorders>
          </w:tcPr>
          <w:p>
            <w:pPr>
              <w:spacing w:line="276" w:lineRule="auto"/>
              <w:jc w:val="center"/>
              <w:rPr>
                <w:rFonts w:ascii="Arial" w:hAnsi="Arial" w:cs="Arial"/>
              </w:rPr>
            </w:pPr>
            <w:r>
              <w:rPr>
                <w:rFonts w:ascii="Arial" w:hAnsi="Arial" w:cs="Arial"/>
              </w:rPr>
              <w:t>3.53</w:t>
            </w:r>
          </w:p>
        </w:tc>
        <w:tc>
          <w:tcPr>
            <w:tcW w:w="3120" w:type="dxa"/>
            <w:tcBorders>
              <w:top w:val="single" w:sz="4" w:space="0" w:color="auto"/>
            </w:tcBorders>
          </w:tcPr>
          <w:p>
            <w:pPr>
              <w:spacing w:line="276" w:lineRule="auto"/>
              <w:jc w:val="center"/>
              <w:rPr>
                <w:rFonts w:ascii="Arial" w:hAnsi="Arial" w:cs="Arial"/>
              </w:rPr>
            </w:pPr>
            <w:r>
              <w:rPr>
                <w:rFonts w:ascii="Arial" w:hAnsi="Arial" w:cs="Arial"/>
              </w:rPr>
              <w:t>Practiced</w:t>
            </w:r>
          </w:p>
        </w:tc>
      </w:tr>
      <w:tr>
        <w:tc>
          <w:tcPr>
            <w:tcW w:w="3120" w:type="dxa"/>
          </w:tcPr>
          <w:p>
            <w:pPr>
              <w:spacing w:line="276" w:lineRule="auto"/>
              <w:rPr>
                <w:rFonts w:ascii="Arial" w:hAnsi="Arial" w:cs="Arial"/>
              </w:rPr>
            </w:pPr>
            <w:r>
              <w:rPr>
                <w:rFonts w:ascii="Arial" w:hAnsi="Arial" w:cs="Arial"/>
              </w:rPr>
              <w:t>Amplification</w:t>
            </w:r>
          </w:p>
        </w:tc>
        <w:tc>
          <w:tcPr>
            <w:tcW w:w="3120" w:type="dxa"/>
          </w:tcPr>
          <w:p>
            <w:pPr>
              <w:spacing w:line="276" w:lineRule="auto"/>
              <w:jc w:val="center"/>
              <w:rPr>
                <w:rFonts w:ascii="Arial" w:hAnsi="Arial" w:cs="Arial"/>
              </w:rPr>
            </w:pPr>
            <w:r>
              <w:rPr>
                <w:rFonts w:ascii="Arial" w:hAnsi="Arial" w:cs="Arial"/>
              </w:rPr>
              <w:t>3.51</w:t>
            </w:r>
          </w:p>
        </w:tc>
        <w:tc>
          <w:tcPr>
            <w:tcW w:w="3120" w:type="dxa"/>
          </w:tcPr>
          <w:p>
            <w:pPr>
              <w:spacing w:line="276" w:lineRule="auto"/>
              <w:jc w:val="center"/>
              <w:rPr>
                <w:rFonts w:ascii="Arial" w:hAnsi="Arial" w:cs="Arial"/>
              </w:rPr>
            </w:pPr>
            <w:r>
              <w:rPr>
                <w:rFonts w:ascii="Arial" w:hAnsi="Arial" w:cs="Arial"/>
              </w:rPr>
              <w:t>Practiced</w:t>
            </w:r>
          </w:p>
        </w:tc>
      </w:tr>
      <w:tr>
        <w:tc>
          <w:tcPr>
            <w:tcW w:w="3120" w:type="dxa"/>
          </w:tcPr>
          <w:p>
            <w:pPr>
              <w:spacing w:line="276" w:lineRule="auto"/>
              <w:rPr>
                <w:rFonts w:ascii="Arial" w:hAnsi="Arial" w:cs="Arial"/>
              </w:rPr>
            </w:pPr>
            <w:r>
              <w:rPr>
                <w:rFonts w:ascii="Arial" w:hAnsi="Arial" w:cs="Arial"/>
              </w:rPr>
              <w:t>Replacement</w:t>
            </w:r>
          </w:p>
        </w:tc>
        <w:tc>
          <w:tcPr>
            <w:tcW w:w="3120" w:type="dxa"/>
          </w:tcPr>
          <w:p>
            <w:pPr>
              <w:spacing w:line="276" w:lineRule="auto"/>
              <w:jc w:val="center"/>
              <w:rPr>
                <w:rFonts w:ascii="Arial" w:hAnsi="Arial" w:cs="Arial"/>
              </w:rPr>
            </w:pPr>
            <w:r>
              <w:rPr>
                <w:rFonts w:ascii="Arial" w:hAnsi="Arial" w:cs="Arial"/>
              </w:rPr>
              <w:t>3.43</w:t>
            </w:r>
          </w:p>
        </w:tc>
        <w:tc>
          <w:tcPr>
            <w:tcW w:w="3120" w:type="dxa"/>
          </w:tcPr>
          <w:p>
            <w:pPr>
              <w:spacing w:line="276" w:lineRule="auto"/>
              <w:jc w:val="center"/>
              <w:rPr>
                <w:rFonts w:ascii="Arial" w:hAnsi="Arial" w:cs="Arial"/>
              </w:rPr>
            </w:pPr>
            <w:r>
              <w:rPr>
                <w:rFonts w:ascii="Arial" w:hAnsi="Arial" w:cs="Arial"/>
              </w:rPr>
              <w:t>Practiced</w:t>
            </w:r>
          </w:p>
        </w:tc>
      </w:tr>
      <w:tr>
        <w:tc>
          <w:tcPr>
            <w:tcW w:w="3120" w:type="dxa"/>
            <w:tcBorders>
              <w:bottom w:val="single" w:sz="4" w:space="0" w:color="auto"/>
            </w:tcBorders>
          </w:tcPr>
          <w:p>
            <w:pPr>
              <w:spacing w:line="276" w:lineRule="auto"/>
              <w:rPr>
                <w:rFonts w:ascii="Arial" w:hAnsi="Arial" w:cs="Arial"/>
                <w:b/>
              </w:rPr>
            </w:pPr>
            <w:r>
              <w:rPr>
                <w:rFonts w:ascii="Arial" w:hAnsi="Arial" w:cs="Arial"/>
                <w:b/>
              </w:rPr>
              <w:t>Overall Mean</w:t>
            </w:r>
          </w:p>
        </w:tc>
        <w:tc>
          <w:tcPr>
            <w:tcW w:w="3120" w:type="dxa"/>
            <w:tcBorders>
              <w:bottom w:val="single" w:sz="4" w:space="0" w:color="auto"/>
            </w:tcBorders>
          </w:tcPr>
          <w:p>
            <w:pPr>
              <w:spacing w:line="276" w:lineRule="auto"/>
              <w:jc w:val="center"/>
              <w:rPr>
                <w:rFonts w:ascii="Arial" w:hAnsi="Arial" w:cs="Arial"/>
                <w:b/>
              </w:rPr>
            </w:pPr>
            <w:r>
              <w:rPr>
                <w:rFonts w:ascii="Arial" w:hAnsi="Arial" w:cs="Arial"/>
                <w:b/>
              </w:rPr>
              <w:t>3.50</w:t>
            </w:r>
          </w:p>
        </w:tc>
        <w:tc>
          <w:tcPr>
            <w:tcW w:w="3120" w:type="dxa"/>
            <w:tcBorders>
              <w:bottom w:val="single" w:sz="4" w:space="0" w:color="auto"/>
            </w:tcBorders>
          </w:tcPr>
          <w:p>
            <w:pPr>
              <w:spacing w:line="276" w:lineRule="auto"/>
              <w:jc w:val="center"/>
              <w:rPr>
                <w:rFonts w:ascii="Arial" w:hAnsi="Arial" w:cs="Arial"/>
                <w:b/>
              </w:rPr>
            </w:pPr>
            <w:r>
              <w:rPr>
                <w:rFonts w:ascii="Arial" w:hAnsi="Arial" w:cs="Arial"/>
                <w:b/>
              </w:rPr>
              <w:t>Practiced</w:t>
            </w:r>
          </w:p>
        </w:tc>
      </w:tr>
    </w:tbl>
    <w:p>
      <w:pPr>
        <w:spacing w:line="480" w:lineRule="auto"/>
        <w:jc w:val="both"/>
        <w:rPr>
          <w:rFonts w:ascii="Arial" w:hAnsi="Arial" w:cs="Arial"/>
        </w:rPr>
      </w:pPr>
      <w:r>
        <w:rPr>
          <w:rFonts w:ascii="Arial" w:hAnsi="Arial" w:cs="Arial"/>
        </w:rPr>
        <w:tab/>
      </w:r>
    </w:p>
    <w:p>
      <w:pPr>
        <w:spacing w:line="480" w:lineRule="auto"/>
        <w:jc w:val="both"/>
        <w:rPr>
          <w:rFonts w:ascii="Arial" w:hAnsi="Arial" w:cs="Arial"/>
        </w:rPr>
      </w:pPr>
      <w:r>
        <w:rPr>
          <w:rFonts w:ascii="Arial" w:hAnsi="Arial" w:cs="Arial"/>
        </w:rPr>
        <w:tab/>
        <w:t xml:space="preserve">The extent to which teachers’ uses of technology reflected the RAT dimensions was generally rated as Practiced across all dimensions. Transformation emerged as the most evident form of technology use. Teachers were able to utilize technology to support learning experiences that extended beyond traditional instructional approaches and provided opportunities for more meaningful and engaging English learning activities. The result implies that technology was not merely used as a substitute for conventional teaching tools but </w:t>
      </w:r>
      <w:r>
        <w:rPr>
          <w:rFonts w:ascii="Arial" w:hAnsi="Arial" w:cs="Arial"/>
        </w:rPr>
        <w:lastRenderedPageBreak/>
        <w:t>was increasingly employed to enhance and enrich instructional experiences for Indigenous learners.</w:t>
      </w:r>
    </w:p>
    <w:p>
      <w:pPr>
        <w:spacing w:line="480" w:lineRule="auto"/>
        <w:jc w:val="both"/>
        <w:rPr>
          <w:rFonts w:ascii="Arial" w:hAnsi="Arial" w:cs="Arial"/>
        </w:rPr>
      </w:pPr>
      <w:r>
        <w:rPr>
          <w:rFonts w:ascii="Arial" w:hAnsi="Arial" w:cs="Arial"/>
        </w:rPr>
        <w:tab/>
        <w:t>Replacement was the least evident dimension of technology use, although it remained within the Practiced level. This finding suggests that teachers relied less on using technology solely as a direct substitute for traditional instructional materials and methods. The gradual shift toward more purposeful and value-added uses of technology, where digital tools were utilized to improve instructional delivery and learner engagement rather than simply replicating existing classroom practices.</w:t>
      </w:r>
    </w:p>
    <w:p>
      <w:pPr>
        <w:spacing w:line="480" w:lineRule="auto"/>
        <w:jc w:val="both"/>
        <w:rPr>
          <w:rFonts w:ascii="Arial" w:hAnsi="Arial" w:cs="Arial"/>
        </w:rPr>
      </w:pPr>
      <w:r>
        <w:rPr>
          <w:rFonts w:ascii="Arial" w:hAnsi="Arial" w:cs="Arial"/>
        </w:rPr>
        <w:tab/>
        <w:t>The overall mean indicates that teachers generally practiced technology use across the RAT dimensions. This suggests that technology integration had become an established component of English instruction in Indigenous Peoples Education classrooms. Teachers were able to incorporate technology into instructional decision-making and classroom practices, reflecting efforts to enhance teaching and learning despite contextual challenges associated with geographically isolated and resource-constrained educational settings.</w:t>
      </w:r>
    </w:p>
    <w:p>
      <w:pPr>
        <w:spacing w:line="480" w:lineRule="auto"/>
        <w:jc w:val="both"/>
        <w:rPr>
          <w:rFonts w:ascii="Arial" w:hAnsi="Arial" w:cs="Arial"/>
        </w:rPr>
      </w:pPr>
      <w:r>
        <w:rPr>
          <w:rFonts w:ascii="Arial" w:hAnsi="Arial" w:cs="Arial"/>
        </w:rPr>
        <w:tab/>
        <w:t xml:space="preserve">The findings support the PICRAT and RAT perspectives on technology integration, which emphasize the progression from basic technology substitution toward more meaningful and transformative instructional applications. Similar findings were reported by Hamilton, Rosenberg, and Akcaoglu (2021), who noted that teachers often demonstrate a combination of replacement, amplification, and </w:t>
      </w:r>
      <w:r>
        <w:rPr>
          <w:rFonts w:ascii="Arial" w:hAnsi="Arial" w:cs="Arial"/>
        </w:rPr>
        <w:lastRenderedPageBreak/>
        <w:t xml:space="preserve">transformation practices as they continue to develop more advanced technology integration approaches. </w:t>
      </w:r>
    </w:p>
    <w:p>
      <w:pPr>
        <w:spacing w:line="240" w:lineRule="auto"/>
        <w:rPr>
          <w:rFonts w:ascii="Arial" w:hAnsi="Arial" w:cs="Arial"/>
        </w:rPr>
      </w:pPr>
      <w:r>
        <w:rPr>
          <w:rFonts w:ascii="Arial" w:eastAsia="Times New Roman" w:hAnsi="Arial" w:cs="Arial"/>
          <w:b/>
        </w:rPr>
        <w:t>Challenges Encountered in Indigenizing English Learning through Technology-Supported Tasks</w:t>
      </w:r>
    </w:p>
    <w:p>
      <w:pPr>
        <w:spacing w:line="480" w:lineRule="auto"/>
        <w:jc w:val="both"/>
        <w:rPr>
          <w:rFonts w:ascii="Arial" w:hAnsi="Arial" w:cs="Arial"/>
        </w:rPr>
      </w:pPr>
      <w:r>
        <w:rPr>
          <w:rFonts w:ascii="Arial" w:eastAsia="Times New Roman" w:hAnsi="Arial" w:cs="Arial"/>
        </w:rPr>
        <w:tab/>
        <w:t>Table 6 presents the challenges encountered by teachers in indigenizing English learning through technology-supported tasks.</w:t>
      </w:r>
    </w:p>
    <w:p>
      <w:pPr>
        <w:spacing w:after="0" w:line="240" w:lineRule="auto"/>
        <w:rPr>
          <w:rFonts w:ascii="Arial" w:eastAsia="Times New Roman" w:hAnsi="Arial" w:cs="Arial"/>
          <w:i/>
        </w:rPr>
      </w:pPr>
      <w:r>
        <w:rPr>
          <w:rFonts w:ascii="Arial" w:eastAsia="Times New Roman" w:hAnsi="Arial" w:cs="Arial"/>
          <w:b/>
        </w:rPr>
        <w:t>Table 6.</w:t>
      </w:r>
      <w:r>
        <w:rPr>
          <w:rFonts w:ascii="Arial" w:eastAsia="Times New Roman" w:hAnsi="Arial" w:cs="Arial"/>
          <w:i/>
        </w:rPr>
        <w:t xml:space="preserve"> Challenges in Indigenizing English Language Teaching through  </w:t>
      </w:r>
    </w:p>
    <w:p>
      <w:pPr>
        <w:spacing w:after="0" w:line="240" w:lineRule="auto"/>
        <w:rPr>
          <w:rFonts w:ascii="Arial" w:eastAsia="Times New Roman" w:hAnsi="Arial" w:cs="Arial"/>
          <w:i/>
        </w:rPr>
      </w:pPr>
      <w:r>
        <w:rPr>
          <w:rFonts w:ascii="Arial" w:eastAsia="Times New Roman" w:hAnsi="Arial" w:cs="Arial"/>
          <w:i/>
        </w:rPr>
        <w:t xml:space="preserve">              Technology</w:t>
      </w:r>
    </w:p>
    <w:p>
      <w:pPr>
        <w:spacing w:before="120" w:after="0" w:line="240" w:lineRule="auto"/>
        <w:rPr>
          <w:rFonts w:ascii="Arial" w:hAnsi="Arial" w:cs="Arial"/>
          <w:i/>
        </w:rPr>
      </w:pPr>
    </w:p>
    <w:tbl>
      <w:tblPr>
        <w:tblW w:w="8643" w:type="dxa"/>
        <w:tblLook w:val="04A0" w:firstRow="1" w:lastRow="0" w:firstColumn="1" w:lastColumn="0" w:noHBand="0" w:noVBand="1"/>
      </w:tblPr>
      <w:tblGrid>
        <w:gridCol w:w="5068"/>
        <w:gridCol w:w="830"/>
        <w:gridCol w:w="2745"/>
      </w:tblGrid>
      <w:tr>
        <w:tc>
          <w:tcPr>
            <w:tcW w:w="5509" w:type="dxa"/>
            <w:tcBorders>
              <w:top w:val="single" w:sz="4" w:space="0" w:color="auto"/>
              <w:bottom w:val="single" w:sz="4" w:space="0" w:color="auto"/>
            </w:tcBorders>
          </w:tcPr>
          <w:p>
            <w:pPr>
              <w:spacing w:line="240" w:lineRule="auto"/>
              <w:jc w:val="center"/>
              <w:rPr>
                <w:rFonts w:ascii="Arial" w:hAnsi="Arial" w:cs="Arial"/>
                <w:b/>
              </w:rPr>
            </w:pPr>
            <w:r>
              <w:rPr>
                <w:rFonts w:ascii="Arial" w:hAnsi="Arial" w:cs="Arial"/>
                <w:b/>
              </w:rPr>
              <w:t>Indicator</w:t>
            </w:r>
          </w:p>
        </w:tc>
        <w:tc>
          <w:tcPr>
            <w:tcW w:w="236" w:type="dxa"/>
            <w:tcBorders>
              <w:top w:val="single" w:sz="4" w:space="0" w:color="auto"/>
              <w:bottom w:val="single" w:sz="4" w:space="0" w:color="auto"/>
            </w:tcBorders>
          </w:tcPr>
          <w:p>
            <w:pPr>
              <w:spacing w:line="240" w:lineRule="auto"/>
              <w:jc w:val="center"/>
              <w:rPr>
                <w:rFonts w:ascii="Arial" w:hAnsi="Arial" w:cs="Arial"/>
                <w:b/>
              </w:rPr>
            </w:pPr>
            <w:r>
              <w:rPr>
                <w:rFonts w:ascii="Arial" w:hAnsi="Arial" w:cs="Arial"/>
                <w:b/>
              </w:rPr>
              <w:t>Mean</w:t>
            </w:r>
          </w:p>
        </w:tc>
        <w:tc>
          <w:tcPr>
            <w:tcW w:w="2898" w:type="dxa"/>
            <w:tcBorders>
              <w:top w:val="single" w:sz="4" w:space="0" w:color="auto"/>
              <w:bottom w:val="single" w:sz="4" w:space="0" w:color="auto"/>
            </w:tcBorders>
          </w:tcPr>
          <w:p>
            <w:pPr>
              <w:spacing w:line="240" w:lineRule="auto"/>
              <w:jc w:val="center"/>
              <w:rPr>
                <w:rFonts w:ascii="Arial" w:hAnsi="Arial" w:cs="Arial"/>
                <w:b/>
              </w:rPr>
            </w:pPr>
            <w:r>
              <w:rPr>
                <w:rFonts w:ascii="Arial" w:hAnsi="Arial" w:cs="Arial"/>
                <w:b/>
              </w:rPr>
              <w:t>Adjectival Rating</w:t>
            </w:r>
          </w:p>
        </w:tc>
      </w:tr>
      <w:tr>
        <w:tc>
          <w:tcPr>
            <w:tcW w:w="5509" w:type="dxa"/>
            <w:tcBorders>
              <w:top w:val="single" w:sz="4" w:space="0" w:color="auto"/>
            </w:tcBorders>
          </w:tcPr>
          <w:p>
            <w:pPr>
              <w:spacing w:line="240" w:lineRule="auto"/>
              <w:rPr>
                <w:rFonts w:ascii="Arial" w:hAnsi="Arial" w:cs="Arial"/>
              </w:rPr>
            </w:pPr>
            <w:r>
              <w:rPr>
                <w:rFonts w:ascii="Arial" w:hAnsi="Arial" w:cs="Arial"/>
              </w:rPr>
              <w:t>Difficulty in balancing curriculum standards with culturally contextualized digital tasks</w:t>
            </w:r>
          </w:p>
        </w:tc>
        <w:tc>
          <w:tcPr>
            <w:tcW w:w="236" w:type="dxa"/>
            <w:tcBorders>
              <w:top w:val="single" w:sz="4" w:space="0" w:color="auto"/>
            </w:tcBorders>
          </w:tcPr>
          <w:p>
            <w:pPr>
              <w:spacing w:line="240" w:lineRule="auto"/>
              <w:jc w:val="center"/>
              <w:rPr>
                <w:rFonts w:ascii="Arial" w:hAnsi="Arial" w:cs="Arial"/>
              </w:rPr>
            </w:pPr>
            <w:r>
              <w:rPr>
                <w:rFonts w:ascii="Arial" w:hAnsi="Arial" w:cs="Arial"/>
              </w:rPr>
              <w:t>3.77</w:t>
            </w:r>
          </w:p>
        </w:tc>
        <w:tc>
          <w:tcPr>
            <w:tcW w:w="2898" w:type="dxa"/>
            <w:tcBorders>
              <w:top w:val="single" w:sz="4" w:space="0" w:color="auto"/>
            </w:tcBorders>
          </w:tcPr>
          <w:p>
            <w:pPr>
              <w:spacing w:line="240" w:lineRule="auto"/>
              <w:jc w:val="center"/>
              <w:rPr>
                <w:rFonts w:ascii="Arial" w:hAnsi="Arial" w:cs="Arial"/>
              </w:rPr>
            </w:pPr>
            <w:r>
              <w:rPr>
                <w:rFonts w:ascii="Arial" w:hAnsi="Arial" w:cs="Arial"/>
              </w:rPr>
              <w:t>Highly Challenging</w:t>
            </w:r>
          </w:p>
        </w:tc>
      </w:tr>
      <w:tr>
        <w:tc>
          <w:tcPr>
            <w:tcW w:w="5509" w:type="dxa"/>
          </w:tcPr>
          <w:p>
            <w:pPr>
              <w:spacing w:line="240" w:lineRule="auto"/>
              <w:rPr>
                <w:rFonts w:ascii="Arial" w:hAnsi="Arial" w:cs="Arial"/>
              </w:rPr>
            </w:pPr>
            <w:r>
              <w:rPr>
                <w:rFonts w:ascii="Arial" w:hAnsi="Arial" w:cs="Arial"/>
              </w:rPr>
              <w:t>Need for more guidance on applying PICRAT in ELT</w:t>
            </w:r>
          </w:p>
        </w:tc>
        <w:tc>
          <w:tcPr>
            <w:tcW w:w="236" w:type="dxa"/>
          </w:tcPr>
          <w:p>
            <w:pPr>
              <w:spacing w:line="240" w:lineRule="auto"/>
              <w:jc w:val="center"/>
              <w:rPr>
                <w:rFonts w:ascii="Arial" w:hAnsi="Arial" w:cs="Arial"/>
              </w:rPr>
            </w:pPr>
            <w:r>
              <w:rPr>
                <w:rFonts w:ascii="Arial" w:hAnsi="Arial" w:cs="Arial"/>
              </w:rPr>
              <w:t>3.70</w:t>
            </w:r>
          </w:p>
        </w:tc>
        <w:tc>
          <w:tcPr>
            <w:tcW w:w="2898" w:type="dxa"/>
          </w:tcPr>
          <w:p>
            <w:pPr>
              <w:spacing w:line="240" w:lineRule="auto"/>
              <w:jc w:val="center"/>
              <w:rPr>
                <w:rFonts w:ascii="Arial" w:hAnsi="Arial" w:cs="Arial"/>
              </w:rPr>
            </w:pPr>
            <w:r>
              <w:rPr>
                <w:rFonts w:ascii="Arial" w:hAnsi="Arial" w:cs="Arial"/>
              </w:rPr>
              <w:t>Highly Challenging</w:t>
            </w:r>
          </w:p>
        </w:tc>
      </w:tr>
      <w:tr>
        <w:tc>
          <w:tcPr>
            <w:tcW w:w="5509" w:type="dxa"/>
          </w:tcPr>
          <w:p>
            <w:pPr>
              <w:spacing w:line="240" w:lineRule="auto"/>
              <w:rPr>
                <w:rFonts w:ascii="Arial" w:hAnsi="Arial" w:cs="Arial"/>
              </w:rPr>
            </w:pPr>
            <w:r>
              <w:rPr>
                <w:rFonts w:ascii="Arial" w:hAnsi="Arial" w:cs="Arial"/>
              </w:rPr>
              <w:t>Curriculum requirements limiting integration of Indigenous knowledge in ELT</w:t>
            </w:r>
          </w:p>
        </w:tc>
        <w:tc>
          <w:tcPr>
            <w:tcW w:w="236" w:type="dxa"/>
          </w:tcPr>
          <w:p>
            <w:pPr>
              <w:spacing w:line="240" w:lineRule="auto"/>
              <w:jc w:val="center"/>
              <w:rPr>
                <w:rFonts w:ascii="Arial" w:hAnsi="Arial" w:cs="Arial"/>
              </w:rPr>
            </w:pPr>
            <w:r>
              <w:rPr>
                <w:rFonts w:ascii="Arial" w:hAnsi="Arial" w:cs="Arial"/>
              </w:rPr>
              <w:t>3.70</w:t>
            </w:r>
          </w:p>
        </w:tc>
        <w:tc>
          <w:tcPr>
            <w:tcW w:w="2898" w:type="dxa"/>
          </w:tcPr>
          <w:p>
            <w:pPr>
              <w:spacing w:line="240" w:lineRule="auto"/>
              <w:jc w:val="center"/>
              <w:rPr>
                <w:rFonts w:ascii="Arial" w:hAnsi="Arial" w:cs="Arial"/>
              </w:rPr>
            </w:pPr>
            <w:r>
              <w:rPr>
                <w:rFonts w:ascii="Arial" w:hAnsi="Arial" w:cs="Arial"/>
              </w:rPr>
              <w:t>Highly Challenging</w:t>
            </w:r>
          </w:p>
        </w:tc>
      </w:tr>
      <w:tr>
        <w:tc>
          <w:tcPr>
            <w:tcW w:w="5509" w:type="dxa"/>
          </w:tcPr>
          <w:p>
            <w:pPr>
              <w:spacing w:line="240" w:lineRule="auto"/>
              <w:rPr>
                <w:rFonts w:ascii="Arial" w:hAnsi="Arial" w:cs="Arial"/>
              </w:rPr>
            </w:pPr>
            <w:r>
              <w:rPr>
                <w:rFonts w:ascii="Arial" w:hAnsi="Arial" w:cs="Arial"/>
              </w:rPr>
              <w:t>Learners’ limited digital literacy skills</w:t>
            </w:r>
          </w:p>
        </w:tc>
        <w:tc>
          <w:tcPr>
            <w:tcW w:w="236" w:type="dxa"/>
          </w:tcPr>
          <w:p>
            <w:pPr>
              <w:spacing w:line="240" w:lineRule="auto"/>
              <w:jc w:val="center"/>
              <w:rPr>
                <w:rFonts w:ascii="Arial" w:hAnsi="Arial" w:cs="Arial"/>
              </w:rPr>
            </w:pPr>
            <w:r>
              <w:rPr>
                <w:rFonts w:ascii="Arial" w:hAnsi="Arial" w:cs="Arial"/>
              </w:rPr>
              <w:t>3.70</w:t>
            </w:r>
          </w:p>
        </w:tc>
        <w:tc>
          <w:tcPr>
            <w:tcW w:w="2898" w:type="dxa"/>
          </w:tcPr>
          <w:p>
            <w:pPr>
              <w:spacing w:line="240" w:lineRule="auto"/>
              <w:jc w:val="center"/>
              <w:rPr>
                <w:rFonts w:ascii="Arial" w:hAnsi="Arial" w:cs="Arial"/>
              </w:rPr>
            </w:pPr>
            <w:r>
              <w:rPr>
                <w:rFonts w:ascii="Arial" w:hAnsi="Arial" w:cs="Arial"/>
              </w:rPr>
              <w:t>Highly Challenging</w:t>
            </w:r>
          </w:p>
        </w:tc>
      </w:tr>
      <w:tr>
        <w:tc>
          <w:tcPr>
            <w:tcW w:w="5509" w:type="dxa"/>
          </w:tcPr>
          <w:p>
            <w:pPr>
              <w:spacing w:line="240" w:lineRule="auto"/>
              <w:rPr>
                <w:rFonts w:ascii="Arial" w:hAnsi="Arial" w:cs="Arial"/>
              </w:rPr>
            </w:pPr>
            <w:r>
              <w:rPr>
                <w:rFonts w:ascii="Arial" w:hAnsi="Arial" w:cs="Arial"/>
              </w:rPr>
              <w:t>Limited access to culturally localized digital content</w:t>
            </w:r>
          </w:p>
        </w:tc>
        <w:tc>
          <w:tcPr>
            <w:tcW w:w="236" w:type="dxa"/>
          </w:tcPr>
          <w:p>
            <w:pPr>
              <w:spacing w:line="240" w:lineRule="auto"/>
              <w:jc w:val="center"/>
              <w:rPr>
                <w:rFonts w:ascii="Arial" w:hAnsi="Arial" w:cs="Arial"/>
              </w:rPr>
            </w:pPr>
            <w:r>
              <w:rPr>
                <w:rFonts w:ascii="Arial" w:hAnsi="Arial" w:cs="Arial"/>
              </w:rPr>
              <w:t>3.67</w:t>
            </w:r>
          </w:p>
        </w:tc>
        <w:tc>
          <w:tcPr>
            <w:tcW w:w="2898" w:type="dxa"/>
          </w:tcPr>
          <w:p>
            <w:pPr>
              <w:spacing w:line="240" w:lineRule="auto"/>
              <w:jc w:val="center"/>
              <w:rPr>
                <w:rFonts w:ascii="Arial" w:hAnsi="Arial" w:cs="Arial"/>
              </w:rPr>
            </w:pPr>
            <w:r>
              <w:rPr>
                <w:rFonts w:ascii="Arial" w:hAnsi="Arial" w:cs="Arial"/>
              </w:rPr>
              <w:t>Highly Challenging</w:t>
            </w:r>
          </w:p>
        </w:tc>
      </w:tr>
      <w:tr>
        <w:tc>
          <w:tcPr>
            <w:tcW w:w="5509" w:type="dxa"/>
          </w:tcPr>
          <w:p>
            <w:pPr>
              <w:spacing w:line="240" w:lineRule="auto"/>
              <w:rPr>
                <w:rFonts w:ascii="Arial" w:hAnsi="Arial" w:cs="Arial"/>
              </w:rPr>
            </w:pPr>
            <w:r>
              <w:rPr>
                <w:rFonts w:ascii="Arial" w:hAnsi="Arial" w:cs="Arial"/>
              </w:rPr>
              <w:t>Learners’ limited access to devices at home</w:t>
            </w:r>
          </w:p>
        </w:tc>
        <w:tc>
          <w:tcPr>
            <w:tcW w:w="236" w:type="dxa"/>
          </w:tcPr>
          <w:p>
            <w:pPr>
              <w:spacing w:line="240" w:lineRule="auto"/>
              <w:jc w:val="center"/>
              <w:rPr>
                <w:rFonts w:ascii="Arial" w:hAnsi="Arial" w:cs="Arial"/>
              </w:rPr>
            </w:pPr>
            <w:r>
              <w:rPr>
                <w:rFonts w:ascii="Arial" w:hAnsi="Arial" w:cs="Arial"/>
              </w:rPr>
              <w:t>3.63</w:t>
            </w:r>
          </w:p>
        </w:tc>
        <w:tc>
          <w:tcPr>
            <w:tcW w:w="2898" w:type="dxa"/>
          </w:tcPr>
          <w:p>
            <w:pPr>
              <w:spacing w:line="240" w:lineRule="auto"/>
              <w:jc w:val="center"/>
              <w:rPr>
                <w:rFonts w:ascii="Arial" w:hAnsi="Arial" w:cs="Arial"/>
              </w:rPr>
            </w:pPr>
            <w:r>
              <w:rPr>
                <w:rFonts w:ascii="Arial" w:hAnsi="Arial" w:cs="Arial"/>
              </w:rPr>
              <w:t>Highly Challenging</w:t>
            </w:r>
          </w:p>
        </w:tc>
      </w:tr>
      <w:tr>
        <w:tc>
          <w:tcPr>
            <w:tcW w:w="5509" w:type="dxa"/>
          </w:tcPr>
          <w:p>
            <w:pPr>
              <w:spacing w:line="240" w:lineRule="auto"/>
              <w:rPr>
                <w:rFonts w:ascii="Arial" w:hAnsi="Arial" w:cs="Arial"/>
              </w:rPr>
            </w:pPr>
            <w:r>
              <w:rPr>
                <w:rFonts w:ascii="Arial" w:hAnsi="Arial" w:cs="Arial"/>
              </w:rPr>
              <w:t>Assessing learners’ performance in technology-supported English tasks</w:t>
            </w:r>
          </w:p>
        </w:tc>
        <w:tc>
          <w:tcPr>
            <w:tcW w:w="236" w:type="dxa"/>
          </w:tcPr>
          <w:p>
            <w:pPr>
              <w:spacing w:line="240" w:lineRule="auto"/>
              <w:jc w:val="center"/>
              <w:rPr>
                <w:rFonts w:ascii="Arial" w:hAnsi="Arial" w:cs="Arial"/>
              </w:rPr>
            </w:pPr>
            <w:r>
              <w:rPr>
                <w:rFonts w:ascii="Arial" w:hAnsi="Arial" w:cs="Arial"/>
              </w:rPr>
              <w:t>3.63</w:t>
            </w:r>
          </w:p>
        </w:tc>
        <w:tc>
          <w:tcPr>
            <w:tcW w:w="2898" w:type="dxa"/>
          </w:tcPr>
          <w:p>
            <w:pPr>
              <w:spacing w:line="240" w:lineRule="auto"/>
              <w:jc w:val="center"/>
              <w:rPr>
                <w:rFonts w:ascii="Arial" w:hAnsi="Arial" w:cs="Arial"/>
              </w:rPr>
            </w:pPr>
            <w:r>
              <w:rPr>
                <w:rFonts w:ascii="Arial" w:hAnsi="Arial" w:cs="Arial"/>
              </w:rPr>
              <w:t>Highly Challenging</w:t>
            </w:r>
          </w:p>
        </w:tc>
      </w:tr>
      <w:tr>
        <w:tc>
          <w:tcPr>
            <w:tcW w:w="5509" w:type="dxa"/>
          </w:tcPr>
          <w:p>
            <w:pPr>
              <w:spacing w:line="240" w:lineRule="auto"/>
              <w:rPr>
                <w:rFonts w:ascii="Arial" w:hAnsi="Arial" w:cs="Arial"/>
              </w:rPr>
            </w:pPr>
            <w:r>
              <w:rPr>
                <w:rFonts w:ascii="Arial" w:hAnsi="Arial" w:cs="Arial"/>
              </w:rPr>
              <w:t>Available digital English resources are not culturally appropriate</w:t>
            </w:r>
          </w:p>
        </w:tc>
        <w:tc>
          <w:tcPr>
            <w:tcW w:w="236" w:type="dxa"/>
          </w:tcPr>
          <w:p>
            <w:pPr>
              <w:spacing w:line="240" w:lineRule="auto"/>
              <w:jc w:val="center"/>
              <w:rPr>
                <w:rFonts w:ascii="Arial" w:hAnsi="Arial" w:cs="Arial"/>
              </w:rPr>
            </w:pPr>
            <w:r>
              <w:rPr>
                <w:rFonts w:ascii="Arial" w:hAnsi="Arial" w:cs="Arial"/>
              </w:rPr>
              <w:t>3.60</w:t>
            </w:r>
          </w:p>
        </w:tc>
        <w:tc>
          <w:tcPr>
            <w:tcW w:w="2898" w:type="dxa"/>
          </w:tcPr>
          <w:p>
            <w:pPr>
              <w:spacing w:line="240" w:lineRule="auto"/>
              <w:jc w:val="center"/>
              <w:rPr>
                <w:rFonts w:ascii="Arial" w:hAnsi="Arial" w:cs="Arial"/>
              </w:rPr>
            </w:pPr>
            <w:r>
              <w:rPr>
                <w:rFonts w:ascii="Arial" w:hAnsi="Arial" w:cs="Arial"/>
              </w:rPr>
              <w:t>Highly Challenging</w:t>
            </w:r>
          </w:p>
        </w:tc>
      </w:tr>
      <w:tr>
        <w:tc>
          <w:tcPr>
            <w:tcW w:w="5509" w:type="dxa"/>
          </w:tcPr>
          <w:p>
            <w:pPr>
              <w:spacing w:line="240" w:lineRule="auto"/>
              <w:rPr>
                <w:rFonts w:ascii="Arial" w:hAnsi="Arial" w:cs="Arial"/>
              </w:rPr>
            </w:pPr>
            <w:r>
              <w:rPr>
                <w:rFonts w:ascii="Arial" w:hAnsi="Arial" w:cs="Arial"/>
              </w:rPr>
              <w:t>Limited devices, poor connectivity, infrastructure limitations, and insufficient institutional support</w:t>
            </w:r>
          </w:p>
        </w:tc>
        <w:tc>
          <w:tcPr>
            <w:tcW w:w="236" w:type="dxa"/>
          </w:tcPr>
          <w:p>
            <w:pPr>
              <w:spacing w:line="240" w:lineRule="auto"/>
              <w:jc w:val="center"/>
              <w:rPr>
                <w:rFonts w:ascii="Arial" w:hAnsi="Arial" w:cs="Arial"/>
              </w:rPr>
            </w:pPr>
            <w:r>
              <w:rPr>
                <w:rFonts w:ascii="Arial" w:hAnsi="Arial" w:cs="Arial"/>
              </w:rPr>
              <w:t>3.57</w:t>
            </w:r>
          </w:p>
        </w:tc>
        <w:tc>
          <w:tcPr>
            <w:tcW w:w="2898" w:type="dxa"/>
          </w:tcPr>
          <w:p>
            <w:pPr>
              <w:spacing w:line="240" w:lineRule="auto"/>
              <w:jc w:val="center"/>
              <w:rPr>
                <w:rFonts w:ascii="Arial" w:hAnsi="Arial" w:cs="Arial"/>
              </w:rPr>
            </w:pPr>
            <w:r>
              <w:rPr>
                <w:rFonts w:ascii="Arial" w:hAnsi="Arial" w:cs="Arial"/>
              </w:rPr>
              <w:t>Highly Challenging</w:t>
            </w:r>
          </w:p>
        </w:tc>
      </w:tr>
      <w:tr>
        <w:tc>
          <w:tcPr>
            <w:tcW w:w="5509" w:type="dxa"/>
            <w:tcBorders>
              <w:bottom w:val="single" w:sz="4" w:space="0" w:color="auto"/>
            </w:tcBorders>
          </w:tcPr>
          <w:p>
            <w:pPr>
              <w:spacing w:line="240" w:lineRule="auto"/>
              <w:rPr>
                <w:rFonts w:ascii="Arial" w:hAnsi="Arial" w:cs="Arial"/>
                <w:b/>
              </w:rPr>
            </w:pPr>
            <w:r>
              <w:rPr>
                <w:rFonts w:ascii="Arial" w:hAnsi="Arial" w:cs="Arial"/>
                <w:b/>
              </w:rPr>
              <w:t>Overall Mean</w:t>
            </w:r>
          </w:p>
        </w:tc>
        <w:tc>
          <w:tcPr>
            <w:tcW w:w="236" w:type="dxa"/>
            <w:tcBorders>
              <w:bottom w:val="single" w:sz="4" w:space="0" w:color="auto"/>
            </w:tcBorders>
          </w:tcPr>
          <w:p>
            <w:pPr>
              <w:spacing w:line="240" w:lineRule="auto"/>
              <w:jc w:val="center"/>
              <w:rPr>
                <w:rFonts w:ascii="Arial" w:hAnsi="Arial" w:cs="Arial"/>
                <w:b/>
              </w:rPr>
            </w:pPr>
            <w:r>
              <w:rPr>
                <w:rFonts w:ascii="Arial" w:hAnsi="Arial" w:cs="Arial"/>
                <w:b/>
              </w:rPr>
              <w:t>3.58</w:t>
            </w:r>
          </w:p>
        </w:tc>
        <w:tc>
          <w:tcPr>
            <w:tcW w:w="2898" w:type="dxa"/>
            <w:tcBorders>
              <w:bottom w:val="single" w:sz="4" w:space="0" w:color="auto"/>
            </w:tcBorders>
          </w:tcPr>
          <w:p>
            <w:pPr>
              <w:spacing w:line="240" w:lineRule="auto"/>
              <w:jc w:val="center"/>
              <w:rPr>
                <w:rFonts w:ascii="Arial" w:hAnsi="Arial" w:cs="Arial"/>
                <w:b/>
              </w:rPr>
            </w:pPr>
            <w:r>
              <w:rPr>
                <w:rFonts w:ascii="Arial" w:hAnsi="Arial" w:cs="Arial"/>
                <w:b/>
              </w:rPr>
              <w:t>Highly Challenging</w:t>
            </w:r>
          </w:p>
        </w:tc>
      </w:tr>
    </w:tbl>
    <w:p>
      <w:pPr>
        <w:spacing w:line="480" w:lineRule="auto"/>
        <w:jc w:val="both"/>
        <w:rPr>
          <w:rFonts w:ascii="Arial" w:eastAsia="Times New Roman" w:hAnsi="Arial" w:cs="Arial"/>
        </w:rPr>
      </w:pPr>
      <w:r>
        <w:rPr>
          <w:rFonts w:ascii="Arial" w:hAnsi="Arial" w:cs="Arial"/>
        </w:rPr>
        <w:tab/>
      </w:r>
    </w:p>
    <w:p>
      <w:pPr>
        <w:spacing w:line="480" w:lineRule="auto"/>
        <w:jc w:val="both"/>
        <w:rPr>
          <w:rFonts w:ascii="Arial" w:eastAsia="Times New Roman" w:hAnsi="Arial" w:cs="Arial"/>
        </w:rPr>
      </w:pPr>
      <w:r>
        <w:rPr>
          <w:rFonts w:ascii="Arial" w:eastAsia="Times New Roman" w:hAnsi="Arial" w:cs="Arial"/>
        </w:rPr>
        <w:lastRenderedPageBreak/>
        <w:tab/>
        <w:t>The challenges encountered in indigenizing English learning through technology-supported tasks were generally rated as Highly Challenging. Difficulty in balancing curriculum standards with culturally contextualized digital tasks emerged as the most evident concern. Teachers experienced challenges in aligning curriculum expectations with technology-supported activities that reflect Indigenous learners’ cultural identities, knowledge systems, and community contexts. Teachers recognize the importance of culturally responsive instruction, integrating Indigenous perspectives into technology-enhanced English lessons while simultaneously meeting curriculum requirements remains a complex instructional task.</w:t>
      </w:r>
    </w:p>
    <w:p>
      <w:pPr>
        <w:spacing w:line="480" w:lineRule="auto"/>
        <w:jc w:val="both"/>
        <w:rPr>
          <w:rFonts w:ascii="Arial" w:eastAsia="Times New Roman" w:hAnsi="Arial" w:cs="Arial"/>
        </w:rPr>
      </w:pPr>
      <w:r>
        <w:rPr>
          <w:rFonts w:ascii="Arial" w:eastAsia="Times New Roman" w:hAnsi="Arial" w:cs="Arial"/>
        </w:rPr>
        <w:tab/>
        <w:t>Limited devices, poor connectivity, infrastructure limitations, and insufficient institutional support emerged as the least evident challenge, although still perceived as Highly Challenging. Technological and institutional constraints continue to affect the implementation of technology-supported instruction. The result may indicate that despite ongoing efforts to improve access to technology, teachers in Indigenous educational settings still encounter barriers related to resources and support systems that influence the consistency and quality of technology integration in English instruction.</w:t>
      </w:r>
    </w:p>
    <w:p>
      <w:pPr>
        <w:spacing w:line="480" w:lineRule="auto"/>
        <w:jc w:val="both"/>
        <w:rPr>
          <w:rFonts w:ascii="Arial" w:eastAsia="Times New Roman" w:hAnsi="Arial" w:cs="Arial"/>
        </w:rPr>
      </w:pPr>
      <w:r>
        <w:rPr>
          <w:rFonts w:ascii="Arial" w:eastAsia="Times New Roman" w:hAnsi="Arial" w:cs="Arial"/>
        </w:rPr>
        <w:tab/>
        <w:t xml:space="preserve">The overall mean indicates that teachers encountered highly evident challenges in indigenizing English learning through technology-supported tasks. Technology integration in Indigenous Peoples Education classrooms occurs within </w:t>
      </w:r>
      <w:r>
        <w:rPr>
          <w:rFonts w:ascii="Arial" w:eastAsia="Times New Roman" w:hAnsi="Arial" w:cs="Arial"/>
        </w:rPr>
        <w:lastRenderedPageBreak/>
        <w:t>complex technological, pedagogical, cultural, and institutional contexts. The challenges experienced by teachers extend beyond issues of access and infrastructure and include the demands of designing culturally responsive, technology-enhanced learning experiences that remain aligned with curriculum standards and learner needs. Nevertheless, these challenges should not be interpreted as indicators of inadequate teacher competence but rather as reflections of the realities associated with implementing meaningful technology integration in Indigenous learning environments.</w:t>
      </w:r>
    </w:p>
    <w:p>
      <w:pPr>
        <w:spacing w:line="480" w:lineRule="auto"/>
        <w:jc w:val="both"/>
        <w:rPr>
          <w:rFonts w:ascii="Arial" w:eastAsia="Times New Roman" w:hAnsi="Arial" w:cs="Arial"/>
        </w:rPr>
      </w:pPr>
      <w:r>
        <w:rPr>
          <w:rFonts w:ascii="Arial" w:eastAsia="Times New Roman" w:hAnsi="Arial" w:cs="Arial"/>
        </w:rPr>
        <w:tab/>
        <w:t xml:space="preserve">The findings are consistent with the principles of Culturally Sustaining Pedagogy, which emphasize the importance of preserving and integrating learners’ cultural identities and community knowledge within educational practice. Agaton and Cueto (2021) identified infrastructural and contextual barriers as persistent concerns affecting technology integration in remote educational environments. Similarly, Soto, Fuentes, and Arnado (2023) emphasized that effective technology integration in Indigenous educational settings requires institutional support, contextualized professional development, and access to culturally responsive instructional resources to address the multifaceted challenges encountered by teachers. </w:t>
      </w:r>
    </w:p>
    <w:p>
      <w:pPr>
        <w:spacing w:line="240" w:lineRule="auto"/>
        <w:rPr>
          <w:rFonts w:ascii="Arial" w:hAnsi="Arial" w:cs="Arial"/>
        </w:rPr>
      </w:pPr>
      <w:r>
        <w:rPr>
          <w:rFonts w:ascii="Arial" w:eastAsia="Times New Roman" w:hAnsi="Arial" w:cs="Arial"/>
          <w:b/>
        </w:rPr>
        <w:t>Significant Relationship between Teachers’ Competence and Technology Integration Practices</w:t>
      </w:r>
    </w:p>
    <w:p>
      <w:pPr>
        <w:spacing w:line="480" w:lineRule="auto"/>
        <w:jc w:val="both"/>
        <w:rPr>
          <w:rFonts w:ascii="Arial" w:hAnsi="Arial" w:cs="Arial"/>
        </w:rPr>
      </w:pPr>
      <w:r>
        <w:rPr>
          <w:rFonts w:ascii="Arial" w:eastAsia="Times New Roman" w:hAnsi="Arial" w:cs="Arial"/>
        </w:rPr>
        <w:tab/>
        <w:t>Table 7 presents the relationship between teachers’ competence and technology integration practices.</w:t>
      </w:r>
    </w:p>
    <w:p>
      <w:pPr>
        <w:spacing w:after="0" w:line="240" w:lineRule="auto"/>
        <w:rPr>
          <w:rFonts w:ascii="Arial" w:eastAsia="Times New Roman" w:hAnsi="Arial" w:cs="Arial"/>
          <w:i/>
        </w:rPr>
      </w:pPr>
      <w:r>
        <w:rPr>
          <w:rFonts w:ascii="Arial" w:eastAsia="Times New Roman" w:hAnsi="Arial" w:cs="Arial"/>
          <w:b/>
        </w:rPr>
        <w:lastRenderedPageBreak/>
        <w:t>Table 7.</w:t>
      </w:r>
      <w:r>
        <w:rPr>
          <w:rFonts w:ascii="Arial" w:eastAsia="Times New Roman" w:hAnsi="Arial" w:cs="Arial"/>
          <w:b/>
          <w:i/>
        </w:rPr>
        <w:t xml:space="preserve"> </w:t>
      </w:r>
      <w:r>
        <w:rPr>
          <w:rFonts w:ascii="Arial" w:eastAsia="Times New Roman" w:hAnsi="Arial" w:cs="Arial"/>
          <w:i/>
        </w:rPr>
        <w:t xml:space="preserve">Correlation between Teachers’ Competence and Technology Integration </w:t>
      </w:r>
      <w:r>
        <w:rPr>
          <w:rFonts w:ascii="Arial" w:eastAsia="Times New Roman" w:hAnsi="Arial" w:cs="Arial"/>
          <w:i/>
        </w:rPr>
        <w:tab/>
        <w:t xml:space="preserve">   </w:t>
      </w:r>
    </w:p>
    <w:p>
      <w:pPr>
        <w:spacing w:after="0" w:line="240" w:lineRule="auto"/>
        <w:rPr>
          <w:rFonts w:ascii="Arial" w:eastAsia="Times New Roman" w:hAnsi="Arial" w:cs="Arial"/>
          <w:i/>
        </w:rPr>
      </w:pPr>
      <w:r>
        <w:rPr>
          <w:rFonts w:ascii="Arial" w:eastAsia="Times New Roman" w:hAnsi="Arial" w:cs="Arial"/>
          <w:i/>
        </w:rPr>
        <w:tab/>
        <w:t xml:space="preserve">   Practices</w:t>
      </w:r>
    </w:p>
    <w:p>
      <w:pPr>
        <w:spacing w:after="0" w:line="240" w:lineRule="auto"/>
        <w:rPr>
          <w:rFonts w:ascii="Arial" w:eastAsia="Times New Roman" w:hAnsi="Arial" w:cs="Arial"/>
          <w:i/>
        </w:rPr>
      </w:pPr>
    </w:p>
    <w:tbl>
      <w:tblPr>
        <w:tblStyle w:val="TableGrid"/>
        <w:tblW w:w="8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3298"/>
        <w:gridCol w:w="1106"/>
        <w:gridCol w:w="861"/>
        <w:gridCol w:w="1196"/>
      </w:tblGrid>
      <w:tr>
        <w:trPr>
          <w:trHeight w:val="539"/>
        </w:trPr>
        <w:tc>
          <w:tcPr>
            <w:tcW w:w="5497" w:type="dxa"/>
            <w:gridSpan w:val="2"/>
            <w:tcBorders>
              <w:top w:val="single" w:sz="4" w:space="0" w:color="auto"/>
              <w:bottom w:val="single" w:sz="4" w:space="0" w:color="auto"/>
            </w:tcBorders>
          </w:tcPr>
          <w:p>
            <w:pPr>
              <w:jc w:val="center"/>
              <w:rPr>
                <w:rFonts w:ascii="Arial" w:hAnsi="Arial" w:cs="Arial"/>
                <w:b/>
                <w:sz w:val="18"/>
                <w:szCs w:val="18"/>
              </w:rPr>
            </w:pPr>
            <w:r>
              <w:rPr>
                <w:rFonts w:ascii="Arial" w:hAnsi="Arial" w:cs="Arial"/>
                <w:b/>
                <w:sz w:val="18"/>
                <w:szCs w:val="18"/>
              </w:rPr>
              <w:t>Variable Tested</w:t>
            </w:r>
          </w:p>
        </w:tc>
        <w:tc>
          <w:tcPr>
            <w:tcW w:w="1106" w:type="dxa"/>
            <w:tcBorders>
              <w:top w:val="single" w:sz="4" w:space="0" w:color="auto"/>
              <w:bottom w:val="single" w:sz="4" w:space="0" w:color="auto"/>
            </w:tcBorders>
          </w:tcPr>
          <w:p>
            <w:pPr>
              <w:jc w:val="center"/>
              <w:rPr>
                <w:rFonts w:ascii="Arial" w:hAnsi="Arial" w:cs="Arial"/>
                <w:b/>
                <w:sz w:val="18"/>
                <w:szCs w:val="18"/>
              </w:rPr>
            </w:pPr>
            <w:r>
              <w:rPr>
                <w:rFonts w:ascii="Arial" w:hAnsi="Arial" w:cs="Arial"/>
                <w:b/>
                <w:sz w:val="18"/>
                <w:szCs w:val="18"/>
              </w:rPr>
              <w:t>Computed r</w:t>
            </w:r>
          </w:p>
        </w:tc>
        <w:tc>
          <w:tcPr>
            <w:tcW w:w="880" w:type="dxa"/>
            <w:tcBorders>
              <w:top w:val="single" w:sz="4" w:space="0" w:color="auto"/>
              <w:bottom w:val="single" w:sz="4" w:space="0" w:color="auto"/>
            </w:tcBorders>
          </w:tcPr>
          <w:p>
            <w:pPr>
              <w:jc w:val="center"/>
              <w:rPr>
                <w:rFonts w:ascii="Arial" w:hAnsi="Arial" w:cs="Arial"/>
                <w:b/>
                <w:sz w:val="18"/>
                <w:szCs w:val="18"/>
              </w:rPr>
            </w:pPr>
            <w:r>
              <w:rPr>
                <w:rFonts w:ascii="Arial" w:hAnsi="Arial" w:cs="Arial"/>
                <w:b/>
                <w:sz w:val="18"/>
                <w:szCs w:val="18"/>
              </w:rPr>
              <w:t>p-value</w:t>
            </w:r>
          </w:p>
        </w:tc>
        <w:tc>
          <w:tcPr>
            <w:tcW w:w="1196" w:type="dxa"/>
            <w:tcBorders>
              <w:top w:val="single" w:sz="4" w:space="0" w:color="auto"/>
              <w:bottom w:val="single" w:sz="4" w:space="0" w:color="auto"/>
            </w:tcBorders>
          </w:tcPr>
          <w:p>
            <w:pPr>
              <w:jc w:val="center"/>
              <w:rPr>
                <w:rFonts w:ascii="Arial" w:hAnsi="Arial" w:cs="Arial"/>
                <w:b/>
                <w:sz w:val="18"/>
                <w:szCs w:val="18"/>
              </w:rPr>
            </w:pPr>
            <w:r>
              <w:rPr>
                <w:rFonts w:ascii="Arial" w:hAnsi="Arial" w:cs="Arial"/>
                <w:b/>
                <w:sz w:val="18"/>
                <w:szCs w:val="18"/>
              </w:rPr>
              <w:t>Conclusion</w:t>
            </w:r>
          </w:p>
        </w:tc>
      </w:tr>
      <w:tr>
        <w:trPr>
          <w:trHeight w:val="419"/>
        </w:trPr>
        <w:tc>
          <w:tcPr>
            <w:tcW w:w="1985" w:type="dxa"/>
            <w:vMerge w:val="restart"/>
            <w:tcBorders>
              <w:top w:val="single" w:sz="4" w:space="0" w:color="auto"/>
            </w:tcBorders>
            <w:vAlign w:val="center"/>
          </w:tcPr>
          <w:p>
            <w:pPr>
              <w:jc w:val="center"/>
              <w:rPr>
                <w:rFonts w:ascii="Arial" w:hAnsi="Arial" w:cs="Arial"/>
                <w:sz w:val="18"/>
                <w:szCs w:val="18"/>
              </w:rPr>
            </w:pPr>
            <w:r>
              <w:rPr>
                <w:rFonts w:ascii="Arial" w:hAnsi="Arial" w:cs="Arial"/>
                <w:sz w:val="18"/>
                <w:szCs w:val="18"/>
                <w:lang w:eastAsia="en-PH"/>
              </w:rPr>
              <w:t>PICRAT-Based Pedagogical Knowledge</w:t>
            </w:r>
          </w:p>
        </w:tc>
        <w:tc>
          <w:tcPr>
            <w:tcW w:w="3512" w:type="dxa"/>
            <w:tcBorders>
              <w:top w:val="single" w:sz="4" w:space="0" w:color="auto"/>
            </w:tcBorders>
          </w:tcPr>
          <w:p>
            <w:pPr>
              <w:rPr>
                <w:rFonts w:ascii="Arial" w:hAnsi="Arial" w:cs="Arial"/>
                <w:sz w:val="18"/>
                <w:szCs w:val="18"/>
              </w:rPr>
            </w:pPr>
            <w:r>
              <w:rPr>
                <w:rFonts w:ascii="Arial" w:hAnsi="Arial" w:cs="Arial"/>
                <w:sz w:val="18"/>
                <w:szCs w:val="18"/>
              </w:rPr>
              <w:t>Active knowledge-building facilitation</w:t>
            </w:r>
          </w:p>
        </w:tc>
        <w:tc>
          <w:tcPr>
            <w:tcW w:w="1106" w:type="dxa"/>
            <w:tcBorders>
              <w:top w:val="single" w:sz="4" w:space="0" w:color="auto"/>
            </w:tcBorders>
            <w:vAlign w:val="center"/>
          </w:tcPr>
          <w:p>
            <w:pPr>
              <w:jc w:val="center"/>
              <w:rPr>
                <w:rFonts w:ascii="Arial" w:hAnsi="Arial" w:cs="Arial"/>
                <w:sz w:val="18"/>
                <w:szCs w:val="18"/>
              </w:rPr>
            </w:pPr>
            <w:r>
              <w:rPr>
                <w:rFonts w:ascii="Arial" w:hAnsi="Arial" w:cs="Arial"/>
                <w:sz w:val="18"/>
                <w:szCs w:val="18"/>
              </w:rPr>
              <w:t>0.832</w:t>
            </w:r>
          </w:p>
        </w:tc>
        <w:tc>
          <w:tcPr>
            <w:tcW w:w="880" w:type="dxa"/>
            <w:tcBorders>
              <w:top w:val="single" w:sz="4" w:space="0" w:color="auto"/>
            </w:tcBorders>
            <w:vAlign w:val="center"/>
          </w:tcPr>
          <w:p>
            <w:pPr>
              <w:jc w:val="center"/>
              <w:rPr>
                <w:rFonts w:ascii="Arial" w:hAnsi="Arial" w:cs="Arial"/>
                <w:sz w:val="18"/>
                <w:szCs w:val="18"/>
              </w:rPr>
            </w:pPr>
            <w:r>
              <w:rPr>
                <w:rFonts w:ascii="Arial" w:hAnsi="Arial" w:cs="Arial"/>
                <w:sz w:val="18"/>
                <w:szCs w:val="18"/>
              </w:rPr>
              <w:t>.000</w:t>
            </w:r>
          </w:p>
        </w:tc>
        <w:tc>
          <w:tcPr>
            <w:tcW w:w="1196" w:type="dxa"/>
            <w:tcBorders>
              <w:top w:val="single" w:sz="4" w:space="0" w:color="auto"/>
            </w:tcBorders>
          </w:tcPr>
          <w:p>
            <w:pPr>
              <w:jc w:val="center"/>
              <w:rPr>
                <w:rFonts w:ascii="Arial" w:hAnsi="Arial" w:cs="Arial"/>
                <w:sz w:val="18"/>
                <w:szCs w:val="18"/>
              </w:rPr>
            </w:pPr>
            <w:r>
              <w:rPr>
                <w:rFonts w:ascii="Arial" w:hAnsi="Arial" w:cs="Arial"/>
                <w:sz w:val="18"/>
                <w:szCs w:val="18"/>
              </w:rPr>
              <w:t>Significant</w:t>
            </w:r>
          </w:p>
        </w:tc>
      </w:tr>
      <w:tr>
        <w:trPr>
          <w:trHeight w:val="435"/>
        </w:trPr>
        <w:tc>
          <w:tcPr>
            <w:tcW w:w="1985" w:type="dxa"/>
            <w:vMerge/>
          </w:tcPr>
          <w:p>
            <w:pPr>
              <w:jc w:val="center"/>
              <w:rPr>
                <w:rFonts w:ascii="Arial" w:hAnsi="Arial" w:cs="Arial"/>
                <w:sz w:val="18"/>
                <w:szCs w:val="18"/>
              </w:rPr>
            </w:pPr>
          </w:p>
        </w:tc>
        <w:tc>
          <w:tcPr>
            <w:tcW w:w="3512" w:type="dxa"/>
          </w:tcPr>
          <w:p>
            <w:pPr>
              <w:rPr>
                <w:rFonts w:ascii="Arial" w:hAnsi="Arial" w:cs="Arial"/>
                <w:sz w:val="18"/>
                <w:szCs w:val="18"/>
                <w:lang w:eastAsia="en-PH"/>
              </w:rPr>
            </w:pPr>
            <w:r>
              <w:rPr>
                <w:rFonts w:ascii="Arial" w:hAnsi="Arial" w:cs="Arial"/>
                <w:sz w:val="18"/>
                <w:szCs w:val="18"/>
              </w:rPr>
              <w:t>Activation and linking of prior knowledge;</w:t>
            </w:r>
          </w:p>
        </w:tc>
        <w:tc>
          <w:tcPr>
            <w:tcW w:w="1106" w:type="dxa"/>
            <w:vAlign w:val="center"/>
          </w:tcPr>
          <w:p>
            <w:pPr>
              <w:jc w:val="center"/>
              <w:rPr>
                <w:rFonts w:ascii="Arial" w:hAnsi="Arial" w:cs="Arial"/>
                <w:sz w:val="18"/>
                <w:szCs w:val="18"/>
              </w:rPr>
            </w:pPr>
            <w:r>
              <w:rPr>
                <w:rFonts w:ascii="Arial" w:hAnsi="Arial" w:cs="Arial"/>
                <w:sz w:val="18"/>
                <w:szCs w:val="18"/>
              </w:rPr>
              <w:t>0.733</w:t>
            </w:r>
          </w:p>
        </w:tc>
        <w:tc>
          <w:tcPr>
            <w:tcW w:w="880" w:type="dxa"/>
            <w:vAlign w:val="center"/>
          </w:tcPr>
          <w:p>
            <w:pPr>
              <w:jc w:val="center"/>
              <w:rPr>
                <w:rFonts w:ascii="Arial" w:hAnsi="Arial" w:cs="Arial"/>
                <w:sz w:val="18"/>
                <w:szCs w:val="18"/>
              </w:rPr>
            </w:pPr>
            <w:r>
              <w:rPr>
                <w:rFonts w:ascii="Arial" w:hAnsi="Arial" w:cs="Arial"/>
                <w:sz w:val="18"/>
                <w:szCs w:val="18"/>
              </w:rPr>
              <w:t>.000</w:t>
            </w:r>
          </w:p>
        </w:tc>
        <w:tc>
          <w:tcPr>
            <w:tcW w:w="1196" w:type="dxa"/>
            <w:vAlign w:val="center"/>
          </w:tcPr>
          <w:p>
            <w:pPr>
              <w:jc w:val="center"/>
              <w:rPr>
                <w:rFonts w:ascii="Arial" w:hAnsi="Arial" w:cs="Arial"/>
                <w:sz w:val="18"/>
                <w:szCs w:val="18"/>
              </w:rPr>
            </w:pPr>
            <w:r>
              <w:rPr>
                <w:rFonts w:ascii="Arial" w:hAnsi="Arial" w:cs="Arial"/>
                <w:sz w:val="18"/>
                <w:szCs w:val="18"/>
              </w:rPr>
              <w:t>Significant</w:t>
            </w:r>
          </w:p>
        </w:tc>
      </w:tr>
      <w:tr>
        <w:trPr>
          <w:trHeight w:val="426"/>
        </w:trPr>
        <w:tc>
          <w:tcPr>
            <w:tcW w:w="1985" w:type="dxa"/>
            <w:vMerge/>
          </w:tcPr>
          <w:p>
            <w:pPr>
              <w:jc w:val="center"/>
              <w:rPr>
                <w:rFonts w:ascii="Arial" w:hAnsi="Arial" w:cs="Arial"/>
                <w:sz w:val="18"/>
                <w:szCs w:val="18"/>
              </w:rPr>
            </w:pPr>
          </w:p>
        </w:tc>
        <w:tc>
          <w:tcPr>
            <w:tcW w:w="3512" w:type="dxa"/>
          </w:tcPr>
          <w:p>
            <w:pPr>
              <w:rPr>
                <w:rFonts w:ascii="Arial" w:hAnsi="Arial" w:cs="Arial"/>
                <w:sz w:val="18"/>
                <w:szCs w:val="18"/>
                <w:lang w:eastAsia="en-PH"/>
              </w:rPr>
            </w:pPr>
            <w:r>
              <w:rPr>
                <w:rFonts w:ascii="Arial" w:hAnsi="Arial" w:cs="Arial"/>
                <w:sz w:val="18"/>
                <w:szCs w:val="18"/>
              </w:rPr>
              <w:t>Inquiry and problem-solving support</w:t>
            </w:r>
          </w:p>
        </w:tc>
        <w:tc>
          <w:tcPr>
            <w:tcW w:w="1106" w:type="dxa"/>
            <w:vAlign w:val="center"/>
          </w:tcPr>
          <w:p>
            <w:pPr>
              <w:jc w:val="center"/>
              <w:rPr>
                <w:rFonts w:ascii="Arial" w:hAnsi="Arial" w:cs="Arial"/>
                <w:sz w:val="18"/>
                <w:szCs w:val="18"/>
              </w:rPr>
            </w:pPr>
            <w:r>
              <w:rPr>
                <w:rFonts w:ascii="Arial" w:hAnsi="Arial" w:cs="Arial"/>
                <w:sz w:val="18"/>
                <w:szCs w:val="18"/>
              </w:rPr>
              <w:t>0.585</w:t>
            </w:r>
          </w:p>
        </w:tc>
        <w:tc>
          <w:tcPr>
            <w:tcW w:w="880" w:type="dxa"/>
            <w:vAlign w:val="center"/>
          </w:tcPr>
          <w:p>
            <w:pPr>
              <w:jc w:val="center"/>
              <w:rPr>
                <w:rFonts w:ascii="Arial" w:hAnsi="Arial" w:cs="Arial"/>
                <w:sz w:val="18"/>
                <w:szCs w:val="18"/>
              </w:rPr>
            </w:pPr>
            <w:r>
              <w:rPr>
                <w:rFonts w:ascii="Arial" w:hAnsi="Arial" w:cs="Arial"/>
                <w:sz w:val="18"/>
                <w:szCs w:val="18"/>
              </w:rPr>
              <w:t>.001</w:t>
            </w:r>
          </w:p>
        </w:tc>
        <w:tc>
          <w:tcPr>
            <w:tcW w:w="1196" w:type="dxa"/>
            <w:vAlign w:val="center"/>
          </w:tcPr>
          <w:p>
            <w:pPr>
              <w:jc w:val="center"/>
              <w:rPr>
                <w:rFonts w:ascii="Arial" w:hAnsi="Arial" w:cs="Arial"/>
                <w:sz w:val="18"/>
                <w:szCs w:val="18"/>
              </w:rPr>
            </w:pPr>
            <w:r>
              <w:rPr>
                <w:rFonts w:ascii="Arial" w:hAnsi="Arial" w:cs="Arial"/>
                <w:sz w:val="18"/>
                <w:szCs w:val="18"/>
              </w:rPr>
              <w:t>Significant</w:t>
            </w:r>
          </w:p>
        </w:tc>
      </w:tr>
      <w:tr>
        <w:trPr>
          <w:trHeight w:val="419"/>
        </w:trPr>
        <w:tc>
          <w:tcPr>
            <w:tcW w:w="1985" w:type="dxa"/>
            <w:vMerge/>
          </w:tcPr>
          <w:p>
            <w:pPr>
              <w:jc w:val="center"/>
              <w:rPr>
                <w:rFonts w:ascii="Arial" w:hAnsi="Arial" w:cs="Arial"/>
                <w:sz w:val="18"/>
                <w:szCs w:val="18"/>
              </w:rPr>
            </w:pPr>
          </w:p>
        </w:tc>
        <w:tc>
          <w:tcPr>
            <w:tcW w:w="3512" w:type="dxa"/>
          </w:tcPr>
          <w:p>
            <w:pPr>
              <w:rPr>
                <w:rFonts w:ascii="Arial" w:hAnsi="Arial" w:cs="Arial"/>
                <w:sz w:val="18"/>
                <w:szCs w:val="18"/>
                <w:lang w:eastAsia="en-PH"/>
              </w:rPr>
            </w:pPr>
            <w:r>
              <w:rPr>
                <w:rFonts w:ascii="Arial" w:hAnsi="Arial" w:cs="Arial"/>
                <w:sz w:val="18"/>
                <w:szCs w:val="18"/>
              </w:rPr>
              <w:t>Technology-mediated dialogue and collaboration</w:t>
            </w:r>
          </w:p>
        </w:tc>
        <w:tc>
          <w:tcPr>
            <w:tcW w:w="1106" w:type="dxa"/>
            <w:vAlign w:val="center"/>
          </w:tcPr>
          <w:p>
            <w:pPr>
              <w:jc w:val="center"/>
              <w:rPr>
                <w:rFonts w:ascii="Arial" w:hAnsi="Arial" w:cs="Arial"/>
                <w:sz w:val="18"/>
                <w:szCs w:val="18"/>
              </w:rPr>
            </w:pPr>
            <w:r>
              <w:rPr>
                <w:rFonts w:ascii="Arial" w:hAnsi="Arial" w:cs="Arial"/>
                <w:sz w:val="18"/>
                <w:szCs w:val="18"/>
              </w:rPr>
              <w:t>0.816</w:t>
            </w:r>
          </w:p>
        </w:tc>
        <w:tc>
          <w:tcPr>
            <w:tcW w:w="880" w:type="dxa"/>
            <w:vAlign w:val="center"/>
          </w:tcPr>
          <w:p>
            <w:pPr>
              <w:jc w:val="center"/>
              <w:rPr>
                <w:rFonts w:ascii="Arial" w:hAnsi="Arial" w:cs="Arial"/>
                <w:sz w:val="18"/>
                <w:szCs w:val="18"/>
              </w:rPr>
            </w:pPr>
            <w:r>
              <w:rPr>
                <w:rFonts w:ascii="Arial" w:hAnsi="Arial" w:cs="Arial"/>
                <w:sz w:val="18"/>
                <w:szCs w:val="18"/>
              </w:rPr>
              <w:t>.000</w:t>
            </w:r>
          </w:p>
        </w:tc>
        <w:tc>
          <w:tcPr>
            <w:tcW w:w="1196" w:type="dxa"/>
            <w:vAlign w:val="center"/>
          </w:tcPr>
          <w:p>
            <w:pPr>
              <w:jc w:val="center"/>
              <w:rPr>
                <w:rFonts w:ascii="Arial" w:hAnsi="Arial" w:cs="Arial"/>
                <w:sz w:val="18"/>
                <w:szCs w:val="18"/>
              </w:rPr>
            </w:pPr>
            <w:r>
              <w:rPr>
                <w:rFonts w:ascii="Arial" w:hAnsi="Arial" w:cs="Arial"/>
                <w:sz w:val="18"/>
                <w:szCs w:val="18"/>
              </w:rPr>
              <w:t>Significant</w:t>
            </w:r>
          </w:p>
        </w:tc>
      </w:tr>
      <w:tr>
        <w:trPr>
          <w:trHeight w:val="425"/>
        </w:trPr>
        <w:tc>
          <w:tcPr>
            <w:tcW w:w="1985" w:type="dxa"/>
            <w:vMerge/>
          </w:tcPr>
          <w:p>
            <w:pPr>
              <w:jc w:val="center"/>
              <w:rPr>
                <w:rFonts w:ascii="Arial" w:hAnsi="Arial" w:cs="Arial"/>
                <w:sz w:val="18"/>
                <w:szCs w:val="18"/>
              </w:rPr>
            </w:pPr>
          </w:p>
        </w:tc>
        <w:tc>
          <w:tcPr>
            <w:tcW w:w="3512" w:type="dxa"/>
          </w:tcPr>
          <w:p>
            <w:pPr>
              <w:rPr>
                <w:rFonts w:ascii="Arial" w:hAnsi="Arial" w:cs="Arial"/>
                <w:sz w:val="18"/>
                <w:szCs w:val="18"/>
                <w:lang w:eastAsia="en-PH"/>
              </w:rPr>
            </w:pPr>
            <w:r>
              <w:rPr>
                <w:rFonts w:ascii="Arial" w:hAnsi="Arial" w:cs="Arial"/>
                <w:sz w:val="18"/>
                <w:szCs w:val="18"/>
              </w:rPr>
              <w:t>Culturally responsive task design and scaffolding</w:t>
            </w:r>
          </w:p>
        </w:tc>
        <w:tc>
          <w:tcPr>
            <w:tcW w:w="1106" w:type="dxa"/>
            <w:vAlign w:val="center"/>
          </w:tcPr>
          <w:p>
            <w:pPr>
              <w:jc w:val="center"/>
              <w:rPr>
                <w:rFonts w:ascii="Arial" w:hAnsi="Arial" w:cs="Arial"/>
                <w:sz w:val="18"/>
                <w:szCs w:val="18"/>
              </w:rPr>
            </w:pPr>
            <w:r>
              <w:rPr>
                <w:rFonts w:ascii="Arial" w:hAnsi="Arial" w:cs="Arial"/>
                <w:sz w:val="18"/>
                <w:szCs w:val="18"/>
              </w:rPr>
              <w:t>0.857</w:t>
            </w:r>
          </w:p>
        </w:tc>
        <w:tc>
          <w:tcPr>
            <w:tcW w:w="880" w:type="dxa"/>
            <w:vAlign w:val="center"/>
          </w:tcPr>
          <w:p>
            <w:pPr>
              <w:jc w:val="center"/>
              <w:rPr>
                <w:rFonts w:ascii="Arial" w:hAnsi="Arial" w:cs="Arial"/>
                <w:sz w:val="18"/>
                <w:szCs w:val="18"/>
              </w:rPr>
            </w:pPr>
            <w:r>
              <w:rPr>
                <w:rFonts w:ascii="Arial" w:hAnsi="Arial" w:cs="Arial"/>
                <w:sz w:val="18"/>
                <w:szCs w:val="18"/>
              </w:rPr>
              <w:t>.000</w:t>
            </w:r>
          </w:p>
        </w:tc>
        <w:tc>
          <w:tcPr>
            <w:tcW w:w="1196" w:type="dxa"/>
            <w:vAlign w:val="center"/>
          </w:tcPr>
          <w:p>
            <w:pPr>
              <w:jc w:val="center"/>
              <w:rPr>
                <w:rFonts w:ascii="Arial" w:hAnsi="Arial" w:cs="Arial"/>
                <w:sz w:val="18"/>
                <w:szCs w:val="18"/>
              </w:rPr>
            </w:pPr>
            <w:r>
              <w:rPr>
                <w:rFonts w:ascii="Arial" w:hAnsi="Arial" w:cs="Arial"/>
                <w:sz w:val="18"/>
                <w:szCs w:val="18"/>
              </w:rPr>
              <w:t>Significant</w:t>
            </w:r>
          </w:p>
        </w:tc>
      </w:tr>
      <w:tr>
        <w:trPr>
          <w:trHeight w:val="431"/>
        </w:trPr>
        <w:tc>
          <w:tcPr>
            <w:tcW w:w="1985" w:type="dxa"/>
            <w:vMerge w:val="restart"/>
            <w:vAlign w:val="center"/>
          </w:tcPr>
          <w:p>
            <w:pPr>
              <w:jc w:val="center"/>
              <w:rPr>
                <w:rFonts w:ascii="Arial" w:hAnsi="Arial" w:cs="Arial"/>
                <w:sz w:val="18"/>
                <w:szCs w:val="18"/>
              </w:rPr>
            </w:pPr>
            <w:r>
              <w:rPr>
                <w:rFonts w:ascii="Arial" w:hAnsi="Arial" w:cs="Arial"/>
                <w:sz w:val="18"/>
                <w:szCs w:val="18"/>
                <w:lang w:eastAsia="en-PH"/>
              </w:rPr>
              <w:t>Cultural Responsiveness and Contextualization</w:t>
            </w:r>
          </w:p>
        </w:tc>
        <w:tc>
          <w:tcPr>
            <w:tcW w:w="3512" w:type="dxa"/>
          </w:tcPr>
          <w:p>
            <w:pPr>
              <w:rPr>
                <w:rFonts w:ascii="Arial" w:hAnsi="Arial" w:cs="Arial"/>
                <w:sz w:val="18"/>
                <w:szCs w:val="18"/>
                <w:lang w:eastAsia="en-PH"/>
              </w:rPr>
            </w:pPr>
            <w:r>
              <w:rPr>
                <w:rFonts w:ascii="Arial" w:hAnsi="Arial" w:cs="Arial"/>
                <w:sz w:val="18"/>
                <w:szCs w:val="18"/>
              </w:rPr>
              <w:t>Active knowledge-building facilitation</w:t>
            </w:r>
          </w:p>
        </w:tc>
        <w:tc>
          <w:tcPr>
            <w:tcW w:w="1106" w:type="dxa"/>
            <w:vAlign w:val="center"/>
          </w:tcPr>
          <w:p>
            <w:pPr>
              <w:jc w:val="center"/>
              <w:rPr>
                <w:rFonts w:ascii="Arial" w:hAnsi="Arial" w:cs="Arial"/>
                <w:sz w:val="18"/>
                <w:szCs w:val="18"/>
              </w:rPr>
            </w:pPr>
            <w:r>
              <w:rPr>
                <w:rFonts w:ascii="Arial" w:hAnsi="Arial" w:cs="Arial"/>
                <w:sz w:val="18"/>
                <w:szCs w:val="18"/>
              </w:rPr>
              <w:t>0.796</w:t>
            </w:r>
          </w:p>
        </w:tc>
        <w:tc>
          <w:tcPr>
            <w:tcW w:w="880" w:type="dxa"/>
            <w:vAlign w:val="center"/>
          </w:tcPr>
          <w:p>
            <w:pPr>
              <w:jc w:val="center"/>
              <w:rPr>
                <w:rFonts w:ascii="Arial" w:hAnsi="Arial" w:cs="Arial"/>
                <w:sz w:val="18"/>
                <w:szCs w:val="18"/>
              </w:rPr>
            </w:pPr>
            <w:r>
              <w:rPr>
                <w:rFonts w:ascii="Arial" w:hAnsi="Arial" w:cs="Arial"/>
                <w:sz w:val="18"/>
                <w:szCs w:val="18"/>
              </w:rPr>
              <w:t>.000</w:t>
            </w:r>
          </w:p>
        </w:tc>
        <w:tc>
          <w:tcPr>
            <w:tcW w:w="1196" w:type="dxa"/>
            <w:vAlign w:val="center"/>
          </w:tcPr>
          <w:p>
            <w:pPr>
              <w:jc w:val="center"/>
              <w:rPr>
                <w:rFonts w:ascii="Arial" w:hAnsi="Arial" w:cs="Arial"/>
                <w:sz w:val="18"/>
                <w:szCs w:val="18"/>
              </w:rPr>
            </w:pPr>
            <w:r>
              <w:rPr>
                <w:rFonts w:ascii="Arial" w:hAnsi="Arial" w:cs="Arial"/>
                <w:sz w:val="18"/>
                <w:szCs w:val="18"/>
              </w:rPr>
              <w:t>Significant</w:t>
            </w:r>
          </w:p>
        </w:tc>
      </w:tr>
      <w:tr>
        <w:trPr>
          <w:trHeight w:val="539"/>
        </w:trPr>
        <w:tc>
          <w:tcPr>
            <w:tcW w:w="1985" w:type="dxa"/>
            <w:vMerge/>
          </w:tcPr>
          <w:p>
            <w:pPr>
              <w:jc w:val="center"/>
              <w:rPr>
                <w:rFonts w:ascii="Arial" w:hAnsi="Arial" w:cs="Arial"/>
                <w:sz w:val="18"/>
                <w:szCs w:val="18"/>
              </w:rPr>
            </w:pPr>
          </w:p>
        </w:tc>
        <w:tc>
          <w:tcPr>
            <w:tcW w:w="3512" w:type="dxa"/>
          </w:tcPr>
          <w:p>
            <w:pPr>
              <w:rPr>
                <w:rFonts w:ascii="Arial" w:hAnsi="Arial" w:cs="Arial"/>
                <w:sz w:val="18"/>
                <w:szCs w:val="18"/>
                <w:lang w:eastAsia="en-PH"/>
              </w:rPr>
            </w:pPr>
            <w:r>
              <w:rPr>
                <w:rFonts w:ascii="Arial" w:hAnsi="Arial" w:cs="Arial"/>
                <w:sz w:val="18"/>
                <w:szCs w:val="18"/>
              </w:rPr>
              <w:t>Activation and linking of prior knowledge;</w:t>
            </w:r>
          </w:p>
        </w:tc>
        <w:tc>
          <w:tcPr>
            <w:tcW w:w="1106" w:type="dxa"/>
            <w:vAlign w:val="center"/>
          </w:tcPr>
          <w:p>
            <w:pPr>
              <w:jc w:val="center"/>
              <w:rPr>
                <w:rFonts w:ascii="Arial" w:hAnsi="Arial" w:cs="Arial"/>
                <w:sz w:val="18"/>
                <w:szCs w:val="18"/>
              </w:rPr>
            </w:pPr>
            <w:r>
              <w:rPr>
                <w:rFonts w:ascii="Arial" w:hAnsi="Arial" w:cs="Arial"/>
                <w:sz w:val="18"/>
                <w:szCs w:val="18"/>
              </w:rPr>
              <w:t>0.675</w:t>
            </w:r>
          </w:p>
        </w:tc>
        <w:tc>
          <w:tcPr>
            <w:tcW w:w="880" w:type="dxa"/>
            <w:vAlign w:val="center"/>
          </w:tcPr>
          <w:p>
            <w:pPr>
              <w:jc w:val="center"/>
              <w:rPr>
                <w:rFonts w:ascii="Arial" w:hAnsi="Arial" w:cs="Arial"/>
                <w:sz w:val="18"/>
                <w:szCs w:val="18"/>
              </w:rPr>
            </w:pPr>
            <w:r>
              <w:rPr>
                <w:rFonts w:ascii="Arial" w:hAnsi="Arial" w:cs="Arial"/>
                <w:sz w:val="18"/>
                <w:szCs w:val="18"/>
              </w:rPr>
              <w:t>.000</w:t>
            </w:r>
          </w:p>
        </w:tc>
        <w:tc>
          <w:tcPr>
            <w:tcW w:w="1196" w:type="dxa"/>
            <w:vAlign w:val="center"/>
          </w:tcPr>
          <w:p>
            <w:pPr>
              <w:jc w:val="center"/>
              <w:rPr>
                <w:rFonts w:ascii="Arial" w:hAnsi="Arial" w:cs="Arial"/>
                <w:sz w:val="18"/>
                <w:szCs w:val="18"/>
              </w:rPr>
            </w:pPr>
            <w:r>
              <w:rPr>
                <w:rFonts w:ascii="Arial" w:hAnsi="Arial" w:cs="Arial"/>
                <w:sz w:val="18"/>
                <w:szCs w:val="18"/>
              </w:rPr>
              <w:t>Significant</w:t>
            </w:r>
          </w:p>
        </w:tc>
      </w:tr>
      <w:tr>
        <w:trPr>
          <w:trHeight w:val="458"/>
        </w:trPr>
        <w:tc>
          <w:tcPr>
            <w:tcW w:w="1985" w:type="dxa"/>
            <w:vMerge/>
          </w:tcPr>
          <w:p>
            <w:pPr>
              <w:jc w:val="center"/>
              <w:rPr>
                <w:rFonts w:ascii="Arial" w:hAnsi="Arial" w:cs="Arial"/>
                <w:sz w:val="18"/>
                <w:szCs w:val="18"/>
              </w:rPr>
            </w:pPr>
          </w:p>
        </w:tc>
        <w:tc>
          <w:tcPr>
            <w:tcW w:w="3512" w:type="dxa"/>
          </w:tcPr>
          <w:p>
            <w:pPr>
              <w:rPr>
                <w:rFonts w:ascii="Arial" w:hAnsi="Arial" w:cs="Arial"/>
                <w:sz w:val="18"/>
                <w:szCs w:val="18"/>
                <w:lang w:eastAsia="en-PH"/>
              </w:rPr>
            </w:pPr>
            <w:r>
              <w:rPr>
                <w:rFonts w:ascii="Arial" w:hAnsi="Arial" w:cs="Arial"/>
                <w:sz w:val="18"/>
                <w:szCs w:val="18"/>
              </w:rPr>
              <w:t>Inquiry and problem-solving support</w:t>
            </w:r>
          </w:p>
        </w:tc>
        <w:tc>
          <w:tcPr>
            <w:tcW w:w="1106" w:type="dxa"/>
            <w:vAlign w:val="center"/>
          </w:tcPr>
          <w:p>
            <w:pPr>
              <w:jc w:val="center"/>
              <w:rPr>
                <w:rFonts w:ascii="Arial" w:hAnsi="Arial" w:cs="Arial"/>
                <w:sz w:val="18"/>
                <w:szCs w:val="18"/>
              </w:rPr>
            </w:pPr>
            <w:r>
              <w:rPr>
                <w:rFonts w:ascii="Arial" w:hAnsi="Arial" w:cs="Arial"/>
                <w:sz w:val="18"/>
                <w:szCs w:val="18"/>
              </w:rPr>
              <w:t>0.631</w:t>
            </w:r>
          </w:p>
        </w:tc>
        <w:tc>
          <w:tcPr>
            <w:tcW w:w="880" w:type="dxa"/>
            <w:vAlign w:val="center"/>
          </w:tcPr>
          <w:p>
            <w:pPr>
              <w:jc w:val="center"/>
              <w:rPr>
                <w:rFonts w:ascii="Arial" w:hAnsi="Arial" w:cs="Arial"/>
                <w:sz w:val="18"/>
                <w:szCs w:val="18"/>
              </w:rPr>
            </w:pPr>
            <w:r>
              <w:rPr>
                <w:rFonts w:ascii="Arial" w:hAnsi="Arial" w:cs="Arial"/>
                <w:sz w:val="18"/>
                <w:szCs w:val="18"/>
              </w:rPr>
              <w:t>.000</w:t>
            </w:r>
          </w:p>
        </w:tc>
        <w:tc>
          <w:tcPr>
            <w:tcW w:w="1196" w:type="dxa"/>
            <w:vAlign w:val="center"/>
          </w:tcPr>
          <w:p>
            <w:pPr>
              <w:jc w:val="center"/>
              <w:rPr>
                <w:rFonts w:ascii="Arial" w:hAnsi="Arial" w:cs="Arial"/>
                <w:sz w:val="18"/>
                <w:szCs w:val="18"/>
              </w:rPr>
            </w:pPr>
            <w:r>
              <w:rPr>
                <w:rFonts w:ascii="Arial" w:hAnsi="Arial" w:cs="Arial"/>
                <w:sz w:val="18"/>
                <w:szCs w:val="18"/>
              </w:rPr>
              <w:t>Significant</w:t>
            </w:r>
          </w:p>
        </w:tc>
      </w:tr>
      <w:tr>
        <w:trPr>
          <w:trHeight w:val="409"/>
        </w:trPr>
        <w:tc>
          <w:tcPr>
            <w:tcW w:w="1985" w:type="dxa"/>
            <w:vMerge/>
          </w:tcPr>
          <w:p>
            <w:pPr>
              <w:jc w:val="center"/>
              <w:rPr>
                <w:rFonts w:ascii="Arial" w:hAnsi="Arial" w:cs="Arial"/>
                <w:sz w:val="18"/>
                <w:szCs w:val="18"/>
              </w:rPr>
            </w:pPr>
          </w:p>
        </w:tc>
        <w:tc>
          <w:tcPr>
            <w:tcW w:w="3512" w:type="dxa"/>
          </w:tcPr>
          <w:p>
            <w:pPr>
              <w:rPr>
                <w:rFonts w:ascii="Arial" w:hAnsi="Arial" w:cs="Arial"/>
                <w:sz w:val="18"/>
                <w:szCs w:val="18"/>
                <w:lang w:eastAsia="en-PH"/>
              </w:rPr>
            </w:pPr>
            <w:r>
              <w:rPr>
                <w:rFonts w:ascii="Arial" w:hAnsi="Arial" w:cs="Arial"/>
                <w:sz w:val="18"/>
                <w:szCs w:val="18"/>
              </w:rPr>
              <w:t>Technology-mediated dialogue and collaboration</w:t>
            </w:r>
          </w:p>
        </w:tc>
        <w:tc>
          <w:tcPr>
            <w:tcW w:w="1106" w:type="dxa"/>
            <w:vAlign w:val="center"/>
          </w:tcPr>
          <w:p>
            <w:pPr>
              <w:jc w:val="center"/>
              <w:rPr>
                <w:rFonts w:ascii="Arial" w:hAnsi="Arial" w:cs="Arial"/>
                <w:sz w:val="18"/>
                <w:szCs w:val="18"/>
              </w:rPr>
            </w:pPr>
            <w:r>
              <w:rPr>
                <w:rFonts w:ascii="Arial" w:hAnsi="Arial" w:cs="Arial"/>
                <w:sz w:val="18"/>
                <w:szCs w:val="18"/>
              </w:rPr>
              <w:t>0.778</w:t>
            </w:r>
          </w:p>
        </w:tc>
        <w:tc>
          <w:tcPr>
            <w:tcW w:w="880" w:type="dxa"/>
            <w:vAlign w:val="center"/>
          </w:tcPr>
          <w:p>
            <w:pPr>
              <w:jc w:val="center"/>
              <w:rPr>
                <w:rFonts w:ascii="Arial" w:hAnsi="Arial" w:cs="Arial"/>
                <w:sz w:val="18"/>
                <w:szCs w:val="18"/>
              </w:rPr>
            </w:pPr>
            <w:r>
              <w:rPr>
                <w:rFonts w:ascii="Arial" w:hAnsi="Arial" w:cs="Arial"/>
                <w:sz w:val="18"/>
                <w:szCs w:val="18"/>
              </w:rPr>
              <w:t>.000</w:t>
            </w:r>
          </w:p>
        </w:tc>
        <w:tc>
          <w:tcPr>
            <w:tcW w:w="1196" w:type="dxa"/>
            <w:vAlign w:val="center"/>
          </w:tcPr>
          <w:p>
            <w:pPr>
              <w:jc w:val="center"/>
              <w:rPr>
                <w:rFonts w:ascii="Arial" w:hAnsi="Arial" w:cs="Arial"/>
                <w:sz w:val="18"/>
                <w:szCs w:val="18"/>
              </w:rPr>
            </w:pPr>
            <w:r>
              <w:rPr>
                <w:rFonts w:ascii="Arial" w:hAnsi="Arial" w:cs="Arial"/>
                <w:sz w:val="18"/>
                <w:szCs w:val="18"/>
              </w:rPr>
              <w:t>Significant</w:t>
            </w:r>
          </w:p>
        </w:tc>
      </w:tr>
      <w:tr>
        <w:trPr>
          <w:trHeight w:val="429"/>
        </w:trPr>
        <w:tc>
          <w:tcPr>
            <w:tcW w:w="1985" w:type="dxa"/>
            <w:vMerge/>
          </w:tcPr>
          <w:p>
            <w:pPr>
              <w:jc w:val="center"/>
              <w:rPr>
                <w:rFonts w:ascii="Arial" w:hAnsi="Arial" w:cs="Arial"/>
                <w:sz w:val="18"/>
                <w:szCs w:val="18"/>
              </w:rPr>
            </w:pPr>
          </w:p>
        </w:tc>
        <w:tc>
          <w:tcPr>
            <w:tcW w:w="3512" w:type="dxa"/>
          </w:tcPr>
          <w:p>
            <w:pPr>
              <w:rPr>
                <w:rFonts w:ascii="Arial" w:hAnsi="Arial" w:cs="Arial"/>
                <w:sz w:val="18"/>
                <w:szCs w:val="18"/>
                <w:lang w:eastAsia="en-PH"/>
              </w:rPr>
            </w:pPr>
            <w:r>
              <w:rPr>
                <w:rFonts w:ascii="Arial" w:hAnsi="Arial" w:cs="Arial"/>
                <w:sz w:val="18"/>
                <w:szCs w:val="18"/>
              </w:rPr>
              <w:t>Culturally responsive task design and scaffolding</w:t>
            </w:r>
          </w:p>
        </w:tc>
        <w:tc>
          <w:tcPr>
            <w:tcW w:w="1106" w:type="dxa"/>
            <w:vAlign w:val="center"/>
          </w:tcPr>
          <w:p>
            <w:pPr>
              <w:jc w:val="center"/>
              <w:rPr>
                <w:rFonts w:ascii="Arial" w:hAnsi="Arial" w:cs="Arial"/>
                <w:sz w:val="18"/>
                <w:szCs w:val="18"/>
              </w:rPr>
            </w:pPr>
            <w:r>
              <w:rPr>
                <w:rFonts w:ascii="Arial" w:hAnsi="Arial" w:cs="Arial"/>
                <w:sz w:val="18"/>
                <w:szCs w:val="18"/>
              </w:rPr>
              <w:t>0.850</w:t>
            </w:r>
          </w:p>
        </w:tc>
        <w:tc>
          <w:tcPr>
            <w:tcW w:w="880" w:type="dxa"/>
            <w:vAlign w:val="center"/>
          </w:tcPr>
          <w:p>
            <w:pPr>
              <w:jc w:val="center"/>
              <w:rPr>
                <w:rFonts w:ascii="Arial" w:hAnsi="Arial" w:cs="Arial"/>
                <w:sz w:val="18"/>
                <w:szCs w:val="18"/>
              </w:rPr>
            </w:pPr>
            <w:r>
              <w:rPr>
                <w:rFonts w:ascii="Arial" w:hAnsi="Arial" w:cs="Arial"/>
                <w:sz w:val="18"/>
                <w:szCs w:val="18"/>
              </w:rPr>
              <w:t>.000</w:t>
            </w:r>
          </w:p>
        </w:tc>
        <w:tc>
          <w:tcPr>
            <w:tcW w:w="1196" w:type="dxa"/>
            <w:vAlign w:val="center"/>
          </w:tcPr>
          <w:p>
            <w:pPr>
              <w:jc w:val="center"/>
              <w:rPr>
                <w:rFonts w:ascii="Arial" w:hAnsi="Arial" w:cs="Arial"/>
                <w:sz w:val="18"/>
                <w:szCs w:val="18"/>
              </w:rPr>
            </w:pPr>
            <w:r>
              <w:rPr>
                <w:rFonts w:ascii="Arial" w:hAnsi="Arial" w:cs="Arial"/>
                <w:sz w:val="18"/>
                <w:szCs w:val="18"/>
              </w:rPr>
              <w:t>Significant</w:t>
            </w:r>
          </w:p>
        </w:tc>
      </w:tr>
      <w:tr>
        <w:trPr>
          <w:trHeight w:val="421"/>
        </w:trPr>
        <w:tc>
          <w:tcPr>
            <w:tcW w:w="1985" w:type="dxa"/>
            <w:vMerge w:val="restart"/>
            <w:vAlign w:val="center"/>
          </w:tcPr>
          <w:p>
            <w:pPr>
              <w:jc w:val="center"/>
              <w:rPr>
                <w:rFonts w:ascii="Arial" w:hAnsi="Arial" w:cs="Arial"/>
                <w:sz w:val="18"/>
                <w:szCs w:val="18"/>
              </w:rPr>
            </w:pPr>
            <w:r>
              <w:rPr>
                <w:rFonts w:ascii="Arial" w:hAnsi="Arial" w:cs="Arial"/>
                <w:i/>
                <w:iCs/>
                <w:sz w:val="18"/>
                <w:szCs w:val="18"/>
                <w:lang w:eastAsia="en-PH"/>
              </w:rPr>
              <w:t>Creative Engagement/Technology Use</w:t>
            </w:r>
          </w:p>
        </w:tc>
        <w:tc>
          <w:tcPr>
            <w:tcW w:w="3512" w:type="dxa"/>
          </w:tcPr>
          <w:p>
            <w:pPr>
              <w:rPr>
                <w:rFonts w:ascii="Arial" w:hAnsi="Arial" w:cs="Arial"/>
                <w:sz w:val="18"/>
                <w:szCs w:val="18"/>
                <w:lang w:eastAsia="en-PH"/>
              </w:rPr>
            </w:pPr>
            <w:r>
              <w:rPr>
                <w:rFonts w:ascii="Arial" w:hAnsi="Arial" w:cs="Arial"/>
                <w:sz w:val="18"/>
                <w:szCs w:val="18"/>
              </w:rPr>
              <w:t>Active knowledge-building facilitation</w:t>
            </w:r>
          </w:p>
        </w:tc>
        <w:tc>
          <w:tcPr>
            <w:tcW w:w="1106" w:type="dxa"/>
            <w:vAlign w:val="center"/>
          </w:tcPr>
          <w:p>
            <w:pPr>
              <w:jc w:val="center"/>
              <w:rPr>
                <w:rFonts w:ascii="Arial" w:hAnsi="Arial" w:cs="Arial"/>
                <w:sz w:val="18"/>
                <w:szCs w:val="18"/>
              </w:rPr>
            </w:pPr>
            <w:r>
              <w:rPr>
                <w:rFonts w:ascii="Arial" w:hAnsi="Arial" w:cs="Arial"/>
                <w:sz w:val="18"/>
                <w:szCs w:val="18"/>
              </w:rPr>
              <w:t>0.641</w:t>
            </w:r>
          </w:p>
        </w:tc>
        <w:tc>
          <w:tcPr>
            <w:tcW w:w="880" w:type="dxa"/>
            <w:vAlign w:val="center"/>
          </w:tcPr>
          <w:p>
            <w:pPr>
              <w:jc w:val="center"/>
              <w:rPr>
                <w:rFonts w:ascii="Arial" w:hAnsi="Arial" w:cs="Arial"/>
                <w:sz w:val="18"/>
                <w:szCs w:val="18"/>
              </w:rPr>
            </w:pPr>
            <w:r>
              <w:rPr>
                <w:rFonts w:ascii="Arial" w:hAnsi="Arial" w:cs="Arial"/>
                <w:sz w:val="18"/>
                <w:szCs w:val="18"/>
              </w:rPr>
              <w:t>.000</w:t>
            </w:r>
          </w:p>
        </w:tc>
        <w:tc>
          <w:tcPr>
            <w:tcW w:w="1196" w:type="dxa"/>
            <w:vAlign w:val="center"/>
          </w:tcPr>
          <w:p>
            <w:pPr>
              <w:jc w:val="center"/>
              <w:rPr>
                <w:rFonts w:ascii="Arial" w:hAnsi="Arial" w:cs="Arial"/>
                <w:sz w:val="18"/>
                <w:szCs w:val="18"/>
              </w:rPr>
            </w:pPr>
            <w:r>
              <w:rPr>
                <w:rFonts w:ascii="Arial" w:hAnsi="Arial" w:cs="Arial"/>
                <w:sz w:val="18"/>
                <w:szCs w:val="18"/>
              </w:rPr>
              <w:t>Significant</w:t>
            </w:r>
          </w:p>
        </w:tc>
      </w:tr>
      <w:tr>
        <w:trPr>
          <w:trHeight w:val="539"/>
        </w:trPr>
        <w:tc>
          <w:tcPr>
            <w:tcW w:w="1985" w:type="dxa"/>
            <w:vMerge/>
          </w:tcPr>
          <w:p>
            <w:pPr>
              <w:jc w:val="center"/>
              <w:rPr>
                <w:rFonts w:ascii="Arial" w:hAnsi="Arial" w:cs="Arial"/>
                <w:sz w:val="18"/>
                <w:szCs w:val="18"/>
              </w:rPr>
            </w:pPr>
          </w:p>
        </w:tc>
        <w:tc>
          <w:tcPr>
            <w:tcW w:w="3512" w:type="dxa"/>
          </w:tcPr>
          <w:p>
            <w:pPr>
              <w:rPr>
                <w:rFonts w:ascii="Arial" w:hAnsi="Arial" w:cs="Arial"/>
                <w:sz w:val="18"/>
                <w:szCs w:val="18"/>
                <w:lang w:eastAsia="en-PH"/>
              </w:rPr>
            </w:pPr>
            <w:r>
              <w:rPr>
                <w:rFonts w:ascii="Arial" w:hAnsi="Arial" w:cs="Arial"/>
                <w:sz w:val="18"/>
                <w:szCs w:val="18"/>
              </w:rPr>
              <w:t>Activation and linking of prior knowledge;</w:t>
            </w:r>
          </w:p>
        </w:tc>
        <w:tc>
          <w:tcPr>
            <w:tcW w:w="1106" w:type="dxa"/>
            <w:vAlign w:val="center"/>
          </w:tcPr>
          <w:p>
            <w:pPr>
              <w:jc w:val="center"/>
              <w:rPr>
                <w:rFonts w:ascii="Arial" w:hAnsi="Arial" w:cs="Arial"/>
                <w:sz w:val="18"/>
                <w:szCs w:val="18"/>
              </w:rPr>
            </w:pPr>
            <w:r>
              <w:rPr>
                <w:rFonts w:ascii="Arial" w:hAnsi="Arial" w:cs="Arial"/>
                <w:sz w:val="18"/>
                <w:szCs w:val="18"/>
              </w:rPr>
              <w:t>0.505</w:t>
            </w:r>
          </w:p>
        </w:tc>
        <w:tc>
          <w:tcPr>
            <w:tcW w:w="880" w:type="dxa"/>
            <w:vAlign w:val="center"/>
          </w:tcPr>
          <w:p>
            <w:pPr>
              <w:jc w:val="center"/>
              <w:rPr>
                <w:rFonts w:ascii="Arial" w:hAnsi="Arial" w:cs="Arial"/>
                <w:sz w:val="18"/>
                <w:szCs w:val="18"/>
              </w:rPr>
            </w:pPr>
            <w:r>
              <w:rPr>
                <w:rFonts w:ascii="Arial" w:hAnsi="Arial" w:cs="Arial"/>
                <w:sz w:val="18"/>
                <w:szCs w:val="18"/>
              </w:rPr>
              <w:t>.004</w:t>
            </w:r>
          </w:p>
        </w:tc>
        <w:tc>
          <w:tcPr>
            <w:tcW w:w="1196" w:type="dxa"/>
            <w:vAlign w:val="center"/>
          </w:tcPr>
          <w:p>
            <w:pPr>
              <w:jc w:val="center"/>
              <w:rPr>
                <w:rFonts w:ascii="Arial" w:hAnsi="Arial" w:cs="Arial"/>
                <w:sz w:val="18"/>
                <w:szCs w:val="18"/>
              </w:rPr>
            </w:pPr>
            <w:r>
              <w:rPr>
                <w:rFonts w:ascii="Arial" w:hAnsi="Arial" w:cs="Arial"/>
                <w:sz w:val="18"/>
                <w:szCs w:val="18"/>
              </w:rPr>
              <w:t>Significant</w:t>
            </w:r>
          </w:p>
        </w:tc>
      </w:tr>
      <w:tr>
        <w:trPr>
          <w:trHeight w:val="320"/>
        </w:trPr>
        <w:tc>
          <w:tcPr>
            <w:tcW w:w="1985" w:type="dxa"/>
            <w:vMerge/>
          </w:tcPr>
          <w:p>
            <w:pPr>
              <w:jc w:val="center"/>
              <w:rPr>
                <w:rFonts w:ascii="Arial" w:hAnsi="Arial" w:cs="Arial"/>
                <w:sz w:val="18"/>
                <w:szCs w:val="18"/>
              </w:rPr>
            </w:pPr>
          </w:p>
        </w:tc>
        <w:tc>
          <w:tcPr>
            <w:tcW w:w="3512" w:type="dxa"/>
          </w:tcPr>
          <w:p>
            <w:pPr>
              <w:rPr>
                <w:rFonts w:ascii="Arial" w:hAnsi="Arial" w:cs="Arial"/>
                <w:sz w:val="18"/>
                <w:szCs w:val="18"/>
                <w:lang w:eastAsia="en-PH"/>
              </w:rPr>
            </w:pPr>
            <w:r>
              <w:rPr>
                <w:rFonts w:ascii="Arial" w:hAnsi="Arial" w:cs="Arial"/>
                <w:sz w:val="18"/>
                <w:szCs w:val="18"/>
              </w:rPr>
              <w:t>Inquiry and problem-solving support</w:t>
            </w:r>
          </w:p>
        </w:tc>
        <w:tc>
          <w:tcPr>
            <w:tcW w:w="1106" w:type="dxa"/>
            <w:vAlign w:val="center"/>
          </w:tcPr>
          <w:p>
            <w:pPr>
              <w:jc w:val="center"/>
              <w:rPr>
                <w:rFonts w:ascii="Arial" w:hAnsi="Arial" w:cs="Arial"/>
                <w:sz w:val="18"/>
                <w:szCs w:val="18"/>
              </w:rPr>
            </w:pPr>
            <w:r>
              <w:rPr>
                <w:rFonts w:ascii="Arial" w:hAnsi="Arial" w:cs="Arial"/>
                <w:sz w:val="18"/>
                <w:szCs w:val="18"/>
              </w:rPr>
              <w:t>0.595</w:t>
            </w:r>
          </w:p>
        </w:tc>
        <w:tc>
          <w:tcPr>
            <w:tcW w:w="880" w:type="dxa"/>
            <w:vAlign w:val="center"/>
          </w:tcPr>
          <w:p>
            <w:pPr>
              <w:jc w:val="center"/>
              <w:rPr>
                <w:rFonts w:ascii="Arial" w:hAnsi="Arial" w:cs="Arial"/>
                <w:sz w:val="18"/>
                <w:szCs w:val="18"/>
              </w:rPr>
            </w:pPr>
            <w:r>
              <w:rPr>
                <w:rFonts w:ascii="Arial" w:hAnsi="Arial" w:cs="Arial"/>
                <w:sz w:val="18"/>
                <w:szCs w:val="18"/>
              </w:rPr>
              <w:t>.001</w:t>
            </w:r>
          </w:p>
        </w:tc>
        <w:tc>
          <w:tcPr>
            <w:tcW w:w="1196" w:type="dxa"/>
            <w:vAlign w:val="center"/>
          </w:tcPr>
          <w:p>
            <w:pPr>
              <w:jc w:val="center"/>
              <w:rPr>
                <w:rFonts w:ascii="Arial" w:hAnsi="Arial" w:cs="Arial"/>
                <w:sz w:val="18"/>
                <w:szCs w:val="18"/>
              </w:rPr>
            </w:pPr>
            <w:r>
              <w:rPr>
                <w:rFonts w:ascii="Arial" w:hAnsi="Arial" w:cs="Arial"/>
                <w:sz w:val="18"/>
                <w:szCs w:val="18"/>
              </w:rPr>
              <w:t>Significant</w:t>
            </w:r>
          </w:p>
        </w:tc>
      </w:tr>
      <w:tr>
        <w:trPr>
          <w:trHeight w:val="327"/>
        </w:trPr>
        <w:tc>
          <w:tcPr>
            <w:tcW w:w="1985" w:type="dxa"/>
            <w:vMerge/>
          </w:tcPr>
          <w:p>
            <w:pPr>
              <w:jc w:val="center"/>
              <w:rPr>
                <w:rFonts w:ascii="Arial" w:hAnsi="Arial" w:cs="Arial"/>
                <w:sz w:val="18"/>
                <w:szCs w:val="18"/>
              </w:rPr>
            </w:pPr>
          </w:p>
        </w:tc>
        <w:tc>
          <w:tcPr>
            <w:tcW w:w="3512" w:type="dxa"/>
          </w:tcPr>
          <w:p>
            <w:pPr>
              <w:rPr>
                <w:rFonts w:ascii="Arial" w:hAnsi="Arial" w:cs="Arial"/>
                <w:sz w:val="18"/>
                <w:szCs w:val="18"/>
                <w:lang w:eastAsia="en-PH"/>
              </w:rPr>
            </w:pPr>
            <w:r>
              <w:rPr>
                <w:rFonts w:ascii="Arial" w:hAnsi="Arial" w:cs="Arial"/>
                <w:sz w:val="18"/>
                <w:szCs w:val="18"/>
              </w:rPr>
              <w:t>Technology-mediated dialogue and collaboration</w:t>
            </w:r>
          </w:p>
        </w:tc>
        <w:tc>
          <w:tcPr>
            <w:tcW w:w="1106" w:type="dxa"/>
            <w:vAlign w:val="center"/>
          </w:tcPr>
          <w:p>
            <w:pPr>
              <w:jc w:val="center"/>
              <w:rPr>
                <w:rFonts w:ascii="Arial" w:hAnsi="Arial" w:cs="Arial"/>
                <w:sz w:val="18"/>
                <w:szCs w:val="18"/>
              </w:rPr>
            </w:pPr>
            <w:r>
              <w:rPr>
                <w:rFonts w:ascii="Arial" w:hAnsi="Arial" w:cs="Arial"/>
                <w:sz w:val="18"/>
                <w:szCs w:val="18"/>
              </w:rPr>
              <w:t>0.576</w:t>
            </w:r>
          </w:p>
        </w:tc>
        <w:tc>
          <w:tcPr>
            <w:tcW w:w="880" w:type="dxa"/>
            <w:vAlign w:val="center"/>
          </w:tcPr>
          <w:p>
            <w:pPr>
              <w:jc w:val="center"/>
              <w:rPr>
                <w:rFonts w:ascii="Arial" w:hAnsi="Arial" w:cs="Arial"/>
                <w:sz w:val="18"/>
                <w:szCs w:val="18"/>
              </w:rPr>
            </w:pPr>
            <w:r>
              <w:rPr>
                <w:rFonts w:ascii="Arial" w:hAnsi="Arial" w:cs="Arial"/>
                <w:sz w:val="18"/>
                <w:szCs w:val="18"/>
              </w:rPr>
              <w:t>.001</w:t>
            </w:r>
          </w:p>
        </w:tc>
        <w:tc>
          <w:tcPr>
            <w:tcW w:w="1196" w:type="dxa"/>
            <w:vAlign w:val="center"/>
          </w:tcPr>
          <w:p>
            <w:pPr>
              <w:jc w:val="center"/>
              <w:rPr>
                <w:rFonts w:ascii="Arial" w:hAnsi="Arial" w:cs="Arial"/>
                <w:sz w:val="18"/>
                <w:szCs w:val="18"/>
              </w:rPr>
            </w:pPr>
            <w:r>
              <w:rPr>
                <w:rFonts w:ascii="Arial" w:hAnsi="Arial" w:cs="Arial"/>
                <w:sz w:val="18"/>
                <w:szCs w:val="18"/>
              </w:rPr>
              <w:t>Significant</w:t>
            </w:r>
          </w:p>
        </w:tc>
      </w:tr>
      <w:tr>
        <w:trPr>
          <w:trHeight w:val="475"/>
        </w:trPr>
        <w:tc>
          <w:tcPr>
            <w:tcW w:w="1985" w:type="dxa"/>
            <w:vMerge/>
          </w:tcPr>
          <w:p>
            <w:pPr>
              <w:jc w:val="center"/>
              <w:rPr>
                <w:rFonts w:ascii="Arial" w:hAnsi="Arial" w:cs="Arial"/>
                <w:sz w:val="18"/>
                <w:szCs w:val="18"/>
              </w:rPr>
            </w:pPr>
          </w:p>
        </w:tc>
        <w:tc>
          <w:tcPr>
            <w:tcW w:w="3512" w:type="dxa"/>
          </w:tcPr>
          <w:p>
            <w:pPr>
              <w:rPr>
                <w:rFonts w:ascii="Arial" w:hAnsi="Arial" w:cs="Arial"/>
                <w:sz w:val="18"/>
                <w:szCs w:val="18"/>
                <w:lang w:eastAsia="en-PH"/>
              </w:rPr>
            </w:pPr>
            <w:r>
              <w:rPr>
                <w:rFonts w:ascii="Arial" w:hAnsi="Arial" w:cs="Arial"/>
                <w:sz w:val="18"/>
                <w:szCs w:val="18"/>
              </w:rPr>
              <w:t>Culturally responsive task design and scaffolding</w:t>
            </w:r>
          </w:p>
        </w:tc>
        <w:tc>
          <w:tcPr>
            <w:tcW w:w="1106" w:type="dxa"/>
            <w:vAlign w:val="center"/>
          </w:tcPr>
          <w:p>
            <w:pPr>
              <w:jc w:val="center"/>
              <w:rPr>
                <w:rFonts w:ascii="Arial" w:hAnsi="Arial" w:cs="Arial"/>
                <w:sz w:val="18"/>
                <w:szCs w:val="18"/>
              </w:rPr>
            </w:pPr>
            <w:r>
              <w:rPr>
                <w:rFonts w:ascii="Arial" w:hAnsi="Arial" w:cs="Arial"/>
                <w:sz w:val="18"/>
                <w:szCs w:val="18"/>
              </w:rPr>
              <w:t>0.749</w:t>
            </w:r>
          </w:p>
        </w:tc>
        <w:tc>
          <w:tcPr>
            <w:tcW w:w="880" w:type="dxa"/>
            <w:vAlign w:val="center"/>
          </w:tcPr>
          <w:p>
            <w:pPr>
              <w:jc w:val="center"/>
              <w:rPr>
                <w:rFonts w:ascii="Arial" w:hAnsi="Arial" w:cs="Arial"/>
                <w:sz w:val="18"/>
                <w:szCs w:val="18"/>
              </w:rPr>
            </w:pPr>
            <w:r>
              <w:rPr>
                <w:rFonts w:ascii="Arial" w:hAnsi="Arial" w:cs="Arial"/>
                <w:sz w:val="18"/>
                <w:szCs w:val="18"/>
              </w:rPr>
              <w:t>.001</w:t>
            </w:r>
          </w:p>
        </w:tc>
        <w:tc>
          <w:tcPr>
            <w:tcW w:w="1196" w:type="dxa"/>
            <w:vAlign w:val="center"/>
          </w:tcPr>
          <w:p>
            <w:pPr>
              <w:jc w:val="center"/>
              <w:rPr>
                <w:rFonts w:ascii="Arial" w:hAnsi="Arial" w:cs="Arial"/>
                <w:sz w:val="18"/>
                <w:szCs w:val="18"/>
              </w:rPr>
            </w:pPr>
            <w:r>
              <w:rPr>
                <w:rFonts w:ascii="Arial" w:hAnsi="Arial" w:cs="Arial"/>
                <w:sz w:val="18"/>
                <w:szCs w:val="18"/>
              </w:rPr>
              <w:t>Significant</w:t>
            </w:r>
          </w:p>
        </w:tc>
      </w:tr>
      <w:tr>
        <w:trPr>
          <w:trHeight w:val="283"/>
        </w:trPr>
        <w:tc>
          <w:tcPr>
            <w:tcW w:w="1985" w:type="dxa"/>
            <w:vMerge w:val="restart"/>
            <w:vAlign w:val="center"/>
          </w:tcPr>
          <w:p>
            <w:pPr>
              <w:jc w:val="center"/>
              <w:rPr>
                <w:rFonts w:ascii="Arial" w:hAnsi="Arial" w:cs="Arial"/>
                <w:sz w:val="18"/>
                <w:szCs w:val="18"/>
              </w:rPr>
            </w:pPr>
            <w:r>
              <w:rPr>
                <w:rFonts w:ascii="Arial" w:hAnsi="Arial" w:cs="Arial"/>
                <w:sz w:val="18"/>
                <w:szCs w:val="18"/>
                <w:lang w:eastAsia="en-PH"/>
              </w:rPr>
              <w:t>Access to Technological Resources</w:t>
            </w:r>
          </w:p>
        </w:tc>
        <w:tc>
          <w:tcPr>
            <w:tcW w:w="3512" w:type="dxa"/>
          </w:tcPr>
          <w:p>
            <w:pPr>
              <w:rPr>
                <w:rFonts w:ascii="Arial" w:hAnsi="Arial" w:cs="Arial"/>
                <w:sz w:val="18"/>
                <w:szCs w:val="18"/>
                <w:lang w:eastAsia="en-PH"/>
              </w:rPr>
            </w:pPr>
            <w:r>
              <w:rPr>
                <w:rFonts w:ascii="Arial" w:hAnsi="Arial" w:cs="Arial"/>
                <w:sz w:val="18"/>
                <w:szCs w:val="18"/>
              </w:rPr>
              <w:t>Active knowledge-building facilitation</w:t>
            </w:r>
          </w:p>
        </w:tc>
        <w:tc>
          <w:tcPr>
            <w:tcW w:w="1106" w:type="dxa"/>
            <w:vAlign w:val="center"/>
          </w:tcPr>
          <w:p>
            <w:pPr>
              <w:jc w:val="center"/>
              <w:rPr>
                <w:rFonts w:ascii="Arial" w:hAnsi="Arial" w:cs="Arial"/>
                <w:sz w:val="18"/>
                <w:szCs w:val="18"/>
              </w:rPr>
            </w:pPr>
            <w:r>
              <w:rPr>
                <w:rFonts w:ascii="Arial" w:hAnsi="Arial" w:cs="Arial"/>
                <w:sz w:val="18"/>
                <w:szCs w:val="18"/>
              </w:rPr>
              <w:t>0.723</w:t>
            </w:r>
          </w:p>
        </w:tc>
        <w:tc>
          <w:tcPr>
            <w:tcW w:w="880" w:type="dxa"/>
            <w:vAlign w:val="center"/>
          </w:tcPr>
          <w:p>
            <w:pPr>
              <w:jc w:val="center"/>
              <w:rPr>
                <w:rFonts w:ascii="Arial" w:hAnsi="Arial" w:cs="Arial"/>
                <w:sz w:val="18"/>
                <w:szCs w:val="18"/>
              </w:rPr>
            </w:pPr>
            <w:r>
              <w:rPr>
                <w:rFonts w:ascii="Arial" w:hAnsi="Arial" w:cs="Arial"/>
                <w:sz w:val="18"/>
                <w:szCs w:val="18"/>
              </w:rPr>
              <w:t>.000</w:t>
            </w:r>
          </w:p>
        </w:tc>
        <w:tc>
          <w:tcPr>
            <w:tcW w:w="1196" w:type="dxa"/>
            <w:vAlign w:val="center"/>
          </w:tcPr>
          <w:p>
            <w:pPr>
              <w:jc w:val="center"/>
              <w:rPr>
                <w:rFonts w:ascii="Arial" w:hAnsi="Arial" w:cs="Arial"/>
                <w:sz w:val="18"/>
                <w:szCs w:val="18"/>
              </w:rPr>
            </w:pPr>
            <w:r>
              <w:rPr>
                <w:rFonts w:ascii="Arial" w:hAnsi="Arial" w:cs="Arial"/>
                <w:sz w:val="18"/>
                <w:szCs w:val="18"/>
              </w:rPr>
              <w:t>Significant</w:t>
            </w:r>
          </w:p>
        </w:tc>
      </w:tr>
      <w:tr>
        <w:trPr>
          <w:trHeight w:val="444"/>
        </w:trPr>
        <w:tc>
          <w:tcPr>
            <w:tcW w:w="1985" w:type="dxa"/>
            <w:vMerge/>
          </w:tcPr>
          <w:p>
            <w:pPr>
              <w:jc w:val="center"/>
              <w:rPr>
                <w:rFonts w:ascii="Arial" w:hAnsi="Arial" w:cs="Arial"/>
                <w:sz w:val="18"/>
                <w:szCs w:val="18"/>
              </w:rPr>
            </w:pPr>
          </w:p>
        </w:tc>
        <w:tc>
          <w:tcPr>
            <w:tcW w:w="3512" w:type="dxa"/>
          </w:tcPr>
          <w:p>
            <w:pPr>
              <w:rPr>
                <w:rFonts w:ascii="Arial" w:hAnsi="Arial" w:cs="Arial"/>
                <w:sz w:val="18"/>
                <w:szCs w:val="18"/>
                <w:lang w:eastAsia="en-PH"/>
              </w:rPr>
            </w:pPr>
            <w:r>
              <w:rPr>
                <w:rFonts w:ascii="Arial" w:hAnsi="Arial" w:cs="Arial"/>
                <w:sz w:val="18"/>
                <w:szCs w:val="18"/>
              </w:rPr>
              <w:t>Activation and linking of prior knowledge;</w:t>
            </w:r>
          </w:p>
        </w:tc>
        <w:tc>
          <w:tcPr>
            <w:tcW w:w="1106" w:type="dxa"/>
            <w:vAlign w:val="center"/>
          </w:tcPr>
          <w:p>
            <w:pPr>
              <w:jc w:val="center"/>
              <w:rPr>
                <w:rFonts w:ascii="Arial" w:hAnsi="Arial" w:cs="Arial"/>
                <w:sz w:val="18"/>
                <w:szCs w:val="18"/>
              </w:rPr>
            </w:pPr>
            <w:r>
              <w:rPr>
                <w:rFonts w:ascii="Arial" w:hAnsi="Arial" w:cs="Arial"/>
                <w:sz w:val="18"/>
                <w:szCs w:val="18"/>
              </w:rPr>
              <w:t>0.563</w:t>
            </w:r>
          </w:p>
        </w:tc>
        <w:tc>
          <w:tcPr>
            <w:tcW w:w="880" w:type="dxa"/>
            <w:vAlign w:val="center"/>
          </w:tcPr>
          <w:p>
            <w:pPr>
              <w:jc w:val="center"/>
              <w:rPr>
                <w:rFonts w:ascii="Arial" w:hAnsi="Arial" w:cs="Arial"/>
                <w:sz w:val="18"/>
                <w:szCs w:val="18"/>
              </w:rPr>
            </w:pPr>
            <w:r>
              <w:rPr>
                <w:rFonts w:ascii="Arial" w:hAnsi="Arial" w:cs="Arial"/>
                <w:sz w:val="18"/>
                <w:szCs w:val="18"/>
              </w:rPr>
              <w:t>.001</w:t>
            </w:r>
          </w:p>
        </w:tc>
        <w:tc>
          <w:tcPr>
            <w:tcW w:w="1196" w:type="dxa"/>
            <w:vAlign w:val="center"/>
          </w:tcPr>
          <w:p>
            <w:pPr>
              <w:jc w:val="center"/>
              <w:rPr>
                <w:rFonts w:ascii="Arial" w:hAnsi="Arial" w:cs="Arial"/>
                <w:sz w:val="18"/>
                <w:szCs w:val="18"/>
              </w:rPr>
            </w:pPr>
            <w:r>
              <w:rPr>
                <w:rFonts w:ascii="Arial" w:hAnsi="Arial" w:cs="Arial"/>
                <w:sz w:val="18"/>
                <w:szCs w:val="18"/>
              </w:rPr>
              <w:t>Significant</w:t>
            </w:r>
          </w:p>
        </w:tc>
      </w:tr>
      <w:tr>
        <w:trPr>
          <w:trHeight w:val="363"/>
        </w:trPr>
        <w:tc>
          <w:tcPr>
            <w:tcW w:w="1985" w:type="dxa"/>
            <w:vMerge/>
          </w:tcPr>
          <w:p>
            <w:pPr>
              <w:jc w:val="center"/>
              <w:rPr>
                <w:rFonts w:ascii="Arial" w:hAnsi="Arial" w:cs="Arial"/>
                <w:sz w:val="18"/>
                <w:szCs w:val="18"/>
              </w:rPr>
            </w:pPr>
          </w:p>
        </w:tc>
        <w:tc>
          <w:tcPr>
            <w:tcW w:w="3512" w:type="dxa"/>
          </w:tcPr>
          <w:p>
            <w:pPr>
              <w:rPr>
                <w:rFonts w:ascii="Arial" w:hAnsi="Arial" w:cs="Arial"/>
                <w:sz w:val="18"/>
                <w:szCs w:val="18"/>
                <w:lang w:eastAsia="en-PH"/>
              </w:rPr>
            </w:pPr>
            <w:r>
              <w:rPr>
                <w:rFonts w:ascii="Arial" w:hAnsi="Arial" w:cs="Arial"/>
                <w:sz w:val="18"/>
                <w:szCs w:val="18"/>
              </w:rPr>
              <w:t>Inquiry and problem-solving support</w:t>
            </w:r>
          </w:p>
        </w:tc>
        <w:tc>
          <w:tcPr>
            <w:tcW w:w="1106" w:type="dxa"/>
            <w:vAlign w:val="center"/>
          </w:tcPr>
          <w:p>
            <w:pPr>
              <w:jc w:val="center"/>
              <w:rPr>
                <w:rFonts w:ascii="Arial" w:hAnsi="Arial" w:cs="Arial"/>
                <w:sz w:val="18"/>
                <w:szCs w:val="18"/>
              </w:rPr>
            </w:pPr>
            <w:r>
              <w:rPr>
                <w:rFonts w:ascii="Arial" w:hAnsi="Arial" w:cs="Arial"/>
                <w:sz w:val="18"/>
                <w:szCs w:val="18"/>
              </w:rPr>
              <w:t>0.588</w:t>
            </w:r>
          </w:p>
        </w:tc>
        <w:tc>
          <w:tcPr>
            <w:tcW w:w="880" w:type="dxa"/>
            <w:vAlign w:val="center"/>
          </w:tcPr>
          <w:p>
            <w:pPr>
              <w:jc w:val="center"/>
              <w:rPr>
                <w:rFonts w:ascii="Arial" w:hAnsi="Arial" w:cs="Arial"/>
                <w:sz w:val="18"/>
                <w:szCs w:val="18"/>
              </w:rPr>
            </w:pPr>
            <w:r>
              <w:rPr>
                <w:rFonts w:ascii="Arial" w:hAnsi="Arial" w:cs="Arial"/>
                <w:sz w:val="18"/>
                <w:szCs w:val="18"/>
              </w:rPr>
              <w:t>.001</w:t>
            </w:r>
          </w:p>
        </w:tc>
        <w:tc>
          <w:tcPr>
            <w:tcW w:w="1196" w:type="dxa"/>
            <w:vAlign w:val="center"/>
          </w:tcPr>
          <w:p>
            <w:pPr>
              <w:jc w:val="center"/>
              <w:rPr>
                <w:rFonts w:ascii="Arial" w:hAnsi="Arial" w:cs="Arial"/>
                <w:sz w:val="18"/>
                <w:szCs w:val="18"/>
              </w:rPr>
            </w:pPr>
            <w:r>
              <w:rPr>
                <w:rFonts w:ascii="Arial" w:hAnsi="Arial" w:cs="Arial"/>
                <w:sz w:val="18"/>
                <w:szCs w:val="18"/>
              </w:rPr>
              <w:t>Significant</w:t>
            </w:r>
          </w:p>
        </w:tc>
      </w:tr>
      <w:tr>
        <w:trPr>
          <w:trHeight w:val="289"/>
        </w:trPr>
        <w:tc>
          <w:tcPr>
            <w:tcW w:w="1985" w:type="dxa"/>
            <w:vMerge/>
          </w:tcPr>
          <w:p>
            <w:pPr>
              <w:jc w:val="center"/>
              <w:rPr>
                <w:rFonts w:ascii="Arial" w:hAnsi="Arial" w:cs="Arial"/>
                <w:sz w:val="18"/>
                <w:szCs w:val="18"/>
              </w:rPr>
            </w:pPr>
          </w:p>
        </w:tc>
        <w:tc>
          <w:tcPr>
            <w:tcW w:w="3512" w:type="dxa"/>
          </w:tcPr>
          <w:p>
            <w:pPr>
              <w:rPr>
                <w:rFonts w:ascii="Arial" w:hAnsi="Arial" w:cs="Arial"/>
                <w:sz w:val="18"/>
                <w:szCs w:val="18"/>
                <w:lang w:eastAsia="en-PH"/>
              </w:rPr>
            </w:pPr>
            <w:r>
              <w:rPr>
                <w:rFonts w:ascii="Arial" w:hAnsi="Arial" w:cs="Arial"/>
                <w:sz w:val="18"/>
                <w:szCs w:val="18"/>
              </w:rPr>
              <w:t>Technology-mediated dialogue and collaboration</w:t>
            </w:r>
          </w:p>
        </w:tc>
        <w:tc>
          <w:tcPr>
            <w:tcW w:w="1106" w:type="dxa"/>
            <w:vAlign w:val="center"/>
          </w:tcPr>
          <w:p>
            <w:pPr>
              <w:jc w:val="center"/>
              <w:rPr>
                <w:rFonts w:ascii="Arial" w:hAnsi="Arial" w:cs="Arial"/>
                <w:color w:val="000000" w:themeColor="text1"/>
                <w:sz w:val="18"/>
                <w:szCs w:val="18"/>
              </w:rPr>
            </w:pPr>
            <w:r>
              <w:rPr>
                <w:rFonts w:ascii="Arial" w:hAnsi="Arial" w:cs="Arial"/>
                <w:color w:val="000000" w:themeColor="text1"/>
                <w:sz w:val="18"/>
                <w:szCs w:val="18"/>
              </w:rPr>
              <w:t>0.100</w:t>
            </w:r>
          </w:p>
        </w:tc>
        <w:tc>
          <w:tcPr>
            <w:tcW w:w="880" w:type="dxa"/>
            <w:vAlign w:val="center"/>
          </w:tcPr>
          <w:p>
            <w:pPr>
              <w:jc w:val="center"/>
              <w:rPr>
                <w:rFonts w:ascii="Arial" w:hAnsi="Arial" w:cs="Arial"/>
                <w:color w:val="000000" w:themeColor="text1"/>
                <w:sz w:val="18"/>
                <w:szCs w:val="18"/>
              </w:rPr>
            </w:pPr>
            <w:r>
              <w:rPr>
                <w:rFonts w:ascii="Arial" w:hAnsi="Arial" w:cs="Arial"/>
                <w:color w:val="000000" w:themeColor="text1"/>
                <w:sz w:val="18"/>
                <w:szCs w:val="18"/>
              </w:rPr>
              <w:t>.573</w:t>
            </w:r>
          </w:p>
        </w:tc>
        <w:tc>
          <w:tcPr>
            <w:tcW w:w="1196" w:type="dxa"/>
            <w:vAlign w:val="center"/>
          </w:tcPr>
          <w:p>
            <w:pPr>
              <w:jc w:val="center"/>
              <w:rPr>
                <w:rFonts w:ascii="Arial" w:hAnsi="Arial" w:cs="Arial"/>
                <w:color w:val="000000" w:themeColor="text1"/>
                <w:sz w:val="18"/>
                <w:szCs w:val="18"/>
              </w:rPr>
            </w:pPr>
            <w:r>
              <w:rPr>
                <w:rFonts w:ascii="Arial" w:hAnsi="Arial" w:cs="Arial"/>
                <w:color w:val="000000" w:themeColor="text1"/>
                <w:sz w:val="18"/>
                <w:szCs w:val="18"/>
              </w:rPr>
              <w:t>Not Significant</w:t>
            </w:r>
          </w:p>
        </w:tc>
      </w:tr>
      <w:tr>
        <w:trPr>
          <w:trHeight w:val="437"/>
        </w:trPr>
        <w:tc>
          <w:tcPr>
            <w:tcW w:w="1985" w:type="dxa"/>
            <w:vMerge/>
          </w:tcPr>
          <w:p>
            <w:pPr>
              <w:jc w:val="center"/>
              <w:rPr>
                <w:rFonts w:ascii="Arial" w:hAnsi="Arial" w:cs="Arial"/>
                <w:sz w:val="18"/>
                <w:szCs w:val="18"/>
              </w:rPr>
            </w:pPr>
          </w:p>
        </w:tc>
        <w:tc>
          <w:tcPr>
            <w:tcW w:w="3512" w:type="dxa"/>
          </w:tcPr>
          <w:p>
            <w:pPr>
              <w:rPr>
                <w:rFonts w:ascii="Arial" w:hAnsi="Arial" w:cs="Arial"/>
                <w:sz w:val="18"/>
                <w:szCs w:val="18"/>
                <w:lang w:eastAsia="en-PH"/>
              </w:rPr>
            </w:pPr>
            <w:r>
              <w:rPr>
                <w:rFonts w:ascii="Arial" w:hAnsi="Arial" w:cs="Arial"/>
                <w:sz w:val="18"/>
                <w:szCs w:val="18"/>
              </w:rPr>
              <w:t>Culturally responsive task design and scaffolding</w:t>
            </w:r>
          </w:p>
        </w:tc>
        <w:tc>
          <w:tcPr>
            <w:tcW w:w="1106" w:type="dxa"/>
            <w:vAlign w:val="center"/>
          </w:tcPr>
          <w:p>
            <w:pPr>
              <w:jc w:val="center"/>
              <w:rPr>
                <w:rFonts w:ascii="Arial" w:hAnsi="Arial" w:cs="Arial"/>
                <w:color w:val="000000" w:themeColor="text1"/>
                <w:sz w:val="18"/>
                <w:szCs w:val="18"/>
              </w:rPr>
            </w:pPr>
            <w:r>
              <w:rPr>
                <w:rFonts w:ascii="Arial" w:hAnsi="Arial" w:cs="Arial"/>
                <w:color w:val="000000" w:themeColor="text1"/>
                <w:sz w:val="18"/>
                <w:szCs w:val="18"/>
              </w:rPr>
              <w:t>0.182</w:t>
            </w:r>
          </w:p>
        </w:tc>
        <w:tc>
          <w:tcPr>
            <w:tcW w:w="880" w:type="dxa"/>
            <w:vAlign w:val="center"/>
          </w:tcPr>
          <w:p>
            <w:pPr>
              <w:jc w:val="center"/>
              <w:rPr>
                <w:rFonts w:ascii="Arial" w:hAnsi="Arial" w:cs="Arial"/>
                <w:color w:val="000000" w:themeColor="text1"/>
                <w:sz w:val="18"/>
                <w:szCs w:val="18"/>
              </w:rPr>
            </w:pPr>
            <w:r>
              <w:rPr>
                <w:rFonts w:ascii="Arial" w:hAnsi="Arial" w:cs="Arial"/>
                <w:color w:val="000000" w:themeColor="text1"/>
                <w:sz w:val="18"/>
                <w:szCs w:val="18"/>
              </w:rPr>
              <w:t>.339</w:t>
            </w:r>
          </w:p>
        </w:tc>
        <w:tc>
          <w:tcPr>
            <w:tcW w:w="1196" w:type="dxa"/>
            <w:vAlign w:val="center"/>
          </w:tcPr>
          <w:p>
            <w:pPr>
              <w:jc w:val="center"/>
              <w:rPr>
                <w:rFonts w:ascii="Arial" w:hAnsi="Arial" w:cs="Arial"/>
                <w:color w:val="000000" w:themeColor="text1"/>
                <w:sz w:val="18"/>
                <w:szCs w:val="18"/>
              </w:rPr>
            </w:pPr>
            <w:r>
              <w:rPr>
                <w:rFonts w:ascii="Arial" w:hAnsi="Arial" w:cs="Arial"/>
                <w:color w:val="000000" w:themeColor="text1"/>
                <w:sz w:val="18"/>
                <w:szCs w:val="18"/>
              </w:rPr>
              <w:t>Not Significant</w:t>
            </w:r>
          </w:p>
        </w:tc>
      </w:tr>
      <w:tr>
        <w:trPr>
          <w:trHeight w:val="295"/>
        </w:trPr>
        <w:tc>
          <w:tcPr>
            <w:tcW w:w="1985" w:type="dxa"/>
            <w:vMerge w:val="restart"/>
            <w:vAlign w:val="center"/>
          </w:tcPr>
          <w:p>
            <w:pPr>
              <w:jc w:val="center"/>
              <w:rPr>
                <w:rFonts w:ascii="Arial" w:hAnsi="Arial" w:cs="Arial"/>
                <w:sz w:val="18"/>
                <w:szCs w:val="18"/>
              </w:rPr>
            </w:pPr>
            <w:r>
              <w:rPr>
                <w:rFonts w:ascii="Arial" w:hAnsi="Arial" w:cs="Arial"/>
                <w:i/>
                <w:iCs/>
                <w:sz w:val="18"/>
                <w:szCs w:val="18"/>
                <w:lang w:eastAsia="en-PH"/>
              </w:rPr>
              <w:t>Reflective Teaching Practice</w:t>
            </w:r>
          </w:p>
        </w:tc>
        <w:tc>
          <w:tcPr>
            <w:tcW w:w="3512" w:type="dxa"/>
          </w:tcPr>
          <w:p>
            <w:pPr>
              <w:rPr>
                <w:rFonts w:ascii="Arial" w:hAnsi="Arial" w:cs="Arial"/>
                <w:sz w:val="18"/>
                <w:szCs w:val="18"/>
                <w:lang w:eastAsia="en-PH"/>
              </w:rPr>
            </w:pPr>
            <w:r>
              <w:rPr>
                <w:rFonts w:ascii="Arial" w:hAnsi="Arial" w:cs="Arial"/>
                <w:sz w:val="18"/>
                <w:szCs w:val="18"/>
              </w:rPr>
              <w:t>Active knowledge-building facilitation</w:t>
            </w:r>
          </w:p>
        </w:tc>
        <w:tc>
          <w:tcPr>
            <w:tcW w:w="1106" w:type="dxa"/>
            <w:vAlign w:val="center"/>
          </w:tcPr>
          <w:p>
            <w:pPr>
              <w:jc w:val="center"/>
              <w:rPr>
                <w:rFonts w:ascii="Arial" w:hAnsi="Arial" w:cs="Arial"/>
                <w:color w:val="000000" w:themeColor="text1"/>
                <w:sz w:val="18"/>
                <w:szCs w:val="18"/>
              </w:rPr>
            </w:pPr>
            <w:r>
              <w:rPr>
                <w:rFonts w:ascii="Arial" w:hAnsi="Arial" w:cs="Arial"/>
                <w:color w:val="000000" w:themeColor="text1"/>
                <w:sz w:val="18"/>
                <w:szCs w:val="18"/>
              </w:rPr>
              <w:t>0.877</w:t>
            </w:r>
          </w:p>
        </w:tc>
        <w:tc>
          <w:tcPr>
            <w:tcW w:w="880" w:type="dxa"/>
            <w:vAlign w:val="center"/>
          </w:tcPr>
          <w:p>
            <w:pPr>
              <w:jc w:val="center"/>
              <w:rPr>
                <w:rFonts w:ascii="Arial" w:hAnsi="Arial" w:cs="Arial"/>
                <w:color w:val="000000" w:themeColor="text1"/>
                <w:sz w:val="18"/>
                <w:szCs w:val="18"/>
              </w:rPr>
            </w:pPr>
            <w:r>
              <w:rPr>
                <w:rFonts w:ascii="Arial" w:hAnsi="Arial" w:cs="Arial"/>
                <w:color w:val="000000" w:themeColor="text1"/>
                <w:sz w:val="18"/>
                <w:szCs w:val="18"/>
              </w:rPr>
              <w:t>.000</w:t>
            </w:r>
          </w:p>
        </w:tc>
        <w:tc>
          <w:tcPr>
            <w:tcW w:w="1196" w:type="dxa"/>
            <w:vAlign w:val="center"/>
          </w:tcPr>
          <w:p>
            <w:pPr>
              <w:jc w:val="center"/>
              <w:rPr>
                <w:rFonts w:ascii="Arial" w:hAnsi="Arial" w:cs="Arial"/>
                <w:color w:val="000000" w:themeColor="text1"/>
                <w:sz w:val="18"/>
                <w:szCs w:val="18"/>
              </w:rPr>
            </w:pPr>
            <w:r>
              <w:rPr>
                <w:rFonts w:ascii="Arial" w:hAnsi="Arial" w:cs="Arial"/>
                <w:color w:val="000000" w:themeColor="text1"/>
                <w:sz w:val="18"/>
                <w:szCs w:val="18"/>
              </w:rPr>
              <w:t>Significant</w:t>
            </w:r>
          </w:p>
        </w:tc>
      </w:tr>
      <w:tr>
        <w:trPr>
          <w:trHeight w:val="295"/>
        </w:trPr>
        <w:tc>
          <w:tcPr>
            <w:tcW w:w="1985" w:type="dxa"/>
            <w:vMerge/>
          </w:tcPr>
          <w:p>
            <w:pPr>
              <w:jc w:val="center"/>
              <w:rPr>
                <w:rFonts w:ascii="Arial" w:hAnsi="Arial" w:cs="Arial"/>
                <w:i/>
                <w:iCs/>
                <w:sz w:val="18"/>
                <w:szCs w:val="18"/>
                <w:lang w:eastAsia="en-PH"/>
              </w:rPr>
            </w:pPr>
          </w:p>
        </w:tc>
        <w:tc>
          <w:tcPr>
            <w:tcW w:w="3512" w:type="dxa"/>
          </w:tcPr>
          <w:p>
            <w:pPr>
              <w:rPr>
                <w:rFonts w:ascii="Arial" w:hAnsi="Arial" w:cs="Arial"/>
                <w:sz w:val="18"/>
                <w:szCs w:val="18"/>
                <w:lang w:eastAsia="en-PH"/>
              </w:rPr>
            </w:pPr>
            <w:r>
              <w:rPr>
                <w:rFonts w:ascii="Arial" w:hAnsi="Arial" w:cs="Arial"/>
                <w:sz w:val="18"/>
                <w:szCs w:val="18"/>
              </w:rPr>
              <w:t>Activation and linking of prior knowledge;</w:t>
            </w:r>
          </w:p>
        </w:tc>
        <w:tc>
          <w:tcPr>
            <w:tcW w:w="1106" w:type="dxa"/>
            <w:vAlign w:val="center"/>
          </w:tcPr>
          <w:p>
            <w:pPr>
              <w:jc w:val="center"/>
              <w:rPr>
                <w:rFonts w:ascii="Arial" w:hAnsi="Arial" w:cs="Arial"/>
                <w:color w:val="000000" w:themeColor="text1"/>
                <w:sz w:val="18"/>
                <w:szCs w:val="18"/>
              </w:rPr>
            </w:pPr>
            <w:r>
              <w:rPr>
                <w:rFonts w:ascii="Arial" w:hAnsi="Arial" w:cs="Arial"/>
                <w:color w:val="000000" w:themeColor="text1"/>
                <w:sz w:val="18"/>
                <w:szCs w:val="18"/>
              </w:rPr>
              <w:t>0.719</w:t>
            </w:r>
          </w:p>
        </w:tc>
        <w:tc>
          <w:tcPr>
            <w:tcW w:w="880" w:type="dxa"/>
            <w:vAlign w:val="center"/>
          </w:tcPr>
          <w:p>
            <w:pPr>
              <w:jc w:val="center"/>
              <w:rPr>
                <w:rFonts w:ascii="Arial" w:hAnsi="Arial" w:cs="Arial"/>
                <w:color w:val="000000" w:themeColor="text1"/>
                <w:sz w:val="18"/>
                <w:szCs w:val="18"/>
              </w:rPr>
            </w:pPr>
            <w:r>
              <w:rPr>
                <w:rFonts w:ascii="Arial" w:hAnsi="Arial" w:cs="Arial"/>
                <w:color w:val="000000" w:themeColor="text1"/>
                <w:sz w:val="18"/>
                <w:szCs w:val="18"/>
              </w:rPr>
              <w:t>.000</w:t>
            </w:r>
          </w:p>
        </w:tc>
        <w:tc>
          <w:tcPr>
            <w:tcW w:w="1196" w:type="dxa"/>
            <w:vAlign w:val="center"/>
          </w:tcPr>
          <w:p>
            <w:pPr>
              <w:jc w:val="center"/>
              <w:rPr>
                <w:rFonts w:ascii="Arial" w:hAnsi="Arial" w:cs="Arial"/>
                <w:color w:val="000000" w:themeColor="text1"/>
                <w:sz w:val="18"/>
                <w:szCs w:val="18"/>
              </w:rPr>
            </w:pPr>
            <w:r>
              <w:rPr>
                <w:rFonts w:ascii="Arial" w:hAnsi="Arial" w:cs="Arial"/>
                <w:color w:val="000000" w:themeColor="text1"/>
                <w:sz w:val="18"/>
                <w:szCs w:val="18"/>
              </w:rPr>
              <w:t>Significant</w:t>
            </w:r>
          </w:p>
        </w:tc>
      </w:tr>
      <w:tr>
        <w:trPr>
          <w:trHeight w:val="255"/>
        </w:trPr>
        <w:tc>
          <w:tcPr>
            <w:tcW w:w="1985" w:type="dxa"/>
            <w:vMerge/>
          </w:tcPr>
          <w:p>
            <w:pPr>
              <w:jc w:val="center"/>
              <w:rPr>
                <w:rFonts w:ascii="Arial" w:hAnsi="Arial" w:cs="Arial"/>
                <w:i/>
                <w:iCs/>
                <w:sz w:val="18"/>
                <w:szCs w:val="18"/>
                <w:lang w:eastAsia="en-PH"/>
              </w:rPr>
            </w:pPr>
          </w:p>
        </w:tc>
        <w:tc>
          <w:tcPr>
            <w:tcW w:w="3512" w:type="dxa"/>
          </w:tcPr>
          <w:p>
            <w:pPr>
              <w:rPr>
                <w:rFonts w:ascii="Arial" w:hAnsi="Arial" w:cs="Arial"/>
                <w:sz w:val="18"/>
                <w:szCs w:val="18"/>
                <w:lang w:eastAsia="en-PH"/>
              </w:rPr>
            </w:pPr>
            <w:r>
              <w:rPr>
                <w:rFonts w:ascii="Arial" w:hAnsi="Arial" w:cs="Arial"/>
                <w:sz w:val="18"/>
                <w:szCs w:val="18"/>
              </w:rPr>
              <w:t>Inquiry and problem-solving support</w:t>
            </w:r>
          </w:p>
        </w:tc>
        <w:tc>
          <w:tcPr>
            <w:tcW w:w="1106" w:type="dxa"/>
            <w:vAlign w:val="center"/>
          </w:tcPr>
          <w:p>
            <w:pPr>
              <w:jc w:val="center"/>
              <w:rPr>
                <w:rFonts w:ascii="Arial" w:hAnsi="Arial" w:cs="Arial"/>
                <w:color w:val="000000" w:themeColor="text1"/>
                <w:sz w:val="18"/>
                <w:szCs w:val="18"/>
              </w:rPr>
            </w:pPr>
            <w:r>
              <w:rPr>
                <w:rFonts w:ascii="Arial" w:hAnsi="Arial" w:cs="Arial"/>
                <w:color w:val="000000" w:themeColor="text1"/>
                <w:sz w:val="18"/>
                <w:szCs w:val="18"/>
              </w:rPr>
              <w:t>0.615</w:t>
            </w:r>
          </w:p>
        </w:tc>
        <w:tc>
          <w:tcPr>
            <w:tcW w:w="880" w:type="dxa"/>
            <w:vAlign w:val="center"/>
          </w:tcPr>
          <w:p>
            <w:pPr>
              <w:jc w:val="center"/>
              <w:rPr>
                <w:rFonts w:ascii="Arial" w:hAnsi="Arial" w:cs="Arial"/>
                <w:color w:val="000000" w:themeColor="text1"/>
                <w:sz w:val="18"/>
                <w:szCs w:val="18"/>
              </w:rPr>
            </w:pPr>
            <w:r>
              <w:rPr>
                <w:rFonts w:ascii="Arial" w:hAnsi="Arial" w:cs="Arial"/>
                <w:color w:val="000000" w:themeColor="text1"/>
                <w:sz w:val="18"/>
                <w:szCs w:val="18"/>
              </w:rPr>
              <w:t>.000</w:t>
            </w:r>
          </w:p>
        </w:tc>
        <w:tc>
          <w:tcPr>
            <w:tcW w:w="1196" w:type="dxa"/>
            <w:vAlign w:val="center"/>
          </w:tcPr>
          <w:p>
            <w:pPr>
              <w:jc w:val="center"/>
              <w:rPr>
                <w:rFonts w:ascii="Arial" w:hAnsi="Arial" w:cs="Arial"/>
                <w:color w:val="000000" w:themeColor="text1"/>
                <w:sz w:val="18"/>
                <w:szCs w:val="18"/>
              </w:rPr>
            </w:pPr>
            <w:r>
              <w:rPr>
                <w:rFonts w:ascii="Arial" w:hAnsi="Arial" w:cs="Arial"/>
                <w:color w:val="000000" w:themeColor="text1"/>
                <w:sz w:val="18"/>
                <w:szCs w:val="18"/>
              </w:rPr>
              <w:t>Significant</w:t>
            </w:r>
          </w:p>
        </w:tc>
      </w:tr>
      <w:tr>
        <w:trPr>
          <w:trHeight w:val="254"/>
        </w:trPr>
        <w:tc>
          <w:tcPr>
            <w:tcW w:w="1985" w:type="dxa"/>
            <w:vMerge/>
          </w:tcPr>
          <w:p>
            <w:pPr>
              <w:jc w:val="center"/>
              <w:rPr>
                <w:rFonts w:ascii="Arial" w:hAnsi="Arial" w:cs="Arial"/>
                <w:i/>
                <w:iCs/>
                <w:sz w:val="18"/>
                <w:szCs w:val="18"/>
                <w:lang w:eastAsia="en-PH"/>
              </w:rPr>
            </w:pPr>
          </w:p>
        </w:tc>
        <w:tc>
          <w:tcPr>
            <w:tcW w:w="3512" w:type="dxa"/>
          </w:tcPr>
          <w:p>
            <w:pPr>
              <w:rPr>
                <w:rFonts w:ascii="Arial" w:hAnsi="Arial" w:cs="Arial"/>
                <w:sz w:val="18"/>
                <w:szCs w:val="18"/>
                <w:lang w:eastAsia="en-PH"/>
              </w:rPr>
            </w:pPr>
            <w:r>
              <w:rPr>
                <w:rFonts w:ascii="Arial" w:hAnsi="Arial" w:cs="Arial"/>
                <w:sz w:val="18"/>
                <w:szCs w:val="18"/>
              </w:rPr>
              <w:t>Technology-mediated dialogue and collaboration</w:t>
            </w:r>
          </w:p>
        </w:tc>
        <w:tc>
          <w:tcPr>
            <w:tcW w:w="1106" w:type="dxa"/>
            <w:vAlign w:val="center"/>
          </w:tcPr>
          <w:p>
            <w:pPr>
              <w:jc w:val="center"/>
              <w:rPr>
                <w:rFonts w:ascii="Arial" w:hAnsi="Arial" w:cs="Arial"/>
                <w:color w:val="000000" w:themeColor="text1"/>
                <w:sz w:val="18"/>
                <w:szCs w:val="18"/>
              </w:rPr>
            </w:pPr>
            <w:r>
              <w:rPr>
                <w:rFonts w:ascii="Arial" w:hAnsi="Arial" w:cs="Arial"/>
                <w:color w:val="000000" w:themeColor="text1"/>
                <w:sz w:val="18"/>
                <w:szCs w:val="18"/>
              </w:rPr>
              <w:t>0.123</w:t>
            </w:r>
          </w:p>
        </w:tc>
        <w:tc>
          <w:tcPr>
            <w:tcW w:w="880" w:type="dxa"/>
            <w:vAlign w:val="center"/>
          </w:tcPr>
          <w:p>
            <w:pPr>
              <w:jc w:val="center"/>
              <w:rPr>
                <w:rFonts w:ascii="Arial" w:hAnsi="Arial" w:cs="Arial"/>
                <w:color w:val="000000" w:themeColor="text1"/>
                <w:sz w:val="18"/>
                <w:szCs w:val="18"/>
              </w:rPr>
            </w:pPr>
            <w:r>
              <w:rPr>
                <w:rFonts w:ascii="Arial" w:hAnsi="Arial" w:cs="Arial"/>
                <w:color w:val="000000" w:themeColor="text1"/>
                <w:sz w:val="18"/>
                <w:szCs w:val="18"/>
              </w:rPr>
              <w:t>.793</w:t>
            </w:r>
          </w:p>
        </w:tc>
        <w:tc>
          <w:tcPr>
            <w:tcW w:w="1196" w:type="dxa"/>
            <w:vAlign w:val="center"/>
          </w:tcPr>
          <w:p>
            <w:pPr>
              <w:jc w:val="center"/>
              <w:rPr>
                <w:rFonts w:ascii="Arial" w:hAnsi="Arial" w:cs="Arial"/>
                <w:color w:val="000000" w:themeColor="text1"/>
                <w:sz w:val="18"/>
                <w:szCs w:val="18"/>
              </w:rPr>
            </w:pPr>
            <w:r>
              <w:rPr>
                <w:rFonts w:ascii="Arial" w:hAnsi="Arial" w:cs="Arial"/>
                <w:color w:val="000000" w:themeColor="text1"/>
                <w:sz w:val="18"/>
                <w:szCs w:val="18"/>
              </w:rPr>
              <w:t>Not Significant</w:t>
            </w:r>
          </w:p>
        </w:tc>
      </w:tr>
      <w:tr>
        <w:trPr>
          <w:trHeight w:val="543"/>
        </w:trPr>
        <w:tc>
          <w:tcPr>
            <w:tcW w:w="1985" w:type="dxa"/>
            <w:vMerge/>
            <w:tcBorders>
              <w:bottom w:val="single" w:sz="4" w:space="0" w:color="auto"/>
            </w:tcBorders>
          </w:tcPr>
          <w:p>
            <w:pPr>
              <w:jc w:val="center"/>
              <w:rPr>
                <w:rFonts w:ascii="Arial" w:hAnsi="Arial" w:cs="Arial"/>
                <w:i/>
                <w:iCs/>
                <w:sz w:val="18"/>
                <w:szCs w:val="18"/>
                <w:lang w:eastAsia="en-PH"/>
              </w:rPr>
            </w:pPr>
          </w:p>
        </w:tc>
        <w:tc>
          <w:tcPr>
            <w:tcW w:w="3512" w:type="dxa"/>
            <w:tcBorders>
              <w:bottom w:val="single" w:sz="4" w:space="0" w:color="auto"/>
            </w:tcBorders>
          </w:tcPr>
          <w:p>
            <w:pPr>
              <w:rPr>
                <w:rFonts w:ascii="Arial" w:hAnsi="Arial" w:cs="Arial"/>
                <w:sz w:val="18"/>
                <w:szCs w:val="18"/>
                <w:lang w:eastAsia="en-PH"/>
              </w:rPr>
            </w:pPr>
            <w:r>
              <w:rPr>
                <w:rFonts w:ascii="Arial" w:hAnsi="Arial" w:cs="Arial"/>
                <w:sz w:val="18"/>
                <w:szCs w:val="18"/>
              </w:rPr>
              <w:t>Culturally responsive task design and scaffolding</w:t>
            </w:r>
          </w:p>
        </w:tc>
        <w:tc>
          <w:tcPr>
            <w:tcW w:w="1106" w:type="dxa"/>
            <w:tcBorders>
              <w:bottom w:val="single" w:sz="4" w:space="0" w:color="auto"/>
            </w:tcBorders>
            <w:vAlign w:val="center"/>
          </w:tcPr>
          <w:p>
            <w:pPr>
              <w:jc w:val="center"/>
              <w:rPr>
                <w:rFonts w:ascii="Arial" w:hAnsi="Arial" w:cs="Arial"/>
                <w:color w:val="000000" w:themeColor="text1"/>
                <w:sz w:val="18"/>
                <w:szCs w:val="18"/>
              </w:rPr>
            </w:pPr>
            <w:r>
              <w:rPr>
                <w:rFonts w:ascii="Arial" w:hAnsi="Arial" w:cs="Arial"/>
                <w:color w:val="000000" w:themeColor="text1"/>
                <w:sz w:val="18"/>
                <w:szCs w:val="18"/>
              </w:rPr>
              <w:t>0.134</w:t>
            </w:r>
          </w:p>
        </w:tc>
        <w:tc>
          <w:tcPr>
            <w:tcW w:w="880" w:type="dxa"/>
            <w:tcBorders>
              <w:bottom w:val="single" w:sz="4" w:space="0" w:color="auto"/>
            </w:tcBorders>
            <w:vAlign w:val="center"/>
          </w:tcPr>
          <w:p>
            <w:pPr>
              <w:jc w:val="center"/>
              <w:rPr>
                <w:rFonts w:ascii="Arial" w:hAnsi="Arial" w:cs="Arial"/>
                <w:color w:val="000000" w:themeColor="text1"/>
                <w:sz w:val="18"/>
                <w:szCs w:val="18"/>
              </w:rPr>
            </w:pPr>
            <w:r>
              <w:rPr>
                <w:rFonts w:ascii="Arial" w:hAnsi="Arial" w:cs="Arial"/>
                <w:color w:val="000000" w:themeColor="text1"/>
                <w:sz w:val="18"/>
                <w:szCs w:val="18"/>
              </w:rPr>
              <w:t>.558</w:t>
            </w:r>
          </w:p>
        </w:tc>
        <w:tc>
          <w:tcPr>
            <w:tcW w:w="1196" w:type="dxa"/>
            <w:tcBorders>
              <w:bottom w:val="single" w:sz="4" w:space="0" w:color="auto"/>
            </w:tcBorders>
            <w:vAlign w:val="center"/>
          </w:tcPr>
          <w:p>
            <w:pPr>
              <w:jc w:val="center"/>
              <w:rPr>
                <w:rFonts w:ascii="Arial" w:hAnsi="Arial" w:cs="Arial"/>
                <w:color w:val="000000" w:themeColor="text1"/>
                <w:sz w:val="18"/>
                <w:szCs w:val="18"/>
              </w:rPr>
            </w:pPr>
            <w:r>
              <w:rPr>
                <w:rFonts w:ascii="Arial" w:hAnsi="Arial" w:cs="Arial"/>
                <w:color w:val="000000" w:themeColor="text1"/>
                <w:sz w:val="18"/>
                <w:szCs w:val="18"/>
              </w:rPr>
              <w:t>Not Significant</w:t>
            </w:r>
          </w:p>
        </w:tc>
      </w:tr>
    </w:tbl>
    <w:p>
      <w:pPr>
        <w:spacing w:line="480" w:lineRule="auto"/>
        <w:jc w:val="both"/>
        <w:rPr>
          <w:rFonts w:ascii="Arial" w:hAnsi="Arial" w:cs="Arial"/>
        </w:rPr>
      </w:pPr>
      <w:r>
        <w:rPr>
          <w:rFonts w:ascii="Arial" w:hAnsi="Arial" w:cs="Arial"/>
        </w:rPr>
        <w:lastRenderedPageBreak/>
        <w:tab/>
        <w:t>The results reveal that teachers’ competence in technology integration was generally and significantly related to their technology integration practices in English instruction. Teachers who possess stronger technological, pedagogical, and contextual competencies are more likely to translate these capabilities into meaningful classroom practices. Competence serves as an important foundation for implementing technology-supported instructional processes and designing learning experiences that promote learner participation, inquiry, and knowledge construction. Therefore, the null hypothesis was rejected for the competence dimensions that demonstrated significant relationships with technology integration practices and accepted for those found to be non-significant.</w:t>
      </w:r>
    </w:p>
    <w:p>
      <w:pPr>
        <w:spacing w:line="480" w:lineRule="auto"/>
        <w:jc w:val="both"/>
        <w:rPr>
          <w:rFonts w:ascii="Arial" w:hAnsi="Arial" w:cs="Arial"/>
        </w:rPr>
      </w:pPr>
      <w:r>
        <w:rPr>
          <w:rFonts w:ascii="Arial" w:hAnsi="Arial" w:cs="Arial"/>
        </w:rPr>
        <w:tab/>
        <w:t xml:space="preserve">The PICRAT-based pedagogical knowledge, cultural responsiveness and contextualization, creative engagement/technology use, and reflective teaching practice were significantly associated with technology integration practices. In contrast, selected dimensions related to access to technological resources and reflective teaching practice did not demonstrate significant relationships with certain instructional processes. </w:t>
      </w:r>
    </w:p>
    <w:p>
      <w:pPr>
        <w:spacing w:line="480" w:lineRule="auto"/>
        <w:jc w:val="both"/>
        <w:rPr>
          <w:rFonts w:ascii="Arial" w:hAnsi="Arial" w:cs="Arial"/>
        </w:rPr>
      </w:pPr>
      <w:r>
        <w:rPr>
          <w:rFonts w:ascii="Arial" w:hAnsi="Arial" w:cs="Arial"/>
        </w:rPr>
        <w:tab/>
        <w:t xml:space="preserve">The findings support the Technological Pedagogical and Content Knowledge (TPACK) framework, which emphasizes that effective technology integration results from the interaction of technological, pedagogical, and content knowledge. Similar findings were reported by Schmid, Brianza, and Petko (2021), </w:t>
      </w:r>
      <w:r>
        <w:rPr>
          <w:rFonts w:ascii="Arial" w:hAnsi="Arial" w:cs="Arial"/>
        </w:rPr>
        <w:lastRenderedPageBreak/>
        <w:t xml:space="preserve">who found that teachers’ technological and pedagogical competencies significantly influence classroom technology integration practices. </w:t>
      </w:r>
    </w:p>
    <w:p>
      <w:pPr>
        <w:spacing w:line="240" w:lineRule="auto"/>
        <w:rPr>
          <w:rFonts w:ascii="Arial" w:hAnsi="Arial" w:cs="Arial"/>
        </w:rPr>
      </w:pPr>
      <w:r>
        <w:rPr>
          <w:rFonts w:ascii="Arial" w:eastAsia="Times New Roman" w:hAnsi="Arial" w:cs="Arial"/>
          <w:b/>
        </w:rPr>
        <w:t>Significant Relationship between Technology Integration Practices and Learner Engagement</w:t>
      </w:r>
    </w:p>
    <w:p>
      <w:pPr>
        <w:spacing w:line="480" w:lineRule="auto"/>
        <w:jc w:val="both"/>
        <w:rPr>
          <w:rFonts w:ascii="Arial" w:hAnsi="Arial" w:cs="Arial"/>
        </w:rPr>
      </w:pPr>
      <w:r>
        <w:rPr>
          <w:rFonts w:ascii="Arial" w:eastAsia="Times New Roman" w:hAnsi="Arial" w:cs="Arial"/>
        </w:rPr>
        <w:tab/>
        <w:t>Table 8 presents the relationship between technology integration practices and learners’ technology-supported engagement.</w:t>
      </w:r>
    </w:p>
    <w:p>
      <w:pPr>
        <w:spacing w:after="0" w:line="240" w:lineRule="auto"/>
        <w:jc w:val="both"/>
        <w:rPr>
          <w:rFonts w:ascii="Arial" w:eastAsia="Times New Roman" w:hAnsi="Arial" w:cs="Arial"/>
          <w:i/>
        </w:rPr>
      </w:pPr>
      <w:r>
        <w:rPr>
          <w:rFonts w:ascii="Arial" w:eastAsia="Times New Roman" w:hAnsi="Arial" w:cs="Arial"/>
          <w:b/>
          <w:i/>
        </w:rPr>
        <w:t>Table 8.</w:t>
      </w:r>
      <w:r>
        <w:rPr>
          <w:rFonts w:ascii="Arial" w:eastAsia="Times New Roman" w:hAnsi="Arial" w:cs="Arial"/>
          <w:i/>
        </w:rPr>
        <w:t xml:space="preserve"> Correlation between Technology Integration Practices and </w:t>
      </w:r>
      <w:r>
        <w:rPr>
          <w:rFonts w:ascii="Arial" w:eastAsia="Times New Roman" w:hAnsi="Arial" w:cs="Arial"/>
          <w:i/>
        </w:rPr>
        <w:tab/>
        <w:t xml:space="preserve">     </w:t>
      </w:r>
    </w:p>
    <w:p>
      <w:pPr>
        <w:spacing w:after="0" w:line="240" w:lineRule="auto"/>
        <w:jc w:val="both"/>
        <w:rPr>
          <w:rFonts w:ascii="Arial" w:eastAsia="Times New Roman" w:hAnsi="Arial" w:cs="Arial"/>
          <w:i/>
        </w:rPr>
      </w:pPr>
      <w:r>
        <w:rPr>
          <w:rFonts w:ascii="Arial" w:eastAsia="Times New Roman" w:hAnsi="Arial" w:cs="Arial"/>
          <w:i/>
        </w:rPr>
        <w:t xml:space="preserve">              Learner Engagement</w:t>
      </w:r>
    </w:p>
    <w:p>
      <w:pPr>
        <w:spacing w:after="0" w:line="240" w:lineRule="auto"/>
        <w:jc w:val="both"/>
        <w:rPr>
          <w:rFonts w:ascii="Arial" w:eastAsia="Times New Roman" w:hAnsi="Arial" w:cs="Arial"/>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2585"/>
        <w:gridCol w:w="1233"/>
        <w:gridCol w:w="844"/>
        <w:gridCol w:w="1381"/>
      </w:tblGrid>
      <w:tr>
        <w:trPr>
          <w:trHeight w:val="382"/>
        </w:trPr>
        <w:tc>
          <w:tcPr>
            <w:tcW w:w="5130" w:type="dxa"/>
            <w:gridSpan w:val="2"/>
            <w:tcBorders>
              <w:top w:val="single" w:sz="4" w:space="0" w:color="auto"/>
              <w:bottom w:val="single" w:sz="4" w:space="0" w:color="auto"/>
            </w:tcBorders>
          </w:tcPr>
          <w:p>
            <w:pPr>
              <w:jc w:val="center"/>
              <w:rPr>
                <w:rFonts w:ascii="Arial" w:hAnsi="Arial" w:cs="Arial"/>
                <w:b/>
                <w:sz w:val="16"/>
                <w:szCs w:val="24"/>
              </w:rPr>
            </w:pPr>
            <w:r>
              <w:rPr>
                <w:rFonts w:ascii="Arial" w:hAnsi="Arial" w:cs="Arial"/>
                <w:b/>
                <w:sz w:val="16"/>
                <w:szCs w:val="24"/>
              </w:rPr>
              <w:t>Variable Tested</w:t>
            </w:r>
          </w:p>
        </w:tc>
        <w:tc>
          <w:tcPr>
            <w:tcW w:w="1233" w:type="dxa"/>
            <w:tcBorders>
              <w:top w:val="single" w:sz="4" w:space="0" w:color="auto"/>
              <w:bottom w:val="single" w:sz="4" w:space="0" w:color="auto"/>
            </w:tcBorders>
          </w:tcPr>
          <w:p>
            <w:pPr>
              <w:jc w:val="center"/>
              <w:rPr>
                <w:rFonts w:ascii="Arial" w:hAnsi="Arial" w:cs="Arial"/>
                <w:b/>
                <w:sz w:val="16"/>
                <w:szCs w:val="24"/>
              </w:rPr>
            </w:pPr>
            <w:r>
              <w:rPr>
                <w:rFonts w:ascii="Arial" w:hAnsi="Arial" w:cs="Arial"/>
                <w:b/>
                <w:sz w:val="16"/>
                <w:szCs w:val="24"/>
              </w:rPr>
              <w:t>Computed r</w:t>
            </w:r>
          </w:p>
        </w:tc>
        <w:tc>
          <w:tcPr>
            <w:tcW w:w="844" w:type="dxa"/>
            <w:tcBorders>
              <w:top w:val="single" w:sz="4" w:space="0" w:color="auto"/>
              <w:bottom w:val="single" w:sz="4" w:space="0" w:color="auto"/>
            </w:tcBorders>
          </w:tcPr>
          <w:p>
            <w:pPr>
              <w:jc w:val="center"/>
              <w:rPr>
                <w:rFonts w:ascii="Arial" w:hAnsi="Arial" w:cs="Arial"/>
                <w:b/>
                <w:sz w:val="16"/>
                <w:szCs w:val="24"/>
              </w:rPr>
            </w:pPr>
            <w:r>
              <w:rPr>
                <w:rFonts w:ascii="Arial" w:hAnsi="Arial" w:cs="Arial"/>
                <w:b/>
                <w:sz w:val="16"/>
                <w:szCs w:val="24"/>
              </w:rPr>
              <w:t>p-value</w:t>
            </w:r>
          </w:p>
        </w:tc>
        <w:tc>
          <w:tcPr>
            <w:tcW w:w="1381" w:type="dxa"/>
            <w:tcBorders>
              <w:top w:val="single" w:sz="4" w:space="0" w:color="auto"/>
              <w:bottom w:val="single" w:sz="4" w:space="0" w:color="auto"/>
            </w:tcBorders>
          </w:tcPr>
          <w:p>
            <w:pPr>
              <w:jc w:val="center"/>
              <w:rPr>
                <w:rFonts w:ascii="Arial" w:hAnsi="Arial" w:cs="Arial"/>
                <w:b/>
                <w:sz w:val="16"/>
                <w:szCs w:val="24"/>
              </w:rPr>
            </w:pPr>
            <w:r>
              <w:rPr>
                <w:rFonts w:ascii="Arial" w:hAnsi="Arial" w:cs="Arial"/>
                <w:b/>
                <w:sz w:val="16"/>
                <w:szCs w:val="24"/>
              </w:rPr>
              <w:t>Conclusion</w:t>
            </w:r>
          </w:p>
        </w:tc>
      </w:tr>
      <w:tr>
        <w:trPr>
          <w:trHeight w:val="236"/>
        </w:trPr>
        <w:tc>
          <w:tcPr>
            <w:tcW w:w="2545" w:type="dxa"/>
            <w:vMerge w:val="restart"/>
            <w:tcBorders>
              <w:top w:val="single" w:sz="4" w:space="0" w:color="auto"/>
            </w:tcBorders>
            <w:vAlign w:val="center"/>
          </w:tcPr>
          <w:p>
            <w:pPr>
              <w:pStyle w:val="NoSpacing"/>
              <w:jc w:val="center"/>
              <w:rPr>
                <w:rFonts w:ascii="Arial" w:hAnsi="Arial" w:cs="Arial"/>
                <w:sz w:val="16"/>
                <w:szCs w:val="24"/>
              </w:rPr>
            </w:pPr>
            <w:r>
              <w:rPr>
                <w:rFonts w:ascii="Arial" w:hAnsi="Arial" w:cs="Arial"/>
                <w:sz w:val="16"/>
                <w:szCs w:val="24"/>
              </w:rPr>
              <w:t>Active knowledge-building facilitation</w:t>
            </w:r>
          </w:p>
        </w:tc>
        <w:tc>
          <w:tcPr>
            <w:tcW w:w="2585" w:type="dxa"/>
            <w:tcBorders>
              <w:top w:val="single" w:sz="4" w:space="0" w:color="auto"/>
            </w:tcBorders>
          </w:tcPr>
          <w:p>
            <w:pPr>
              <w:pStyle w:val="NoSpacing"/>
              <w:rPr>
                <w:rFonts w:ascii="Arial" w:hAnsi="Arial" w:cs="Arial"/>
                <w:sz w:val="16"/>
                <w:szCs w:val="24"/>
              </w:rPr>
            </w:pPr>
            <w:r>
              <w:rPr>
                <w:rFonts w:ascii="Arial" w:hAnsi="Arial" w:cs="Arial"/>
                <w:sz w:val="16"/>
                <w:szCs w:val="24"/>
              </w:rPr>
              <w:t>Passive Engagement</w:t>
            </w:r>
          </w:p>
        </w:tc>
        <w:tc>
          <w:tcPr>
            <w:tcW w:w="1233" w:type="dxa"/>
            <w:tcBorders>
              <w:top w:val="single" w:sz="4" w:space="0" w:color="auto"/>
            </w:tcBorders>
            <w:vAlign w:val="center"/>
          </w:tcPr>
          <w:p>
            <w:pPr>
              <w:jc w:val="center"/>
              <w:rPr>
                <w:rFonts w:ascii="Arial" w:hAnsi="Arial" w:cs="Arial"/>
                <w:sz w:val="16"/>
                <w:szCs w:val="24"/>
              </w:rPr>
            </w:pPr>
            <w:r>
              <w:rPr>
                <w:rFonts w:ascii="Arial" w:hAnsi="Arial" w:cs="Arial"/>
                <w:sz w:val="16"/>
                <w:szCs w:val="24"/>
              </w:rPr>
              <w:t>0.565</w:t>
            </w:r>
          </w:p>
        </w:tc>
        <w:tc>
          <w:tcPr>
            <w:tcW w:w="844" w:type="dxa"/>
            <w:tcBorders>
              <w:top w:val="single" w:sz="4" w:space="0" w:color="auto"/>
            </w:tcBorders>
            <w:vAlign w:val="center"/>
          </w:tcPr>
          <w:p>
            <w:pPr>
              <w:jc w:val="center"/>
              <w:rPr>
                <w:rFonts w:ascii="Arial" w:hAnsi="Arial" w:cs="Arial"/>
                <w:sz w:val="16"/>
                <w:szCs w:val="24"/>
              </w:rPr>
            </w:pPr>
            <w:r>
              <w:rPr>
                <w:rFonts w:ascii="Arial" w:hAnsi="Arial" w:cs="Arial"/>
                <w:sz w:val="16"/>
                <w:szCs w:val="24"/>
              </w:rPr>
              <w:t>.001</w:t>
            </w:r>
          </w:p>
        </w:tc>
        <w:tc>
          <w:tcPr>
            <w:tcW w:w="1381" w:type="dxa"/>
            <w:tcBorders>
              <w:top w:val="single" w:sz="4" w:space="0" w:color="auto"/>
            </w:tcBorders>
          </w:tcPr>
          <w:p>
            <w:pPr>
              <w:jc w:val="center"/>
              <w:rPr>
                <w:rFonts w:ascii="Arial" w:hAnsi="Arial" w:cs="Arial"/>
                <w:sz w:val="16"/>
                <w:szCs w:val="24"/>
              </w:rPr>
            </w:pPr>
            <w:r>
              <w:rPr>
                <w:rFonts w:ascii="Arial" w:hAnsi="Arial" w:cs="Arial"/>
                <w:sz w:val="16"/>
                <w:szCs w:val="24"/>
              </w:rPr>
              <w:t>Significant</w:t>
            </w:r>
          </w:p>
        </w:tc>
      </w:tr>
      <w:tr>
        <w:trPr>
          <w:trHeight w:val="236"/>
        </w:trPr>
        <w:tc>
          <w:tcPr>
            <w:tcW w:w="2545" w:type="dxa"/>
            <w:vMerge/>
            <w:vAlign w:val="center"/>
          </w:tcPr>
          <w:p>
            <w:pPr>
              <w:pStyle w:val="NoSpacing"/>
              <w:jc w:val="center"/>
              <w:rPr>
                <w:rFonts w:ascii="Arial" w:hAnsi="Arial" w:cs="Arial"/>
                <w:sz w:val="16"/>
                <w:szCs w:val="24"/>
              </w:rPr>
            </w:pPr>
          </w:p>
        </w:tc>
        <w:tc>
          <w:tcPr>
            <w:tcW w:w="2585" w:type="dxa"/>
          </w:tcPr>
          <w:p>
            <w:pPr>
              <w:pStyle w:val="NoSpacing"/>
              <w:rPr>
                <w:rFonts w:ascii="Arial" w:hAnsi="Arial" w:cs="Arial"/>
                <w:sz w:val="16"/>
                <w:szCs w:val="24"/>
              </w:rPr>
            </w:pPr>
            <w:r>
              <w:rPr>
                <w:rFonts w:ascii="Arial" w:hAnsi="Arial" w:cs="Arial"/>
                <w:sz w:val="16"/>
                <w:szCs w:val="24"/>
              </w:rPr>
              <w:t>Interactive Engagement</w:t>
            </w:r>
          </w:p>
        </w:tc>
        <w:tc>
          <w:tcPr>
            <w:tcW w:w="1233" w:type="dxa"/>
            <w:vAlign w:val="center"/>
          </w:tcPr>
          <w:p>
            <w:pPr>
              <w:jc w:val="center"/>
              <w:rPr>
                <w:rFonts w:ascii="Arial" w:hAnsi="Arial" w:cs="Arial"/>
                <w:sz w:val="16"/>
                <w:szCs w:val="24"/>
              </w:rPr>
            </w:pPr>
            <w:r>
              <w:rPr>
                <w:rFonts w:ascii="Arial" w:hAnsi="Arial" w:cs="Arial"/>
                <w:sz w:val="16"/>
                <w:szCs w:val="24"/>
              </w:rPr>
              <w:t>0.650</w:t>
            </w:r>
          </w:p>
        </w:tc>
        <w:tc>
          <w:tcPr>
            <w:tcW w:w="844" w:type="dxa"/>
            <w:vAlign w:val="center"/>
          </w:tcPr>
          <w:p>
            <w:pPr>
              <w:jc w:val="center"/>
              <w:rPr>
                <w:rFonts w:ascii="Arial" w:hAnsi="Arial" w:cs="Arial"/>
                <w:sz w:val="16"/>
                <w:szCs w:val="24"/>
              </w:rPr>
            </w:pPr>
            <w:r>
              <w:rPr>
                <w:rFonts w:ascii="Arial" w:hAnsi="Arial" w:cs="Arial"/>
                <w:sz w:val="16"/>
                <w:szCs w:val="24"/>
              </w:rPr>
              <w:t>.000</w:t>
            </w:r>
          </w:p>
        </w:tc>
        <w:tc>
          <w:tcPr>
            <w:tcW w:w="1381" w:type="dxa"/>
            <w:vAlign w:val="center"/>
          </w:tcPr>
          <w:p>
            <w:pPr>
              <w:jc w:val="center"/>
              <w:rPr>
                <w:rFonts w:ascii="Arial" w:hAnsi="Arial" w:cs="Arial"/>
                <w:sz w:val="16"/>
                <w:szCs w:val="24"/>
              </w:rPr>
            </w:pPr>
            <w:r>
              <w:rPr>
                <w:rFonts w:ascii="Arial" w:hAnsi="Arial" w:cs="Arial"/>
                <w:sz w:val="16"/>
                <w:szCs w:val="24"/>
              </w:rPr>
              <w:t>Significant</w:t>
            </w:r>
          </w:p>
        </w:tc>
      </w:tr>
      <w:tr>
        <w:trPr>
          <w:trHeight w:val="257"/>
        </w:trPr>
        <w:tc>
          <w:tcPr>
            <w:tcW w:w="2545" w:type="dxa"/>
            <w:vMerge/>
            <w:vAlign w:val="center"/>
          </w:tcPr>
          <w:p>
            <w:pPr>
              <w:pStyle w:val="NoSpacing"/>
              <w:jc w:val="center"/>
              <w:rPr>
                <w:rFonts w:ascii="Arial" w:hAnsi="Arial" w:cs="Arial"/>
                <w:sz w:val="16"/>
                <w:szCs w:val="24"/>
              </w:rPr>
            </w:pPr>
          </w:p>
        </w:tc>
        <w:tc>
          <w:tcPr>
            <w:tcW w:w="2585" w:type="dxa"/>
          </w:tcPr>
          <w:p>
            <w:pPr>
              <w:pStyle w:val="NoSpacing"/>
              <w:rPr>
                <w:rFonts w:ascii="Arial" w:hAnsi="Arial" w:cs="Arial"/>
                <w:sz w:val="16"/>
                <w:szCs w:val="24"/>
              </w:rPr>
            </w:pPr>
            <w:r>
              <w:rPr>
                <w:rFonts w:ascii="Arial" w:hAnsi="Arial" w:cs="Arial"/>
                <w:sz w:val="16"/>
                <w:szCs w:val="24"/>
              </w:rPr>
              <w:t>Collaborative Engagement</w:t>
            </w:r>
          </w:p>
        </w:tc>
        <w:tc>
          <w:tcPr>
            <w:tcW w:w="1233" w:type="dxa"/>
            <w:vAlign w:val="center"/>
          </w:tcPr>
          <w:p>
            <w:pPr>
              <w:jc w:val="center"/>
              <w:rPr>
                <w:rFonts w:ascii="Arial" w:hAnsi="Arial" w:cs="Arial"/>
                <w:sz w:val="16"/>
                <w:szCs w:val="24"/>
              </w:rPr>
            </w:pPr>
            <w:r>
              <w:rPr>
                <w:rFonts w:ascii="Arial" w:hAnsi="Arial" w:cs="Arial"/>
                <w:sz w:val="16"/>
                <w:szCs w:val="24"/>
              </w:rPr>
              <w:t>0.287</w:t>
            </w:r>
          </w:p>
        </w:tc>
        <w:tc>
          <w:tcPr>
            <w:tcW w:w="844" w:type="dxa"/>
            <w:vAlign w:val="center"/>
          </w:tcPr>
          <w:p>
            <w:pPr>
              <w:jc w:val="center"/>
              <w:rPr>
                <w:rFonts w:ascii="Arial" w:hAnsi="Arial" w:cs="Arial"/>
                <w:sz w:val="16"/>
                <w:szCs w:val="24"/>
              </w:rPr>
            </w:pPr>
            <w:r>
              <w:rPr>
                <w:rFonts w:ascii="Arial" w:hAnsi="Arial" w:cs="Arial"/>
                <w:sz w:val="16"/>
                <w:szCs w:val="24"/>
              </w:rPr>
              <w:t>.125</w:t>
            </w:r>
          </w:p>
        </w:tc>
        <w:tc>
          <w:tcPr>
            <w:tcW w:w="1381" w:type="dxa"/>
            <w:vAlign w:val="center"/>
          </w:tcPr>
          <w:p>
            <w:pPr>
              <w:jc w:val="center"/>
              <w:rPr>
                <w:rFonts w:ascii="Arial" w:hAnsi="Arial" w:cs="Arial"/>
                <w:sz w:val="16"/>
                <w:szCs w:val="24"/>
              </w:rPr>
            </w:pPr>
            <w:r>
              <w:rPr>
                <w:rFonts w:ascii="Arial" w:hAnsi="Arial" w:cs="Arial"/>
                <w:sz w:val="16"/>
                <w:szCs w:val="24"/>
              </w:rPr>
              <w:t>Not Significant</w:t>
            </w:r>
          </w:p>
        </w:tc>
      </w:tr>
      <w:tr>
        <w:trPr>
          <w:trHeight w:val="236"/>
        </w:trPr>
        <w:tc>
          <w:tcPr>
            <w:tcW w:w="2545" w:type="dxa"/>
            <w:vMerge/>
            <w:vAlign w:val="center"/>
          </w:tcPr>
          <w:p>
            <w:pPr>
              <w:pStyle w:val="NoSpacing"/>
              <w:jc w:val="center"/>
              <w:rPr>
                <w:rFonts w:ascii="Arial" w:hAnsi="Arial" w:cs="Arial"/>
                <w:sz w:val="16"/>
                <w:szCs w:val="24"/>
              </w:rPr>
            </w:pPr>
          </w:p>
        </w:tc>
        <w:tc>
          <w:tcPr>
            <w:tcW w:w="2585" w:type="dxa"/>
          </w:tcPr>
          <w:p>
            <w:pPr>
              <w:pStyle w:val="NoSpacing"/>
              <w:rPr>
                <w:rFonts w:ascii="Arial" w:hAnsi="Arial" w:cs="Arial"/>
                <w:sz w:val="16"/>
                <w:szCs w:val="24"/>
              </w:rPr>
            </w:pPr>
            <w:r>
              <w:rPr>
                <w:rFonts w:ascii="Arial" w:hAnsi="Arial" w:cs="Arial"/>
                <w:sz w:val="16"/>
                <w:szCs w:val="24"/>
              </w:rPr>
              <w:t>Creative Engagement</w:t>
            </w:r>
          </w:p>
        </w:tc>
        <w:tc>
          <w:tcPr>
            <w:tcW w:w="1233" w:type="dxa"/>
            <w:vAlign w:val="center"/>
          </w:tcPr>
          <w:p>
            <w:pPr>
              <w:jc w:val="center"/>
              <w:rPr>
                <w:rFonts w:ascii="Arial" w:hAnsi="Arial" w:cs="Arial"/>
                <w:sz w:val="16"/>
                <w:szCs w:val="24"/>
              </w:rPr>
            </w:pPr>
            <w:r>
              <w:rPr>
                <w:rFonts w:ascii="Arial" w:hAnsi="Arial" w:cs="Arial"/>
                <w:sz w:val="16"/>
                <w:szCs w:val="24"/>
              </w:rPr>
              <w:t>0.110</w:t>
            </w:r>
          </w:p>
        </w:tc>
        <w:tc>
          <w:tcPr>
            <w:tcW w:w="844" w:type="dxa"/>
            <w:vAlign w:val="center"/>
          </w:tcPr>
          <w:p>
            <w:pPr>
              <w:jc w:val="center"/>
              <w:rPr>
                <w:rFonts w:ascii="Arial" w:hAnsi="Arial" w:cs="Arial"/>
                <w:sz w:val="16"/>
                <w:szCs w:val="24"/>
              </w:rPr>
            </w:pPr>
            <w:r>
              <w:rPr>
                <w:rFonts w:ascii="Arial" w:hAnsi="Arial" w:cs="Arial"/>
                <w:sz w:val="16"/>
                <w:szCs w:val="24"/>
              </w:rPr>
              <w:t>.561</w:t>
            </w:r>
          </w:p>
        </w:tc>
        <w:tc>
          <w:tcPr>
            <w:tcW w:w="1381" w:type="dxa"/>
          </w:tcPr>
          <w:p>
            <w:pPr>
              <w:jc w:val="center"/>
              <w:rPr>
                <w:rFonts w:ascii="Arial" w:hAnsi="Arial" w:cs="Arial"/>
                <w:sz w:val="16"/>
                <w:szCs w:val="24"/>
              </w:rPr>
            </w:pPr>
            <w:r>
              <w:rPr>
                <w:rFonts w:ascii="Arial" w:hAnsi="Arial" w:cs="Arial"/>
                <w:sz w:val="16"/>
                <w:szCs w:val="24"/>
              </w:rPr>
              <w:t>Not Significant</w:t>
            </w:r>
          </w:p>
        </w:tc>
      </w:tr>
      <w:tr>
        <w:trPr>
          <w:trHeight w:val="495"/>
        </w:trPr>
        <w:tc>
          <w:tcPr>
            <w:tcW w:w="2545" w:type="dxa"/>
            <w:vMerge/>
            <w:vAlign w:val="center"/>
          </w:tcPr>
          <w:p>
            <w:pPr>
              <w:pStyle w:val="NoSpacing"/>
              <w:jc w:val="center"/>
              <w:rPr>
                <w:rFonts w:ascii="Arial" w:hAnsi="Arial" w:cs="Arial"/>
                <w:sz w:val="16"/>
                <w:szCs w:val="24"/>
              </w:rPr>
            </w:pPr>
          </w:p>
        </w:tc>
        <w:tc>
          <w:tcPr>
            <w:tcW w:w="2585" w:type="dxa"/>
          </w:tcPr>
          <w:p>
            <w:pPr>
              <w:pStyle w:val="NoSpacing"/>
              <w:rPr>
                <w:rFonts w:ascii="Arial" w:hAnsi="Arial" w:cs="Arial"/>
                <w:sz w:val="16"/>
                <w:szCs w:val="24"/>
              </w:rPr>
            </w:pPr>
            <w:r>
              <w:rPr>
                <w:rFonts w:ascii="Arial" w:hAnsi="Arial" w:cs="Arial"/>
                <w:sz w:val="16"/>
                <w:szCs w:val="24"/>
              </w:rPr>
              <w:t>Reflective / Metacognitive Engagement</w:t>
            </w:r>
          </w:p>
        </w:tc>
        <w:tc>
          <w:tcPr>
            <w:tcW w:w="1233" w:type="dxa"/>
            <w:vAlign w:val="center"/>
          </w:tcPr>
          <w:p>
            <w:pPr>
              <w:jc w:val="center"/>
              <w:rPr>
                <w:rFonts w:ascii="Arial" w:hAnsi="Arial" w:cs="Arial"/>
                <w:sz w:val="16"/>
                <w:szCs w:val="24"/>
              </w:rPr>
            </w:pPr>
            <w:r>
              <w:rPr>
                <w:rFonts w:ascii="Arial" w:hAnsi="Arial" w:cs="Arial"/>
                <w:sz w:val="16"/>
                <w:szCs w:val="24"/>
              </w:rPr>
              <w:t>0.202</w:t>
            </w:r>
          </w:p>
        </w:tc>
        <w:tc>
          <w:tcPr>
            <w:tcW w:w="844" w:type="dxa"/>
            <w:vAlign w:val="center"/>
          </w:tcPr>
          <w:p>
            <w:pPr>
              <w:jc w:val="center"/>
              <w:rPr>
                <w:rFonts w:ascii="Arial" w:hAnsi="Arial" w:cs="Arial"/>
                <w:sz w:val="16"/>
                <w:szCs w:val="24"/>
              </w:rPr>
            </w:pPr>
            <w:r>
              <w:rPr>
                <w:rFonts w:ascii="Arial" w:hAnsi="Arial" w:cs="Arial"/>
                <w:sz w:val="16"/>
                <w:szCs w:val="24"/>
              </w:rPr>
              <w:t>.285</w:t>
            </w:r>
          </w:p>
        </w:tc>
        <w:tc>
          <w:tcPr>
            <w:tcW w:w="1381" w:type="dxa"/>
          </w:tcPr>
          <w:p>
            <w:pPr>
              <w:jc w:val="center"/>
              <w:rPr>
                <w:rFonts w:ascii="Arial" w:hAnsi="Arial" w:cs="Arial"/>
                <w:sz w:val="16"/>
                <w:szCs w:val="24"/>
              </w:rPr>
            </w:pPr>
            <w:r>
              <w:rPr>
                <w:rFonts w:ascii="Arial" w:hAnsi="Arial" w:cs="Arial"/>
                <w:sz w:val="16"/>
                <w:szCs w:val="24"/>
              </w:rPr>
              <w:t>Not Significant</w:t>
            </w:r>
          </w:p>
        </w:tc>
      </w:tr>
      <w:tr>
        <w:trPr>
          <w:trHeight w:val="236"/>
        </w:trPr>
        <w:tc>
          <w:tcPr>
            <w:tcW w:w="2545" w:type="dxa"/>
            <w:vMerge w:val="restart"/>
            <w:vAlign w:val="center"/>
          </w:tcPr>
          <w:p>
            <w:pPr>
              <w:pStyle w:val="NoSpacing"/>
              <w:jc w:val="center"/>
              <w:rPr>
                <w:rFonts w:ascii="Arial" w:hAnsi="Arial" w:cs="Arial"/>
                <w:sz w:val="16"/>
                <w:szCs w:val="24"/>
              </w:rPr>
            </w:pPr>
            <w:r>
              <w:rPr>
                <w:rFonts w:ascii="Arial" w:hAnsi="Arial" w:cs="Arial"/>
                <w:sz w:val="16"/>
                <w:szCs w:val="24"/>
              </w:rPr>
              <w:t>Activation and linking of prior knowledge</w:t>
            </w:r>
          </w:p>
        </w:tc>
        <w:tc>
          <w:tcPr>
            <w:tcW w:w="2585" w:type="dxa"/>
          </w:tcPr>
          <w:p>
            <w:pPr>
              <w:pStyle w:val="NoSpacing"/>
              <w:rPr>
                <w:rFonts w:ascii="Arial" w:hAnsi="Arial" w:cs="Arial"/>
                <w:sz w:val="16"/>
                <w:szCs w:val="24"/>
              </w:rPr>
            </w:pPr>
            <w:r>
              <w:rPr>
                <w:rFonts w:ascii="Arial" w:hAnsi="Arial" w:cs="Arial"/>
                <w:sz w:val="16"/>
                <w:szCs w:val="24"/>
              </w:rPr>
              <w:t>Passive Engagement</w:t>
            </w:r>
          </w:p>
        </w:tc>
        <w:tc>
          <w:tcPr>
            <w:tcW w:w="1233" w:type="dxa"/>
            <w:vAlign w:val="center"/>
          </w:tcPr>
          <w:p>
            <w:pPr>
              <w:jc w:val="center"/>
              <w:rPr>
                <w:rFonts w:ascii="Arial" w:hAnsi="Arial" w:cs="Arial"/>
                <w:sz w:val="16"/>
                <w:szCs w:val="24"/>
              </w:rPr>
            </w:pPr>
            <w:r>
              <w:rPr>
                <w:rFonts w:ascii="Arial" w:hAnsi="Arial" w:cs="Arial"/>
                <w:sz w:val="16"/>
                <w:szCs w:val="24"/>
              </w:rPr>
              <w:t>-0.145</w:t>
            </w:r>
          </w:p>
        </w:tc>
        <w:tc>
          <w:tcPr>
            <w:tcW w:w="844" w:type="dxa"/>
            <w:vAlign w:val="center"/>
          </w:tcPr>
          <w:p>
            <w:pPr>
              <w:jc w:val="center"/>
              <w:rPr>
                <w:rFonts w:ascii="Arial" w:hAnsi="Arial" w:cs="Arial"/>
                <w:sz w:val="16"/>
                <w:szCs w:val="24"/>
              </w:rPr>
            </w:pPr>
            <w:r>
              <w:rPr>
                <w:rFonts w:ascii="Arial" w:hAnsi="Arial" w:cs="Arial"/>
                <w:sz w:val="16"/>
                <w:szCs w:val="24"/>
              </w:rPr>
              <w:t>.444</w:t>
            </w:r>
          </w:p>
        </w:tc>
        <w:tc>
          <w:tcPr>
            <w:tcW w:w="1381" w:type="dxa"/>
          </w:tcPr>
          <w:p>
            <w:pPr>
              <w:jc w:val="center"/>
              <w:rPr>
                <w:rFonts w:ascii="Arial" w:hAnsi="Arial" w:cs="Arial"/>
                <w:sz w:val="16"/>
                <w:szCs w:val="24"/>
              </w:rPr>
            </w:pPr>
            <w:r>
              <w:rPr>
                <w:rFonts w:ascii="Arial" w:hAnsi="Arial" w:cs="Arial"/>
                <w:sz w:val="16"/>
                <w:szCs w:val="24"/>
              </w:rPr>
              <w:t>Not Significant</w:t>
            </w:r>
          </w:p>
        </w:tc>
      </w:tr>
      <w:tr>
        <w:trPr>
          <w:trHeight w:val="236"/>
        </w:trPr>
        <w:tc>
          <w:tcPr>
            <w:tcW w:w="2545" w:type="dxa"/>
            <w:vMerge/>
          </w:tcPr>
          <w:p>
            <w:pPr>
              <w:pStyle w:val="NoSpacing"/>
              <w:rPr>
                <w:rFonts w:ascii="Arial" w:hAnsi="Arial" w:cs="Arial"/>
                <w:sz w:val="16"/>
                <w:szCs w:val="24"/>
              </w:rPr>
            </w:pPr>
          </w:p>
        </w:tc>
        <w:tc>
          <w:tcPr>
            <w:tcW w:w="2585" w:type="dxa"/>
          </w:tcPr>
          <w:p>
            <w:pPr>
              <w:pStyle w:val="NoSpacing"/>
              <w:rPr>
                <w:rFonts w:ascii="Arial" w:hAnsi="Arial" w:cs="Arial"/>
                <w:sz w:val="16"/>
                <w:szCs w:val="24"/>
              </w:rPr>
            </w:pPr>
            <w:r>
              <w:rPr>
                <w:rFonts w:ascii="Arial" w:hAnsi="Arial" w:cs="Arial"/>
                <w:sz w:val="16"/>
                <w:szCs w:val="24"/>
              </w:rPr>
              <w:t>Interactive Engagement</w:t>
            </w:r>
          </w:p>
        </w:tc>
        <w:tc>
          <w:tcPr>
            <w:tcW w:w="1233" w:type="dxa"/>
            <w:vAlign w:val="center"/>
          </w:tcPr>
          <w:p>
            <w:pPr>
              <w:jc w:val="center"/>
              <w:rPr>
                <w:rFonts w:ascii="Arial" w:hAnsi="Arial" w:cs="Arial"/>
                <w:sz w:val="16"/>
                <w:szCs w:val="24"/>
              </w:rPr>
            </w:pPr>
            <w:r>
              <w:rPr>
                <w:rFonts w:ascii="Arial" w:hAnsi="Arial" w:cs="Arial"/>
                <w:sz w:val="16"/>
                <w:szCs w:val="24"/>
              </w:rPr>
              <w:t>-0.053</w:t>
            </w:r>
          </w:p>
        </w:tc>
        <w:tc>
          <w:tcPr>
            <w:tcW w:w="844" w:type="dxa"/>
            <w:vAlign w:val="center"/>
          </w:tcPr>
          <w:p>
            <w:pPr>
              <w:jc w:val="center"/>
              <w:rPr>
                <w:rFonts w:ascii="Arial" w:hAnsi="Arial" w:cs="Arial"/>
                <w:sz w:val="16"/>
                <w:szCs w:val="24"/>
              </w:rPr>
            </w:pPr>
            <w:r>
              <w:rPr>
                <w:rFonts w:ascii="Arial" w:hAnsi="Arial" w:cs="Arial"/>
                <w:sz w:val="16"/>
                <w:szCs w:val="24"/>
              </w:rPr>
              <w:t>.780</w:t>
            </w:r>
          </w:p>
        </w:tc>
        <w:tc>
          <w:tcPr>
            <w:tcW w:w="1381" w:type="dxa"/>
          </w:tcPr>
          <w:p>
            <w:pPr>
              <w:jc w:val="center"/>
              <w:rPr>
                <w:rFonts w:ascii="Arial" w:hAnsi="Arial" w:cs="Arial"/>
                <w:sz w:val="16"/>
                <w:szCs w:val="24"/>
              </w:rPr>
            </w:pPr>
            <w:r>
              <w:rPr>
                <w:rFonts w:ascii="Arial" w:hAnsi="Arial" w:cs="Arial"/>
                <w:sz w:val="16"/>
                <w:szCs w:val="24"/>
              </w:rPr>
              <w:t>Not Significant</w:t>
            </w:r>
          </w:p>
        </w:tc>
      </w:tr>
      <w:tr>
        <w:trPr>
          <w:trHeight w:val="257"/>
        </w:trPr>
        <w:tc>
          <w:tcPr>
            <w:tcW w:w="2545" w:type="dxa"/>
            <w:vMerge/>
          </w:tcPr>
          <w:p>
            <w:pPr>
              <w:pStyle w:val="NoSpacing"/>
              <w:rPr>
                <w:rFonts w:ascii="Arial" w:hAnsi="Arial" w:cs="Arial"/>
                <w:sz w:val="16"/>
                <w:szCs w:val="24"/>
              </w:rPr>
            </w:pPr>
          </w:p>
        </w:tc>
        <w:tc>
          <w:tcPr>
            <w:tcW w:w="2585" w:type="dxa"/>
          </w:tcPr>
          <w:p>
            <w:pPr>
              <w:pStyle w:val="NoSpacing"/>
              <w:rPr>
                <w:rFonts w:ascii="Arial" w:hAnsi="Arial" w:cs="Arial"/>
                <w:sz w:val="16"/>
                <w:szCs w:val="24"/>
              </w:rPr>
            </w:pPr>
            <w:r>
              <w:rPr>
                <w:rFonts w:ascii="Arial" w:hAnsi="Arial" w:cs="Arial"/>
                <w:sz w:val="16"/>
                <w:szCs w:val="24"/>
              </w:rPr>
              <w:t>Collaborative Engagement</w:t>
            </w:r>
          </w:p>
        </w:tc>
        <w:tc>
          <w:tcPr>
            <w:tcW w:w="1233" w:type="dxa"/>
            <w:vAlign w:val="center"/>
          </w:tcPr>
          <w:p>
            <w:pPr>
              <w:jc w:val="center"/>
              <w:rPr>
                <w:rFonts w:ascii="Arial" w:hAnsi="Arial" w:cs="Arial"/>
                <w:sz w:val="16"/>
                <w:szCs w:val="24"/>
              </w:rPr>
            </w:pPr>
            <w:r>
              <w:rPr>
                <w:rFonts w:ascii="Arial" w:hAnsi="Arial" w:cs="Arial"/>
                <w:sz w:val="16"/>
                <w:szCs w:val="24"/>
              </w:rPr>
              <w:t>0.013</w:t>
            </w:r>
          </w:p>
        </w:tc>
        <w:tc>
          <w:tcPr>
            <w:tcW w:w="844" w:type="dxa"/>
            <w:vAlign w:val="center"/>
          </w:tcPr>
          <w:p>
            <w:pPr>
              <w:jc w:val="center"/>
              <w:rPr>
                <w:rFonts w:ascii="Arial" w:hAnsi="Arial" w:cs="Arial"/>
                <w:sz w:val="16"/>
                <w:szCs w:val="24"/>
              </w:rPr>
            </w:pPr>
            <w:r>
              <w:rPr>
                <w:rFonts w:ascii="Arial" w:hAnsi="Arial" w:cs="Arial"/>
                <w:sz w:val="16"/>
                <w:szCs w:val="24"/>
              </w:rPr>
              <w:t>.947</w:t>
            </w:r>
          </w:p>
        </w:tc>
        <w:tc>
          <w:tcPr>
            <w:tcW w:w="1381" w:type="dxa"/>
          </w:tcPr>
          <w:p>
            <w:pPr>
              <w:jc w:val="center"/>
              <w:rPr>
                <w:rFonts w:ascii="Arial" w:hAnsi="Arial" w:cs="Arial"/>
                <w:sz w:val="16"/>
                <w:szCs w:val="24"/>
              </w:rPr>
            </w:pPr>
            <w:r>
              <w:rPr>
                <w:rFonts w:ascii="Arial" w:hAnsi="Arial" w:cs="Arial"/>
                <w:sz w:val="16"/>
                <w:szCs w:val="24"/>
              </w:rPr>
              <w:t>Not Significant</w:t>
            </w:r>
          </w:p>
        </w:tc>
      </w:tr>
      <w:tr>
        <w:trPr>
          <w:trHeight w:val="236"/>
        </w:trPr>
        <w:tc>
          <w:tcPr>
            <w:tcW w:w="2545" w:type="dxa"/>
            <w:vMerge/>
          </w:tcPr>
          <w:p>
            <w:pPr>
              <w:pStyle w:val="NoSpacing"/>
              <w:rPr>
                <w:rFonts w:ascii="Arial" w:hAnsi="Arial" w:cs="Arial"/>
                <w:sz w:val="16"/>
                <w:szCs w:val="24"/>
              </w:rPr>
            </w:pPr>
          </w:p>
        </w:tc>
        <w:tc>
          <w:tcPr>
            <w:tcW w:w="2585" w:type="dxa"/>
          </w:tcPr>
          <w:p>
            <w:pPr>
              <w:pStyle w:val="NoSpacing"/>
              <w:rPr>
                <w:rFonts w:ascii="Arial" w:hAnsi="Arial" w:cs="Arial"/>
                <w:sz w:val="16"/>
                <w:szCs w:val="24"/>
              </w:rPr>
            </w:pPr>
            <w:r>
              <w:rPr>
                <w:rFonts w:ascii="Arial" w:hAnsi="Arial" w:cs="Arial"/>
                <w:sz w:val="16"/>
                <w:szCs w:val="24"/>
              </w:rPr>
              <w:t>Creative Engagement</w:t>
            </w:r>
          </w:p>
        </w:tc>
        <w:tc>
          <w:tcPr>
            <w:tcW w:w="1233" w:type="dxa"/>
            <w:vAlign w:val="center"/>
          </w:tcPr>
          <w:p>
            <w:pPr>
              <w:jc w:val="center"/>
              <w:rPr>
                <w:rFonts w:ascii="Arial" w:hAnsi="Arial" w:cs="Arial"/>
                <w:sz w:val="16"/>
                <w:szCs w:val="24"/>
              </w:rPr>
            </w:pPr>
            <w:r>
              <w:rPr>
                <w:rFonts w:ascii="Arial" w:hAnsi="Arial" w:cs="Arial"/>
                <w:sz w:val="16"/>
                <w:szCs w:val="24"/>
              </w:rPr>
              <w:t>0.825</w:t>
            </w:r>
          </w:p>
        </w:tc>
        <w:tc>
          <w:tcPr>
            <w:tcW w:w="844" w:type="dxa"/>
            <w:vAlign w:val="center"/>
          </w:tcPr>
          <w:p>
            <w:pPr>
              <w:jc w:val="center"/>
              <w:rPr>
                <w:rFonts w:ascii="Arial" w:hAnsi="Arial" w:cs="Arial"/>
                <w:sz w:val="16"/>
                <w:szCs w:val="24"/>
              </w:rPr>
            </w:pPr>
            <w:r>
              <w:rPr>
                <w:rFonts w:ascii="Arial" w:hAnsi="Arial" w:cs="Arial"/>
                <w:sz w:val="16"/>
                <w:szCs w:val="24"/>
              </w:rPr>
              <w:t>.042</w:t>
            </w:r>
          </w:p>
        </w:tc>
        <w:tc>
          <w:tcPr>
            <w:tcW w:w="1381" w:type="dxa"/>
          </w:tcPr>
          <w:p>
            <w:pPr>
              <w:jc w:val="center"/>
              <w:rPr>
                <w:rFonts w:ascii="Arial" w:hAnsi="Arial" w:cs="Arial"/>
                <w:sz w:val="16"/>
                <w:szCs w:val="24"/>
              </w:rPr>
            </w:pPr>
            <w:r>
              <w:rPr>
                <w:rFonts w:ascii="Arial" w:hAnsi="Arial" w:cs="Arial"/>
                <w:sz w:val="16"/>
                <w:szCs w:val="24"/>
              </w:rPr>
              <w:t>Significant</w:t>
            </w:r>
          </w:p>
        </w:tc>
      </w:tr>
      <w:tr>
        <w:trPr>
          <w:trHeight w:val="495"/>
        </w:trPr>
        <w:tc>
          <w:tcPr>
            <w:tcW w:w="2545" w:type="dxa"/>
            <w:vMerge/>
          </w:tcPr>
          <w:p>
            <w:pPr>
              <w:pStyle w:val="NoSpacing"/>
              <w:rPr>
                <w:rFonts w:ascii="Arial" w:hAnsi="Arial" w:cs="Arial"/>
                <w:sz w:val="16"/>
                <w:szCs w:val="24"/>
              </w:rPr>
            </w:pPr>
          </w:p>
        </w:tc>
        <w:tc>
          <w:tcPr>
            <w:tcW w:w="2585" w:type="dxa"/>
          </w:tcPr>
          <w:p>
            <w:pPr>
              <w:pStyle w:val="NoSpacing"/>
              <w:rPr>
                <w:rFonts w:ascii="Arial" w:hAnsi="Arial" w:cs="Arial"/>
                <w:sz w:val="16"/>
                <w:szCs w:val="24"/>
              </w:rPr>
            </w:pPr>
            <w:r>
              <w:rPr>
                <w:rFonts w:ascii="Arial" w:hAnsi="Arial" w:cs="Arial"/>
                <w:sz w:val="16"/>
                <w:szCs w:val="24"/>
              </w:rPr>
              <w:t>Reflective / Metacognitive Engagement</w:t>
            </w:r>
          </w:p>
        </w:tc>
        <w:tc>
          <w:tcPr>
            <w:tcW w:w="1233" w:type="dxa"/>
            <w:vAlign w:val="center"/>
          </w:tcPr>
          <w:p>
            <w:pPr>
              <w:jc w:val="center"/>
              <w:rPr>
                <w:rFonts w:ascii="Arial" w:hAnsi="Arial" w:cs="Arial"/>
                <w:sz w:val="16"/>
                <w:szCs w:val="24"/>
              </w:rPr>
            </w:pPr>
            <w:r>
              <w:rPr>
                <w:rFonts w:ascii="Arial" w:hAnsi="Arial" w:cs="Arial"/>
                <w:sz w:val="16"/>
                <w:szCs w:val="24"/>
              </w:rPr>
              <w:t>-0.069</w:t>
            </w:r>
          </w:p>
        </w:tc>
        <w:tc>
          <w:tcPr>
            <w:tcW w:w="844" w:type="dxa"/>
            <w:vAlign w:val="center"/>
          </w:tcPr>
          <w:p>
            <w:pPr>
              <w:jc w:val="center"/>
              <w:rPr>
                <w:rFonts w:ascii="Arial" w:hAnsi="Arial" w:cs="Arial"/>
                <w:sz w:val="16"/>
                <w:szCs w:val="24"/>
              </w:rPr>
            </w:pPr>
            <w:r>
              <w:rPr>
                <w:rFonts w:ascii="Arial" w:hAnsi="Arial" w:cs="Arial"/>
                <w:sz w:val="16"/>
                <w:szCs w:val="24"/>
              </w:rPr>
              <w:t>.716</w:t>
            </w:r>
          </w:p>
        </w:tc>
        <w:tc>
          <w:tcPr>
            <w:tcW w:w="1381" w:type="dxa"/>
          </w:tcPr>
          <w:p>
            <w:pPr>
              <w:jc w:val="center"/>
              <w:rPr>
                <w:rFonts w:ascii="Arial" w:hAnsi="Arial" w:cs="Arial"/>
                <w:sz w:val="16"/>
                <w:szCs w:val="24"/>
              </w:rPr>
            </w:pPr>
            <w:r>
              <w:rPr>
                <w:rFonts w:ascii="Arial" w:hAnsi="Arial" w:cs="Arial"/>
                <w:sz w:val="16"/>
                <w:szCs w:val="24"/>
              </w:rPr>
              <w:t>Not Significant</w:t>
            </w:r>
          </w:p>
        </w:tc>
      </w:tr>
      <w:tr>
        <w:trPr>
          <w:trHeight w:val="236"/>
        </w:trPr>
        <w:tc>
          <w:tcPr>
            <w:tcW w:w="2545" w:type="dxa"/>
            <w:vMerge w:val="restart"/>
            <w:vAlign w:val="center"/>
          </w:tcPr>
          <w:p>
            <w:pPr>
              <w:pStyle w:val="NoSpacing"/>
              <w:jc w:val="center"/>
              <w:rPr>
                <w:rFonts w:ascii="Arial" w:hAnsi="Arial" w:cs="Arial"/>
                <w:sz w:val="16"/>
                <w:szCs w:val="24"/>
              </w:rPr>
            </w:pPr>
            <w:r>
              <w:rPr>
                <w:rFonts w:ascii="Arial" w:hAnsi="Arial" w:cs="Arial"/>
                <w:sz w:val="16"/>
                <w:szCs w:val="24"/>
              </w:rPr>
              <w:t>Inquiry and problem-solving support</w:t>
            </w:r>
          </w:p>
        </w:tc>
        <w:tc>
          <w:tcPr>
            <w:tcW w:w="2585" w:type="dxa"/>
          </w:tcPr>
          <w:p>
            <w:pPr>
              <w:pStyle w:val="NoSpacing"/>
              <w:rPr>
                <w:rFonts w:ascii="Arial" w:hAnsi="Arial" w:cs="Arial"/>
                <w:sz w:val="16"/>
                <w:szCs w:val="24"/>
              </w:rPr>
            </w:pPr>
            <w:r>
              <w:rPr>
                <w:rFonts w:ascii="Arial" w:hAnsi="Arial" w:cs="Arial"/>
                <w:sz w:val="16"/>
                <w:szCs w:val="24"/>
              </w:rPr>
              <w:t>Passive Engagement</w:t>
            </w:r>
          </w:p>
        </w:tc>
        <w:tc>
          <w:tcPr>
            <w:tcW w:w="1233" w:type="dxa"/>
            <w:vAlign w:val="center"/>
          </w:tcPr>
          <w:p>
            <w:pPr>
              <w:jc w:val="center"/>
              <w:rPr>
                <w:rFonts w:ascii="Arial" w:hAnsi="Arial" w:cs="Arial"/>
                <w:sz w:val="16"/>
                <w:szCs w:val="24"/>
              </w:rPr>
            </w:pPr>
            <w:r>
              <w:rPr>
                <w:rFonts w:ascii="Arial" w:hAnsi="Arial" w:cs="Arial"/>
                <w:sz w:val="16"/>
                <w:szCs w:val="24"/>
              </w:rPr>
              <w:t>-0.034</w:t>
            </w:r>
          </w:p>
        </w:tc>
        <w:tc>
          <w:tcPr>
            <w:tcW w:w="844" w:type="dxa"/>
            <w:vAlign w:val="center"/>
          </w:tcPr>
          <w:p>
            <w:pPr>
              <w:jc w:val="center"/>
              <w:rPr>
                <w:rFonts w:ascii="Arial" w:hAnsi="Arial" w:cs="Arial"/>
                <w:sz w:val="16"/>
                <w:szCs w:val="24"/>
              </w:rPr>
            </w:pPr>
            <w:r>
              <w:rPr>
                <w:rFonts w:ascii="Arial" w:hAnsi="Arial" w:cs="Arial"/>
                <w:sz w:val="16"/>
                <w:szCs w:val="24"/>
              </w:rPr>
              <w:t>.858</w:t>
            </w:r>
          </w:p>
        </w:tc>
        <w:tc>
          <w:tcPr>
            <w:tcW w:w="1381" w:type="dxa"/>
          </w:tcPr>
          <w:p>
            <w:pPr>
              <w:jc w:val="center"/>
              <w:rPr>
                <w:rFonts w:ascii="Arial" w:hAnsi="Arial" w:cs="Arial"/>
                <w:sz w:val="16"/>
                <w:szCs w:val="24"/>
              </w:rPr>
            </w:pPr>
            <w:r>
              <w:rPr>
                <w:rFonts w:ascii="Arial" w:hAnsi="Arial" w:cs="Arial"/>
                <w:sz w:val="16"/>
                <w:szCs w:val="24"/>
              </w:rPr>
              <w:t>Not Significant</w:t>
            </w:r>
          </w:p>
        </w:tc>
      </w:tr>
      <w:tr>
        <w:trPr>
          <w:trHeight w:val="257"/>
        </w:trPr>
        <w:tc>
          <w:tcPr>
            <w:tcW w:w="2545" w:type="dxa"/>
            <w:vMerge/>
          </w:tcPr>
          <w:p>
            <w:pPr>
              <w:pStyle w:val="NoSpacing"/>
              <w:rPr>
                <w:rFonts w:ascii="Arial" w:hAnsi="Arial" w:cs="Arial"/>
                <w:sz w:val="16"/>
                <w:szCs w:val="24"/>
              </w:rPr>
            </w:pPr>
          </w:p>
        </w:tc>
        <w:tc>
          <w:tcPr>
            <w:tcW w:w="2585" w:type="dxa"/>
          </w:tcPr>
          <w:p>
            <w:pPr>
              <w:pStyle w:val="NoSpacing"/>
              <w:rPr>
                <w:rFonts w:ascii="Arial" w:hAnsi="Arial" w:cs="Arial"/>
                <w:sz w:val="16"/>
                <w:szCs w:val="24"/>
              </w:rPr>
            </w:pPr>
            <w:r>
              <w:rPr>
                <w:rFonts w:ascii="Arial" w:hAnsi="Arial" w:cs="Arial"/>
                <w:sz w:val="16"/>
                <w:szCs w:val="24"/>
              </w:rPr>
              <w:t>Interactive Engagement</w:t>
            </w:r>
          </w:p>
        </w:tc>
        <w:tc>
          <w:tcPr>
            <w:tcW w:w="1233" w:type="dxa"/>
            <w:vAlign w:val="center"/>
          </w:tcPr>
          <w:p>
            <w:pPr>
              <w:jc w:val="center"/>
              <w:rPr>
                <w:rFonts w:ascii="Arial" w:hAnsi="Arial" w:cs="Arial"/>
                <w:sz w:val="16"/>
                <w:szCs w:val="24"/>
              </w:rPr>
            </w:pPr>
            <w:r>
              <w:rPr>
                <w:rFonts w:ascii="Arial" w:hAnsi="Arial" w:cs="Arial"/>
                <w:sz w:val="16"/>
                <w:szCs w:val="24"/>
              </w:rPr>
              <w:t>0.693</w:t>
            </w:r>
          </w:p>
        </w:tc>
        <w:tc>
          <w:tcPr>
            <w:tcW w:w="844" w:type="dxa"/>
            <w:vAlign w:val="center"/>
          </w:tcPr>
          <w:p>
            <w:pPr>
              <w:jc w:val="center"/>
              <w:rPr>
                <w:rFonts w:ascii="Arial" w:hAnsi="Arial" w:cs="Arial"/>
                <w:sz w:val="16"/>
                <w:szCs w:val="24"/>
              </w:rPr>
            </w:pPr>
            <w:r>
              <w:rPr>
                <w:rFonts w:ascii="Arial" w:hAnsi="Arial" w:cs="Arial"/>
                <w:sz w:val="16"/>
                <w:szCs w:val="24"/>
              </w:rPr>
              <w:t>.002</w:t>
            </w:r>
          </w:p>
        </w:tc>
        <w:tc>
          <w:tcPr>
            <w:tcW w:w="1381" w:type="dxa"/>
          </w:tcPr>
          <w:p>
            <w:pPr>
              <w:jc w:val="center"/>
              <w:rPr>
                <w:rFonts w:ascii="Arial" w:hAnsi="Arial" w:cs="Arial"/>
                <w:sz w:val="16"/>
                <w:szCs w:val="24"/>
              </w:rPr>
            </w:pPr>
            <w:r>
              <w:rPr>
                <w:rFonts w:ascii="Arial" w:hAnsi="Arial" w:cs="Arial"/>
                <w:sz w:val="16"/>
                <w:szCs w:val="24"/>
              </w:rPr>
              <w:t>Significant</w:t>
            </w:r>
          </w:p>
        </w:tc>
      </w:tr>
      <w:tr>
        <w:trPr>
          <w:trHeight w:val="236"/>
        </w:trPr>
        <w:tc>
          <w:tcPr>
            <w:tcW w:w="2545" w:type="dxa"/>
            <w:vMerge/>
          </w:tcPr>
          <w:p>
            <w:pPr>
              <w:pStyle w:val="NoSpacing"/>
              <w:rPr>
                <w:rFonts w:ascii="Arial" w:hAnsi="Arial" w:cs="Arial"/>
                <w:sz w:val="16"/>
                <w:szCs w:val="24"/>
              </w:rPr>
            </w:pPr>
          </w:p>
        </w:tc>
        <w:tc>
          <w:tcPr>
            <w:tcW w:w="2585" w:type="dxa"/>
          </w:tcPr>
          <w:p>
            <w:pPr>
              <w:pStyle w:val="NoSpacing"/>
              <w:rPr>
                <w:rFonts w:ascii="Arial" w:hAnsi="Arial" w:cs="Arial"/>
                <w:sz w:val="16"/>
                <w:szCs w:val="24"/>
              </w:rPr>
            </w:pPr>
            <w:r>
              <w:rPr>
                <w:rFonts w:ascii="Arial" w:hAnsi="Arial" w:cs="Arial"/>
                <w:sz w:val="16"/>
                <w:szCs w:val="24"/>
              </w:rPr>
              <w:t>Collaborative Engagement</w:t>
            </w:r>
          </w:p>
        </w:tc>
        <w:tc>
          <w:tcPr>
            <w:tcW w:w="1233" w:type="dxa"/>
            <w:vAlign w:val="center"/>
          </w:tcPr>
          <w:p>
            <w:pPr>
              <w:jc w:val="center"/>
              <w:rPr>
                <w:rFonts w:ascii="Arial" w:hAnsi="Arial" w:cs="Arial"/>
                <w:sz w:val="16"/>
                <w:szCs w:val="24"/>
              </w:rPr>
            </w:pPr>
            <w:r>
              <w:rPr>
                <w:rFonts w:ascii="Arial" w:hAnsi="Arial" w:cs="Arial"/>
                <w:sz w:val="16"/>
                <w:szCs w:val="24"/>
              </w:rPr>
              <w:t>-0.307</w:t>
            </w:r>
          </w:p>
        </w:tc>
        <w:tc>
          <w:tcPr>
            <w:tcW w:w="844" w:type="dxa"/>
            <w:vAlign w:val="center"/>
          </w:tcPr>
          <w:p>
            <w:pPr>
              <w:jc w:val="center"/>
              <w:rPr>
                <w:rFonts w:ascii="Arial" w:hAnsi="Arial" w:cs="Arial"/>
                <w:sz w:val="16"/>
                <w:szCs w:val="24"/>
              </w:rPr>
            </w:pPr>
            <w:r>
              <w:rPr>
                <w:rFonts w:ascii="Arial" w:hAnsi="Arial" w:cs="Arial"/>
                <w:sz w:val="16"/>
                <w:szCs w:val="24"/>
              </w:rPr>
              <w:t>.099</w:t>
            </w:r>
          </w:p>
        </w:tc>
        <w:tc>
          <w:tcPr>
            <w:tcW w:w="1381" w:type="dxa"/>
          </w:tcPr>
          <w:p>
            <w:pPr>
              <w:jc w:val="center"/>
              <w:rPr>
                <w:rFonts w:ascii="Arial" w:hAnsi="Arial" w:cs="Arial"/>
                <w:sz w:val="16"/>
                <w:szCs w:val="24"/>
              </w:rPr>
            </w:pPr>
            <w:r>
              <w:rPr>
                <w:rFonts w:ascii="Arial" w:hAnsi="Arial" w:cs="Arial"/>
                <w:sz w:val="16"/>
                <w:szCs w:val="24"/>
              </w:rPr>
              <w:t>Not Significant</w:t>
            </w:r>
          </w:p>
        </w:tc>
      </w:tr>
      <w:tr>
        <w:trPr>
          <w:trHeight w:val="236"/>
        </w:trPr>
        <w:tc>
          <w:tcPr>
            <w:tcW w:w="2545" w:type="dxa"/>
            <w:vMerge/>
          </w:tcPr>
          <w:p>
            <w:pPr>
              <w:pStyle w:val="NoSpacing"/>
              <w:rPr>
                <w:rFonts w:ascii="Arial" w:hAnsi="Arial" w:cs="Arial"/>
                <w:sz w:val="16"/>
                <w:szCs w:val="24"/>
              </w:rPr>
            </w:pPr>
          </w:p>
        </w:tc>
        <w:tc>
          <w:tcPr>
            <w:tcW w:w="2585" w:type="dxa"/>
          </w:tcPr>
          <w:p>
            <w:pPr>
              <w:pStyle w:val="NoSpacing"/>
              <w:rPr>
                <w:rFonts w:ascii="Arial" w:hAnsi="Arial" w:cs="Arial"/>
                <w:sz w:val="16"/>
                <w:szCs w:val="24"/>
              </w:rPr>
            </w:pPr>
            <w:r>
              <w:rPr>
                <w:rFonts w:ascii="Arial" w:hAnsi="Arial" w:cs="Arial"/>
                <w:sz w:val="16"/>
                <w:szCs w:val="24"/>
              </w:rPr>
              <w:t>Creative Engagement</w:t>
            </w:r>
          </w:p>
        </w:tc>
        <w:tc>
          <w:tcPr>
            <w:tcW w:w="1233" w:type="dxa"/>
            <w:vAlign w:val="center"/>
          </w:tcPr>
          <w:p>
            <w:pPr>
              <w:jc w:val="center"/>
              <w:rPr>
                <w:rFonts w:ascii="Arial" w:hAnsi="Arial" w:cs="Arial"/>
                <w:sz w:val="16"/>
                <w:szCs w:val="24"/>
              </w:rPr>
            </w:pPr>
            <w:r>
              <w:rPr>
                <w:rFonts w:ascii="Arial" w:hAnsi="Arial" w:cs="Arial"/>
                <w:sz w:val="16"/>
                <w:szCs w:val="24"/>
              </w:rPr>
              <w:t>0.673</w:t>
            </w:r>
          </w:p>
        </w:tc>
        <w:tc>
          <w:tcPr>
            <w:tcW w:w="844" w:type="dxa"/>
            <w:vAlign w:val="center"/>
          </w:tcPr>
          <w:p>
            <w:pPr>
              <w:jc w:val="center"/>
              <w:rPr>
                <w:rFonts w:ascii="Arial" w:hAnsi="Arial" w:cs="Arial"/>
                <w:sz w:val="16"/>
                <w:szCs w:val="24"/>
              </w:rPr>
            </w:pPr>
            <w:r>
              <w:rPr>
                <w:rFonts w:ascii="Arial" w:hAnsi="Arial" w:cs="Arial"/>
                <w:sz w:val="16"/>
                <w:szCs w:val="24"/>
              </w:rPr>
              <w:t>.000</w:t>
            </w:r>
          </w:p>
        </w:tc>
        <w:tc>
          <w:tcPr>
            <w:tcW w:w="1381" w:type="dxa"/>
            <w:vAlign w:val="center"/>
          </w:tcPr>
          <w:p>
            <w:pPr>
              <w:jc w:val="center"/>
              <w:rPr>
                <w:rFonts w:ascii="Arial" w:hAnsi="Arial" w:cs="Arial"/>
                <w:sz w:val="16"/>
                <w:szCs w:val="24"/>
              </w:rPr>
            </w:pPr>
            <w:r>
              <w:rPr>
                <w:rFonts w:ascii="Arial" w:hAnsi="Arial" w:cs="Arial"/>
                <w:sz w:val="16"/>
                <w:szCs w:val="24"/>
              </w:rPr>
              <w:t>Significant</w:t>
            </w:r>
          </w:p>
        </w:tc>
      </w:tr>
      <w:tr>
        <w:trPr>
          <w:trHeight w:val="495"/>
        </w:trPr>
        <w:tc>
          <w:tcPr>
            <w:tcW w:w="2545" w:type="dxa"/>
            <w:vMerge/>
          </w:tcPr>
          <w:p>
            <w:pPr>
              <w:pStyle w:val="NoSpacing"/>
              <w:rPr>
                <w:rFonts w:ascii="Arial" w:hAnsi="Arial" w:cs="Arial"/>
                <w:sz w:val="16"/>
                <w:szCs w:val="24"/>
              </w:rPr>
            </w:pPr>
          </w:p>
        </w:tc>
        <w:tc>
          <w:tcPr>
            <w:tcW w:w="2585" w:type="dxa"/>
          </w:tcPr>
          <w:p>
            <w:pPr>
              <w:pStyle w:val="NoSpacing"/>
              <w:rPr>
                <w:rFonts w:ascii="Arial" w:hAnsi="Arial" w:cs="Arial"/>
                <w:sz w:val="16"/>
                <w:szCs w:val="24"/>
              </w:rPr>
            </w:pPr>
            <w:r>
              <w:rPr>
                <w:rFonts w:ascii="Arial" w:hAnsi="Arial" w:cs="Arial"/>
                <w:sz w:val="16"/>
                <w:szCs w:val="24"/>
              </w:rPr>
              <w:t>Reflective / Metacognitive Engagement</w:t>
            </w:r>
          </w:p>
        </w:tc>
        <w:tc>
          <w:tcPr>
            <w:tcW w:w="1233" w:type="dxa"/>
            <w:vAlign w:val="center"/>
          </w:tcPr>
          <w:p>
            <w:pPr>
              <w:jc w:val="center"/>
              <w:rPr>
                <w:rFonts w:ascii="Arial" w:hAnsi="Arial" w:cs="Arial"/>
                <w:sz w:val="16"/>
                <w:szCs w:val="24"/>
              </w:rPr>
            </w:pPr>
            <w:r>
              <w:rPr>
                <w:rFonts w:ascii="Arial" w:hAnsi="Arial" w:cs="Arial"/>
                <w:sz w:val="16"/>
                <w:szCs w:val="24"/>
              </w:rPr>
              <w:t>0.069</w:t>
            </w:r>
          </w:p>
        </w:tc>
        <w:tc>
          <w:tcPr>
            <w:tcW w:w="844" w:type="dxa"/>
            <w:vAlign w:val="center"/>
          </w:tcPr>
          <w:p>
            <w:pPr>
              <w:jc w:val="center"/>
              <w:rPr>
                <w:rFonts w:ascii="Arial" w:hAnsi="Arial" w:cs="Arial"/>
                <w:sz w:val="16"/>
                <w:szCs w:val="24"/>
              </w:rPr>
            </w:pPr>
            <w:r>
              <w:rPr>
                <w:rFonts w:ascii="Arial" w:hAnsi="Arial" w:cs="Arial"/>
                <w:sz w:val="16"/>
                <w:szCs w:val="24"/>
              </w:rPr>
              <w:t>.717</w:t>
            </w:r>
          </w:p>
        </w:tc>
        <w:tc>
          <w:tcPr>
            <w:tcW w:w="1381" w:type="dxa"/>
          </w:tcPr>
          <w:p>
            <w:pPr>
              <w:jc w:val="center"/>
              <w:rPr>
                <w:rFonts w:ascii="Arial" w:hAnsi="Arial" w:cs="Arial"/>
                <w:sz w:val="16"/>
                <w:szCs w:val="24"/>
              </w:rPr>
            </w:pPr>
            <w:r>
              <w:rPr>
                <w:rFonts w:ascii="Arial" w:hAnsi="Arial" w:cs="Arial"/>
                <w:sz w:val="16"/>
                <w:szCs w:val="24"/>
              </w:rPr>
              <w:t>Not Significant</w:t>
            </w:r>
          </w:p>
        </w:tc>
      </w:tr>
      <w:tr>
        <w:trPr>
          <w:trHeight w:val="236"/>
        </w:trPr>
        <w:tc>
          <w:tcPr>
            <w:tcW w:w="2545" w:type="dxa"/>
            <w:vMerge w:val="restart"/>
            <w:vAlign w:val="center"/>
          </w:tcPr>
          <w:p>
            <w:pPr>
              <w:pStyle w:val="NoSpacing"/>
              <w:jc w:val="center"/>
              <w:rPr>
                <w:rFonts w:ascii="Arial" w:hAnsi="Arial" w:cs="Arial"/>
                <w:sz w:val="16"/>
                <w:szCs w:val="24"/>
              </w:rPr>
            </w:pPr>
            <w:r>
              <w:rPr>
                <w:rFonts w:ascii="Arial" w:hAnsi="Arial" w:cs="Arial"/>
                <w:sz w:val="16"/>
                <w:szCs w:val="24"/>
              </w:rPr>
              <w:t>Technology-mediated dialogue and collaboration</w:t>
            </w:r>
          </w:p>
        </w:tc>
        <w:tc>
          <w:tcPr>
            <w:tcW w:w="2585" w:type="dxa"/>
          </w:tcPr>
          <w:p>
            <w:pPr>
              <w:pStyle w:val="NoSpacing"/>
              <w:rPr>
                <w:rFonts w:ascii="Arial" w:hAnsi="Arial" w:cs="Arial"/>
                <w:sz w:val="16"/>
                <w:szCs w:val="24"/>
              </w:rPr>
            </w:pPr>
            <w:r>
              <w:rPr>
                <w:rFonts w:ascii="Arial" w:hAnsi="Arial" w:cs="Arial"/>
                <w:sz w:val="16"/>
                <w:szCs w:val="24"/>
              </w:rPr>
              <w:t>Passive Engagement</w:t>
            </w:r>
          </w:p>
        </w:tc>
        <w:tc>
          <w:tcPr>
            <w:tcW w:w="1233" w:type="dxa"/>
            <w:vAlign w:val="center"/>
          </w:tcPr>
          <w:p>
            <w:pPr>
              <w:jc w:val="center"/>
              <w:rPr>
                <w:rFonts w:ascii="Arial" w:hAnsi="Arial" w:cs="Arial"/>
                <w:sz w:val="16"/>
                <w:szCs w:val="24"/>
              </w:rPr>
            </w:pPr>
            <w:r>
              <w:rPr>
                <w:rFonts w:ascii="Arial" w:hAnsi="Arial" w:cs="Arial"/>
                <w:sz w:val="16"/>
                <w:szCs w:val="24"/>
              </w:rPr>
              <w:t>0.050</w:t>
            </w:r>
          </w:p>
        </w:tc>
        <w:tc>
          <w:tcPr>
            <w:tcW w:w="844" w:type="dxa"/>
            <w:vAlign w:val="center"/>
          </w:tcPr>
          <w:p>
            <w:pPr>
              <w:jc w:val="center"/>
              <w:rPr>
                <w:rFonts w:ascii="Arial" w:hAnsi="Arial" w:cs="Arial"/>
                <w:sz w:val="16"/>
                <w:szCs w:val="24"/>
              </w:rPr>
            </w:pPr>
            <w:r>
              <w:rPr>
                <w:rFonts w:ascii="Arial" w:hAnsi="Arial" w:cs="Arial"/>
                <w:sz w:val="16"/>
                <w:szCs w:val="24"/>
              </w:rPr>
              <w:t>.792</w:t>
            </w:r>
          </w:p>
        </w:tc>
        <w:tc>
          <w:tcPr>
            <w:tcW w:w="1381" w:type="dxa"/>
          </w:tcPr>
          <w:p>
            <w:pPr>
              <w:jc w:val="center"/>
              <w:rPr>
                <w:rFonts w:ascii="Arial" w:hAnsi="Arial" w:cs="Arial"/>
                <w:sz w:val="16"/>
                <w:szCs w:val="24"/>
              </w:rPr>
            </w:pPr>
            <w:r>
              <w:rPr>
                <w:rFonts w:ascii="Arial" w:hAnsi="Arial" w:cs="Arial"/>
                <w:sz w:val="16"/>
                <w:szCs w:val="24"/>
              </w:rPr>
              <w:t>Not Significant</w:t>
            </w:r>
          </w:p>
        </w:tc>
      </w:tr>
      <w:tr>
        <w:trPr>
          <w:trHeight w:val="257"/>
        </w:trPr>
        <w:tc>
          <w:tcPr>
            <w:tcW w:w="2545" w:type="dxa"/>
            <w:vMerge/>
          </w:tcPr>
          <w:p>
            <w:pPr>
              <w:pStyle w:val="NoSpacing"/>
              <w:rPr>
                <w:rFonts w:ascii="Arial" w:hAnsi="Arial" w:cs="Arial"/>
                <w:sz w:val="16"/>
                <w:szCs w:val="24"/>
              </w:rPr>
            </w:pPr>
          </w:p>
        </w:tc>
        <w:tc>
          <w:tcPr>
            <w:tcW w:w="2585" w:type="dxa"/>
          </w:tcPr>
          <w:p>
            <w:pPr>
              <w:pStyle w:val="NoSpacing"/>
              <w:rPr>
                <w:rFonts w:ascii="Arial" w:hAnsi="Arial" w:cs="Arial"/>
                <w:sz w:val="16"/>
                <w:szCs w:val="24"/>
              </w:rPr>
            </w:pPr>
            <w:r>
              <w:rPr>
                <w:rFonts w:ascii="Arial" w:hAnsi="Arial" w:cs="Arial"/>
                <w:sz w:val="16"/>
                <w:szCs w:val="24"/>
              </w:rPr>
              <w:t>Interactive Engagement</w:t>
            </w:r>
          </w:p>
        </w:tc>
        <w:tc>
          <w:tcPr>
            <w:tcW w:w="1233" w:type="dxa"/>
            <w:vAlign w:val="center"/>
          </w:tcPr>
          <w:p>
            <w:pPr>
              <w:jc w:val="center"/>
              <w:rPr>
                <w:rFonts w:ascii="Arial" w:hAnsi="Arial" w:cs="Arial"/>
                <w:sz w:val="16"/>
                <w:szCs w:val="24"/>
              </w:rPr>
            </w:pPr>
            <w:r>
              <w:rPr>
                <w:rFonts w:ascii="Arial" w:hAnsi="Arial" w:cs="Arial"/>
                <w:sz w:val="16"/>
                <w:szCs w:val="24"/>
              </w:rPr>
              <w:t>-0.122</w:t>
            </w:r>
          </w:p>
        </w:tc>
        <w:tc>
          <w:tcPr>
            <w:tcW w:w="844" w:type="dxa"/>
            <w:vAlign w:val="center"/>
          </w:tcPr>
          <w:p>
            <w:pPr>
              <w:jc w:val="center"/>
              <w:rPr>
                <w:rFonts w:ascii="Arial" w:hAnsi="Arial" w:cs="Arial"/>
                <w:sz w:val="16"/>
                <w:szCs w:val="24"/>
              </w:rPr>
            </w:pPr>
            <w:r>
              <w:rPr>
                <w:rFonts w:ascii="Arial" w:hAnsi="Arial" w:cs="Arial"/>
                <w:sz w:val="16"/>
                <w:szCs w:val="24"/>
              </w:rPr>
              <w:t>.519</w:t>
            </w:r>
          </w:p>
        </w:tc>
        <w:tc>
          <w:tcPr>
            <w:tcW w:w="1381" w:type="dxa"/>
          </w:tcPr>
          <w:p>
            <w:pPr>
              <w:jc w:val="center"/>
              <w:rPr>
                <w:rFonts w:ascii="Arial" w:hAnsi="Arial" w:cs="Arial"/>
                <w:sz w:val="16"/>
                <w:szCs w:val="24"/>
              </w:rPr>
            </w:pPr>
            <w:r>
              <w:rPr>
                <w:rFonts w:ascii="Arial" w:hAnsi="Arial" w:cs="Arial"/>
                <w:sz w:val="16"/>
                <w:szCs w:val="24"/>
              </w:rPr>
              <w:t>Not Significant</w:t>
            </w:r>
          </w:p>
        </w:tc>
      </w:tr>
      <w:tr>
        <w:trPr>
          <w:trHeight w:val="236"/>
        </w:trPr>
        <w:tc>
          <w:tcPr>
            <w:tcW w:w="2545" w:type="dxa"/>
            <w:vMerge/>
          </w:tcPr>
          <w:p>
            <w:pPr>
              <w:pStyle w:val="NoSpacing"/>
              <w:rPr>
                <w:rFonts w:ascii="Arial" w:hAnsi="Arial" w:cs="Arial"/>
                <w:sz w:val="16"/>
                <w:szCs w:val="24"/>
              </w:rPr>
            </w:pPr>
          </w:p>
        </w:tc>
        <w:tc>
          <w:tcPr>
            <w:tcW w:w="2585" w:type="dxa"/>
          </w:tcPr>
          <w:p>
            <w:pPr>
              <w:pStyle w:val="NoSpacing"/>
              <w:rPr>
                <w:rFonts w:ascii="Arial" w:hAnsi="Arial" w:cs="Arial"/>
                <w:sz w:val="16"/>
                <w:szCs w:val="24"/>
              </w:rPr>
            </w:pPr>
            <w:r>
              <w:rPr>
                <w:rFonts w:ascii="Arial" w:hAnsi="Arial" w:cs="Arial"/>
                <w:sz w:val="16"/>
                <w:szCs w:val="24"/>
              </w:rPr>
              <w:t>Collaborative Engagement</w:t>
            </w:r>
          </w:p>
        </w:tc>
        <w:tc>
          <w:tcPr>
            <w:tcW w:w="1233" w:type="dxa"/>
            <w:vAlign w:val="center"/>
          </w:tcPr>
          <w:p>
            <w:pPr>
              <w:jc w:val="center"/>
              <w:rPr>
                <w:rFonts w:ascii="Arial" w:hAnsi="Arial" w:cs="Arial"/>
                <w:sz w:val="16"/>
                <w:szCs w:val="24"/>
              </w:rPr>
            </w:pPr>
            <w:r>
              <w:rPr>
                <w:rFonts w:ascii="Arial" w:hAnsi="Arial" w:cs="Arial"/>
                <w:sz w:val="16"/>
                <w:szCs w:val="24"/>
              </w:rPr>
              <w:t>0.412</w:t>
            </w:r>
          </w:p>
        </w:tc>
        <w:tc>
          <w:tcPr>
            <w:tcW w:w="844" w:type="dxa"/>
            <w:vAlign w:val="center"/>
          </w:tcPr>
          <w:p>
            <w:pPr>
              <w:jc w:val="center"/>
              <w:rPr>
                <w:rFonts w:ascii="Arial" w:hAnsi="Arial" w:cs="Arial"/>
                <w:sz w:val="16"/>
                <w:szCs w:val="24"/>
              </w:rPr>
            </w:pPr>
            <w:r>
              <w:rPr>
                <w:rFonts w:ascii="Arial" w:hAnsi="Arial" w:cs="Arial"/>
                <w:sz w:val="16"/>
                <w:szCs w:val="24"/>
              </w:rPr>
              <w:t>.035</w:t>
            </w:r>
          </w:p>
        </w:tc>
        <w:tc>
          <w:tcPr>
            <w:tcW w:w="1381" w:type="dxa"/>
          </w:tcPr>
          <w:p>
            <w:pPr>
              <w:jc w:val="center"/>
              <w:rPr>
                <w:rFonts w:ascii="Arial" w:hAnsi="Arial" w:cs="Arial"/>
                <w:sz w:val="16"/>
                <w:szCs w:val="24"/>
              </w:rPr>
            </w:pPr>
            <w:r>
              <w:rPr>
                <w:rFonts w:ascii="Arial" w:hAnsi="Arial" w:cs="Arial"/>
                <w:sz w:val="16"/>
                <w:szCs w:val="24"/>
              </w:rPr>
              <w:t>Significant</w:t>
            </w:r>
          </w:p>
        </w:tc>
      </w:tr>
      <w:tr>
        <w:trPr>
          <w:trHeight w:val="236"/>
        </w:trPr>
        <w:tc>
          <w:tcPr>
            <w:tcW w:w="2545" w:type="dxa"/>
            <w:vMerge/>
          </w:tcPr>
          <w:p>
            <w:pPr>
              <w:pStyle w:val="NoSpacing"/>
              <w:rPr>
                <w:rFonts w:ascii="Arial" w:hAnsi="Arial" w:cs="Arial"/>
                <w:sz w:val="16"/>
                <w:szCs w:val="24"/>
              </w:rPr>
            </w:pPr>
          </w:p>
        </w:tc>
        <w:tc>
          <w:tcPr>
            <w:tcW w:w="2585" w:type="dxa"/>
          </w:tcPr>
          <w:p>
            <w:pPr>
              <w:pStyle w:val="NoSpacing"/>
              <w:rPr>
                <w:rFonts w:ascii="Arial" w:hAnsi="Arial" w:cs="Arial"/>
                <w:sz w:val="16"/>
                <w:szCs w:val="24"/>
              </w:rPr>
            </w:pPr>
            <w:r>
              <w:rPr>
                <w:rFonts w:ascii="Arial" w:hAnsi="Arial" w:cs="Arial"/>
                <w:sz w:val="16"/>
                <w:szCs w:val="24"/>
              </w:rPr>
              <w:t>Creative Engagement</w:t>
            </w:r>
          </w:p>
        </w:tc>
        <w:tc>
          <w:tcPr>
            <w:tcW w:w="1233" w:type="dxa"/>
            <w:vAlign w:val="center"/>
          </w:tcPr>
          <w:p>
            <w:pPr>
              <w:jc w:val="center"/>
              <w:rPr>
                <w:rFonts w:ascii="Arial" w:hAnsi="Arial" w:cs="Arial"/>
                <w:sz w:val="16"/>
                <w:szCs w:val="24"/>
              </w:rPr>
            </w:pPr>
            <w:r>
              <w:rPr>
                <w:rFonts w:ascii="Arial" w:hAnsi="Arial" w:cs="Arial"/>
                <w:sz w:val="16"/>
                <w:szCs w:val="24"/>
              </w:rPr>
              <w:t>0.032</w:t>
            </w:r>
          </w:p>
        </w:tc>
        <w:tc>
          <w:tcPr>
            <w:tcW w:w="844" w:type="dxa"/>
            <w:vAlign w:val="center"/>
          </w:tcPr>
          <w:p>
            <w:pPr>
              <w:jc w:val="center"/>
              <w:rPr>
                <w:rFonts w:ascii="Arial" w:hAnsi="Arial" w:cs="Arial"/>
                <w:sz w:val="16"/>
                <w:szCs w:val="24"/>
              </w:rPr>
            </w:pPr>
            <w:r>
              <w:rPr>
                <w:rFonts w:ascii="Arial" w:hAnsi="Arial" w:cs="Arial"/>
                <w:sz w:val="16"/>
                <w:szCs w:val="24"/>
              </w:rPr>
              <w:t>.865</w:t>
            </w:r>
          </w:p>
        </w:tc>
        <w:tc>
          <w:tcPr>
            <w:tcW w:w="1381" w:type="dxa"/>
          </w:tcPr>
          <w:p>
            <w:pPr>
              <w:jc w:val="center"/>
              <w:rPr>
                <w:rFonts w:ascii="Arial" w:hAnsi="Arial" w:cs="Arial"/>
                <w:sz w:val="16"/>
                <w:szCs w:val="24"/>
              </w:rPr>
            </w:pPr>
            <w:r>
              <w:rPr>
                <w:rFonts w:ascii="Arial" w:hAnsi="Arial" w:cs="Arial"/>
                <w:sz w:val="16"/>
                <w:szCs w:val="24"/>
              </w:rPr>
              <w:t>Not Significant</w:t>
            </w:r>
          </w:p>
        </w:tc>
      </w:tr>
      <w:tr>
        <w:trPr>
          <w:trHeight w:val="495"/>
        </w:trPr>
        <w:tc>
          <w:tcPr>
            <w:tcW w:w="2545" w:type="dxa"/>
            <w:vMerge/>
          </w:tcPr>
          <w:p>
            <w:pPr>
              <w:pStyle w:val="NoSpacing"/>
              <w:rPr>
                <w:rFonts w:ascii="Arial" w:hAnsi="Arial" w:cs="Arial"/>
                <w:sz w:val="16"/>
                <w:szCs w:val="24"/>
              </w:rPr>
            </w:pPr>
          </w:p>
        </w:tc>
        <w:tc>
          <w:tcPr>
            <w:tcW w:w="2585" w:type="dxa"/>
          </w:tcPr>
          <w:p>
            <w:pPr>
              <w:pStyle w:val="NoSpacing"/>
              <w:rPr>
                <w:rFonts w:ascii="Arial" w:hAnsi="Arial" w:cs="Arial"/>
                <w:sz w:val="16"/>
                <w:szCs w:val="24"/>
              </w:rPr>
            </w:pPr>
            <w:r>
              <w:rPr>
                <w:rFonts w:ascii="Arial" w:hAnsi="Arial" w:cs="Arial"/>
                <w:sz w:val="16"/>
                <w:szCs w:val="24"/>
              </w:rPr>
              <w:t>Reflective / Metacognitive Engagement</w:t>
            </w:r>
          </w:p>
        </w:tc>
        <w:tc>
          <w:tcPr>
            <w:tcW w:w="1233" w:type="dxa"/>
            <w:vAlign w:val="center"/>
          </w:tcPr>
          <w:p>
            <w:pPr>
              <w:jc w:val="center"/>
              <w:rPr>
                <w:rFonts w:ascii="Arial" w:hAnsi="Arial" w:cs="Arial"/>
                <w:sz w:val="16"/>
                <w:szCs w:val="24"/>
              </w:rPr>
            </w:pPr>
            <w:r>
              <w:rPr>
                <w:rFonts w:ascii="Arial" w:hAnsi="Arial" w:cs="Arial"/>
                <w:sz w:val="16"/>
                <w:szCs w:val="24"/>
              </w:rPr>
              <w:t>0.230</w:t>
            </w:r>
          </w:p>
        </w:tc>
        <w:tc>
          <w:tcPr>
            <w:tcW w:w="844" w:type="dxa"/>
            <w:vAlign w:val="center"/>
          </w:tcPr>
          <w:p>
            <w:pPr>
              <w:jc w:val="center"/>
              <w:rPr>
                <w:rFonts w:ascii="Arial" w:hAnsi="Arial" w:cs="Arial"/>
                <w:sz w:val="16"/>
                <w:szCs w:val="24"/>
              </w:rPr>
            </w:pPr>
            <w:r>
              <w:rPr>
                <w:rFonts w:ascii="Arial" w:hAnsi="Arial" w:cs="Arial"/>
                <w:sz w:val="16"/>
                <w:szCs w:val="24"/>
              </w:rPr>
              <w:t>.221</w:t>
            </w:r>
          </w:p>
        </w:tc>
        <w:tc>
          <w:tcPr>
            <w:tcW w:w="1381" w:type="dxa"/>
          </w:tcPr>
          <w:p>
            <w:pPr>
              <w:jc w:val="center"/>
              <w:rPr>
                <w:rFonts w:ascii="Arial" w:hAnsi="Arial" w:cs="Arial"/>
                <w:sz w:val="16"/>
                <w:szCs w:val="24"/>
              </w:rPr>
            </w:pPr>
            <w:r>
              <w:rPr>
                <w:rFonts w:ascii="Arial" w:hAnsi="Arial" w:cs="Arial"/>
                <w:sz w:val="16"/>
                <w:szCs w:val="24"/>
              </w:rPr>
              <w:t>Not Significant</w:t>
            </w:r>
          </w:p>
        </w:tc>
      </w:tr>
      <w:tr>
        <w:trPr>
          <w:trHeight w:val="257"/>
        </w:trPr>
        <w:tc>
          <w:tcPr>
            <w:tcW w:w="2545" w:type="dxa"/>
            <w:vMerge w:val="restart"/>
            <w:vAlign w:val="center"/>
          </w:tcPr>
          <w:p>
            <w:pPr>
              <w:pStyle w:val="NoSpacing"/>
              <w:jc w:val="center"/>
              <w:rPr>
                <w:rFonts w:ascii="Arial" w:hAnsi="Arial" w:cs="Arial"/>
                <w:sz w:val="16"/>
                <w:szCs w:val="24"/>
              </w:rPr>
            </w:pPr>
            <w:r>
              <w:rPr>
                <w:rFonts w:ascii="Arial" w:hAnsi="Arial" w:cs="Arial"/>
                <w:sz w:val="16"/>
                <w:szCs w:val="24"/>
              </w:rPr>
              <w:t>Culturally responsive task design and scaffolding</w:t>
            </w:r>
          </w:p>
        </w:tc>
        <w:tc>
          <w:tcPr>
            <w:tcW w:w="2585" w:type="dxa"/>
          </w:tcPr>
          <w:p>
            <w:pPr>
              <w:pStyle w:val="NoSpacing"/>
              <w:rPr>
                <w:rFonts w:ascii="Arial" w:hAnsi="Arial" w:cs="Arial"/>
                <w:sz w:val="16"/>
                <w:szCs w:val="24"/>
              </w:rPr>
            </w:pPr>
            <w:r>
              <w:rPr>
                <w:rFonts w:ascii="Arial" w:hAnsi="Arial" w:cs="Arial"/>
                <w:sz w:val="16"/>
                <w:szCs w:val="24"/>
              </w:rPr>
              <w:t>Passive Engagement</w:t>
            </w:r>
          </w:p>
        </w:tc>
        <w:tc>
          <w:tcPr>
            <w:tcW w:w="1233" w:type="dxa"/>
            <w:vAlign w:val="center"/>
          </w:tcPr>
          <w:p>
            <w:pPr>
              <w:jc w:val="center"/>
              <w:rPr>
                <w:rFonts w:ascii="Arial" w:hAnsi="Arial" w:cs="Arial"/>
                <w:sz w:val="16"/>
                <w:szCs w:val="24"/>
              </w:rPr>
            </w:pPr>
            <w:r>
              <w:rPr>
                <w:rFonts w:ascii="Arial" w:hAnsi="Arial" w:cs="Arial"/>
                <w:sz w:val="16"/>
                <w:szCs w:val="24"/>
              </w:rPr>
              <w:t>-0.151</w:t>
            </w:r>
          </w:p>
        </w:tc>
        <w:tc>
          <w:tcPr>
            <w:tcW w:w="844" w:type="dxa"/>
            <w:vAlign w:val="center"/>
          </w:tcPr>
          <w:p>
            <w:pPr>
              <w:jc w:val="center"/>
              <w:rPr>
                <w:rFonts w:ascii="Arial" w:hAnsi="Arial" w:cs="Arial"/>
                <w:sz w:val="16"/>
                <w:szCs w:val="24"/>
              </w:rPr>
            </w:pPr>
            <w:r>
              <w:rPr>
                <w:rFonts w:ascii="Arial" w:hAnsi="Arial" w:cs="Arial"/>
                <w:sz w:val="16"/>
                <w:szCs w:val="24"/>
              </w:rPr>
              <w:t>.426</w:t>
            </w:r>
          </w:p>
        </w:tc>
        <w:tc>
          <w:tcPr>
            <w:tcW w:w="1381" w:type="dxa"/>
          </w:tcPr>
          <w:p>
            <w:pPr>
              <w:jc w:val="center"/>
              <w:rPr>
                <w:rFonts w:ascii="Arial" w:hAnsi="Arial" w:cs="Arial"/>
                <w:sz w:val="16"/>
                <w:szCs w:val="24"/>
              </w:rPr>
            </w:pPr>
            <w:r>
              <w:rPr>
                <w:rFonts w:ascii="Arial" w:hAnsi="Arial" w:cs="Arial"/>
                <w:sz w:val="16"/>
                <w:szCs w:val="24"/>
              </w:rPr>
              <w:t>Not Significant</w:t>
            </w:r>
          </w:p>
        </w:tc>
      </w:tr>
      <w:tr>
        <w:trPr>
          <w:trHeight w:val="236"/>
        </w:trPr>
        <w:tc>
          <w:tcPr>
            <w:tcW w:w="2545" w:type="dxa"/>
            <w:vMerge/>
          </w:tcPr>
          <w:p>
            <w:pPr>
              <w:pStyle w:val="NoSpacing"/>
              <w:rPr>
                <w:rFonts w:ascii="Arial" w:hAnsi="Arial" w:cs="Arial"/>
                <w:sz w:val="16"/>
                <w:szCs w:val="24"/>
              </w:rPr>
            </w:pPr>
          </w:p>
        </w:tc>
        <w:tc>
          <w:tcPr>
            <w:tcW w:w="2585" w:type="dxa"/>
          </w:tcPr>
          <w:p>
            <w:pPr>
              <w:pStyle w:val="NoSpacing"/>
              <w:rPr>
                <w:rFonts w:ascii="Arial" w:hAnsi="Arial" w:cs="Arial"/>
                <w:sz w:val="16"/>
                <w:szCs w:val="24"/>
              </w:rPr>
            </w:pPr>
            <w:r>
              <w:rPr>
                <w:rFonts w:ascii="Arial" w:hAnsi="Arial" w:cs="Arial"/>
                <w:sz w:val="16"/>
                <w:szCs w:val="24"/>
              </w:rPr>
              <w:t>Interactive Engagement</w:t>
            </w:r>
          </w:p>
        </w:tc>
        <w:tc>
          <w:tcPr>
            <w:tcW w:w="1233" w:type="dxa"/>
            <w:vAlign w:val="center"/>
          </w:tcPr>
          <w:p>
            <w:pPr>
              <w:jc w:val="center"/>
              <w:rPr>
                <w:rFonts w:ascii="Arial" w:hAnsi="Arial" w:cs="Arial"/>
                <w:sz w:val="16"/>
                <w:szCs w:val="24"/>
              </w:rPr>
            </w:pPr>
            <w:r>
              <w:rPr>
                <w:rFonts w:ascii="Arial" w:hAnsi="Arial" w:cs="Arial"/>
                <w:sz w:val="16"/>
                <w:szCs w:val="24"/>
              </w:rPr>
              <w:t>-0.099</w:t>
            </w:r>
          </w:p>
        </w:tc>
        <w:tc>
          <w:tcPr>
            <w:tcW w:w="844" w:type="dxa"/>
            <w:vAlign w:val="center"/>
          </w:tcPr>
          <w:p>
            <w:pPr>
              <w:jc w:val="center"/>
              <w:rPr>
                <w:rFonts w:ascii="Arial" w:hAnsi="Arial" w:cs="Arial"/>
                <w:sz w:val="16"/>
                <w:szCs w:val="24"/>
              </w:rPr>
            </w:pPr>
            <w:r>
              <w:rPr>
                <w:rFonts w:ascii="Arial" w:hAnsi="Arial" w:cs="Arial"/>
                <w:sz w:val="16"/>
                <w:szCs w:val="24"/>
              </w:rPr>
              <w:t>.604</w:t>
            </w:r>
          </w:p>
        </w:tc>
        <w:tc>
          <w:tcPr>
            <w:tcW w:w="1381" w:type="dxa"/>
          </w:tcPr>
          <w:p>
            <w:pPr>
              <w:jc w:val="center"/>
              <w:rPr>
                <w:rFonts w:ascii="Arial" w:hAnsi="Arial" w:cs="Arial"/>
                <w:sz w:val="16"/>
                <w:szCs w:val="24"/>
              </w:rPr>
            </w:pPr>
            <w:r>
              <w:rPr>
                <w:rFonts w:ascii="Arial" w:hAnsi="Arial" w:cs="Arial"/>
                <w:sz w:val="16"/>
                <w:szCs w:val="24"/>
              </w:rPr>
              <w:t>Not Significant</w:t>
            </w:r>
          </w:p>
        </w:tc>
      </w:tr>
      <w:tr>
        <w:trPr>
          <w:trHeight w:val="236"/>
        </w:trPr>
        <w:tc>
          <w:tcPr>
            <w:tcW w:w="2545" w:type="dxa"/>
            <w:vMerge/>
          </w:tcPr>
          <w:p>
            <w:pPr>
              <w:pStyle w:val="NoSpacing"/>
              <w:rPr>
                <w:rFonts w:ascii="Arial" w:hAnsi="Arial" w:cs="Arial"/>
                <w:sz w:val="16"/>
                <w:szCs w:val="24"/>
              </w:rPr>
            </w:pPr>
          </w:p>
        </w:tc>
        <w:tc>
          <w:tcPr>
            <w:tcW w:w="2585" w:type="dxa"/>
          </w:tcPr>
          <w:p>
            <w:pPr>
              <w:pStyle w:val="NoSpacing"/>
              <w:rPr>
                <w:rFonts w:ascii="Arial" w:hAnsi="Arial" w:cs="Arial"/>
                <w:sz w:val="16"/>
                <w:szCs w:val="24"/>
              </w:rPr>
            </w:pPr>
            <w:r>
              <w:rPr>
                <w:rFonts w:ascii="Arial" w:hAnsi="Arial" w:cs="Arial"/>
                <w:sz w:val="16"/>
                <w:szCs w:val="24"/>
              </w:rPr>
              <w:t>Collaborative Engagement</w:t>
            </w:r>
          </w:p>
        </w:tc>
        <w:tc>
          <w:tcPr>
            <w:tcW w:w="1233" w:type="dxa"/>
            <w:vAlign w:val="center"/>
          </w:tcPr>
          <w:p>
            <w:pPr>
              <w:jc w:val="center"/>
              <w:rPr>
                <w:rFonts w:ascii="Arial" w:hAnsi="Arial" w:cs="Arial"/>
                <w:sz w:val="16"/>
                <w:szCs w:val="24"/>
              </w:rPr>
            </w:pPr>
            <w:r>
              <w:rPr>
                <w:rFonts w:ascii="Arial" w:hAnsi="Arial" w:cs="Arial"/>
                <w:sz w:val="16"/>
                <w:szCs w:val="24"/>
              </w:rPr>
              <w:t>-0.344</w:t>
            </w:r>
          </w:p>
        </w:tc>
        <w:tc>
          <w:tcPr>
            <w:tcW w:w="844" w:type="dxa"/>
            <w:vAlign w:val="center"/>
          </w:tcPr>
          <w:p>
            <w:pPr>
              <w:jc w:val="center"/>
              <w:rPr>
                <w:rFonts w:ascii="Arial" w:hAnsi="Arial" w:cs="Arial"/>
                <w:sz w:val="16"/>
                <w:szCs w:val="24"/>
              </w:rPr>
            </w:pPr>
            <w:r>
              <w:rPr>
                <w:rFonts w:ascii="Arial" w:hAnsi="Arial" w:cs="Arial"/>
                <w:sz w:val="16"/>
                <w:szCs w:val="24"/>
              </w:rPr>
              <w:t>063</w:t>
            </w:r>
          </w:p>
        </w:tc>
        <w:tc>
          <w:tcPr>
            <w:tcW w:w="1381" w:type="dxa"/>
          </w:tcPr>
          <w:p>
            <w:pPr>
              <w:jc w:val="center"/>
              <w:rPr>
                <w:rFonts w:ascii="Arial" w:hAnsi="Arial" w:cs="Arial"/>
                <w:sz w:val="16"/>
                <w:szCs w:val="24"/>
              </w:rPr>
            </w:pPr>
            <w:r>
              <w:rPr>
                <w:rFonts w:ascii="Arial" w:hAnsi="Arial" w:cs="Arial"/>
                <w:sz w:val="16"/>
                <w:szCs w:val="24"/>
              </w:rPr>
              <w:t>Not Significant</w:t>
            </w:r>
          </w:p>
        </w:tc>
      </w:tr>
      <w:tr>
        <w:trPr>
          <w:trHeight w:val="257"/>
        </w:trPr>
        <w:tc>
          <w:tcPr>
            <w:tcW w:w="2545" w:type="dxa"/>
            <w:vMerge/>
          </w:tcPr>
          <w:p>
            <w:pPr>
              <w:pStyle w:val="NoSpacing"/>
              <w:rPr>
                <w:rFonts w:ascii="Arial" w:hAnsi="Arial" w:cs="Arial"/>
                <w:sz w:val="16"/>
                <w:szCs w:val="24"/>
              </w:rPr>
            </w:pPr>
          </w:p>
        </w:tc>
        <w:tc>
          <w:tcPr>
            <w:tcW w:w="2585" w:type="dxa"/>
          </w:tcPr>
          <w:p>
            <w:pPr>
              <w:pStyle w:val="NoSpacing"/>
              <w:rPr>
                <w:rFonts w:ascii="Arial" w:hAnsi="Arial" w:cs="Arial"/>
                <w:sz w:val="16"/>
                <w:szCs w:val="24"/>
              </w:rPr>
            </w:pPr>
            <w:r>
              <w:rPr>
                <w:rFonts w:ascii="Arial" w:hAnsi="Arial" w:cs="Arial"/>
                <w:sz w:val="16"/>
                <w:szCs w:val="24"/>
              </w:rPr>
              <w:t>Creative Engagement</w:t>
            </w:r>
          </w:p>
        </w:tc>
        <w:tc>
          <w:tcPr>
            <w:tcW w:w="1233" w:type="dxa"/>
            <w:vAlign w:val="center"/>
          </w:tcPr>
          <w:p>
            <w:pPr>
              <w:jc w:val="center"/>
              <w:rPr>
                <w:rFonts w:ascii="Arial" w:hAnsi="Arial" w:cs="Arial"/>
                <w:sz w:val="16"/>
                <w:szCs w:val="24"/>
              </w:rPr>
            </w:pPr>
            <w:r>
              <w:rPr>
                <w:rFonts w:ascii="Arial" w:hAnsi="Arial" w:cs="Arial"/>
                <w:sz w:val="16"/>
                <w:szCs w:val="24"/>
              </w:rPr>
              <w:t>-0.259</w:t>
            </w:r>
          </w:p>
        </w:tc>
        <w:tc>
          <w:tcPr>
            <w:tcW w:w="844" w:type="dxa"/>
            <w:vAlign w:val="center"/>
          </w:tcPr>
          <w:p>
            <w:pPr>
              <w:jc w:val="center"/>
              <w:rPr>
                <w:rFonts w:ascii="Arial" w:hAnsi="Arial" w:cs="Arial"/>
                <w:sz w:val="16"/>
                <w:szCs w:val="24"/>
              </w:rPr>
            </w:pPr>
            <w:r>
              <w:rPr>
                <w:rFonts w:ascii="Arial" w:hAnsi="Arial" w:cs="Arial"/>
                <w:sz w:val="16"/>
                <w:szCs w:val="24"/>
              </w:rPr>
              <w:t>.166</w:t>
            </w:r>
          </w:p>
        </w:tc>
        <w:tc>
          <w:tcPr>
            <w:tcW w:w="1381" w:type="dxa"/>
          </w:tcPr>
          <w:p>
            <w:pPr>
              <w:jc w:val="center"/>
              <w:rPr>
                <w:rFonts w:ascii="Arial" w:hAnsi="Arial" w:cs="Arial"/>
                <w:sz w:val="16"/>
                <w:szCs w:val="24"/>
              </w:rPr>
            </w:pPr>
            <w:r>
              <w:rPr>
                <w:rFonts w:ascii="Arial" w:hAnsi="Arial" w:cs="Arial"/>
                <w:sz w:val="16"/>
                <w:szCs w:val="24"/>
              </w:rPr>
              <w:t>Not Significant</w:t>
            </w:r>
          </w:p>
        </w:tc>
      </w:tr>
      <w:tr>
        <w:trPr>
          <w:trHeight w:val="474"/>
        </w:trPr>
        <w:tc>
          <w:tcPr>
            <w:tcW w:w="2545" w:type="dxa"/>
            <w:vMerge/>
            <w:tcBorders>
              <w:bottom w:val="single" w:sz="4" w:space="0" w:color="auto"/>
            </w:tcBorders>
          </w:tcPr>
          <w:p>
            <w:pPr>
              <w:pStyle w:val="NoSpacing"/>
              <w:rPr>
                <w:rFonts w:ascii="Arial" w:hAnsi="Arial" w:cs="Arial"/>
                <w:sz w:val="16"/>
                <w:szCs w:val="24"/>
              </w:rPr>
            </w:pPr>
          </w:p>
        </w:tc>
        <w:tc>
          <w:tcPr>
            <w:tcW w:w="2585" w:type="dxa"/>
            <w:tcBorders>
              <w:bottom w:val="single" w:sz="4" w:space="0" w:color="auto"/>
            </w:tcBorders>
          </w:tcPr>
          <w:p>
            <w:pPr>
              <w:pStyle w:val="NoSpacing"/>
              <w:rPr>
                <w:rFonts w:ascii="Arial" w:hAnsi="Arial" w:cs="Arial"/>
                <w:sz w:val="16"/>
                <w:szCs w:val="24"/>
              </w:rPr>
            </w:pPr>
            <w:r>
              <w:rPr>
                <w:rFonts w:ascii="Arial" w:hAnsi="Arial" w:cs="Arial"/>
                <w:sz w:val="16"/>
                <w:szCs w:val="24"/>
              </w:rPr>
              <w:t>Reflective / Metacognitive Engagement</w:t>
            </w:r>
          </w:p>
        </w:tc>
        <w:tc>
          <w:tcPr>
            <w:tcW w:w="1233" w:type="dxa"/>
            <w:tcBorders>
              <w:bottom w:val="single" w:sz="4" w:space="0" w:color="auto"/>
            </w:tcBorders>
            <w:vAlign w:val="center"/>
          </w:tcPr>
          <w:p>
            <w:pPr>
              <w:jc w:val="center"/>
              <w:rPr>
                <w:rFonts w:ascii="Arial" w:hAnsi="Arial" w:cs="Arial"/>
                <w:sz w:val="16"/>
                <w:szCs w:val="24"/>
              </w:rPr>
            </w:pPr>
            <w:r>
              <w:rPr>
                <w:rFonts w:ascii="Arial" w:hAnsi="Arial" w:cs="Arial"/>
                <w:sz w:val="16"/>
                <w:szCs w:val="24"/>
              </w:rPr>
              <w:t>-0.238</w:t>
            </w:r>
          </w:p>
        </w:tc>
        <w:tc>
          <w:tcPr>
            <w:tcW w:w="844" w:type="dxa"/>
            <w:tcBorders>
              <w:bottom w:val="single" w:sz="4" w:space="0" w:color="auto"/>
            </w:tcBorders>
            <w:vAlign w:val="center"/>
          </w:tcPr>
          <w:p>
            <w:pPr>
              <w:jc w:val="center"/>
              <w:rPr>
                <w:rFonts w:ascii="Arial" w:hAnsi="Arial" w:cs="Arial"/>
                <w:sz w:val="16"/>
                <w:szCs w:val="24"/>
              </w:rPr>
            </w:pPr>
            <w:r>
              <w:rPr>
                <w:rFonts w:ascii="Arial" w:hAnsi="Arial" w:cs="Arial"/>
                <w:sz w:val="16"/>
                <w:szCs w:val="24"/>
              </w:rPr>
              <w:t>.206</w:t>
            </w:r>
          </w:p>
        </w:tc>
        <w:tc>
          <w:tcPr>
            <w:tcW w:w="1381" w:type="dxa"/>
            <w:tcBorders>
              <w:bottom w:val="single" w:sz="4" w:space="0" w:color="auto"/>
            </w:tcBorders>
          </w:tcPr>
          <w:p>
            <w:pPr>
              <w:jc w:val="center"/>
              <w:rPr>
                <w:rFonts w:ascii="Arial" w:hAnsi="Arial" w:cs="Arial"/>
                <w:sz w:val="16"/>
                <w:szCs w:val="24"/>
              </w:rPr>
            </w:pPr>
            <w:r>
              <w:rPr>
                <w:rFonts w:ascii="Arial" w:hAnsi="Arial" w:cs="Arial"/>
                <w:sz w:val="16"/>
                <w:szCs w:val="24"/>
              </w:rPr>
              <w:t>Not Significant</w:t>
            </w:r>
          </w:p>
        </w:tc>
      </w:tr>
    </w:tbl>
    <w:p>
      <w:pPr>
        <w:spacing w:line="480" w:lineRule="auto"/>
        <w:jc w:val="both"/>
        <w:rPr>
          <w:rFonts w:ascii="Arial" w:hAnsi="Arial" w:cs="Arial"/>
        </w:rPr>
      </w:pPr>
      <w:r>
        <w:rPr>
          <w:rFonts w:ascii="Arial" w:hAnsi="Arial" w:cs="Arial"/>
        </w:rPr>
        <w:lastRenderedPageBreak/>
        <w:tab/>
        <w:t>The selected technology integration practices were significantly associated with specific dimensions of learners’ technology-supported engagement. Active knowledge-building facilitation was significantly related to passive and interactive engagement, activation and linking of prior knowledge was significantly associated with creative engagement, inquiry and problem-solving support was significantly related to both interactive and creative engagement, while technology-mediated dialogue and collaboration was significantly associated with collaborative engagement. Therefore, the null hypothesis was rejected for the variables that demonstrated significant relationships and accepted for those found to be non-significant.</w:t>
      </w:r>
    </w:p>
    <w:p>
      <w:pPr>
        <w:spacing w:line="480" w:lineRule="auto"/>
        <w:jc w:val="both"/>
        <w:rPr>
          <w:rFonts w:ascii="Arial" w:hAnsi="Arial" w:cs="Arial"/>
        </w:rPr>
      </w:pPr>
      <w:r>
        <w:rPr>
          <w:rFonts w:ascii="Arial" w:hAnsi="Arial" w:cs="Arial"/>
        </w:rPr>
        <w:tab/>
        <w:t xml:space="preserve">The different technology integration practices contribute to different forms of learner engagement. Instructional practices that emphasize knowledge construction, activation of prior knowledge, inquiry, problem-solving, and interaction appear to encourage greater learner participation and involvement in English learning activities. Technology-supported instructional processes generally contribute to learner participation; however, not all practices influence engagement in the same manner. </w:t>
      </w:r>
    </w:p>
    <w:p>
      <w:pPr>
        <w:spacing w:line="480" w:lineRule="auto"/>
        <w:jc w:val="both"/>
        <w:rPr>
          <w:rFonts w:ascii="Arial" w:hAnsi="Arial" w:cs="Arial"/>
        </w:rPr>
      </w:pPr>
      <w:r>
        <w:rPr>
          <w:rFonts w:ascii="Arial" w:hAnsi="Arial" w:cs="Arial"/>
        </w:rPr>
        <w:tab/>
        <w:t xml:space="preserve">The Interactionist Theory emphasizes the importance of meaningful participation, interaction, and engagement in language learning. Technology contributes most effectively to learner engagement when it is purposefully </w:t>
      </w:r>
      <w:r>
        <w:rPr>
          <w:rFonts w:ascii="Arial" w:hAnsi="Arial" w:cs="Arial"/>
        </w:rPr>
        <w:lastRenderedPageBreak/>
        <w:t xml:space="preserve">integrated into instructional practices that encourage learners to actively construct knowledge and participate in meaningful learning experiences. </w:t>
      </w:r>
    </w:p>
    <w:p>
      <w:pPr>
        <w:spacing w:line="480" w:lineRule="auto"/>
        <w:rPr>
          <w:rFonts w:ascii="Arial" w:hAnsi="Arial" w:cs="Arial"/>
        </w:rPr>
      </w:pPr>
      <w:r>
        <w:rPr>
          <w:rFonts w:ascii="Arial" w:eastAsia="Times New Roman" w:hAnsi="Arial" w:cs="Arial"/>
          <w:b/>
        </w:rPr>
        <w:t>Predictors of Teachers’ RAT-Level Technology Use in English Instruction</w:t>
      </w:r>
    </w:p>
    <w:p>
      <w:pPr>
        <w:spacing w:before="120" w:line="480" w:lineRule="auto"/>
        <w:rPr>
          <w:rFonts w:ascii="Arial" w:hAnsi="Arial" w:cs="Arial"/>
        </w:rPr>
      </w:pPr>
      <w:r>
        <w:rPr>
          <w:rFonts w:ascii="Arial" w:hAnsi="Arial" w:cs="Arial"/>
        </w:rPr>
        <w:tab/>
        <w:t>Table 9 presents the model summary of the multiple linear regression analysis, while Table 10 presents the regression coefficients for the predictors of RAT-level technology use.</w:t>
      </w:r>
    </w:p>
    <w:p>
      <w:pPr>
        <w:spacing w:before="120" w:line="480" w:lineRule="auto"/>
        <w:rPr>
          <w:rFonts w:ascii="Arial" w:hAnsi="Arial" w:cs="Arial"/>
          <w:i/>
        </w:rPr>
      </w:pPr>
      <w:r>
        <w:rPr>
          <w:rFonts w:ascii="Arial" w:eastAsia="Times New Roman" w:hAnsi="Arial" w:cs="Arial"/>
          <w:b/>
        </w:rPr>
        <w:t>Table 9.</w:t>
      </w:r>
      <w:r>
        <w:rPr>
          <w:rFonts w:ascii="Arial" w:eastAsia="Times New Roman" w:hAnsi="Arial" w:cs="Arial"/>
          <w:b/>
          <w:i/>
        </w:rPr>
        <w:t xml:space="preserve"> </w:t>
      </w:r>
      <w:r>
        <w:rPr>
          <w:rFonts w:ascii="Arial" w:eastAsia="Times New Roman" w:hAnsi="Arial" w:cs="Arial"/>
          <w:i/>
        </w:rPr>
        <w:t>Model Summary for Predictors of RAT-Level Technology Use</w:t>
      </w:r>
    </w:p>
    <w:tbl>
      <w:tblPr>
        <w:tblW w:w="0" w:type="auto"/>
        <w:tblLook w:val="04A0" w:firstRow="1" w:lastRow="0" w:firstColumn="1" w:lastColumn="0" w:noHBand="0" w:noVBand="1"/>
      </w:tblPr>
      <w:tblGrid>
        <w:gridCol w:w="4330"/>
        <w:gridCol w:w="4310"/>
      </w:tblGrid>
      <w:tr>
        <w:tc>
          <w:tcPr>
            <w:tcW w:w="4680" w:type="dxa"/>
            <w:tcBorders>
              <w:top w:val="single" w:sz="4" w:space="0" w:color="auto"/>
              <w:bottom w:val="single" w:sz="4" w:space="0" w:color="auto"/>
            </w:tcBorders>
          </w:tcPr>
          <w:p>
            <w:pPr>
              <w:spacing w:line="240" w:lineRule="auto"/>
              <w:jc w:val="center"/>
              <w:rPr>
                <w:rFonts w:ascii="Arial" w:hAnsi="Arial" w:cs="Arial"/>
                <w:b/>
              </w:rPr>
            </w:pPr>
            <w:r>
              <w:rPr>
                <w:rFonts w:ascii="Arial" w:hAnsi="Arial" w:cs="Arial"/>
                <w:b/>
              </w:rPr>
              <w:t>Statistic</w:t>
            </w:r>
          </w:p>
        </w:tc>
        <w:tc>
          <w:tcPr>
            <w:tcW w:w="4680" w:type="dxa"/>
            <w:tcBorders>
              <w:top w:val="single" w:sz="4" w:space="0" w:color="auto"/>
              <w:bottom w:val="single" w:sz="4" w:space="0" w:color="auto"/>
            </w:tcBorders>
          </w:tcPr>
          <w:p>
            <w:pPr>
              <w:spacing w:line="240" w:lineRule="auto"/>
              <w:jc w:val="center"/>
              <w:rPr>
                <w:rFonts w:ascii="Arial" w:hAnsi="Arial" w:cs="Arial"/>
                <w:b/>
              </w:rPr>
            </w:pPr>
            <w:r>
              <w:rPr>
                <w:rFonts w:ascii="Arial" w:hAnsi="Arial" w:cs="Arial"/>
                <w:b/>
              </w:rPr>
              <w:t>Value</w:t>
            </w:r>
          </w:p>
        </w:tc>
      </w:tr>
      <w:tr>
        <w:tc>
          <w:tcPr>
            <w:tcW w:w="4680" w:type="dxa"/>
            <w:tcBorders>
              <w:top w:val="single" w:sz="4" w:space="0" w:color="auto"/>
            </w:tcBorders>
          </w:tcPr>
          <w:p>
            <w:pPr>
              <w:spacing w:line="240" w:lineRule="auto"/>
              <w:rPr>
                <w:rFonts w:ascii="Arial" w:hAnsi="Arial" w:cs="Arial"/>
              </w:rPr>
            </w:pPr>
            <w:r>
              <w:rPr>
                <w:rFonts w:ascii="Arial" w:hAnsi="Arial" w:cs="Arial"/>
              </w:rPr>
              <w:t>R</w:t>
            </w:r>
          </w:p>
        </w:tc>
        <w:tc>
          <w:tcPr>
            <w:tcW w:w="4680" w:type="dxa"/>
            <w:tcBorders>
              <w:top w:val="single" w:sz="4" w:space="0" w:color="auto"/>
            </w:tcBorders>
          </w:tcPr>
          <w:p>
            <w:pPr>
              <w:spacing w:line="240" w:lineRule="auto"/>
              <w:jc w:val="center"/>
              <w:rPr>
                <w:rFonts w:ascii="Arial" w:hAnsi="Arial" w:cs="Arial"/>
              </w:rPr>
            </w:pPr>
            <w:r>
              <w:rPr>
                <w:rFonts w:ascii="Arial" w:hAnsi="Arial" w:cs="Arial"/>
              </w:rPr>
              <w:t>.930</w:t>
            </w:r>
          </w:p>
        </w:tc>
      </w:tr>
      <w:tr>
        <w:tc>
          <w:tcPr>
            <w:tcW w:w="4680" w:type="dxa"/>
          </w:tcPr>
          <w:p>
            <w:pPr>
              <w:spacing w:line="240" w:lineRule="auto"/>
              <w:rPr>
                <w:rFonts w:ascii="Arial" w:hAnsi="Arial" w:cs="Arial"/>
              </w:rPr>
            </w:pPr>
            <w:r>
              <w:rPr>
                <w:rFonts w:ascii="Arial" w:hAnsi="Arial" w:cs="Arial"/>
              </w:rPr>
              <w:t>R Square</w:t>
            </w:r>
          </w:p>
        </w:tc>
        <w:tc>
          <w:tcPr>
            <w:tcW w:w="4680" w:type="dxa"/>
          </w:tcPr>
          <w:p>
            <w:pPr>
              <w:spacing w:line="240" w:lineRule="auto"/>
              <w:jc w:val="center"/>
              <w:rPr>
                <w:rFonts w:ascii="Arial" w:hAnsi="Arial" w:cs="Arial"/>
              </w:rPr>
            </w:pPr>
            <w:r>
              <w:rPr>
                <w:rFonts w:ascii="Arial" w:hAnsi="Arial" w:cs="Arial"/>
              </w:rPr>
              <w:t>.865</w:t>
            </w:r>
          </w:p>
        </w:tc>
      </w:tr>
      <w:tr>
        <w:tc>
          <w:tcPr>
            <w:tcW w:w="4680" w:type="dxa"/>
          </w:tcPr>
          <w:p>
            <w:pPr>
              <w:spacing w:line="240" w:lineRule="auto"/>
              <w:rPr>
                <w:rFonts w:ascii="Arial" w:hAnsi="Arial" w:cs="Arial"/>
              </w:rPr>
            </w:pPr>
            <w:r>
              <w:rPr>
                <w:rFonts w:ascii="Arial" w:hAnsi="Arial" w:cs="Arial"/>
              </w:rPr>
              <w:t>Adjusted R Square</w:t>
            </w:r>
          </w:p>
        </w:tc>
        <w:tc>
          <w:tcPr>
            <w:tcW w:w="4680" w:type="dxa"/>
          </w:tcPr>
          <w:p>
            <w:pPr>
              <w:spacing w:line="240" w:lineRule="auto"/>
              <w:jc w:val="center"/>
              <w:rPr>
                <w:rFonts w:ascii="Arial" w:hAnsi="Arial" w:cs="Arial"/>
              </w:rPr>
            </w:pPr>
            <w:r>
              <w:rPr>
                <w:rFonts w:ascii="Arial" w:hAnsi="Arial" w:cs="Arial"/>
              </w:rPr>
              <w:t>.849</w:t>
            </w:r>
          </w:p>
        </w:tc>
      </w:tr>
      <w:tr>
        <w:tc>
          <w:tcPr>
            <w:tcW w:w="4680" w:type="dxa"/>
          </w:tcPr>
          <w:p>
            <w:pPr>
              <w:spacing w:line="240" w:lineRule="auto"/>
              <w:rPr>
                <w:rFonts w:ascii="Arial" w:hAnsi="Arial" w:cs="Arial"/>
              </w:rPr>
            </w:pPr>
            <w:r>
              <w:rPr>
                <w:rFonts w:ascii="Arial" w:hAnsi="Arial" w:cs="Arial"/>
              </w:rPr>
              <w:t>F-value</w:t>
            </w:r>
          </w:p>
        </w:tc>
        <w:tc>
          <w:tcPr>
            <w:tcW w:w="4680" w:type="dxa"/>
          </w:tcPr>
          <w:p>
            <w:pPr>
              <w:spacing w:line="240" w:lineRule="auto"/>
              <w:jc w:val="center"/>
              <w:rPr>
                <w:rFonts w:ascii="Arial" w:hAnsi="Arial" w:cs="Arial"/>
              </w:rPr>
            </w:pPr>
            <w:r>
              <w:rPr>
                <w:rFonts w:ascii="Arial" w:hAnsi="Arial" w:cs="Arial"/>
              </w:rPr>
              <w:t>55.465</w:t>
            </w:r>
          </w:p>
        </w:tc>
      </w:tr>
      <w:tr>
        <w:tc>
          <w:tcPr>
            <w:tcW w:w="4680" w:type="dxa"/>
            <w:tcBorders>
              <w:bottom w:val="single" w:sz="4" w:space="0" w:color="auto"/>
            </w:tcBorders>
          </w:tcPr>
          <w:p>
            <w:pPr>
              <w:spacing w:line="240" w:lineRule="auto"/>
              <w:rPr>
                <w:rFonts w:ascii="Arial" w:hAnsi="Arial" w:cs="Arial"/>
              </w:rPr>
            </w:pPr>
            <w:r>
              <w:rPr>
                <w:rFonts w:ascii="Arial" w:hAnsi="Arial" w:cs="Arial"/>
              </w:rPr>
              <w:t>Sig. F Change</w:t>
            </w:r>
          </w:p>
        </w:tc>
        <w:tc>
          <w:tcPr>
            <w:tcW w:w="4680" w:type="dxa"/>
            <w:tcBorders>
              <w:bottom w:val="single" w:sz="4" w:space="0" w:color="auto"/>
            </w:tcBorders>
          </w:tcPr>
          <w:p>
            <w:pPr>
              <w:spacing w:line="240" w:lineRule="auto"/>
              <w:jc w:val="center"/>
              <w:rPr>
                <w:rFonts w:ascii="Arial" w:hAnsi="Arial" w:cs="Arial"/>
              </w:rPr>
            </w:pPr>
            <w:r>
              <w:rPr>
                <w:rFonts w:ascii="Arial" w:hAnsi="Arial" w:cs="Arial"/>
              </w:rPr>
              <w:t>.000</w:t>
            </w:r>
          </w:p>
        </w:tc>
      </w:tr>
    </w:tbl>
    <w:p>
      <w:pPr>
        <w:spacing w:before="120" w:line="240" w:lineRule="auto"/>
        <w:rPr>
          <w:rFonts w:ascii="Arial" w:hAnsi="Arial" w:cs="Arial"/>
        </w:rPr>
      </w:pPr>
    </w:p>
    <w:p>
      <w:pPr>
        <w:spacing w:before="120" w:line="240" w:lineRule="auto"/>
        <w:rPr>
          <w:rFonts w:ascii="Arial" w:hAnsi="Arial" w:cs="Arial"/>
          <w:i/>
        </w:rPr>
      </w:pPr>
      <w:r>
        <w:rPr>
          <w:rFonts w:ascii="Arial" w:eastAsia="Times New Roman" w:hAnsi="Arial" w:cs="Arial"/>
          <w:b/>
        </w:rPr>
        <w:t>Table 10.</w:t>
      </w:r>
      <w:r>
        <w:rPr>
          <w:rFonts w:ascii="Arial" w:eastAsia="Times New Roman" w:hAnsi="Arial" w:cs="Arial"/>
          <w:b/>
          <w:i/>
        </w:rPr>
        <w:t xml:space="preserve"> </w:t>
      </w:r>
      <w:r>
        <w:rPr>
          <w:rFonts w:ascii="Arial" w:eastAsia="Times New Roman" w:hAnsi="Arial" w:cs="Arial"/>
          <w:i/>
        </w:rPr>
        <w:t>Regression Coefficients for Predictors of RAT-Level Technology Use</w:t>
      </w:r>
    </w:p>
    <w:tbl>
      <w:tblPr>
        <w:tblW w:w="0" w:type="auto"/>
        <w:tblLook w:val="04A0" w:firstRow="1" w:lastRow="0" w:firstColumn="1" w:lastColumn="0" w:noHBand="0" w:noVBand="1"/>
      </w:tblPr>
      <w:tblGrid>
        <w:gridCol w:w="1578"/>
        <w:gridCol w:w="1311"/>
        <w:gridCol w:w="1327"/>
        <w:gridCol w:w="1349"/>
        <w:gridCol w:w="1312"/>
        <w:gridCol w:w="1763"/>
      </w:tblGrid>
      <w:tr>
        <w:tc>
          <w:tcPr>
            <w:tcW w:w="1578" w:type="dxa"/>
            <w:tcBorders>
              <w:top w:val="single" w:sz="4" w:space="0" w:color="auto"/>
              <w:bottom w:val="single" w:sz="4" w:space="0" w:color="auto"/>
            </w:tcBorders>
          </w:tcPr>
          <w:p>
            <w:pPr>
              <w:spacing w:line="240" w:lineRule="auto"/>
              <w:jc w:val="center"/>
              <w:rPr>
                <w:rFonts w:ascii="Arial" w:hAnsi="Arial" w:cs="Arial"/>
                <w:b/>
              </w:rPr>
            </w:pPr>
            <w:r>
              <w:rPr>
                <w:rFonts w:ascii="Arial" w:hAnsi="Arial" w:cs="Arial"/>
                <w:b/>
              </w:rPr>
              <w:t>Predictor</w:t>
            </w:r>
          </w:p>
        </w:tc>
        <w:tc>
          <w:tcPr>
            <w:tcW w:w="1311" w:type="dxa"/>
            <w:tcBorders>
              <w:top w:val="single" w:sz="4" w:space="0" w:color="auto"/>
              <w:bottom w:val="single" w:sz="4" w:space="0" w:color="auto"/>
            </w:tcBorders>
          </w:tcPr>
          <w:p>
            <w:pPr>
              <w:spacing w:line="240" w:lineRule="auto"/>
              <w:jc w:val="center"/>
              <w:rPr>
                <w:rFonts w:ascii="Arial" w:hAnsi="Arial" w:cs="Arial"/>
                <w:b/>
              </w:rPr>
            </w:pPr>
            <w:r>
              <w:rPr>
                <w:rFonts w:ascii="Arial" w:hAnsi="Arial" w:cs="Arial"/>
                <w:b/>
              </w:rPr>
              <w:t>B</w:t>
            </w:r>
          </w:p>
        </w:tc>
        <w:tc>
          <w:tcPr>
            <w:tcW w:w="1327" w:type="dxa"/>
            <w:tcBorders>
              <w:top w:val="single" w:sz="4" w:space="0" w:color="auto"/>
              <w:bottom w:val="single" w:sz="4" w:space="0" w:color="auto"/>
            </w:tcBorders>
          </w:tcPr>
          <w:p>
            <w:pPr>
              <w:spacing w:line="240" w:lineRule="auto"/>
              <w:jc w:val="center"/>
              <w:rPr>
                <w:rFonts w:ascii="Arial" w:hAnsi="Arial" w:cs="Arial"/>
                <w:b/>
              </w:rPr>
            </w:pPr>
            <w:r>
              <w:rPr>
                <w:rFonts w:ascii="Arial" w:hAnsi="Arial" w:cs="Arial"/>
                <w:b/>
              </w:rPr>
              <w:t>Beta</w:t>
            </w:r>
          </w:p>
        </w:tc>
        <w:tc>
          <w:tcPr>
            <w:tcW w:w="1349" w:type="dxa"/>
            <w:tcBorders>
              <w:top w:val="single" w:sz="4" w:space="0" w:color="auto"/>
              <w:bottom w:val="single" w:sz="4" w:space="0" w:color="auto"/>
            </w:tcBorders>
          </w:tcPr>
          <w:p>
            <w:pPr>
              <w:spacing w:line="240" w:lineRule="auto"/>
              <w:jc w:val="center"/>
              <w:rPr>
                <w:rFonts w:ascii="Arial" w:hAnsi="Arial" w:cs="Arial"/>
                <w:b/>
              </w:rPr>
            </w:pPr>
            <w:r>
              <w:rPr>
                <w:rFonts w:ascii="Arial" w:hAnsi="Arial" w:cs="Arial"/>
                <w:b/>
              </w:rPr>
              <w:t>T</w:t>
            </w:r>
          </w:p>
        </w:tc>
        <w:tc>
          <w:tcPr>
            <w:tcW w:w="1312" w:type="dxa"/>
            <w:tcBorders>
              <w:top w:val="single" w:sz="4" w:space="0" w:color="auto"/>
              <w:bottom w:val="single" w:sz="4" w:space="0" w:color="auto"/>
            </w:tcBorders>
          </w:tcPr>
          <w:p>
            <w:pPr>
              <w:spacing w:line="240" w:lineRule="auto"/>
              <w:jc w:val="center"/>
              <w:rPr>
                <w:rFonts w:ascii="Arial" w:hAnsi="Arial" w:cs="Arial"/>
                <w:b/>
              </w:rPr>
            </w:pPr>
            <w:r>
              <w:rPr>
                <w:rFonts w:ascii="Arial" w:hAnsi="Arial" w:cs="Arial"/>
                <w:b/>
              </w:rPr>
              <w:t>Sig.</w:t>
            </w:r>
          </w:p>
        </w:tc>
        <w:tc>
          <w:tcPr>
            <w:tcW w:w="1763" w:type="dxa"/>
            <w:tcBorders>
              <w:top w:val="single" w:sz="4" w:space="0" w:color="auto"/>
              <w:bottom w:val="single" w:sz="4" w:space="0" w:color="auto"/>
            </w:tcBorders>
          </w:tcPr>
          <w:p>
            <w:pPr>
              <w:spacing w:line="240" w:lineRule="auto"/>
              <w:jc w:val="center"/>
              <w:rPr>
                <w:rFonts w:ascii="Arial" w:hAnsi="Arial" w:cs="Arial"/>
                <w:b/>
              </w:rPr>
            </w:pPr>
            <w:r>
              <w:rPr>
                <w:rFonts w:ascii="Arial" w:hAnsi="Arial" w:cs="Arial"/>
                <w:b/>
              </w:rPr>
              <w:t>Interpretation</w:t>
            </w:r>
          </w:p>
        </w:tc>
      </w:tr>
      <w:tr>
        <w:tc>
          <w:tcPr>
            <w:tcW w:w="1578" w:type="dxa"/>
            <w:tcBorders>
              <w:top w:val="single" w:sz="4" w:space="0" w:color="auto"/>
            </w:tcBorders>
          </w:tcPr>
          <w:p>
            <w:pPr>
              <w:spacing w:line="240" w:lineRule="auto"/>
              <w:rPr>
                <w:rFonts w:ascii="Arial" w:hAnsi="Arial" w:cs="Arial"/>
              </w:rPr>
            </w:pPr>
            <w:r>
              <w:rPr>
                <w:rFonts w:ascii="Arial" w:hAnsi="Arial" w:cs="Arial"/>
              </w:rPr>
              <w:t>Competence</w:t>
            </w:r>
          </w:p>
        </w:tc>
        <w:tc>
          <w:tcPr>
            <w:tcW w:w="1311" w:type="dxa"/>
            <w:tcBorders>
              <w:top w:val="single" w:sz="4" w:space="0" w:color="auto"/>
            </w:tcBorders>
          </w:tcPr>
          <w:p>
            <w:pPr>
              <w:spacing w:line="240" w:lineRule="auto"/>
              <w:rPr>
                <w:rFonts w:ascii="Arial" w:hAnsi="Arial" w:cs="Arial"/>
              </w:rPr>
            </w:pPr>
            <w:r>
              <w:rPr>
                <w:rFonts w:ascii="Arial" w:hAnsi="Arial" w:cs="Arial"/>
              </w:rPr>
              <w:t>.588</w:t>
            </w:r>
          </w:p>
        </w:tc>
        <w:tc>
          <w:tcPr>
            <w:tcW w:w="1327" w:type="dxa"/>
            <w:tcBorders>
              <w:top w:val="single" w:sz="4" w:space="0" w:color="auto"/>
            </w:tcBorders>
          </w:tcPr>
          <w:p>
            <w:pPr>
              <w:spacing w:line="240" w:lineRule="auto"/>
              <w:rPr>
                <w:rFonts w:ascii="Arial" w:hAnsi="Arial" w:cs="Arial"/>
              </w:rPr>
            </w:pPr>
            <w:r>
              <w:rPr>
                <w:rFonts w:ascii="Arial" w:hAnsi="Arial" w:cs="Arial"/>
              </w:rPr>
              <w:t>.492</w:t>
            </w:r>
          </w:p>
        </w:tc>
        <w:tc>
          <w:tcPr>
            <w:tcW w:w="1349" w:type="dxa"/>
            <w:tcBorders>
              <w:top w:val="single" w:sz="4" w:space="0" w:color="auto"/>
            </w:tcBorders>
          </w:tcPr>
          <w:p>
            <w:pPr>
              <w:spacing w:line="240" w:lineRule="auto"/>
              <w:rPr>
                <w:rFonts w:ascii="Arial" w:hAnsi="Arial" w:cs="Arial"/>
              </w:rPr>
            </w:pPr>
            <w:r>
              <w:rPr>
                <w:rFonts w:ascii="Arial" w:hAnsi="Arial" w:cs="Arial"/>
              </w:rPr>
              <w:t>3.491</w:t>
            </w:r>
          </w:p>
        </w:tc>
        <w:tc>
          <w:tcPr>
            <w:tcW w:w="1312" w:type="dxa"/>
            <w:tcBorders>
              <w:top w:val="single" w:sz="4" w:space="0" w:color="auto"/>
            </w:tcBorders>
          </w:tcPr>
          <w:p>
            <w:pPr>
              <w:spacing w:line="240" w:lineRule="auto"/>
              <w:rPr>
                <w:rFonts w:ascii="Arial" w:hAnsi="Arial" w:cs="Arial"/>
              </w:rPr>
            </w:pPr>
            <w:r>
              <w:rPr>
                <w:rFonts w:ascii="Arial" w:hAnsi="Arial" w:cs="Arial"/>
              </w:rPr>
              <w:t>.002</w:t>
            </w:r>
          </w:p>
        </w:tc>
        <w:tc>
          <w:tcPr>
            <w:tcW w:w="1763" w:type="dxa"/>
            <w:tcBorders>
              <w:top w:val="single" w:sz="4" w:space="0" w:color="auto"/>
            </w:tcBorders>
          </w:tcPr>
          <w:p>
            <w:pPr>
              <w:spacing w:line="240" w:lineRule="auto"/>
              <w:rPr>
                <w:rFonts w:ascii="Arial" w:hAnsi="Arial" w:cs="Arial"/>
              </w:rPr>
            </w:pPr>
            <w:r>
              <w:rPr>
                <w:rFonts w:ascii="Arial" w:hAnsi="Arial" w:cs="Arial"/>
              </w:rPr>
              <w:t>Significant Predictor</w:t>
            </w:r>
          </w:p>
        </w:tc>
      </w:tr>
      <w:tr>
        <w:tc>
          <w:tcPr>
            <w:tcW w:w="1578" w:type="dxa"/>
          </w:tcPr>
          <w:p>
            <w:pPr>
              <w:spacing w:line="240" w:lineRule="auto"/>
              <w:rPr>
                <w:rFonts w:ascii="Arial" w:hAnsi="Arial" w:cs="Arial"/>
              </w:rPr>
            </w:pPr>
            <w:r>
              <w:rPr>
                <w:rFonts w:ascii="Arial" w:hAnsi="Arial" w:cs="Arial"/>
              </w:rPr>
              <w:t>Engagement</w:t>
            </w:r>
          </w:p>
        </w:tc>
        <w:tc>
          <w:tcPr>
            <w:tcW w:w="1311" w:type="dxa"/>
          </w:tcPr>
          <w:p>
            <w:pPr>
              <w:spacing w:line="240" w:lineRule="auto"/>
              <w:rPr>
                <w:rFonts w:ascii="Arial" w:hAnsi="Arial" w:cs="Arial"/>
              </w:rPr>
            </w:pPr>
            <w:r>
              <w:rPr>
                <w:rFonts w:ascii="Arial" w:hAnsi="Arial" w:cs="Arial"/>
              </w:rPr>
              <w:t>.536</w:t>
            </w:r>
          </w:p>
        </w:tc>
        <w:tc>
          <w:tcPr>
            <w:tcW w:w="1327" w:type="dxa"/>
          </w:tcPr>
          <w:p>
            <w:pPr>
              <w:spacing w:line="240" w:lineRule="auto"/>
              <w:rPr>
                <w:rFonts w:ascii="Arial" w:hAnsi="Arial" w:cs="Arial"/>
              </w:rPr>
            </w:pPr>
            <w:r>
              <w:rPr>
                <w:rFonts w:ascii="Arial" w:hAnsi="Arial" w:cs="Arial"/>
              </w:rPr>
              <w:t>.470</w:t>
            </w:r>
          </w:p>
        </w:tc>
        <w:tc>
          <w:tcPr>
            <w:tcW w:w="1349" w:type="dxa"/>
          </w:tcPr>
          <w:p>
            <w:pPr>
              <w:spacing w:line="240" w:lineRule="auto"/>
              <w:rPr>
                <w:rFonts w:ascii="Arial" w:hAnsi="Arial" w:cs="Arial"/>
              </w:rPr>
            </w:pPr>
            <w:r>
              <w:rPr>
                <w:rFonts w:ascii="Arial" w:hAnsi="Arial" w:cs="Arial"/>
              </w:rPr>
              <w:t>3.337</w:t>
            </w:r>
          </w:p>
        </w:tc>
        <w:tc>
          <w:tcPr>
            <w:tcW w:w="1312" w:type="dxa"/>
          </w:tcPr>
          <w:p>
            <w:pPr>
              <w:spacing w:line="240" w:lineRule="auto"/>
              <w:rPr>
                <w:rFonts w:ascii="Arial" w:hAnsi="Arial" w:cs="Arial"/>
              </w:rPr>
            </w:pPr>
            <w:r>
              <w:rPr>
                <w:rFonts w:ascii="Arial" w:hAnsi="Arial" w:cs="Arial"/>
              </w:rPr>
              <w:t>.003</w:t>
            </w:r>
          </w:p>
        </w:tc>
        <w:tc>
          <w:tcPr>
            <w:tcW w:w="1763" w:type="dxa"/>
          </w:tcPr>
          <w:p>
            <w:pPr>
              <w:spacing w:line="240" w:lineRule="auto"/>
              <w:rPr>
                <w:rFonts w:ascii="Arial" w:hAnsi="Arial" w:cs="Arial"/>
              </w:rPr>
            </w:pPr>
            <w:r>
              <w:rPr>
                <w:rFonts w:ascii="Arial" w:hAnsi="Arial" w:cs="Arial"/>
              </w:rPr>
              <w:t>Significant Predictor</w:t>
            </w:r>
          </w:p>
        </w:tc>
      </w:tr>
      <w:tr>
        <w:tc>
          <w:tcPr>
            <w:tcW w:w="1578" w:type="dxa"/>
            <w:tcBorders>
              <w:bottom w:val="single" w:sz="4" w:space="0" w:color="auto"/>
            </w:tcBorders>
          </w:tcPr>
          <w:p>
            <w:pPr>
              <w:spacing w:line="240" w:lineRule="auto"/>
              <w:rPr>
                <w:rFonts w:ascii="Arial" w:hAnsi="Arial" w:cs="Arial"/>
              </w:rPr>
            </w:pPr>
            <w:r>
              <w:rPr>
                <w:rFonts w:ascii="Arial" w:hAnsi="Arial" w:cs="Arial"/>
              </w:rPr>
              <w:t>Practices</w:t>
            </w:r>
          </w:p>
        </w:tc>
        <w:tc>
          <w:tcPr>
            <w:tcW w:w="1311" w:type="dxa"/>
            <w:tcBorders>
              <w:bottom w:val="single" w:sz="4" w:space="0" w:color="auto"/>
            </w:tcBorders>
          </w:tcPr>
          <w:p>
            <w:pPr>
              <w:spacing w:line="240" w:lineRule="auto"/>
              <w:rPr>
                <w:rFonts w:ascii="Arial" w:hAnsi="Arial" w:cs="Arial"/>
              </w:rPr>
            </w:pPr>
            <w:r>
              <w:rPr>
                <w:rFonts w:ascii="Arial" w:hAnsi="Arial" w:cs="Arial"/>
              </w:rPr>
              <w:t>.560</w:t>
            </w:r>
          </w:p>
        </w:tc>
        <w:tc>
          <w:tcPr>
            <w:tcW w:w="1327" w:type="dxa"/>
            <w:tcBorders>
              <w:bottom w:val="single" w:sz="4" w:space="0" w:color="auto"/>
            </w:tcBorders>
          </w:tcPr>
          <w:p>
            <w:pPr>
              <w:spacing w:line="240" w:lineRule="auto"/>
              <w:rPr>
                <w:rFonts w:ascii="Arial" w:hAnsi="Arial" w:cs="Arial"/>
              </w:rPr>
            </w:pPr>
            <w:r>
              <w:rPr>
                <w:rFonts w:ascii="Arial" w:hAnsi="Arial" w:cs="Arial"/>
              </w:rPr>
              <w:t>.114</w:t>
            </w:r>
          </w:p>
        </w:tc>
        <w:tc>
          <w:tcPr>
            <w:tcW w:w="1349" w:type="dxa"/>
            <w:tcBorders>
              <w:bottom w:val="single" w:sz="4" w:space="0" w:color="auto"/>
            </w:tcBorders>
          </w:tcPr>
          <w:p>
            <w:pPr>
              <w:spacing w:line="240" w:lineRule="auto"/>
              <w:rPr>
                <w:rFonts w:ascii="Arial" w:hAnsi="Arial" w:cs="Arial"/>
              </w:rPr>
            </w:pPr>
            <w:r>
              <w:rPr>
                <w:rFonts w:ascii="Arial" w:hAnsi="Arial" w:cs="Arial"/>
              </w:rPr>
              <w:t>1.585</w:t>
            </w:r>
          </w:p>
        </w:tc>
        <w:tc>
          <w:tcPr>
            <w:tcW w:w="1312" w:type="dxa"/>
            <w:tcBorders>
              <w:bottom w:val="single" w:sz="4" w:space="0" w:color="auto"/>
            </w:tcBorders>
          </w:tcPr>
          <w:p>
            <w:pPr>
              <w:spacing w:line="240" w:lineRule="auto"/>
              <w:rPr>
                <w:rFonts w:ascii="Arial" w:hAnsi="Arial" w:cs="Arial"/>
              </w:rPr>
            </w:pPr>
            <w:r>
              <w:rPr>
                <w:rFonts w:ascii="Arial" w:hAnsi="Arial" w:cs="Arial"/>
              </w:rPr>
              <w:t>.125</w:t>
            </w:r>
          </w:p>
        </w:tc>
        <w:tc>
          <w:tcPr>
            <w:tcW w:w="1763" w:type="dxa"/>
            <w:tcBorders>
              <w:bottom w:val="single" w:sz="4" w:space="0" w:color="auto"/>
            </w:tcBorders>
          </w:tcPr>
          <w:p>
            <w:pPr>
              <w:spacing w:line="240" w:lineRule="auto"/>
              <w:rPr>
                <w:rFonts w:ascii="Arial" w:hAnsi="Arial" w:cs="Arial"/>
              </w:rPr>
            </w:pPr>
            <w:r>
              <w:rPr>
                <w:rFonts w:ascii="Arial" w:hAnsi="Arial" w:cs="Arial"/>
              </w:rPr>
              <w:t>Not Significant Predictor</w:t>
            </w:r>
          </w:p>
        </w:tc>
      </w:tr>
    </w:tbl>
    <w:p>
      <w:pPr>
        <w:spacing w:line="240" w:lineRule="auto"/>
        <w:rPr>
          <w:rFonts w:ascii="Arial" w:hAnsi="Arial" w:cs="Arial"/>
        </w:rPr>
      </w:pPr>
    </w:p>
    <w:p>
      <w:pPr>
        <w:spacing w:line="480" w:lineRule="auto"/>
        <w:jc w:val="both"/>
        <w:rPr>
          <w:rFonts w:ascii="Arial" w:hAnsi="Arial" w:cs="Arial"/>
        </w:rPr>
      </w:pPr>
      <w:r>
        <w:rPr>
          <w:rFonts w:ascii="Arial" w:hAnsi="Arial" w:cs="Arial"/>
        </w:rPr>
        <w:lastRenderedPageBreak/>
        <w:tab/>
        <w:t>Teachers’ competence, learner engagement, and technology integration practices collectively provided a significant explanation of teachers’ RAT-level technology use in English instruction. Higher levels of technology integration emerge when teachers possess the necessary competencies, learners actively engage in technology-supported learning, and instructional experiences support meaningful participation. Therefore, the null hypothesis was rejected for teacher competence and learner engagement, which emerged as significant predictors of RAT-level technology use.</w:t>
      </w:r>
    </w:p>
    <w:p>
      <w:pPr>
        <w:spacing w:line="480" w:lineRule="auto"/>
        <w:jc w:val="both"/>
        <w:rPr>
          <w:rFonts w:ascii="Arial" w:hAnsi="Arial" w:cs="Arial"/>
        </w:rPr>
      </w:pPr>
      <w:r>
        <w:rPr>
          <w:rFonts w:ascii="Arial" w:hAnsi="Arial" w:cs="Arial"/>
        </w:rPr>
        <w:tab/>
        <w:t>Teacher competence and learner engagement were the most influential predictors of RAT-level technology use. This suggests that teachers who possess stronger technological, pedagogical, and contextual competencies, together with learners who actively participate in technology-supported learning, are more likely to implement technology in ways that extend beyond basic substitution toward amplification and transformation.</w:t>
      </w:r>
    </w:p>
    <w:p>
      <w:pPr>
        <w:spacing w:line="480" w:lineRule="auto"/>
        <w:jc w:val="both"/>
        <w:rPr>
          <w:rFonts w:ascii="Arial" w:hAnsi="Arial" w:cs="Arial"/>
        </w:rPr>
      </w:pPr>
      <w:r>
        <w:rPr>
          <w:rFonts w:ascii="Arial" w:hAnsi="Arial" w:cs="Arial"/>
        </w:rPr>
        <w:tab/>
        <w:t xml:space="preserve">The PICRAT framework emphasizes the interaction between teacher capabilities, learner engagement, and technology use in achieving meaningful technology integration. Similar findings were reported by Redmond and Peled (2023), who identified teacher competence and learner engagement as significant contributors to effective technology integration. </w:t>
      </w:r>
    </w:p>
    <w:p>
      <w:pPr>
        <w:spacing w:line="480" w:lineRule="auto"/>
        <w:jc w:val="both"/>
        <w:rPr>
          <w:rFonts w:ascii="Arial" w:eastAsia="Times New Roman" w:hAnsi="Arial" w:cs="Arial"/>
        </w:rPr>
      </w:pPr>
    </w:p>
    <w:p>
      <w:pPr>
        <w:spacing w:line="240" w:lineRule="auto"/>
        <w:rPr>
          <w:rFonts w:ascii="Arial" w:eastAsia="Times New Roman" w:hAnsi="Arial" w:cs="Arial"/>
          <w:b/>
        </w:rPr>
      </w:pPr>
      <w:r>
        <w:rPr>
          <w:rFonts w:ascii="Arial" w:eastAsia="Times New Roman" w:hAnsi="Arial" w:cs="Arial"/>
          <w:b/>
        </w:rPr>
        <w:lastRenderedPageBreak/>
        <w:t>Significant Relationship between Challenges Encountered and Teachers’ Technology Integration and Learner Engagement</w:t>
      </w:r>
    </w:p>
    <w:p>
      <w:pPr>
        <w:spacing w:after="0" w:line="480" w:lineRule="auto"/>
        <w:rPr>
          <w:rFonts w:ascii="Arial" w:hAnsi="Arial" w:cs="Arial"/>
        </w:rPr>
      </w:pPr>
      <w:r>
        <w:rPr>
          <w:rFonts w:ascii="Arial" w:eastAsia="Times New Roman" w:hAnsi="Arial" w:cs="Arial"/>
          <w:b/>
        </w:rPr>
        <w:tab/>
      </w:r>
      <w:r>
        <w:rPr>
          <w:rFonts w:ascii="Arial" w:eastAsia="Times New Roman" w:hAnsi="Arial" w:cs="Arial"/>
        </w:rPr>
        <w:t>Table 11 presents the relationship between the challenges encountered and teachers’ technology integration practices and learner engagement.</w:t>
      </w:r>
    </w:p>
    <w:p>
      <w:pPr>
        <w:spacing w:after="0" w:line="240" w:lineRule="auto"/>
        <w:rPr>
          <w:rFonts w:ascii="Arial" w:eastAsia="Times New Roman" w:hAnsi="Arial" w:cs="Arial"/>
          <w:i/>
        </w:rPr>
      </w:pPr>
      <w:r>
        <w:rPr>
          <w:rFonts w:ascii="Arial" w:eastAsia="Times New Roman" w:hAnsi="Arial" w:cs="Arial"/>
          <w:b/>
        </w:rPr>
        <w:t>Table 11.</w:t>
      </w:r>
      <w:r>
        <w:rPr>
          <w:rFonts w:ascii="Arial" w:eastAsia="Times New Roman" w:hAnsi="Arial" w:cs="Arial"/>
          <w:b/>
          <w:i/>
        </w:rPr>
        <w:t xml:space="preserve"> </w:t>
      </w:r>
      <w:r>
        <w:rPr>
          <w:rFonts w:ascii="Arial" w:eastAsia="Times New Roman" w:hAnsi="Arial" w:cs="Arial"/>
          <w:i/>
        </w:rPr>
        <w:t xml:space="preserve">Correlation between Challenges Encountered and Technology </w:t>
      </w:r>
    </w:p>
    <w:p>
      <w:pPr>
        <w:spacing w:after="0" w:line="240" w:lineRule="auto"/>
        <w:rPr>
          <w:rFonts w:ascii="Arial" w:eastAsia="Times New Roman" w:hAnsi="Arial" w:cs="Arial"/>
          <w:i/>
        </w:rPr>
      </w:pPr>
      <w:r>
        <w:rPr>
          <w:rFonts w:ascii="Arial" w:eastAsia="Times New Roman" w:hAnsi="Arial" w:cs="Arial"/>
          <w:i/>
        </w:rPr>
        <w:tab/>
        <w:t xml:space="preserve">     Integration Practices and Learner Engagement</w:t>
      </w:r>
    </w:p>
    <w:p>
      <w:pPr>
        <w:spacing w:after="0" w:line="240" w:lineRule="auto"/>
        <w:rPr>
          <w:rFonts w:ascii="Arial" w:eastAsia="Times New Roman" w:hAnsi="Arial" w:cs="Arial"/>
          <w:i/>
        </w:rPr>
      </w:pPr>
    </w:p>
    <w:tbl>
      <w:tblPr>
        <w:tblW w:w="8426" w:type="dxa"/>
        <w:tblLook w:val="04A0" w:firstRow="1" w:lastRow="0" w:firstColumn="1" w:lastColumn="0" w:noHBand="0" w:noVBand="1"/>
      </w:tblPr>
      <w:tblGrid>
        <w:gridCol w:w="1417"/>
        <w:gridCol w:w="3141"/>
        <w:gridCol w:w="1403"/>
        <w:gridCol w:w="831"/>
        <w:gridCol w:w="1634"/>
      </w:tblGrid>
      <w:tr>
        <w:trPr>
          <w:trHeight w:val="711"/>
        </w:trPr>
        <w:tc>
          <w:tcPr>
            <w:tcW w:w="1386" w:type="dxa"/>
            <w:tcBorders>
              <w:top w:val="single" w:sz="4" w:space="0" w:color="auto"/>
              <w:bottom w:val="single" w:sz="4" w:space="0" w:color="auto"/>
            </w:tcBorders>
          </w:tcPr>
          <w:p>
            <w:pPr>
              <w:spacing w:line="276" w:lineRule="auto"/>
              <w:jc w:val="center"/>
              <w:rPr>
                <w:rFonts w:ascii="Arial" w:hAnsi="Arial" w:cs="Arial"/>
                <w:b/>
              </w:rPr>
            </w:pPr>
            <w:r>
              <w:rPr>
                <w:rFonts w:ascii="Arial" w:hAnsi="Arial" w:cs="Arial"/>
                <w:b/>
              </w:rPr>
              <w:t>Variables Tested</w:t>
            </w:r>
          </w:p>
        </w:tc>
        <w:tc>
          <w:tcPr>
            <w:tcW w:w="3190" w:type="dxa"/>
            <w:tcBorders>
              <w:top w:val="single" w:sz="4" w:space="0" w:color="auto"/>
              <w:bottom w:val="single" w:sz="4" w:space="0" w:color="auto"/>
            </w:tcBorders>
          </w:tcPr>
          <w:p>
            <w:pPr>
              <w:spacing w:line="276" w:lineRule="auto"/>
              <w:jc w:val="center"/>
              <w:rPr>
                <w:rFonts w:ascii="Arial" w:hAnsi="Arial" w:cs="Arial"/>
                <w:b/>
              </w:rPr>
            </w:pPr>
          </w:p>
        </w:tc>
        <w:tc>
          <w:tcPr>
            <w:tcW w:w="1372" w:type="dxa"/>
            <w:tcBorders>
              <w:top w:val="single" w:sz="4" w:space="0" w:color="auto"/>
              <w:bottom w:val="single" w:sz="4" w:space="0" w:color="auto"/>
            </w:tcBorders>
          </w:tcPr>
          <w:p>
            <w:pPr>
              <w:spacing w:line="276" w:lineRule="auto"/>
              <w:jc w:val="center"/>
              <w:rPr>
                <w:rFonts w:ascii="Arial" w:hAnsi="Arial" w:cs="Arial"/>
                <w:b/>
              </w:rPr>
            </w:pPr>
            <w:r>
              <w:rPr>
                <w:rFonts w:ascii="Arial" w:hAnsi="Arial" w:cs="Arial"/>
                <w:b/>
              </w:rPr>
              <w:t>Computed r</w:t>
            </w:r>
          </w:p>
        </w:tc>
        <w:tc>
          <w:tcPr>
            <w:tcW w:w="831" w:type="dxa"/>
            <w:tcBorders>
              <w:top w:val="single" w:sz="4" w:space="0" w:color="auto"/>
              <w:bottom w:val="single" w:sz="4" w:space="0" w:color="auto"/>
            </w:tcBorders>
          </w:tcPr>
          <w:p>
            <w:pPr>
              <w:spacing w:line="276" w:lineRule="auto"/>
              <w:jc w:val="center"/>
              <w:rPr>
                <w:rFonts w:ascii="Arial" w:hAnsi="Arial" w:cs="Arial"/>
                <w:b/>
              </w:rPr>
            </w:pPr>
            <w:r>
              <w:rPr>
                <w:rFonts w:ascii="Arial" w:hAnsi="Arial" w:cs="Arial"/>
                <w:b/>
              </w:rPr>
              <w:t>p-value</w:t>
            </w:r>
          </w:p>
        </w:tc>
        <w:tc>
          <w:tcPr>
            <w:tcW w:w="1647" w:type="dxa"/>
            <w:tcBorders>
              <w:top w:val="single" w:sz="4" w:space="0" w:color="auto"/>
              <w:bottom w:val="single" w:sz="4" w:space="0" w:color="auto"/>
            </w:tcBorders>
          </w:tcPr>
          <w:p>
            <w:pPr>
              <w:spacing w:line="276" w:lineRule="auto"/>
              <w:jc w:val="center"/>
              <w:rPr>
                <w:rFonts w:ascii="Arial" w:hAnsi="Arial" w:cs="Arial"/>
                <w:b/>
              </w:rPr>
            </w:pPr>
            <w:r>
              <w:rPr>
                <w:rFonts w:ascii="Arial" w:hAnsi="Arial" w:cs="Arial"/>
                <w:b/>
              </w:rPr>
              <w:t>Conclusion</w:t>
            </w:r>
          </w:p>
        </w:tc>
      </w:tr>
      <w:tr>
        <w:trPr>
          <w:trHeight w:val="895"/>
        </w:trPr>
        <w:tc>
          <w:tcPr>
            <w:tcW w:w="1386" w:type="dxa"/>
            <w:tcBorders>
              <w:top w:val="single" w:sz="4" w:space="0" w:color="auto"/>
            </w:tcBorders>
          </w:tcPr>
          <w:p>
            <w:pPr>
              <w:spacing w:after="0" w:line="276" w:lineRule="auto"/>
              <w:rPr>
                <w:rFonts w:ascii="Arial" w:hAnsi="Arial" w:cs="Arial"/>
              </w:rPr>
            </w:pPr>
          </w:p>
        </w:tc>
        <w:tc>
          <w:tcPr>
            <w:tcW w:w="3190" w:type="dxa"/>
            <w:tcBorders>
              <w:top w:val="single" w:sz="4" w:space="0" w:color="auto"/>
            </w:tcBorders>
          </w:tcPr>
          <w:p>
            <w:pPr>
              <w:spacing w:after="0" w:line="240" w:lineRule="auto"/>
              <w:rPr>
                <w:rFonts w:ascii="Arial" w:hAnsi="Arial" w:cs="Arial"/>
              </w:rPr>
            </w:pPr>
            <w:r>
              <w:rPr>
                <w:rFonts w:ascii="Arial" w:hAnsi="Arial" w:cs="Arial"/>
              </w:rPr>
              <w:t>Challenges and active knowledge-building facilitation</w:t>
            </w:r>
          </w:p>
        </w:tc>
        <w:tc>
          <w:tcPr>
            <w:tcW w:w="1372" w:type="dxa"/>
            <w:tcBorders>
              <w:top w:val="single" w:sz="4" w:space="0" w:color="auto"/>
            </w:tcBorders>
          </w:tcPr>
          <w:p>
            <w:pPr>
              <w:spacing w:after="0" w:line="240" w:lineRule="auto"/>
              <w:jc w:val="center"/>
              <w:rPr>
                <w:rFonts w:ascii="Arial" w:hAnsi="Arial" w:cs="Arial"/>
              </w:rPr>
            </w:pPr>
            <w:r>
              <w:rPr>
                <w:rFonts w:ascii="Arial" w:hAnsi="Arial" w:cs="Arial"/>
              </w:rPr>
              <w:t>0.077</w:t>
            </w:r>
          </w:p>
        </w:tc>
        <w:tc>
          <w:tcPr>
            <w:tcW w:w="831" w:type="dxa"/>
            <w:tcBorders>
              <w:top w:val="single" w:sz="4" w:space="0" w:color="auto"/>
            </w:tcBorders>
          </w:tcPr>
          <w:p>
            <w:pPr>
              <w:spacing w:after="0" w:line="240" w:lineRule="auto"/>
              <w:jc w:val="center"/>
              <w:rPr>
                <w:rFonts w:ascii="Arial" w:hAnsi="Arial" w:cs="Arial"/>
              </w:rPr>
            </w:pPr>
            <w:r>
              <w:rPr>
                <w:rFonts w:ascii="Arial" w:hAnsi="Arial" w:cs="Arial"/>
              </w:rPr>
              <w:t>.688</w:t>
            </w:r>
          </w:p>
        </w:tc>
        <w:tc>
          <w:tcPr>
            <w:tcW w:w="1647" w:type="dxa"/>
            <w:tcBorders>
              <w:top w:val="single" w:sz="4" w:space="0" w:color="auto"/>
            </w:tcBorders>
          </w:tcPr>
          <w:p>
            <w:pPr>
              <w:spacing w:after="0" w:line="240" w:lineRule="auto"/>
              <w:jc w:val="center"/>
              <w:rPr>
                <w:rFonts w:ascii="Arial" w:hAnsi="Arial" w:cs="Arial"/>
              </w:rPr>
            </w:pPr>
            <w:r>
              <w:rPr>
                <w:rFonts w:ascii="Arial" w:hAnsi="Arial" w:cs="Arial"/>
              </w:rPr>
              <w:t>Not Significant</w:t>
            </w:r>
          </w:p>
        </w:tc>
      </w:tr>
      <w:tr>
        <w:trPr>
          <w:trHeight w:val="981"/>
        </w:trPr>
        <w:tc>
          <w:tcPr>
            <w:tcW w:w="1386" w:type="dxa"/>
          </w:tcPr>
          <w:p>
            <w:pPr>
              <w:spacing w:after="0" w:line="276" w:lineRule="auto"/>
              <w:rPr>
                <w:rFonts w:ascii="Arial" w:hAnsi="Arial" w:cs="Arial"/>
              </w:rPr>
            </w:pPr>
          </w:p>
        </w:tc>
        <w:tc>
          <w:tcPr>
            <w:tcW w:w="3190" w:type="dxa"/>
          </w:tcPr>
          <w:p>
            <w:pPr>
              <w:spacing w:after="0" w:line="240" w:lineRule="auto"/>
              <w:rPr>
                <w:rFonts w:ascii="Arial" w:hAnsi="Arial" w:cs="Arial"/>
              </w:rPr>
            </w:pPr>
            <w:r>
              <w:rPr>
                <w:rFonts w:ascii="Arial" w:hAnsi="Arial" w:cs="Arial"/>
              </w:rPr>
              <w:t>Challenges and activation/linking of prior knowledge</w:t>
            </w:r>
          </w:p>
        </w:tc>
        <w:tc>
          <w:tcPr>
            <w:tcW w:w="1372" w:type="dxa"/>
          </w:tcPr>
          <w:p>
            <w:pPr>
              <w:spacing w:after="0" w:line="240" w:lineRule="auto"/>
              <w:jc w:val="center"/>
              <w:rPr>
                <w:rFonts w:ascii="Arial" w:hAnsi="Arial" w:cs="Arial"/>
              </w:rPr>
            </w:pPr>
            <w:r>
              <w:rPr>
                <w:rFonts w:ascii="Arial" w:hAnsi="Arial" w:cs="Arial"/>
              </w:rPr>
              <w:t>-0.054</w:t>
            </w:r>
          </w:p>
        </w:tc>
        <w:tc>
          <w:tcPr>
            <w:tcW w:w="831" w:type="dxa"/>
          </w:tcPr>
          <w:p>
            <w:pPr>
              <w:spacing w:after="0" w:line="240" w:lineRule="auto"/>
              <w:jc w:val="center"/>
              <w:rPr>
                <w:rFonts w:ascii="Arial" w:hAnsi="Arial" w:cs="Arial"/>
              </w:rPr>
            </w:pPr>
            <w:r>
              <w:rPr>
                <w:rFonts w:ascii="Arial" w:hAnsi="Arial" w:cs="Arial"/>
              </w:rPr>
              <w:t>.777</w:t>
            </w:r>
          </w:p>
        </w:tc>
        <w:tc>
          <w:tcPr>
            <w:tcW w:w="1647" w:type="dxa"/>
          </w:tcPr>
          <w:p>
            <w:pPr>
              <w:spacing w:after="0" w:line="240" w:lineRule="auto"/>
              <w:jc w:val="center"/>
              <w:rPr>
                <w:rFonts w:ascii="Arial" w:hAnsi="Arial" w:cs="Arial"/>
              </w:rPr>
            </w:pPr>
            <w:r>
              <w:rPr>
                <w:rFonts w:ascii="Arial" w:hAnsi="Arial" w:cs="Arial"/>
              </w:rPr>
              <w:t>Not Significant</w:t>
            </w:r>
          </w:p>
        </w:tc>
      </w:tr>
      <w:tr>
        <w:trPr>
          <w:trHeight w:val="996"/>
        </w:trPr>
        <w:tc>
          <w:tcPr>
            <w:tcW w:w="1386" w:type="dxa"/>
          </w:tcPr>
          <w:p>
            <w:pPr>
              <w:spacing w:after="0" w:line="276" w:lineRule="auto"/>
              <w:rPr>
                <w:rFonts w:ascii="Arial" w:hAnsi="Arial" w:cs="Arial"/>
              </w:rPr>
            </w:pPr>
            <w:r>
              <w:rPr>
                <w:rFonts w:ascii="Arial" w:hAnsi="Arial" w:cs="Arial"/>
              </w:rPr>
              <w:t>Challenges</w:t>
            </w:r>
          </w:p>
        </w:tc>
        <w:tc>
          <w:tcPr>
            <w:tcW w:w="3190" w:type="dxa"/>
          </w:tcPr>
          <w:p>
            <w:pPr>
              <w:spacing w:after="0" w:line="240" w:lineRule="auto"/>
              <w:rPr>
                <w:rFonts w:ascii="Arial" w:hAnsi="Arial" w:cs="Arial"/>
              </w:rPr>
            </w:pPr>
            <w:r>
              <w:rPr>
                <w:rFonts w:ascii="Arial" w:hAnsi="Arial" w:cs="Arial"/>
              </w:rPr>
              <w:t>Challenges and inquiry/problem-solving support</w:t>
            </w:r>
          </w:p>
        </w:tc>
        <w:tc>
          <w:tcPr>
            <w:tcW w:w="1372" w:type="dxa"/>
          </w:tcPr>
          <w:p>
            <w:pPr>
              <w:spacing w:after="0" w:line="240" w:lineRule="auto"/>
              <w:jc w:val="center"/>
              <w:rPr>
                <w:rFonts w:ascii="Arial" w:hAnsi="Arial" w:cs="Arial"/>
              </w:rPr>
            </w:pPr>
            <w:r>
              <w:rPr>
                <w:rFonts w:ascii="Arial" w:hAnsi="Arial" w:cs="Arial"/>
              </w:rPr>
              <w:t>0.103</w:t>
            </w:r>
          </w:p>
        </w:tc>
        <w:tc>
          <w:tcPr>
            <w:tcW w:w="831" w:type="dxa"/>
          </w:tcPr>
          <w:p>
            <w:pPr>
              <w:spacing w:after="0" w:line="240" w:lineRule="auto"/>
              <w:jc w:val="center"/>
              <w:rPr>
                <w:rFonts w:ascii="Arial" w:hAnsi="Arial" w:cs="Arial"/>
              </w:rPr>
            </w:pPr>
            <w:r>
              <w:rPr>
                <w:rFonts w:ascii="Arial" w:hAnsi="Arial" w:cs="Arial"/>
              </w:rPr>
              <w:t>.589</w:t>
            </w:r>
          </w:p>
        </w:tc>
        <w:tc>
          <w:tcPr>
            <w:tcW w:w="1647" w:type="dxa"/>
          </w:tcPr>
          <w:p>
            <w:pPr>
              <w:spacing w:after="0" w:line="240" w:lineRule="auto"/>
              <w:jc w:val="center"/>
              <w:rPr>
                <w:rFonts w:ascii="Arial" w:hAnsi="Arial" w:cs="Arial"/>
              </w:rPr>
            </w:pPr>
            <w:r>
              <w:rPr>
                <w:rFonts w:ascii="Arial" w:hAnsi="Arial" w:cs="Arial"/>
              </w:rPr>
              <w:t>Not Significant</w:t>
            </w:r>
          </w:p>
        </w:tc>
      </w:tr>
      <w:tr>
        <w:trPr>
          <w:trHeight w:val="773"/>
        </w:trPr>
        <w:tc>
          <w:tcPr>
            <w:tcW w:w="1386" w:type="dxa"/>
          </w:tcPr>
          <w:p>
            <w:pPr>
              <w:spacing w:after="0" w:line="276" w:lineRule="auto"/>
              <w:rPr>
                <w:rFonts w:ascii="Arial" w:hAnsi="Arial" w:cs="Arial"/>
              </w:rPr>
            </w:pPr>
          </w:p>
        </w:tc>
        <w:tc>
          <w:tcPr>
            <w:tcW w:w="3190" w:type="dxa"/>
          </w:tcPr>
          <w:p>
            <w:pPr>
              <w:spacing w:after="0" w:line="240" w:lineRule="auto"/>
              <w:rPr>
                <w:rFonts w:ascii="Arial" w:hAnsi="Arial" w:cs="Arial"/>
              </w:rPr>
            </w:pPr>
            <w:r>
              <w:rPr>
                <w:rFonts w:ascii="Arial" w:hAnsi="Arial" w:cs="Arial"/>
              </w:rPr>
              <w:t>Challenges and technology-mediated dialogue/collaboration</w:t>
            </w:r>
          </w:p>
        </w:tc>
        <w:tc>
          <w:tcPr>
            <w:tcW w:w="1372" w:type="dxa"/>
          </w:tcPr>
          <w:p>
            <w:pPr>
              <w:spacing w:after="0" w:line="240" w:lineRule="auto"/>
              <w:jc w:val="center"/>
              <w:rPr>
                <w:rFonts w:ascii="Arial" w:hAnsi="Arial" w:cs="Arial"/>
              </w:rPr>
            </w:pPr>
            <w:r>
              <w:rPr>
                <w:rFonts w:ascii="Arial" w:hAnsi="Arial" w:cs="Arial"/>
              </w:rPr>
              <w:t>-0.450</w:t>
            </w:r>
          </w:p>
        </w:tc>
        <w:tc>
          <w:tcPr>
            <w:tcW w:w="831" w:type="dxa"/>
          </w:tcPr>
          <w:p>
            <w:pPr>
              <w:spacing w:after="0" w:line="240" w:lineRule="auto"/>
              <w:jc w:val="center"/>
              <w:rPr>
                <w:rFonts w:ascii="Arial" w:hAnsi="Arial" w:cs="Arial"/>
              </w:rPr>
            </w:pPr>
            <w:r>
              <w:rPr>
                <w:rFonts w:ascii="Arial" w:hAnsi="Arial" w:cs="Arial"/>
              </w:rPr>
              <w:t>.013</w:t>
            </w:r>
          </w:p>
        </w:tc>
        <w:tc>
          <w:tcPr>
            <w:tcW w:w="1647" w:type="dxa"/>
          </w:tcPr>
          <w:p>
            <w:pPr>
              <w:spacing w:after="0" w:line="240" w:lineRule="auto"/>
              <w:jc w:val="center"/>
              <w:rPr>
                <w:rFonts w:ascii="Arial" w:hAnsi="Arial" w:cs="Arial"/>
              </w:rPr>
            </w:pPr>
            <w:r>
              <w:rPr>
                <w:rFonts w:ascii="Arial" w:hAnsi="Arial" w:cs="Arial"/>
              </w:rPr>
              <w:t>Significant</w:t>
            </w:r>
          </w:p>
        </w:tc>
      </w:tr>
      <w:tr>
        <w:trPr>
          <w:trHeight w:val="1001"/>
        </w:trPr>
        <w:tc>
          <w:tcPr>
            <w:tcW w:w="1386" w:type="dxa"/>
          </w:tcPr>
          <w:p>
            <w:pPr>
              <w:spacing w:after="0" w:line="276" w:lineRule="auto"/>
              <w:rPr>
                <w:rFonts w:ascii="Arial" w:hAnsi="Arial" w:cs="Arial"/>
              </w:rPr>
            </w:pPr>
          </w:p>
        </w:tc>
        <w:tc>
          <w:tcPr>
            <w:tcW w:w="3190" w:type="dxa"/>
          </w:tcPr>
          <w:p>
            <w:pPr>
              <w:spacing w:after="0" w:line="240" w:lineRule="auto"/>
              <w:rPr>
                <w:rFonts w:ascii="Arial" w:hAnsi="Arial" w:cs="Arial"/>
              </w:rPr>
            </w:pPr>
            <w:r>
              <w:rPr>
                <w:rFonts w:ascii="Arial" w:hAnsi="Arial" w:cs="Arial"/>
              </w:rPr>
              <w:t>Challenges and culturally responsive task design/scaffolding</w:t>
            </w:r>
          </w:p>
        </w:tc>
        <w:tc>
          <w:tcPr>
            <w:tcW w:w="1372" w:type="dxa"/>
          </w:tcPr>
          <w:p>
            <w:pPr>
              <w:spacing w:after="0" w:line="240" w:lineRule="auto"/>
              <w:jc w:val="center"/>
              <w:rPr>
                <w:rFonts w:ascii="Arial" w:hAnsi="Arial" w:cs="Arial"/>
              </w:rPr>
            </w:pPr>
            <w:r>
              <w:rPr>
                <w:rFonts w:ascii="Arial" w:hAnsi="Arial" w:cs="Arial"/>
              </w:rPr>
              <w:t>-0.413</w:t>
            </w:r>
          </w:p>
        </w:tc>
        <w:tc>
          <w:tcPr>
            <w:tcW w:w="831" w:type="dxa"/>
          </w:tcPr>
          <w:p>
            <w:pPr>
              <w:spacing w:after="0" w:line="240" w:lineRule="auto"/>
              <w:jc w:val="center"/>
              <w:rPr>
                <w:rFonts w:ascii="Arial" w:hAnsi="Arial" w:cs="Arial"/>
              </w:rPr>
            </w:pPr>
            <w:r>
              <w:rPr>
                <w:rFonts w:ascii="Arial" w:hAnsi="Arial" w:cs="Arial"/>
              </w:rPr>
              <w:t>.032</w:t>
            </w:r>
          </w:p>
        </w:tc>
        <w:tc>
          <w:tcPr>
            <w:tcW w:w="1647" w:type="dxa"/>
          </w:tcPr>
          <w:p>
            <w:pPr>
              <w:spacing w:after="0" w:line="240" w:lineRule="auto"/>
              <w:jc w:val="center"/>
              <w:rPr>
                <w:rFonts w:ascii="Arial" w:hAnsi="Arial" w:cs="Arial"/>
              </w:rPr>
            </w:pPr>
            <w:r>
              <w:rPr>
                <w:rFonts w:ascii="Arial" w:hAnsi="Arial" w:cs="Arial"/>
              </w:rPr>
              <w:t>Significant</w:t>
            </w:r>
          </w:p>
        </w:tc>
      </w:tr>
      <w:tr>
        <w:trPr>
          <w:trHeight w:val="582"/>
        </w:trPr>
        <w:tc>
          <w:tcPr>
            <w:tcW w:w="1386" w:type="dxa"/>
          </w:tcPr>
          <w:p>
            <w:pPr>
              <w:spacing w:after="0" w:line="276" w:lineRule="auto"/>
              <w:rPr>
                <w:rFonts w:ascii="Arial" w:hAnsi="Arial" w:cs="Arial"/>
              </w:rPr>
            </w:pPr>
          </w:p>
        </w:tc>
        <w:tc>
          <w:tcPr>
            <w:tcW w:w="3190" w:type="dxa"/>
          </w:tcPr>
          <w:p>
            <w:pPr>
              <w:spacing w:after="0" w:line="240" w:lineRule="auto"/>
              <w:rPr>
                <w:rFonts w:ascii="Arial" w:hAnsi="Arial" w:cs="Arial"/>
              </w:rPr>
            </w:pPr>
            <w:r>
              <w:rPr>
                <w:rFonts w:ascii="Arial" w:hAnsi="Arial" w:cs="Arial"/>
              </w:rPr>
              <w:t>Challenges and passive engagement</w:t>
            </w:r>
          </w:p>
        </w:tc>
        <w:tc>
          <w:tcPr>
            <w:tcW w:w="1372" w:type="dxa"/>
          </w:tcPr>
          <w:p>
            <w:pPr>
              <w:spacing w:after="0" w:line="240" w:lineRule="auto"/>
              <w:jc w:val="center"/>
              <w:rPr>
                <w:rFonts w:ascii="Arial" w:hAnsi="Arial" w:cs="Arial"/>
              </w:rPr>
            </w:pPr>
            <w:r>
              <w:rPr>
                <w:rFonts w:ascii="Arial" w:hAnsi="Arial" w:cs="Arial"/>
              </w:rPr>
              <w:t>0.080</w:t>
            </w:r>
          </w:p>
        </w:tc>
        <w:tc>
          <w:tcPr>
            <w:tcW w:w="831" w:type="dxa"/>
          </w:tcPr>
          <w:p>
            <w:pPr>
              <w:spacing w:after="0" w:line="240" w:lineRule="auto"/>
              <w:jc w:val="center"/>
              <w:rPr>
                <w:rFonts w:ascii="Arial" w:hAnsi="Arial" w:cs="Arial"/>
              </w:rPr>
            </w:pPr>
            <w:r>
              <w:rPr>
                <w:rFonts w:ascii="Arial" w:hAnsi="Arial" w:cs="Arial"/>
              </w:rPr>
              <w:t>.676</w:t>
            </w:r>
          </w:p>
        </w:tc>
        <w:tc>
          <w:tcPr>
            <w:tcW w:w="1647" w:type="dxa"/>
          </w:tcPr>
          <w:p>
            <w:pPr>
              <w:spacing w:after="0" w:line="240" w:lineRule="auto"/>
              <w:jc w:val="center"/>
              <w:rPr>
                <w:rFonts w:ascii="Arial" w:hAnsi="Arial" w:cs="Arial"/>
              </w:rPr>
            </w:pPr>
            <w:r>
              <w:rPr>
                <w:rFonts w:ascii="Arial" w:hAnsi="Arial" w:cs="Arial"/>
              </w:rPr>
              <w:t>Not Significant</w:t>
            </w:r>
          </w:p>
        </w:tc>
      </w:tr>
      <w:tr>
        <w:trPr>
          <w:trHeight w:val="788"/>
        </w:trPr>
        <w:tc>
          <w:tcPr>
            <w:tcW w:w="1386" w:type="dxa"/>
          </w:tcPr>
          <w:p>
            <w:pPr>
              <w:spacing w:after="0" w:line="276" w:lineRule="auto"/>
              <w:rPr>
                <w:rFonts w:ascii="Arial" w:hAnsi="Arial" w:cs="Arial"/>
              </w:rPr>
            </w:pPr>
          </w:p>
        </w:tc>
        <w:tc>
          <w:tcPr>
            <w:tcW w:w="3190" w:type="dxa"/>
          </w:tcPr>
          <w:p>
            <w:pPr>
              <w:spacing w:after="0" w:line="240" w:lineRule="auto"/>
              <w:rPr>
                <w:rFonts w:ascii="Arial" w:hAnsi="Arial" w:cs="Arial"/>
              </w:rPr>
            </w:pPr>
            <w:r>
              <w:rPr>
                <w:rFonts w:ascii="Arial" w:hAnsi="Arial" w:cs="Arial"/>
              </w:rPr>
              <w:t>Challenges and interactive engagement</w:t>
            </w:r>
          </w:p>
        </w:tc>
        <w:tc>
          <w:tcPr>
            <w:tcW w:w="1372" w:type="dxa"/>
          </w:tcPr>
          <w:p>
            <w:pPr>
              <w:spacing w:after="0" w:line="240" w:lineRule="auto"/>
              <w:jc w:val="center"/>
              <w:rPr>
                <w:rFonts w:ascii="Arial" w:hAnsi="Arial" w:cs="Arial"/>
              </w:rPr>
            </w:pPr>
            <w:r>
              <w:rPr>
                <w:rFonts w:ascii="Arial" w:hAnsi="Arial" w:cs="Arial"/>
              </w:rPr>
              <w:t>0.181</w:t>
            </w:r>
          </w:p>
        </w:tc>
        <w:tc>
          <w:tcPr>
            <w:tcW w:w="831" w:type="dxa"/>
          </w:tcPr>
          <w:p>
            <w:pPr>
              <w:spacing w:after="0" w:line="240" w:lineRule="auto"/>
              <w:jc w:val="center"/>
              <w:rPr>
                <w:rFonts w:ascii="Arial" w:hAnsi="Arial" w:cs="Arial"/>
              </w:rPr>
            </w:pPr>
            <w:r>
              <w:rPr>
                <w:rFonts w:ascii="Arial" w:hAnsi="Arial" w:cs="Arial"/>
              </w:rPr>
              <w:t>.337</w:t>
            </w:r>
          </w:p>
        </w:tc>
        <w:tc>
          <w:tcPr>
            <w:tcW w:w="1647" w:type="dxa"/>
          </w:tcPr>
          <w:p>
            <w:pPr>
              <w:spacing w:after="0" w:line="240" w:lineRule="auto"/>
              <w:jc w:val="center"/>
              <w:rPr>
                <w:rFonts w:ascii="Arial" w:hAnsi="Arial" w:cs="Arial"/>
              </w:rPr>
            </w:pPr>
            <w:r>
              <w:rPr>
                <w:rFonts w:ascii="Arial" w:hAnsi="Arial" w:cs="Arial"/>
              </w:rPr>
              <w:t>Not Significant</w:t>
            </w:r>
          </w:p>
        </w:tc>
      </w:tr>
      <w:tr>
        <w:trPr>
          <w:trHeight w:val="779"/>
        </w:trPr>
        <w:tc>
          <w:tcPr>
            <w:tcW w:w="1386" w:type="dxa"/>
          </w:tcPr>
          <w:p>
            <w:pPr>
              <w:spacing w:after="0" w:line="276" w:lineRule="auto"/>
              <w:rPr>
                <w:rFonts w:ascii="Arial" w:hAnsi="Arial" w:cs="Arial"/>
              </w:rPr>
            </w:pPr>
          </w:p>
        </w:tc>
        <w:tc>
          <w:tcPr>
            <w:tcW w:w="3190" w:type="dxa"/>
          </w:tcPr>
          <w:p>
            <w:pPr>
              <w:spacing w:after="0" w:line="240" w:lineRule="auto"/>
              <w:rPr>
                <w:rFonts w:ascii="Arial" w:hAnsi="Arial" w:cs="Arial"/>
              </w:rPr>
            </w:pPr>
            <w:r>
              <w:rPr>
                <w:rFonts w:ascii="Arial" w:hAnsi="Arial" w:cs="Arial"/>
              </w:rPr>
              <w:t>Challenges and collaborative engagement</w:t>
            </w:r>
          </w:p>
        </w:tc>
        <w:tc>
          <w:tcPr>
            <w:tcW w:w="1372" w:type="dxa"/>
          </w:tcPr>
          <w:p>
            <w:pPr>
              <w:spacing w:after="0" w:line="240" w:lineRule="auto"/>
              <w:jc w:val="center"/>
              <w:rPr>
                <w:rFonts w:ascii="Arial" w:hAnsi="Arial" w:cs="Arial"/>
              </w:rPr>
            </w:pPr>
            <w:r>
              <w:rPr>
                <w:rFonts w:ascii="Arial" w:hAnsi="Arial" w:cs="Arial"/>
              </w:rPr>
              <w:t>-0.590</w:t>
            </w:r>
          </w:p>
        </w:tc>
        <w:tc>
          <w:tcPr>
            <w:tcW w:w="831" w:type="dxa"/>
          </w:tcPr>
          <w:p>
            <w:pPr>
              <w:spacing w:after="0" w:line="240" w:lineRule="auto"/>
              <w:jc w:val="center"/>
              <w:rPr>
                <w:rFonts w:ascii="Arial" w:hAnsi="Arial" w:cs="Arial"/>
              </w:rPr>
            </w:pPr>
            <w:r>
              <w:rPr>
                <w:rFonts w:ascii="Arial" w:hAnsi="Arial" w:cs="Arial"/>
              </w:rPr>
              <w:t>.001</w:t>
            </w:r>
          </w:p>
        </w:tc>
        <w:tc>
          <w:tcPr>
            <w:tcW w:w="1647" w:type="dxa"/>
          </w:tcPr>
          <w:p>
            <w:pPr>
              <w:spacing w:after="0" w:line="240" w:lineRule="auto"/>
              <w:jc w:val="center"/>
              <w:rPr>
                <w:rFonts w:ascii="Arial" w:hAnsi="Arial" w:cs="Arial"/>
              </w:rPr>
            </w:pPr>
            <w:r>
              <w:rPr>
                <w:rFonts w:ascii="Arial" w:hAnsi="Arial" w:cs="Arial"/>
              </w:rPr>
              <w:t>Significant</w:t>
            </w:r>
          </w:p>
        </w:tc>
      </w:tr>
      <w:tr>
        <w:trPr>
          <w:trHeight w:val="613"/>
        </w:trPr>
        <w:tc>
          <w:tcPr>
            <w:tcW w:w="1386" w:type="dxa"/>
          </w:tcPr>
          <w:p>
            <w:pPr>
              <w:spacing w:after="0" w:line="276" w:lineRule="auto"/>
              <w:rPr>
                <w:rFonts w:ascii="Arial" w:hAnsi="Arial" w:cs="Arial"/>
              </w:rPr>
            </w:pPr>
          </w:p>
        </w:tc>
        <w:tc>
          <w:tcPr>
            <w:tcW w:w="3190" w:type="dxa"/>
          </w:tcPr>
          <w:p>
            <w:pPr>
              <w:spacing w:after="0" w:line="240" w:lineRule="auto"/>
              <w:rPr>
                <w:rFonts w:ascii="Arial" w:hAnsi="Arial" w:cs="Arial"/>
              </w:rPr>
            </w:pPr>
            <w:r>
              <w:rPr>
                <w:rFonts w:ascii="Arial" w:hAnsi="Arial" w:cs="Arial"/>
              </w:rPr>
              <w:t>Challenges and creative engagement</w:t>
            </w:r>
          </w:p>
        </w:tc>
        <w:tc>
          <w:tcPr>
            <w:tcW w:w="1372" w:type="dxa"/>
          </w:tcPr>
          <w:p>
            <w:pPr>
              <w:spacing w:after="0" w:line="240" w:lineRule="auto"/>
              <w:jc w:val="center"/>
              <w:rPr>
                <w:rFonts w:ascii="Arial" w:hAnsi="Arial" w:cs="Arial"/>
              </w:rPr>
            </w:pPr>
            <w:r>
              <w:rPr>
                <w:rFonts w:ascii="Arial" w:hAnsi="Arial" w:cs="Arial"/>
              </w:rPr>
              <w:t>0.129</w:t>
            </w:r>
          </w:p>
        </w:tc>
        <w:tc>
          <w:tcPr>
            <w:tcW w:w="831" w:type="dxa"/>
          </w:tcPr>
          <w:p>
            <w:pPr>
              <w:spacing w:after="0" w:line="240" w:lineRule="auto"/>
              <w:jc w:val="center"/>
              <w:rPr>
                <w:rFonts w:ascii="Arial" w:hAnsi="Arial" w:cs="Arial"/>
              </w:rPr>
            </w:pPr>
            <w:r>
              <w:rPr>
                <w:rFonts w:ascii="Arial" w:hAnsi="Arial" w:cs="Arial"/>
              </w:rPr>
              <w:t>.498</w:t>
            </w:r>
          </w:p>
        </w:tc>
        <w:tc>
          <w:tcPr>
            <w:tcW w:w="1647" w:type="dxa"/>
          </w:tcPr>
          <w:p>
            <w:pPr>
              <w:spacing w:after="0" w:line="240" w:lineRule="auto"/>
              <w:jc w:val="center"/>
              <w:rPr>
                <w:rFonts w:ascii="Arial" w:hAnsi="Arial" w:cs="Arial"/>
              </w:rPr>
            </w:pPr>
            <w:r>
              <w:rPr>
                <w:rFonts w:ascii="Arial" w:hAnsi="Arial" w:cs="Arial"/>
              </w:rPr>
              <w:t>Not Significant</w:t>
            </w:r>
          </w:p>
        </w:tc>
      </w:tr>
      <w:tr>
        <w:trPr>
          <w:trHeight w:val="956"/>
        </w:trPr>
        <w:tc>
          <w:tcPr>
            <w:tcW w:w="1386" w:type="dxa"/>
            <w:tcBorders>
              <w:bottom w:val="single" w:sz="4" w:space="0" w:color="auto"/>
            </w:tcBorders>
          </w:tcPr>
          <w:p>
            <w:pPr>
              <w:spacing w:after="0" w:line="276" w:lineRule="auto"/>
              <w:rPr>
                <w:rFonts w:ascii="Arial" w:hAnsi="Arial" w:cs="Arial"/>
              </w:rPr>
            </w:pPr>
          </w:p>
        </w:tc>
        <w:tc>
          <w:tcPr>
            <w:tcW w:w="3190" w:type="dxa"/>
            <w:tcBorders>
              <w:bottom w:val="single" w:sz="4" w:space="0" w:color="auto"/>
            </w:tcBorders>
          </w:tcPr>
          <w:p>
            <w:pPr>
              <w:spacing w:after="0" w:line="240" w:lineRule="auto"/>
              <w:rPr>
                <w:rFonts w:ascii="Arial" w:hAnsi="Arial" w:cs="Arial"/>
              </w:rPr>
            </w:pPr>
            <w:r>
              <w:rPr>
                <w:rFonts w:ascii="Arial" w:hAnsi="Arial" w:cs="Arial"/>
              </w:rPr>
              <w:t>Challenges and reflective/metacognitive engagement</w:t>
            </w:r>
          </w:p>
        </w:tc>
        <w:tc>
          <w:tcPr>
            <w:tcW w:w="1372" w:type="dxa"/>
            <w:tcBorders>
              <w:bottom w:val="single" w:sz="4" w:space="0" w:color="auto"/>
            </w:tcBorders>
          </w:tcPr>
          <w:p>
            <w:pPr>
              <w:spacing w:after="0" w:line="240" w:lineRule="auto"/>
              <w:jc w:val="center"/>
              <w:rPr>
                <w:rFonts w:ascii="Arial" w:hAnsi="Arial" w:cs="Arial"/>
              </w:rPr>
            </w:pPr>
            <w:r>
              <w:rPr>
                <w:rFonts w:ascii="Arial" w:hAnsi="Arial" w:cs="Arial"/>
              </w:rPr>
              <w:t>0.077</w:t>
            </w:r>
          </w:p>
        </w:tc>
        <w:tc>
          <w:tcPr>
            <w:tcW w:w="831" w:type="dxa"/>
            <w:tcBorders>
              <w:bottom w:val="single" w:sz="4" w:space="0" w:color="auto"/>
            </w:tcBorders>
          </w:tcPr>
          <w:p>
            <w:pPr>
              <w:spacing w:after="0" w:line="240" w:lineRule="auto"/>
              <w:jc w:val="center"/>
              <w:rPr>
                <w:rFonts w:ascii="Arial" w:hAnsi="Arial" w:cs="Arial"/>
              </w:rPr>
            </w:pPr>
            <w:r>
              <w:rPr>
                <w:rFonts w:ascii="Arial" w:hAnsi="Arial" w:cs="Arial"/>
              </w:rPr>
              <w:t>.688</w:t>
            </w:r>
          </w:p>
        </w:tc>
        <w:tc>
          <w:tcPr>
            <w:tcW w:w="1647" w:type="dxa"/>
            <w:tcBorders>
              <w:bottom w:val="single" w:sz="4" w:space="0" w:color="auto"/>
            </w:tcBorders>
          </w:tcPr>
          <w:p>
            <w:pPr>
              <w:spacing w:after="0" w:line="240" w:lineRule="auto"/>
              <w:jc w:val="center"/>
              <w:rPr>
                <w:rFonts w:ascii="Arial" w:hAnsi="Arial" w:cs="Arial"/>
              </w:rPr>
            </w:pPr>
            <w:r>
              <w:rPr>
                <w:rFonts w:ascii="Arial" w:hAnsi="Arial" w:cs="Arial"/>
              </w:rPr>
              <w:t>Not Significant</w:t>
            </w:r>
          </w:p>
        </w:tc>
      </w:tr>
    </w:tbl>
    <w:p>
      <w:pPr>
        <w:spacing w:line="480" w:lineRule="auto"/>
        <w:jc w:val="both"/>
        <w:rPr>
          <w:rFonts w:ascii="Arial" w:hAnsi="Arial" w:cs="Arial"/>
        </w:rPr>
      </w:pPr>
      <w:r>
        <w:rPr>
          <w:rFonts w:ascii="Arial" w:hAnsi="Arial" w:cs="Arial"/>
        </w:rPr>
        <w:lastRenderedPageBreak/>
        <w:tab/>
        <w:t>The challenges encountered by teachers were significantly associated with specific dimensions of technology integration practices and learner engagement. Specifically, challenges demonstrated significant relationships with technology-mediated dialogue and collaboration, culturally responsive task design and scaffolding, and collaborative engagement. Contextual barriers do not affect all aspects of technology-supported instruction in the same manner. Rather, their influence appears to be concentrated on instructional processes that require greater interaction, collaboration, and cultural contextualization. Therefore, the null hypothesis was rejected for the variables that demonstrated significant relationships and accepted for those found to be non-significant.</w:t>
      </w:r>
    </w:p>
    <w:p>
      <w:pPr>
        <w:spacing w:line="480" w:lineRule="auto"/>
        <w:jc w:val="both"/>
        <w:rPr>
          <w:rFonts w:ascii="Arial" w:hAnsi="Arial" w:cs="Arial"/>
        </w:rPr>
      </w:pPr>
      <w:r>
        <w:rPr>
          <w:rFonts w:ascii="Arial" w:hAnsi="Arial" w:cs="Arial"/>
        </w:rPr>
        <w:tab/>
        <w:t xml:space="preserve">The challenges encountered in Indigenous Peoples Education settings have a greater impact on collaborative and culturally responsive dimensions of technology-supported instruction than on individual or teacher-directed learning activities. Teachers remain capable of integrating technology and learners continue to engage in technology-supported learning despite existing challenges, the implementation of collaborative learning experiences and culturally grounded instructional tasks may be more difficult to sustain. </w:t>
      </w:r>
    </w:p>
    <w:p>
      <w:pPr>
        <w:spacing w:line="480" w:lineRule="auto"/>
        <w:jc w:val="both"/>
        <w:rPr>
          <w:rFonts w:ascii="Arial" w:eastAsia="Times New Roman" w:hAnsi="Arial" w:cs="Arial"/>
          <w:b/>
        </w:rPr>
      </w:pPr>
      <w:r>
        <w:rPr>
          <w:rFonts w:ascii="Arial" w:hAnsi="Arial" w:cs="Arial"/>
        </w:rPr>
        <w:tab/>
        <w:t xml:space="preserve">The findings are consistent with the work of Warschauer (2022), who emphasized that digital inequities can affect the quality of teaching and learning experiences, particularly those involving interaction and collaboration. Similarly, Selwyn (2023) argued that structural and contextual barriers often limit the </w:t>
      </w:r>
      <w:r>
        <w:rPr>
          <w:rFonts w:ascii="Arial" w:hAnsi="Arial" w:cs="Arial"/>
        </w:rPr>
        <w:lastRenderedPageBreak/>
        <w:t xml:space="preserve">realization of meaningful technology integration in marginalized educational settings. In Indigenous education, McMahon and Oliver (2021) reported that contextual challenges frequently influence the implementation of collaborative and culturally responsive instructional practices. </w:t>
      </w:r>
    </w:p>
    <w:p>
      <w:pPr>
        <w:spacing w:line="480" w:lineRule="auto"/>
        <w:rPr>
          <w:rFonts w:ascii="Arial" w:hAnsi="Arial" w:cs="Arial"/>
        </w:rPr>
      </w:pPr>
      <w:r>
        <w:rPr>
          <w:rFonts w:ascii="Arial" w:eastAsia="Times New Roman" w:hAnsi="Arial" w:cs="Arial"/>
          <w:b/>
        </w:rPr>
        <w:t>Proposed Intervention Program</w:t>
      </w:r>
    </w:p>
    <w:p>
      <w:pPr>
        <w:spacing w:line="480" w:lineRule="auto"/>
        <w:jc w:val="both"/>
        <w:rPr>
          <w:rFonts w:ascii="Arial" w:eastAsia="Times New Roman" w:hAnsi="Arial" w:cs="Arial"/>
        </w:rPr>
      </w:pPr>
      <w:r>
        <w:rPr>
          <w:rFonts w:ascii="Arial" w:eastAsia="Times New Roman" w:hAnsi="Arial" w:cs="Arial"/>
        </w:rPr>
        <w:tab/>
        <w:t xml:space="preserve">The proposed intervention program is entitled PICRAT-Guided Transformative Technology Integration Program for English Teachers in Indigenous Peoples Education (IPEd).The intervention was developed to strengthen teachers’ capacity to design, implement, and evaluate culturally responsive and technology-supported English instruction that promotes interactive, collaborative, creative, and reflective learner engagement. Specifically, it seeks to enhance teachers’ application of PICRAT-aligned instructional processes, support the development of localized digital learning resources, strengthen collaborative and inquiry-based technology-supported learning experiences, and encourage more transformative uses of technology in English Language Teaching. Furthermore, the Department of Education, particularly the Schools Division of Tandag City, may adopt and utilize this intervention program as a guide for professional development, instructional improvement, and capacity-building initiatives aimed at addressing the technology integration challenges encountered by teachers in Indigenous Peoples Education schools. The program may also serve as a reference for future efforts to strengthen culturally responsive, </w:t>
      </w:r>
      <w:r>
        <w:rPr>
          <w:rFonts w:ascii="Arial" w:eastAsia="Times New Roman" w:hAnsi="Arial" w:cs="Arial"/>
        </w:rPr>
        <w:lastRenderedPageBreak/>
        <w:t>technology-supported English instruction and enhance learner engagement within Indigenous learning communities across the division.</w:t>
      </w:r>
    </w:p>
    <w:p>
      <w:pPr>
        <w:spacing w:after="0" w:line="240" w:lineRule="auto"/>
        <w:jc w:val="both"/>
        <w:rPr>
          <w:rFonts w:ascii="Arial" w:eastAsia="Times New Roman" w:hAnsi="Arial" w:cs="Arial"/>
          <w:i/>
        </w:rPr>
      </w:pPr>
      <w:r>
        <w:rPr>
          <w:rFonts w:ascii="Arial" w:eastAsia="Times New Roman" w:hAnsi="Arial" w:cs="Arial"/>
          <w:b/>
        </w:rPr>
        <w:t>Table 13.</w:t>
      </w:r>
      <w:r>
        <w:rPr>
          <w:rFonts w:ascii="Arial" w:eastAsia="Times New Roman" w:hAnsi="Arial" w:cs="Arial"/>
          <w:b/>
          <w:i/>
        </w:rPr>
        <w:t xml:space="preserve"> </w:t>
      </w:r>
      <w:r>
        <w:rPr>
          <w:rFonts w:ascii="Arial" w:eastAsia="Times New Roman" w:hAnsi="Arial" w:cs="Arial"/>
          <w:i/>
        </w:rPr>
        <w:t xml:space="preserve">PICRAT-Guided Transformative Technology Integration Program for </w:t>
      </w:r>
    </w:p>
    <w:p>
      <w:pPr>
        <w:spacing w:after="0" w:line="240" w:lineRule="auto"/>
        <w:jc w:val="both"/>
        <w:rPr>
          <w:rFonts w:ascii="Arial" w:eastAsia="Times New Roman" w:hAnsi="Arial" w:cs="Arial"/>
          <w:i/>
        </w:rPr>
      </w:pPr>
      <w:r>
        <w:rPr>
          <w:rFonts w:ascii="Arial" w:eastAsia="Times New Roman" w:hAnsi="Arial" w:cs="Arial"/>
          <w:i/>
        </w:rPr>
        <w:tab/>
        <w:t xml:space="preserve">     English Teachers in Indigenous Peoples Education (IPEd)</w:t>
      </w:r>
    </w:p>
    <w:p>
      <w:pPr>
        <w:spacing w:line="240" w:lineRule="auto"/>
        <w:jc w:val="both"/>
        <w:rPr>
          <w:rFonts w:ascii="Arial" w:hAnsi="Arial" w:cs="Arial"/>
        </w:rPr>
      </w:pPr>
    </w:p>
    <w:p>
      <w:pPr>
        <w:spacing w:line="240" w:lineRule="auto"/>
        <w:jc w:val="both"/>
        <w:rPr>
          <w:rFonts w:ascii="Arial" w:hAnsi="Arial" w:cs="Arial"/>
          <w:b/>
        </w:rPr>
      </w:pPr>
      <w:r>
        <w:rPr>
          <w:rFonts w:ascii="Arial" w:hAnsi="Arial" w:cs="Arial"/>
          <w:b/>
        </w:rPr>
        <w:t>Implementation Structure</w:t>
      </w:r>
    </w:p>
    <w:tbl>
      <w:tblPr>
        <w:tblW w:w="9408" w:type="dxa"/>
        <w:tblCellSpacing w:w="15" w:type="dxa"/>
        <w:tblCellMar>
          <w:top w:w="15" w:type="dxa"/>
          <w:left w:w="15" w:type="dxa"/>
          <w:bottom w:w="15" w:type="dxa"/>
          <w:right w:w="15" w:type="dxa"/>
        </w:tblCellMar>
        <w:tblLook w:val="04A0" w:firstRow="1" w:lastRow="0" w:firstColumn="1" w:lastColumn="0" w:noHBand="0" w:noVBand="1"/>
      </w:tblPr>
      <w:tblGrid>
        <w:gridCol w:w="1141"/>
        <w:gridCol w:w="1107"/>
        <w:gridCol w:w="1312"/>
        <w:gridCol w:w="1131"/>
        <w:gridCol w:w="1275"/>
        <w:gridCol w:w="1138"/>
        <w:gridCol w:w="1164"/>
        <w:gridCol w:w="1140"/>
      </w:tblGrid>
      <w:tr>
        <w:trPr>
          <w:trHeight w:val="240"/>
          <w:tblHeader/>
          <w:tblCellSpacing w:w="15" w:type="dxa"/>
        </w:trPr>
        <w:tc>
          <w:tcPr>
            <w:tcW w:w="0" w:type="auto"/>
            <w:vAlign w:val="center"/>
            <w:hideMark/>
          </w:tcPr>
          <w:p>
            <w:pPr>
              <w:jc w:val="both"/>
              <w:rPr>
                <w:rFonts w:ascii="Arial" w:hAnsi="Arial" w:cs="Arial"/>
                <w:b/>
                <w:bCs/>
                <w:sz w:val="16"/>
                <w:szCs w:val="16"/>
              </w:rPr>
            </w:pPr>
            <w:r>
              <w:rPr>
                <w:rFonts w:ascii="Arial" w:hAnsi="Arial" w:cs="Arial"/>
                <w:b/>
                <w:bCs/>
                <w:sz w:val="16"/>
                <w:szCs w:val="16"/>
              </w:rPr>
              <w:t>Component</w:t>
            </w:r>
          </w:p>
        </w:tc>
        <w:tc>
          <w:tcPr>
            <w:tcW w:w="0" w:type="auto"/>
            <w:vAlign w:val="center"/>
            <w:hideMark/>
          </w:tcPr>
          <w:p>
            <w:pPr>
              <w:jc w:val="both"/>
              <w:rPr>
                <w:rFonts w:ascii="Arial" w:hAnsi="Arial" w:cs="Arial"/>
                <w:b/>
                <w:bCs/>
                <w:sz w:val="16"/>
                <w:szCs w:val="16"/>
              </w:rPr>
            </w:pPr>
            <w:r>
              <w:rPr>
                <w:rFonts w:ascii="Arial" w:hAnsi="Arial" w:cs="Arial"/>
                <w:b/>
                <w:bCs/>
                <w:sz w:val="16"/>
                <w:szCs w:val="16"/>
              </w:rPr>
              <w:t>Objectives</w:t>
            </w:r>
          </w:p>
        </w:tc>
        <w:tc>
          <w:tcPr>
            <w:tcW w:w="0" w:type="auto"/>
            <w:vAlign w:val="center"/>
            <w:hideMark/>
          </w:tcPr>
          <w:p>
            <w:pPr>
              <w:jc w:val="both"/>
              <w:rPr>
                <w:rFonts w:ascii="Arial" w:hAnsi="Arial" w:cs="Arial"/>
                <w:b/>
                <w:bCs/>
                <w:sz w:val="16"/>
                <w:szCs w:val="16"/>
              </w:rPr>
            </w:pPr>
            <w:r>
              <w:rPr>
                <w:rFonts w:ascii="Arial" w:hAnsi="Arial" w:cs="Arial"/>
                <w:b/>
                <w:bCs/>
                <w:sz w:val="16"/>
                <w:szCs w:val="16"/>
              </w:rPr>
              <w:t>Content Focus</w:t>
            </w:r>
          </w:p>
        </w:tc>
        <w:tc>
          <w:tcPr>
            <w:tcW w:w="0" w:type="auto"/>
            <w:vAlign w:val="center"/>
            <w:hideMark/>
          </w:tcPr>
          <w:p>
            <w:pPr>
              <w:jc w:val="both"/>
              <w:rPr>
                <w:rFonts w:ascii="Arial" w:hAnsi="Arial" w:cs="Arial"/>
                <w:b/>
                <w:bCs/>
                <w:sz w:val="16"/>
                <w:szCs w:val="16"/>
              </w:rPr>
            </w:pPr>
            <w:r>
              <w:rPr>
                <w:rFonts w:ascii="Arial" w:hAnsi="Arial" w:cs="Arial"/>
                <w:b/>
                <w:bCs/>
                <w:sz w:val="16"/>
                <w:szCs w:val="16"/>
              </w:rPr>
              <w:t>Design and Activities</w:t>
            </w:r>
          </w:p>
        </w:tc>
        <w:tc>
          <w:tcPr>
            <w:tcW w:w="0" w:type="auto"/>
            <w:vAlign w:val="center"/>
            <w:hideMark/>
          </w:tcPr>
          <w:p>
            <w:pPr>
              <w:jc w:val="both"/>
              <w:rPr>
                <w:rFonts w:ascii="Arial" w:hAnsi="Arial" w:cs="Arial"/>
                <w:b/>
                <w:bCs/>
                <w:sz w:val="16"/>
                <w:szCs w:val="16"/>
              </w:rPr>
            </w:pPr>
            <w:r>
              <w:rPr>
                <w:rFonts w:ascii="Arial" w:hAnsi="Arial" w:cs="Arial"/>
                <w:b/>
                <w:bCs/>
                <w:sz w:val="16"/>
                <w:szCs w:val="16"/>
              </w:rPr>
              <w:t>Materials Needed</w:t>
            </w:r>
          </w:p>
        </w:tc>
        <w:tc>
          <w:tcPr>
            <w:tcW w:w="0" w:type="auto"/>
            <w:vAlign w:val="center"/>
            <w:hideMark/>
          </w:tcPr>
          <w:p>
            <w:pPr>
              <w:jc w:val="both"/>
              <w:rPr>
                <w:rFonts w:ascii="Arial" w:hAnsi="Arial" w:cs="Arial"/>
                <w:b/>
                <w:bCs/>
                <w:sz w:val="16"/>
                <w:szCs w:val="16"/>
              </w:rPr>
            </w:pPr>
            <w:r>
              <w:rPr>
                <w:rFonts w:ascii="Arial" w:hAnsi="Arial" w:cs="Arial"/>
                <w:b/>
                <w:bCs/>
                <w:sz w:val="16"/>
                <w:szCs w:val="16"/>
              </w:rPr>
              <w:t>Expected Outputs</w:t>
            </w:r>
          </w:p>
        </w:tc>
        <w:tc>
          <w:tcPr>
            <w:tcW w:w="0" w:type="auto"/>
            <w:vAlign w:val="center"/>
            <w:hideMark/>
          </w:tcPr>
          <w:p>
            <w:pPr>
              <w:jc w:val="both"/>
              <w:rPr>
                <w:rFonts w:ascii="Arial" w:hAnsi="Arial" w:cs="Arial"/>
                <w:b/>
                <w:bCs/>
                <w:sz w:val="16"/>
                <w:szCs w:val="16"/>
              </w:rPr>
            </w:pPr>
            <w:r>
              <w:rPr>
                <w:rFonts w:ascii="Arial" w:hAnsi="Arial" w:cs="Arial"/>
                <w:b/>
                <w:bCs/>
                <w:sz w:val="16"/>
                <w:szCs w:val="16"/>
              </w:rPr>
              <w:t>Monitoring and Evaluation</w:t>
            </w:r>
          </w:p>
        </w:tc>
        <w:tc>
          <w:tcPr>
            <w:tcW w:w="0" w:type="auto"/>
            <w:vAlign w:val="center"/>
            <w:hideMark/>
          </w:tcPr>
          <w:p>
            <w:pPr>
              <w:jc w:val="both"/>
              <w:rPr>
                <w:rFonts w:ascii="Arial" w:hAnsi="Arial" w:cs="Arial"/>
                <w:b/>
                <w:bCs/>
                <w:sz w:val="16"/>
                <w:szCs w:val="16"/>
              </w:rPr>
            </w:pPr>
            <w:r>
              <w:rPr>
                <w:rFonts w:ascii="Arial" w:hAnsi="Arial" w:cs="Arial"/>
                <w:b/>
                <w:bCs/>
                <w:sz w:val="16"/>
                <w:szCs w:val="16"/>
              </w:rPr>
              <w:t>Sustainability Measures</w:t>
            </w:r>
          </w:p>
        </w:tc>
      </w:tr>
      <w:tr>
        <w:trPr>
          <w:trHeight w:val="759"/>
          <w:tblCellSpacing w:w="15" w:type="dxa"/>
        </w:trPr>
        <w:tc>
          <w:tcPr>
            <w:tcW w:w="0" w:type="auto"/>
            <w:vAlign w:val="center"/>
            <w:hideMark/>
          </w:tcPr>
          <w:p>
            <w:pPr>
              <w:rPr>
                <w:rFonts w:ascii="Arial" w:hAnsi="Arial" w:cs="Arial"/>
                <w:sz w:val="16"/>
                <w:szCs w:val="16"/>
              </w:rPr>
            </w:pPr>
            <w:r>
              <w:rPr>
                <w:rStyle w:val="Strong"/>
                <w:rFonts w:ascii="Arial" w:hAnsi="Arial" w:cs="Arial"/>
                <w:sz w:val="16"/>
                <w:szCs w:val="16"/>
              </w:rPr>
              <w:t>Phase 1: PICRAT-Based Instructional Enhancement</w:t>
            </w:r>
          </w:p>
        </w:tc>
        <w:tc>
          <w:tcPr>
            <w:tcW w:w="0" w:type="auto"/>
            <w:vAlign w:val="center"/>
            <w:hideMark/>
          </w:tcPr>
          <w:p>
            <w:pPr>
              <w:jc w:val="both"/>
              <w:rPr>
                <w:rFonts w:ascii="Arial" w:hAnsi="Arial" w:cs="Arial"/>
                <w:sz w:val="16"/>
                <w:szCs w:val="16"/>
              </w:rPr>
            </w:pPr>
            <w:r>
              <w:rPr>
                <w:rFonts w:ascii="Arial" w:hAnsi="Arial" w:cs="Arial"/>
                <w:sz w:val="16"/>
                <w:szCs w:val="16"/>
              </w:rPr>
              <w:t>Strengthen teachers’ understanding and application of the PICRAT framework in English Language Teaching.</w:t>
            </w:r>
          </w:p>
        </w:tc>
        <w:tc>
          <w:tcPr>
            <w:tcW w:w="0" w:type="auto"/>
            <w:vAlign w:val="center"/>
            <w:hideMark/>
          </w:tcPr>
          <w:p>
            <w:pPr>
              <w:jc w:val="both"/>
              <w:rPr>
                <w:rFonts w:ascii="Arial" w:hAnsi="Arial" w:cs="Arial"/>
                <w:sz w:val="16"/>
                <w:szCs w:val="16"/>
              </w:rPr>
            </w:pPr>
            <w:r>
              <w:rPr>
                <w:rFonts w:ascii="Arial" w:hAnsi="Arial" w:cs="Arial"/>
                <w:sz w:val="16"/>
                <w:szCs w:val="16"/>
              </w:rPr>
              <w:t>PICRAT framework, RAT dimensions, learner engagement dimensions, lesson mapping.</w:t>
            </w:r>
          </w:p>
        </w:tc>
        <w:tc>
          <w:tcPr>
            <w:tcW w:w="0" w:type="auto"/>
            <w:vAlign w:val="center"/>
            <w:hideMark/>
          </w:tcPr>
          <w:p>
            <w:pPr>
              <w:jc w:val="both"/>
              <w:rPr>
                <w:rFonts w:ascii="Arial" w:hAnsi="Arial" w:cs="Arial"/>
                <w:sz w:val="16"/>
                <w:szCs w:val="16"/>
              </w:rPr>
            </w:pPr>
            <w:r>
              <w:rPr>
                <w:rFonts w:ascii="Arial" w:hAnsi="Arial" w:cs="Arial"/>
                <w:sz w:val="16"/>
                <w:szCs w:val="16"/>
              </w:rPr>
              <w:t>Orientation-workshop, lesson analysis sessions, demonstration teaching, peer coaching, collaborative lesson planning.</w:t>
            </w:r>
          </w:p>
        </w:tc>
        <w:tc>
          <w:tcPr>
            <w:tcW w:w="0" w:type="auto"/>
            <w:vAlign w:val="center"/>
            <w:hideMark/>
          </w:tcPr>
          <w:p>
            <w:pPr>
              <w:jc w:val="both"/>
              <w:rPr>
                <w:rFonts w:ascii="Arial" w:hAnsi="Arial" w:cs="Arial"/>
                <w:sz w:val="16"/>
                <w:szCs w:val="16"/>
              </w:rPr>
            </w:pPr>
            <w:r>
              <w:rPr>
                <w:rFonts w:ascii="Arial" w:hAnsi="Arial" w:cs="Arial"/>
                <w:sz w:val="16"/>
                <w:szCs w:val="16"/>
              </w:rPr>
              <w:t>Training modules, lesson exemplars, PICRAT lesson-mapping templates, projector, printed materials.</w:t>
            </w:r>
          </w:p>
        </w:tc>
        <w:tc>
          <w:tcPr>
            <w:tcW w:w="0" w:type="auto"/>
            <w:vAlign w:val="center"/>
            <w:hideMark/>
          </w:tcPr>
          <w:p>
            <w:pPr>
              <w:jc w:val="both"/>
              <w:rPr>
                <w:rFonts w:ascii="Arial" w:hAnsi="Arial" w:cs="Arial"/>
                <w:sz w:val="16"/>
                <w:szCs w:val="16"/>
              </w:rPr>
            </w:pPr>
            <w:r>
              <w:rPr>
                <w:rFonts w:ascii="Arial" w:hAnsi="Arial" w:cs="Arial"/>
                <w:sz w:val="16"/>
                <w:szCs w:val="16"/>
              </w:rPr>
              <w:t>PICRAT-aligned lesson plans and instructional materials.</w:t>
            </w:r>
          </w:p>
        </w:tc>
        <w:tc>
          <w:tcPr>
            <w:tcW w:w="0" w:type="auto"/>
            <w:vAlign w:val="center"/>
            <w:hideMark/>
          </w:tcPr>
          <w:p>
            <w:pPr>
              <w:jc w:val="both"/>
              <w:rPr>
                <w:rFonts w:ascii="Arial" w:hAnsi="Arial" w:cs="Arial"/>
                <w:sz w:val="16"/>
                <w:szCs w:val="16"/>
              </w:rPr>
            </w:pPr>
            <w:r>
              <w:rPr>
                <w:rFonts w:ascii="Arial" w:hAnsi="Arial" w:cs="Arial"/>
                <w:sz w:val="16"/>
                <w:szCs w:val="16"/>
              </w:rPr>
              <w:t>Pre-test and post-test, lesson plan evaluation rubric, classroom observation.</w:t>
            </w:r>
          </w:p>
        </w:tc>
        <w:tc>
          <w:tcPr>
            <w:tcW w:w="0" w:type="auto"/>
            <w:vAlign w:val="center"/>
            <w:hideMark/>
          </w:tcPr>
          <w:p>
            <w:pPr>
              <w:jc w:val="both"/>
              <w:rPr>
                <w:rFonts w:ascii="Arial" w:hAnsi="Arial" w:cs="Arial"/>
                <w:sz w:val="16"/>
                <w:szCs w:val="16"/>
              </w:rPr>
            </w:pPr>
            <w:r>
              <w:rPr>
                <w:rFonts w:ascii="Arial" w:hAnsi="Arial" w:cs="Arial"/>
                <w:sz w:val="16"/>
                <w:szCs w:val="16"/>
              </w:rPr>
              <w:t>Integration of PICRAT lesson mapping into Learning Action Cell (LAC) sessions and school-based INSET activities.</w:t>
            </w:r>
          </w:p>
        </w:tc>
      </w:tr>
      <w:tr>
        <w:trPr>
          <w:trHeight w:val="321"/>
          <w:tblCellSpacing w:w="15" w:type="dxa"/>
        </w:trPr>
        <w:tc>
          <w:tcPr>
            <w:tcW w:w="0" w:type="auto"/>
            <w:vAlign w:val="center"/>
            <w:hideMark/>
          </w:tcPr>
          <w:p>
            <w:pPr>
              <w:rPr>
                <w:rFonts w:ascii="Arial" w:hAnsi="Arial" w:cs="Arial"/>
                <w:sz w:val="16"/>
                <w:szCs w:val="16"/>
              </w:rPr>
            </w:pPr>
            <w:r>
              <w:rPr>
                <w:rStyle w:val="Strong"/>
                <w:rFonts w:ascii="Arial" w:hAnsi="Arial" w:cs="Arial"/>
                <w:sz w:val="16"/>
                <w:szCs w:val="16"/>
              </w:rPr>
              <w:t>Phase 2: Culturally Responsive Digital Task Design</w:t>
            </w:r>
          </w:p>
        </w:tc>
        <w:tc>
          <w:tcPr>
            <w:tcW w:w="0" w:type="auto"/>
            <w:vAlign w:val="center"/>
            <w:hideMark/>
          </w:tcPr>
          <w:p>
            <w:pPr>
              <w:jc w:val="both"/>
              <w:rPr>
                <w:rFonts w:ascii="Arial" w:hAnsi="Arial" w:cs="Arial"/>
                <w:sz w:val="16"/>
                <w:szCs w:val="16"/>
              </w:rPr>
            </w:pPr>
            <w:r>
              <w:rPr>
                <w:rFonts w:ascii="Arial" w:hAnsi="Arial" w:cs="Arial"/>
                <w:sz w:val="16"/>
                <w:szCs w:val="16"/>
              </w:rPr>
              <w:t>Enhance teachers’ ability to design technology-supported English learning tasks that integrate Indigenous knowledge systems and local contexts.</w:t>
            </w:r>
          </w:p>
        </w:tc>
        <w:tc>
          <w:tcPr>
            <w:tcW w:w="0" w:type="auto"/>
            <w:vAlign w:val="center"/>
            <w:hideMark/>
          </w:tcPr>
          <w:p>
            <w:pPr>
              <w:jc w:val="both"/>
              <w:rPr>
                <w:rFonts w:ascii="Arial" w:hAnsi="Arial" w:cs="Arial"/>
                <w:sz w:val="16"/>
                <w:szCs w:val="16"/>
              </w:rPr>
            </w:pPr>
            <w:r>
              <w:rPr>
                <w:rFonts w:ascii="Arial" w:hAnsi="Arial" w:cs="Arial"/>
                <w:sz w:val="16"/>
                <w:szCs w:val="16"/>
              </w:rPr>
              <w:t>Contextualization strategies, Indigenous knowledge integration, digital storytelling, localized multimedia development.</w:t>
            </w:r>
          </w:p>
        </w:tc>
        <w:tc>
          <w:tcPr>
            <w:tcW w:w="0" w:type="auto"/>
            <w:vAlign w:val="center"/>
            <w:hideMark/>
          </w:tcPr>
          <w:p>
            <w:pPr>
              <w:jc w:val="both"/>
              <w:rPr>
                <w:rFonts w:ascii="Arial" w:hAnsi="Arial" w:cs="Arial"/>
                <w:sz w:val="16"/>
                <w:szCs w:val="16"/>
              </w:rPr>
            </w:pPr>
            <w:r>
              <w:rPr>
                <w:rFonts w:ascii="Arial" w:hAnsi="Arial" w:cs="Arial"/>
                <w:sz w:val="16"/>
                <w:szCs w:val="16"/>
              </w:rPr>
              <w:t>Workshop on contextualized lesson development, collaborative resource creation, consultation with IP elders and community stakeholders.</w:t>
            </w:r>
          </w:p>
        </w:tc>
        <w:tc>
          <w:tcPr>
            <w:tcW w:w="0" w:type="auto"/>
            <w:vAlign w:val="center"/>
            <w:hideMark/>
          </w:tcPr>
          <w:p>
            <w:pPr>
              <w:jc w:val="both"/>
              <w:rPr>
                <w:rFonts w:ascii="Arial" w:hAnsi="Arial" w:cs="Arial"/>
                <w:sz w:val="16"/>
                <w:szCs w:val="16"/>
              </w:rPr>
            </w:pPr>
            <w:r>
              <w:rPr>
                <w:rFonts w:ascii="Arial" w:hAnsi="Arial" w:cs="Arial"/>
                <w:sz w:val="16"/>
                <w:szCs w:val="16"/>
              </w:rPr>
              <w:t>Local cultural resources, multimedia tools, laptops, smartphones, internet access, contextualization templates.</w:t>
            </w:r>
          </w:p>
        </w:tc>
        <w:tc>
          <w:tcPr>
            <w:tcW w:w="0" w:type="auto"/>
            <w:vAlign w:val="center"/>
            <w:hideMark/>
          </w:tcPr>
          <w:p>
            <w:pPr>
              <w:jc w:val="both"/>
              <w:rPr>
                <w:rFonts w:ascii="Arial" w:hAnsi="Arial" w:cs="Arial"/>
                <w:sz w:val="16"/>
                <w:szCs w:val="16"/>
              </w:rPr>
            </w:pPr>
            <w:r>
              <w:rPr>
                <w:rFonts w:ascii="Arial" w:hAnsi="Arial" w:cs="Arial"/>
                <w:sz w:val="16"/>
                <w:szCs w:val="16"/>
              </w:rPr>
              <w:t>Contextualized digital learning resources and culturally responsive English learning tasks.</w:t>
            </w:r>
          </w:p>
        </w:tc>
        <w:tc>
          <w:tcPr>
            <w:tcW w:w="0" w:type="auto"/>
            <w:vAlign w:val="center"/>
            <w:hideMark/>
          </w:tcPr>
          <w:p>
            <w:pPr>
              <w:jc w:val="both"/>
              <w:rPr>
                <w:rFonts w:ascii="Arial" w:hAnsi="Arial" w:cs="Arial"/>
                <w:sz w:val="16"/>
                <w:szCs w:val="16"/>
              </w:rPr>
            </w:pPr>
            <w:r>
              <w:rPr>
                <w:rFonts w:ascii="Arial" w:hAnsi="Arial" w:cs="Arial"/>
                <w:sz w:val="16"/>
                <w:szCs w:val="16"/>
              </w:rPr>
              <w:t>Output evaluation, classroom implementation review, instructional material validation.</w:t>
            </w:r>
          </w:p>
        </w:tc>
        <w:tc>
          <w:tcPr>
            <w:tcW w:w="0" w:type="auto"/>
            <w:vAlign w:val="center"/>
            <w:hideMark/>
          </w:tcPr>
          <w:p>
            <w:pPr>
              <w:jc w:val="both"/>
              <w:rPr>
                <w:rFonts w:ascii="Arial" w:hAnsi="Arial" w:cs="Arial"/>
                <w:sz w:val="16"/>
                <w:szCs w:val="16"/>
              </w:rPr>
            </w:pPr>
            <w:r>
              <w:rPr>
                <w:rFonts w:ascii="Arial" w:hAnsi="Arial" w:cs="Arial"/>
                <w:sz w:val="16"/>
                <w:szCs w:val="16"/>
              </w:rPr>
              <w:t>Creation of a localized digital resource repository for IPEd schools within the division.</w:t>
            </w:r>
          </w:p>
        </w:tc>
      </w:tr>
      <w:tr>
        <w:trPr>
          <w:trHeight w:val="761"/>
          <w:tblCellSpacing w:w="15" w:type="dxa"/>
        </w:trPr>
        <w:tc>
          <w:tcPr>
            <w:tcW w:w="0" w:type="auto"/>
            <w:vAlign w:val="center"/>
            <w:hideMark/>
          </w:tcPr>
          <w:p>
            <w:pPr>
              <w:rPr>
                <w:rFonts w:ascii="Arial" w:hAnsi="Arial" w:cs="Arial"/>
                <w:sz w:val="16"/>
                <w:szCs w:val="16"/>
              </w:rPr>
            </w:pPr>
            <w:r>
              <w:rPr>
                <w:rStyle w:val="Strong"/>
                <w:rFonts w:ascii="Arial" w:hAnsi="Arial" w:cs="Arial"/>
                <w:sz w:val="16"/>
                <w:szCs w:val="16"/>
              </w:rPr>
              <w:t>Phase 3: Technology-Mediated Collaboration and Learner Engagement</w:t>
            </w:r>
          </w:p>
        </w:tc>
        <w:tc>
          <w:tcPr>
            <w:tcW w:w="0" w:type="auto"/>
            <w:vAlign w:val="center"/>
            <w:hideMark/>
          </w:tcPr>
          <w:p>
            <w:pPr>
              <w:jc w:val="both"/>
              <w:rPr>
                <w:rFonts w:ascii="Arial" w:hAnsi="Arial" w:cs="Arial"/>
                <w:sz w:val="16"/>
                <w:szCs w:val="16"/>
              </w:rPr>
            </w:pPr>
            <w:r>
              <w:rPr>
                <w:rFonts w:ascii="Arial" w:hAnsi="Arial" w:cs="Arial"/>
                <w:sz w:val="16"/>
                <w:szCs w:val="16"/>
              </w:rPr>
              <w:t>Strengthen collaborative, interactive, creative, and reflective learner engagement through technology-supported instruction.</w:t>
            </w:r>
          </w:p>
        </w:tc>
        <w:tc>
          <w:tcPr>
            <w:tcW w:w="0" w:type="auto"/>
            <w:vAlign w:val="center"/>
            <w:hideMark/>
          </w:tcPr>
          <w:p>
            <w:pPr>
              <w:jc w:val="both"/>
              <w:rPr>
                <w:rFonts w:ascii="Arial" w:hAnsi="Arial" w:cs="Arial"/>
                <w:sz w:val="16"/>
                <w:szCs w:val="16"/>
              </w:rPr>
            </w:pPr>
            <w:r>
              <w:rPr>
                <w:rFonts w:ascii="Arial" w:hAnsi="Arial" w:cs="Arial"/>
                <w:sz w:val="16"/>
                <w:szCs w:val="16"/>
              </w:rPr>
              <w:t>Collaborative learning strategies, inquiry-based learning, digital collaboration tools, reflective learning activities.</w:t>
            </w:r>
          </w:p>
        </w:tc>
        <w:tc>
          <w:tcPr>
            <w:tcW w:w="0" w:type="auto"/>
            <w:vAlign w:val="center"/>
            <w:hideMark/>
          </w:tcPr>
          <w:p>
            <w:pPr>
              <w:jc w:val="both"/>
              <w:rPr>
                <w:rFonts w:ascii="Arial" w:hAnsi="Arial" w:cs="Arial"/>
                <w:sz w:val="16"/>
                <w:szCs w:val="16"/>
              </w:rPr>
            </w:pPr>
            <w:r>
              <w:rPr>
                <w:rFonts w:ascii="Arial" w:hAnsi="Arial" w:cs="Arial"/>
                <w:sz w:val="16"/>
                <w:szCs w:val="16"/>
              </w:rPr>
              <w:t>Demonstration teaching, peer-learning activities, collaborative digital projects, inquiry-based learning tasks.</w:t>
            </w:r>
          </w:p>
        </w:tc>
        <w:tc>
          <w:tcPr>
            <w:tcW w:w="0" w:type="auto"/>
            <w:vAlign w:val="center"/>
            <w:hideMark/>
          </w:tcPr>
          <w:p>
            <w:pPr>
              <w:jc w:val="both"/>
              <w:rPr>
                <w:rFonts w:ascii="Arial" w:hAnsi="Arial" w:cs="Arial"/>
                <w:sz w:val="16"/>
                <w:szCs w:val="16"/>
              </w:rPr>
            </w:pPr>
            <w:r>
              <w:rPr>
                <w:rFonts w:ascii="Arial" w:hAnsi="Arial" w:cs="Arial"/>
                <w:sz w:val="16"/>
                <w:szCs w:val="16"/>
              </w:rPr>
              <w:t>Digital devices, collaborative learning platforms, activity sheets, learner engagement monitoring tools.</w:t>
            </w:r>
          </w:p>
        </w:tc>
        <w:tc>
          <w:tcPr>
            <w:tcW w:w="0" w:type="auto"/>
            <w:vAlign w:val="center"/>
            <w:hideMark/>
          </w:tcPr>
          <w:p>
            <w:pPr>
              <w:jc w:val="both"/>
              <w:rPr>
                <w:rFonts w:ascii="Arial" w:hAnsi="Arial" w:cs="Arial"/>
                <w:sz w:val="16"/>
                <w:szCs w:val="16"/>
              </w:rPr>
            </w:pPr>
            <w:r>
              <w:rPr>
                <w:rFonts w:ascii="Arial" w:hAnsi="Arial" w:cs="Arial"/>
                <w:sz w:val="16"/>
                <w:szCs w:val="16"/>
              </w:rPr>
              <w:t>Increased collaborative and interactive learner participation and technology-supported outputs.</w:t>
            </w:r>
          </w:p>
        </w:tc>
        <w:tc>
          <w:tcPr>
            <w:tcW w:w="0" w:type="auto"/>
            <w:vAlign w:val="center"/>
            <w:hideMark/>
          </w:tcPr>
          <w:p>
            <w:pPr>
              <w:jc w:val="both"/>
              <w:rPr>
                <w:rFonts w:ascii="Arial" w:hAnsi="Arial" w:cs="Arial"/>
                <w:sz w:val="16"/>
                <w:szCs w:val="16"/>
              </w:rPr>
            </w:pPr>
            <w:r>
              <w:rPr>
                <w:rFonts w:ascii="Arial" w:hAnsi="Arial" w:cs="Arial"/>
                <w:sz w:val="16"/>
                <w:szCs w:val="16"/>
              </w:rPr>
              <w:t>Classroom observation, learner engagement monitoring checklist, learner output assessment.</w:t>
            </w:r>
          </w:p>
        </w:tc>
        <w:tc>
          <w:tcPr>
            <w:tcW w:w="0" w:type="auto"/>
            <w:vAlign w:val="center"/>
            <w:hideMark/>
          </w:tcPr>
          <w:p>
            <w:pPr>
              <w:jc w:val="both"/>
              <w:rPr>
                <w:rFonts w:ascii="Arial" w:hAnsi="Arial" w:cs="Arial"/>
                <w:sz w:val="16"/>
                <w:szCs w:val="16"/>
              </w:rPr>
            </w:pPr>
            <w:r>
              <w:rPr>
                <w:rFonts w:ascii="Arial" w:hAnsi="Arial" w:cs="Arial"/>
                <w:sz w:val="16"/>
                <w:szCs w:val="16"/>
              </w:rPr>
              <w:t>Integration of collaborative digital activities into regular English classroom instruction.</w:t>
            </w:r>
          </w:p>
        </w:tc>
      </w:tr>
    </w:tbl>
    <w:p>
      <w:pPr>
        <w:spacing w:line="480" w:lineRule="auto"/>
        <w:jc w:val="both"/>
        <w:rPr>
          <w:rFonts w:ascii="Arial" w:hAnsi="Arial" w:cs="Arial"/>
          <w:b/>
        </w:rPr>
      </w:pPr>
    </w:p>
    <w:p>
      <w:pPr>
        <w:spacing w:line="480" w:lineRule="auto"/>
        <w:jc w:val="both"/>
        <w:rPr>
          <w:rFonts w:ascii="Arial" w:hAnsi="Arial" w:cs="Arial"/>
        </w:rPr>
      </w:pPr>
      <w:r>
        <w:rPr>
          <w:rFonts w:ascii="Arial" w:hAnsi="Arial" w:cs="Arial"/>
          <w:b/>
        </w:rPr>
        <w:lastRenderedPageBreak/>
        <w:t xml:space="preserve">Target Participants: </w:t>
      </w:r>
      <w:r>
        <w:rPr>
          <w:rFonts w:ascii="Arial" w:hAnsi="Arial" w:cs="Arial"/>
        </w:rPr>
        <w:t xml:space="preserve">English Teachers in Indigenous Peoples Education Schools </w:t>
      </w:r>
    </w:p>
    <w:p>
      <w:pPr>
        <w:spacing w:line="480" w:lineRule="auto"/>
        <w:jc w:val="both"/>
        <w:rPr>
          <w:rFonts w:ascii="Arial" w:hAnsi="Arial" w:cs="Arial"/>
        </w:rPr>
      </w:pPr>
      <w:r>
        <w:rPr>
          <w:rFonts w:ascii="Arial" w:hAnsi="Arial" w:cs="Arial"/>
          <w:b/>
        </w:rPr>
        <w:t>Duration:</w:t>
      </w:r>
      <w:r>
        <w:rPr>
          <w:rFonts w:ascii="Arial" w:hAnsi="Arial" w:cs="Arial"/>
        </w:rPr>
        <w:t xml:space="preserve"> One School Year (School-Based Implementation)</w:t>
      </w:r>
    </w:p>
    <w:p>
      <w:pPr>
        <w:spacing w:line="480" w:lineRule="auto"/>
        <w:jc w:val="both"/>
        <w:rPr>
          <w:rFonts w:ascii="Arial" w:hAnsi="Arial" w:cs="Arial"/>
        </w:rPr>
      </w:pPr>
      <w:r>
        <w:rPr>
          <w:rFonts w:ascii="Arial" w:hAnsi="Arial" w:cs="Arial"/>
          <w:b/>
        </w:rPr>
        <w:t>Implementing Offices:</w:t>
      </w:r>
      <w:r>
        <w:rPr>
          <w:rFonts w:ascii="Arial" w:hAnsi="Arial" w:cs="Arial"/>
        </w:rPr>
        <w:t xml:space="preserve"> School Heads, English Coordinators, EPS-English, EPS-IPEd, ICT Coordinators, Learning Resource Coordinators, and Indigenous Community Representatives</w:t>
      </w:r>
    </w:p>
    <w:p>
      <w:pPr>
        <w:spacing w:line="480" w:lineRule="auto"/>
        <w:jc w:val="both"/>
        <w:rPr>
          <w:rFonts w:ascii="Arial" w:hAnsi="Arial" w:cs="Arial"/>
        </w:rPr>
      </w:pPr>
      <w:r>
        <w:rPr>
          <w:rFonts w:ascii="Arial" w:hAnsi="Arial" w:cs="Arial"/>
          <w:b/>
        </w:rPr>
        <w:t>Funding Sources:</w:t>
      </w:r>
      <w:r>
        <w:rPr>
          <w:rFonts w:ascii="Arial" w:hAnsi="Arial" w:cs="Arial"/>
        </w:rPr>
        <w:t xml:space="preserve"> School MOOE, INSET Funds, Division Training Funds, Local Stakeholder Support, and Other Available DepEd Resources</w:t>
      </w:r>
    </w:p>
    <w:p>
      <w:pPr>
        <w:spacing w:line="480" w:lineRule="auto"/>
        <w:jc w:val="both"/>
        <w:rPr>
          <w:rFonts w:ascii="Arial" w:hAnsi="Arial" w:cs="Arial"/>
        </w:rPr>
      </w:pPr>
      <w:r>
        <w:rPr>
          <w:rFonts w:ascii="Arial" w:hAnsi="Arial" w:cs="Arial"/>
          <w:b/>
        </w:rPr>
        <w:t>Expected Outcome:</w:t>
      </w:r>
      <w:r>
        <w:rPr>
          <w:rFonts w:ascii="Arial" w:hAnsi="Arial" w:cs="Arial"/>
        </w:rPr>
        <w:t xml:space="preserve"> Enhanced implementation of PICRAT-aligned, culturally responsive, and transformative technology-supported English instruction characterized by increased collaborative learner engagement, improved contextualized digital learning resources, and strengthened technology integration practices in Indigenous Peoples Education classrooms.</w:t>
      </w:r>
    </w:p>
    <w:p>
      <w:pPr>
        <w:spacing w:line="480" w:lineRule="auto"/>
        <w:jc w:val="both"/>
        <w:rPr>
          <w:rFonts w:ascii="Arial" w:hAnsi="Arial" w:cs="Arial"/>
          <w:b/>
        </w:rPr>
      </w:pPr>
      <w:r>
        <w:rPr>
          <w:rFonts w:ascii="Arial" w:hAnsi="Arial" w:cs="Arial"/>
          <w:b/>
        </w:rPr>
        <w:t>Summary</w:t>
      </w:r>
    </w:p>
    <w:p>
      <w:pPr>
        <w:spacing w:line="480" w:lineRule="auto"/>
        <w:jc w:val="both"/>
        <w:rPr>
          <w:rFonts w:ascii="Arial" w:hAnsi="Arial" w:cs="Arial"/>
        </w:rPr>
      </w:pPr>
      <w:r>
        <w:rPr>
          <w:rFonts w:ascii="Arial" w:hAnsi="Arial" w:cs="Arial"/>
        </w:rPr>
        <w:tab/>
        <w:t xml:space="preserve">The study examined technology integration in English Language Teaching among Indigenous Peoples Education (IPEd) teachers through the PICRAT framework. Findings revealed that teachers generally demonstrated a high level of competence in integrating technology across PICRAT-based pedagogical knowledge, cultural responsiveness and contextualization, technology knowledge and adaptive proficiency, access to technological resources, and reflective teaching practice.ower ratings were observed in technology-mediated dialogue </w:t>
      </w:r>
      <w:r>
        <w:rPr>
          <w:rFonts w:ascii="Arial" w:hAnsi="Arial" w:cs="Arial"/>
        </w:rPr>
        <w:lastRenderedPageBreak/>
        <w:t>and collaboration and in the design of culturally responsive technology-supported learning tasks.</w:t>
      </w:r>
    </w:p>
    <w:p>
      <w:pPr>
        <w:spacing w:line="480" w:lineRule="auto"/>
        <w:jc w:val="both"/>
        <w:rPr>
          <w:rFonts w:ascii="Arial" w:hAnsi="Arial" w:cs="Arial"/>
        </w:rPr>
      </w:pPr>
      <w:r>
        <w:rPr>
          <w:rFonts w:ascii="Arial" w:hAnsi="Arial" w:cs="Arial"/>
        </w:rPr>
        <w:tab/>
        <w:t>Results further indicated that teachers implemented technology across the Replacement, Amplification, and Transformation (RAT) dimensions, with amplification practices being more prevalent than transformative applications. Inferential analyses revealed significant relationships between teachers’ competence and technology integration practices, indicating that higher levels of competence were associated with more effective implementation of PICRAT-aligned instruction. Regression analysis demonstrated that teachers’ competence and learner engagement significantly predicted RAT-level technology use, confirming their important role in shaping the quality and depth of technology integration in IPEd classrooms.</w:t>
      </w:r>
    </w:p>
    <w:p>
      <w:pPr>
        <w:spacing w:line="480" w:lineRule="auto"/>
        <w:jc w:val="both"/>
        <w:rPr>
          <w:rFonts w:ascii="Arial" w:hAnsi="Arial" w:cs="Arial"/>
        </w:rPr>
      </w:pPr>
      <w:r>
        <w:rPr>
          <w:rFonts w:ascii="Arial" w:hAnsi="Arial" w:cs="Arial"/>
        </w:rPr>
        <w:tab/>
        <w:t xml:space="preserve">These findings support the view that effective technology integration is influenced by the interaction of teacher competence, learner engagement, instructional practices, and contextual conditions. Zheng and Warschauer (2022) emphasized the importance of learner engagement in maximizing technology-supported learning outcomes. The findings also align with Agaton and Cueto (2021) and Selwyn (2023), who underscored the persistent impact of contextual constraints on technology integration, particularly in geographically isolated and resource-constrained educational settings. </w:t>
      </w:r>
    </w:p>
    <w:p>
      <w:pPr>
        <w:spacing w:line="480" w:lineRule="auto"/>
        <w:jc w:val="center"/>
        <w:rPr>
          <w:rFonts w:ascii="Arial" w:hAnsi="Arial" w:cs="Arial"/>
          <w:b/>
        </w:rPr>
      </w:pPr>
    </w:p>
    <w:p>
      <w:pPr>
        <w:spacing w:line="480" w:lineRule="auto"/>
        <w:jc w:val="center"/>
        <w:rPr>
          <w:rFonts w:ascii="Arial" w:hAnsi="Arial" w:cs="Arial"/>
        </w:rPr>
      </w:pPr>
      <w:r>
        <w:rPr>
          <w:rFonts w:ascii="Arial" w:hAnsi="Arial" w:cs="Arial"/>
        </w:rPr>
        <w:lastRenderedPageBreak/>
        <w:t>Chapter 5</w:t>
      </w:r>
    </w:p>
    <w:p>
      <w:pPr>
        <w:spacing w:line="480" w:lineRule="auto"/>
        <w:jc w:val="center"/>
        <w:rPr>
          <w:rFonts w:ascii="Arial" w:hAnsi="Arial" w:cs="Arial"/>
          <w:b/>
        </w:rPr>
      </w:pPr>
      <w:r>
        <w:rPr>
          <w:rFonts w:ascii="Arial" w:hAnsi="Arial" w:cs="Arial"/>
          <w:b/>
        </w:rPr>
        <w:t>SUMMARY, CONCLUSIONS, AND RECOMMENDATIONS</w:t>
      </w:r>
    </w:p>
    <w:p>
      <w:pPr>
        <w:spacing w:after="120" w:line="480" w:lineRule="auto"/>
        <w:jc w:val="both"/>
        <w:rPr>
          <w:rFonts w:ascii="Arial" w:eastAsia="Times New Roman" w:hAnsi="Arial" w:cs="Arial"/>
          <w:kern w:val="0"/>
          <w:lang w:val="en-PH" w:eastAsia="en-PH"/>
          <w14:ligatures w14:val="none"/>
        </w:rPr>
      </w:pPr>
      <w:r>
        <w:rPr>
          <w:rFonts w:ascii="Arial" w:hAnsi="Arial" w:cs="Arial"/>
        </w:rPr>
        <w:tab/>
      </w:r>
      <w:r>
        <w:rPr>
          <w:rFonts w:ascii="Arial" w:eastAsia="Times New Roman" w:hAnsi="Arial" w:cs="Arial"/>
          <w:kern w:val="0"/>
          <w:lang w:val="en-PH" w:eastAsia="en-PH"/>
          <w14:ligatures w14:val="none"/>
        </w:rPr>
        <w:t xml:space="preserve">This chapter presents a summary of the study's findings, conclusions, and recommendations on technology integration in English Language Teaching (ELT) within Indigenous Peoples Education (IPEd) classrooms, using the PICRAT model. </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b/>
          <w:bCs/>
          <w:kern w:val="0"/>
          <w:lang w:val="en-PH" w:eastAsia="en-PH"/>
          <w14:ligatures w14:val="none"/>
        </w:rPr>
        <w:t>Summary of Findings</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t>The findings revealed that teachers generally demonstrated competence in integrating technology into English instruction within Indigenous Peoples' Education classrooms, particularly in PICRAT-based pedagogical knowledge, cultural responsiveness and contextualization, technology knowledge and adaptive proficiency, access to technological resources, and reflective teaching practice.</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t>English teachers in Indigenous Peoples Education (IPEd) classrooms generally demonstrated competence in integrating technology into instruction. Their competencies were evident in their ability to utilize digital tools to support learner engagement, facilitate meaningful learning experiences, and respond to the instructional demands of technology-supported English Language Teaching. Technology integration has become an established component of instructional practice among teachers despite the contextual realities of Indigenous learning environments.</w:t>
      </w:r>
      <w:r>
        <w:rPr>
          <w:rFonts w:ascii="Arial" w:eastAsia="Times New Roman" w:hAnsi="Arial" w:cs="Arial"/>
          <w:kern w:val="0"/>
          <w:lang w:val="en-PH" w:eastAsia="en-PH"/>
          <w14:ligatures w14:val="none"/>
        </w:rPr>
        <w:t xml:space="preserve"> </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lastRenderedPageBreak/>
        <w:tab/>
      </w:r>
      <w:bookmarkStart w:id="1" w:name="_GoBack"/>
      <w:bookmarkEnd w:id="1"/>
      <w:r>
        <w:rPr>
          <w:rFonts w:ascii="Arial" w:eastAsia="Times New Roman" w:hAnsi="Arial" w:cs="Arial"/>
          <w:kern w:val="0"/>
          <w:lang w:val="en-PH" w:eastAsia="en-PH"/>
          <w14:ligatures w14:val="none"/>
        </w:rPr>
        <w:t>Indigenous Peoples learners were generally engaged in technology-supported English learning activities, showing that technology served as meaningful support for classroom participation and learning. Engagement was more evident in individual and content-focused experiences than in collaborative learning activities, indicating variation across engagement dimensions.</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t>Teachers moderately practiced PICRAT-aligned technology integration processes in English instruction. Technology was used to support knowledge construction, inquiry, and learner participation; however, more interactive, collaborative, and culturally grounded technology-supported instructional processes were still in development. Technology integration has been adopted in classroom practice, but has not yet consistently reached more advanced levels of implementation.</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t>Technology integration increasingly went beyond basic substitution, enriching learning experiences. Teachers incorporated technology in ways that support more meaningful instructional applications within English Language Teaching. Teachers generally practiced technology use across the RAT dimensions of Replacement, Amplification, and Transformation.</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t xml:space="preserve">Challenges in indigenizing English learning through technology-supported tasks, as encountered by teachers, are highly evident. These challenges were associated not only with technological and infrastructural limitations but also with the complexities of aligning curriculum requirements, culturally responsive </w:t>
      </w:r>
      <w:r>
        <w:rPr>
          <w:rFonts w:ascii="Arial" w:eastAsia="Times New Roman" w:hAnsi="Arial" w:cs="Arial"/>
          <w:kern w:val="0"/>
          <w:lang w:val="en-PH" w:eastAsia="en-PH"/>
          <w14:ligatures w14:val="none"/>
        </w:rPr>
        <w:lastRenderedPageBreak/>
        <w:t>instruction, and meaningful technology integration. They reflect the multifaceted realities teachers face in implementing technology-supported English instruction within Indigenous educational settings.</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t>Competence in technology integration was significantly associated with technology integration practices. Teachers who possess stronger technological, pedagogical, and contextual competencies are more likely to implement meaningful technology-supported instructional processes. Competence, therefore, emerged as an important factor influencing the quality of classroom technology integration.</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t>Selected technology integration practices were significantly related to learners’ technology-supported engagement. Instructional practices that promoted knowledge construction, inquiry, problem-solving, and interaction were associated with greater learner participation in English learning activities. This shows that learner engagement is influenced not merely by technology use itself but by how technology is integrated into instructional processes.</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t>Teacher competence and learner engagement were identified as significant predictors of teachers’ RAT-level technology use. Transformative technology integration is more likely to occur when teachers possess the necessary competencies and when learners actively participate in technology-supported learning experiences. These factors were found to contribute substantially to higher levels of instructional technology integration.</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lastRenderedPageBreak/>
        <w:tab/>
        <w:t>Challenges encountered by teachers were significantly related to specific dimensions of technology integration practices and learner engagement. Their influence was particularly evident in instructional processes that required collaboration, interaction, and cultural contextualization. Contextual barriers affect the depth and quality of technology integration more than actual implementation.</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t>The PICRAT-Guided Transformative Technology Integration Program for English Teachers in Indigenous Peoples Education was developed. The proposed intervention program was designed to strengthen teachers’ competence in technology integration, enhance learner engagement, promote transformative use of technology, and address contextual challenges associated with technology-supported English instruction in Indigenous learning environments. The program serves as a context-sensitive and culturally responsive framework supporting the sustainable integration of technology in English Language Teaching.</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b/>
          <w:bCs/>
          <w:kern w:val="0"/>
          <w:lang w:val="en-PH" w:eastAsia="en-PH"/>
          <w14:ligatures w14:val="none"/>
        </w:rPr>
        <w:t>Conclusions</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t>Based on the findings of the study, the following conclusions were drawn:</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t>Indigenous Peoples learners are capable of engaging in technology-supported English learning experiences. Technology provides opportunities for participation and involvement in language learning activities; however, this engagement tends to be more evident in individual learning experiences than in collaborative settings.</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lastRenderedPageBreak/>
        <w:tab/>
        <w:t>Technology integration practices in IPEd English classrooms are present but remain at a developing stage. While teachers can implement technology-supported instructional processes that facilitate learning, more interactive, collaborative, and culturally responsive applications of technology have yet to be consistently embedded in classroom practice.</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t>Teachers’ use of technology reflects a progression from basic adoption to more meaningful instructional applications. The presence of replacement, amplification, and transformation practices indicates that technology is increasingly used to enrich English learning experiences rather than merely to replace traditional instructional methods.</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t>The process of indigenizing English instruction through technology is influenced by multiple contextual, pedagogical, and cultural challenges. These challenges extend beyond issues of technological access and reflect the complexities of aligning curriculum expectations, meaningfully integrating technology, and providing culturally responsive instruction within Indigenous learning environments.</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t>Teachers’ competence serves as an important determinant of technology integration practices. The findings suggest that stronger technological, pedagogical, and contextual competencies enable teachers to implement more effective and meaningful technology-supported instructional processes in English Language Teaching.</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lastRenderedPageBreak/>
        <w:tab/>
        <w:t>Learner engagement is influenced by the quality of technology integration practices implemented in the classroom. Meaningful instructional processes that promote inquiry, interaction, knowledge construction, and active participation contribute to stronger learner engagement in technology-supported English learning activities.</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t>Teacher competence and learner engagement are key factors that contribute to higher levels of RAT-based technology use. Transformative technology integration is more likely to occur when teachers possess the necessary competencies and when learners actively participate in technology-supported learning experiences.</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t>Contextual challenges exert a greater influence on collaborative and culturally responsive dimensions of technology integration than on individual or teacher-directed instructional activities. This indicates that collaboration, interaction, and cultural contextualization remain the most vulnerable aspects of technology-supported English instruction within Indigenous educational settings.</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t>The PICRAT-Guided Transformative Technology Integration Program provides a context-responsive framework for enhancing technology integration in Indigenous Peoples' Education. By identifying needs in teacher competence, learner engagement, instructional practices, and contextual challenges, the program offers a practical basis for strengthening culturally responsive and transformative English Language Teaching in IPEd classrooms.</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b/>
          <w:bCs/>
          <w:kern w:val="0"/>
          <w:lang w:val="en-PH" w:eastAsia="en-PH"/>
          <w14:ligatures w14:val="none"/>
        </w:rPr>
        <w:lastRenderedPageBreak/>
        <w:t>Recommendations</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t>In light of the findings and conclusions of the study, the following recommendations are proposed:</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t>English teachers in Indigenous Peoples Education (IPEd) schools may continue strengthening their competence in technology integration through reflective teaching practices, PICRAT-aligned instructional planning, and culturally responsive digital pedagogy. Greater emphasis may be placed on designing technology-supported learning experiences that promote collaboration, inquiry, creativity, and meaningful learner engagement, while integrating Indigenous knowledge systems and local community experiences into English instruction.</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r>
      <w:r>
        <w:rPr>
          <w:rFonts w:ascii="Arial" w:eastAsia="Times New Roman" w:hAnsi="Arial" w:cs="Arial"/>
          <w:kern w:val="0"/>
          <w:lang w:val="en-PH" w:eastAsia="en-PH"/>
          <w14:ligatures w14:val="none"/>
        </w:rPr>
        <w:tab/>
        <w:t>School administrators may strengthen Learning Action Cell (LAC) sessions, mentoring programs, instructional coaching, and professional learning communities that focus on technology-mediated collaboration, culturally responsive task design, reflective practice, and transformative technology integration. Efforts may likewise support the development, sharing, and use of localized digital learning resources that are responsive to the realities of geographically isolated and disadvantaged IPEd schools.</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t xml:space="preserve">The Department of Education, particularly the Schools Division Office of Tandag City, may sustain professional development initiatives and strengthen institutional support mechanisms to enhance teachers’ capacity to implement culturally responsive, technology-supported English instruction. Continued </w:t>
      </w:r>
      <w:r>
        <w:rPr>
          <w:rFonts w:ascii="Arial" w:eastAsia="Times New Roman" w:hAnsi="Arial" w:cs="Arial"/>
          <w:kern w:val="0"/>
          <w:lang w:val="en-PH" w:eastAsia="en-PH"/>
          <w14:ligatures w14:val="none"/>
        </w:rPr>
        <w:lastRenderedPageBreak/>
        <w:t>provision of context-appropriate technological resources, technical assistance, and offline or low-bandwidth learning solutions may further address challenges experienced in Indigenous educational settings.</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t>Curriculum developers, learning resource developers, and IPEd implementers may collaborate in producing culturally localized, linguistically appropriate, and technology-supported instructional materials that meaningfully integrate Indigenous knowledge systems, community experiences, and local cultural contexts. Such initiatives may support the implementation of more collaborative, inquiry-based, and transformative learning experiences aligned with the PICRAT framework.</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t>The PICRAT-Guided Transformative Technology Integration Program developed in this study may be adopted and implemented by the Department of Education, school administrators, and IPEd schools as a framework for professional development, instructional improvement, and capacity-building initiatives. The program may serve as a guide in strengthening teacher competence, learner engagement, culturally responsive digital pedagogy, and transformative technology integration in English Language Teaching within Indigenous educational contexts.</w:t>
      </w:r>
    </w:p>
    <w:p>
      <w:pPr>
        <w:spacing w:after="120" w:line="480" w:lineRule="auto"/>
        <w:jc w:val="both"/>
        <w:rPr>
          <w:rFonts w:ascii="Arial" w:eastAsia="Times New Roman" w:hAnsi="Arial" w:cs="Arial"/>
          <w:kern w:val="0"/>
          <w:lang w:val="en-PH" w:eastAsia="en-PH"/>
          <w14:ligatures w14:val="none"/>
        </w:rPr>
      </w:pPr>
      <w:r>
        <w:rPr>
          <w:rFonts w:ascii="Arial" w:eastAsia="Times New Roman" w:hAnsi="Arial" w:cs="Arial"/>
          <w:kern w:val="0"/>
          <w:lang w:val="en-PH" w:eastAsia="en-PH"/>
          <w14:ligatures w14:val="none"/>
        </w:rPr>
        <w:tab/>
        <w:t xml:space="preserve">Future researchers may evaluate the effectiveness of the proposed intervention program using experimental, quasi-experimental, or mixed-method research designs. Further investigations may also explore learners’ experiences, </w:t>
      </w:r>
      <w:r>
        <w:rPr>
          <w:rFonts w:ascii="Arial" w:eastAsia="Times New Roman" w:hAnsi="Arial" w:cs="Arial"/>
          <w:kern w:val="0"/>
          <w:lang w:val="en-PH" w:eastAsia="en-PH"/>
          <w14:ligatures w14:val="none"/>
        </w:rPr>
        <w:lastRenderedPageBreak/>
        <w:t>culturally responsive digital pedagogy, classroom technology integration practices, and the long-term impact of technology-supported English instruction across diverse Indigenous educational settings.</w:t>
      </w:r>
    </w:p>
    <w:p>
      <w:pPr>
        <w:spacing w:after="120" w:line="480" w:lineRule="auto"/>
        <w:jc w:val="both"/>
        <w:rPr>
          <w:rFonts w:ascii="Arial" w:eastAsia="Times New Roman" w:hAnsi="Arial" w:cs="Arial"/>
          <w:kern w:val="0"/>
          <w:lang w:val="en-PH" w:eastAsia="en-PH"/>
          <w14:ligatures w14:val="none"/>
        </w:rPr>
      </w:pPr>
    </w:p>
    <w:p>
      <w:pPr>
        <w:spacing w:after="120" w:line="480" w:lineRule="auto"/>
        <w:jc w:val="both"/>
        <w:rPr>
          <w:rFonts w:ascii="Arial" w:eastAsia="Times New Roman" w:hAnsi="Arial" w:cs="Arial"/>
          <w:kern w:val="0"/>
          <w:lang w:val="en-PH" w:eastAsia="en-PH"/>
          <w14:ligatures w14:val="none"/>
        </w:rPr>
      </w:pPr>
    </w:p>
    <w:p>
      <w:pPr>
        <w:spacing w:after="120" w:line="480" w:lineRule="auto"/>
        <w:jc w:val="both"/>
        <w:rPr>
          <w:rFonts w:ascii="Arial" w:eastAsia="Times New Roman" w:hAnsi="Arial" w:cs="Arial"/>
          <w:kern w:val="0"/>
          <w:lang w:val="en-PH" w:eastAsia="en-PH"/>
          <w14:ligatures w14:val="none"/>
        </w:rPr>
      </w:pPr>
    </w:p>
    <w:p>
      <w:pPr>
        <w:spacing w:line="480" w:lineRule="auto"/>
        <w:jc w:val="both"/>
        <w:rPr>
          <w:rFonts w:ascii="Arial" w:hAnsi="Arial" w:cs="Arial"/>
        </w:rPr>
      </w:pPr>
    </w:p>
    <w:p>
      <w:pPr>
        <w:spacing w:line="480" w:lineRule="auto"/>
        <w:jc w:val="both"/>
        <w:rPr>
          <w:rFonts w:ascii="Arial" w:hAnsi="Arial" w:cs="Arial"/>
          <w:b/>
        </w:rPr>
      </w:pPr>
    </w:p>
    <w:p>
      <w:pPr>
        <w:spacing w:line="480" w:lineRule="auto"/>
        <w:jc w:val="center"/>
        <w:rPr>
          <w:rFonts w:ascii="Arial" w:hAnsi="Arial" w:cs="Arial"/>
          <w:b/>
        </w:rPr>
      </w:pPr>
    </w:p>
    <w:p>
      <w:pPr>
        <w:spacing w:line="480" w:lineRule="auto"/>
        <w:jc w:val="center"/>
        <w:rPr>
          <w:rFonts w:ascii="Arial" w:hAnsi="Arial" w:cs="Arial"/>
          <w:b/>
        </w:rPr>
      </w:pPr>
    </w:p>
    <w:p>
      <w:pPr>
        <w:spacing w:line="480" w:lineRule="auto"/>
        <w:jc w:val="center"/>
        <w:rPr>
          <w:rFonts w:ascii="Arial" w:hAnsi="Arial" w:cs="Arial"/>
          <w:b/>
        </w:rPr>
      </w:pPr>
    </w:p>
    <w:p>
      <w:pPr>
        <w:spacing w:line="480" w:lineRule="auto"/>
        <w:jc w:val="center"/>
        <w:rPr>
          <w:rFonts w:ascii="Arial" w:hAnsi="Arial" w:cs="Arial"/>
          <w:b/>
        </w:rPr>
      </w:pPr>
    </w:p>
    <w:p>
      <w:pPr>
        <w:spacing w:line="480" w:lineRule="auto"/>
        <w:jc w:val="center"/>
        <w:rPr>
          <w:rFonts w:ascii="Arial" w:hAnsi="Arial" w:cs="Arial"/>
          <w:b/>
        </w:rPr>
      </w:pPr>
    </w:p>
    <w:p>
      <w:pPr>
        <w:spacing w:line="480" w:lineRule="auto"/>
        <w:jc w:val="center"/>
        <w:rPr>
          <w:rFonts w:ascii="Arial" w:hAnsi="Arial" w:cs="Arial"/>
          <w:b/>
        </w:rPr>
      </w:pPr>
    </w:p>
    <w:p>
      <w:pPr>
        <w:spacing w:line="480" w:lineRule="auto"/>
        <w:jc w:val="center"/>
        <w:rPr>
          <w:rFonts w:ascii="Arial" w:hAnsi="Arial" w:cs="Arial"/>
          <w:b/>
        </w:rPr>
      </w:pPr>
    </w:p>
    <w:p>
      <w:pPr>
        <w:spacing w:line="480" w:lineRule="auto"/>
        <w:jc w:val="center"/>
        <w:rPr>
          <w:rFonts w:ascii="Arial" w:hAnsi="Arial" w:cs="Arial"/>
          <w:b/>
        </w:rPr>
      </w:pPr>
    </w:p>
    <w:p>
      <w:pPr>
        <w:spacing w:line="480" w:lineRule="auto"/>
        <w:jc w:val="center"/>
        <w:rPr>
          <w:rFonts w:ascii="Arial" w:hAnsi="Arial" w:cs="Arial"/>
          <w:b/>
        </w:rPr>
      </w:pPr>
    </w:p>
    <w:p>
      <w:pPr>
        <w:spacing w:line="480" w:lineRule="auto"/>
        <w:jc w:val="center"/>
        <w:rPr>
          <w:rFonts w:ascii="Arial" w:hAnsi="Arial" w:cs="Arial"/>
          <w:b/>
        </w:rPr>
      </w:pPr>
    </w:p>
    <w:p>
      <w:pPr>
        <w:spacing w:line="480" w:lineRule="auto"/>
        <w:jc w:val="center"/>
        <w:rPr>
          <w:rFonts w:ascii="Arial" w:hAnsi="Arial" w:cs="Arial"/>
          <w:b/>
        </w:rPr>
      </w:pPr>
      <w:r>
        <w:rPr>
          <w:rFonts w:ascii="Arial" w:hAnsi="Arial" w:cs="Arial"/>
          <w:b/>
        </w:rPr>
        <w:lastRenderedPageBreak/>
        <w:t>REFERENCES CITED</w:t>
      </w:r>
    </w:p>
    <w:p>
      <w:pPr>
        <w:pStyle w:val="NormalWeb"/>
        <w:jc w:val="both"/>
        <w:rPr>
          <w:rFonts w:ascii="Arial" w:hAnsi="Arial" w:cs="Arial"/>
          <w:color w:val="000000" w:themeColor="text1"/>
        </w:rPr>
      </w:pPr>
      <w:r>
        <w:rPr>
          <w:rFonts w:ascii="Arial" w:hAnsi="Arial" w:cs="Arial"/>
          <w:color w:val="000000" w:themeColor="text1"/>
        </w:rPr>
        <w:t xml:space="preserve">Agaton, C. B., &amp; Cueto, L. J. (2021). Digital divide in the Philippines: Challenges </w:t>
      </w:r>
      <w:r>
        <w:rPr>
          <w:rFonts w:ascii="Arial" w:hAnsi="Arial" w:cs="Arial"/>
          <w:color w:val="000000" w:themeColor="text1"/>
        </w:rPr>
        <w:tab/>
        <w:t xml:space="preserve">in remote </w:t>
      </w:r>
      <w:r>
        <w:rPr>
          <w:rFonts w:ascii="Arial" w:hAnsi="Arial" w:cs="Arial"/>
          <w:color w:val="000000" w:themeColor="text1"/>
        </w:rPr>
        <w:tab/>
        <w:t xml:space="preserve">learning during the COVID-19 pandemic. </w:t>
      </w:r>
      <w:r>
        <w:rPr>
          <w:rStyle w:val="Emphasis"/>
          <w:rFonts w:ascii="Arial" w:eastAsiaTheme="majorEastAsia" w:hAnsi="Arial" w:cs="Arial"/>
          <w:color w:val="000000" w:themeColor="text1"/>
        </w:rPr>
        <w:t xml:space="preserve">Asian Journal of </w:t>
      </w:r>
      <w:r>
        <w:rPr>
          <w:rStyle w:val="Emphasis"/>
          <w:rFonts w:ascii="Arial" w:eastAsiaTheme="majorEastAsia" w:hAnsi="Arial" w:cs="Arial"/>
          <w:color w:val="000000" w:themeColor="text1"/>
        </w:rPr>
        <w:tab/>
        <w:t xml:space="preserve">Distance Education, </w:t>
      </w:r>
      <w:r>
        <w:rPr>
          <w:rStyle w:val="Emphasis"/>
          <w:rFonts w:ascii="Arial" w:eastAsiaTheme="majorEastAsia" w:hAnsi="Arial" w:cs="Arial"/>
          <w:color w:val="000000" w:themeColor="text1"/>
        </w:rPr>
        <w:tab/>
        <w:t>16</w:t>
      </w:r>
      <w:r>
        <w:rPr>
          <w:rFonts w:ascii="Arial" w:hAnsi="Arial" w:cs="Arial"/>
          <w:color w:val="000000" w:themeColor="text1"/>
        </w:rPr>
        <w:t xml:space="preserve">(2), 144–153. </w:t>
      </w:r>
      <w:r>
        <w:rPr>
          <w:rFonts w:ascii="Arial" w:hAnsi="Arial" w:cs="Arial"/>
          <w:color w:val="000000" w:themeColor="text1"/>
        </w:rPr>
        <w:tab/>
      </w:r>
      <w:hyperlink r:id="rId9" w:tgtFrame="_new" w:history="1">
        <w:r>
          <w:rPr>
            <w:rStyle w:val="Hyperlink"/>
            <w:rFonts w:ascii="Arial" w:eastAsiaTheme="majorEastAsia" w:hAnsi="Arial" w:cs="Arial"/>
            <w:color w:val="000000" w:themeColor="text1"/>
            <w:u w:val="none"/>
          </w:rPr>
          <w:t>https://doi.org/10.5281/zenodo.5044548</w:t>
        </w:r>
      </w:hyperlink>
    </w:p>
    <w:p>
      <w:pPr>
        <w:pStyle w:val="NormalWeb"/>
        <w:jc w:val="both"/>
        <w:rPr>
          <w:rFonts w:ascii="Arial" w:hAnsi="Arial" w:cs="Arial"/>
          <w:color w:val="000000" w:themeColor="text1"/>
        </w:rPr>
      </w:pPr>
      <w:r>
        <w:rPr>
          <w:rFonts w:ascii="Arial" w:hAnsi="Arial" w:cs="Arial"/>
          <w:color w:val="000000" w:themeColor="text1"/>
        </w:rPr>
        <w:t xml:space="preserve">Al-Awidi, H., &amp; Alghazo, I. (2021). The effect of technology integration on student </w:t>
      </w:r>
      <w:r>
        <w:rPr>
          <w:rFonts w:ascii="Arial" w:hAnsi="Arial" w:cs="Arial"/>
          <w:color w:val="000000" w:themeColor="text1"/>
        </w:rPr>
        <w:tab/>
        <w:t xml:space="preserve">engagement in English language classrooms. </w:t>
      </w:r>
      <w:r>
        <w:rPr>
          <w:rStyle w:val="Emphasis"/>
          <w:rFonts w:ascii="Arial" w:eastAsiaTheme="majorEastAsia" w:hAnsi="Arial" w:cs="Arial"/>
          <w:color w:val="000000" w:themeColor="text1"/>
        </w:rPr>
        <w:t xml:space="preserve">Journal of Educational </w:t>
      </w:r>
      <w:r>
        <w:rPr>
          <w:rStyle w:val="Emphasis"/>
          <w:rFonts w:ascii="Arial" w:eastAsiaTheme="majorEastAsia" w:hAnsi="Arial" w:cs="Arial"/>
          <w:color w:val="000000" w:themeColor="text1"/>
        </w:rPr>
        <w:tab/>
        <w:t xml:space="preserve">Technology </w:t>
      </w:r>
      <w:r>
        <w:rPr>
          <w:rStyle w:val="Emphasis"/>
          <w:rFonts w:ascii="Arial" w:eastAsiaTheme="majorEastAsia" w:hAnsi="Arial" w:cs="Arial"/>
          <w:color w:val="000000" w:themeColor="text1"/>
        </w:rPr>
        <w:tab/>
        <w:t>&amp; Society, 24</w:t>
      </w:r>
      <w:r>
        <w:rPr>
          <w:rFonts w:ascii="Arial" w:hAnsi="Arial" w:cs="Arial"/>
          <w:color w:val="000000" w:themeColor="text1"/>
        </w:rPr>
        <w:t>(4), 120–132.</w:t>
      </w:r>
    </w:p>
    <w:p>
      <w:pPr>
        <w:pStyle w:val="NormalWeb"/>
        <w:jc w:val="both"/>
        <w:rPr>
          <w:rFonts w:ascii="Arial" w:hAnsi="Arial" w:cs="Arial"/>
          <w:color w:val="000000" w:themeColor="text1"/>
        </w:rPr>
      </w:pPr>
      <w:r>
        <w:rPr>
          <w:rFonts w:ascii="Arial" w:hAnsi="Arial" w:cs="Arial"/>
          <w:color w:val="000000" w:themeColor="text1"/>
        </w:rPr>
        <w:t xml:space="preserve">Bang, M., Curley, L., Kessel, A., Marin, A., Suzukovich III, E., &amp; Strack, G. (2023). </w:t>
      </w:r>
      <w:r>
        <w:rPr>
          <w:rFonts w:ascii="Arial" w:hAnsi="Arial" w:cs="Arial"/>
          <w:color w:val="000000" w:themeColor="text1"/>
        </w:rPr>
        <w:tab/>
        <w:t xml:space="preserve">Indigenous knowledge systems and education for sustainability: Expanding </w:t>
      </w:r>
      <w:r>
        <w:rPr>
          <w:rFonts w:ascii="Arial" w:hAnsi="Arial" w:cs="Arial"/>
          <w:color w:val="000000" w:themeColor="text1"/>
        </w:rPr>
        <w:tab/>
        <w:t xml:space="preserve">culturally sustaining pedagogies. </w:t>
      </w:r>
      <w:r>
        <w:rPr>
          <w:rStyle w:val="Emphasis"/>
          <w:rFonts w:ascii="Arial" w:eastAsiaTheme="majorEastAsia" w:hAnsi="Arial" w:cs="Arial"/>
          <w:color w:val="000000" w:themeColor="text1"/>
        </w:rPr>
        <w:t>Educational Researcher, 52</w:t>
      </w:r>
      <w:r>
        <w:rPr>
          <w:rFonts w:ascii="Arial" w:hAnsi="Arial" w:cs="Arial"/>
          <w:color w:val="000000" w:themeColor="text1"/>
        </w:rPr>
        <w:t xml:space="preserve">(2), 87–98. </w:t>
      </w:r>
      <w:r>
        <w:rPr>
          <w:rFonts w:ascii="Arial" w:hAnsi="Arial" w:cs="Arial"/>
          <w:color w:val="000000" w:themeColor="text1"/>
        </w:rPr>
        <w:tab/>
      </w:r>
      <w:hyperlink r:id="rId10" w:tgtFrame="_new" w:history="1">
        <w:r>
          <w:rPr>
            <w:rStyle w:val="Hyperlink"/>
            <w:rFonts w:ascii="Arial" w:eastAsiaTheme="majorEastAsia" w:hAnsi="Arial" w:cs="Arial"/>
            <w:color w:val="000000" w:themeColor="text1"/>
            <w:u w:val="none"/>
          </w:rPr>
          <w:t>https://doi.org/10.3102/0013189X221145672</w:t>
        </w:r>
      </w:hyperlink>
    </w:p>
    <w:p>
      <w:pPr>
        <w:pStyle w:val="NormalWeb"/>
        <w:jc w:val="both"/>
        <w:rPr>
          <w:rFonts w:ascii="Arial" w:hAnsi="Arial" w:cs="Arial"/>
        </w:rPr>
      </w:pPr>
      <w:r>
        <w:rPr>
          <w:rFonts w:ascii="Arial" w:hAnsi="Arial" w:cs="Arial"/>
          <w:color w:val="000000" w:themeColor="text1"/>
        </w:rPr>
        <w:t xml:space="preserve">Başar, A. M., &amp; Şahin, İ. (2022). Trends in English language teaching and </w:t>
      </w:r>
      <w:r>
        <w:rPr>
          <w:rFonts w:ascii="Arial" w:hAnsi="Arial" w:cs="Arial"/>
          <w:color w:val="000000" w:themeColor="text1"/>
        </w:rPr>
        <w:tab/>
        <w:t xml:space="preserve">technology </w:t>
      </w:r>
      <w:r>
        <w:rPr>
          <w:rFonts w:ascii="Arial" w:hAnsi="Arial" w:cs="Arial"/>
          <w:color w:val="000000" w:themeColor="text1"/>
        </w:rPr>
        <w:tab/>
        <w:t xml:space="preserve">integration research: A systematic review. </w:t>
      </w:r>
      <w:r>
        <w:rPr>
          <w:rStyle w:val="Emphasis"/>
          <w:rFonts w:ascii="Arial" w:eastAsiaTheme="majorEastAsia" w:hAnsi="Arial" w:cs="Arial"/>
          <w:color w:val="000000" w:themeColor="text1"/>
        </w:rPr>
        <w:t xml:space="preserve">Journal of </w:t>
      </w:r>
      <w:r>
        <w:rPr>
          <w:rStyle w:val="Emphasis"/>
          <w:rFonts w:ascii="Arial" w:eastAsiaTheme="majorEastAsia" w:hAnsi="Arial" w:cs="Arial"/>
          <w:color w:val="000000" w:themeColor="text1"/>
        </w:rPr>
        <w:tab/>
        <w:t xml:space="preserve">Language and Linguistic </w:t>
      </w:r>
      <w:r>
        <w:rPr>
          <w:rStyle w:val="Emphasis"/>
          <w:rFonts w:ascii="Arial" w:eastAsiaTheme="majorEastAsia" w:hAnsi="Arial" w:cs="Arial"/>
          <w:color w:val="000000" w:themeColor="text1"/>
        </w:rPr>
        <w:tab/>
        <w:t>Studies, 18</w:t>
      </w:r>
      <w:r>
        <w:rPr>
          <w:rFonts w:ascii="Arial" w:hAnsi="Arial" w:cs="Arial"/>
          <w:color w:val="000000" w:themeColor="text1"/>
        </w:rPr>
        <w:t xml:space="preserve">(1), 452–466. </w:t>
      </w:r>
      <w:r>
        <w:rPr>
          <w:rFonts w:ascii="Arial" w:hAnsi="Arial" w:cs="Arial"/>
          <w:color w:val="000000" w:themeColor="text1"/>
        </w:rPr>
        <w:tab/>
      </w:r>
      <w:hyperlink r:id="rId11" w:tgtFrame="_new" w:history="1">
        <w:r>
          <w:rPr>
            <w:rStyle w:val="Hyperlink"/>
            <w:rFonts w:ascii="Arial" w:eastAsiaTheme="majorEastAsia" w:hAnsi="Arial" w:cs="Arial"/>
            <w:color w:val="000000" w:themeColor="text1"/>
            <w:u w:val="none"/>
          </w:rPr>
          <w:t>https://doi.org/10.52462/jlls.239</w:t>
        </w:r>
      </w:hyperlink>
    </w:p>
    <w:p>
      <w:pPr>
        <w:spacing w:after="0"/>
        <w:rPr>
          <w:rStyle w:val="Emphasis"/>
          <w:rFonts w:ascii="Arial" w:hAnsi="Arial" w:cs="Arial"/>
        </w:rPr>
      </w:pPr>
      <w:r>
        <w:rPr>
          <w:rStyle w:val="Strong"/>
          <w:rFonts w:ascii="Arial" w:hAnsi="Arial" w:cs="Arial"/>
          <w:b w:val="0"/>
        </w:rPr>
        <w:t>Bing Maps. (2026).</w:t>
      </w:r>
      <w:r>
        <w:rPr>
          <w:rFonts w:ascii="Arial" w:hAnsi="Arial" w:cs="Arial"/>
        </w:rPr>
        <w:t xml:space="preserve"> </w:t>
      </w:r>
      <w:r>
        <w:rPr>
          <w:rStyle w:val="Emphasis"/>
          <w:rFonts w:ascii="Arial" w:hAnsi="Arial" w:cs="Arial"/>
        </w:rPr>
        <w:t xml:space="preserve">Location map of selected Indigenous Peoples Education    </w:t>
      </w:r>
    </w:p>
    <w:p>
      <w:pPr>
        <w:spacing w:after="0"/>
        <w:rPr>
          <w:rFonts w:ascii="Arial" w:hAnsi="Arial" w:cs="Arial"/>
        </w:rPr>
      </w:pPr>
      <w:r>
        <w:rPr>
          <w:rStyle w:val="Emphasis"/>
          <w:rFonts w:ascii="Arial" w:hAnsi="Arial" w:cs="Arial"/>
        </w:rPr>
        <w:t xml:space="preserve">          schools in DepEd–Tandag District 2</w:t>
      </w:r>
      <w:r>
        <w:rPr>
          <w:rFonts w:ascii="Arial" w:hAnsi="Arial" w:cs="Arial"/>
        </w:rPr>
        <w:t xml:space="preserve"> [Map]. Microsoft. Retrieved May 11,    </w:t>
      </w:r>
    </w:p>
    <w:p>
      <w:pPr>
        <w:spacing w:after="0"/>
        <w:rPr>
          <w:rFonts w:ascii="Arial" w:hAnsi="Arial" w:cs="Arial"/>
        </w:rPr>
      </w:pPr>
      <w:r>
        <w:rPr>
          <w:rFonts w:ascii="Arial" w:hAnsi="Arial" w:cs="Arial"/>
        </w:rPr>
        <w:t xml:space="preserve">          2026, from </w:t>
      </w:r>
    </w:p>
    <w:p>
      <w:pPr>
        <w:spacing w:after="0"/>
        <w:rPr>
          <w:rFonts w:ascii="Arial" w:hAnsi="Arial" w:cs="Arial"/>
        </w:rPr>
      </w:pPr>
      <w:r>
        <w:rPr>
          <w:rFonts w:ascii="Arial" w:hAnsi="Arial" w:cs="Arial"/>
        </w:rPr>
        <w:t xml:space="preserve">          </w:t>
      </w:r>
      <w:hyperlink r:id="rId12" w:history="1">
        <w:r>
          <w:rPr>
            <w:rStyle w:val="Hyperlink"/>
            <w:rFonts w:ascii="Arial" w:hAnsi="Arial" w:cs="Arial"/>
            <w:color w:val="auto"/>
            <w:u w:val="none"/>
          </w:rPr>
          <w:t>https://www.bing.com/maps?cp=9.065074%7E126.194176&amp;lvl=11&amp;style=r</w:t>
        </w:r>
      </w:hyperlink>
      <w:r>
        <w:rPr>
          <w:rFonts w:ascii="Arial" w:hAnsi="Arial" w:cs="Arial"/>
        </w:rPr>
        <w:t xml:space="preserve">   </w:t>
      </w:r>
    </w:p>
    <w:p>
      <w:pPr>
        <w:pStyle w:val="NormalWeb"/>
        <w:jc w:val="both"/>
        <w:rPr>
          <w:rFonts w:ascii="Arial" w:hAnsi="Arial" w:cs="Arial"/>
          <w:color w:val="000000" w:themeColor="text1"/>
        </w:rPr>
      </w:pPr>
      <w:r>
        <w:rPr>
          <w:rFonts w:ascii="Arial" w:hAnsi="Arial" w:cs="Arial"/>
          <w:color w:val="000000" w:themeColor="text1"/>
        </w:rPr>
        <w:t xml:space="preserve">Bond, M. (2022). Schools and emergency remote education during the COVID-19 </w:t>
      </w:r>
      <w:r>
        <w:rPr>
          <w:rFonts w:ascii="Arial" w:hAnsi="Arial" w:cs="Arial"/>
          <w:color w:val="000000" w:themeColor="text1"/>
        </w:rPr>
        <w:tab/>
        <w:t xml:space="preserve">pandemic: A living rapid systematic review. </w:t>
      </w:r>
      <w:r>
        <w:rPr>
          <w:rStyle w:val="Emphasis"/>
          <w:rFonts w:ascii="Arial" w:eastAsiaTheme="majorEastAsia" w:hAnsi="Arial" w:cs="Arial"/>
          <w:color w:val="000000" w:themeColor="text1"/>
        </w:rPr>
        <w:t xml:space="preserve">Asian Journal of Distance </w:t>
      </w:r>
      <w:r>
        <w:rPr>
          <w:rStyle w:val="Emphasis"/>
          <w:rFonts w:ascii="Arial" w:eastAsiaTheme="majorEastAsia" w:hAnsi="Arial" w:cs="Arial"/>
          <w:color w:val="000000" w:themeColor="text1"/>
        </w:rPr>
        <w:tab/>
        <w:t xml:space="preserve">Education, </w:t>
      </w:r>
      <w:r>
        <w:rPr>
          <w:rStyle w:val="Emphasis"/>
          <w:rFonts w:ascii="Arial" w:eastAsiaTheme="majorEastAsia" w:hAnsi="Arial" w:cs="Arial"/>
          <w:color w:val="000000" w:themeColor="text1"/>
        </w:rPr>
        <w:tab/>
        <w:t>17</w:t>
      </w:r>
      <w:r>
        <w:rPr>
          <w:rFonts w:ascii="Arial" w:hAnsi="Arial" w:cs="Arial"/>
          <w:color w:val="000000" w:themeColor="text1"/>
        </w:rPr>
        <w:t>(1), 1–38.</w:t>
      </w:r>
    </w:p>
    <w:p>
      <w:pPr>
        <w:pStyle w:val="NormalWeb"/>
        <w:jc w:val="both"/>
        <w:rPr>
          <w:rFonts w:ascii="Arial" w:hAnsi="Arial" w:cs="Arial"/>
          <w:color w:val="000000" w:themeColor="text1"/>
        </w:rPr>
      </w:pPr>
      <w:r>
        <w:rPr>
          <w:rFonts w:ascii="Arial" w:hAnsi="Arial" w:cs="Arial"/>
          <w:color w:val="000000" w:themeColor="text1"/>
        </w:rPr>
        <w:t xml:space="preserve">Capulong, H., &amp; Bautista, M. (2022). Digital literacy and technology integration </w:t>
      </w:r>
      <w:r>
        <w:rPr>
          <w:rFonts w:ascii="Arial" w:hAnsi="Arial" w:cs="Arial"/>
          <w:color w:val="000000" w:themeColor="text1"/>
        </w:rPr>
        <w:tab/>
        <w:t xml:space="preserve">challenges </w:t>
      </w:r>
      <w:r>
        <w:rPr>
          <w:rFonts w:ascii="Arial" w:hAnsi="Arial" w:cs="Arial"/>
          <w:color w:val="000000" w:themeColor="text1"/>
        </w:rPr>
        <w:tab/>
        <w:t xml:space="preserve">in geographically isolated Philippine schools. </w:t>
      </w:r>
      <w:r>
        <w:rPr>
          <w:rStyle w:val="Emphasis"/>
          <w:rFonts w:ascii="Arial" w:eastAsiaTheme="majorEastAsia" w:hAnsi="Arial" w:cs="Arial"/>
          <w:color w:val="000000" w:themeColor="text1"/>
        </w:rPr>
        <w:t xml:space="preserve">Philippine </w:t>
      </w:r>
      <w:r>
        <w:rPr>
          <w:rStyle w:val="Emphasis"/>
          <w:rFonts w:ascii="Arial" w:eastAsiaTheme="majorEastAsia" w:hAnsi="Arial" w:cs="Arial"/>
          <w:color w:val="000000" w:themeColor="text1"/>
        </w:rPr>
        <w:tab/>
        <w:t xml:space="preserve">Journal of Education </w:t>
      </w:r>
      <w:r>
        <w:rPr>
          <w:rStyle w:val="Emphasis"/>
          <w:rFonts w:ascii="Arial" w:eastAsiaTheme="majorEastAsia" w:hAnsi="Arial" w:cs="Arial"/>
          <w:color w:val="000000" w:themeColor="text1"/>
        </w:rPr>
        <w:tab/>
        <w:t>Studies, 95</w:t>
      </w:r>
      <w:r>
        <w:rPr>
          <w:rFonts w:ascii="Arial" w:hAnsi="Arial" w:cs="Arial"/>
          <w:color w:val="000000" w:themeColor="text1"/>
        </w:rPr>
        <w:t>(2), 77–89.</w:t>
      </w:r>
    </w:p>
    <w:p>
      <w:pPr>
        <w:pStyle w:val="NormalWeb"/>
        <w:jc w:val="both"/>
        <w:rPr>
          <w:rFonts w:ascii="Arial" w:hAnsi="Arial" w:cs="Arial"/>
          <w:color w:val="000000" w:themeColor="text1"/>
        </w:rPr>
      </w:pPr>
      <w:r>
        <w:rPr>
          <w:rFonts w:ascii="Arial" w:hAnsi="Arial" w:cs="Arial"/>
          <w:color w:val="000000" w:themeColor="text1"/>
        </w:rPr>
        <w:t xml:space="preserve">Creswell, J. W., &amp; Creswell, J. D. (2018). </w:t>
      </w:r>
      <w:r>
        <w:rPr>
          <w:rStyle w:val="Emphasis"/>
          <w:rFonts w:ascii="Arial" w:eastAsiaTheme="majorEastAsia" w:hAnsi="Arial" w:cs="Arial"/>
          <w:color w:val="000000" w:themeColor="text1"/>
        </w:rPr>
        <w:t xml:space="preserve">Research design: Qualitative, </w:t>
      </w:r>
      <w:r>
        <w:rPr>
          <w:rStyle w:val="Emphasis"/>
          <w:rFonts w:ascii="Arial" w:eastAsiaTheme="majorEastAsia" w:hAnsi="Arial" w:cs="Arial"/>
          <w:color w:val="000000" w:themeColor="text1"/>
        </w:rPr>
        <w:tab/>
        <w:t xml:space="preserve">quantitative, and </w:t>
      </w:r>
      <w:r>
        <w:rPr>
          <w:rStyle w:val="Emphasis"/>
          <w:rFonts w:ascii="Arial" w:eastAsiaTheme="majorEastAsia" w:hAnsi="Arial" w:cs="Arial"/>
          <w:color w:val="000000" w:themeColor="text1"/>
        </w:rPr>
        <w:tab/>
        <w:t>mixed methods approaches</w:t>
      </w:r>
      <w:r>
        <w:rPr>
          <w:rFonts w:ascii="Arial" w:hAnsi="Arial" w:cs="Arial"/>
          <w:color w:val="000000" w:themeColor="text1"/>
        </w:rPr>
        <w:t xml:space="preserve"> (5th ed.). SAGE </w:t>
      </w:r>
      <w:r>
        <w:rPr>
          <w:rFonts w:ascii="Arial" w:hAnsi="Arial" w:cs="Arial"/>
          <w:color w:val="000000" w:themeColor="text1"/>
        </w:rPr>
        <w:tab/>
        <w:t>Publications.</w:t>
      </w:r>
    </w:p>
    <w:p>
      <w:pPr>
        <w:pStyle w:val="NormalWeb"/>
        <w:jc w:val="both"/>
        <w:rPr>
          <w:rFonts w:ascii="Arial" w:hAnsi="Arial" w:cs="Arial"/>
          <w:color w:val="000000" w:themeColor="text1"/>
        </w:rPr>
      </w:pPr>
      <w:r>
        <w:rPr>
          <w:rFonts w:ascii="Arial" w:hAnsi="Arial" w:cs="Arial"/>
          <w:color w:val="000000" w:themeColor="text1"/>
        </w:rPr>
        <w:t xml:space="preserve">Department of Education. (2020). </w:t>
      </w:r>
      <w:r>
        <w:rPr>
          <w:rStyle w:val="Emphasis"/>
          <w:rFonts w:ascii="Arial" w:eastAsiaTheme="majorEastAsia" w:hAnsi="Arial" w:cs="Arial"/>
          <w:color w:val="000000" w:themeColor="text1"/>
        </w:rPr>
        <w:t>Basic Education Learning Continuity Plan</w:t>
      </w:r>
      <w:r>
        <w:rPr>
          <w:rFonts w:ascii="Arial" w:hAnsi="Arial" w:cs="Arial"/>
          <w:color w:val="000000" w:themeColor="text1"/>
        </w:rPr>
        <w:t xml:space="preserve">. </w:t>
      </w:r>
      <w:r>
        <w:rPr>
          <w:rFonts w:ascii="Arial" w:hAnsi="Arial" w:cs="Arial"/>
          <w:color w:val="000000" w:themeColor="text1"/>
        </w:rPr>
        <w:tab/>
        <w:t xml:space="preserve">Department </w:t>
      </w:r>
      <w:r>
        <w:rPr>
          <w:rFonts w:ascii="Arial" w:hAnsi="Arial" w:cs="Arial"/>
          <w:color w:val="000000" w:themeColor="text1"/>
        </w:rPr>
        <w:tab/>
        <w:t xml:space="preserve">of Education. </w:t>
      </w:r>
      <w:hyperlink r:id="rId13" w:tgtFrame="_new" w:history="1">
        <w:r>
          <w:rPr>
            <w:rStyle w:val="Hyperlink"/>
            <w:rFonts w:ascii="Arial" w:eastAsiaTheme="majorEastAsia" w:hAnsi="Arial" w:cs="Arial"/>
            <w:color w:val="000000" w:themeColor="text1"/>
            <w:u w:val="none"/>
          </w:rPr>
          <w:t>https://www.deped.gov.ph</w:t>
        </w:r>
      </w:hyperlink>
    </w:p>
    <w:p>
      <w:pPr>
        <w:pStyle w:val="NormalWeb"/>
        <w:jc w:val="both"/>
        <w:rPr>
          <w:rFonts w:ascii="Arial" w:hAnsi="Arial" w:cs="Arial"/>
          <w:color w:val="000000" w:themeColor="text1"/>
        </w:rPr>
      </w:pPr>
      <w:r>
        <w:rPr>
          <w:rFonts w:ascii="Arial" w:hAnsi="Arial" w:cs="Arial"/>
          <w:color w:val="000000" w:themeColor="text1"/>
        </w:rPr>
        <w:lastRenderedPageBreak/>
        <w:t xml:space="preserve">Ertmer, P. A., &amp; Ottenbreit-Leftwich, A. T. (2023). Teacher technology change: </w:t>
      </w:r>
      <w:r>
        <w:rPr>
          <w:rFonts w:ascii="Arial" w:hAnsi="Arial" w:cs="Arial"/>
          <w:color w:val="000000" w:themeColor="text1"/>
        </w:rPr>
        <w:tab/>
        <w:t xml:space="preserve">How </w:t>
      </w:r>
      <w:r>
        <w:rPr>
          <w:rFonts w:ascii="Arial" w:hAnsi="Arial" w:cs="Arial"/>
          <w:color w:val="000000" w:themeColor="text1"/>
        </w:rPr>
        <w:tab/>
        <w:t xml:space="preserve">knowledge, beliefs, and culture intersect. </w:t>
      </w:r>
      <w:r>
        <w:rPr>
          <w:rStyle w:val="Emphasis"/>
          <w:rFonts w:ascii="Arial" w:eastAsiaTheme="majorEastAsia" w:hAnsi="Arial" w:cs="Arial"/>
          <w:color w:val="000000" w:themeColor="text1"/>
        </w:rPr>
        <w:t xml:space="preserve">Journal of Research on </w:t>
      </w:r>
      <w:r>
        <w:rPr>
          <w:rStyle w:val="Emphasis"/>
          <w:rFonts w:ascii="Arial" w:eastAsiaTheme="majorEastAsia" w:hAnsi="Arial" w:cs="Arial"/>
          <w:color w:val="000000" w:themeColor="text1"/>
        </w:rPr>
        <w:tab/>
        <w:t xml:space="preserve">Technology in </w:t>
      </w:r>
      <w:r>
        <w:rPr>
          <w:rStyle w:val="Emphasis"/>
          <w:rFonts w:ascii="Arial" w:eastAsiaTheme="majorEastAsia" w:hAnsi="Arial" w:cs="Arial"/>
          <w:color w:val="000000" w:themeColor="text1"/>
        </w:rPr>
        <w:tab/>
        <w:t>Education, 55</w:t>
      </w:r>
      <w:r>
        <w:rPr>
          <w:rFonts w:ascii="Arial" w:hAnsi="Arial" w:cs="Arial"/>
          <w:color w:val="000000" w:themeColor="text1"/>
        </w:rPr>
        <w:t xml:space="preserve">(2), 157–175. </w:t>
      </w:r>
      <w:r>
        <w:rPr>
          <w:rFonts w:ascii="Arial" w:hAnsi="Arial" w:cs="Arial"/>
          <w:color w:val="000000" w:themeColor="text1"/>
        </w:rPr>
        <w:tab/>
      </w:r>
      <w:hyperlink r:id="rId14" w:tgtFrame="_new" w:history="1">
        <w:r>
          <w:rPr>
            <w:rStyle w:val="Hyperlink"/>
            <w:rFonts w:ascii="Arial" w:eastAsiaTheme="majorEastAsia" w:hAnsi="Arial" w:cs="Arial"/>
            <w:color w:val="000000" w:themeColor="text1"/>
            <w:u w:val="none"/>
          </w:rPr>
          <w:t>https://doi.org/10.1080/15391523.2022.2030265</w:t>
        </w:r>
      </w:hyperlink>
    </w:p>
    <w:p>
      <w:pPr>
        <w:pStyle w:val="NormalWeb"/>
        <w:jc w:val="both"/>
        <w:rPr>
          <w:rFonts w:ascii="Arial" w:hAnsi="Arial" w:cs="Arial"/>
          <w:color w:val="000000" w:themeColor="text1"/>
        </w:rPr>
      </w:pPr>
      <w:r>
        <w:rPr>
          <w:rFonts w:ascii="Arial" w:hAnsi="Arial" w:cs="Arial"/>
          <w:color w:val="000000" w:themeColor="text1"/>
        </w:rPr>
        <w:t xml:space="preserve">Fraenkel, J. R., Wallen, N. E., &amp; Hyun, H. H. (2019). </w:t>
      </w:r>
      <w:r>
        <w:rPr>
          <w:rStyle w:val="Emphasis"/>
          <w:rFonts w:ascii="Arial" w:eastAsiaTheme="majorEastAsia" w:hAnsi="Arial" w:cs="Arial"/>
          <w:color w:val="000000" w:themeColor="text1"/>
        </w:rPr>
        <w:t xml:space="preserve">How to design and evaluate </w:t>
      </w:r>
      <w:r>
        <w:rPr>
          <w:rStyle w:val="Emphasis"/>
          <w:rFonts w:ascii="Arial" w:eastAsiaTheme="majorEastAsia" w:hAnsi="Arial" w:cs="Arial"/>
          <w:color w:val="000000" w:themeColor="text1"/>
        </w:rPr>
        <w:tab/>
        <w:t xml:space="preserve">research </w:t>
      </w:r>
      <w:r>
        <w:rPr>
          <w:rStyle w:val="Emphasis"/>
          <w:rFonts w:ascii="Arial" w:eastAsiaTheme="majorEastAsia" w:hAnsi="Arial" w:cs="Arial"/>
          <w:color w:val="000000" w:themeColor="text1"/>
        </w:rPr>
        <w:tab/>
        <w:t>in education</w:t>
      </w:r>
      <w:r>
        <w:rPr>
          <w:rFonts w:ascii="Arial" w:hAnsi="Arial" w:cs="Arial"/>
          <w:color w:val="000000" w:themeColor="text1"/>
        </w:rPr>
        <w:t xml:space="preserve"> (10th ed.). McGraw-Hill Education.</w:t>
      </w:r>
    </w:p>
    <w:p>
      <w:pPr>
        <w:pStyle w:val="NormalWeb"/>
        <w:jc w:val="both"/>
        <w:rPr>
          <w:rFonts w:ascii="Arial" w:hAnsi="Arial" w:cs="Arial"/>
          <w:color w:val="000000" w:themeColor="text1"/>
        </w:rPr>
      </w:pPr>
      <w:r>
        <w:rPr>
          <w:rFonts w:ascii="Arial" w:hAnsi="Arial" w:cs="Arial"/>
          <w:color w:val="000000" w:themeColor="text1"/>
        </w:rPr>
        <w:t xml:space="preserve">Gass, S. M., Behney, J., &amp; Plonsky, L. (2021). </w:t>
      </w:r>
      <w:r>
        <w:rPr>
          <w:rStyle w:val="Emphasis"/>
          <w:rFonts w:ascii="Arial" w:eastAsiaTheme="majorEastAsia" w:hAnsi="Arial" w:cs="Arial"/>
          <w:color w:val="000000" w:themeColor="text1"/>
        </w:rPr>
        <w:t xml:space="preserve">Second language acquisition: An </w:t>
      </w:r>
      <w:r>
        <w:rPr>
          <w:rStyle w:val="Emphasis"/>
          <w:rFonts w:ascii="Arial" w:eastAsiaTheme="majorEastAsia" w:hAnsi="Arial" w:cs="Arial"/>
          <w:color w:val="000000" w:themeColor="text1"/>
        </w:rPr>
        <w:tab/>
        <w:t>introductory course</w:t>
      </w:r>
      <w:r>
        <w:rPr>
          <w:rFonts w:ascii="Arial" w:hAnsi="Arial" w:cs="Arial"/>
          <w:color w:val="000000" w:themeColor="text1"/>
        </w:rPr>
        <w:t xml:space="preserve"> (5th ed.). Routledge.</w:t>
      </w:r>
    </w:p>
    <w:p>
      <w:pPr>
        <w:pStyle w:val="NormalWeb"/>
        <w:jc w:val="both"/>
        <w:rPr>
          <w:rFonts w:ascii="Arial" w:hAnsi="Arial" w:cs="Arial"/>
          <w:color w:val="000000" w:themeColor="text1"/>
        </w:rPr>
      </w:pPr>
      <w:r>
        <w:rPr>
          <w:rFonts w:ascii="Arial" w:hAnsi="Arial" w:cs="Arial"/>
          <w:color w:val="000000" w:themeColor="text1"/>
        </w:rPr>
        <w:t xml:space="preserve">Hamilton, E. R., Rosenberg, J. M., &amp; Akcaoglu, M. (2021). The SAMR model: A </w:t>
      </w:r>
      <w:r>
        <w:rPr>
          <w:rFonts w:ascii="Arial" w:hAnsi="Arial" w:cs="Arial"/>
          <w:color w:val="000000" w:themeColor="text1"/>
        </w:rPr>
        <w:tab/>
        <w:t xml:space="preserve">critical </w:t>
      </w:r>
      <w:r>
        <w:rPr>
          <w:rFonts w:ascii="Arial" w:hAnsi="Arial" w:cs="Arial"/>
          <w:color w:val="000000" w:themeColor="text1"/>
        </w:rPr>
        <w:tab/>
        <w:t xml:space="preserve">review and suggestions for its use. </w:t>
      </w:r>
      <w:r>
        <w:rPr>
          <w:rStyle w:val="Emphasis"/>
          <w:rFonts w:ascii="Arial" w:eastAsiaTheme="majorEastAsia" w:hAnsi="Arial" w:cs="Arial"/>
          <w:color w:val="000000" w:themeColor="text1"/>
        </w:rPr>
        <w:t>TechTrends, 65</w:t>
      </w:r>
      <w:r>
        <w:rPr>
          <w:rFonts w:ascii="Arial" w:hAnsi="Arial" w:cs="Arial"/>
          <w:color w:val="000000" w:themeColor="text1"/>
        </w:rPr>
        <w:t>(2), 210–</w:t>
      </w:r>
      <w:r>
        <w:rPr>
          <w:rFonts w:ascii="Arial" w:hAnsi="Arial" w:cs="Arial"/>
          <w:color w:val="000000" w:themeColor="text1"/>
        </w:rPr>
        <w:tab/>
        <w:t xml:space="preserve">218. </w:t>
      </w:r>
      <w:r>
        <w:rPr>
          <w:rFonts w:ascii="Arial" w:hAnsi="Arial" w:cs="Arial"/>
          <w:color w:val="000000" w:themeColor="text1"/>
        </w:rPr>
        <w:tab/>
      </w:r>
      <w:hyperlink r:id="rId15" w:tgtFrame="_new" w:history="1">
        <w:r>
          <w:rPr>
            <w:rStyle w:val="Hyperlink"/>
            <w:rFonts w:ascii="Arial" w:eastAsiaTheme="majorEastAsia" w:hAnsi="Arial" w:cs="Arial"/>
            <w:color w:val="000000" w:themeColor="text1"/>
            <w:u w:val="none"/>
          </w:rPr>
          <w:t>https://doi.org/10.1007/s11528-020-00530-5</w:t>
        </w:r>
      </w:hyperlink>
    </w:p>
    <w:p>
      <w:pPr>
        <w:pStyle w:val="NormalWeb"/>
        <w:jc w:val="both"/>
        <w:rPr>
          <w:rFonts w:ascii="Arial" w:hAnsi="Arial" w:cs="Arial"/>
          <w:color w:val="000000" w:themeColor="text1"/>
        </w:rPr>
      </w:pPr>
      <w:r>
        <w:rPr>
          <w:rFonts w:ascii="Arial" w:hAnsi="Arial" w:cs="Arial"/>
          <w:color w:val="000000" w:themeColor="text1"/>
        </w:rPr>
        <w:t xml:space="preserve">Hiver, P., Al-Hoorie, A. H., &amp; Mercer, S. (2023). Student engagement in second </w:t>
      </w:r>
      <w:r>
        <w:rPr>
          <w:rFonts w:ascii="Arial" w:hAnsi="Arial" w:cs="Arial"/>
          <w:color w:val="000000" w:themeColor="text1"/>
        </w:rPr>
        <w:tab/>
        <w:t xml:space="preserve">language </w:t>
      </w:r>
      <w:r>
        <w:rPr>
          <w:rFonts w:ascii="Arial" w:hAnsi="Arial" w:cs="Arial"/>
          <w:color w:val="000000" w:themeColor="text1"/>
        </w:rPr>
        <w:tab/>
        <w:t xml:space="preserve">learning: A multidimensional perspective. </w:t>
      </w:r>
      <w:r>
        <w:rPr>
          <w:rStyle w:val="Emphasis"/>
          <w:rFonts w:ascii="Arial" w:eastAsiaTheme="majorEastAsia" w:hAnsi="Arial" w:cs="Arial"/>
          <w:color w:val="000000" w:themeColor="text1"/>
        </w:rPr>
        <w:t xml:space="preserve">Language Teaching </w:t>
      </w:r>
      <w:r>
        <w:rPr>
          <w:rStyle w:val="Emphasis"/>
          <w:rFonts w:ascii="Arial" w:eastAsiaTheme="majorEastAsia" w:hAnsi="Arial" w:cs="Arial"/>
          <w:color w:val="000000" w:themeColor="text1"/>
        </w:rPr>
        <w:tab/>
        <w:t>Research, 27</w:t>
      </w:r>
      <w:r>
        <w:rPr>
          <w:rFonts w:ascii="Arial" w:hAnsi="Arial" w:cs="Arial"/>
          <w:color w:val="000000" w:themeColor="text1"/>
        </w:rPr>
        <w:t xml:space="preserve">(4), </w:t>
      </w:r>
      <w:r>
        <w:rPr>
          <w:rFonts w:ascii="Arial" w:hAnsi="Arial" w:cs="Arial"/>
          <w:color w:val="000000" w:themeColor="text1"/>
        </w:rPr>
        <w:tab/>
        <w:t xml:space="preserve">683–702. </w:t>
      </w:r>
      <w:r>
        <w:rPr>
          <w:rFonts w:ascii="Arial" w:hAnsi="Arial" w:cs="Arial"/>
          <w:color w:val="000000" w:themeColor="text1"/>
        </w:rPr>
        <w:tab/>
      </w:r>
      <w:hyperlink r:id="rId16" w:tgtFrame="_new" w:history="1">
        <w:r>
          <w:rPr>
            <w:rStyle w:val="Hyperlink"/>
            <w:rFonts w:ascii="Arial" w:eastAsiaTheme="majorEastAsia" w:hAnsi="Arial" w:cs="Arial"/>
            <w:color w:val="000000" w:themeColor="text1"/>
            <w:u w:val="none"/>
          </w:rPr>
          <w:t>https://doi.org/10.1177/13621688211001922</w:t>
        </w:r>
      </w:hyperlink>
    </w:p>
    <w:p>
      <w:pPr>
        <w:pStyle w:val="NormalWeb"/>
        <w:jc w:val="both"/>
        <w:rPr>
          <w:rFonts w:ascii="Arial" w:hAnsi="Arial" w:cs="Arial"/>
          <w:color w:val="000000" w:themeColor="text1"/>
        </w:rPr>
      </w:pPr>
      <w:r>
        <w:rPr>
          <w:rFonts w:ascii="Arial" w:hAnsi="Arial" w:cs="Arial"/>
          <w:color w:val="000000" w:themeColor="text1"/>
        </w:rPr>
        <w:t xml:space="preserve">Hsu, H.-C. (2023). Technology-mediated language learning and learner </w:t>
      </w:r>
      <w:r>
        <w:rPr>
          <w:rFonts w:ascii="Arial" w:hAnsi="Arial" w:cs="Arial"/>
          <w:color w:val="000000" w:themeColor="text1"/>
        </w:rPr>
        <w:tab/>
        <w:t xml:space="preserve">engagement: </w:t>
      </w:r>
      <w:r>
        <w:rPr>
          <w:rFonts w:ascii="Arial" w:hAnsi="Arial" w:cs="Arial"/>
          <w:color w:val="000000" w:themeColor="text1"/>
        </w:rPr>
        <w:tab/>
        <w:t xml:space="preserve">Revisiting pedagogical alignment in digital ELT. </w:t>
      </w:r>
      <w:r>
        <w:rPr>
          <w:rFonts w:ascii="Arial" w:hAnsi="Arial" w:cs="Arial"/>
          <w:color w:val="000000" w:themeColor="text1"/>
        </w:rPr>
        <w:tab/>
      </w:r>
      <w:r>
        <w:rPr>
          <w:rStyle w:val="Emphasis"/>
          <w:rFonts w:ascii="Arial" w:eastAsiaTheme="majorEastAsia" w:hAnsi="Arial" w:cs="Arial"/>
          <w:color w:val="000000" w:themeColor="text1"/>
        </w:rPr>
        <w:t xml:space="preserve">Computer Assisted Language </w:t>
      </w:r>
      <w:r>
        <w:rPr>
          <w:rStyle w:val="Emphasis"/>
          <w:rFonts w:ascii="Arial" w:eastAsiaTheme="majorEastAsia" w:hAnsi="Arial" w:cs="Arial"/>
          <w:color w:val="000000" w:themeColor="text1"/>
        </w:rPr>
        <w:tab/>
        <w:t>Learning</w:t>
      </w:r>
      <w:r>
        <w:rPr>
          <w:rFonts w:ascii="Arial" w:hAnsi="Arial" w:cs="Arial"/>
          <w:color w:val="000000" w:themeColor="text1"/>
        </w:rPr>
        <w:t xml:space="preserve">. Advance online publication. </w:t>
      </w:r>
      <w:r>
        <w:rPr>
          <w:rFonts w:ascii="Arial" w:hAnsi="Arial" w:cs="Arial"/>
          <w:color w:val="000000" w:themeColor="text1"/>
        </w:rPr>
        <w:tab/>
      </w:r>
      <w:hyperlink r:id="rId17" w:tgtFrame="_new" w:history="1">
        <w:r>
          <w:rPr>
            <w:rStyle w:val="Hyperlink"/>
            <w:rFonts w:ascii="Arial" w:eastAsiaTheme="majorEastAsia" w:hAnsi="Arial" w:cs="Arial"/>
            <w:color w:val="000000" w:themeColor="text1"/>
            <w:u w:val="none"/>
          </w:rPr>
          <w:t>https://doi.org/10.1080/09588221.2023.2174890</w:t>
        </w:r>
      </w:hyperlink>
    </w:p>
    <w:p>
      <w:pPr>
        <w:pStyle w:val="NormalWeb"/>
        <w:jc w:val="both"/>
        <w:rPr>
          <w:rFonts w:ascii="Arial" w:hAnsi="Arial" w:cs="Arial"/>
          <w:color w:val="000000" w:themeColor="text1"/>
        </w:rPr>
      </w:pPr>
      <w:r>
        <w:rPr>
          <w:rFonts w:ascii="Arial" w:hAnsi="Arial" w:cs="Arial"/>
          <w:color w:val="000000" w:themeColor="text1"/>
        </w:rPr>
        <w:t xml:space="preserve">Huang, Y., Spector, J. M., &amp; Yang, J. (2022). Effects of collaborative digital writing </w:t>
      </w:r>
      <w:r>
        <w:rPr>
          <w:rFonts w:ascii="Arial" w:hAnsi="Arial" w:cs="Arial"/>
          <w:color w:val="000000" w:themeColor="text1"/>
        </w:rPr>
        <w:tab/>
        <w:t xml:space="preserve">on </w:t>
      </w:r>
      <w:r>
        <w:rPr>
          <w:rFonts w:ascii="Arial" w:hAnsi="Arial" w:cs="Arial"/>
          <w:color w:val="000000" w:themeColor="text1"/>
        </w:rPr>
        <w:tab/>
        <w:t xml:space="preserve">English language development: Evidence from online platforms. </w:t>
      </w:r>
      <w:r>
        <w:rPr>
          <w:rFonts w:ascii="Arial" w:hAnsi="Arial" w:cs="Arial"/>
          <w:color w:val="000000" w:themeColor="text1"/>
        </w:rPr>
        <w:tab/>
      </w:r>
      <w:r>
        <w:rPr>
          <w:rStyle w:val="Emphasis"/>
          <w:rFonts w:ascii="Arial" w:eastAsiaTheme="majorEastAsia" w:hAnsi="Arial" w:cs="Arial"/>
          <w:color w:val="000000" w:themeColor="text1"/>
        </w:rPr>
        <w:t xml:space="preserve">Computers &amp; </w:t>
      </w:r>
      <w:r>
        <w:rPr>
          <w:rStyle w:val="Emphasis"/>
          <w:rFonts w:ascii="Arial" w:eastAsiaTheme="majorEastAsia" w:hAnsi="Arial" w:cs="Arial"/>
          <w:color w:val="000000" w:themeColor="text1"/>
        </w:rPr>
        <w:tab/>
        <w:t xml:space="preserve">Education, </w:t>
      </w:r>
      <w:r>
        <w:rPr>
          <w:rStyle w:val="Emphasis"/>
          <w:rFonts w:ascii="Arial" w:eastAsiaTheme="majorEastAsia" w:hAnsi="Arial" w:cs="Arial"/>
          <w:color w:val="000000" w:themeColor="text1"/>
        </w:rPr>
        <w:tab/>
        <w:t>180</w:t>
      </w:r>
      <w:r>
        <w:rPr>
          <w:rFonts w:ascii="Arial" w:hAnsi="Arial" w:cs="Arial"/>
          <w:color w:val="000000" w:themeColor="text1"/>
        </w:rPr>
        <w:t xml:space="preserve">, 104438. </w:t>
      </w:r>
      <w:r>
        <w:rPr>
          <w:rFonts w:ascii="Arial" w:hAnsi="Arial" w:cs="Arial"/>
          <w:color w:val="000000" w:themeColor="text1"/>
        </w:rPr>
        <w:tab/>
      </w:r>
      <w:hyperlink r:id="rId18" w:tgtFrame="_new" w:history="1">
        <w:r>
          <w:rPr>
            <w:rStyle w:val="Hyperlink"/>
            <w:rFonts w:ascii="Arial" w:eastAsiaTheme="majorEastAsia" w:hAnsi="Arial" w:cs="Arial"/>
            <w:color w:val="000000" w:themeColor="text1"/>
            <w:u w:val="none"/>
          </w:rPr>
          <w:t>https://doi.org/10.1016/j.compedu.2022.104438</w:t>
        </w:r>
      </w:hyperlink>
    </w:p>
    <w:p>
      <w:pPr>
        <w:pStyle w:val="NormalWeb"/>
        <w:jc w:val="both"/>
        <w:rPr>
          <w:rFonts w:ascii="Arial" w:hAnsi="Arial" w:cs="Arial"/>
          <w:color w:val="000000" w:themeColor="text1"/>
        </w:rPr>
      </w:pPr>
      <w:r>
        <w:rPr>
          <w:rFonts w:ascii="Arial" w:hAnsi="Arial" w:cs="Arial"/>
          <w:color w:val="000000" w:themeColor="text1"/>
        </w:rPr>
        <w:t xml:space="preserve">Kimmons, R. (2020). PICRAT: A model for technology integration. </w:t>
      </w:r>
      <w:r>
        <w:rPr>
          <w:rStyle w:val="Emphasis"/>
          <w:rFonts w:ascii="Arial" w:eastAsiaTheme="majorEastAsia" w:hAnsi="Arial" w:cs="Arial"/>
          <w:color w:val="000000" w:themeColor="text1"/>
        </w:rPr>
        <w:t>EdTech Books</w:t>
      </w:r>
      <w:r>
        <w:rPr>
          <w:rFonts w:ascii="Arial" w:hAnsi="Arial" w:cs="Arial"/>
          <w:color w:val="000000" w:themeColor="text1"/>
        </w:rPr>
        <w:t xml:space="preserve">. </w:t>
      </w:r>
      <w:r>
        <w:rPr>
          <w:rFonts w:ascii="Arial" w:hAnsi="Arial" w:cs="Arial"/>
          <w:color w:val="000000" w:themeColor="text1"/>
        </w:rPr>
        <w:tab/>
      </w:r>
      <w:hyperlink r:id="rId19" w:tgtFrame="_new" w:history="1">
        <w:r>
          <w:rPr>
            <w:rStyle w:val="Hyperlink"/>
            <w:rFonts w:ascii="Arial" w:eastAsiaTheme="majorEastAsia" w:hAnsi="Arial" w:cs="Arial"/>
            <w:color w:val="000000" w:themeColor="text1"/>
            <w:u w:val="none"/>
          </w:rPr>
          <w:t>https://edtechbooks.org/picrat</w:t>
        </w:r>
      </w:hyperlink>
    </w:p>
    <w:p>
      <w:pPr>
        <w:pStyle w:val="NormalWeb"/>
        <w:jc w:val="both"/>
        <w:rPr>
          <w:rFonts w:ascii="Arial" w:hAnsi="Arial" w:cs="Arial"/>
          <w:color w:val="000000" w:themeColor="text1"/>
        </w:rPr>
      </w:pPr>
      <w:r>
        <w:rPr>
          <w:rFonts w:ascii="Arial" w:hAnsi="Arial" w:cs="Arial"/>
          <w:color w:val="000000" w:themeColor="text1"/>
        </w:rPr>
        <w:t xml:space="preserve">Kral, I., &amp; Schwab, R. G. (2022). Learning spaces and digital engagement in </w:t>
      </w:r>
      <w:r>
        <w:rPr>
          <w:rFonts w:ascii="Arial" w:hAnsi="Arial" w:cs="Arial"/>
          <w:color w:val="000000" w:themeColor="text1"/>
        </w:rPr>
        <w:tab/>
        <w:t xml:space="preserve">remote </w:t>
      </w:r>
      <w:r>
        <w:rPr>
          <w:rFonts w:ascii="Arial" w:hAnsi="Arial" w:cs="Arial"/>
          <w:color w:val="000000" w:themeColor="text1"/>
        </w:rPr>
        <w:tab/>
        <w:t xml:space="preserve">Indigenous communities. </w:t>
      </w:r>
      <w:r>
        <w:rPr>
          <w:rStyle w:val="Emphasis"/>
          <w:rFonts w:ascii="Arial" w:eastAsiaTheme="majorEastAsia" w:hAnsi="Arial" w:cs="Arial"/>
          <w:color w:val="000000" w:themeColor="text1"/>
        </w:rPr>
        <w:t xml:space="preserve">Australian Journal of Indigenous </w:t>
      </w:r>
      <w:r>
        <w:rPr>
          <w:rStyle w:val="Emphasis"/>
          <w:rFonts w:ascii="Arial" w:eastAsiaTheme="majorEastAsia" w:hAnsi="Arial" w:cs="Arial"/>
          <w:color w:val="000000" w:themeColor="text1"/>
        </w:rPr>
        <w:tab/>
        <w:t>Education, 51</w:t>
      </w:r>
      <w:r>
        <w:rPr>
          <w:rFonts w:ascii="Arial" w:hAnsi="Arial" w:cs="Arial"/>
          <w:color w:val="000000" w:themeColor="text1"/>
        </w:rPr>
        <w:t xml:space="preserve">(1), 1–15. </w:t>
      </w:r>
      <w:r>
        <w:rPr>
          <w:rFonts w:ascii="Arial" w:hAnsi="Arial" w:cs="Arial"/>
          <w:color w:val="000000" w:themeColor="text1"/>
        </w:rPr>
        <w:tab/>
      </w:r>
      <w:hyperlink r:id="rId20" w:tgtFrame="_new" w:history="1">
        <w:r>
          <w:rPr>
            <w:rStyle w:val="Hyperlink"/>
            <w:rFonts w:ascii="Arial" w:eastAsiaTheme="majorEastAsia" w:hAnsi="Arial" w:cs="Arial"/>
            <w:color w:val="000000" w:themeColor="text1"/>
            <w:u w:val="none"/>
          </w:rPr>
          <w:t>https://doi.org/10.1017/jie.2021.24</w:t>
        </w:r>
      </w:hyperlink>
    </w:p>
    <w:p>
      <w:pPr>
        <w:pStyle w:val="NormalWeb"/>
        <w:jc w:val="both"/>
        <w:rPr>
          <w:rFonts w:ascii="Arial" w:hAnsi="Arial" w:cs="Arial"/>
          <w:color w:val="000000" w:themeColor="text1"/>
        </w:rPr>
      </w:pPr>
      <w:r>
        <w:rPr>
          <w:rFonts w:ascii="Arial" w:hAnsi="Arial" w:cs="Arial"/>
          <w:color w:val="000000" w:themeColor="text1"/>
        </w:rPr>
        <w:t xml:space="preserve">Ladson-Billings, G. (2021). Culturally relevant pedagogy 2.1: A remix. </w:t>
      </w:r>
      <w:r>
        <w:rPr>
          <w:rStyle w:val="Emphasis"/>
          <w:rFonts w:ascii="Arial" w:eastAsiaTheme="majorEastAsia" w:hAnsi="Arial" w:cs="Arial"/>
          <w:color w:val="000000" w:themeColor="text1"/>
        </w:rPr>
        <w:t xml:space="preserve">Harvard </w:t>
      </w:r>
      <w:r>
        <w:rPr>
          <w:rStyle w:val="Emphasis"/>
          <w:rFonts w:ascii="Arial" w:eastAsiaTheme="majorEastAsia" w:hAnsi="Arial" w:cs="Arial"/>
          <w:color w:val="000000" w:themeColor="text1"/>
        </w:rPr>
        <w:tab/>
        <w:t>Educational Review, 91</w:t>
      </w:r>
      <w:r>
        <w:rPr>
          <w:rFonts w:ascii="Arial" w:hAnsi="Arial" w:cs="Arial"/>
          <w:color w:val="000000" w:themeColor="text1"/>
        </w:rPr>
        <w:t xml:space="preserve">(1), 1–22. </w:t>
      </w:r>
      <w:hyperlink r:id="rId21" w:tgtFrame="_new" w:history="1">
        <w:r>
          <w:rPr>
            <w:rStyle w:val="Hyperlink"/>
            <w:rFonts w:ascii="Arial" w:eastAsiaTheme="majorEastAsia" w:hAnsi="Arial" w:cs="Arial"/>
            <w:color w:val="000000" w:themeColor="text1"/>
            <w:u w:val="none"/>
          </w:rPr>
          <w:t>https://doi.org/10.17763/1943-5045-</w:t>
        </w:r>
        <w:r>
          <w:rPr>
            <w:rStyle w:val="Hyperlink"/>
            <w:rFonts w:ascii="Arial" w:eastAsiaTheme="majorEastAsia" w:hAnsi="Arial" w:cs="Arial"/>
            <w:color w:val="000000" w:themeColor="text1"/>
            <w:u w:val="none"/>
          </w:rPr>
          <w:tab/>
          <w:t>91.1.1</w:t>
        </w:r>
      </w:hyperlink>
    </w:p>
    <w:p>
      <w:pPr>
        <w:pStyle w:val="NormalWeb"/>
        <w:jc w:val="both"/>
        <w:rPr>
          <w:rFonts w:ascii="Arial" w:hAnsi="Arial" w:cs="Arial"/>
          <w:color w:val="000000" w:themeColor="text1"/>
        </w:rPr>
      </w:pPr>
      <w:r>
        <w:rPr>
          <w:rFonts w:ascii="Arial" w:hAnsi="Arial" w:cs="Arial"/>
          <w:color w:val="000000" w:themeColor="text1"/>
        </w:rPr>
        <w:lastRenderedPageBreak/>
        <w:t xml:space="preserve">Lai, C., &amp; Bower, M. (2020). How is the use of technology in education evaluated? </w:t>
      </w:r>
      <w:r>
        <w:rPr>
          <w:rFonts w:ascii="Arial" w:hAnsi="Arial" w:cs="Arial"/>
          <w:color w:val="000000" w:themeColor="text1"/>
        </w:rPr>
        <w:tab/>
        <w:t xml:space="preserve">A </w:t>
      </w:r>
      <w:r>
        <w:rPr>
          <w:rFonts w:ascii="Arial" w:hAnsi="Arial" w:cs="Arial"/>
          <w:color w:val="000000" w:themeColor="text1"/>
        </w:rPr>
        <w:tab/>
        <w:t xml:space="preserve">systematic review. </w:t>
      </w:r>
      <w:r>
        <w:rPr>
          <w:rStyle w:val="Emphasis"/>
          <w:rFonts w:ascii="Arial" w:eastAsiaTheme="majorEastAsia" w:hAnsi="Arial" w:cs="Arial"/>
          <w:color w:val="000000" w:themeColor="text1"/>
        </w:rPr>
        <w:t>Computers &amp; Education, 151</w:t>
      </w:r>
      <w:r>
        <w:rPr>
          <w:rFonts w:ascii="Arial" w:hAnsi="Arial" w:cs="Arial"/>
          <w:color w:val="000000" w:themeColor="text1"/>
        </w:rPr>
        <w:t xml:space="preserve">, 103861. </w:t>
      </w:r>
      <w:r>
        <w:rPr>
          <w:rFonts w:ascii="Arial" w:hAnsi="Arial" w:cs="Arial"/>
          <w:color w:val="000000" w:themeColor="text1"/>
        </w:rPr>
        <w:tab/>
      </w:r>
      <w:hyperlink r:id="rId22" w:tgtFrame="_new" w:history="1">
        <w:r>
          <w:rPr>
            <w:rStyle w:val="Hyperlink"/>
            <w:rFonts w:ascii="Arial" w:eastAsiaTheme="majorEastAsia" w:hAnsi="Arial" w:cs="Arial"/>
            <w:color w:val="000000" w:themeColor="text1"/>
            <w:u w:val="none"/>
          </w:rPr>
          <w:t>https://doi.org/10.1016/j.compedu.2020.103861</w:t>
        </w:r>
      </w:hyperlink>
    </w:p>
    <w:p>
      <w:pPr>
        <w:pStyle w:val="NormalWeb"/>
        <w:jc w:val="both"/>
        <w:rPr>
          <w:rFonts w:ascii="Arial" w:hAnsi="Arial" w:cs="Arial"/>
          <w:color w:val="000000" w:themeColor="text1"/>
        </w:rPr>
      </w:pPr>
      <w:r>
        <w:rPr>
          <w:rFonts w:ascii="Arial" w:hAnsi="Arial" w:cs="Arial"/>
          <w:color w:val="000000" w:themeColor="text1"/>
        </w:rPr>
        <w:t xml:space="preserve">Loewen, S., &amp; Sato, M. (2023). Interaction and instructed second language </w:t>
      </w:r>
      <w:r>
        <w:rPr>
          <w:rFonts w:ascii="Arial" w:hAnsi="Arial" w:cs="Arial"/>
          <w:color w:val="000000" w:themeColor="text1"/>
        </w:rPr>
        <w:tab/>
        <w:t xml:space="preserve">acquisition. </w:t>
      </w:r>
      <w:r>
        <w:rPr>
          <w:rFonts w:ascii="Arial" w:hAnsi="Arial" w:cs="Arial"/>
          <w:color w:val="000000" w:themeColor="text1"/>
        </w:rPr>
        <w:tab/>
      </w:r>
      <w:r>
        <w:rPr>
          <w:rStyle w:val="Emphasis"/>
          <w:rFonts w:ascii="Arial" w:eastAsiaTheme="majorEastAsia" w:hAnsi="Arial" w:cs="Arial"/>
          <w:color w:val="000000" w:themeColor="text1"/>
        </w:rPr>
        <w:t>Language Teaching Research</w:t>
      </w:r>
      <w:r>
        <w:rPr>
          <w:rFonts w:ascii="Arial" w:hAnsi="Arial" w:cs="Arial"/>
          <w:color w:val="000000" w:themeColor="text1"/>
        </w:rPr>
        <w:t xml:space="preserve">. Advance online publication. </w:t>
      </w:r>
      <w:r>
        <w:rPr>
          <w:rFonts w:ascii="Arial" w:hAnsi="Arial" w:cs="Arial"/>
          <w:color w:val="000000" w:themeColor="text1"/>
        </w:rPr>
        <w:tab/>
      </w:r>
      <w:hyperlink r:id="rId23" w:tgtFrame="_new" w:history="1">
        <w:r>
          <w:rPr>
            <w:rStyle w:val="Hyperlink"/>
            <w:rFonts w:ascii="Arial" w:eastAsiaTheme="majorEastAsia" w:hAnsi="Arial" w:cs="Arial"/>
            <w:color w:val="000000" w:themeColor="text1"/>
            <w:u w:val="none"/>
          </w:rPr>
          <w:t>https://doi.org/10.1177/13621688221141056</w:t>
        </w:r>
      </w:hyperlink>
    </w:p>
    <w:p>
      <w:pPr>
        <w:pStyle w:val="NormalWeb"/>
        <w:jc w:val="both"/>
        <w:rPr>
          <w:rFonts w:ascii="Arial" w:hAnsi="Arial" w:cs="Arial"/>
          <w:color w:val="000000" w:themeColor="text1"/>
        </w:rPr>
      </w:pPr>
      <w:r>
        <w:rPr>
          <w:rFonts w:ascii="Arial" w:hAnsi="Arial" w:cs="Arial"/>
          <w:color w:val="000000" w:themeColor="text1"/>
        </w:rPr>
        <w:t xml:space="preserve">McCarty, T. L., &amp; Lee, T. S. (2022). Critical culturally sustaining/revitalizing </w:t>
      </w:r>
      <w:r>
        <w:rPr>
          <w:rFonts w:ascii="Arial" w:hAnsi="Arial" w:cs="Arial"/>
          <w:color w:val="000000" w:themeColor="text1"/>
        </w:rPr>
        <w:tab/>
        <w:t xml:space="preserve">pedagogy and </w:t>
      </w:r>
      <w:r>
        <w:rPr>
          <w:rFonts w:ascii="Arial" w:hAnsi="Arial" w:cs="Arial"/>
          <w:color w:val="000000" w:themeColor="text1"/>
        </w:rPr>
        <w:tab/>
        <w:t xml:space="preserve">Indigenous education sovereignty. </w:t>
      </w:r>
      <w:r>
        <w:rPr>
          <w:rStyle w:val="Emphasis"/>
          <w:rFonts w:ascii="Arial" w:eastAsiaTheme="majorEastAsia" w:hAnsi="Arial" w:cs="Arial"/>
          <w:color w:val="000000" w:themeColor="text1"/>
        </w:rPr>
        <w:t xml:space="preserve">Educational </w:t>
      </w:r>
      <w:r>
        <w:rPr>
          <w:rStyle w:val="Emphasis"/>
          <w:rFonts w:ascii="Arial" w:eastAsiaTheme="majorEastAsia" w:hAnsi="Arial" w:cs="Arial"/>
          <w:color w:val="000000" w:themeColor="text1"/>
        </w:rPr>
        <w:tab/>
        <w:t>Researcher, 51</w:t>
      </w:r>
      <w:r>
        <w:rPr>
          <w:rFonts w:ascii="Arial" w:hAnsi="Arial" w:cs="Arial"/>
          <w:color w:val="000000" w:themeColor="text1"/>
        </w:rPr>
        <w:t xml:space="preserve">(5), 312–321. </w:t>
      </w:r>
      <w:r>
        <w:rPr>
          <w:rFonts w:ascii="Arial" w:hAnsi="Arial" w:cs="Arial"/>
          <w:color w:val="000000" w:themeColor="text1"/>
        </w:rPr>
        <w:tab/>
      </w:r>
      <w:hyperlink r:id="rId24" w:tgtFrame="_new" w:history="1">
        <w:r>
          <w:rPr>
            <w:rStyle w:val="Hyperlink"/>
            <w:rFonts w:ascii="Arial" w:eastAsiaTheme="majorEastAsia" w:hAnsi="Arial" w:cs="Arial"/>
            <w:color w:val="000000" w:themeColor="text1"/>
            <w:u w:val="none"/>
          </w:rPr>
          <w:t>https://doi.org/10.3102/0013189X221094367</w:t>
        </w:r>
      </w:hyperlink>
    </w:p>
    <w:p>
      <w:pPr>
        <w:pStyle w:val="NormalWeb"/>
        <w:jc w:val="both"/>
        <w:rPr>
          <w:rFonts w:ascii="Arial" w:hAnsi="Arial" w:cs="Arial"/>
          <w:color w:val="000000" w:themeColor="text1"/>
        </w:rPr>
      </w:pPr>
      <w:r>
        <w:rPr>
          <w:rFonts w:ascii="Arial" w:hAnsi="Arial" w:cs="Arial"/>
          <w:color w:val="000000" w:themeColor="text1"/>
        </w:rPr>
        <w:t xml:space="preserve">McMahon, M., &amp; Oliver, R. (2021). Issues and challenges in using digital </w:t>
      </w:r>
      <w:r>
        <w:rPr>
          <w:rFonts w:ascii="Arial" w:hAnsi="Arial" w:cs="Arial"/>
          <w:color w:val="000000" w:themeColor="text1"/>
        </w:rPr>
        <w:tab/>
        <w:t xml:space="preserve">technologies to </w:t>
      </w:r>
      <w:r>
        <w:rPr>
          <w:rFonts w:ascii="Arial" w:hAnsi="Arial" w:cs="Arial"/>
          <w:color w:val="000000" w:themeColor="text1"/>
        </w:rPr>
        <w:tab/>
        <w:t xml:space="preserve">support learning in remote Indigenous communities. </w:t>
      </w:r>
      <w:r>
        <w:rPr>
          <w:rFonts w:ascii="Arial" w:hAnsi="Arial" w:cs="Arial"/>
          <w:color w:val="000000" w:themeColor="text1"/>
        </w:rPr>
        <w:tab/>
      </w:r>
      <w:r>
        <w:rPr>
          <w:rStyle w:val="Emphasis"/>
          <w:rFonts w:ascii="Arial" w:eastAsiaTheme="majorEastAsia" w:hAnsi="Arial" w:cs="Arial"/>
          <w:color w:val="000000" w:themeColor="text1"/>
        </w:rPr>
        <w:t xml:space="preserve">Education in Rural Australia, </w:t>
      </w:r>
      <w:r>
        <w:rPr>
          <w:rStyle w:val="Emphasis"/>
          <w:rFonts w:ascii="Arial" w:eastAsiaTheme="majorEastAsia" w:hAnsi="Arial" w:cs="Arial"/>
          <w:color w:val="000000" w:themeColor="text1"/>
        </w:rPr>
        <w:tab/>
        <w:t>31</w:t>
      </w:r>
      <w:r>
        <w:rPr>
          <w:rFonts w:ascii="Arial" w:hAnsi="Arial" w:cs="Arial"/>
          <w:color w:val="000000" w:themeColor="text1"/>
        </w:rPr>
        <w:t>(1), 63–80.</w:t>
      </w:r>
    </w:p>
    <w:p>
      <w:pPr>
        <w:pStyle w:val="NormalWeb"/>
        <w:jc w:val="both"/>
        <w:rPr>
          <w:rFonts w:ascii="Arial" w:hAnsi="Arial" w:cs="Arial"/>
          <w:color w:val="000000" w:themeColor="text1"/>
        </w:rPr>
      </w:pPr>
      <w:r>
        <w:rPr>
          <w:rFonts w:ascii="Arial" w:hAnsi="Arial" w:cs="Arial"/>
          <w:color w:val="000000" w:themeColor="text1"/>
        </w:rPr>
        <w:t xml:space="preserve">Mishra, P., Koehler, M. J., &amp; Cain, W. (2021). What is technological pedagogical </w:t>
      </w:r>
      <w:r>
        <w:rPr>
          <w:rFonts w:ascii="Arial" w:hAnsi="Arial" w:cs="Arial"/>
          <w:color w:val="000000" w:themeColor="text1"/>
        </w:rPr>
        <w:tab/>
        <w:t xml:space="preserve">content </w:t>
      </w:r>
      <w:r>
        <w:rPr>
          <w:rFonts w:ascii="Arial" w:hAnsi="Arial" w:cs="Arial"/>
          <w:color w:val="000000" w:themeColor="text1"/>
        </w:rPr>
        <w:tab/>
        <w:t xml:space="preserve">knowledge (TPACK)? </w:t>
      </w:r>
      <w:r>
        <w:rPr>
          <w:rStyle w:val="Emphasis"/>
          <w:rFonts w:ascii="Arial" w:eastAsiaTheme="majorEastAsia" w:hAnsi="Arial" w:cs="Arial"/>
          <w:color w:val="000000" w:themeColor="text1"/>
        </w:rPr>
        <w:t>Journal of Education, 193</w:t>
      </w:r>
      <w:r>
        <w:rPr>
          <w:rFonts w:ascii="Arial" w:hAnsi="Arial" w:cs="Arial"/>
          <w:color w:val="000000" w:themeColor="text1"/>
        </w:rPr>
        <w:t>(3), 13–19.</w:t>
      </w:r>
    </w:p>
    <w:p>
      <w:pPr>
        <w:pStyle w:val="NormalWeb"/>
        <w:jc w:val="both"/>
        <w:rPr>
          <w:rFonts w:ascii="Arial" w:hAnsi="Arial" w:cs="Arial"/>
          <w:color w:val="000000" w:themeColor="text1"/>
        </w:rPr>
      </w:pPr>
      <w:r>
        <w:rPr>
          <w:rFonts w:ascii="Arial" w:hAnsi="Arial" w:cs="Arial"/>
          <w:color w:val="000000" w:themeColor="text1"/>
        </w:rPr>
        <w:t xml:space="preserve">Paris, D., &amp; Alim, H. S. (2017). </w:t>
      </w:r>
      <w:r>
        <w:rPr>
          <w:rStyle w:val="Emphasis"/>
          <w:rFonts w:ascii="Arial" w:eastAsiaTheme="majorEastAsia" w:hAnsi="Arial" w:cs="Arial"/>
          <w:color w:val="000000" w:themeColor="text1"/>
        </w:rPr>
        <w:t xml:space="preserve">Culturally sustaining pedagogies: Teaching and </w:t>
      </w:r>
      <w:r>
        <w:rPr>
          <w:rStyle w:val="Emphasis"/>
          <w:rFonts w:ascii="Arial" w:eastAsiaTheme="majorEastAsia" w:hAnsi="Arial" w:cs="Arial"/>
          <w:color w:val="000000" w:themeColor="text1"/>
        </w:rPr>
        <w:tab/>
        <w:t xml:space="preserve">learning </w:t>
      </w:r>
      <w:r>
        <w:rPr>
          <w:rStyle w:val="Emphasis"/>
          <w:rFonts w:ascii="Arial" w:eastAsiaTheme="majorEastAsia" w:hAnsi="Arial" w:cs="Arial"/>
          <w:color w:val="000000" w:themeColor="text1"/>
        </w:rPr>
        <w:tab/>
        <w:t>for justice in a changing world</w:t>
      </w:r>
      <w:r>
        <w:rPr>
          <w:rFonts w:ascii="Arial" w:hAnsi="Arial" w:cs="Arial"/>
          <w:color w:val="000000" w:themeColor="text1"/>
        </w:rPr>
        <w:t>. Teachers College Press.</w:t>
      </w:r>
    </w:p>
    <w:p>
      <w:pPr>
        <w:pStyle w:val="NormalWeb"/>
        <w:jc w:val="both"/>
        <w:rPr>
          <w:rFonts w:ascii="Arial" w:hAnsi="Arial" w:cs="Arial"/>
          <w:color w:val="000000" w:themeColor="text1"/>
        </w:rPr>
      </w:pPr>
      <w:r>
        <w:rPr>
          <w:rFonts w:ascii="Arial" w:hAnsi="Arial" w:cs="Arial"/>
          <w:color w:val="000000" w:themeColor="text1"/>
        </w:rPr>
        <w:t xml:space="preserve">Paris, D., &amp; Alim, H. S. (2021). What are we seeking to sustain through culturally </w:t>
      </w:r>
      <w:r>
        <w:rPr>
          <w:rFonts w:ascii="Arial" w:hAnsi="Arial" w:cs="Arial"/>
          <w:color w:val="000000" w:themeColor="text1"/>
        </w:rPr>
        <w:tab/>
        <w:t xml:space="preserve">sustaining pedagogy? A loving critique forward. </w:t>
      </w:r>
      <w:r>
        <w:rPr>
          <w:rStyle w:val="Emphasis"/>
          <w:rFonts w:ascii="Arial" w:eastAsiaTheme="majorEastAsia" w:hAnsi="Arial" w:cs="Arial"/>
          <w:color w:val="000000" w:themeColor="text1"/>
        </w:rPr>
        <w:t xml:space="preserve">Harvard Educational </w:t>
      </w:r>
      <w:r>
        <w:rPr>
          <w:rStyle w:val="Emphasis"/>
          <w:rFonts w:ascii="Arial" w:eastAsiaTheme="majorEastAsia" w:hAnsi="Arial" w:cs="Arial"/>
          <w:color w:val="000000" w:themeColor="text1"/>
        </w:rPr>
        <w:tab/>
        <w:t xml:space="preserve">Review, </w:t>
      </w:r>
      <w:r>
        <w:rPr>
          <w:rStyle w:val="Emphasis"/>
          <w:rFonts w:ascii="Arial" w:eastAsiaTheme="majorEastAsia" w:hAnsi="Arial" w:cs="Arial"/>
          <w:color w:val="000000" w:themeColor="text1"/>
        </w:rPr>
        <w:tab/>
        <w:t>91</w:t>
      </w:r>
      <w:r>
        <w:rPr>
          <w:rFonts w:ascii="Arial" w:hAnsi="Arial" w:cs="Arial"/>
          <w:color w:val="000000" w:themeColor="text1"/>
        </w:rPr>
        <w:t>(3), 364–</w:t>
      </w:r>
      <w:r>
        <w:rPr>
          <w:rFonts w:ascii="Arial" w:hAnsi="Arial" w:cs="Arial"/>
          <w:color w:val="000000" w:themeColor="text1"/>
        </w:rPr>
        <w:tab/>
        <w:t xml:space="preserve">383. </w:t>
      </w:r>
      <w:hyperlink r:id="rId25" w:tgtFrame="_new" w:history="1">
        <w:r>
          <w:rPr>
            <w:rStyle w:val="Hyperlink"/>
            <w:rFonts w:ascii="Arial" w:eastAsiaTheme="majorEastAsia" w:hAnsi="Arial" w:cs="Arial"/>
            <w:color w:val="000000" w:themeColor="text1"/>
            <w:u w:val="none"/>
          </w:rPr>
          <w:t>https://doi.org/10.17763/1943-5045-</w:t>
        </w:r>
        <w:r>
          <w:rPr>
            <w:rStyle w:val="Hyperlink"/>
            <w:rFonts w:ascii="Arial" w:eastAsiaTheme="majorEastAsia" w:hAnsi="Arial" w:cs="Arial"/>
            <w:color w:val="000000" w:themeColor="text1"/>
            <w:u w:val="none"/>
          </w:rPr>
          <w:tab/>
          <w:t>91.3.364</w:t>
        </w:r>
      </w:hyperlink>
    </w:p>
    <w:p>
      <w:pPr>
        <w:pStyle w:val="NormalWeb"/>
        <w:jc w:val="both"/>
        <w:rPr>
          <w:rFonts w:ascii="Arial" w:hAnsi="Arial" w:cs="Arial"/>
          <w:color w:val="000000" w:themeColor="text1"/>
        </w:rPr>
      </w:pPr>
      <w:r>
        <w:rPr>
          <w:rFonts w:ascii="Arial" w:hAnsi="Arial" w:cs="Arial"/>
          <w:color w:val="000000" w:themeColor="text1"/>
        </w:rPr>
        <w:t xml:space="preserve">Ramos, E. R. (2023). Technology integration challenges in Indigenous Peoples </w:t>
      </w:r>
      <w:r>
        <w:rPr>
          <w:rFonts w:ascii="Arial" w:hAnsi="Arial" w:cs="Arial"/>
          <w:color w:val="000000" w:themeColor="text1"/>
        </w:rPr>
        <w:tab/>
        <w:t xml:space="preserve">Education </w:t>
      </w:r>
      <w:r>
        <w:rPr>
          <w:rFonts w:ascii="Arial" w:hAnsi="Arial" w:cs="Arial"/>
          <w:color w:val="000000" w:themeColor="text1"/>
        </w:rPr>
        <w:tab/>
        <w:t xml:space="preserve">schools. </w:t>
      </w:r>
      <w:r>
        <w:rPr>
          <w:rStyle w:val="Emphasis"/>
          <w:rFonts w:ascii="Arial" w:eastAsiaTheme="majorEastAsia" w:hAnsi="Arial" w:cs="Arial"/>
          <w:color w:val="000000" w:themeColor="text1"/>
        </w:rPr>
        <w:t>Mindanao Journal of Educational Research, 7</w:t>
      </w:r>
      <w:r>
        <w:rPr>
          <w:rFonts w:ascii="Arial" w:hAnsi="Arial" w:cs="Arial"/>
          <w:color w:val="000000" w:themeColor="text1"/>
        </w:rPr>
        <w:t xml:space="preserve">(1), </w:t>
      </w:r>
      <w:r>
        <w:rPr>
          <w:rFonts w:ascii="Arial" w:hAnsi="Arial" w:cs="Arial"/>
          <w:color w:val="000000" w:themeColor="text1"/>
        </w:rPr>
        <w:tab/>
        <w:t>45–61.</w:t>
      </w:r>
    </w:p>
    <w:p>
      <w:pPr>
        <w:pStyle w:val="NormalWeb"/>
        <w:jc w:val="both"/>
        <w:rPr>
          <w:rFonts w:ascii="Arial" w:hAnsi="Arial" w:cs="Arial"/>
          <w:color w:val="000000" w:themeColor="text1"/>
        </w:rPr>
      </w:pPr>
      <w:r>
        <w:rPr>
          <w:rFonts w:ascii="Arial" w:hAnsi="Arial" w:cs="Arial"/>
          <w:color w:val="000000" w:themeColor="text1"/>
        </w:rPr>
        <w:t xml:space="preserve">Redecker, C. (2022). European framework for the digital competence of educators </w:t>
      </w:r>
      <w:r>
        <w:rPr>
          <w:rFonts w:ascii="Arial" w:hAnsi="Arial" w:cs="Arial"/>
          <w:color w:val="000000" w:themeColor="text1"/>
        </w:rPr>
        <w:tab/>
        <w:t xml:space="preserve">(DigCompEdu): Update and implications. </w:t>
      </w:r>
      <w:r>
        <w:rPr>
          <w:rStyle w:val="Emphasis"/>
          <w:rFonts w:ascii="Arial" w:eastAsiaTheme="majorEastAsia" w:hAnsi="Arial" w:cs="Arial"/>
          <w:color w:val="000000" w:themeColor="text1"/>
        </w:rPr>
        <w:t xml:space="preserve">European Journal of Education, </w:t>
      </w:r>
      <w:r>
        <w:rPr>
          <w:rStyle w:val="Emphasis"/>
          <w:rFonts w:ascii="Arial" w:eastAsiaTheme="majorEastAsia" w:hAnsi="Arial" w:cs="Arial"/>
          <w:color w:val="000000" w:themeColor="text1"/>
        </w:rPr>
        <w:tab/>
        <w:t>57</w:t>
      </w:r>
      <w:r>
        <w:rPr>
          <w:rFonts w:ascii="Arial" w:hAnsi="Arial" w:cs="Arial"/>
          <w:color w:val="000000" w:themeColor="text1"/>
        </w:rPr>
        <w:t xml:space="preserve">(3), </w:t>
      </w:r>
      <w:r>
        <w:rPr>
          <w:rFonts w:ascii="Arial" w:hAnsi="Arial" w:cs="Arial"/>
          <w:color w:val="000000" w:themeColor="text1"/>
        </w:rPr>
        <w:tab/>
        <w:t>350–</w:t>
      </w:r>
      <w:r>
        <w:rPr>
          <w:rFonts w:ascii="Arial" w:hAnsi="Arial" w:cs="Arial"/>
          <w:color w:val="000000" w:themeColor="text1"/>
        </w:rPr>
        <w:tab/>
        <w:t>364.</w:t>
      </w:r>
    </w:p>
    <w:p>
      <w:pPr>
        <w:pStyle w:val="NormalWeb"/>
        <w:jc w:val="both"/>
        <w:rPr>
          <w:rFonts w:ascii="Arial" w:hAnsi="Arial" w:cs="Arial"/>
          <w:color w:val="000000" w:themeColor="text1"/>
        </w:rPr>
      </w:pPr>
      <w:r>
        <w:rPr>
          <w:rFonts w:ascii="Arial" w:hAnsi="Arial" w:cs="Arial"/>
          <w:color w:val="000000" w:themeColor="text1"/>
        </w:rPr>
        <w:t xml:space="preserve">Redmond, P., &amp; Peled, Y. (2023). Exploring the relationship between TPACK and </w:t>
      </w:r>
      <w:r>
        <w:rPr>
          <w:rFonts w:ascii="Arial" w:hAnsi="Arial" w:cs="Arial"/>
          <w:color w:val="000000" w:themeColor="text1"/>
        </w:rPr>
        <w:tab/>
        <w:t xml:space="preserve">instructional innovation in digital learning environments. </w:t>
      </w:r>
      <w:r>
        <w:rPr>
          <w:rStyle w:val="Emphasis"/>
          <w:rFonts w:ascii="Arial" w:eastAsiaTheme="majorEastAsia" w:hAnsi="Arial" w:cs="Arial"/>
          <w:color w:val="000000" w:themeColor="text1"/>
        </w:rPr>
        <w:t xml:space="preserve">Computers &amp; </w:t>
      </w:r>
      <w:r>
        <w:rPr>
          <w:rStyle w:val="Emphasis"/>
          <w:rFonts w:ascii="Arial" w:eastAsiaTheme="majorEastAsia" w:hAnsi="Arial" w:cs="Arial"/>
          <w:color w:val="000000" w:themeColor="text1"/>
        </w:rPr>
        <w:tab/>
        <w:t xml:space="preserve">Education, </w:t>
      </w:r>
      <w:r>
        <w:rPr>
          <w:rStyle w:val="Emphasis"/>
          <w:rFonts w:ascii="Arial" w:eastAsiaTheme="majorEastAsia" w:hAnsi="Arial" w:cs="Arial"/>
          <w:color w:val="000000" w:themeColor="text1"/>
        </w:rPr>
        <w:tab/>
        <w:t>186</w:t>
      </w:r>
      <w:r>
        <w:rPr>
          <w:rFonts w:ascii="Arial" w:hAnsi="Arial" w:cs="Arial"/>
          <w:color w:val="000000" w:themeColor="text1"/>
        </w:rPr>
        <w:t xml:space="preserve">, 104545. </w:t>
      </w:r>
      <w:hyperlink r:id="rId26" w:tgtFrame="_new" w:history="1">
        <w:r>
          <w:rPr>
            <w:rStyle w:val="Hyperlink"/>
            <w:rFonts w:ascii="Arial" w:eastAsiaTheme="majorEastAsia" w:hAnsi="Arial" w:cs="Arial"/>
            <w:color w:val="000000" w:themeColor="text1"/>
            <w:u w:val="none"/>
          </w:rPr>
          <w:t>https://doi.org/10.1016/j.compedu.2022.104545</w:t>
        </w:r>
      </w:hyperlink>
    </w:p>
    <w:p>
      <w:pPr>
        <w:pStyle w:val="NormalWeb"/>
        <w:jc w:val="both"/>
        <w:rPr>
          <w:rFonts w:ascii="Arial" w:hAnsi="Arial" w:cs="Arial"/>
          <w:color w:val="000000" w:themeColor="text1"/>
        </w:rPr>
      </w:pPr>
      <w:r>
        <w:rPr>
          <w:rFonts w:ascii="Arial" w:hAnsi="Arial" w:cs="Arial"/>
          <w:color w:val="000000" w:themeColor="text1"/>
        </w:rPr>
        <w:t xml:space="preserve">Resta, P., Laferrière, T., McLaughlin, R., &amp; Koury, K. (2021). Digital equity and </w:t>
      </w:r>
      <w:r>
        <w:rPr>
          <w:rFonts w:ascii="Arial" w:hAnsi="Arial" w:cs="Arial"/>
          <w:color w:val="000000" w:themeColor="text1"/>
        </w:rPr>
        <w:tab/>
        <w:t xml:space="preserve">culturally </w:t>
      </w:r>
      <w:r>
        <w:rPr>
          <w:rFonts w:ascii="Arial" w:hAnsi="Arial" w:cs="Arial"/>
          <w:color w:val="000000" w:themeColor="text1"/>
        </w:rPr>
        <w:tab/>
        <w:t xml:space="preserve">responsive technology integration in Indigenous education. </w:t>
      </w:r>
      <w:r>
        <w:rPr>
          <w:rFonts w:ascii="Arial" w:hAnsi="Arial" w:cs="Arial"/>
          <w:color w:val="000000" w:themeColor="text1"/>
        </w:rPr>
        <w:tab/>
      </w:r>
      <w:r>
        <w:rPr>
          <w:rStyle w:val="Emphasis"/>
          <w:rFonts w:ascii="Arial" w:eastAsiaTheme="majorEastAsia" w:hAnsi="Arial" w:cs="Arial"/>
          <w:color w:val="000000" w:themeColor="text1"/>
        </w:rPr>
        <w:t xml:space="preserve">Journal of Educational </w:t>
      </w:r>
      <w:r>
        <w:rPr>
          <w:rStyle w:val="Emphasis"/>
          <w:rFonts w:ascii="Arial" w:eastAsiaTheme="majorEastAsia" w:hAnsi="Arial" w:cs="Arial"/>
          <w:color w:val="000000" w:themeColor="text1"/>
        </w:rPr>
        <w:tab/>
        <w:t>Technology &amp; Society, 24</w:t>
      </w:r>
      <w:r>
        <w:rPr>
          <w:rFonts w:ascii="Arial" w:hAnsi="Arial" w:cs="Arial"/>
          <w:color w:val="000000" w:themeColor="text1"/>
        </w:rPr>
        <w:t>(3), 15–28.</w:t>
      </w:r>
    </w:p>
    <w:p>
      <w:pPr>
        <w:pStyle w:val="NormalWeb"/>
        <w:jc w:val="both"/>
        <w:rPr>
          <w:rFonts w:ascii="Arial" w:hAnsi="Arial" w:cs="Arial"/>
          <w:color w:val="000000" w:themeColor="text1"/>
        </w:rPr>
      </w:pPr>
      <w:r>
        <w:rPr>
          <w:rFonts w:ascii="Arial" w:hAnsi="Arial" w:cs="Arial"/>
          <w:color w:val="000000" w:themeColor="text1"/>
        </w:rPr>
        <w:lastRenderedPageBreak/>
        <w:t xml:space="preserve">Sato, M., &amp; Loewen, S. (2022). Evidence-based second language pedagogy: A </w:t>
      </w:r>
      <w:r>
        <w:rPr>
          <w:rFonts w:ascii="Arial" w:hAnsi="Arial" w:cs="Arial"/>
          <w:color w:val="000000" w:themeColor="text1"/>
        </w:rPr>
        <w:tab/>
        <w:t xml:space="preserve">collection </w:t>
      </w:r>
      <w:r>
        <w:rPr>
          <w:rFonts w:ascii="Arial" w:hAnsi="Arial" w:cs="Arial"/>
          <w:color w:val="000000" w:themeColor="text1"/>
        </w:rPr>
        <w:tab/>
        <w:t xml:space="preserve">of research-informed practices. </w:t>
      </w:r>
      <w:r>
        <w:rPr>
          <w:rStyle w:val="Emphasis"/>
          <w:rFonts w:ascii="Arial" w:eastAsiaTheme="majorEastAsia" w:hAnsi="Arial" w:cs="Arial"/>
          <w:color w:val="000000" w:themeColor="text1"/>
        </w:rPr>
        <w:t xml:space="preserve">Language Teaching </w:t>
      </w:r>
      <w:r>
        <w:rPr>
          <w:rStyle w:val="Emphasis"/>
          <w:rFonts w:ascii="Arial" w:eastAsiaTheme="majorEastAsia" w:hAnsi="Arial" w:cs="Arial"/>
          <w:color w:val="000000" w:themeColor="text1"/>
        </w:rPr>
        <w:tab/>
        <w:t>Research, 26</w:t>
      </w:r>
      <w:r>
        <w:rPr>
          <w:rFonts w:ascii="Arial" w:hAnsi="Arial" w:cs="Arial"/>
          <w:color w:val="000000" w:themeColor="text1"/>
        </w:rPr>
        <w:t xml:space="preserve">(1), 3–27. </w:t>
      </w:r>
      <w:r>
        <w:rPr>
          <w:rFonts w:ascii="Arial" w:hAnsi="Arial" w:cs="Arial"/>
          <w:color w:val="000000" w:themeColor="text1"/>
        </w:rPr>
        <w:tab/>
      </w:r>
      <w:hyperlink r:id="rId27" w:tgtFrame="_new" w:history="1">
        <w:r>
          <w:rPr>
            <w:rStyle w:val="Hyperlink"/>
            <w:rFonts w:ascii="Arial" w:eastAsiaTheme="majorEastAsia" w:hAnsi="Arial" w:cs="Arial"/>
            <w:color w:val="000000" w:themeColor="text1"/>
            <w:u w:val="none"/>
          </w:rPr>
          <w:t>https://doi.org/10.1177/13621688211050655</w:t>
        </w:r>
      </w:hyperlink>
    </w:p>
    <w:p>
      <w:pPr>
        <w:pStyle w:val="NormalWeb"/>
        <w:jc w:val="both"/>
        <w:rPr>
          <w:rFonts w:ascii="Arial" w:hAnsi="Arial" w:cs="Arial"/>
          <w:color w:val="000000" w:themeColor="text1"/>
        </w:rPr>
      </w:pPr>
      <w:r>
        <w:rPr>
          <w:rFonts w:ascii="Arial" w:hAnsi="Arial" w:cs="Arial"/>
          <w:color w:val="000000" w:themeColor="text1"/>
        </w:rPr>
        <w:t>Schindler, L. A., Burkholder, G. J., Morad, O. A., &amp; Marsh, C. (2021). Computer-</w:t>
      </w:r>
      <w:r>
        <w:rPr>
          <w:rFonts w:ascii="Arial" w:hAnsi="Arial" w:cs="Arial"/>
          <w:color w:val="000000" w:themeColor="text1"/>
        </w:rPr>
        <w:tab/>
        <w:t xml:space="preserve">based </w:t>
      </w:r>
      <w:r>
        <w:rPr>
          <w:rFonts w:ascii="Arial" w:hAnsi="Arial" w:cs="Arial"/>
          <w:color w:val="000000" w:themeColor="text1"/>
        </w:rPr>
        <w:tab/>
        <w:t xml:space="preserve">technology and student engagement: A critical review of the </w:t>
      </w:r>
      <w:r>
        <w:rPr>
          <w:rFonts w:ascii="Arial" w:hAnsi="Arial" w:cs="Arial"/>
          <w:color w:val="000000" w:themeColor="text1"/>
        </w:rPr>
        <w:tab/>
        <w:t xml:space="preserve">literature. </w:t>
      </w:r>
      <w:r>
        <w:rPr>
          <w:rStyle w:val="Emphasis"/>
          <w:rFonts w:ascii="Arial" w:eastAsiaTheme="majorEastAsia" w:hAnsi="Arial" w:cs="Arial"/>
          <w:color w:val="000000" w:themeColor="text1"/>
        </w:rPr>
        <w:t xml:space="preserve">International </w:t>
      </w:r>
      <w:r>
        <w:rPr>
          <w:rStyle w:val="Emphasis"/>
          <w:rFonts w:ascii="Arial" w:eastAsiaTheme="majorEastAsia" w:hAnsi="Arial" w:cs="Arial"/>
          <w:color w:val="000000" w:themeColor="text1"/>
        </w:rPr>
        <w:tab/>
        <w:t xml:space="preserve">Journal of Educational Technology in Higher </w:t>
      </w:r>
      <w:r>
        <w:rPr>
          <w:rStyle w:val="Emphasis"/>
          <w:rFonts w:ascii="Arial" w:eastAsiaTheme="majorEastAsia" w:hAnsi="Arial" w:cs="Arial"/>
          <w:color w:val="000000" w:themeColor="text1"/>
        </w:rPr>
        <w:tab/>
        <w:t>Education, 18</w:t>
      </w:r>
      <w:r>
        <w:rPr>
          <w:rFonts w:ascii="Arial" w:hAnsi="Arial" w:cs="Arial"/>
          <w:color w:val="000000" w:themeColor="text1"/>
        </w:rPr>
        <w:t>(1), 1–28.</w:t>
      </w:r>
    </w:p>
    <w:p>
      <w:pPr>
        <w:pStyle w:val="NormalWeb"/>
        <w:jc w:val="both"/>
        <w:rPr>
          <w:rFonts w:ascii="Arial" w:hAnsi="Arial" w:cs="Arial"/>
          <w:color w:val="000000" w:themeColor="text1"/>
        </w:rPr>
      </w:pPr>
      <w:r>
        <w:rPr>
          <w:rFonts w:ascii="Arial" w:hAnsi="Arial" w:cs="Arial"/>
          <w:color w:val="000000" w:themeColor="text1"/>
        </w:rPr>
        <w:t xml:space="preserve">Schmid, M., Brianza, E., &amp; Petko, D. (2021). Developing a short assessment </w:t>
      </w:r>
      <w:r>
        <w:rPr>
          <w:rFonts w:ascii="Arial" w:hAnsi="Arial" w:cs="Arial"/>
          <w:color w:val="000000" w:themeColor="text1"/>
        </w:rPr>
        <w:tab/>
        <w:t xml:space="preserve">instrument </w:t>
      </w:r>
      <w:r>
        <w:rPr>
          <w:rFonts w:ascii="Arial" w:hAnsi="Arial" w:cs="Arial"/>
          <w:color w:val="000000" w:themeColor="text1"/>
        </w:rPr>
        <w:tab/>
        <w:t xml:space="preserve">for Technological Pedagogical Content Knowledge </w:t>
      </w:r>
      <w:r>
        <w:rPr>
          <w:rFonts w:ascii="Arial" w:hAnsi="Arial" w:cs="Arial"/>
          <w:color w:val="000000" w:themeColor="text1"/>
        </w:rPr>
        <w:tab/>
        <w:t xml:space="preserve">(TPACK.xs) and comparing </w:t>
      </w:r>
      <w:r>
        <w:rPr>
          <w:rFonts w:ascii="Arial" w:hAnsi="Arial" w:cs="Arial"/>
          <w:color w:val="000000" w:themeColor="text1"/>
        </w:rPr>
        <w:tab/>
        <w:t xml:space="preserve">integrative and transformative models. </w:t>
      </w:r>
      <w:r>
        <w:rPr>
          <w:rFonts w:ascii="Arial" w:hAnsi="Arial" w:cs="Arial"/>
          <w:color w:val="000000" w:themeColor="text1"/>
        </w:rPr>
        <w:tab/>
      </w:r>
      <w:r>
        <w:rPr>
          <w:rStyle w:val="Emphasis"/>
          <w:rFonts w:ascii="Arial" w:eastAsiaTheme="majorEastAsia" w:hAnsi="Arial" w:cs="Arial"/>
          <w:color w:val="000000" w:themeColor="text1"/>
        </w:rPr>
        <w:t>Computers &amp; Education, 157</w:t>
      </w:r>
      <w:r>
        <w:rPr>
          <w:rFonts w:ascii="Arial" w:hAnsi="Arial" w:cs="Arial"/>
          <w:color w:val="000000" w:themeColor="text1"/>
        </w:rPr>
        <w:t xml:space="preserve">, 103967. </w:t>
      </w:r>
      <w:r>
        <w:rPr>
          <w:rFonts w:ascii="Arial" w:hAnsi="Arial" w:cs="Arial"/>
          <w:color w:val="000000" w:themeColor="text1"/>
        </w:rPr>
        <w:tab/>
      </w:r>
      <w:hyperlink r:id="rId28" w:tgtFrame="_new" w:history="1">
        <w:r>
          <w:rPr>
            <w:rStyle w:val="Hyperlink"/>
            <w:rFonts w:ascii="Arial" w:eastAsiaTheme="majorEastAsia" w:hAnsi="Arial" w:cs="Arial"/>
            <w:color w:val="000000" w:themeColor="text1"/>
            <w:u w:val="none"/>
          </w:rPr>
          <w:t>https://doi.org/10.1016/j.compedu.2020.103967</w:t>
        </w:r>
      </w:hyperlink>
    </w:p>
    <w:p>
      <w:pPr>
        <w:pStyle w:val="NormalWeb"/>
        <w:jc w:val="both"/>
        <w:rPr>
          <w:rFonts w:ascii="Arial" w:hAnsi="Arial" w:cs="Arial"/>
          <w:color w:val="000000" w:themeColor="text1"/>
        </w:rPr>
      </w:pPr>
      <w:r>
        <w:rPr>
          <w:rFonts w:ascii="Arial" w:hAnsi="Arial" w:cs="Arial"/>
          <w:color w:val="000000" w:themeColor="text1"/>
        </w:rPr>
        <w:t xml:space="preserve">Selwyn, N. (2023). </w:t>
      </w:r>
      <w:r>
        <w:rPr>
          <w:rStyle w:val="Emphasis"/>
          <w:rFonts w:ascii="Arial" w:eastAsiaTheme="majorEastAsia" w:hAnsi="Arial" w:cs="Arial"/>
          <w:color w:val="000000" w:themeColor="text1"/>
        </w:rPr>
        <w:t>Education and technology: Key issues and debates</w:t>
      </w:r>
      <w:r>
        <w:rPr>
          <w:rFonts w:ascii="Arial" w:hAnsi="Arial" w:cs="Arial"/>
          <w:color w:val="000000" w:themeColor="text1"/>
        </w:rPr>
        <w:t xml:space="preserve"> (3rd ed.). </w:t>
      </w:r>
      <w:r>
        <w:rPr>
          <w:rFonts w:ascii="Arial" w:hAnsi="Arial" w:cs="Arial"/>
          <w:color w:val="000000" w:themeColor="text1"/>
        </w:rPr>
        <w:tab/>
        <w:t>Bloomsbury Academic.</w:t>
      </w:r>
    </w:p>
    <w:p>
      <w:pPr>
        <w:pStyle w:val="NormalWeb"/>
        <w:jc w:val="both"/>
        <w:rPr>
          <w:rFonts w:ascii="Arial" w:hAnsi="Arial" w:cs="Arial"/>
          <w:color w:val="000000" w:themeColor="text1"/>
        </w:rPr>
      </w:pPr>
      <w:r>
        <w:rPr>
          <w:rFonts w:ascii="Arial" w:hAnsi="Arial" w:cs="Arial"/>
          <w:color w:val="000000" w:themeColor="text1"/>
        </w:rPr>
        <w:t xml:space="preserve">Smith, L. T. (2021). </w:t>
      </w:r>
      <w:r>
        <w:rPr>
          <w:rStyle w:val="Emphasis"/>
          <w:rFonts w:ascii="Arial" w:eastAsiaTheme="majorEastAsia" w:hAnsi="Arial" w:cs="Arial"/>
          <w:color w:val="000000" w:themeColor="text1"/>
        </w:rPr>
        <w:t xml:space="preserve">Decolonizing methodologies: Research and Indigenous </w:t>
      </w:r>
      <w:r>
        <w:rPr>
          <w:rStyle w:val="Emphasis"/>
          <w:rFonts w:ascii="Arial" w:eastAsiaTheme="majorEastAsia" w:hAnsi="Arial" w:cs="Arial"/>
          <w:color w:val="000000" w:themeColor="text1"/>
        </w:rPr>
        <w:tab/>
        <w:t>peoples</w:t>
      </w:r>
      <w:r>
        <w:rPr>
          <w:rFonts w:ascii="Arial" w:hAnsi="Arial" w:cs="Arial"/>
          <w:color w:val="000000" w:themeColor="text1"/>
        </w:rPr>
        <w:t xml:space="preserve"> (3rd </w:t>
      </w:r>
      <w:r>
        <w:rPr>
          <w:rFonts w:ascii="Arial" w:hAnsi="Arial" w:cs="Arial"/>
          <w:color w:val="000000" w:themeColor="text1"/>
        </w:rPr>
        <w:tab/>
        <w:t>ed.). Zed Books.</w:t>
      </w:r>
    </w:p>
    <w:p>
      <w:pPr>
        <w:pStyle w:val="NormalWeb"/>
        <w:jc w:val="both"/>
        <w:rPr>
          <w:rFonts w:ascii="Arial" w:hAnsi="Arial" w:cs="Arial"/>
          <w:color w:val="000000" w:themeColor="text1"/>
        </w:rPr>
      </w:pPr>
      <w:r>
        <w:rPr>
          <w:rFonts w:ascii="Arial" w:hAnsi="Arial" w:cs="Arial"/>
          <w:color w:val="000000" w:themeColor="text1"/>
        </w:rPr>
        <w:t xml:space="preserve">Soto, N., Fuentes, L., &amp; Arnado, J. (2023). Technology adoption challenges of </w:t>
      </w:r>
      <w:r>
        <w:rPr>
          <w:rFonts w:ascii="Arial" w:hAnsi="Arial" w:cs="Arial"/>
          <w:color w:val="000000" w:themeColor="text1"/>
        </w:rPr>
        <w:tab/>
        <w:t xml:space="preserve">teachers </w:t>
      </w:r>
      <w:r>
        <w:rPr>
          <w:rFonts w:ascii="Arial" w:hAnsi="Arial" w:cs="Arial"/>
          <w:color w:val="000000" w:themeColor="text1"/>
        </w:rPr>
        <w:tab/>
        <w:t xml:space="preserve">in Indigenous Peoples Education (IPEd). </w:t>
      </w:r>
      <w:r>
        <w:rPr>
          <w:rStyle w:val="Emphasis"/>
          <w:rFonts w:ascii="Arial" w:eastAsiaTheme="majorEastAsia" w:hAnsi="Arial" w:cs="Arial"/>
          <w:color w:val="000000" w:themeColor="text1"/>
        </w:rPr>
        <w:t xml:space="preserve">Mindanao Journal of </w:t>
      </w:r>
      <w:r>
        <w:rPr>
          <w:rStyle w:val="Emphasis"/>
          <w:rFonts w:ascii="Arial" w:eastAsiaTheme="majorEastAsia" w:hAnsi="Arial" w:cs="Arial"/>
          <w:color w:val="000000" w:themeColor="text1"/>
        </w:rPr>
        <w:tab/>
        <w:t xml:space="preserve">Educational </w:t>
      </w:r>
      <w:r>
        <w:rPr>
          <w:rStyle w:val="Emphasis"/>
          <w:rFonts w:ascii="Arial" w:eastAsiaTheme="majorEastAsia" w:hAnsi="Arial" w:cs="Arial"/>
          <w:color w:val="000000" w:themeColor="text1"/>
        </w:rPr>
        <w:tab/>
        <w:t>Research, 7</w:t>
      </w:r>
      <w:r>
        <w:rPr>
          <w:rFonts w:ascii="Arial" w:hAnsi="Arial" w:cs="Arial"/>
          <w:color w:val="000000" w:themeColor="text1"/>
        </w:rPr>
        <w:t>(1), 88–102.</w:t>
      </w:r>
    </w:p>
    <w:p>
      <w:pPr>
        <w:pStyle w:val="NormalWeb"/>
        <w:jc w:val="both"/>
        <w:rPr>
          <w:rFonts w:ascii="Arial" w:hAnsi="Arial" w:cs="Arial"/>
          <w:color w:val="000000" w:themeColor="text1"/>
        </w:rPr>
      </w:pPr>
      <w:r>
        <w:rPr>
          <w:rFonts w:ascii="Arial" w:hAnsi="Arial" w:cs="Arial"/>
          <w:color w:val="000000" w:themeColor="text1"/>
        </w:rPr>
        <w:t xml:space="preserve">Tai, S.-J. D. (2022). Exploring the relationship between EFL teachers’ TPACK and </w:t>
      </w:r>
      <w:r>
        <w:rPr>
          <w:rFonts w:ascii="Arial" w:hAnsi="Arial" w:cs="Arial"/>
          <w:color w:val="000000" w:themeColor="text1"/>
        </w:rPr>
        <w:tab/>
        <w:t xml:space="preserve">online </w:t>
      </w:r>
      <w:r>
        <w:rPr>
          <w:rFonts w:ascii="Arial" w:hAnsi="Arial" w:cs="Arial"/>
          <w:color w:val="000000" w:themeColor="text1"/>
        </w:rPr>
        <w:tab/>
        <w:t xml:space="preserve">teaching effectiveness. </w:t>
      </w:r>
      <w:r>
        <w:rPr>
          <w:rStyle w:val="Emphasis"/>
          <w:rFonts w:ascii="Arial" w:eastAsiaTheme="majorEastAsia" w:hAnsi="Arial" w:cs="Arial"/>
          <w:color w:val="000000" w:themeColor="text1"/>
        </w:rPr>
        <w:t xml:space="preserve">Computer Assisted Language Learning, </w:t>
      </w:r>
      <w:r>
        <w:rPr>
          <w:rStyle w:val="Emphasis"/>
          <w:rFonts w:ascii="Arial" w:eastAsiaTheme="majorEastAsia" w:hAnsi="Arial" w:cs="Arial"/>
          <w:color w:val="000000" w:themeColor="text1"/>
        </w:rPr>
        <w:tab/>
        <w:t>35</w:t>
      </w:r>
      <w:r>
        <w:rPr>
          <w:rFonts w:ascii="Arial" w:hAnsi="Arial" w:cs="Arial"/>
          <w:color w:val="000000" w:themeColor="text1"/>
        </w:rPr>
        <w:t>(7), 1389–</w:t>
      </w:r>
      <w:r>
        <w:rPr>
          <w:rFonts w:ascii="Arial" w:hAnsi="Arial" w:cs="Arial"/>
          <w:color w:val="000000" w:themeColor="text1"/>
        </w:rPr>
        <w:tab/>
        <w:t xml:space="preserve">1412. </w:t>
      </w:r>
      <w:hyperlink r:id="rId29" w:tgtFrame="_new" w:history="1">
        <w:r>
          <w:rPr>
            <w:rStyle w:val="Hyperlink"/>
            <w:rFonts w:ascii="Arial" w:eastAsiaTheme="majorEastAsia" w:hAnsi="Arial" w:cs="Arial"/>
            <w:color w:val="000000" w:themeColor="text1"/>
            <w:u w:val="none"/>
          </w:rPr>
          <w:t>https://doi.org/10.1080/09588221.2020.1839500</w:t>
        </w:r>
      </w:hyperlink>
    </w:p>
    <w:p>
      <w:pPr>
        <w:pStyle w:val="NormalWeb"/>
        <w:jc w:val="both"/>
        <w:rPr>
          <w:rFonts w:ascii="Arial" w:hAnsi="Arial" w:cs="Arial"/>
          <w:color w:val="000000" w:themeColor="text1"/>
        </w:rPr>
      </w:pPr>
      <w:r>
        <w:rPr>
          <w:rFonts w:ascii="Arial" w:hAnsi="Arial" w:cs="Arial"/>
          <w:color w:val="000000" w:themeColor="text1"/>
        </w:rPr>
        <w:t xml:space="preserve">Tondeur, J., Scherer, R., Siddiq, F., &amp; Baran, E. (2021). A comprehensive analysis </w:t>
      </w:r>
      <w:r>
        <w:rPr>
          <w:rFonts w:ascii="Arial" w:hAnsi="Arial" w:cs="Arial"/>
          <w:color w:val="000000" w:themeColor="text1"/>
        </w:rPr>
        <w:tab/>
        <w:t xml:space="preserve">of </w:t>
      </w:r>
      <w:r>
        <w:rPr>
          <w:rFonts w:ascii="Arial" w:hAnsi="Arial" w:cs="Arial"/>
          <w:color w:val="000000" w:themeColor="text1"/>
        </w:rPr>
        <w:tab/>
        <w:t xml:space="preserve">preservice teachers’ TPACK: The roles of teacher education and </w:t>
      </w:r>
      <w:r>
        <w:rPr>
          <w:rFonts w:ascii="Arial" w:hAnsi="Arial" w:cs="Arial"/>
          <w:color w:val="000000" w:themeColor="text1"/>
        </w:rPr>
        <w:tab/>
        <w:t xml:space="preserve">experience. </w:t>
      </w:r>
      <w:r>
        <w:rPr>
          <w:rFonts w:ascii="Arial" w:hAnsi="Arial" w:cs="Arial"/>
          <w:color w:val="000000" w:themeColor="text1"/>
        </w:rPr>
        <w:tab/>
      </w:r>
      <w:r>
        <w:rPr>
          <w:rStyle w:val="Emphasis"/>
          <w:rFonts w:ascii="Arial" w:eastAsiaTheme="majorEastAsia" w:hAnsi="Arial" w:cs="Arial"/>
          <w:color w:val="000000" w:themeColor="text1"/>
        </w:rPr>
        <w:t>Educational Research Review, 32</w:t>
      </w:r>
      <w:r>
        <w:rPr>
          <w:rFonts w:ascii="Arial" w:hAnsi="Arial" w:cs="Arial"/>
          <w:color w:val="000000" w:themeColor="text1"/>
        </w:rPr>
        <w:t xml:space="preserve">, 100379. </w:t>
      </w:r>
      <w:r>
        <w:rPr>
          <w:rFonts w:ascii="Arial" w:hAnsi="Arial" w:cs="Arial"/>
          <w:color w:val="000000" w:themeColor="text1"/>
        </w:rPr>
        <w:tab/>
      </w:r>
      <w:hyperlink r:id="rId30" w:tgtFrame="_new" w:history="1">
        <w:r>
          <w:rPr>
            <w:rStyle w:val="Hyperlink"/>
            <w:rFonts w:ascii="Arial" w:eastAsiaTheme="majorEastAsia" w:hAnsi="Arial" w:cs="Arial"/>
            <w:color w:val="000000" w:themeColor="text1"/>
            <w:u w:val="none"/>
          </w:rPr>
          <w:t>https://doi.org/10.1016/j.edurev.2020.100379</w:t>
        </w:r>
      </w:hyperlink>
    </w:p>
    <w:p>
      <w:pPr>
        <w:pStyle w:val="NormalWeb"/>
        <w:jc w:val="both"/>
        <w:rPr>
          <w:rFonts w:ascii="Arial" w:hAnsi="Arial" w:cs="Arial"/>
          <w:color w:val="000000" w:themeColor="text1"/>
        </w:rPr>
      </w:pPr>
      <w:r>
        <w:rPr>
          <w:rFonts w:ascii="Arial" w:hAnsi="Arial" w:cs="Arial"/>
          <w:color w:val="000000" w:themeColor="text1"/>
        </w:rPr>
        <w:t xml:space="preserve">Tuazon, A. B., &amp; Roxas, R. E. (2021). ICT integration in Indigenous Peoples </w:t>
      </w:r>
      <w:r>
        <w:rPr>
          <w:rFonts w:ascii="Arial" w:hAnsi="Arial" w:cs="Arial"/>
          <w:color w:val="000000" w:themeColor="text1"/>
        </w:rPr>
        <w:tab/>
        <w:t xml:space="preserve">Education: </w:t>
      </w:r>
      <w:r>
        <w:rPr>
          <w:rFonts w:ascii="Arial" w:hAnsi="Arial" w:cs="Arial"/>
          <w:color w:val="000000" w:themeColor="text1"/>
        </w:rPr>
        <w:tab/>
        <w:t xml:space="preserve">Perspectives and challenges of teachers in the Philippines. </w:t>
      </w:r>
      <w:r>
        <w:rPr>
          <w:rFonts w:ascii="Arial" w:hAnsi="Arial" w:cs="Arial"/>
          <w:color w:val="000000" w:themeColor="text1"/>
        </w:rPr>
        <w:tab/>
      </w:r>
      <w:r>
        <w:rPr>
          <w:rStyle w:val="Emphasis"/>
          <w:rFonts w:ascii="Arial" w:eastAsiaTheme="majorEastAsia" w:hAnsi="Arial" w:cs="Arial"/>
          <w:color w:val="000000" w:themeColor="text1"/>
        </w:rPr>
        <w:t xml:space="preserve">International Journal </w:t>
      </w:r>
      <w:r>
        <w:rPr>
          <w:rStyle w:val="Emphasis"/>
          <w:rFonts w:ascii="Arial" w:eastAsiaTheme="majorEastAsia" w:hAnsi="Arial" w:cs="Arial"/>
          <w:color w:val="000000" w:themeColor="text1"/>
        </w:rPr>
        <w:tab/>
        <w:t>of Education and Practice, 9</w:t>
      </w:r>
      <w:r>
        <w:rPr>
          <w:rFonts w:ascii="Arial" w:hAnsi="Arial" w:cs="Arial"/>
          <w:color w:val="000000" w:themeColor="text1"/>
        </w:rPr>
        <w:t xml:space="preserve">(3), 577–589. </w:t>
      </w:r>
      <w:r>
        <w:rPr>
          <w:rFonts w:ascii="Arial" w:hAnsi="Arial" w:cs="Arial"/>
          <w:color w:val="000000" w:themeColor="text1"/>
        </w:rPr>
        <w:tab/>
      </w:r>
      <w:hyperlink r:id="rId31" w:tgtFrame="_new" w:history="1">
        <w:r>
          <w:rPr>
            <w:rStyle w:val="Hyperlink"/>
            <w:rFonts w:ascii="Arial" w:eastAsiaTheme="majorEastAsia" w:hAnsi="Arial" w:cs="Arial"/>
            <w:color w:val="000000" w:themeColor="text1"/>
            <w:u w:val="none"/>
          </w:rPr>
          <w:t>https://doi.org/10.18488/journal.61.2021.93.577.589</w:t>
        </w:r>
      </w:hyperlink>
    </w:p>
    <w:p>
      <w:pPr>
        <w:pStyle w:val="NormalWeb"/>
        <w:jc w:val="both"/>
        <w:rPr>
          <w:rFonts w:ascii="Arial" w:hAnsi="Arial" w:cs="Arial"/>
          <w:color w:val="000000" w:themeColor="text1"/>
        </w:rPr>
      </w:pPr>
      <w:r>
        <w:rPr>
          <w:rFonts w:ascii="Arial" w:hAnsi="Arial" w:cs="Arial"/>
          <w:color w:val="000000" w:themeColor="text1"/>
        </w:rPr>
        <w:t xml:space="preserve">Tzou, C., Bang, M., &amp; Bricker, L. (2021). Designing for culturally sustaining STEM </w:t>
      </w:r>
      <w:r>
        <w:rPr>
          <w:rFonts w:ascii="Arial" w:hAnsi="Arial" w:cs="Arial"/>
          <w:color w:val="000000" w:themeColor="text1"/>
        </w:rPr>
        <w:tab/>
        <w:t xml:space="preserve">learning: Toward community-driven digital learning ecologies. </w:t>
      </w:r>
      <w:r>
        <w:rPr>
          <w:rStyle w:val="Emphasis"/>
          <w:rFonts w:ascii="Arial" w:eastAsiaTheme="majorEastAsia" w:hAnsi="Arial" w:cs="Arial"/>
          <w:color w:val="000000" w:themeColor="text1"/>
        </w:rPr>
        <w:t xml:space="preserve">Journal of the </w:t>
      </w:r>
      <w:r>
        <w:rPr>
          <w:rStyle w:val="Emphasis"/>
          <w:rFonts w:ascii="Arial" w:eastAsiaTheme="majorEastAsia" w:hAnsi="Arial" w:cs="Arial"/>
          <w:color w:val="000000" w:themeColor="text1"/>
        </w:rPr>
        <w:tab/>
        <w:t>Learning Sciences, 30</w:t>
      </w:r>
      <w:r>
        <w:rPr>
          <w:rFonts w:ascii="Arial" w:hAnsi="Arial" w:cs="Arial"/>
          <w:color w:val="000000" w:themeColor="text1"/>
        </w:rPr>
        <w:t xml:space="preserve">(3), 406–451. </w:t>
      </w:r>
      <w:r>
        <w:rPr>
          <w:rFonts w:ascii="Arial" w:hAnsi="Arial" w:cs="Arial"/>
          <w:color w:val="000000" w:themeColor="text1"/>
        </w:rPr>
        <w:tab/>
      </w:r>
      <w:hyperlink r:id="rId32" w:tgtFrame="_new" w:history="1">
        <w:r>
          <w:rPr>
            <w:rStyle w:val="Hyperlink"/>
            <w:rFonts w:ascii="Arial" w:eastAsiaTheme="majorEastAsia" w:hAnsi="Arial" w:cs="Arial"/>
            <w:color w:val="000000" w:themeColor="text1"/>
            <w:u w:val="none"/>
          </w:rPr>
          <w:t>https://doi.org/10.1080/10508406.2021.1883342</w:t>
        </w:r>
      </w:hyperlink>
    </w:p>
    <w:p>
      <w:pPr>
        <w:spacing w:after="0"/>
        <w:rPr>
          <w:rStyle w:val="Emphasis"/>
          <w:rFonts w:ascii="Arial" w:hAnsi="Arial" w:cs="Arial"/>
        </w:rPr>
      </w:pPr>
      <w:r>
        <w:rPr>
          <w:rStyle w:val="Strong"/>
          <w:rFonts w:ascii="Arial" w:hAnsi="Arial" w:cs="Arial"/>
          <w:b w:val="0"/>
        </w:rPr>
        <w:lastRenderedPageBreak/>
        <w:t>UNESCO. (2023).</w:t>
      </w:r>
      <w:r>
        <w:rPr>
          <w:rFonts w:ascii="Arial" w:hAnsi="Arial" w:cs="Arial"/>
        </w:rPr>
        <w:t xml:space="preserve"> </w:t>
      </w:r>
      <w:r>
        <w:rPr>
          <w:rStyle w:val="Emphasis"/>
          <w:rFonts w:ascii="Arial" w:hAnsi="Arial" w:cs="Arial"/>
        </w:rPr>
        <w:t xml:space="preserve">Global education monitoring report 2023: Technology in       </w:t>
      </w:r>
    </w:p>
    <w:p>
      <w:pPr>
        <w:spacing w:after="0"/>
        <w:rPr>
          <w:rFonts w:ascii="Arial" w:hAnsi="Arial" w:cs="Arial"/>
        </w:rPr>
      </w:pPr>
      <w:r>
        <w:rPr>
          <w:rStyle w:val="Emphasis"/>
          <w:rFonts w:ascii="Arial" w:hAnsi="Arial" w:cs="Arial"/>
        </w:rPr>
        <w:t xml:space="preserve">           education: A tool on whose terms?</w:t>
      </w:r>
      <w:r>
        <w:rPr>
          <w:rFonts w:ascii="Arial" w:hAnsi="Arial" w:cs="Arial"/>
        </w:rPr>
        <w:t xml:space="preserve"> UNESCO.      </w:t>
      </w:r>
    </w:p>
    <w:p>
      <w:pPr>
        <w:spacing w:after="0"/>
        <w:rPr>
          <w:rFonts w:ascii="Arial" w:hAnsi="Arial" w:cs="Arial"/>
        </w:rPr>
      </w:pPr>
      <w:r>
        <w:rPr>
          <w:rFonts w:ascii="Arial" w:hAnsi="Arial" w:cs="Arial"/>
        </w:rPr>
        <w:t xml:space="preserve">           </w:t>
      </w:r>
      <w:hyperlink r:id="rId33" w:history="1">
        <w:r>
          <w:rPr>
            <w:rStyle w:val="Hyperlink"/>
            <w:rFonts w:ascii="Arial" w:hAnsi="Arial" w:cs="Arial"/>
            <w:color w:val="auto"/>
            <w:u w:val="none"/>
          </w:rPr>
          <w:t>https://unesdoc.unesco.org/ark:/48223/pf0000385723</w:t>
        </w:r>
      </w:hyperlink>
      <w:r>
        <w:rPr>
          <w:rFonts w:ascii="Arial" w:hAnsi="Arial" w:cs="Arial"/>
        </w:rPr>
        <w:t xml:space="preserve">   </w:t>
      </w:r>
    </w:p>
    <w:p>
      <w:pPr>
        <w:pStyle w:val="NormalWeb"/>
        <w:jc w:val="both"/>
        <w:rPr>
          <w:rFonts w:ascii="Arial" w:hAnsi="Arial" w:cs="Arial"/>
          <w:color w:val="000000" w:themeColor="text1"/>
        </w:rPr>
      </w:pPr>
      <w:r>
        <w:rPr>
          <w:rFonts w:ascii="Arial" w:hAnsi="Arial" w:cs="Arial"/>
          <w:color w:val="000000" w:themeColor="text1"/>
        </w:rPr>
        <w:t xml:space="preserve">Vasylyshyna, N. (2025). Applying PICRAT and TPACK in digitalizing English </w:t>
      </w:r>
      <w:r>
        <w:rPr>
          <w:rFonts w:ascii="Arial" w:hAnsi="Arial" w:cs="Arial"/>
          <w:color w:val="000000" w:themeColor="text1"/>
        </w:rPr>
        <w:tab/>
        <w:t xml:space="preserve">instruction. </w:t>
      </w:r>
      <w:r>
        <w:rPr>
          <w:rFonts w:ascii="Arial" w:hAnsi="Arial" w:cs="Arial"/>
          <w:color w:val="000000" w:themeColor="text1"/>
        </w:rPr>
        <w:tab/>
      </w:r>
      <w:r>
        <w:rPr>
          <w:rStyle w:val="Emphasis"/>
          <w:rFonts w:ascii="Arial" w:eastAsiaTheme="majorEastAsia" w:hAnsi="Arial" w:cs="Arial"/>
          <w:color w:val="000000" w:themeColor="text1"/>
        </w:rPr>
        <w:t>International Journal of Applied Linguistics</w:t>
      </w:r>
      <w:r>
        <w:rPr>
          <w:rFonts w:ascii="Arial" w:hAnsi="Arial" w:cs="Arial"/>
          <w:color w:val="000000" w:themeColor="text1"/>
        </w:rPr>
        <w:t xml:space="preserve">. Advance online </w:t>
      </w:r>
      <w:r>
        <w:rPr>
          <w:rFonts w:ascii="Arial" w:hAnsi="Arial" w:cs="Arial"/>
          <w:color w:val="000000" w:themeColor="text1"/>
        </w:rPr>
        <w:tab/>
        <w:t>publication.</w:t>
      </w:r>
    </w:p>
    <w:p>
      <w:pPr>
        <w:pStyle w:val="NormalWeb"/>
        <w:jc w:val="both"/>
        <w:rPr>
          <w:rFonts w:ascii="Arial" w:hAnsi="Arial" w:cs="Arial"/>
          <w:color w:val="000000" w:themeColor="text1"/>
        </w:rPr>
      </w:pPr>
      <w:r>
        <w:rPr>
          <w:rFonts w:ascii="Arial" w:hAnsi="Arial" w:cs="Arial"/>
          <w:color w:val="000000" w:themeColor="text1"/>
        </w:rPr>
        <w:t xml:space="preserve">Wang, H. (2023). Using the PICRAT model to support language instructors in </w:t>
      </w:r>
      <w:r>
        <w:rPr>
          <w:rFonts w:ascii="Arial" w:hAnsi="Arial" w:cs="Arial"/>
          <w:color w:val="000000" w:themeColor="text1"/>
        </w:rPr>
        <w:tab/>
        <w:t xml:space="preserve">technology </w:t>
      </w:r>
      <w:r>
        <w:rPr>
          <w:rFonts w:ascii="Arial" w:hAnsi="Arial" w:cs="Arial"/>
          <w:color w:val="000000" w:themeColor="text1"/>
        </w:rPr>
        <w:tab/>
        <w:t xml:space="preserve">integration. </w:t>
      </w:r>
      <w:r>
        <w:rPr>
          <w:rStyle w:val="Emphasis"/>
          <w:rFonts w:ascii="Arial" w:eastAsiaTheme="majorEastAsia" w:hAnsi="Arial" w:cs="Arial"/>
          <w:color w:val="000000" w:themeColor="text1"/>
        </w:rPr>
        <w:t xml:space="preserve">Linguistics and Education Innovations Journal, </w:t>
      </w:r>
      <w:r>
        <w:rPr>
          <w:rStyle w:val="Emphasis"/>
          <w:rFonts w:ascii="Arial" w:eastAsiaTheme="majorEastAsia" w:hAnsi="Arial" w:cs="Arial"/>
          <w:color w:val="000000" w:themeColor="text1"/>
        </w:rPr>
        <w:tab/>
        <w:t>9</w:t>
      </w:r>
      <w:r>
        <w:rPr>
          <w:rFonts w:ascii="Arial" w:hAnsi="Arial" w:cs="Arial"/>
          <w:color w:val="000000" w:themeColor="text1"/>
        </w:rPr>
        <w:t>(1), 41–58.</w:t>
      </w:r>
    </w:p>
    <w:p>
      <w:pPr>
        <w:pStyle w:val="NormalWeb"/>
        <w:jc w:val="both"/>
        <w:rPr>
          <w:rFonts w:ascii="Arial" w:hAnsi="Arial" w:cs="Arial"/>
          <w:color w:val="000000" w:themeColor="text1"/>
        </w:rPr>
      </w:pPr>
      <w:r>
        <w:rPr>
          <w:rFonts w:ascii="Arial" w:hAnsi="Arial" w:cs="Arial"/>
          <w:color w:val="000000" w:themeColor="text1"/>
        </w:rPr>
        <w:t xml:space="preserve">Zheng, B., &amp; Warschauer, M. (2022). Technology and language learning: </w:t>
      </w:r>
      <w:r>
        <w:rPr>
          <w:rFonts w:ascii="Arial" w:hAnsi="Arial" w:cs="Arial"/>
          <w:color w:val="000000" w:themeColor="text1"/>
        </w:rPr>
        <w:tab/>
        <w:t xml:space="preserve">Expanding </w:t>
      </w:r>
      <w:r>
        <w:rPr>
          <w:rFonts w:ascii="Arial" w:hAnsi="Arial" w:cs="Arial"/>
          <w:color w:val="000000" w:themeColor="text1"/>
        </w:rPr>
        <w:tab/>
        <w:t xml:space="preserve">multimodal composition and learner agency. </w:t>
      </w:r>
      <w:r>
        <w:rPr>
          <w:rStyle w:val="Emphasis"/>
          <w:rFonts w:ascii="Arial" w:eastAsiaTheme="majorEastAsia" w:hAnsi="Arial" w:cs="Arial"/>
          <w:color w:val="000000" w:themeColor="text1"/>
        </w:rPr>
        <w:t xml:space="preserve">Language </w:t>
      </w:r>
      <w:r>
        <w:rPr>
          <w:rStyle w:val="Emphasis"/>
          <w:rFonts w:ascii="Arial" w:eastAsiaTheme="majorEastAsia" w:hAnsi="Arial" w:cs="Arial"/>
          <w:color w:val="000000" w:themeColor="text1"/>
        </w:rPr>
        <w:tab/>
        <w:t xml:space="preserve">Learning &amp; Technology, </w:t>
      </w:r>
      <w:r>
        <w:rPr>
          <w:rStyle w:val="Emphasis"/>
          <w:rFonts w:ascii="Arial" w:eastAsiaTheme="majorEastAsia" w:hAnsi="Arial" w:cs="Arial"/>
          <w:color w:val="000000" w:themeColor="text1"/>
        </w:rPr>
        <w:tab/>
        <w:t>26</w:t>
      </w:r>
      <w:r>
        <w:rPr>
          <w:rFonts w:ascii="Arial" w:hAnsi="Arial" w:cs="Arial"/>
          <w:color w:val="000000" w:themeColor="text1"/>
        </w:rPr>
        <w:t>(1), 1–20.</w:t>
      </w:r>
    </w:p>
    <w:p>
      <w:pPr>
        <w:pStyle w:val="NormalWeb"/>
        <w:spacing w:after="0" w:afterAutospacing="0" w:line="480" w:lineRule="auto"/>
        <w:jc w:val="both"/>
        <w:rPr>
          <w:rFonts w:ascii="Arial" w:hAnsi="Arial" w:cs="Arial"/>
        </w:rPr>
      </w:pPr>
    </w:p>
    <w:p>
      <w:pPr>
        <w:pStyle w:val="NormalWeb"/>
        <w:spacing w:after="0" w:afterAutospacing="0" w:line="480" w:lineRule="auto"/>
        <w:rPr>
          <w:rFonts w:ascii="Arial" w:hAnsi="Arial" w:cs="Arial"/>
        </w:rPr>
      </w:pPr>
    </w:p>
    <w:p>
      <w:pPr>
        <w:pStyle w:val="NormalWeb"/>
        <w:spacing w:after="0" w:afterAutospacing="0" w:line="480" w:lineRule="auto"/>
        <w:rPr>
          <w:rFonts w:ascii="Arial" w:hAnsi="Arial" w:cs="Arial"/>
        </w:rPr>
      </w:pPr>
    </w:p>
    <w:p>
      <w:pPr>
        <w:spacing w:before="100" w:beforeAutospacing="1" w:after="100" w:afterAutospacing="1" w:line="240" w:lineRule="auto"/>
        <w:jc w:val="both"/>
        <w:outlineLvl w:val="0"/>
        <w:rPr>
          <w:rFonts w:ascii="Arial" w:eastAsia="Times New Roman" w:hAnsi="Arial" w:cs="Arial"/>
          <w:b/>
          <w:bCs/>
          <w:kern w:val="36"/>
          <w:lang w:eastAsia="en-PH"/>
        </w:rPr>
      </w:pPr>
      <w:r>
        <w:rPr>
          <w:rFonts w:ascii="Arial" w:eastAsia="Times New Roman" w:hAnsi="Arial" w:cs="Arial"/>
          <w:b/>
          <w:bCs/>
          <w:kern w:val="36"/>
          <w:lang w:eastAsia="en-PH"/>
        </w:rPr>
        <w:tab/>
      </w:r>
      <w:r>
        <w:rPr>
          <w:rFonts w:ascii="Arial" w:eastAsia="Times New Roman" w:hAnsi="Arial" w:cs="Arial"/>
          <w:b/>
          <w:bCs/>
          <w:kern w:val="36"/>
          <w:lang w:eastAsia="en-PH"/>
        </w:rPr>
        <w:tab/>
      </w:r>
      <w:r>
        <w:rPr>
          <w:rFonts w:ascii="Arial" w:eastAsia="Times New Roman" w:hAnsi="Arial" w:cs="Arial"/>
          <w:b/>
          <w:bCs/>
          <w:kern w:val="36"/>
          <w:lang w:eastAsia="en-PH"/>
        </w:rPr>
        <w:tab/>
      </w:r>
    </w:p>
    <w:p>
      <w:pPr>
        <w:spacing w:line="480" w:lineRule="auto"/>
        <w:jc w:val="both"/>
        <w:rPr>
          <w:rFonts w:ascii="Arial" w:hAnsi="Arial" w:cs="Arial"/>
        </w:rPr>
      </w:pPr>
    </w:p>
    <w:p>
      <w:pPr>
        <w:spacing w:line="480" w:lineRule="auto"/>
        <w:jc w:val="both"/>
        <w:rPr>
          <w:rFonts w:ascii="Arial" w:hAnsi="Arial" w:cs="Arial"/>
        </w:rPr>
      </w:pPr>
    </w:p>
    <w:p>
      <w:pPr>
        <w:spacing w:line="480" w:lineRule="auto"/>
        <w:jc w:val="both"/>
        <w:rPr>
          <w:rFonts w:ascii="Arial" w:hAnsi="Arial" w:cs="Arial"/>
        </w:rPr>
      </w:pPr>
    </w:p>
    <w:p>
      <w:pPr>
        <w:spacing w:line="480" w:lineRule="auto"/>
        <w:jc w:val="both"/>
        <w:rPr>
          <w:rFonts w:ascii="Arial" w:hAnsi="Arial" w:cs="Arial"/>
        </w:rPr>
      </w:pPr>
    </w:p>
    <w:p>
      <w:pPr>
        <w:spacing w:line="480" w:lineRule="auto"/>
        <w:jc w:val="both"/>
        <w:rPr>
          <w:rFonts w:ascii="Arial" w:hAnsi="Arial" w:cs="Arial"/>
        </w:rPr>
      </w:pPr>
    </w:p>
    <w:p>
      <w:pPr>
        <w:spacing w:before="100" w:beforeAutospacing="1" w:after="100" w:afterAutospacing="1" w:line="240" w:lineRule="auto"/>
        <w:outlineLvl w:val="0"/>
        <w:rPr>
          <w:rFonts w:ascii="Arial" w:hAnsi="Arial" w:cs="Arial"/>
        </w:rPr>
      </w:pPr>
    </w:p>
    <w:p>
      <w:pPr>
        <w:spacing w:before="100" w:beforeAutospacing="1" w:after="100" w:afterAutospacing="1" w:line="240" w:lineRule="auto"/>
        <w:ind w:left="2880" w:firstLine="720"/>
        <w:outlineLvl w:val="0"/>
        <w:rPr>
          <w:rFonts w:ascii="Arial" w:eastAsia="Times New Roman" w:hAnsi="Arial" w:cs="Arial"/>
          <w:b/>
          <w:bCs/>
          <w:kern w:val="36"/>
          <w:lang w:eastAsia="en-PH"/>
        </w:rPr>
      </w:pPr>
      <w:r>
        <w:rPr>
          <w:rFonts w:ascii="Arial" w:eastAsia="Times New Roman" w:hAnsi="Arial" w:cs="Arial"/>
          <w:b/>
          <w:bCs/>
          <w:kern w:val="36"/>
          <w:lang w:eastAsia="en-PH"/>
        </w:rPr>
        <w:lastRenderedPageBreak/>
        <w:t>Appendix A.</w:t>
      </w:r>
    </w:p>
    <w:p>
      <w:pPr>
        <w:spacing w:before="100" w:beforeAutospacing="1" w:after="100" w:afterAutospacing="1" w:line="240" w:lineRule="auto"/>
        <w:jc w:val="center"/>
        <w:outlineLvl w:val="0"/>
        <w:rPr>
          <w:rFonts w:ascii="Arial" w:eastAsia="Times New Roman" w:hAnsi="Arial" w:cs="Arial"/>
          <w:b/>
          <w:bCs/>
          <w:kern w:val="36"/>
          <w:lang w:eastAsia="en-PH"/>
        </w:rPr>
      </w:pPr>
      <w:r>
        <w:rPr>
          <w:rFonts w:ascii="Arial" w:eastAsia="Times New Roman" w:hAnsi="Arial" w:cs="Arial"/>
          <w:b/>
          <w:bCs/>
          <w:kern w:val="36"/>
          <w:lang w:eastAsia="en-PH"/>
        </w:rPr>
        <w:t>RESEARCH SURVEY QUESTIONNAIRE</w:t>
      </w:r>
    </w:p>
    <w:p>
      <w:pPr>
        <w:spacing w:before="100" w:beforeAutospacing="1" w:after="100" w:afterAutospacing="1" w:line="240" w:lineRule="auto"/>
        <w:outlineLvl w:val="0"/>
        <w:rPr>
          <w:rFonts w:ascii="Arial" w:hAnsi="Arial" w:cs="Arial"/>
          <w:b/>
          <w:lang w:eastAsia="en-PH"/>
        </w:rPr>
      </w:pPr>
      <w:r>
        <w:rPr>
          <w:rFonts w:ascii="Arial" w:hAnsi="Arial" w:cs="Arial"/>
          <w:b/>
          <w:lang w:eastAsia="en-PH"/>
        </w:rPr>
        <w:t xml:space="preserve">Research Title: MAPPING INDIGENOUS PEOPLES </w:t>
      </w:r>
      <w:r>
        <w:rPr>
          <w:rFonts w:ascii="Arial" w:hAnsi="Arial" w:cs="Arial"/>
          <w:b/>
          <w:lang w:eastAsia="en-PH"/>
        </w:rPr>
        <w:tab/>
        <w:t xml:space="preserve"> EDUCATION </w:t>
      </w:r>
      <w:r>
        <w:rPr>
          <w:rFonts w:ascii="Arial" w:hAnsi="Arial" w:cs="Arial"/>
          <w:b/>
          <w:lang w:eastAsia="en-PH"/>
        </w:rPr>
        <w:tab/>
        <w:t xml:space="preserve">        </w:t>
      </w:r>
      <w:r>
        <w:rPr>
          <w:rFonts w:ascii="Arial" w:hAnsi="Arial" w:cs="Arial"/>
          <w:b/>
          <w:lang w:eastAsia="en-PH"/>
        </w:rPr>
        <w:tab/>
      </w:r>
      <w:r>
        <w:rPr>
          <w:rFonts w:ascii="Arial" w:hAnsi="Arial" w:cs="Arial"/>
          <w:b/>
          <w:lang w:eastAsia="en-PH"/>
        </w:rPr>
        <w:tab/>
        <w:t xml:space="preserve">                LEARNERS’ TECHNOLOGY ENGAGEMENT IN ENGLISH    </w:t>
      </w:r>
      <w:r>
        <w:rPr>
          <w:rFonts w:ascii="Arial" w:hAnsi="Arial" w:cs="Arial"/>
          <w:b/>
          <w:lang w:eastAsia="en-PH"/>
        </w:rPr>
        <w:tab/>
      </w:r>
      <w:r>
        <w:rPr>
          <w:rFonts w:ascii="Arial" w:hAnsi="Arial" w:cs="Arial"/>
          <w:b/>
          <w:lang w:eastAsia="en-PH"/>
        </w:rPr>
        <w:tab/>
      </w:r>
      <w:r>
        <w:rPr>
          <w:rFonts w:ascii="Arial" w:hAnsi="Arial" w:cs="Arial"/>
          <w:b/>
          <w:lang w:eastAsia="en-PH"/>
        </w:rPr>
        <w:tab/>
        <w:t xml:space="preserve">     THROUGH THE PICRAT MODEL</w:t>
      </w:r>
    </w:p>
    <w:p>
      <w:pPr>
        <w:pStyle w:val="BodyText"/>
        <w:rPr>
          <w:rFonts w:ascii="Arial" w:eastAsia="Times New Roman" w:hAnsi="Arial" w:cs="Arial"/>
          <w:b/>
          <w:lang w:eastAsia="en-PH"/>
        </w:rPr>
      </w:pPr>
      <w:r>
        <w:rPr>
          <w:rFonts w:ascii="Arial" w:eastAsia="Times New Roman" w:hAnsi="Arial" w:cs="Arial"/>
          <w:b/>
          <w:bCs/>
          <w:lang w:eastAsia="en-PH"/>
        </w:rPr>
        <w:t>Dear Respondent,</w:t>
      </w:r>
    </w:p>
    <w:p>
      <w:pPr>
        <w:spacing w:before="100" w:beforeAutospacing="1" w:after="100" w:afterAutospacing="1" w:line="240" w:lineRule="auto"/>
        <w:jc w:val="both"/>
        <w:rPr>
          <w:rFonts w:ascii="Arial" w:eastAsia="Times New Roman" w:hAnsi="Arial" w:cs="Arial"/>
          <w:lang w:eastAsia="en-PH"/>
        </w:rPr>
      </w:pPr>
      <w:r>
        <w:rPr>
          <w:rFonts w:ascii="Arial" w:eastAsia="Times New Roman" w:hAnsi="Arial" w:cs="Arial"/>
          <w:lang w:eastAsia="en-PH"/>
        </w:rPr>
        <w:t>This questionnaire is part of a research study investigating the integration of technology into English lessons within Indigenous Peoples Education (IPEd) classrooms. The study uses the PICRAT model (Passive, Interactive, Creative/Replacement, Amplification, Transformation) to understand current practices.</w:t>
      </w:r>
    </w:p>
    <w:p>
      <w:pPr>
        <w:spacing w:before="100" w:beforeAutospacing="1" w:after="100" w:afterAutospacing="1" w:line="240" w:lineRule="auto"/>
        <w:jc w:val="both"/>
        <w:rPr>
          <w:rFonts w:ascii="Arial" w:eastAsia="Times New Roman" w:hAnsi="Arial" w:cs="Arial"/>
          <w:lang w:eastAsia="en-PH"/>
        </w:rPr>
      </w:pPr>
      <w:r>
        <w:rPr>
          <w:rFonts w:ascii="Arial" w:eastAsia="Times New Roman" w:hAnsi="Arial" w:cs="Arial"/>
          <w:lang w:eastAsia="en-PH"/>
        </w:rPr>
        <w:t xml:space="preserve">Your honest responses are crucial for proposing an effective intervention program. All data gathered will be kept </w:t>
      </w:r>
      <w:r>
        <w:rPr>
          <w:rFonts w:ascii="Arial" w:eastAsia="Times New Roman" w:hAnsi="Arial" w:cs="Arial"/>
          <w:bCs/>
          <w:lang w:eastAsia="en-PH"/>
        </w:rPr>
        <w:t>strictly confidential</w:t>
      </w:r>
      <w:r>
        <w:rPr>
          <w:rFonts w:ascii="Arial" w:eastAsia="Times New Roman" w:hAnsi="Arial" w:cs="Arial"/>
          <w:lang w:eastAsia="en-PH"/>
        </w:rPr>
        <w:t xml:space="preserve"> and used solely for research purposes.</w:t>
      </w:r>
    </w:p>
    <w:p>
      <w:pPr>
        <w:spacing w:before="100" w:beforeAutospacing="1" w:after="100" w:afterAutospacing="1" w:line="240" w:lineRule="auto"/>
        <w:jc w:val="both"/>
        <w:rPr>
          <w:rFonts w:ascii="Arial" w:eastAsia="Times New Roman" w:hAnsi="Arial" w:cs="Arial"/>
          <w:lang w:eastAsia="en-PH"/>
        </w:rPr>
      </w:pPr>
      <w:r>
        <w:rPr>
          <w:rFonts w:ascii="Arial" w:eastAsia="Times New Roman" w:hAnsi="Arial" w:cs="Arial"/>
          <w:bCs/>
          <w:iCs/>
          <w:lang w:eastAsia="en-PH"/>
        </w:rPr>
        <w:t>Instructions</w:t>
      </w:r>
      <w:r>
        <w:rPr>
          <w:rFonts w:ascii="Arial" w:eastAsia="Times New Roman" w:hAnsi="Arial" w:cs="Arial"/>
          <w:bCs/>
          <w:lang w:eastAsia="en-PH"/>
        </w:rPr>
        <w:t>:</w:t>
      </w:r>
      <w:r>
        <w:rPr>
          <w:rFonts w:ascii="Arial" w:eastAsia="Times New Roman" w:hAnsi="Arial" w:cs="Arial"/>
          <w:lang w:eastAsia="en-PH"/>
        </w:rPr>
        <w:t xml:space="preserve"> Please check the box or fill in the blanks that correspond to your answer.</w:t>
      </w:r>
    </w:p>
    <w:p>
      <w:pPr>
        <w:spacing w:before="100" w:beforeAutospacing="1" w:after="100" w:afterAutospacing="1" w:line="240" w:lineRule="auto"/>
        <w:jc w:val="both"/>
        <w:rPr>
          <w:rFonts w:ascii="Arial" w:eastAsia="Times New Roman" w:hAnsi="Arial" w:cs="Arial"/>
          <w:lang w:eastAsia="en-PH"/>
        </w:rPr>
      </w:pPr>
      <w:r>
        <w:rPr>
          <w:rFonts w:ascii="Arial" w:eastAsia="Times New Roman" w:hAnsi="Arial" w:cs="Arial"/>
          <w:lang w:eastAsia="en-PH"/>
        </w:rPr>
        <w:t>Name(Optional): __________________________________________________</w:t>
      </w:r>
    </w:p>
    <w:p>
      <w:pPr>
        <w:spacing w:before="100" w:beforeAutospacing="1" w:after="100" w:afterAutospacing="1" w:line="240" w:lineRule="auto"/>
        <w:jc w:val="both"/>
        <w:rPr>
          <w:rFonts w:ascii="Arial" w:eastAsia="Times New Roman" w:hAnsi="Arial" w:cs="Arial"/>
          <w:lang w:eastAsia="en-PH"/>
        </w:rPr>
      </w:pPr>
      <w:r>
        <w:rPr>
          <w:rFonts w:ascii="Arial" w:eastAsia="Times New Roman" w:hAnsi="Arial" w:cs="Arial"/>
          <w:lang w:eastAsia="en-PH"/>
        </w:rPr>
        <w:t>School:</w:t>
      </w:r>
      <w:r>
        <w:rPr>
          <w:rFonts w:ascii="Arial" w:eastAsia="Times New Roman" w:hAnsi="Arial" w:cs="Arial"/>
          <w:lang w:eastAsia="en-PH"/>
        </w:rPr>
        <w:tab/>
        <w:t xml:space="preserve">      __________________________________________________</w:t>
      </w:r>
    </w:p>
    <w:p>
      <w:pPr>
        <w:spacing w:before="100" w:beforeAutospacing="1" w:after="100" w:afterAutospacing="1" w:line="240" w:lineRule="auto"/>
        <w:jc w:val="both"/>
        <w:rPr>
          <w:rFonts w:ascii="Arial" w:eastAsia="Times New Roman" w:hAnsi="Arial" w:cs="Arial"/>
          <w:b/>
          <w:bCs/>
          <w:lang w:eastAsia="en-PH"/>
        </w:rPr>
      </w:pPr>
      <w:r>
        <w:rPr>
          <w:rFonts w:ascii="Arial" w:eastAsia="Times New Roman" w:hAnsi="Arial" w:cs="Arial"/>
          <w:b/>
          <w:bCs/>
          <w:lang w:eastAsia="en-PH"/>
        </w:rPr>
        <w:t xml:space="preserve">Part I: TEACHERS’ COMPETENCE IN INTEGRATING TECHNOLOGY IN ENGLISH LANGUAGE TEACHING </w:t>
      </w:r>
    </w:p>
    <w:p>
      <w:pPr>
        <w:spacing w:before="100" w:beforeAutospacing="1" w:after="100" w:afterAutospacing="1" w:line="240" w:lineRule="auto"/>
        <w:jc w:val="both"/>
        <w:rPr>
          <w:rFonts w:ascii="Arial" w:eastAsia="Times New Roman" w:hAnsi="Arial" w:cs="Arial"/>
          <w:b/>
          <w:bCs/>
          <w:lang w:eastAsia="en-PH"/>
        </w:rPr>
      </w:pPr>
      <w:r>
        <w:rPr>
          <w:rFonts w:ascii="Arial" w:eastAsia="Times New Roman" w:hAnsi="Arial" w:cs="Arial"/>
          <w:lang w:eastAsia="en-PH"/>
        </w:rPr>
        <w:t>Please rate your level of competence in performing the following practices in your English instruction.</w:t>
      </w:r>
    </w:p>
    <w:p>
      <w:pPr>
        <w:spacing w:before="100" w:beforeAutospacing="1" w:after="100" w:afterAutospacing="1" w:line="240" w:lineRule="auto"/>
        <w:jc w:val="both"/>
        <w:rPr>
          <w:rFonts w:ascii="Arial" w:eastAsia="Times New Roman" w:hAnsi="Arial" w:cs="Arial"/>
          <w:b/>
          <w:bCs/>
          <w:lang w:eastAsia="en-PH"/>
        </w:rPr>
      </w:pPr>
      <w:r>
        <w:rPr>
          <w:rFonts w:ascii="Arial" w:eastAsia="Times New Roman" w:hAnsi="Arial" w:cs="Arial"/>
          <w:lang w:eastAsia="en-PH"/>
        </w:rPr>
        <w:t>Legend (Level of Competence)</w:t>
      </w:r>
    </w:p>
    <w:p>
      <w:pPr>
        <w:spacing w:after="0" w:line="240" w:lineRule="auto"/>
        <w:ind w:left="720" w:firstLine="720"/>
        <w:jc w:val="both"/>
        <w:rPr>
          <w:rFonts w:ascii="Arial" w:eastAsia="Times New Roman" w:hAnsi="Arial" w:cs="Arial"/>
          <w:lang w:eastAsia="en-PH"/>
        </w:rPr>
      </w:pPr>
      <w:r>
        <w:rPr>
          <w:rFonts w:ascii="Arial" w:eastAsia="Times New Roman" w:hAnsi="Arial" w:cs="Arial"/>
          <w:lang w:eastAsia="en-PH"/>
        </w:rPr>
        <w:t>5 – Highly Competent</w:t>
      </w:r>
    </w:p>
    <w:p>
      <w:pPr>
        <w:spacing w:after="0" w:line="240" w:lineRule="auto"/>
        <w:ind w:left="720" w:firstLine="720"/>
        <w:jc w:val="both"/>
        <w:rPr>
          <w:rFonts w:ascii="Arial" w:eastAsia="Times New Roman" w:hAnsi="Arial" w:cs="Arial"/>
          <w:lang w:eastAsia="en-PH"/>
        </w:rPr>
      </w:pPr>
      <w:r>
        <w:rPr>
          <w:rFonts w:ascii="Arial" w:eastAsia="Times New Roman" w:hAnsi="Arial" w:cs="Arial"/>
          <w:lang w:eastAsia="en-PH"/>
        </w:rPr>
        <w:t>4 – Competent</w:t>
      </w:r>
    </w:p>
    <w:p>
      <w:pPr>
        <w:spacing w:after="0" w:line="240" w:lineRule="auto"/>
        <w:ind w:left="720" w:firstLine="720"/>
        <w:jc w:val="both"/>
        <w:rPr>
          <w:rFonts w:ascii="Arial" w:eastAsia="Times New Roman" w:hAnsi="Arial" w:cs="Arial"/>
          <w:lang w:eastAsia="en-PH"/>
        </w:rPr>
      </w:pPr>
      <w:r>
        <w:rPr>
          <w:rFonts w:ascii="Arial" w:eastAsia="Times New Roman" w:hAnsi="Arial" w:cs="Arial"/>
          <w:lang w:eastAsia="en-PH"/>
        </w:rPr>
        <w:t>3 – Moderately Competent</w:t>
      </w:r>
    </w:p>
    <w:p>
      <w:pPr>
        <w:spacing w:after="0" w:line="240" w:lineRule="auto"/>
        <w:ind w:left="720" w:firstLine="720"/>
        <w:jc w:val="both"/>
        <w:rPr>
          <w:rFonts w:ascii="Arial" w:eastAsia="Times New Roman" w:hAnsi="Arial" w:cs="Arial"/>
          <w:lang w:eastAsia="en-PH"/>
        </w:rPr>
      </w:pPr>
      <w:r>
        <w:rPr>
          <w:rFonts w:ascii="Arial" w:eastAsia="Times New Roman" w:hAnsi="Arial" w:cs="Arial"/>
          <w:lang w:eastAsia="en-PH"/>
        </w:rPr>
        <w:t>2 – Slightly Competent</w:t>
      </w:r>
    </w:p>
    <w:p>
      <w:pPr>
        <w:spacing w:after="0" w:line="240" w:lineRule="auto"/>
        <w:ind w:left="720" w:firstLine="720"/>
        <w:jc w:val="both"/>
        <w:rPr>
          <w:rFonts w:ascii="Arial" w:eastAsia="Times New Roman" w:hAnsi="Arial" w:cs="Arial"/>
          <w:lang w:eastAsia="en-PH"/>
        </w:rPr>
      </w:pPr>
      <w:r>
        <w:rPr>
          <w:rFonts w:ascii="Arial" w:eastAsia="Times New Roman" w:hAnsi="Arial" w:cs="Arial"/>
          <w:lang w:eastAsia="en-PH"/>
        </w:rPr>
        <w:t xml:space="preserve">1 – Not Competent </w:t>
      </w:r>
    </w:p>
    <w:p>
      <w:pPr>
        <w:spacing w:after="0" w:line="240" w:lineRule="auto"/>
        <w:ind w:left="720" w:firstLine="720"/>
        <w:jc w:val="both"/>
        <w:rPr>
          <w:rFonts w:ascii="Arial" w:eastAsia="Times New Roman" w:hAnsi="Arial" w:cs="Arial"/>
          <w:lang w:eastAsia="en-PH"/>
        </w:rPr>
      </w:pPr>
    </w:p>
    <w:p>
      <w:pPr>
        <w:spacing w:after="0" w:line="240" w:lineRule="auto"/>
        <w:ind w:left="720" w:firstLine="720"/>
        <w:jc w:val="both"/>
        <w:rPr>
          <w:rFonts w:ascii="Arial" w:eastAsia="Times New Roman" w:hAnsi="Arial" w:cs="Arial"/>
          <w:lang w:eastAsia="en-PH"/>
        </w:rPr>
      </w:pPr>
    </w:p>
    <w:tbl>
      <w:tblPr>
        <w:tblStyle w:val="TableGrid"/>
        <w:tblW w:w="8415" w:type="dxa"/>
        <w:tblLayout w:type="fixed"/>
        <w:tblLook w:val="04A0" w:firstRow="1" w:lastRow="0" w:firstColumn="1" w:lastColumn="0" w:noHBand="0" w:noVBand="1"/>
      </w:tblPr>
      <w:tblGrid>
        <w:gridCol w:w="6596"/>
        <w:gridCol w:w="418"/>
        <w:gridCol w:w="351"/>
        <w:gridCol w:w="350"/>
        <w:gridCol w:w="350"/>
        <w:gridCol w:w="350"/>
      </w:tblGrid>
      <w:tr>
        <w:trPr>
          <w:trHeight w:val="395"/>
        </w:trPr>
        <w:tc>
          <w:tcPr>
            <w:tcW w:w="6596" w:type="dxa"/>
            <w:hideMark/>
          </w:tcPr>
          <w:p>
            <w:pPr>
              <w:spacing w:before="100" w:beforeAutospacing="1" w:after="100" w:afterAutospacing="1"/>
              <w:jc w:val="both"/>
              <w:rPr>
                <w:rFonts w:ascii="Arial" w:hAnsi="Arial" w:cs="Arial"/>
                <w:sz w:val="24"/>
                <w:szCs w:val="24"/>
                <w:lang w:eastAsia="en-PH"/>
              </w:rPr>
            </w:pPr>
            <w:r>
              <w:rPr>
                <w:rFonts w:ascii="Arial" w:hAnsi="Arial" w:cs="Arial"/>
                <w:b/>
                <w:bCs/>
                <w:i/>
                <w:iCs/>
                <w:sz w:val="24"/>
                <w:szCs w:val="24"/>
                <w:lang w:eastAsia="en-PH"/>
              </w:rPr>
              <w:t xml:space="preserve">A. </w:t>
            </w:r>
            <w:r>
              <w:rPr>
                <w:rFonts w:ascii="Arial" w:hAnsi="Arial" w:cs="Arial"/>
                <w:b/>
                <w:bCs/>
                <w:sz w:val="24"/>
                <w:szCs w:val="24"/>
                <w:lang w:eastAsia="en-PH"/>
              </w:rPr>
              <w:t>PICRAT-Based Pedagogical Knowledge</w:t>
            </w:r>
          </w:p>
        </w:tc>
        <w:tc>
          <w:tcPr>
            <w:tcW w:w="418" w:type="dxa"/>
          </w:tcPr>
          <w:p>
            <w:pPr>
              <w:jc w:val="both"/>
              <w:rPr>
                <w:rFonts w:ascii="Arial" w:hAnsi="Arial" w:cs="Arial"/>
                <w:b/>
                <w:bCs/>
                <w:sz w:val="24"/>
                <w:szCs w:val="24"/>
                <w:lang w:eastAsia="en-PH"/>
              </w:rPr>
            </w:pPr>
            <w:r>
              <w:rPr>
                <w:rFonts w:ascii="Arial" w:hAnsi="Arial" w:cs="Arial"/>
                <w:b/>
                <w:bCs/>
                <w:sz w:val="24"/>
                <w:szCs w:val="24"/>
                <w:lang w:eastAsia="en-PH"/>
              </w:rPr>
              <w:t>1</w:t>
            </w:r>
          </w:p>
        </w:tc>
        <w:tc>
          <w:tcPr>
            <w:tcW w:w="351" w:type="dxa"/>
          </w:tcPr>
          <w:p>
            <w:pPr>
              <w:jc w:val="both"/>
              <w:rPr>
                <w:rFonts w:ascii="Arial" w:hAnsi="Arial" w:cs="Arial"/>
                <w:b/>
                <w:bCs/>
                <w:sz w:val="24"/>
                <w:szCs w:val="24"/>
                <w:lang w:eastAsia="en-PH"/>
              </w:rPr>
            </w:pPr>
            <w:r>
              <w:rPr>
                <w:rFonts w:ascii="Arial" w:hAnsi="Arial" w:cs="Arial"/>
                <w:b/>
                <w:bCs/>
                <w:sz w:val="24"/>
                <w:szCs w:val="24"/>
                <w:lang w:eastAsia="en-PH"/>
              </w:rPr>
              <w:t>2</w:t>
            </w:r>
          </w:p>
        </w:tc>
        <w:tc>
          <w:tcPr>
            <w:tcW w:w="350" w:type="dxa"/>
          </w:tcPr>
          <w:p>
            <w:pPr>
              <w:jc w:val="both"/>
              <w:rPr>
                <w:rFonts w:ascii="Arial" w:hAnsi="Arial" w:cs="Arial"/>
                <w:b/>
                <w:bCs/>
                <w:sz w:val="24"/>
                <w:szCs w:val="24"/>
                <w:lang w:eastAsia="en-PH"/>
              </w:rPr>
            </w:pPr>
            <w:r>
              <w:rPr>
                <w:rFonts w:ascii="Arial" w:hAnsi="Arial" w:cs="Arial"/>
                <w:b/>
                <w:bCs/>
                <w:sz w:val="24"/>
                <w:szCs w:val="24"/>
                <w:lang w:eastAsia="en-PH"/>
              </w:rPr>
              <w:t>3</w:t>
            </w:r>
          </w:p>
        </w:tc>
        <w:tc>
          <w:tcPr>
            <w:tcW w:w="350" w:type="dxa"/>
          </w:tcPr>
          <w:p>
            <w:pPr>
              <w:jc w:val="both"/>
              <w:rPr>
                <w:rFonts w:ascii="Arial" w:hAnsi="Arial" w:cs="Arial"/>
                <w:b/>
                <w:bCs/>
                <w:sz w:val="24"/>
                <w:szCs w:val="24"/>
                <w:lang w:eastAsia="en-PH"/>
              </w:rPr>
            </w:pPr>
            <w:r>
              <w:rPr>
                <w:rFonts w:ascii="Arial" w:hAnsi="Arial" w:cs="Arial"/>
                <w:b/>
                <w:bCs/>
                <w:sz w:val="24"/>
                <w:szCs w:val="24"/>
                <w:lang w:eastAsia="en-PH"/>
              </w:rPr>
              <w:t>4</w:t>
            </w:r>
          </w:p>
        </w:tc>
        <w:tc>
          <w:tcPr>
            <w:tcW w:w="350" w:type="dxa"/>
          </w:tcPr>
          <w:p>
            <w:pPr>
              <w:jc w:val="both"/>
              <w:rPr>
                <w:rFonts w:ascii="Arial" w:hAnsi="Arial" w:cs="Arial"/>
                <w:b/>
                <w:bCs/>
                <w:sz w:val="24"/>
                <w:szCs w:val="24"/>
                <w:lang w:eastAsia="en-PH"/>
              </w:rPr>
            </w:pPr>
            <w:r>
              <w:rPr>
                <w:rFonts w:ascii="Arial" w:hAnsi="Arial" w:cs="Arial"/>
                <w:b/>
                <w:bCs/>
                <w:sz w:val="24"/>
                <w:szCs w:val="24"/>
                <w:lang w:eastAsia="en-PH"/>
              </w:rPr>
              <w:t>5</w:t>
            </w:r>
          </w:p>
        </w:tc>
      </w:tr>
      <w:tr>
        <w:trPr>
          <w:trHeight w:val="59"/>
        </w:trPr>
        <w:tc>
          <w:tcPr>
            <w:tcW w:w="6596" w:type="dxa"/>
          </w:tcPr>
          <w:p>
            <w:pPr>
              <w:jc w:val="both"/>
              <w:rPr>
                <w:rFonts w:ascii="Arial" w:hAnsi="Arial" w:cs="Arial"/>
                <w:sz w:val="24"/>
                <w:szCs w:val="24"/>
                <w:lang w:eastAsia="en-PH"/>
              </w:rPr>
            </w:pPr>
            <w:r>
              <w:rPr>
                <w:rFonts w:ascii="Arial" w:hAnsi="Arial" w:cs="Arial"/>
                <w:sz w:val="24"/>
                <w:szCs w:val="24"/>
                <w:lang w:eastAsia="en-PH"/>
              </w:rPr>
              <w:lastRenderedPageBreak/>
              <w:t>1. I select digital tools based on how they promote learner engagement in English lessons.</w:t>
            </w:r>
          </w:p>
        </w:tc>
        <w:tc>
          <w:tcPr>
            <w:tcW w:w="418" w:type="dxa"/>
          </w:tcPr>
          <w:p>
            <w:pPr>
              <w:jc w:val="both"/>
              <w:rPr>
                <w:rFonts w:ascii="Arial" w:hAnsi="Arial" w:cs="Arial"/>
                <w:sz w:val="24"/>
                <w:szCs w:val="24"/>
                <w:lang w:eastAsia="en-PH"/>
              </w:rPr>
            </w:pPr>
          </w:p>
        </w:tc>
        <w:tc>
          <w:tcPr>
            <w:tcW w:w="351"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r>
      <w:tr>
        <w:trPr>
          <w:trHeight w:val="274"/>
        </w:trPr>
        <w:tc>
          <w:tcPr>
            <w:tcW w:w="6596" w:type="dxa"/>
          </w:tcPr>
          <w:p>
            <w:pPr>
              <w:jc w:val="both"/>
              <w:rPr>
                <w:rFonts w:ascii="Arial" w:hAnsi="Arial" w:cs="Arial"/>
                <w:sz w:val="24"/>
                <w:szCs w:val="24"/>
                <w:lang w:eastAsia="en-PH"/>
              </w:rPr>
            </w:pPr>
            <w:r>
              <w:rPr>
                <w:rFonts w:ascii="Arial" w:hAnsi="Arial" w:cs="Arial"/>
                <w:sz w:val="24"/>
                <w:szCs w:val="24"/>
                <w:lang w:eastAsia="en-PH"/>
              </w:rPr>
              <w:t>2. I consider whether technology use encourages active English language use among learners.</w:t>
            </w:r>
          </w:p>
        </w:tc>
        <w:tc>
          <w:tcPr>
            <w:tcW w:w="418" w:type="dxa"/>
          </w:tcPr>
          <w:p>
            <w:pPr>
              <w:jc w:val="both"/>
              <w:rPr>
                <w:rFonts w:ascii="Arial" w:hAnsi="Arial" w:cs="Arial"/>
                <w:sz w:val="24"/>
                <w:szCs w:val="24"/>
                <w:lang w:eastAsia="en-PH"/>
              </w:rPr>
            </w:pPr>
          </w:p>
        </w:tc>
        <w:tc>
          <w:tcPr>
            <w:tcW w:w="351"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r>
      <w:tr>
        <w:trPr>
          <w:trHeight w:val="278"/>
        </w:trPr>
        <w:tc>
          <w:tcPr>
            <w:tcW w:w="6596" w:type="dxa"/>
          </w:tcPr>
          <w:p>
            <w:pPr>
              <w:jc w:val="both"/>
              <w:rPr>
                <w:rFonts w:ascii="Arial" w:hAnsi="Arial" w:cs="Arial"/>
                <w:sz w:val="24"/>
                <w:szCs w:val="24"/>
                <w:lang w:eastAsia="en-PH"/>
              </w:rPr>
            </w:pPr>
            <w:r>
              <w:rPr>
                <w:rFonts w:ascii="Arial" w:hAnsi="Arial" w:cs="Arial"/>
                <w:sz w:val="24"/>
                <w:szCs w:val="24"/>
                <w:lang w:eastAsia="en-PH"/>
              </w:rPr>
              <w:t>3. I plan technology-supported English activities using clear instructional objectives.</w:t>
            </w:r>
          </w:p>
        </w:tc>
        <w:tc>
          <w:tcPr>
            <w:tcW w:w="418" w:type="dxa"/>
          </w:tcPr>
          <w:p>
            <w:pPr>
              <w:jc w:val="both"/>
              <w:rPr>
                <w:rFonts w:ascii="Arial" w:hAnsi="Arial" w:cs="Arial"/>
                <w:sz w:val="24"/>
                <w:szCs w:val="24"/>
                <w:lang w:eastAsia="en-PH"/>
              </w:rPr>
            </w:pPr>
          </w:p>
        </w:tc>
        <w:tc>
          <w:tcPr>
            <w:tcW w:w="351"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r>
      <w:tr>
        <w:trPr>
          <w:trHeight w:val="59"/>
        </w:trPr>
        <w:tc>
          <w:tcPr>
            <w:tcW w:w="6596" w:type="dxa"/>
          </w:tcPr>
          <w:p>
            <w:pPr>
              <w:jc w:val="both"/>
              <w:rPr>
                <w:rFonts w:ascii="Arial" w:hAnsi="Arial" w:cs="Arial"/>
                <w:sz w:val="24"/>
                <w:szCs w:val="24"/>
                <w:lang w:eastAsia="en-PH"/>
              </w:rPr>
            </w:pPr>
            <w:r>
              <w:rPr>
                <w:rFonts w:ascii="Arial" w:hAnsi="Arial" w:cs="Arial"/>
                <w:sz w:val="24"/>
                <w:szCs w:val="24"/>
                <w:lang w:eastAsia="en-PH"/>
              </w:rPr>
              <w:t xml:space="preserve">4. I can distinguish between passive and interactive technology use in ELT </w:t>
            </w:r>
          </w:p>
        </w:tc>
        <w:tc>
          <w:tcPr>
            <w:tcW w:w="418" w:type="dxa"/>
          </w:tcPr>
          <w:p>
            <w:pPr>
              <w:jc w:val="both"/>
              <w:rPr>
                <w:rFonts w:ascii="Arial" w:hAnsi="Arial" w:cs="Arial"/>
                <w:sz w:val="24"/>
                <w:szCs w:val="24"/>
                <w:lang w:eastAsia="en-PH"/>
              </w:rPr>
            </w:pPr>
          </w:p>
        </w:tc>
        <w:tc>
          <w:tcPr>
            <w:tcW w:w="351"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r>
      <w:tr>
        <w:trPr>
          <w:trHeight w:val="59"/>
        </w:trPr>
        <w:tc>
          <w:tcPr>
            <w:tcW w:w="6596" w:type="dxa"/>
          </w:tcPr>
          <w:p>
            <w:pPr>
              <w:jc w:val="both"/>
              <w:rPr>
                <w:rFonts w:ascii="Arial" w:hAnsi="Arial" w:cs="Arial"/>
                <w:sz w:val="24"/>
                <w:szCs w:val="24"/>
                <w:lang w:eastAsia="en-PH"/>
              </w:rPr>
            </w:pPr>
            <w:r>
              <w:rPr>
                <w:rFonts w:ascii="Arial" w:hAnsi="Arial" w:cs="Arial"/>
                <w:sz w:val="24"/>
                <w:szCs w:val="24"/>
                <w:lang w:eastAsia="en-PH"/>
              </w:rPr>
              <w:t>5. I intentionally align technology use with English learning outcomes.</w:t>
            </w:r>
          </w:p>
        </w:tc>
        <w:tc>
          <w:tcPr>
            <w:tcW w:w="418" w:type="dxa"/>
          </w:tcPr>
          <w:p>
            <w:pPr>
              <w:jc w:val="both"/>
              <w:rPr>
                <w:rFonts w:ascii="Arial" w:hAnsi="Arial" w:cs="Arial"/>
                <w:sz w:val="24"/>
                <w:szCs w:val="24"/>
                <w:lang w:eastAsia="en-PH"/>
              </w:rPr>
            </w:pPr>
          </w:p>
        </w:tc>
        <w:tc>
          <w:tcPr>
            <w:tcW w:w="351"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r>
      <w:tr>
        <w:trPr>
          <w:trHeight w:val="324"/>
        </w:trPr>
        <w:tc>
          <w:tcPr>
            <w:tcW w:w="6596" w:type="dxa"/>
            <w:hideMark/>
          </w:tcPr>
          <w:p>
            <w:pPr>
              <w:jc w:val="both"/>
              <w:rPr>
                <w:rFonts w:ascii="Arial" w:hAnsi="Arial" w:cs="Arial"/>
                <w:b/>
                <w:bCs/>
                <w:i/>
                <w:iCs/>
                <w:sz w:val="24"/>
                <w:szCs w:val="24"/>
                <w:lang w:eastAsia="en-PH"/>
              </w:rPr>
            </w:pPr>
            <w:r>
              <w:rPr>
                <w:rFonts w:ascii="Arial" w:hAnsi="Arial" w:cs="Arial"/>
                <w:b/>
                <w:bCs/>
                <w:i/>
                <w:iCs/>
                <w:sz w:val="24"/>
                <w:szCs w:val="24"/>
                <w:lang w:eastAsia="en-PH"/>
              </w:rPr>
              <w:t>B. Cultural Responsiveness and Contextualization</w:t>
            </w:r>
          </w:p>
        </w:tc>
        <w:tc>
          <w:tcPr>
            <w:tcW w:w="418" w:type="dxa"/>
          </w:tcPr>
          <w:p>
            <w:pPr>
              <w:jc w:val="both"/>
              <w:rPr>
                <w:rFonts w:ascii="Arial" w:hAnsi="Arial" w:cs="Arial"/>
                <w:b/>
                <w:bCs/>
                <w:sz w:val="24"/>
                <w:szCs w:val="24"/>
                <w:lang w:eastAsia="en-PH"/>
              </w:rPr>
            </w:pPr>
            <w:r>
              <w:rPr>
                <w:rFonts w:ascii="Arial" w:hAnsi="Arial" w:cs="Arial"/>
                <w:b/>
                <w:bCs/>
                <w:sz w:val="24"/>
                <w:szCs w:val="24"/>
                <w:lang w:eastAsia="en-PH"/>
              </w:rPr>
              <w:t>1</w:t>
            </w:r>
          </w:p>
        </w:tc>
        <w:tc>
          <w:tcPr>
            <w:tcW w:w="351" w:type="dxa"/>
          </w:tcPr>
          <w:p>
            <w:pPr>
              <w:jc w:val="both"/>
              <w:rPr>
                <w:rFonts w:ascii="Arial" w:hAnsi="Arial" w:cs="Arial"/>
                <w:b/>
                <w:bCs/>
                <w:sz w:val="24"/>
                <w:szCs w:val="24"/>
                <w:lang w:eastAsia="en-PH"/>
              </w:rPr>
            </w:pPr>
            <w:r>
              <w:rPr>
                <w:rFonts w:ascii="Arial" w:hAnsi="Arial" w:cs="Arial"/>
                <w:b/>
                <w:bCs/>
                <w:sz w:val="24"/>
                <w:szCs w:val="24"/>
                <w:lang w:eastAsia="en-PH"/>
              </w:rPr>
              <w:t>2</w:t>
            </w:r>
          </w:p>
        </w:tc>
        <w:tc>
          <w:tcPr>
            <w:tcW w:w="350" w:type="dxa"/>
          </w:tcPr>
          <w:p>
            <w:pPr>
              <w:jc w:val="both"/>
              <w:rPr>
                <w:rFonts w:ascii="Arial" w:hAnsi="Arial" w:cs="Arial"/>
                <w:b/>
                <w:bCs/>
                <w:sz w:val="24"/>
                <w:szCs w:val="24"/>
                <w:lang w:eastAsia="en-PH"/>
              </w:rPr>
            </w:pPr>
            <w:r>
              <w:rPr>
                <w:rFonts w:ascii="Arial" w:hAnsi="Arial" w:cs="Arial"/>
                <w:b/>
                <w:bCs/>
                <w:sz w:val="24"/>
                <w:szCs w:val="24"/>
                <w:lang w:eastAsia="en-PH"/>
              </w:rPr>
              <w:t>3</w:t>
            </w:r>
          </w:p>
        </w:tc>
        <w:tc>
          <w:tcPr>
            <w:tcW w:w="350" w:type="dxa"/>
          </w:tcPr>
          <w:p>
            <w:pPr>
              <w:jc w:val="both"/>
              <w:rPr>
                <w:rFonts w:ascii="Arial" w:hAnsi="Arial" w:cs="Arial"/>
                <w:b/>
                <w:bCs/>
                <w:sz w:val="24"/>
                <w:szCs w:val="24"/>
                <w:lang w:eastAsia="en-PH"/>
              </w:rPr>
            </w:pPr>
            <w:r>
              <w:rPr>
                <w:rFonts w:ascii="Arial" w:hAnsi="Arial" w:cs="Arial"/>
                <w:b/>
                <w:bCs/>
                <w:sz w:val="24"/>
                <w:szCs w:val="24"/>
                <w:lang w:eastAsia="en-PH"/>
              </w:rPr>
              <w:t>4</w:t>
            </w:r>
          </w:p>
        </w:tc>
        <w:tc>
          <w:tcPr>
            <w:tcW w:w="350" w:type="dxa"/>
          </w:tcPr>
          <w:p>
            <w:pPr>
              <w:jc w:val="both"/>
              <w:rPr>
                <w:rFonts w:ascii="Arial" w:hAnsi="Arial" w:cs="Arial"/>
                <w:b/>
                <w:bCs/>
                <w:sz w:val="24"/>
                <w:szCs w:val="24"/>
                <w:lang w:eastAsia="en-PH"/>
              </w:rPr>
            </w:pPr>
            <w:r>
              <w:rPr>
                <w:rFonts w:ascii="Arial" w:hAnsi="Arial" w:cs="Arial"/>
                <w:b/>
                <w:bCs/>
                <w:sz w:val="24"/>
                <w:szCs w:val="24"/>
                <w:lang w:eastAsia="en-PH"/>
              </w:rPr>
              <w:t>5</w:t>
            </w:r>
          </w:p>
        </w:tc>
      </w:tr>
      <w:tr>
        <w:trPr>
          <w:trHeight w:val="137"/>
        </w:trPr>
        <w:tc>
          <w:tcPr>
            <w:tcW w:w="6596" w:type="dxa"/>
          </w:tcPr>
          <w:p>
            <w:pPr>
              <w:jc w:val="both"/>
              <w:rPr>
                <w:rFonts w:ascii="Arial" w:hAnsi="Arial" w:cs="Arial"/>
                <w:sz w:val="24"/>
                <w:szCs w:val="24"/>
              </w:rPr>
            </w:pPr>
            <w:r>
              <w:rPr>
                <w:rFonts w:ascii="Arial" w:hAnsi="Arial" w:cs="Arial"/>
                <w:sz w:val="24"/>
                <w:szCs w:val="24"/>
              </w:rPr>
              <w:t>1. I use technology to integrate Indigenous culture into English learning activities.</w:t>
            </w:r>
          </w:p>
        </w:tc>
        <w:tc>
          <w:tcPr>
            <w:tcW w:w="418" w:type="dxa"/>
            <w:hideMark/>
          </w:tcPr>
          <w:p>
            <w:pPr>
              <w:jc w:val="both"/>
              <w:rPr>
                <w:rFonts w:ascii="Arial" w:hAnsi="Arial" w:cs="Arial"/>
                <w:sz w:val="24"/>
                <w:szCs w:val="24"/>
                <w:lang w:eastAsia="en-PH"/>
              </w:rPr>
            </w:pPr>
          </w:p>
        </w:tc>
        <w:tc>
          <w:tcPr>
            <w:tcW w:w="351" w:type="dxa"/>
            <w:hideMark/>
          </w:tcPr>
          <w:p>
            <w:pPr>
              <w:jc w:val="both"/>
              <w:rPr>
                <w:rFonts w:ascii="Arial" w:hAnsi="Arial" w:cs="Arial"/>
                <w:sz w:val="24"/>
                <w:szCs w:val="24"/>
                <w:lang w:eastAsia="en-PH"/>
              </w:rPr>
            </w:pPr>
          </w:p>
        </w:tc>
        <w:tc>
          <w:tcPr>
            <w:tcW w:w="350" w:type="dxa"/>
            <w:hideMark/>
          </w:tcPr>
          <w:p>
            <w:pPr>
              <w:jc w:val="both"/>
              <w:rPr>
                <w:rFonts w:ascii="Arial" w:hAnsi="Arial" w:cs="Arial"/>
                <w:sz w:val="24"/>
                <w:szCs w:val="24"/>
                <w:lang w:eastAsia="en-PH"/>
              </w:rPr>
            </w:pPr>
          </w:p>
        </w:tc>
        <w:tc>
          <w:tcPr>
            <w:tcW w:w="350" w:type="dxa"/>
            <w:hideMark/>
          </w:tcPr>
          <w:p>
            <w:pPr>
              <w:jc w:val="both"/>
              <w:rPr>
                <w:rFonts w:ascii="Arial" w:hAnsi="Arial" w:cs="Arial"/>
                <w:sz w:val="24"/>
                <w:szCs w:val="24"/>
                <w:lang w:eastAsia="en-PH"/>
              </w:rPr>
            </w:pPr>
          </w:p>
        </w:tc>
        <w:tc>
          <w:tcPr>
            <w:tcW w:w="350" w:type="dxa"/>
            <w:hideMark/>
          </w:tcPr>
          <w:p>
            <w:pPr>
              <w:jc w:val="both"/>
              <w:rPr>
                <w:rFonts w:ascii="Arial" w:hAnsi="Arial" w:cs="Arial"/>
                <w:sz w:val="24"/>
                <w:szCs w:val="24"/>
                <w:lang w:eastAsia="en-PH"/>
              </w:rPr>
            </w:pPr>
          </w:p>
        </w:tc>
      </w:tr>
      <w:tr>
        <w:trPr>
          <w:trHeight w:val="128"/>
        </w:trPr>
        <w:tc>
          <w:tcPr>
            <w:tcW w:w="6596" w:type="dxa"/>
          </w:tcPr>
          <w:p>
            <w:pPr>
              <w:jc w:val="both"/>
              <w:rPr>
                <w:rFonts w:ascii="Arial" w:hAnsi="Arial" w:cs="Arial"/>
                <w:sz w:val="24"/>
                <w:szCs w:val="24"/>
              </w:rPr>
            </w:pPr>
            <w:r>
              <w:rPr>
                <w:rFonts w:ascii="Arial" w:hAnsi="Arial" w:cs="Arial"/>
                <w:sz w:val="24"/>
                <w:szCs w:val="24"/>
              </w:rPr>
              <w:t>2. I contextualize English lessons using learners’ community experiences through digital tools.</w:t>
            </w:r>
          </w:p>
        </w:tc>
        <w:tc>
          <w:tcPr>
            <w:tcW w:w="418" w:type="dxa"/>
            <w:hideMark/>
          </w:tcPr>
          <w:p>
            <w:pPr>
              <w:jc w:val="both"/>
              <w:rPr>
                <w:rFonts w:ascii="Arial" w:hAnsi="Arial" w:cs="Arial"/>
                <w:sz w:val="24"/>
                <w:szCs w:val="24"/>
                <w:lang w:eastAsia="en-PH"/>
              </w:rPr>
            </w:pPr>
          </w:p>
        </w:tc>
        <w:tc>
          <w:tcPr>
            <w:tcW w:w="351" w:type="dxa"/>
            <w:hideMark/>
          </w:tcPr>
          <w:p>
            <w:pPr>
              <w:jc w:val="both"/>
              <w:rPr>
                <w:rFonts w:ascii="Arial" w:hAnsi="Arial" w:cs="Arial"/>
                <w:sz w:val="24"/>
                <w:szCs w:val="24"/>
                <w:lang w:eastAsia="en-PH"/>
              </w:rPr>
            </w:pPr>
          </w:p>
        </w:tc>
        <w:tc>
          <w:tcPr>
            <w:tcW w:w="350" w:type="dxa"/>
            <w:hideMark/>
          </w:tcPr>
          <w:p>
            <w:pPr>
              <w:jc w:val="both"/>
              <w:rPr>
                <w:rFonts w:ascii="Arial" w:hAnsi="Arial" w:cs="Arial"/>
                <w:sz w:val="24"/>
                <w:szCs w:val="24"/>
                <w:lang w:eastAsia="en-PH"/>
              </w:rPr>
            </w:pPr>
          </w:p>
        </w:tc>
        <w:tc>
          <w:tcPr>
            <w:tcW w:w="350" w:type="dxa"/>
            <w:hideMark/>
          </w:tcPr>
          <w:p>
            <w:pPr>
              <w:jc w:val="both"/>
              <w:rPr>
                <w:rFonts w:ascii="Arial" w:hAnsi="Arial" w:cs="Arial"/>
                <w:sz w:val="24"/>
                <w:szCs w:val="24"/>
                <w:lang w:eastAsia="en-PH"/>
              </w:rPr>
            </w:pPr>
          </w:p>
        </w:tc>
        <w:tc>
          <w:tcPr>
            <w:tcW w:w="350" w:type="dxa"/>
            <w:hideMark/>
          </w:tcPr>
          <w:p>
            <w:pPr>
              <w:jc w:val="both"/>
              <w:rPr>
                <w:rFonts w:ascii="Arial" w:hAnsi="Arial" w:cs="Arial"/>
                <w:sz w:val="24"/>
                <w:szCs w:val="24"/>
                <w:lang w:eastAsia="en-PH"/>
              </w:rPr>
            </w:pPr>
          </w:p>
        </w:tc>
      </w:tr>
      <w:tr>
        <w:trPr>
          <w:trHeight w:val="277"/>
        </w:trPr>
        <w:tc>
          <w:tcPr>
            <w:tcW w:w="6596" w:type="dxa"/>
          </w:tcPr>
          <w:p>
            <w:pPr>
              <w:jc w:val="both"/>
              <w:rPr>
                <w:rFonts w:ascii="Arial" w:hAnsi="Arial" w:cs="Arial"/>
                <w:sz w:val="24"/>
                <w:szCs w:val="24"/>
              </w:rPr>
            </w:pPr>
            <w:r>
              <w:rPr>
                <w:rFonts w:ascii="Arial" w:hAnsi="Arial" w:cs="Arial"/>
                <w:sz w:val="24"/>
                <w:szCs w:val="24"/>
              </w:rPr>
              <w:t>3. I design technology-supported English tasks that respect Indigenous values and identity.</w:t>
            </w:r>
          </w:p>
        </w:tc>
        <w:tc>
          <w:tcPr>
            <w:tcW w:w="418" w:type="dxa"/>
            <w:hideMark/>
          </w:tcPr>
          <w:p>
            <w:pPr>
              <w:jc w:val="both"/>
              <w:rPr>
                <w:rFonts w:ascii="Arial" w:hAnsi="Arial" w:cs="Arial"/>
                <w:sz w:val="24"/>
                <w:szCs w:val="24"/>
                <w:lang w:eastAsia="en-PH"/>
              </w:rPr>
            </w:pPr>
          </w:p>
        </w:tc>
        <w:tc>
          <w:tcPr>
            <w:tcW w:w="351" w:type="dxa"/>
            <w:hideMark/>
          </w:tcPr>
          <w:p>
            <w:pPr>
              <w:jc w:val="both"/>
              <w:rPr>
                <w:rFonts w:ascii="Arial" w:hAnsi="Arial" w:cs="Arial"/>
                <w:sz w:val="24"/>
                <w:szCs w:val="24"/>
                <w:lang w:eastAsia="en-PH"/>
              </w:rPr>
            </w:pPr>
          </w:p>
        </w:tc>
        <w:tc>
          <w:tcPr>
            <w:tcW w:w="350" w:type="dxa"/>
            <w:hideMark/>
          </w:tcPr>
          <w:p>
            <w:pPr>
              <w:jc w:val="both"/>
              <w:rPr>
                <w:rFonts w:ascii="Arial" w:hAnsi="Arial" w:cs="Arial"/>
                <w:sz w:val="24"/>
                <w:szCs w:val="24"/>
                <w:lang w:eastAsia="en-PH"/>
              </w:rPr>
            </w:pPr>
          </w:p>
        </w:tc>
        <w:tc>
          <w:tcPr>
            <w:tcW w:w="350" w:type="dxa"/>
            <w:hideMark/>
          </w:tcPr>
          <w:p>
            <w:pPr>
              <w:jc w:val="both"/>
              <w:rPr>
                <w:rFonts w:ascii="Arial" w:hAnsi="Arial" w:cs="Arial"/>
                <w:sz w:val="24"/>
                <w:szCs w:val="24"/>
                <w:lang w:eastAsia="en-PH"/>
              </w:rPr>
            </w:pPr>
          </w:p>
        </w:tc>
        <w:tc>
          <w:tcPr>
            <w:tcW w:w="350" w:type="dxa"/>
            <w:hideMark/>
          </w:tcPr>
          <w:p>
            <w:pPr>
              <w:jc w:val="both"/>
              <w:rPr>
                <w:rFonts w:ascii="Arial" w:hAnsi="Arial" w:cs="Arial"/>
                <w:sz w:val="24"/>
                <w:szCs w:val="24"/>
                <w:lang w:eastAsia="en-PH"/>
              </w:rPr>
            </w:pPr>
          </w:p>
        </w:tc>
      </w:tr>
      <w:tr>
        <w:trPr>
          <w:trHeight w:val="282"/>
        </w:trPr>
        <w:tc>
          <w:tcPr>
            <w:tcW w:w="6596" w:type="dxa"/>
          </w:tcPr>
          <w:p>
            <w:pPr>
              <w:jc w:val="both"/>
              <w:rPr>
                <w:rFonts w:ascii="Arial" w:hAnsi="Arial" w:cs="Arial"/>
                <w:sz w:val="24"/>
                <w:szCs w:val="24"/>
              </w:rPr>
            </w:pPr>
            <w:r>
              <w:rPr>
                <w:rFonts w:ascii="Arial" w:hAnsi="Arial" w:cs="Arial"/>
                <w:sz w:val="24"/>
                <w:szCs w:val="24"/>
              </w:rPr>
              <w:t>4. I adapt digital English materials to suit the cultural background of IP learners.</w:t>
            </w:r>
          </w:p>
        </w:tc>
        <w:tc>
          <w:tcPr>
            <w:tcW w:w="418" w:type="dxa"/>
          </w:tcPr>
          <w:p>
            <w:pPr>
              <w:jc w:val="both"/>
              <w:rPr>
                <w:rFonts w:ascii="Arial" w:hAnsi="Arial" w:cs="Arial"/>
                <w:sz w:val="24"/>
                <w:szCs w:val="24"/>
                <w:lang w:eastAsia="en-PH"/>
              </w:rPr>
            </w:pPr>
          </w:p>
        </w:tc>
        <w:tc>
          <w:tcPr>
            <w:tcW w:w="351"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r>
      <w:tr>
        <w:trPr>
          <w:trHeight w:val="271"/>
        </w:trPr>
        <w:tc>
          <w:tcPr>
            <w:tcW w:w="6596" w:type="dxa"/>
          </w:tcPr>
          <w:p>
            <w:pPr>
              <w:jc w:val="both"/>
              <w:rPr>
                <w:rFonts w:ascii="Arial" w:hAnsi="Arial" w:cs="Arial"/>
                <w:sz w:val="24"/>
                <w:szCs w:val="24"/>
              </w:rPr>
            </w:pPr>
            <w:r>
              <w:rPr>
                <w:rFonts w:ascii="Arial" w:hAnsi="Arial" w:cs="Arial"/>
                <w:sz w:val="24"/>
                <w:szCs w:val="24"/>
              </w:rPr>
              <w:t>5. I consider cultural appropriateness when selecting digital resources for ELT.</w:t>
            </w:r>
          </w:p>
        </w:tc>
        <w:tc>
          <w:tcPr>
            <w:tcW w:w="418" w:type="dxa"/>
          </w:tcPr>
          <w:p>
            <w:pPr>
              <w:jc w:val="both"/>
              <w:rPr>
                <w:rFonts w:ascii="Arial" w:hAnsi="Arial" w:cs="Arial"/>
                <w:sz w:val="24"/>
                <w:szCs w:val="24"/>
                <w:lang w:eastAsia="en-PH"/>
              </w:rPr>
            </w:pPr>
          </w:p>
        </w:tc>
        <w:tc>
          <w:tcPr>
            <w:tcW w:w="351"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r>
      <w:tr>
        <w:trPr>
          <w:trHeight w:val="286"/>
        </w:trPr>
        <w:tc>
          <w:tcPr>
            <w:tcW w:w="6596" w:type="dxa"/>
            <w:hideMark/>
          </w:tcPr>
          <w:p>
            <w:pPr>
              <w:jc w:val="both"/>
              <w:rPr>
                <w:rFonts w:ascii="Arial" w:hAnsi="Arial" w:cs="Arial"/>
                <w:b/>
                <w:bCs/>
                <w:i/>
                <w:iCs/>
                <w:sz w:val="24"/>
                <w:szCs w:val="24"/>
                <w:lang w:eastAsia="en-PH"/>
              </w:rPr>
            </w:pPr>
            <w:r>
              <w:rPr>
                <w:rFonts w:ascii="Arial" w:hAnsi="Arial" w:cs="Arial"/>
                <w:b/>
                <w:bCs/>
                <w:i/>
                <w:iCs/>
                <w:sz w:val="24"/>
                <w:szCs w:val="24"/>
                <w:lang w:eastAsia="en-PH"/>
              </w:rPr>
              <w:t>C. Creative Engagement/Technology Use</w:t>
            </w:r>
          </w:p>
        </w:tc>
        <w:tc>
          <w:tcPr>
            <w:tcW w:w="418" w:type="dxa"/>
            <w:hideMark/>
          </w:tcPr>
          <w:p>
            <w:pPr>
              <w:jc w:val="both"/>
              <w:rPr>
                <w:rFonts w:ascii="Arial" w:hAnsi="Arial" w:cs="Arial"/>
                <w:sz w:val="24"/>
                <w:szCs w:val="24"/>
                <w:lang w:eastAsia="en-PH"/>
              </w:rPr>
            </w:pPr>
            <w:r>
              <w:rPr>
                <w:rFonts w:ascii="Arial" w:hAnsi="Arial" w:cs="Arial"/>
                <w:b/>
                <w:bCs/>
                <w:sz w:val="24"/>
                <w:szCs w:val="24"/>
                <w:lang w:eastAsia="en-PH"/>
              </w:rPr>
              <w:t>1</w:t>
            </w:r>
          </w:p>
        </w:tc>
        <w:tc>
          <w:tcPr>
            <w:tcW w:w="351" w:type="dxa"/>
          </w:tcPr>
          <w:p>
            <w:pPr>
              <w:jc w:val="both"/>
              <w:rPr>
                <w:rFonts w:ascii="Arial" w:hAnsi="Arial" w:cs="Arial"/>
                <w:b/>
                <w:bCs/>
                <w:sz w:val="24"/>
                <w:szCs w:val="24"/>
                <w:lang w:eastAsia="en-PH"/>
              </w:rPr>
            </w:pPr>
            <w:r>
              <w:rPr>
                <w:rFonts w:ascii="Arial" w:hAnsi="Arial" w:cs="Arial"/>
                <w:b/>
                <w:bCs/>
                <w:sz w:val="24"/>
                <w:szCs w:val="24"/>
                <w:lang w:eastAsia="en-PH"/>
              </w:rPr>
              <w:t>2</w:t>
            </w:r>
          </w:p>
        </w:tc>
        <w:tc>
          <w:tcPr>
            <w:tcW w:w="350" w:type="dxa"/>
          </w:tcPr>
          <w:p>
            <w:pPr>
              <w:jc w:val="both"/>
              <w:rPr>
                <w:rFonts w:ascii="Arial" w:hAnsi="Arial" w:cs="Arial"/>
                <w:b/>
                <w:bCs/>
                <w:sz w:val="24"/>
                <w:szCs w:val="24"/>
                <w:lang w:eastAsia="en-PH"/>
              </w:rPr>
            </w:pPr>
            <w:r>
              <w:rPr>
                <w:rFonts w:ascii="Arial" w:hAnsi="Arial" w:cs="Arial"/>
                <w:b/>
                <w:bCs/>
                <w:sz w:val="24"/>
                <w:szCs w:val="24"/>
                <w:lang w:eastAsia="en-PH"/>
              </w:rPr>
              <w:t>3</w:t>
            </w:r>
          </w:p>
        </w:tc>
        <w:tc>
          <w:tcPr>
            <w:tcW w:w="350" w:type="dxa"/>
          </w:tcPr>
          <w:p>
            <w:pPr>
              <w:jc w:val="both"/>
              <w:rPr>
                <w:rFonts w:ascii="Arial" w:hAnsi="Arial" w:cs="Arial"/>
                <w:b/>
                <w:bCs/>
                <w:sz w:val="24"/>
                <w:szCs w:val="24"/>
                <w:lang w:eastAsia="en-PH"/>
              </w:rPr>
            </w:pPr>
            <w:r>
              <w:rPr>
                <w:rFonts w:ascii="Arial" w:hAnsi="Arial" w:cs="Arial"/>
                <w:b/>
                <w:bCs/>
                <w:sz w:val="24"/>
                <w:szCs w:val="24"/>
                <w:lang w:eastAsia="en-PH"/>
              </w:rPr>
              <w:t>4</w:t>
            </w:r>
          </w:p>
        </w:tc>
        <w:tc>
          <w:tcPr>
            <w:tcW w:w="350" w:type="dxa"/>
          </w:tcPr>
          <w:p>
            <w:pPr>
              <w:jc w:val="both"/>
              <w:rPr>
                <w:rFonts w:ascii="Arial" w:hAnsi="Arial" w:cs="Arial"/>
                <w:b/>
                <w:bCs/>
                <w:sz w:val="24"/>
                <w:szCs w:val="24"/>
                <w:lang w:eastAsia="en-PH"/>
              </w:rPr>
            </w:pPr>
            <w:r>
              <w:rPr>
                <w:rFonts w:ascii="Arial" w:hAnsi="Arial" w:cs="Arial"/>
                <w:b/>
                <w:bCs/>
                <w:sz w:val="24"/>
                <w:szCs w:val="24"/>
                <w:lang w:eastAsia="en-PH"/>
              </w:rPr>
              <w:t>5</w:t>
            </w:r>
          </w:p>
        </w:tc>
      </w:tr>
      <w:tr>
        <w:trPr>
          <w:trHeight w:val="130"/>
        </w:trPr>
        <w:tc>
          <w:tcPr>
            <w:tcW w:w="6596" w:type="dxa"/>
          </w:tcPr>
          <w:p>
            <w:pPr>
              <w:jc w:val="both"/>
              <w:rPr>
                <w:rFonts w:ascii="Arial" w:hAnsi="Arial" w:cs="Arial"/>
                <w:sz w:val="24"/>
                <w:szCs w:val="24"/>
                <w:lang w:eastAsia="en-PH"/>
              </w:rPr>
            </w:pPr>
            <w:r>
              <w:rPr>
                <w:rFonts w:ascii="Arial" w:hAnsi="Arial" w:cs="Arial"/>
                <w:sz w:val="24"/>
                <w:szCs w:val="24"/>
                <w:lang w:eastAsia="en-PH"/>
              </w:rPr>
              <w:t>1. I can operate basic digital tools commonly used in English instruction.</w:t>
            </w:r>
          </w:p>
        </w:tc>
        <w:tc>
          <w:tcPr>
            <w:tcW w:w="418" w:type="dxa"/>
            <w:hideMark/>
          </w:tcPr>
          <w:p>
            <w:pPr>
              <w:jc w:val="both"/>
              <w:rPr>
                <w:rFonts w:ascii="Arial" w:hAnsi="Arial" w:cs="Arial"/>
                <w:sz w:val="24"/>
                <w:szCs w:val="24"/>
                <w:lang w:eastAsia="en-PH"/>
              </w:rPr>
            </w:pPr>
          </w:p>
        </w:tc>
        <w:tc>
          <w:tcPr>
            <w:tcW w:w="351" w:type="dxa"/>
            <w:hideMark/>
          </w:tcPr>
          <w:p>
            <w:pPr>
              <w:jc w:val="both"/>
              <w:rPr>
                <w:rFonts w:ascii="Arial" w:hAnsi="Arial" w:cs="Arial"/>
                <w:sz w:val="24"/>
                <w:szCs w:val="24"/>
                <w:lang w:eastAsia="en-PH"/>
              </w:rPr>
            </w:pPr>
          </w:p>
        </w:tc>
        <w:tc>
          <w:tcPr>
            <w:tcW w:w="350" w:type="dxa"/>
            <w:hideMark/>
          </w:tcPr>
          <w:p>
            <w:pPr>
              <w:jc w:val="both"/>
              <w:rPr>
                <w:rFonts w:ascii="Arial" w:hAnsi="Arial" w:cs="Arial"/>
                <w:sz w:val="24"/>
                <w:szCs w:val="24"/>
                <w:lang w:eastAsia="en-PH"/>
              </w:rPr>
            </w:pPr>
          </w:p>
        </w:tc>
        <w:tc>
          <w:tcPr>
            <w:tcW w:w="350" w:type="dxa"/>
            <w:hideMark/>
          </w:tcPr>
          <w:p>
            <w:pPr>
              <w:jc w:val="both"/>
              <w:rPr>
                <w:rFonts w:ascii="Arial" w:hAnsi="Arial" w:cs="Arial"/>
                <w:sz w:val="24"/>
                <w:szCs w:val="24"/>
                <w:lang w:eastAsia="en-PH"/>
              </w:rPr>
            </w:pPr>
          </w:p>
        </w:tc>
        <w:tc>
          <w:tcPr>
            <w:tcW w:w="350" w:type="dxa"/>
            <w:hideMark/>
          </w:tcPr>
          <w:p>
            <w:pPr>
              <w:jc w:val="both"/>
              <w:rPr>
                <w:rFonts w:ascii="Arial" w:hAnsi="Arial" w:cs="Arial"/>
                <w:sz w:val="24"/>
                <w:szCs w:val="24"/>
                <w:lang w:eastAsia="en-PH"/>
              </w:rPr>
            </w:pPr>
          </w:p>
        </w:tc>
      </w:tr>
      <w:tr>
        <w:trPr>
          <w:trHeight w:val="119"/>
        </w:trPr>
        <w:tc>
          <w:tcPr>
            <w:tcW w:w="6596" w:type="dxa"/>
          </w:tcPr>
          <w:p>
            <w:pPr>
              <w:jc w:val="both"/>
              <w:rPr>
                <w:rFonts w:ascii="Arial" w:hAnsi="Arial" w:cs="Arial"/>
                <w:sz w:val="24"/>
                <w:szCs w:val="24"/>
                <w:lang w:eastAsia="en-PH"/>
              </w:rPr>
            </w:pPr>
            <w:r>
              <w:rPr>
                <w:rFonts w:ascii="Arial" w:hAnsi="Arial" w:cs="Arial"/>
                <w:sz w:val="24"/>
                <w:szCs w:val="24"/>
                <w:lang w:eastAsia="en-PH"/>
              </w:rPr>
              <w:t>2. I can adapt technology use when internet access is limited.</w:t>
            </w:r>
          </w:p>
        </w:tc>
        <w:tc>
          <w:tcPr>
            <w:tcW w:w="418" w:type="dxa"/>
          </w:tcPr>
          <w:p>
            <w:pPr>
              <w:jc w:val="both"/>
              <w:rPr>
                <w:rFonts w:ascii="Arial" w:hAnsi="Arial" w:cs="Arial"/>
                <w:sz w:val="24"/>
                <w:szCs w:val="24"/>
                <w:lang w:eastAsia="en-PH"/>
              </w:rPr>
            </w:pPr>
          </w:p>
        </w:tc>
        <w:tc>
          <w:tcPr>
            <w:tcW w:w="351"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r>
      <w:tr>
        <w:trPr>
          <w:trHeight w:val="138"/>
        </w:trPr>
        <w:tc>
          <w:tcPr>
            <w:tcW w:w="6596" w:type="dxa"/>
          </w:tcPr>
          <w:p>
            <w:pPr>
              <w:jc w:val="both"/>
              <w:rPr>
                <w:rFonts w:ascii="Arial" w:hAnsi="Arial" w:cs="Arial"/>
                <w:sz w:val="24"/>
                <w:szCs w:val="24"/>
                <w:lang w:eastAsia="en-PH"/>
              </w:rPr>
            </w:pPr>
            <w:r>
              <w:rPr>
                <w:rFonts w:ascii="Arial" w:hAnsi="Arial" w:cs="Arial"/>
                <w:sz w:val="24"/>
                <w:szCs w:val="24"/>
                <w:lang w:eastAsia="en-PH"/>
              </w:rPr>
              <w:t>3. I can select digital tools appropriate for specific English language skills.</w:t>
            </w:r>
          </w:p>
        </w:tc>
        <w:tc>
          <w:tcPr>
            <w:tcW w:w="418" w:type="dxa"/>
          </w:tcPr>
          <w:p>
            <w:pPr>
              <w:jc w:val="both"/>
              <w:rPr>
                <w:rFonts w:ascii="Arial" w:hAnsi="Arial" w:cs="Arial"/>
                <w:sz w:val="24"/>
                <w:szCs w:val="24"/>
                <w:lang w:eastAsia="en-PH"/>
              </w:rPr>
            </w:pPr>
          </w:p>
        </w:tc>
        <w:tc>
          <w:tcPr>
            <w:tcW w:w="351"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r>
      <w:tr>
        <w:trPr>
          <w:trHeight w:val="273"/>
        </w:trPr>
        <w:tc>
          <w:tcPr>
            <w:tcW w:w="6596" w:type="dxa"/>
          </w:tcPr>
          <w:p>
            <w:pPr>
              <w:jc w:val="both"/>
              <w:rPr>
                <w:rFonts w:ascii="Arial" w:hAnsi="Arial" w:cs="Arial"/>
                <w:sz w:val="24"/>
                <w:szCs w:val="24"/>
                <w:lang w:eastAsia="en-PH"/>
              </w:rPr>
            </w:pPr>
            <w:r>
              <w:rPr>
                <w:rFonts w:ascii="Arial" w:hAnsi="Arial" w:cs="Arial"/>
                <w:sz w:val="24"/>
                <w:szCs w:val="24"/>
                <w:lang w:eastAsia="en-PH"/>
              </w:rPr>
              <w:t>4. I can adjust technology use based on learners’ English proficiency levels.</w:t>
            </w:r>
          </w:p>
        </w:tc>
        <w:tc>
          <w:tcPr>
            <w:tcW w:w="418" w:type="dxa"/>
          </w:tcPr>
          <w:p>
            <w:pPr>
              <w:jc w:val="both"/>
              <w:rPr>
                <w:rFonts w:ascii="Arial" w:hAnsi="Arial" w:cs="Arial"/>
                <w:sz w:val="24"/>
                <w:szCs w:val="24"/>
                <w:lang w:eastAsia="en-PH"/>
              </w:rPr>
            </w:pPr>
          </w:p>
        </w:tc>
        <w:tc>
          <w:tcPr>
            <w:tcW w:w="351"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r>
      <w:tr>
        <w:trPr>
          <w:trHeight w:val="264"/>
        </w:trPr>
        <w:tc>
          <w:tcPr>
            <w:tcW w:w="6596" w:type="dxa"/>
          </w:tcPr>
          <w:p>
            <w:pPr>
              <w:jc w:val="both"/>
              <w:rPr>
                <w:rFonts w:ascii="Arial" w:hAnsi="Arial" w:cs="Arial"/>
                <w:sz w:val="24"/>
                <w:szCs w:val="24"/>
                <w:lang w:eastAsia="en-PH"/>
              </w:rPr>
            </w:pPr>
            <w:r>
              <w:rPr>
                <w:rFonts w:ascii="Arial" w:hAnsi="Arial" w:cs="Arial"/>
                <w:sz w:val="24"/>
                <w:szCs w:val="24"/>
                <w:lang w:eastAsia="en-PH"/>
              </w:rPr>
              <w:t>5. I can manage basic technical issues during English lessons.</w:t>
            </w:r>
          </w:p>
        </w:tc>
        <w:tc>
          <w:tcPr>
            <w:tcW w:w="418" w:type="dxa"/>
          </w:tcPr>
          <w:p>
            <w:pPr>
              <w:jc w:val="both"/>
              <w:rPr>
                <w:rFonts w:ascii="Arial" w:hAnsi="Arial" w:cs="Arial"/>
                <w:sz w:val="24"/>
                <w:szCs w:val="24"/>
                <w:lang w:eastAsia="en-PH"/>
              </w:rPr>
            </w:pPr>
          </w:p>
        </w:tc>
        <w:tc>
          <w:tcPr>
            <w:tcW w:w="351"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c>
          <w:tcPr>
            <w:tcW w:w="350" w:type="dxa"/>
          </w:tcPr>
          <w:p>
            <w:pPr>
              <w:jc w:val="both"/>
              <w:rPr>
                <w:rFonts w:ascii="Arial" w:hAnsi="Arial" w:cs="Arial"/>
                <w:sz w:val="24"/>
                <w:szCs w:val="24"/>
                <w:lang w:eastAsia="en-PH"/>
              </w:rPr>
            </w:pPr>
          </w:p>
        </w:tc>
      </w:tr>
      <w:tr>
        <w:trPr>
          <w:trHeight w:val="277"/>
        </w:trPr>
        <w:tc>
          <w:tcPr>
            <w:tcW w:w="6596" w:type="dxa"/>
            <w:hideMark/>
          </w:tcPr>
          <w:p>
            <w:pPr>
              <w:jc w:val="both"/>
              <w:rPr>
                <w:rFonts w:ascii="Arial" w:hAnsi="Arial" w:cs="Arial"/>
                <w:b/>
                <w:i/>
                <w:iCs/>
                <w:sz w:val="24"/>
                <w:szCs w:val="24"/>
                <w:lang w:eastAsia="en-PH"/>
              </w:rPr>
            </w:pPr>
            <w:r>
              <w:rPr>
                <w:rFonts w:ascii="Arial" w:hAnsi="Arial" w:cs="Arial"/>
                <w:b/>
                <w:i/>
                <w:iCs/>
                <w:sz w:val="24"/>
                <w:szCs w:val="24"/>
                <w:lang w:eastAsia="en-PH"/>
              </w:rPr>
              <w:t>D. Access to Technological Resources</w:t>
            </w:r>
          </w:p>
        </w:tc>
        <w:tc>
          <w:tcPr>
            <w:tcW w:w="418" w:type="dxa"/>
          </w:tcPr>
          <w:p>
            <w:pPr>
              <w:jc w:val="center"/>
              <w:rPr>
                <w:rFonts w:ascii="Arial" w:hAnsi="Arial" w:cs="Arial"/>
                <w:b/>
                <w:bCs/>
                <w:sz w:val="24"/>
                <w:szCs w:val="24"/>
                <w:lang w:eastAsia="en-PH"/>
              </w:rPr>
            </w:pPr>
            <w:r>
              <w:rPr>
                <w:rFonts w:ascii="Arial" w:hAnsi="Arial" w:cs="Arial"/>
                <w:b/>
                <w:bCs/>
                <w:sz w:val="24"/>
                <w:szCs w:val="24"/>
                <w:lang w:eastAsia="en-PH"/>
              </w:rPr>
              <w:t>1</w:t>
            </w:r>
          </w:p>
        </w:tc>
        <w:tc>
          <w:tcPr>
            <w:tcW w:w="351" w:type="dxa"/>
          </w:tcPr>
          <w:p>
            <w:pPr>
              <w:jc w:val="center"/>
              <w:rPr>
                <w:rFonts w:ascii="Arial" w:hAnsi="Arial" w:cs="Arial"/>
                <w:b/>
                <w:bCs/>
                <w:sz w:val="24"/>
                <w:szCs w:val="24"/>
                <w:lang w:eastAsia="en-PH"/>
              </w:rPr>
            </w:pPr>
            <w:r>
              <w:rPr>
                <w:rFonts w:ascii="Arial" w:hAnsi="Arial" w:cs="Arial"/>
                <w:b/>
                <w:bCs/>
                <w:sz w:val="24"/>
                <w:szCs w:val="24"/>
                <w:lang w:eastAsia="en-PH"/>
              </w:rPr>
              <w:t>2</w:t>
            </w:r>
          </w:p>
        </w:tc>
        <w:tc>
          <w:tcPr>
            <w:tcW w:w="350" w:type="dxa"/>
          </w:tcPr>
          <w:p>
            <w:pPr>
              <w:jc w:val="center"/>
              <w:rPr>
                <w:rFonts w:ascii="Arial" w:hAnsi="Arial" w:cs="Arial"/>
                <w:b/>
                <w:bCs/>
                <w:sz w:val="24"/>
                <w:szCs w:val="24"/>
                <w:lang w:eastAsia="en-PH"/>
              </w:rPr>
            </w:pPr>
            <w:r>
              <w:rPr>
                <w:rFonts w:ascii="Arial" w:hAnsi="Arial" w:cs="Arial"/>
                <w:b/>
                <w:bCs/>
                <w:sz w:val="24"/>
                <w:szCs w:val="24"/>
                <w:lang w:eastAsia="en-PH"/>
              </w:rPr>
              <w:t>3</w:t>
            </w:r>
          </w:p>
        </w:tc>
        <w:tc>
          <w:tcPr>
            <w:tcW w:w="350" w:type="dxa"/>
          </w:tcPr>
          <w:p>
            <w:pPr>
              <w:jc w:val="center"/>
              <w:rPr>
                <w:rFonts w:ascii="Arial" w:hAnsi="Arial" w:cs="Arial"/>
                <w:b/>
                <w:bCs/>
                <w:sz w:val="24"/>
                <w:szCs w:val="24"/>
                <w:lang w:eastAsia="en-PH"/>
              </w:rPr>
            </w:pPr>
            <w:r>
              <w:rPr>
                <w:rFonts w:ascii="Arial" w:hAnsi="Arial" w:cs="Arial"/>
                <w:b/>
                <w:bCs/>
                <w:sz w:val="24"/>
                <w:szCs w:val="24"/>
                <w:lang w:eastAsia="en-PH"/>
              </w:rPr>
              <w:t>4</w:t>
            </w:r>
          </w:p>
        </w:tc>
        <w:tc>
          <w:tcPr>
            <w:tcW w:w="350" w:type="dxa"/>
          </w:tcPr>
          <w:p>
            <w:pPr>
              <w:jc w:val="center"/>
              <w:rPr>
                <w:rFonts w:ascii="Arial" w:hAnsi="Arial" w:cs="Arial"/>
                <w:b/>
                <w:bCs/>
                <w:sz w:val="24"/>
                <w:szCs w:val="24"/>
                <w:lang w:eastAsia="en-PH"/>
              </w:rPr>
            </w:pPr>
            <w:r>
              <w:rPr>
                <w:rFonts w:ascii="Arial" w:hAnsi="Arial" w:cs="Arial"/>
                <w:b/>
                <w:bCs/>
                <w:sz w:val="24"/>
                <w:szCs w:val="24"/>
                <w:lang w:eastAsia="en-PH"/>
              </w:rPr>
              <w:t>5</w:t>
            </w:r>
          </w:p>
        </w:tc>
      </w:tr>
      <w:tr>
        <w:trPr>
          <w:trHeight w:val="268"/>
        </w:trPr>
        <w:tc>
          <w:tcPr>
            <w:tcW w:w="6596" w:type="dxa"/>
          </w:tcPr>
          <w:p>
            <w:pPr>
              <w:rPr>
                <w:rFonts w:ascii="Arial" w:hAnsi="Arial" w:cs="Arial"/>
                <w:sz w:val="24"/>
                <w:szCs w:val="24"/>
                <w:lang w:eastAsia="en-PH"/>
              </w:rPr>
            </w:pPr>
            <w:r>
              <w:rPr>
                <w:rFonts w:ascii="Arial" w:hAnsi="Arial" w:cs="Arial"/>
                <w:sz w:val="24"/>
                <w:szCs w:val="24"/>
                <w:lang w:eastAsia="en-PH"/>
              </w:rPr>
              <w:t>1. Availability of digital devices affects my English teaching strategies.</w:t>
            </w:r>
          </w:p>
        </w:tc>
        <w:tc>
          <w:tcPr>
            <w:tcW w:w="418" w:type="dxa"/>
            <w:hideMark/>
          </w:tcPr>
          <w:p>
            <w:pPr>
              <w:jc w:val="center"/>
              <w:rPr>
                <w:rFonts w:ascii="Arial" w:hAnsi="Arial" w:cs="Arial"/>
                <w:sz w:val="24"/>
                <w:szCs w:val="24"/>
                <w:lang w:eastAsia="en-PH"/>
              </w:rPr>
            </w:pPr>
          </w:p>
        </w:tc>
        <w:tc>
          <w:tcPr>
            <w:tcW w:w="351" w:type="dxa"/>
            <w:hideMark/>
          </w:tcPr>
          <w:p>
            <w:pPr>
              <w:jc w:val="center"/>
              <w:rPr>
                <w:rFonts w:ascii="Arial" w:hAnsi="Arial" w:cs="Arial"/>
                <w:sz w:val="24"/>
                <w:szCs w:val="24"/>
                <w:lang w:eastAsia="en-PH"/>
              </w:rPr>
            </w:pPr>
          </w:p>
        </w:tc>
        <w:tc>
          <w:tcPr>
            <w:tcW w:w="350" w:type="dxa"/>
            <w:hideMark/>
          </w:tcPr>
          <w:p>
            <w:pPr>
              <w:jc w:val="center"/>
              <w:rPr>
                <w:rFonts w:ascii="Arial" w:hAnsi="Arial" w:cs="Arial"/>
                <w:sz w:val="24"/>
                <w:szCs w:val="24"/>
                <w:lang w:eastAsia="en-PH"/>
              </w:rPr>
            </w:pPr>
          </w:p>
        </w:tc>
        <w:tc>
          <w:tcPr>
            <w:tcW w:w="350" w:type="dxa"/>
            <w:hideMark/>
          </w:tcPr>
          <w:p>
            <w:pPr>
              <w:jc w:val="center"/>
              <w:rPr>
                <w:rFonts w:ascii="Arial" w:hAnsi="Arial" w:cs="Arial"/>
                <w:sz w:val="24"/>
                <w:szCs w:val="24"/>
                <w:lang w:eastAsia="en-PH"/>
              </w:rPr>
            </w:pPr>
          </w:p>
        </w:tc>
        <w:tc>
          <w:tcPr>
            <w:tcW w:w="350" w:type="dxa"/>
            <w:hideMark/>
          </w:tcPr>
          <w:p>
            <w:pPr>
              <w:jc w:val="center"/>
              <w:rPr>
                <w:rFonts w:ascii="Arial" w:hAnsi="Arial" w:cs="Arial"/>
                <w:sz w:val="24"/>
                <w:szCs w:val="24"/>
                <w:lang w:eastAsia="en-PH"/>
              </w:rPr>
            </w:pPr>
          </w:p>
        </w:tc>
      </w:tr>
      <w:tr>
        <w:trPr>
          <w:trHeight w:val="271"/>
        </w:trPr>
        <w:tc>
          <w:tcPr>
            <w:tcW w:w="6596" w:type="dxa"/>
          </w:tcPr>
          <w:p>
            <w:pPr>
              <w:rPr>
                <w:rFonts w:ascii="Arial" w:hAnsi="Arial" w:cs="Arial"/>
                <w:sz w:val="24"/>
                <w:szCs w:val="24"/>
              </w:rPr>
            </w:pPr>
            <w:r>
              <w:rPr>
                <w:rFonts w:ascii="Arial" w:hAnsi="Arial" w:cs="Arial"/>
                <w:sz w:val="24"/>
                <w:szCs w:val="24"/>
              </w:rPr>
              <w:t>2.  Internet connectivity influences how often I use technology in ELT.</w:t>
            </w:r>
          </w:p>
        </w:tc>
        <w:tc>
          <w:tcPr>
            <w:tcW w:w="418" w:type="dxa"/>
          </w:tcPr>
          <w:p>
            <w:pPr>
              <w:jc w:val="center"/>
              <w:rPr>
                <w:rFonts w:ascii="Arial" w:hAnsi="Arial" w:cs="Arial"/>
                <w:sz w:val="24"/>
                <w:szCs w:val="24"/>
                <w:lang w:eastAsia="en-PH"/>
              </w:rPr>
            </w:pPr>
          </w:p>
        </w:tc>
        <w:tc>
          <w:tcPr>
            <w:tcW w:w="351" w:type="dxa"/>
          </w:tcPr>
          <w:p>
            <w:pPr>
              <w:jc w:val="center"/>
              <w:rPr>
                <w:rFonts w:ascii="Arial" w:hAnsi="Arial" w:cs="Arial"/>
                <w:sz w:val="24"/>
                <w:szCs w:val="24"/>
                <w:lang w:eastAsia="en-PH"/>
              </w:rPr>
            </w:pPr>
          </w:p>
        </w:tc>
        <w:tc>
          <w:tcPr>
            <w:tcW w:w="350" w:type="dxa"/>
          </w:tcPr>
          <w:p>
            <w:pPr>
              <w:jc w:val="center"/>
              <w:rPr>
                <w:rFonts w:ascii="Arial" w:hAnsi="Arial" w:cs="Arial"/>
                <w:sz w:val="24"/>
                <w:szCs w:val="24"/>
                <w:lang w:eastAsia="en-PH"/>
              </w:rPr>
            </w:pPr>
          </w:p>
        </w:tc>
        <w:tc>
          <w:tcPr>
            <w:tcW w:w="350" w:type="dxa"/>
          </w:tcPr>
          <w:p>
            <w:pPr>
              <w:jc w:val="center"/>
              <w:rPr>
                <w:rFonts w:ascii="Arial" w:hAnsi="Arial" w:cs="Arial"/>
                <w:sz w:val="24"/>
                <w:szCs w:val="24"/>
                <w:lang w:eastAsia="en-PH"/>
              </w:rPr>
            </w:pPr>
          </w:p>
        </w:tc>
        <w:tc>
          <w:tcPr>
            <w:tcW w:w="350" w:type="dxa"/>
          </w:tcPr>
          <w:p>
            <w:pPr>
              <w:jc w:val="center"/>
              <w:rPr>
                <w:rFonts w:ascii="Arial" w:hAnsi="Arial" w:cs="Arial"/>
                <w:sz w:val="24"/>
                <w:szCs w:val="24"/>
                <w:lang w:eastAsia="en-PH"/>
              </w:rPr>
            </w:pPr>
          </w:p>
        </w:tc>
      </w:tr>
      <w:tr>
        <w:trPr>
          <w:trHeight w:val="276"/>
        </w:trPr>
        <w:tc>
          <w:tcPr>
            <w:tcW w:w="6596" w:type="dxa"/>
          </w:tcPr>
          <w:p>
            <w:pPr>
              <w:rPr>
                <w:rFonts w:ascii="Arial" w:hAnsi="Arial" w:cs="Arial"/>
                <w:sz w:val="24"/>
                <w:szCs w:val="24"/>
              </w:rPr>
            </w:pPr>
            <w:r>
              <w:rPr>
                <w:rFonts w:ascii="Arial" w:hAnsi="Arial" w:cs="Arial"/>
                <w:sz w:val="24"/>
                <w:szCs w:val="24"/>
              </w:rPr>
              <w:t>3. Electricity availability affects the type of technology I use in English lessons.</w:t>
            </w:r>
          </w:p>
        </w:tc>
        <w:tc>
          <w:tcPr>
            <w:tcW w:w="418" w:type="dxa"/>
          </w:tcPr>
          <w:p>
            <w:pPr>
              <w:jc w:val="center"/>
              <w:rPr>
                <w:rFonts w:ascii="Arial" w:hAnsi="Arial" w:cs="Arial"/>
                <w:sz w:val="24"/>
                <w:szCs w:val="24"/>
                <w:lang w:eastAsia="en-PH"/>
              </w:rPr>
            </w:pPr>
          </w:p>
        </w:tc>
        <w:tc>
          <w:tcPr>
            <w:tcW w:w="351" w:type="dxa"/>
          </w:tcPr>
          <w:p>
            <w:pPr>
              <w:jc w:val="center"/>
              <w:rPr>
                <w:rFonts w:ascii="Arial" w:hAnsi="Arial" w:cs="Arial"/>
                <w:sz w:val="24"/>
                <w:szCs w:val="24"/>
                <w:lang w:eastAsia="en-PH"/>
              </w:rPr>
            </w:pPr>
          </w:p>
        </w:tc>
        <w:tc>
          <w:tcPr>
            <w:tcW w:w="350" w:type="dxa"/>
          </w:tcPr>
          <w:p>
            <w:pPr>
              <w:jc w:val="center"/>
              <w:rPr>
                <w:rFonts w:ascii="Arial" w:hAnsi="Arial" w:cs="Arial"/>
                <w:sz w:val="24"/>
                <w:szCs w:val="24"/>
                <w:lang w:eastAsia="en-PH"/>
              </w:rPr>
            </w:pPr>
          </w:p>
        </w:tc>
        <w:tc>
          <w:tcPr>
            <w:tcW w:w="350" w:type="dxa"/>
          </w:tcPr>
          <w:p>
            <w:pPr>
              <w:jc w:val="center"/>
              <w:rPr>
                <w:rFonts w:ascii="Arial" w:hAnsi="Arial" w:cs="Arial"/>
                <w:sz w:val="24"/>
                <w:szCs w:val="24"/>
                <w:lang w:eastAsia="en-PH"/>
              </w:rPr>
            </w:pPr>
          </w:p>
        </w:tc>
        <w:tc>
          <w:tcPr>
            <w:tcW w:w="350" w:type="dxa"/>
          </w:tcPr>
          <w:p>
            <w:pPr>
              <w:jc w:val="center"/>
              <w:rPr>
                <w:rFonts w:ascii="Arial" w:hAnsi="Arial" w:cs="Arial"/>
                <w:sz w:val="24"/>
                <w:szCs w:val="24"/>
                <w:lang w:eastAsia="en-PH"/>
              </w:rPr>
            </w:pPr>
          </w:p>
        </w:tc>
      </w:tr>
      <w:tr>
        <w:trPr>
          <w:trHeight w:val="266"/>
        </w:trPr>
        <w:tc>
          <w:tcPr>
            <w:tcW w:w="6596" w:type="dxa"/>
          </w:tcPr>
          <w:p>
            <w:pPr>
              <w:rPr>
                <w:rFonts w:ascii="Arial" w:hAnsi="Arial" w:cs="Arial"/>
                <w:sz w:val="24"/>
                <w:szCs w:val="24"/>
              </w:rPr>
            </w:pPr>
            <w:r>
              <w:rPr>
                <w:rFonts w:ascii="Arial" w:hAnsi="Arial" w:cs="Arial"/>
                <w:sz w:val="24"/>
                <w:szCs w:val="24"/>
              </w:rPr>
              <w:t>4. I have access to digital materials appropriate for English instruction.</w:t>
            </w:r>
          </w:p>
        </w:tc>
        <w:tc>
          <w:tcPr>
            <w:tcW w:w="418" w:type="dxa"/>
          </w:tcPr>
          <w:p>
            <w:pPr>
              <w:jc w:val="center"/>
              <w:rPr>
                <w:rFonts w:ascii="Arial" w:hAnsi="Arial" w:cs="Arial"/>
                <w:sz w:val="24"/>
                <w:szCs w:val="24"/>
                <w:lang w:eastAsia="en-PH"/>
              </w:rPr>
            </w:pPr>
          </w:p>
        </w:tc>
        <w:tc>
          <w:tcPr>
            <w:tcW w:w="351" w:type="dxa"/>
          </w:tcPr>
          <w:p>
            <w:pPr>
              <w:jc w:val="center"/>
              <w:rPr>
                <w:rFonts w:ascii="Arial" w:hAnsi="Arial" w:cs="Arial"/>
                <w:sz w:val="24"/>
                <w:szCs w:val="24"/>
                <w:lang w:eastAsia="en-PH"/>
              </w:rPr>
            </w:pPr>
          </w:p>
        </w:tc>
        <w:tc>
          <w:tcPr>
            <w:tcW w:w="350" w:type="dxa"/>
          </w:tcPr>
          <w:p>
            <w:pPr>
              <w:jc w:val="center"/>
              <w:rPr>
                <w:rFonts w:ascii="Arial" w:hAnsi="Arial" w:cs="Arial"/>
                <w:sz w:val="24"/>
                <w:szCs w:val="24"/>
                <w:lang w:eastAsia="en-PH"/>
              </w:rPr>
            </w:pPr>
          </w:p>
        </w:tc>
        <w:tc>
          <w:tcPr>
            <w:tcW w:w="350" w:type="dxa"/>
          </w:tcPr>
          <w:p>
            <w:pPr>
              <w:jc w:val="center"/>
              <w:rPr>
                <w:rFonts w:ascii="Arial" w:hAnsi="Arial" w:cs="Arial"/>
                <w:sz w:val="24"/>
                <w:szCs w:val="24"/>
                <w:lang w:eastAsia="en-PH"/>
              </w:rPr>
            </w:pPr>
          </w:p>
        </w:tc>
        <w:tc>
          <w:tcPr>
            <w:tcW w:w="350" w:type="dxa"/>
          </w:tcPr>
          <w:p>
            <w:pPr>
              <w:jc w:val="center"/>
              <w:rPr>
                <w:rFonts w:ascii="Arial" w:hAnsi="Arial" w:cs="Arial"/>
                <w:sz w:val="24"/>
                <w:szCs w:val="24"/>
                <w:lang w:eastAsia="en-PH"/>
              </w:rPr>
            </w:pPr>
          </w:p>
        </w:tc>
      </w:tr>
      <w:tr>
        <w:trPr>
          <w:trHeight w:val="123"/>
        </w:trPr>
        <w:tc>
          <w:tcPr>
            <w:tcW w:w="6596" w:type="dxa"/>
          </w:tcPr>
          <w:p>
            <w:pPr>
              <w:rPr>
                <w:rFonts w:ascii="Arial" w:hAnsi="Arial" w:cs="Arial"/>
                <w:sz w:val="24"/>
                <w:szCs w:val="24"/>
              </w:rPr>
            </w:pPr>
            <w:r>
              <w:rPr>
                <w:rFonts w:ascii="Arial" w:hAnsi="Arial" w:cs="Arial"/>
                <w:sz w:val="24"/>
                <w:szCs w:val="24"/>
              </w:rPr>
              <w:t>5. Resource limitations affect the depth of my technology integration inELT.</w:t>
            </w:r>
          </w:p>
        </w:tc>
        <w:tc>
          <w:tcPr>
            <w:tcW w:w="418" w:type="dxa"/>
          </w:tcPr>
          <w:p>
            <w:pPr>
              <w:jc w:val="center"/>
              <w:rPr>
                <w:rFonts w:ascii="Arial" w:hAnsi="Arial" w:cs="Arial"/>
                <w:sz w:val="24"/>
                <w:szCs w:val="24"/>
                <w:lang w:eastAsia="en-PH"/>
              </w:rPr>
            </w:pPr>
          </w:p>
        </w:tc>
        <w:tc>
          <w:tcPr>
            <w:tcW w:w="351" w:type="dxa"/>
          </w:tcPr>
          <w:p>
            <w:pPr>
              <w:jc w:val="center"/>
              <w:rPr>
                <w:rFonts w:ascii="Arial" w:hAnsi="Arial" w:cs="Arial"/>
                <w:sz w:val="24"/>
                <w:szCs w:val="24"/>
                <w:lang w:eastAsia="en-PH"/>
              </w:rPr>
            </w:pPr>
          </w:p>
        </w:tc>
        <w:tc>
          <w:tcPr>
            <w:tcW w:w="350" w:type="dxa"/>
          </w:tcPr>
          <w:p>
            <w:pPr>
              <w:jc w:val="center"/>
              <w:rPr>
                <w:rFonts w:ascii="Arial" w:hAnsi="Arial" w:cs="Arial"/>
                <w:sz w:val="24"/>
                <w:szCs w:val="24"/>
                <w:lang w:eastAsia="en-PH"/>
              </w:rPr>
            </w:pPr>
          </w:p>
        </w:tc>
        <w:tc>
          <w:tcPr>
            <w:tcW w:w="350" w:type="dxa"/>
          </w:tcPr>
          <w:p>
            <w:pPr>
              <w:jc w:val="center"/>
              <w:rPr>
                <w:rFonts w:ascii="Arial" w:hAnsi="Arial" w:cs="Arial"/>
                <w:sz w:val="24"/>
                <w:szCs w:val="24"/>
                <w:lang w:eastAsia="en-PH"/>
              </w:rPr>
            </w:pPr>
          </w:p>
        </w:tc>
        <w:tc>
          <w:tcPr>
            <w:tcW w:w="350" w:type="dxa"/>
          </w:tcPr>
          <w:p>
            <w:pPr>
              <w:jc w:val="center"/>
              <w:rPr>
                <w:rFonts w:ascii="Arial" w:hAnsi="Arial" w:cs="Arial"/>
                <w:sz w:val="24"/>
                <w:szCs w:val="24"/>
                <w:lang w:eastAsia="en-PH"/>
              </w:rPr>
            </w:pPr>
          </w:p>
        </w:tc>
      </w:tr>
      <w:tr>
        <w:trPr>
          <w:trHeight w:val="107"/>
        </w:trPr>
        <w:tc>
          <w:tcPr>
            <w:tcW w:w="6596" w:type="dxa"/>
            <w:hideMark/>
          </w:tcPr>
          <w:p>
            <w:pPr>
              <w:jc w:val="both"/>
              <w:rPr>
                <w:rFonts w:ascii="Arial" w:hAnsi="Arial" w:cs="Arial"/>
                <w:b/>
                <w:i/>
                <w:iCs/>
                <w:sz w:val="24"/>
                <w:szCs w:val="24"/>
                <w:lang w:eastAsia="en-PH"/>
              </w:rPr>
            </w:pPr>
            <w:r>
              <w:rPr>
                <w:rFonts w:ascii="Arial" w:hAnsi="Arial" w:cs="Arial"/>
                <w:b/>
                <w:i/>
                <w:iCs/>
                <w:sz w:val="24"/>
                <w:szCs w:val="24"/>
                <w:lang w:eastAsia="en-PH"/>
              </w:rPr>
              <w:lastRenderedPageBreak/>
              <w:t>E. Reflective Teaching Practice</w:t>
            </w:r>
          </w:p>
        </w:tc>
        <w:tc>
          <w:tcPr>
            <w:tcW w:w="418" w:type="dxa"/>
          </w:tcPr>
          <w:p>
            <w:pPr>
              <w:jc w:val="center"/>
              <w:rPr>
                <w:rFonts w:ascii="Arial" w:hAnsi="Arial" w:cs="Arial"/>
                <w:b/>
                <w:bCs/>
                <w:sz w:val="24"/>
                <w:szCs w:val="24"/>
                <w:lang w:eastAsia="en-PH"/>
              </w:rPr>
            </w:pPr>
            <w:r>
              <w:rPr>
                <w:rFonts w:ascii="Arial" w:hAnsi="Arial" w:cs="Arial"/>
                <w:b/>
                <w:bCs/>
                <w:sz w:val="24"/>
                <w:szCs w:val="24"/>
                <w:lang w:eastAsia="en-PH"/>
              </w:rPr>
              <w:t>1</w:t>
            </w:r>
          </w:p>
        </w:tc>
        <w:tc>
          <w:tcPr>
            <w:tcW w:w="351" w:type="dxa"/>
          </w:tcPr>
          <w:p>
            <w:pPr>
              <w:jc w:val="center"/>
              <w:rPr>
                <w:rFonts w:ascii="Arial" w:hAnsi="Arial" w:cs="Arial"/>
                <w:b/>
                <w:bCs/>
                <w:sz w:val="24"/>
                <w:szCs w:val="24"/>
                <w:lang w:eastAsia="en-PH"/>
              </w:rPr>
            </w:pPr>
            <w:r>
              <w:rPr>
                <w:rFonts w:ascii="Arial" w:hAnsi="Arial" w:cs="Arial"/>
                <w:b/>
                <w:bCs/>
                <w:sz w:val="24"/>
                <w:szCs w:val="24"/>
                <w:lang w:eastAsia="en-PH"/>
              </w:rPr>
              <w:t>2</w:t>
            </w:r>
          </w:p>
        </w:tc>
        <w:tc>
          <w:tcPr>
            <w:tcW w:w="350" w:type="dxa"/>
          </w:tcPr>
          <w:p>
            <w:pPr>
              <w:jc w:val="center"/>
              <w:rPr>
                <w:rFonts w:ascii="Arial" w:hAnsi="Arial" w:cs="Arial"/>
                <w:b/>
                <w:bCs/>
                <w:sz w:val="24"/>
                <w:szCs w:val="24"/>
                <w:lang w:eastAsia="en-PH"/>
              </w:rPr>
            </w:pPr>
            <w:r>
              <w:rPr>
                <w:rFonts w:ascii="Arial" w:hAnsi="Arial" w:cs="Arial"/>
                <w:b/>
                <w:bCs/>
                <w:sz w:val="24"/>
                <w:szCs w:val="24"/>
                <w:lang w:eastAsia="en-PH"/>
              </w:rPr>
              <w:t>3</w:t>
            </w:r>
          </w:p>
        </w:tc>
        <w:tc>
          <w:tcPr>
            <w:tcW w:w="350" w:type="dxa"/>
          </w:tcPr>
          <w:p>
            <w:pPr>
              <w:jc w:val="center"/>
              <w:rPr>
                <w:rFonts w:ascii="Arial" w:hAnsi="Arial" w:cs="Arial"/>
                <w:b/>
                <w:bCs/>
                <w:sz w:val="24"/>
                <w:szCs w:val="24"/>
                <w:lang w:eastAsia="en-PH"/>
              </w:rPr>
            </w:pPr>
            <w:r>
              <w:rPr>
                <w:rFonts w:ascii="Arial" w:hAnsi="Arial" w:cs="Arial"/>
                <w:b/>
                <w:bCs/>
                <w:sz w:val="24"/>
                <w:szCs w:val="24"/>
                <w:lang w:eastAsia="en-PH"/>
              </w:rPr>
              <w:t>4</w:t>
            </w:r>
          </w:p>
        </w:tc>
        <w:tc>
          <w:tcPr>
            <w:tcW w:w="350" w:type="dxa"/>
          </w:tcPr>
          <w:p>
            <w:pPr>
              <w:jc w:val="center"/>
              <w:rPr>
                <w:rFonts w:ascii="Arial" w:hAnsi="Arial" w:cs="Arial"/>
                <w:b/>
                <w:bCs/>
                <w:sz w:val="24"/>
                <w:szCs w:val="24"/>
                <w:lang w:eastAsia="en-PH"/>
              </w:rPr>
            </w:pPr>
            <w:r>
              <w:rPr>
                <w:rFonts w:ascii="Arial" w:hAnsi="Arial" w:cs="Arial"/>
                <w:b/>
                <w:bCs/>
                <w:sz w:val="24"/>
                <w:szCs w:val="24"/>
                <w:lang w:eastAsia="en-PH"/>
              </w:rPr>
              <w:t>5</w:t>
            </w:r>
          </w:p>
        </w:tc>
      </w:tr>
      <w:tr>
        <w:trPr>
          <w:trHeight w:val="258"/>
        </w:trPr>
        <w:tc>
          <w:tcPr>
            <w:tcW w:w="6596" w:type="dxa"/>
          </w:tcPr>
          <w:p>
            <w:pPr>
              <w:rPr>
                <w:rFonts w:ascii="Arial" w:hAnsi="Arial" w:cs="Arial"/>
                <w:sz w:val="24"/>
                <w:szCs w:val="24"/>
              </w:rPr>
            </w:pPr>
            <w:r>
              <w:rPr>
                <w:rFonts w:ascii="Arial" w:hAnsi="Arial" w:cs="Arial"/>
                <w:sz w:val="24"/>
                <w:szCs w:val="24"/>
              </w:rPr>
              <w:t>1. I evaluate the effectiveness of technology-supported English lessons.</w:t>
            </w:r>
          </w:p>
        </w:tc>
        <w:tc>
          <w:tcPr>
            <w:tcW w:w="418" w:type="dxa"/>
            <w:hideMark/>
          </w:tcPr>
          <w:p>
            <w:pPr>
              <w:jc w:val="center"/>
              <w:rPr>
                <w:rFonts w:ascii="Arial" w:hAnsi="Arial" w:cs="Arial"/>
                <w:sz w:val="24"/>
                <w:szCs w:val="24"/>
                <w:lang w:eastAsia="en-PH"/>
              </w:rPr>
            </w:pPr>
          </w:p>
        </w:tc>
        <w:tc>
          <w:tcPr>
            <w:tcW w:w="351" w:type="dxa"/>
            <w:hideMark/>
          </w:tcPr>
          <w:p>
            <w:pPr>
              <w:jc w:val="center"/>
              <w:rPr>
                <w:rFonts w:ascii="Arial" w:hAnsi="Arial" w:cs="Arial"/>
                <w:sz w:val="24"/>
                <w:szCs w:val="24"/>
                <w:lang w:eastAsia="en-PH"/>
              </w:rPr>
            </w:pPr>
          </w:p>
        </w:tc>
        <w:tc>
          <w:tcPr>
            <w:tcW w:w="350" w:type="dxa"/>
            <w:hideMark/>
          </w:tcPr>
          <w:p>
            <w:pPr>
              <w:jc w:val="center"/>
              <w:rPr>
                <w:rFonts w:ascii="Arial" w:hAnsi="Arial" w:cs="Arial"/>
                <w:sz w:val="24"/>
                <w:szCs w:val="24"/>
                <w:lang w:eastAsia="en-PH"/>
              </w:rPr>
            </w:pPr>
          </w:p>
        </w:tc>
        <w:tc>
          <w:tcPr>
            <w:tcW w:w="350" w:type="dxa"/>
            <w:hideMark/>
          </w:tcPr>
          <w:p>
            <w:pPr>
              <w:jc w:val="center"/>
              <w:rPr>
                <w:rFonts w:ascii="Arial" w:hAnsi="Arial" w:cs="Arial"/>
                <w:sz w:val="24"/>
                <w:szCs w:val="24"/>
                <w:lang w:eastAsia="en-PH"/>
              </w:rPr>
            </w:pPr>
          </w:p>
        </w:tc>
        <w:tc>
          <w:tcPr>
            <w:tcW w:w="350" w:type="dxa"/>
            <w:hideMark/>
          </w:tcPr>
          <w:p>
            <w:pPr>
              <w:jc w:val="center"/>
              <w:rPr>
                <w:rFonts w:ascii="Arial" w:hAnsi="Arial" w:cs="Arial"/>
                <w:sz w:val="24"/>
                <w:szCs w:val="24"/>
                <w:lang w:eastAsia="en-PH"/>
              </w:rPr>
            </w:pPr>
          </w:p>
        </w:tc>
      </w:tr>
      <w:tr>
        <w:trPr>
          <w:trHeight w:val="101"/>
        </w:trPr>
        <w:tc>
          <w:tcPr>
            <w:tcW w:w="6596" w:type="dxa"/>
          </w:tcPr>
          <w:p>
            <w:pPr>
              <w:rPr>
                <w:rFonts w:ascii="Arial" w:hAnsi="Arial" w:cs="Arial"/>
                <w:sz w:val="24"/>
                <w:szCs w:val="24"/>
              </w:rPr>
            </w:pPr>
            <w:r>
              <w:rPr>
                <w:rFonts w:ascii="Arial" w:hAnsi="Arial" w:cs="Arial"/>
                <w:sz w:val="24"/>
                <w:szCs w:val="24"/>
              </w:rPr>
              <w:t>2. I adjust my ELT strategies based on learner engagement in tech- based activities.</w:t>
            </w:r>
          </w:p>
        </w:tc>
        <w:tc>
          <w:tcPr>
            <w:tcW w:w="418" w:type="dxa"/>
          </w:tcPr>
          <w:p>
            <w:pPr>
              <w:jc w:val="center"/>
              <w:rPr>
                <w:rFonts w:ascii="Arial" w:hAnsi="Arial" w:cs="Arial"/>
                <w:sz w:val="24"/>
                <w:szCs w:val="24"/>
                <w:lang w:eastAsia="en-PH"/>
              </w:rPr>
            </w:pPr>
          </w:p>
        </w:tc>
        <w:tc>
          <w:tcPr>
            <w:tcW w:w="351" w:type="dxa"/>
          </w:tcPr>
          <w:p>
            <w:pPr>
              <w:jc w:val="center"/>
              <w:rPr>
                <w:rFonts w:ascii="Arial" w:hAnsi="Arial" w:cs="Arial"/>
                <w:sz w:val="24"/>
                <w:szCs w:val="24"/>
                <w:lang w:eastAsia="en-PH"/>
              </w:rPr>
            </w:pPr>
          </w:p>
        </w:tc>
        <w:tc>
          <w:tcPr>
            <w:tcW w:w="350" w:type="dxa"/>
          </w:tcPr>
          <w:p>
            <w:pPr>
              <w:jc w:val="center"/>
              <w:rPr>
                <w:rFonts w:ascii="Arial" w:hAnsi="Arial" w:cs="Arial"/>
                <w:sz w:val="24"/>
                <w:szCs w:val="24"/>
                <w:lang w:eastAsia="en-PH"/>
              </w:rPr>
            </w:pPr>
          </w:p>
        </w:tc>
        <w:tc>
          <w:tcPr>
            <w:tcW w:w="350" w:type="dxa"/>
          </w:tcPr>
          <w:p>
            <w:pPr>
              <w:jc w:val="center"/>
              <w:rPr>
                <w:rFonts w:ascii="Arial" w:hAnsi="Arial" w:cs="Arial"/>
                <w:sz w:val="24"/>
                <w:szCs w:val="24"/>
                <w:lang w:eastAsia="en-PH"/>
              </w:rPr>
            </w:pPr>
          </w:p>
        </w:tc>
        <w:tc>
          <w:tcPr>
            <w:tcW w:w="350" w:type="dxa"/>
          </w:tcPr>
          <w:p>
            <w:pPr>
              <w:jc w:val="center"/>
              <w:rPr>
                <w:rFonts w:ascii="Arial" w:hAnsi="Arial" w:cs="Arial"/>
                <w:sz w:val="24"/>
                <w:szCs w:val="24"/>
                <w:lang w:eastAsia="en-PH"/>
              </w:rPr>
            </w:pPr>
          </w:p>
        </w:tc>
      </w:tr>
      <w:tr>
        <w:trPr>
          <w:trHeight w:val="105"/>
        </w:trPr>
        <w:tc>
          <w:tcPr>
            <w:tcW w:w="6596" w:type="dxa"/>
          </w:tcPr>
          <w:p>
            <w:pPr>
              <w:rPr>
                <w:rFonts w:ascii="Arial" w:hAnsi="Arial" w:cs="Arial"/>
                <w:sz w:val="24"/>
                <w:szCs w:val="24"/>
              </w:rPr>
            </w:pPr>
            <w:r>
              <w:rPr>
                <w:rFonts w:ascii="Arial" w:hAnsi="Arial" w:cs="Arial"/>
                <w:sz w:val="24"/>
                <w:szCs w:val="24"/>
              </w:rPr>
              <w:t>3. I review learner outputs after technology-supported English tasks.</w:t>
            </w:r>
          </w:p>
        </w:tc>
        <w:tc>
          <w:tcPr>
            <w:tcW w:w="418" w:type="dxa"/>
          </w:tcPr>
          <w:p>
            <w:pPr>
              <w:jc w:val="center"/>
              <w:rPr>
                <w:rFonts w:ascii="Arial" w:hAnsi="Arial" w:cs="Arial"/>
                <w:sz w:val="24"/>
                <w:szCs w:val="24"/>
                <w:lang w:eastAsia="en-PH"/>
              </w:rPr>
            </w:pPr>
          </w:p>
        </w:tc>
        <w:tc>
          <w:tcPr>
            <w:tcW w:w="351" w:type="dxa"/>
          </w:tcPr>
          <w:p>
            <w:pPr>
              <w:jc w:val="center"/>
              <w:rPr>
                <w:rFonts w:ascii="Arial" w:hAnsi="Arial" w:cs="Arial"/>
                <w:sz w:val="24"/>
                <w:szCs w:val="24"/>
                <w:lang w:eastAsia="en-PH"/>
              </w:rPr>
            </w:pPr>
          </w:p>
        </w:tc>
        <w:tc>
          <w:tcPr>
            <w:tcW w:w="350" w:type="dxa"/>
          </w:tcPr>
          <w:p>
            <w:pPr>
              <w:jc w:val="center"/>
              <w:rPr>
                <w:rFonts w:ascii="Arial" w:hAnsi="Arial" w:cs="Arial"/>
                <w:sz w:val="24"/>
                <w:szCs w:val="24"/>
                <w:lang w:eastAsia="en-PH"/>
              </w:rPr>
            </w:pPr>
          </w:p>
        </w:tc>
        <w:tc>
          <w:tcPr>
            <w:tcW w:w="350" w:type="dxa"/>
          </w:tcPr>
          <w:p>
            <w:pPr>
              <w:jc w:val="center"/>
              <w:rPr>
                <w:rFonts w:ascii="Arial" w:hAnsi="Arial" w:cs="Arial"/>
                <w:sz w:val="24"/>
                <w:szCs w:val="24"/>
                <w:lang w:eastAsia="en-PH"/>
              </w:rPr>
            </w:pPr>
          </w:p>
        </w:tc>
        <w:tc>
          <w:tcPr>
            <w:tcW w:w="350" w:type="dxa"/>
          </w:tcPr>
          <w:p>
            <w:pPr>
              <w:jc w:val="center"/>
              <w:rPr>
                <w:rFonts w:ascii="Arial" w:hAnsi="Arial" w:cs="Arial"/>
                <w:sz w:val="24"/>
                <w:szCs w:val="24"/>
                <w:lang w:eastAsia="en-PH"/>
              </w:rPr>
            </w:pPr>
          </w:p>
        </w:tc>
      </w:tr>
      <w:tr>
        <w:trPr>
          <w:trHeight w:val="241"/>
        </w:trPr>
        <w:tc>
          <w:tcPr>
            <w:tcW w:w="6596" w:type="dxa"/>
          </w:tcPr>
          <w:p>
            <w:pPr>
              <w:rPr>
                <w:rFonts w:ascii="Arial" w:hAnsi="Arial" w:cs="Arial"/>
                <w:sz w:val="24"/>
                <w:szCs w:val="24"/>
              </w:rPr>
            </w:pPr>
            <w:r>
              <w:rPr>
                <w:rFonts w:ascii="Arial" w:hAnsi="Arial" w:cs="Arial"/>
                <w:sz w:val="24"/>
                <w:szCs w:val="24"/>
              </w:rPr>
              <w:t>4. I modify future English lessons based on previous technology use.</w:t>
            </w:r>
          </w:p>
        </w:tc>
        <w:tc>
          <w:tcPr>
            <w:tcW w:w="418" w:type="dxa"/>
          </w:tcPr>
          <w:p>
            <w:pPr>
              <w:jc w:val="center"/>
              <w:rPr>
                <w:rFonts w:ascii="Arial" w:hAnsi="Arial" w:cs="Arial"/>
                <w:sz w:val="24"/>
                <w:szCs w:val="24"/>
                <w:lang w:eastAsia="en-PH"/>
              </w:rPr>
            </w:pPr>
          </w:p>
        </w:tc>
        <w:tc>
          <w:tcPr>
            <w:tcW w:w="351" w:type="dxa"/>
          </w:tcPr>
          <w:p>
            <w:pPr>
              <w:jc w:val="center"/>
              <w:rPr>
                <w:rFonts w:ascii="Arial" w:hAnsi="Arial" w:cs="Arial"/>
                <w:sz w:val="24"/>
                <w:szCs w:val="24"/>
                <w:lang w:eastAsia="en-PH"/>
              </w:rPr>
            </w:pPr>
          </w:p>
        </w:tc>
        <w:tc>
          <w:tcPr>
            <w:tcW w:w="350" w:type="dxa"/>
          </w:tcPr>
          <w:p>
            <w:pPr>
              <w:jc w:val="center"/>
              <w:rPr>
                <w:rFonts w:ascii="Arial" w:hAnsi="Arial" w:cs="Arial"/>
                <w:sz w:val="24"/>
                <w:szCs w:val="24"/>
                <w:lang w:eastAsia="en-PH"/>
              </w:rPr>
            </w:pPr>
          </w:p>
        </w:tc>
        <w:tc>
          <w:tcPr>
            <w:tcW w:w="350" w:type="dxa"/>
          </w:tcPr>
          <w:p>
            <w:pPr>
              <w:jc w:val="center"/>
              <w:rPr>
                <w:rFonts w:ascii="Arial" w:hAnsi="Arial" w:cs="Arial"/>
                <w:sz w:val="24"/>
                <w:szCs w:val="24"/>
                <w:lang w:eastAsia="en-PH"/>
              </w:rPr>
            </w:pPr>
          </w:p>
        </w:tc>
        <w:tc>
          <w:tcPr>
            <w:tcW w:w="350" w:type="dxa"/>
          </w:tcPr>
          <w:p>
            <w:pPr>
              <w:jc w:val="center"/>
              <w:rPr>
                <w:rFonts w:ascii="Arial" w:hAnsi="Arial" w:cs="Arial"/>
                <w:sz w:val="24"/>
                <w:szCs w:val="24"/>
                <w:lang w:eastAsia="en-PH"/>
              </w:rPr>
            </w:pPr>
          </w:p>
        </w:tc>
      </w:tr>
      <w:tr>
        <w:trPr>
          <w:trHeight w:val="245"/>
        </w:trPr>
        <w:tc>
          <w:tcPr>
            <w:tcW w:w="6596" w:type="dxa"/>
          </w:tcPr>
          <w:p>
            <w:pPr>
              <w:rPr>
                <w:rFonts w:ascii="Arial" w:hAnsi="Arial" w:cs="Arial"/>
                <w:sz w:val="24"/>
                <w:szCs w:val="24"/>
              </w:rPr>
            </w:pPr>
            <w:r>
              <w:rPr>
                <w:rFonts w:ascii="Arial" w:hAnsi="Arial" w:cs="Arial"/>
                <w:sz w:val="24"/>
                <w:szCs w:val="24"/>
              </w:rPr>
              <w:t>5. I continuously improve my technology integration practices in ELT.</w:t>
            </w:r>
          </w:p>
        </w:tc>
        <w:tc>
          <w:tcPr>
            <w:tcW w:w="418" w:type="dxa"/>
            <w:hideMark/>
          </w:tcPr>
          <w:p>
            <w:pPr>
              <w:jc w:val="center"/>
              <w:rPr>
                <w:rFonts w:ascii="Arial" w:hAnsi="Arial" w:cs="Arial"/>
                <w:sz w:val="24"/>
                <w:szCs w:val="24"/>
                <w:lang w:eastAsia="en-PH"/>
              </w:rPr>
            </w:pPr>
          </w:p>
        </w:tc>
        <w:tc>
          <w:tcPr>
            <w:tcW w:w="351" w:type="dxa"/>
            <w:hideMark/>
          </w:tcPr>
          <w:p>
            <w:pPr>
              <w:jc w:val="center"/>
              <w:rPr>
                <w:rFonts w:ascii="Arial" w:hAnsi="Arial" w:cs="Arial"/>
                <w:sz w:val="24"/>
                <w:szCs w:val="24"/>
                <w:lang w:eastAsia="en-PH"/>
              </w:rPr>
            </w:pPr>
          </w:p>
        </w:tc>
        <w:tc>
          <w:tcPr>
            <w:tcW w:w="350" w:type="dxa"/>
            <w:hideMark/>
          </w:tcPr>
          <w:p>
            <w:pPr>
              <w:jc w:val="center"/>
              <w:rPr>
                <w:rFonts w:ascii="Arial" w:hAnsi="Arial" w:cs="Arial"/>
                <w:sz w:val="24"/>
                <w:szCs w:val="24"/>
                <w:lang w:eastAsia="en-PH"/>
              </w:rPr>
            </w:pPr>
          </w:p>
        </w:tc>
        <w:tc>
          <w:tcPr>
            <w:tcW w:w="350" w:type="dxa"/>
            <w:hideMark/>
          </w:tcPr>
          <w:p>
            <w:pPr>
              <w:jc w:val="center"/>
              <w:rPr>
                <w:rFonts w:ascii="Arial" w:hAnsi="Arial" w:cs="Arial"/>
                <w:sz w:val="24"/>
                <w:szCs w:val="24"/>
                <w:lang w:eastAsia="en-PH"/>
              </w:rPr>
            </w:pPr>
          </w:p>
        </w:tc>
        <w:tc>
          <w:tcPr>
            <w:tcW w:w="350" w:type="dxa"/>
            <w:hideMark/>
          </w:tcPr>
          <w:p>
            <w:pPr>
              <w:jc w:val="center"/>
              <w:rPr>
                <w:rFonts w:ascii="Arial" w:hAnsi="Arial" w:cs="Arial"/>
                <w:sz w:val="24"/>
                <w:szCs w:val="24"/>
                <w:lang w:eastAsia="en-PH"/>
              </w:rPr>
            </w:pPr>
          </w:p>
        </w:tc>
      </w:tr>
    </w:tbl>
    <w:p>
      <w:pPr>
        <w:spacing w:before="100" w:beforeAutospacing="1" w:after="100" w:afterAutospacing="1" w:line="240" w:lineRule="auto"/>
        <w:jc w:val="both"/>
        <w:outlineLvl w:val="2"/>
        <w:rPr>
          <w:rFonts w:ascii="Arial" w:eastAsia="Times New Roman" w:hAnsi="Arial" w:cs="Arial"/>
          <w:b/>
          <w:bCs/>
          <w:lang w:eastAsia="en-PH"/>
        </w:rPr>
      </w:pPr>
      <w:r>
        <w:rPr>
          <w:rFonts w:ascii="Arial" w:eastAsia="Times New Roman" w:hAnsi="Arial" w:cs="Arial"/>
          <w:b/>
          <w:bCs/>
          <w:lang w:eastAsia="en-PH"/>
        </w:rPr>
        <w:t>Part II: TECHNOLOGY-SUPPORTED LEARNER ENGAGEMENT IN ENGLISH LESSONS (PICRAT – LEARNER DIMENSION)</w:t>
      </w:r>
    </w:p>
    <w:p>
      <w:pPr>
        <w:spacing w:before="100" w:beforeAutospacing="1" w:after="100" w:afterAutospacing="1" w:line="240" w:lineRule="auto"/>
        <w:jc w:val="both"/>
        <w:outlineLvl w:val="2"/>
        <w:rPr>
          <w:rFonts w:ascii="Arial" w:eastAsia="Times New Roman" w:hAnsi="Arial" w:cs="Arial"/>
          <w:lang w:eastAsia="en-PH"/>
        </w:rPr>
      </w:pPr>
      <w:r>
        <w:rPr>
          <w:rFonts w:ascii="Arial" w:eastAsia="Times New Roman" w:hAnsi="Arial" w:cs="Arial"/>
          <w:lang w:eastAsia="en-PH"/>
        </w:rPr>
        <w:t>Please rate the level of learner engagement you observe during technology-supported English lessons.</w:t>
      </w:r>
    </w:p>
    <w:p>
      <w:pPr>
        <w:spacing w:before="100" w:beforeAutospacing="1" w:after="100" w:afterAutospacing="1" w:line="240" w:lineRule="auto"/>
        <w:jc w:val="both"/>
        <w:outlineLvl w:val="2"/>
        <w:rPr>
          <w:rFonts w:ascii="Arial" w:eastAsia="Times New Roman" w:hAnsi="Arial" w:cs="Arial"/>
          <w:b/>
          <w:bCs/>
          <w:lang w:eastAsia="en-PH"/>
        </w:rPr>
      </w:pPr>
      <w:r>
        <w:rPr>
          <w:rFonts w:ascii="Arial" w:eastAsia="Times New Roman" w:hAnsi="Arial" w:cs="Arial"/>
          <w:lang w:eastAsia="en-PH"/>
        </w:rPr>
        <w:t>Legend (Level of Engagement)</w:t>
      </w:r>
    </w:p>
    <w:p>
      <w:pPr>
        <w:spacing w:after="0" w:line="240" w:lineRule="auto"/>
        <w:ind w:left="720" w:firstLine="720"/>
        <w:jc w:val="both"/>
        <w:rPr>
          <w:rFonts w:ascii="Arial" w:eastAsia="Times New Roman" w:hAnsi="Arial" w:cs="Arial"/>
          <w:lang w:eastAsia="en-PH"/>
        </w:rPr>
      </w:pPr>
      <w:r>
        <w:rPr>
          <w:rFonts w:ascii="Arial" w:eastAsia="Times New Roman" w:hAnsi="Arial" w:cs="Arial"/>
          <w:lang w:eastAsia="en-PH"/>
        </w:rPr>
        <w:t>5 – Highly Engaged</w:t>
      </w:r>
    </w:p>
    <w:p>
      <w:pPr>
        <w:spacing w:after="0" w:line="240" w:lineRule="auto"/>
        <w:ind w:left="720" w:firstLine="720"/>
        <w:jc w:val="both"/>
        <w:rPr>
          <w:rFonts w:ascii="Arial" w:eastAsia="Times New Roman" w:hAnsi="Arial" w:cs="Arial"/>
          <w:lang w:eastAsia="en-PH"/>
        </w:rPr>
      </w:pPr>
      <w:r>
        <w:rPr>
          <w:rFonts w:ascii="Arial" w:eastAsia="Times New Roman" w:hAnsi="Arial" w:cs="Arial"/>
          <w:lang w:eastAsia="en-PH"/>
        </w:rPr>
        <w:t>4 – Engaged</w:t>
      </w:r>
    </w:p>
    <w:p>
      <w:pPr>
        <w:spacing w:after="0" w:line="240" w:lineRule="auto"/>
        <w:ind w:left="720" w:firstLine="720"/>
        <w:jc w:val="both"/>
        <w:rPr>
          <w:rFonts w:ascii="Arial" w:eastAsia="Times New Roman" w:hAnsi="Arial" w:cs="Arial"/>
          <w:lang w:eastAsia="en-PH"/>
        </w:rPr>
      </w:pPr>
      <w:r>
        <w:rPr>
          <w:rFonts w:ascii="Arial" w:eastAsia="Times New Roman" w:hAnsi="Arial" w:cs="Arial"/>
          <w:lang w:eastAsia="en-PH"/>
        </w:rPr>
        <w:t>3 – Moderately Engaged</w:t>
      </w:r>
    </w:p>
    <w:p>
      <w:pPr>
        <w:spacing w:after="0" w:line="240" w:lineRule="auto"/>
        <w:ind w:left="720" w:firstLine="720"/>
        <w:jc w:val="both"/>
        <w:rPr>
          <w:rFonts w:ascii="Arial" w:eastAsia="Times New Roman" w:hAnsi="Arial" w:cs="Arial"/>
          <w:lang w:eastAsia="en-PH"/>
        </w:rPr>
      </w:pPr>
      <w:r>
        <w:rPr>
          <w:rFonts w:ascii="Arial" w:eastAsia="Times New Roman" w:hAnsi="Arial" w:cs="Arial"/>
          <w:lang w:eastAsia="en-PH"/>
        </w:rPr>
        <w:t>2 – Slightly Engaged</w:t>
      </w:r>
    </w:p>
    <w:p>
      <w:pPr>
        <w:spacing w:after="0" w:line="240" w:lineRule="auto"/>
        <w:ind w:left="720" w:firstLine="720"/>
        <w:jc w:val="both"/>
        <w:rPr>
          <w:rFonts w:ascii="Arial" w:eastAsia="Times New Roman" w:hAnsi="Arial" w:cs="Arial"/>
          <w:lang w:eastAsia="en-PH"/>
        </w:rPr>
      </w:pPr>
      <w:r>
        <w:rPr>
          <w:rFonts w:ascii="Arial" w:eastAsia="Times New Roman" w:hAnsi="Arial" w:cs="Arial"/>
          <w:lang w:eastAsia="en-PH"/>
        </w:rPr>
        <w:t>1 – Not Engaged</w:t>
      </w:r>
    </w:p>
    <w:p>
      <w:pPr>
        <w:spacing w:after="0" w:line="240" w:lineRule="auto"/>
        <w:ind w:left="720" w:firstLine="720"/>
        <w:jc w:val="both"/>
        <w:rPr>
          <w:rFonts w:ascii="Arial" w:eastAsia="Times New Roman" w:hAnsi="Arial" w:cs="Arial"/>
          <w:lang w:eastAsia="en-PH"/>
        </w:rPr>
      </w:pPr>
    </w:p>
    <w:tbl>
      <w:tblPr>
        <w:tblStyle w:val="TableGrid"/>
        <w:tblW w:w="5049" w:type="pct"/>
        <w:tblLayout w:type="fixed"/>
        <w:tblLook w:val="04A0" w:firstRow="1" w:lastRow="0" w:firstColumn="1" w:lastColumn="0" w:noHBand="0" w:noVBand="1"/>
      </w:tblPr>
      <w:tblGrid>
        <w:gridCol w:w="6988"/>
        <w:gridCol w:w="363"/>
        <w:gridCol w:w="382"/>
        <w:gridCol w:w="389"/>
        <w:gridCol w:w="298"/>
        <w:gridCol w:w="295"/>
      </w:tblGrid>
      <w:tr>
        <w:trPr>
          <w:trHeight w:val="395"/>
        </w:trPr>
        <w:tc>
          <w:tcPr>
            <w:tcW w:w="4010" w:type="pct"/>
            <w:hideMark/>
          </w:tcPr>
          <w:p>
            <w:pPr>
              <w:jc w:val="both"/>
              <w:rPr>
                <w:rFonts w:ascii="Arial" w:hAnsi="Arial" w:cs="Arial"/>
                <w:b/>
                <w:bCs/>
                <w:i/>
                <w:iCs/>
                <w:sz w:val="24"/>
                <w:szCs w:val="24"/>
                <w:lang w:eastAsia="en-PH"/>
              </w:rPr>
            </w:pPr>
            <w:r>
              <w:rPr>
                <w:rFonts w:ascii="Arial" w:hAnsi="Arial" w:cs="Arial"/>
                <w:b/>
                <w:bCs/>
                <w:i/>
                <w:iCs/>
                <w:sz w:val="24"/>
                <w:szCs w:val="24"/>
                <w:lang w:eastAsia="en-PH"/>
              </w:rPr>
              <w:t>A. Passive Engagement</w:t>
            </w:r>
          </w:p>
        </w:tc>
        <w:tc>
          <w:tcPr>
            <w:tcW w:w="208" w:type="pct"/>
          </w:tcPr>
          <w:p>
            <w:pPr>
              <w:jc w:val="both"/>
              <w:rPr>
                <w:rFonts w:ascii="Arial" w:hAnsi="Arial" w:cs="Arial"/>
                <w:b/>
                <w:bCs/>
                <w:sz w:val="24"/>
                <w:szCs w:val="24"/>
                <w:lang w:eastAsia="en-PH"/>
              </w:rPr>
            </w:pPr>
            <w:r>
              <w:rPr>
                <w:rFonts w:ascii="Arial" w:hAnsi="Arial" w:cs="Arial"/>
                <w:b/>
                <w:bCs/>
                <w:sz w:val="24"/>
                <w:szCs w:val="24"/>
                <w:lang w:eastAsia="en-PH"/>
              </w:rPr>
              <w:t>1</w:t>
            </w:r>
          </w:p>
        </w:tc>
        <w:tc>
          <w:tcPr>
            <w:tcW w:w="219" w:type="pct"/>
          </w:tcPr>
          <w:p>
            <w:pPr>
              <w:jc w:val="both"/>
              <w:rPr>
                <w:rFonts w:ascii="Arial" w:hAnsi="Arial" w:cs="Arial"/>
                <w:b/>
                <w:bCs/>
                <w:sz w:val="24"/>
                <w:szCs w:val="24"/>
                <w:lang w:eastAsia="en-PH"/>
              </w:rPr>
            </w:pPr>
            <w:r>
              <w:rPr>
                <w:rFonts w:ascii="Arial" w:hAnsi="Arial" w:cs="Arial"/>
                <w:b/>
                <w:bCs/>
                <w:sz w:val="24"/>
                <w:szCs w:val="24"/>
                <w:lang w:eastAsia="en-PH"/>
              </w:rPr>
              <w:t>2</w:t>
            </w:r>
          </w:p>
        </w:tc>
        <w:tc>
          <w:tcPr>
            <w:tcW w:w="223" w:type="pct"/>
          </w:tcPr>
          <w:p>
            <w:pPr>
              <w:jc w:val="both"/>
              <w:rPr>
                <w:rFonts w:ascii="Arial" w:hAnsi="Arial" w:cs="Arial"/>
                <w:b/>
                <w:bCs/>
                <w:sz w:val="24"/>
                <w:szCs w:val="24"/>
                <w:lang w:eastAsia="en-PH"/>
              </w:rPr>
            </w:pPr>
            <w:r>
              <w:rPr>
                <w:rFonts w:ascii="Arial" w:hAnsi="Arial" w:cs="Arial"/>
                <w:b/>
                <w:bCs/>
                <w:sz w:val="24"/>
                <w:szCs w:val="24"/>
                <w:lang w:eastAsia="en-PH"/>
              </w:rPr>
              <w:t>3</w:t>
            </w:r>
          </w:p>
        </w:tc>
        <w:tc>
          <w:tcPr>
            <w:tcW w:w="171" w:type="pct"/>
          </w:tcPr>
          <w:p>
            <w:pPr>
              <w:jc w:val="both"/>
              <w:rPr>
                <w:rFonts w:ascii="Arial" w:hAnsi="Arial" w:cs="Arial"/>
                <w:b/>
                <w:bCs/>
                <w:sz w:val="24"/>
                <w:szCs w:val="24"/>
                <w:lang w:eastAsia="en-PH"/>
              </w:rPr>
            </w:pPr>
            <w:r>
              <w:rPr>
                <w:rFonts w:ascii="Arial" w:hAnsi="Arial" w:cs="Arial"/>
                <w:b/>
                <w:bCs/>
                <w:sz w:val="24"/>
                <w:szCs w:val="24"/>
                <w:lang w:eastAsia="en-PH"/>
              </w:rPr>
              <w:t>4</w:t>
            </w:r>
          </w:p>
        </w:tc>
        <w:tc>
          <w:tcPr>
            <w:tcW w:w="169" w:type="pct"/>
          </w:tcPr>
          <w:p>
            <w:pPr>
              <w:jc w:val="both"/>
              <w:rPr>
                <w:rFonts w:ascii="Arial" w:hAnsi="Arial" w:cs="Arial"/>
                <w:b/>
                <w:bCs/>
                <w:sz w:val="24"/>
                <w:szCs w:val="24"/>
                <w:lang w:eastAsia="en-PH"/>
              </w:rPr>
            </w:pPr>
            <w:r>
              <w:rPr>
                <w:rFonts w:ascii="Arial" w:hAnsi="Arial" w:cs="Arial"/>
                <w:b/>
                <w:bCs/>
                <w:sz w:val="24"/>
                <w:szCs w:val="24"/>
                <w:lang w:eastAsia="en-PH"/>
              </w:rPr>
              <w:t>5</w:t>
            </w:r>
          </w:p>
        </w:tc>
      </w:tr>
      <w:tr>
        <w:trPr>
          <w:trHeight w:val="476"/>
        </w:trPr>
        <w:tc>
          <w:tcPr>
            <w:tcW w:w="4010" w:type="pct"/>
            <w:hideMark/>
          </w:tcPr>
          <w:p>
            <w:pPr>
              <w:rPr>
                <w:rFonts w:ascii="Arial" w:hAnsi="Arial" w:cs="Arial"/>
                <w:sz w:val="24"/>
                <w:szCs w:val="24"/>
              </w:rPr>
            </w:pPr>
            <w:r>
              <w:rPr>
                <w:rFonts w:ascii="Arial" w:hAnsi="Arial" w:cs="Arial"/>
                <w:sz w:val="24"/>
                <w:szCs w:val="24"/>
              </w:rPr>
              <w:t>1. Learners watch English instructional videos during lessons.</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280"/>
        </w:trPr>
        <w:tc>
          <w:tcPr>
            <w:tcW w:w="4010" w:type="pct"/>
            <w:hideMark/>
          </w:tcPr>
          <w:p>
            <w:pPr>
              <w:rPr>
                <w:rFonts w:ascii="Arial" w:hAnsi="Arial" w:cs="Arial"/>
                <w:sz w:val="24"/>
                <w:szCs w:val="24"/>
              </w:rPr>
            </w:pPr>
            <w:r>
              <w:rPr>
                <w:rFonts w:ascii="Arial" w:hAnsi="Arial" w:cs="Arial"/>
                <w:sz w:val="24"/>
                <w:szCs w:val="24"/>
              </w:rPr>
              <w:t>2.  Learners read English texts displayed on digital screens.</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128"/>
        </w:trPr>
        <w:tc>
          <w:tcPr>
            <w:tcW w:w="4010" w:type="pct"/>
          </w:tcPr>
          <w:p>
            <w:pPr>
              <w:rPr>
                <w:rFonts w:ascii="Arial" w:hAnsi="Arial" w:cs="Arial"/>
                <w:sz w:val="24"/>
                <w:szCs w:val="24"/>
              </w:rPr>
            </w:pPr>
            <w:r>
              <w:rPr>
                <w:rFonts w:ascii="Arial" w:hAnsi="Arial" w:cs="Arial"/>
                <w:sz w:val="24"/>
                <w:szCs w:val="24"/>
              </w:rPr>
              <w:t>3.  Learners listen to recorded English audio materials.</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rPr>
          <w:trHeight w:val="132"/>
        </w:trPr>
        <w:tc>
          <w:tcPr>
            <w:tcW w:w="4010" w:type="pct"/>
          </w:tcPr>
          <w:p>
            <w:pPr>
              <w:rPr>
                <w:rFonts w:ascii="Arial" w:hAnsi="Arial" w:cs="Arial"/>
                <w:sz w:val="24"/>
                <w:szCs w:val="24"/>
              </w:rPr>
            </w:pPr>
            <w:r>
              <w:rPr>
                <w:rFonts w:ascii="Arial" w:hAnsi="Arial" w:cs="Arial"/>
                <w:sz w:val="24"/>
                <w:szCs w:val="24"/>
              </w:rPr>
              <w:t>4.  Learners receive English information using digital tools.</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rPr>
          <w:trHeight w:val="58"/>
        </w:trPr>
        <w:tc>
          <w:tcPr>
            <w:tcW w:w="4010" w:type="pct"/>
          </w:tcPr>
          <w:p>
            <w:pPr>
              <w:rPr>
                <w:rFonts w:ascii="Arial" w:hAnsi="Arial" w:cs="Arial"/>
                <w:sz w:val="24"/>
                <w:szCs w:val="24"/>
              </w:rPr>
            </w:pPr>
            <w:r>
              <w:rPr>
                <w:rFonts w:ascii="Arial" w:hAnsi="Arial" w:cs="Arial"/>
                <w:sz w:val="24"/>
                <w:szCs w:val="24"/>
              </w:rPr>
              <w:t>5.  Learners primarily observe during technology-supported English lessons.</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rPr>
          <w:trHeight w:val="262"/>
        </w:trPr>
        <w:tc>
          <w:tcPr>
            <w:tcW w:w="4010" w:type="pct"/>
            <w:hideMark/>
          </w:tcPr>
          <w:p>
            <w:pPr>
              <w:jc w:val="both"/>
              <w:rPr>
                <w:rFonts w:ascii="Arial" w:hAnsi="Arial" w:cs="Arial"/>
                <w:b/>
                <w:bCs/>
                <w:i/>
                <w:iCs/>
                <w:sz w:val="24"/>
                <w:szCs w:val="24"/>
                <w:lang w:eastAsia="en-PH"/>
              </w:rPr>
            </w:pPr>
            <w:r>
              <w:rPr>
                <w:rFonts w:ascii="Arial" w:hAnsi="Arial" w:cs="Arial"/>
                <w:b/>
                <w:bCs/>
                <w:i/>
                <w:iCs/>
                <w:sz w:val="24"/>
                <w:szCs w:val="24"/>
                <w:lang w:eastAsia="en-PH"/>
              </w:rPr>
              <w:t>B. Interactive Engagement</w:t>
            </w:r>
          </w:p>
        </w:tc>
        <w:tc>
          <w:tcPr>
            <w:tcW w:w="208" w:type="pct"/>
          </w:tcPr>
          <w:p>
            <w:pPr>
              <w:jc w:val="both"/>
              <w:rPr>
                <w:rFonts w:ascii="Arial" w:hAnsi="Arial" w:cs="Arial"/>
                <w:b/>
                <w:bCs/>
                <w:sz w:val="24"/>
                <w:szCs w:val="24"/>
                <w:lang w:eastAsia="en-PH"/>
              </w:rPr>
            </w:pPr>
            <w:r>
              <w:rPr>
                <w:rFonts w:ascii="Arial" w:hAnsi="Arial" w:cs="Arial"/>
                <w:b/>
                <w:bCs/>
                <w:sz w:val="24"/>
                <w:szCs w:val="24"/>
                <w:lang w:eastAsia="en-PH"/>
              </w:rPr>
              <w:t>1</w:t>
            </w:r>
          </w:p>
        </w:tc>
        <w:tc>
          <w:tcPr>
            <w:tcW w:w="219" w:type="pct"/>
          </w:tcPr>
          <w:p>
            <w:pPr>
              <w:jc w:val="both"/>
              <w:rPr>
                <w:rFonts w:ascii="Arial" w:hAnsi="Arial" w:cs="Arial"/>
                <w:b/>
                <w:bCs/>
                <w:sz w:val="24"/>
                <w:szCs w:val="24"/>
                <w:lang w:eastAsia="en-PH"/>
              </w:rPr>
            </w:pPr>
            <w:r>
              <w:rPr>
                <w:rFonts w:ascii="Arial" w:hAnsi="Arial" w:cs="Arial"/>
                <w:b/>
                <w:bCs/>
                <w:sz w:val="24"/>
                <w:szCs w:val="24"/>
                <w:lang w:eastAsia="en-PH"/>
              </w:rPr>
              <w:t>2</w:t>
            </w:r>
          </w:p>
        </w:tc>
        <w:tc>
          <w:tcPr>
            <w:tcW w:w="223" w:type="pct"/>
          </w:tcPr>
          <w:p>
            <w:pPr>
              <w:jc w:val="both"/>
              <w:rPr>
                <w:rFonts w:ascii="Arial" w:hAnsi="Arial" w:cs="Arial"/>
                <w:b/>
                <w:bCs/>
                <w:sz w:val="24"/>
                <w:szCs w:val="24"/>
                <w:lang w:eastAsia="en-PH"/>
              </w:rPr>
            </w:pPr>
            <w:r>
              <w:rPr>
                <w:rFonts w:ascii="Arial" w:hAnsi="Arial" w:cs="Arial"/>
                <w:b/>
                <w:bCs/>
                <w:sz w:val="24"/>
                <w:szCs w:val="24"/>
                <w:lang w:eastAsia="en-PH"/>
              </w:rPr>
              <w:t>3</w:t>
            </w:r>
          </w:p>
        </w:tc>
        <w:tc>
          <w:tcPr>
            <w:tcW w:w="171" w:type="pct"/>
          </w:tcPr>
          <w:p>
            <w:pPr>
              <w:jc w:val="both"/>
              <w:rPr>
                <w:rFonts w:ascii="Arial" w:hAnsi="Arial" w:cs="Arial"/>
                <w:b/>
                <w:bCs/>
                <w:sz w:val="24"/>
                <w:szCs w:val="24"/>
                <w:lang w:eastAsia="en-PH"/>
              </w:rPr>
            </w:pPr>
            <w:r>
              <w:rPr>
                <w:rFonts w:ascii="Arial" w:hAnsi="Arial" w:cs="Arial"/>
                <w:b/>
                <w:bCs/>
                <w:sz w:val="24"/>
                <w:szCs w:val="24"/>
                <w:lang w:eastAsia="en-PH"/>
              </w:rPr>
              <w:t>4</w:t>
            </w:r>
          </w:p>
        </w:tc>
        <w:tc>
          <w:tcPr>
            <w:tcW w:w="169" w:type="pct"/>
          </w:tcPr>
          <w:p>
            <w:pPr>
              <w:jc w:val="both"/>
              <w:rPr>
                <w:rFonts w:ascii="Arial" w:hAnsi="Arial" w:cs="Arial"/>
                <w:b/>
                <w:bCs/>
                <w:sz w:val="24"/>
                <w:szCs w:val="24"/>
                <w:lang w:eastAsia="en-PH"/>
              </w:rPr>
            </w:pPr>
            <w:r>
              <w:rPr>
                <w:rFonts w:ascii="Arial" w:hAnsi="Arial" w:cs="Arial"/>
                <w:b/>
                <w:bCs/>
                <w:sz w:val="24"/>
                <w:szCs w:val="24"/>
                <w:lang w:eastAsia="en-PH"/>
              </w:rPr>
              <w:t>5</w:t>
            </w:r>
          </w:p>
        </w:tc>
      </w:tr>
      <w:tr>
        <w:trPr>
          <w:trHeight w:val="262"/>
        </w:trPr>
        <w:tc>
          <w:tcPr>
            <w:tcW w:w="4010" w:type="pct"/>
            <w:hideMark/>
          </w:tcPr>
          <w:p>
            <w:pPr>
              <w:rPr>
                <w:rFonts w:ascii="Arial" w:hAnsi="Arial" w:cs="Arial"/>
                <w:sz w:val="24"/>
                <w:szCs w:val="24"/>
              </w:rPr>
            </w:pPr>
            <w:r>
              <w:rPr>
                <w:rFonts w:ascii="Arial" w:hAnsi="Arial" w:cs="Arial"/>
                <w:sz w:val="24"/>
                <w:szCs w:val="24"/>
              </w:rPr>
              <w:t>1. Learners answer English questions using digital tools.</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262"/>
        </w:trPr>
        <w:tc>
          <w:tcPr>
            <w:tcW w:w="4010" w:type="pct"/>
            <w:hideMark/>
          </w:tcPr>
          <w:p>
            <w:pPr>
              <w:rPr>
                <w:rFonts w:ascii="Arial" w:hAnsi="Arial" w:cs="Arial"/>
                <w:sz w:val="24"/>
                <w:szCs w:val="24"/>
              </w:rPr>
            </w:pPr>
            <w:r>
              <w:rPr>
                <w:rFonts w:ascii="Arial" w:hAnsi="Arial" w:cs="Arial"/>
                <w:sz w:val="24"/>
                <w:szCs w:val="24"/>
              </w:rPr>
              <w:t>2. Learners respond to teacher prompts through technology.</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282"/>
        </w:trPr>
        <w:tc>
          <w:tcPr>
            <w:tcW w:w="4010" w:type="pct"/>
            <w:hideMark/>
          </w:tcPr>
          <w:p>
            <w:pPr>
              <w:rPr>
                <w:rFonts w:ascii="Arial" w:hAnsi="Arial" w:cs="Arial"/>
                <w:sz w:val="24"/>
                <w:szCs w:val="24"/>
              </w:rPr>
            </w:pPr>
            <w:r>
              <w:rPr>
                <w:rFonts w:ascii="Arial" w:hAnsi="Arial" w:cs="Arial"/>
                <w:sz w:val="24"/>
                <w:szCs w:val="24"/>
              </w:rPr>
              <w:t>3. Learners practice English skills using educational applications.</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262"/>
        </w:trPr>
        <w:tc>
          <w:tcPr>
            <w:tcW w:w="4010" w:type="pct"/>
          </w:tcPr>
          <w:p>
            <w:pPr>
              <w:rPr>
                <w:rFonts w:ascii="Arial" w:hAnsi="Arial" w:cs="Arial"/>
                <w:sz w:val="24"/>
                <w:szCs w:val="24"/>
              </w:rPr>
            </w:pPr>
            <w:r>
              <w:rPr>
                <w:rFonts w:ascii="Arial" w:hAnsi="Arial" w:cs="Arial"/>
                <w:sz w:val="24"/>
                <w:szCs w:val="24"/>
              </w:rPr>
              <w:t>4. Learners interact with digital content to check understanding.</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rPr>
          <w:trHeight w:val="262"/>
        </w:trPr>
        <w:tc>
          <w:tcPr>
            <w:tcW w:w="4010" w:type="pct"/>
          </w:tcPr>
          <w:p>
            <w:pPr>
              <w:rPr>
                <w:rFonts w:ascii="Arial" w:hAnsi="Arial" w:cs="Arial"/>
                <w:sz w:val="24"/>
                <w:szCs w:val="24"/>
              </w:rPr>
            </w:pPr>
            <w:r>
              <w:rPr>
                <w:rFonts w:ascii="Arial" w:hAnsi="Arial" w:cs="Arial"/>
                <w:sz w:val="24"/>
                <w:szCs w:val="24"/>
              </w:rPr>
              <w:t>5. Learners participate in technology-supported English activities.</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rPr>
          <w:trHeight w:val="282"/>
        </w:trPr>
        <w:tc>
          <w:tcPr>
            <w:tcW w:w="4010" w:type="pct"/>
            <w:hideMark/>
          </w:tcPr>
          <w:p>
            <w:pPr>
              <w:jc w:val="both"/>
              <w:rPr>
                <w:rFonts w:ascii="Arial" w:hAnsi="Arial" w:cs="Arial"/>
                <w:b/>
                <w:bCs/>
                <w:i/>
                <w:iCs/>
                <w:sz w:val="24"/>
                <w:szCs w:val="24"/>
                <w:lang w:eastAsia="en-PH"/>
              </w:rPr>
            </w:pPr>
            <w:r>
              <w:rPr>
                <w:rFonts w:ascii="Arial" w:hAnsi="Arial" w:cs="Arial"/>
                <w:b/>
                <w:bCs/>
                <w:i/>
                <w:iCs/>
                <w:sz w:val="24"/>
                <w:szCs w:val="24"/>
                <w:lang w:eastAsia="en-PH"/>
              </w:rPr>
              <w:lastRenderedPageBreak/>
              <w:t>C. Collaborative Engagement</w:t>
            </w:r>
          </w:p>
        </w:tc>
        <w:tc>
          <w:tcPr>
            <w:tcW w:w="208" w:type="pct"/>
          </w:tcPr>
          <w:p>
            <w:pPr>
              <w:jc w:val="both"/>
              <w:rPr>
                <w:rFonts w:ascii="Arial" w:hAnsi="Arial" w:cs="Arial"/>
                <w:b/>
                <w:bCs/>
                <w:sz w:val="24"/>
                <w:szCs w:val="24"/>
                <w:lang w:eastAsia="en-PH"/>
              </w:rPr>
            </w:pPr>
            <w:r>
              <w:rPr>
                <w:rFonts w:ascii="Arial" w:hAnsi="Arial" w:cs="Arial"/>
                <w:b/>
                <w:bCs/>
                <w:sz w:val="24"/>
                <w:szCs w:val="24"/>
                <w:lang w:eastAsia="en-PH"/>
              </w:rPr>
              <w:t>1</w:t>
            </w:r>
          </w:p>
        </w:tc>
        <w:tc>
          <w:tcPr>
            <w:tcW w:w="219" w:type="pct"/>
          </w:tcPr>
          <w:p>
            <w:pPr>
              <w:jc w:val="both"/>
              <w:rPr>
                <w:rFonts w:ascii="Arial" w:hAnsi="Arial" w:cs="Arial"/>
                <w:b/>
                <w:bCs/>
                <w:sz w:val="24"/>
                <w:szCs w:val="24"/>
                <w:lang w:eastAsia="en-PH"/>
              </w:rPr>
            </w:pPr>
            <w:r>
              <w:rPr>
                <w:rFonts w:ascii="Arial" w:hAnsi="Arial" w:cs="Arial"/>
                <w:b/>
                <w:bCs/>
                <w:sz w:val="24"/>
                <w:szCs w:val="24"/>
                <w:lang w:eastAsia="en-PH"/>
              </w:rPr>
              <w:t>2</w:t>
            </w:r>
          </w:p>
        </w:tc>
        <w:tc>
          <w:tcPr>
            <w:tcW w:w="223" w:type="pct"/>
          </w:tcPr>
          <w:p>
            <w:pPr>
              <w:jc w:val="both"/>
              <w:rPr>
                <w:rFonts w:ascii="Arial" w:hAnsi="Arial" w:cs="Arial"/>
                <w:b/>
                <w:bCs/>
                <w:sz w:val="24"/>
                <w:szCs w:val="24"/>
                <w:lang w:eastAsia="en-PH"/>
              </w:rPr>
            </w:pPr>
            <w:r>
              <w:rPr>
                <w:rFonts w:ascii="Arial" w:hAnsi="Arial" w:cs="Arial"/>
                <w:b/>
                <w:bCs/>
                <w:sz w:val="24"/>
                <w:szCs w:val="24"/>
                <w:lang w:eastAsia="en-PH"/>
              </w:rPr>
              <w:t>3</w:t>
            </w:r>
          </w:p>
        </w:tc>
        <w:tc>
          <w:tcPr>
            <w:tcW w:w="171" w:type="pct"/>
          </w:tcPr>
          <w:p>
            <w:pPr>
              <w:jc w:val="both"/>
              <w:rPr>
                <w:rFonts w:ascii="Arial" w:hAnsi="Arial" w:cs="Arial"/>
                <w:b/>
                <w:bCs/>
                <w:sz w:val="24"/>
                <w:szCs w:val="24"/>
                <w:lang w:eastAsia="en-PH"/>
              </w:rPr>
            </w:pPr>
            <w:r>
              <w:rPr>
                <w:rFonts w:ascii="Arial" w:hAnsi="Arial" w:cs="Arial"/>
                <w:b/>
                <w:bCs/>
                <w:sz w:val="24"/>
                <w:szCs w:val="24"/>
                <w:lang w:eastAsia="en-PH"/>
              </w:rPr>
              <w:t>4</w:t>
            </w:r>
          </w:p>
        </w:tc>
        <w:tc>
          <w:tcPr>
            <w:tcW w:w="169" w:type="pct"/>
          </w:tcPr>
          <w:p>
            <w:pPr>
              <w:jc w:val="both"/>
              <w:rPr>
                <w:rFonts w:ascii="Arial" w:hAnsi="Arial" w:cs="Arial"/>
                <w:b/>
                <w:bCs/>
                <w:sz w:val="24"/>
                <w:szCs w:val="24"/>
                <w:lang w:eastAsia="en-PH"/>
              </w:rPr>
            </w:pPr>
            <w:r>
              <w:rPr>
                <w:rFonts w:ascii="Arial" w:hAnsi="Arial" w:cs="Arial"/>
                <w:b/>
                <w:bCs/>
                <w:sz w:val="24"/>
                <w:szCs w:val="24"/>
                <w:lang w:eastAsia="en-PH"/>
              </w:rPr>
              <w:t>5</w:t>
            </w:r>
          </w:p>
        </w:tc>
      </w:tr>
      <w:tr>
        <w:trPr>
          <w:trHeight w:val="262"/>
        </w:trPr>
        <w:tc>
          <w:tcPr>
            <w:tcW w:w="4010" w:type="pct"/>
            <w:hideMark/>
          </w:tcPr>
          <w:p>
            <w:pPr>
              <w:rPr>
                <w:rFonts w:ascii="Arial" w:hAnsi="Arial" w:cs="Arial"/>
                <w:sz w:val="24"/>
                <w:szCs w:val="24"/>
              </w:rPr>
            </w:pPr>
            <w:r>
              <w:rPr>
                <w:rFonts w:ascii="Arial" w:hAnsi="Arial" w:cs="Arial"/>
                <w:sz w:val="24"/>
                <w:szCs w:val="24"/>
              </w:rPr>
              <w:t>1. Learners work with peers on English tasks using technology.</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262"/>
        </w:trPr>
        <w:tc>
          <w:tcPr>
            <w:tcW w:w="4010" w:type="pct"/>
            <w:hideMark/>
          </w:tcPr>
          <w:p>
            <w:pPr>
              <w:rPr>
                <w:rFonts w:ascii="Arial" w:hAnsi="Arial" w:cs="Arial"/>
                <w:sz w:val="24"/>
                <w:szCs w:val="24"/>
              </w:rPr>
            </w:pPr>
            <w:r>
              <w:rPr>
                <w:rFonts w:ascii="Arial" w:hAnsi="Arial" w:cs="Arial"/>
                <w:sz w:val="24"/>
                <w:szCs w:val="24"/>
              </w:rPr>
              <w:t>2. Learners collaborate on shared digital English activities.</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282"/>
        </w:trPr>
        <w:tc>
          <w:tcPr>
            <w:tcW w:w="4010" w:type="pct"/>
            <w:hideMark/>
          </w:tcPr>
          <w:p>
            <w:pPr>
              <w:rPr>
                <w:rFonts w:ascii="Arial" w:hAnsi="Arial" w:cs="Arial"/>
                <w:sz w:val="24"/>
                <w:szCs w:val="24"/>
              </w:rPr>
            </w:pPr>
            <w:r>
              <w:rPr>
                <w:rFonts w:ascii="Arial" w:hAnsi="Arial" w:cs="Arial"/>
                <w:sz w:val="24"/>
                <w:szCs w:val="24"/>
              </w:rPr>
              <w:t>3. Learners exchange ideas in English using digital platforms.</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544"/>
        </w:trPr>
        <w:tc>
          <w:tcPr>
            <w:tcW w:w="4010" w:type="pct"/>
          </w:tcPr>
          <w:p>
            <w:pPr>
              <w:rPr>
                <w:rFonts w:ascii="Arial" w:hAnsi="Arial" w:cs="Arial"/>
                <w:sz w:val="24"/>
                <w:szCs w:val="24"/>
              </w:rPr>
            </w:pPr>
            <w:r>
              <w:rPr>
                <w:rFonts w:ascii="Arial" w:hAnsi="Arial" w:cs="Arial"/>
                <w:sz w:val="24"/>
                <w:szCs w:val="24"/>
              </w:rPr>
              <w:t xml:space="preserve">4. Learners provide peer feedback on English tasks through </w:t>
            </w:r>
          </w:p>
          <w:p>
            <w:pPr>
              <w:rPr>
                <w:rFonts w:ascii="Arial" w:hAnsi="Arial" w:cs="Arial"/>
                <w:sz w:val="24"/>
                <w:szCs w:val="24"/>
              </w:rPr>
            </w:pPr>
            <w:r>
              <w:rPr>
                <w:rFonts w:ascii="Arial" w:hAnsi="Arial" w:cs="Arial"/>
                <w:sz w:val="24"/>
                <w:szCs w:val="24"/>
              </w:rPr>
              <w:t xml:space="preserve">    technology.</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rPr>
          <w:trHeight w:val="544"/>
        </w:trPr>
        <w:tc>
          <w:tcPr>
            <w:tcW w:w="4010" w:type="pct"/>
          </w:tcPr>
          <w:p>
            <w:pPr>
              <w:rPr>
                <w:rFonts w:ascii="Arial" w:hAnsi="Arial" w:cs="Arial"/>
                <w:sz w:val="24"/>
                <w:szCs w:val="24"/>
              </w:rPr>
            </w:pPr>
            <w:r>
              <w:rPr>
                <w:rFonts w:ascii="Arial" w:hAnsi="Arial" w:cs="Arial"/>
                <w:sz w:val="24"/>
                <w:szCs w:val="24"/>
              </w:rPr>
              <w:t xml:space="preserve">5. Learners cooperate during technology-supported English group </w:t>
            </w:r>
          </w:p>
          <w:p>
            <w:pPr>
              <w:rPr>
                <w:rFonts w:ascii="Arial" w:hAnsi="Arial" w:cs="Arial"/>
                <w:sz w:val="24"/>
                <w:szCs w:val="24"/>
              </w:rPr>
            </w:pPr>
            <w:r>
              <w:rPr>
                <w:rFonts w:ascii="Arial" w:hAnsi="Arial" w:cs="Arial"/>
                <w:sz w:val="24"/>
                <w:szCs w:val="24"/>
              </w:rPr>
              <w:t xml:space="preserve">    work.</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rPr>
          <w:trHeight w:val="312"/>
        </w:trPr>
        <w:tc>
          <w:tcPr>
            <w:tcW w:w="4010" w:type="pct"/>
            <w:hideMark/>
          </w:tcPr>
          <w:p>
            <w:pPr>
              <w:jc w:val="both"/>
              <w:rPr>
                <w:rFonts w:ascii="Arial" w:hAnsi="Arial" w:cs="Arial"/>
                <w:b/>
                <w:bCs/>
                <w:i/>
                <w:sz w:val="24"/>
                <w:szCs w:val="24"/>
                <w:lang w:eastAsia="en-PH"/>
              </w:rPr>
            </w:pPr>
            <w:r>
              <w:rPr>
                <w:rFonts w:ascii="Arial" w:hAnsi="Arial" w:cs="Arial"/>
                <w:b/>
                <w:bCs/>
                <w:i/>
                <w:sz w:val="24"/>
                <w:szCs w:val="24"/>
                <w:lang w:eastAsia="en-PH"/>
              </w:rPr>
              <w:t>D. Creative Engagement</w:t>
            </w:r>
          </w:p>
        </w:tc>
        <w:tc>
          <w:tcPr>
            <w:tcW w:w="208" w:type="pct"/>
          </w:tcPr>
          <w:p>
            <w:pPr>
              <w:jc w:val="both"/>
              <w:rPr>
                <w:rFonts w:ascii="Arial" w:hAnsi="Arial" w:cs="Arial"/>
                <w:b/>
                <w:bCs/>
                <w:sz w:val="24"/>
                <w:szCs w:val="24"/>
                <w:lang w:eastAsia="en-PH"/>
              </w:rPr>
            </w:pPr>
            <w:r>
              <w:rPr>
                <w:rFonts w:ascii="Arial" w:hAnsi="Arial" w:cs="Arial"/>
                <w:b/>
                <w:bCs/>
                <w:sz w:val="24"/>
                <w:szCs w:val="24"/>
                <w:lang w:eastAsia="en-PH"/>
              </w:rPr>
              <w:t>1</w:t>
            </w:r>
          </w:p>
        </w:tc>
        <w:tc>
          <w:tcPr>
            <w:tcW w:w="219" w:type="pct"/>
          </w:tcPr>
          <w:p>
            <w:pPr>
              <w:jc w:val="both"/>
              <w:rPr>
                <w:rFonts w:ascii="Arial" w:hAnsi="Arial" w:cs="Arial"/>
                <w:b/>
                <w:bCs/>
                <w:sz w:val="24"/>
                <w:szCs w:val="24"/>
                <w:lang w:eastAsia="en-PH"/>
              </w:rPr>
            </w:pPr>
            <w:r>
              <w:rPr>
                <w:rFonts w:ascii="Arial" w:hAnsi="Arial" w:cs="Arial"/>
                <w:b/>
                <w:bCs/>
                <w:sz w:val="24"/>
                <w:szCs w:val="24"/>
                <w:lang w:eastAsia="en-PH"/>
              </w:rPr>
              <w:t>2</w:t>
            </w:r>
          </w:p>
        </w:tc>
        <w:tc>
          <w:tcPr>
            <w:tcW w:w="223" w:type="pct"/>
          </w:tcPr>
          <w:p>
            <w:pPr>
              <w:jc w:val="both"/>
              <w:rPr>
                <w:rFonts w:ascii="Arial" w:hAnsi="Arial" w:cs="Arial"/>
                <w:b/>
                <w:bCs/>
                <w:sz w:val="24"/>
                <w:szCs w:val="24"/>
                <w:lang w:eastAsia="en-PH"/>
              </w:rPr>
            </w:pPr>
            <w:r>
              <w:rPr>
                <w:rFonts w:ascii="Arial" w:hAnsi="Arial" w:cs="Arial"/>
                <w:b/>
                <w:bCs/>
                <w:sz w:val="24"/>
                <w:szCs w:val="24"/>
                <w:lang w:eastAsia="en-PH"/>
              </w:rPr>
              <w:t>3</w:t>
            </w:r>
          </w:p>
        </w:tc>
        <w:tc>
          <w:tcPr>
            <w:tcW w:w="171" w:type="pct"/>
          </w:tcPr>
          <w:p>
            <w:pPr>
              <w:jc w:val="both"/>
              <w:rPr>
                <w:rFonts w:ascii="Arial" w:hAnsi="Arial" w:cs="Arial"/>
                <w:b/>
                <w:bCs/>
                <w:sz w:val="24"/>
                <w:szCs w:val="24"/>
                <w:lang w:eastAsia="en-PH"/>
              </w:rPr>
            </w:pPr>
            <w:r>
              <w:rPr>
                <w:rFonts w:ascii="Arial" w:hAnsi="Arial" w:cs="Arial"/>
                <w:b/>
                <w:bCs/>
                <w:sz w:val="24"/>
                <w:szCs w:val="24"/>
                <w:lang w:eastAsia="en-PH"/>
              </w:rPr>
              <w:t>4</w:t>
            </w:r>
          </w:p>
        </w:tc>
        <w:tc>
          <w:tcPr>
            <w:tcW w:w="169" w:type="pct"/>
          </w:tcPr>
          <w:p>
            <w:pPr>
              <w:jc w:val="both"/>
              <w:rPr>
                <w:rFonts w:ascii="Arial" w:hAnsi="Arial" w:cs="Arial"/>
                <w:b/>
                <w:bCs/>
                <w:sz w:val="24"/>
                <w:szCs w:val="24"/>
                <w:lang w:eastAsia="en-PH"/>
              </w:rPr>
            </w:pPr>
            <w:r>
              <w:rPr>
                <w:rFonts w:ascii="Arial" w:hAnsi="Arial" w:cs="Arial"/>
                <w:b/>
                <w:bCs/>
                <w:sz w:val="24"/>
                <w:szCs w:val="24"/>
                <w:lang w:eastAsia="en-PH"/>
              </w:rPr>
              <w:t>5</w:t>
            </w:r>
          </w:p>
        </w:tc>
      </w:tr>
      <w:tr>
        <w:trPr>
          <w:trHeight w:val="275"/>
        </w:trPr>
        <w:tc>
          <w:tcPr>
            <w:tcW w:w="4010" w:type="pct"/>
            <w:hideMark/>
          </w:tcPr>
          <w:p>
            <w:pPr>
              <w:rPr>
                <w:rFonts w:ascii="Arial" w:hAnsi="Arial" w:cs="Arial"/>
                <w:sz w:val="24"/>
                <w:szCs w:val="24"/>
              </w:rPr>
            </w:pPr>
            <w:r>
              <w:rPr>
                <w:rFonts w:ascii="Arial" w:hAnsi="Arial" w:cs="Arial"/>
                <w:sz w:val="24"/>
                <w:szCs w:val="24"/>
              </w:rPr>
              <w:t>1. Learners create original English outputs using digital tools.</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278"/>
        </w:trPr>
        <w:tc>
          <w:tcPr>
            <w:tcW w:w="4010" w:type="pct"/>
            <w:hideMark/>
          </w:tcPr>
          <w:p>
            <w:pPr>
              <w:rPr>
                <w:rFonts w:ascii="Arial" w:hAnsi="Arial" w:cs="Arial"/>
                <w:sz w:val="24"/>
                <w:szCs w:val="24"/>
              </w:rPr>
            </w:pPr>
            <w:r>
              <w:rPr>
                <w:rFonts w:ascii="Arial" w:hAnsi="Arial" w:cs="Arial"/>
                <w:sz w:val="24"/>
                <w:szCs w:val="24"/>
              </w:rPr>
              <w:t>2. Learners produce digital stories or presentations in English.</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283"/>
        </w:trPr>
        <w:tc>
          <w:tcPr>
            <w:tcW w:w="4010" w:type="pct"/>
            <w:hideMark/>
          </w:tcPr>
          <w:p>
            <w:pPr>
              <w:rPr>
                <w:rFonts w:ascii="Arial" w:hAnsi="Arial" w:cs="Arial"/>
                <w:sz w:val="24"/>
                <w:szCs w:val="24"/>
              </w:rPr>
            </w:pPr>
            <w:r>
              <w:rPr>
                <w:rFonts w:ascii="Arial" w:hAnsi="Arial" w:cs="Arial"/>
                <w:sz w:val="24"/>
                <w:szCs w:val="24"/>
              </w:rPr>
              <w:t>3. Learners express ideas creatively through technology.</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257"/>
        </w:trPr>
        <w:tc>
          <w:tcPr>
            <w:tcW w:w="4010" w:type="pct"/>
            <w:hideMark/>
          </w:tcPr>
          <w:p>
            <w:pPr>
              <w:rPr>
                <w:rFonts w:ascii="Arial" w:hAnsi="Arial" w:cs="Arial"/>
                <w:sz w:val="24"/>
                <w:szCs w:val="24"/>
              </w:rPr>
            </w:pPr>
            <w:r>
              <w:rPr>
                <w:rFonts w:ascii="Arial" w:hAnsi="Arial" w:cs="Arial"/>
                <w:sz w:val="24"/>
                <w:szCs w:val="24"/>
              </w:rPr>
              <w:t>4. Learners design digital products to demonstrate English learning.</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262"/>
        </w:trPr>
        <w:tc>
          <w:tcPr>
            <w:tcW w:w="4010" w:type="pct"/>
            <w:hideMark/>
          </w:tcPr>
          <w:p>
            <w:pPr>
              <w:rPr>
                <w:rFonts w:ascii="Arial" w:hAnsi="Arial" w:cs="Arial"/>
                <w:sz w:val="24"/>
                <w:szCs w:val="24"/>
              </w:rPr>
            </w:pPr>
            <w:r>
              <w:rPr>
                <w:rFonts w:ascii="Arial" w:hAnsi="Arial" w:cs="Arial"/>
                <w:sz w:val="24"/>
                <w:szCs w:val="24"/>
              </w:rPr>
              <w:t xml:space="preserve">5. Learners perform English tasks that are not possible without </w:t>
            </w:r>
          </w:p>
          <w:p>
            <w:pPr>
              <w:rPr>
                <w:rFonts w:ascii="Arial" w:hAnsi="Arial" w:cs="Arial"/>
                <w:sz w:val="24"/>
                <w:szCs w:val="24"/>
              </w:rPr>
            </w:pPr>
            <w:r>
              <w:rPr>
                <w:rFonts w:ascii="Arial" w:hAnsi="Arial" w:cs="Arial"/>
                <w:sz w:val="24"/>
                <w:szCs w:val="24"/>
              </w:rPr>
              <w:t xml:space="preserve">    technology.</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262"/>
        </w:trPr>
        <w:tc>
          <w:tcPr>
            <w:tcW w:w="4010" w:type="pct"/>
          </w:tcPr>
          <w:p>
            <w:pPr>
              <w:jc w:val="both"/>
              <w:rPr>
                <w:rFonts w:ascii="Arial" w:hAnsi="Arial" w:cs="Arial"/>
                <w:b/>
                <w:i/>
                <w:sz w:val="24"/>
                <w:szCs w:val="24"/>
                <w:lang w:eastAsia="en-PH"/>
              </w:rPr>
            </w:pPr>
            <w:r>
              <w:rPr>
                <w:rFonts w:ascii="Arial" w:hAnsi="Arial" w:cs="Arial"/>
                <w:b/>
                <w:i/>
                <w:sz w:val="24"/>
                <w:szCs w:val="24"/>
                <w:lang w:eastAsia="en-PH"/>
              </w:rPr>
              <w:t>E. Reflective / Metacognitive Engagement</w:t>
            </w:r>
          </w:p>
        </w:tc>
        <w:tc>
          <w:tcPr>
            <w:tcW w:w="208" w:type="pct"/>
          </w:tcPr>
          <w:p>
            <w:pPr>
              <w:jc w:val="both"/>
              <w:rPr>
                <w:rFonts w:ascii="Arial" w:hAnsi="Arial" w:cs="Arial"/>
                <w:b/>
                <w:bCs/>
                <w:sz w:val="24"/>
                <w:szCs w:val="24"/>
                <w:lang w:eastAsia="en-PH"/>
              </w:rPr>
            </w:pPr>
            <w:r>
              <w:rPr>
                <w:rFonts w:ascii="Arial" w:hAnsi="Arial" w:cs="Arial"/>
                <w:b/>
                <w:bCs/>
                <w:sz w:val="24"/>
                <w:szCs w:val="24"/>
                <w:lang w:eastAsia="en-PH"/>
              </w:rPr>
              <w:t>1</w:t>
            </w:r>
          </w:p>
        </w:tc>
        <w:tc>
          <w:tcPr>
            <w:tcW w:w="219" w:type="pct"/>
          </w:tcPr>
          <w:p>
            <w:pPr>
              <w:jc w:val="both"/>
              <w:rPr>
                <w:rFonts w:ascii="Arial" w:hAnsi="Arial" w:cs="Arial"/>
                <w:b/>
                <w:bCs/>
                <w:sz w:val="24"/>
                <w:szCs w:val="24"/>
                <w:lang w:eastAsia="en-PH"/>
              </w:rPr>
            </w:pPr>
            <w:r>
              <w:rPr>
                <w:rFonts w:ascii="Arial" w:hAnsi="Arial" w:cs="Arial"/>
                <w:b/>
                <w:bCs/>
                <w:sz w:val="24"/>
                <w:szCs w:val="24"/>
                <w:lang w:eastAsia="en-PH"/>
              </w:rPr>
              <w:t>2</w:t>
            </w:r>
          </w:p>
        </w:tc>
        <w:tc>
          <w:tcPr>
            <w:tcW w:w="223" w:type="pct"/>
          </w:tcPr>
          <w:p>
            <w:pPr>
              <w:jc w:val="both"/>
              <w:rPr>
                <w:rFonts w:ascii="Arial" w:hAnsi="Arial" w:cs="Arial"/>
                <w:b/>
                <w:bCs/>
                <w:sz w:val="24"/>
                <w:szCs w:val="24"/>
                <w:lang w:eastAsia="en-PH"/>
              </w:rPr>
            </w:pPr>
            <w:r>
              <w:rPr>
                <w:rFonts w:ascii="Arial" w:hAnsi="Arial" w:cs="Arial"/>
                <w:b/>
                <w:bCs/>
                <w:sz w:val="24"/>
                <w:szCs w:val="24"/>
                <w:lang w:eastAsia="en-PH"/>
              </w:rPr>
              <w:t>3</w:t>
            </w:r>
          </w:p>
        </w:tc>
        <w:tc>
          <w:tcPr>
            <w:tcW w:w="171" w:type="pct"/>
          </w:tcPr>
          <w:p>
            <w:pPr>
              <w:jc w:val="both"/>
              <w:rPr>
                <w:rFonts w:ascii="Arial" w:hAnsi="Arial" w:cs="Arial"/>
                <w:b/>
                <w:bCs/>
                <w:sz w:val="24"/>
                <w:szCs w:val="24"/>
                <w:lang w:eastAsia="en-PH"/>
              </w:rPr>
            </w:pPr>
            <w:r>
              <w:rPr>
                <w:rFonts w:ascii="Arial" w:hAnsi="Arial" w:cs="Arial"/>
                <w:b/>
                <w:bCs/>
                <w:sz w:val="24"/>
                <w:szCs w:val="24"/>
                <w:lang w:eastAsia="en-PH"/>
              </w:rPr>
              <w:t>4</w:t>
            </w:r>
          </w:p>
        </w:tc>
        <w:tc>
          <w:tcPr>
            <w:tcW w:w="169" w:type="pct"/>
          </w:tcPr>
          <w:p>
            <w:pPr>
              <w:jc w:val="both"/>
              <w:rPr>
                <w:rFonts w:ascii="Arial" w:hAnsi="Arial" w:cs="Arial"/>
                <w:b/>
                <w:bCs/>
                <w:sz w:val="24"/>
                <w:szCs w:val="24"/>
                <w:lang w:eastAsia="en-PH"/>
              </w:rPr>
            </w:pPr>
            <w:r>
              <w:rPr>
                <w:rFonts w:ascii="Arial" w:hAnsi="Arial" w:cs="Arial"/>
                <w:b/>
                <w:bCs/>
                <w:sz w:val="24"/>
                <w:szCs w:val="24"/>
                <w:lang w:eastAsia="en-PH"/>
              </w:rPr>
              <w:t>5</w:t>
            </w:r>
          </w:p>
        </w:tc>
      </w:tr>
      <w:tr>
        <w:trPr>
          <w:trHeight w:val="275"/>
        </w:trPr>
        <w:tc>
          <w:tcPr>
            <w:tcW w:w="4010" w:type="pct"/>
            <w:hideMark/>
          </w:tcPr>
          <w:p>
            <w:pPr>
              <w:rPr>
                <w:rFonts w:ascii="Arial" w:hAnsi="Arial" w:cs="Arial"/>
                <w:sz w:val="24"/>
                <w:szCs w:val="24"/>
              </w:rPr>
            </w:pPr>
            <w:r>
              <w:rPr>
                <w:rFonts w:ascii="Arial" w:hAnsi="Arial" w:cs="Arial"/>
                <w:sz w:val="24"/>
                <w:szCs w:val="24"/>
              </w:rPr>
              <w:t>1. Learners review their English outputs using digital tools.</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278"/>
        </w:trPr>
        <w:tc>
          <w:tcPr>
            <w:tcW w:w="4010" w:type="pct"/>
            <w:hideMark/>
          </w:tcPr>
          <w:p>
            <w:pPr>
              <w:rPr>
                <w:rFonts w:ascii="Arial" w:hAnsi="Arial" w:cs="Arial"/>
                <w:sz w:val="24"/>
                <w:szCs w:val="24"/>
              </w:rPr>
            </w:pPr>
            <w:r>
              <w:rPr>
                <w:rFonts w:ascii="Arial" w:hAnsi="Arial" w:cs="Arial"/>
                <w:sz w:val="24"/>
                <w:szCs w:val="24"/>
              </w:rPr>
              <w:t>2. Learners revise English work based on digital feedback.</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283"/>
        </w:trPr>
        <w:tc>
          <w:tcPr>
            <w:tcW w:w="4010" w:type="pct"/>
            <w:hideMark/>
          </w:tcPr>
          <w:p>
            <w:pPr>
              <w:rPr>
                <w:rFonts w:ascii="Arial" w:hAnsi="Arial" w:cs="Arial"/>
                <w:sz w:val="24"/>
                <w:szCs w:val="24"/>
              </w:rPr>
            </w:pPr>
            <w:r>
              <w:rPr>
                <w:rFonts w:ascii="Arial" w:hAnsi="Arial" w:cs="Arial"/>
                <w:sz w:val="24"/>
                <w:szCs w:val="24"/>
              </w:rPr>
              <w:t xml:space="preserve">3. Learners monitor their English learning progress using </w:t>
            </w:r>
          </w:p>
          <w:p>
            <w:pPr>
              <w:rPr>
                <w:rFonts w:ascii="Arial" w:hAnsi="Arial" w:cs="Arial"/>
                <w:sz w:val="24"/>
                <w:szCs w:val="24"/>
              </w:rPr>
            </w:pPr>
            <w:r>
              <w:rPr>
                <w:rFonts w:ascii="Arial" w:hAnsi="Arial" w:cs="Arial"/>
                <w:sz w:val="24"/>
                <w:szCs w:val="24"/>
              </w:rPr>
              <w:t xml:space="preserve">    technology.</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257"/>
        </w:trPr>
        <w:tc>
          <w:tcPr>
            <w:tcW w:w="4010" w:type="pct"/>
            <w:hideMark/>
          </w:tcPr>
          <w:p>
            <w:pPr>
              <w:rPr>
                <w:rFonts w:ascii="Arial" w:hAnsi="Arial" w:cs="Arial"/>
                <w:sz w:val="24"/>
                <w:szCs w:val="24"/>
              </w:rPr>
            </w:pPr>
            <w:r>
              <w:rPr>
                <w:rFonts w:ascii="Arial" w:hAnsi="Arial" w:cs="Arial"/>
                <w:sz w:val="24"/>
                <w:szCs w:val="24"/>
              </w:rPr>
              <w:t xml:space="preserve">4. Learners assess their performance during tech-based English </w:t>
            </w:r>
          </w:p>
          <w:p>
            <w:pPr>
              <w:rPr>
                <w:rFonts w:ascii="Arial" w:hAnsi="Arial" w:cs="Arial"/>
                <w:sz w:val="24"/>
                <w:szCs w:val="24"/>
              </w:rPr>
            </w:pPr>
            <w:r>
              <w:rPr>
                <w:rFonts w:ascii="Arial" w:hAnsi="Arial" w:cs="Arial"/>
                <w:sz w:val="24"/>
                <w:szCs w:val="24"/>
              </w:rPr>
              <w:t xml:space="preserve">    tasks.</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262"/>
        </w:trPr>
        <w:tc>
          <w:tcPr>
            <w:tcW w:w="4010" w:type="pct"/>
            <w:hideMark/>
          </w:tcPr>
          <w:p>
            <w:pPr>
              <w:rPr>
                <w:rFonts w:ascii="Arial" w:hAnsi="Arial" w:cs="Arial"/>
                <w:sz w:val="24"/>
                <w:szCs w:val="24"/>
              </w:rPr>
            </w:pPr>
            <w:r>
              <w:rPr>
                <w:rFonts w:ascii="Arial" w:hAnsi="Arial" w:cs="Arial"/>
                <w:sz w:val="24"/>
                <w:szCs w:val="24"/>
              </w:rPr>
              <w:t>5. Learners show awareness of their English learning process.</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bl>
    <w:p>
      <w:pPr>
        <w:spacing w:before="100" w:beforeAutospacing="1" w:after="100" w:afterAutospacing="1" w:line="240" w:lineRule="auto"/>
        <w:jc w:val="both"/>
        <w:outlineLvl w:val="2"/>
        <w:rPr>
          <w:rFonts w:ascii="Arial" w:eastAsia="Times New Roman" w:hAnsi="Arial" w:cs="Arial"/>
          <w:b/>
          <w:bCs/>
          <w:lang w:eastAsia="en-PH"/>
        </w:rPr>
      </w:pPr>
      <w:r>
        <w:rPr>
          <w:rFonts w:ascii="Arial" w:eastAsia="Times New Roman" w:hAnsi="Arial" w:cs="Arial"/>
          <w:b/>
          <w:bCs/>
          <w:lang w:eastAsia="en-PH"/>
        </w:rPr>
        <w:t xml:space="preserve">Part III: </w:t>
      </w:r>
      <w:r>
        <w:rPr>
          <w:rFonts w:ascii="Arial" w:hAnsi="Arial" w:cs="Arial"/>
          <w:b/>
        </w:rPr>
        <w:t>PICRAT-ALIGNED INSTRUCTIONAL PROCESSES</w:t>
      </w:r>
    </w:p>
    <w:p>
      <w:pPr>
        <w:spacing w:before="100" w:beforeAutospacing="1" w:after="100" w:afterAutospacing="1" w:line="240" w:lineRule="auto"/>
        <w:jc w:val="both"/>
        <w:outlineLvl w:val="2"/>
        <w:rPr>
          <w:rFonts w:ascii="Arial" w:eastAsia="Times New Roman" w:hAnsi="Arial" w:cs="Arial"/>
          <w:bCs/>
          <w:lang w:eastAsia="en-PH"/>
        </w:rPr>
      </w:pPr>
      <w:r>
        <w:rPr>
          <w:rFonts w:ascii="Arial" w:eastAsia="Times New Roman" w:hAnsi="Arial" w:cs="Arial"/>
          <w:bCs/>
          <w:lang w:eastAsia="en-PH"/>
        </w:rPr>
        <w:t>Please rate the extent to which you practice the following technology integration strategies in your English classes.</w:t>
      </w:r>
    </w:p>
    <w:p>
      <w:pPr>
        <w:spacing w:before="100" w:beforeAutospacing="1" w:after="100" w:afterAutospacing="1" w:line="240" w:lineRule="auto"/>
        <w:jc w:val="both"/>
        <w:outlineLvl w:val="2"/>
        <w:rPr>
          <w:rFonts w:ascii="Arial" w:eastAsia="Times New Roman" w:hAnsi="Arial" w:cs="Arial"/>
          <w:bCs/>
          <w:lang w:eastAsia="en-PH"/>
        </w:rPr>
      </w:pPr>
      <w:r>
        <w:rPr>
          <w:rFonts w:ascii="Arial" w:eastAsia="Times New Roman" w:hAnsi="Arial" w:cs="Arial"/>
          <w:bCs/>
          <w:lang w:eastAsia="en-PH"/>
        </w:rPr>
        <w:t>Legend (Level of Practice)</w:t>
      </w:r>
    </w:p>
    <w:p>
      <w:pPr>
        <w:spacing w:after="0" w:line="240" w:lineRule="auto"/>
        <w:ind w:left="720" w:firstLine="720"/>
        <w:jc w:val="both"/>
        <w:rPr>
          <w:rFonts w:ascii="Arial" w:eastAsia="Times New Roman" w:hAnsi="Arial" w:cs="Arial"/>
          <w:lang w:eastAsia="en-PH"/>
        </w:rPr>
      </w:pPr>
      <w:r>
        <w:rPr>
          <w:rFonts w:ascii="Arial" w:eastAsia="Times New Roman" w:hAnsi="Arial" w:cs="Arial"/>
          <w:lang w:eastAsia="en-PH"/>
        </w:rPr>
        <w:t>5 – Highly Practiced</w:t>
      </w:r>
    </w:p>
    <w:p>
      <w:pPr>
        <w:spacing w:after="0" w:line="240" w:lineRule="auto"/>
        <w:ind w:left="720" w:firstLine="720"/>
        <w:jc w:val="both"/>
        <w:rPr>
          <w:rFonts w:ascii="Arial" w:eastAsia="Times New Roman" w:hAnsi="Arial" w:cs="Arial"/>
          <w:lang w:eastAsia="en-PH"/>
        </w:rPr>
      </w:pPr>
      <w:r>
        <w:rPr>
          <w:rFonts w:ascii="Arial" w:eastAsia="Times New Roman" w:hAnsi="Arial" w:cs="Arial"/>
          <w:lang w:eastAsia="en-PH"/>
        </w:rPr>
        <w:t>4 – Practiced</w:t>
      </w:r>
    </w:p>
    <w:p>
      <w:pPr>
        <w:spacing w:after="0" w:line="240" w:lineRule="auto"/>
        <w:ind w:left="720" w:firstLine="720"/>
        <w:jc w:val="both"/>
        <w:rPr>
          <w:rFonts w:ascii="Arial" w:eastAsia="Times New Roman" w:hAnsi="Arial" w:cs="Arial"/>
          <w:lang w:eastAsia="en-PH"/>
        </w:rPr>
      </w:pPr>
      <w:r>
        <w:rPr>
          <w:rFonts w:ascii="Arial" w:eastAsia="Times New Roman" w:hAnsi="Arial" w:cs="Arial"/>
          <w:lang w:eastAsia="en-PH"/>
        </w:rPr>
        <w:t>3 – Moderately Practiced</w:t>
      </w:r>
    </w:p>
    <w:p>
      <w:pPr>
        <w:spacing w:after="0" w:line="240" w:lineRule="auto"/>
        <w:ind w:left="720" w:firstLine="720"/>
        <w:jc w:val="both"/>
        <w:rPr>
          <w:rFonts w:ascii="Arial" w:eastAsia="Times New Roman" w:hAnsi="Arial" w:cs="Arial"/>
          <w:lang w:eastAsia="en-PH"/>
        </w:rPr>
      </w:pPr>
      <w:r>
        <w:rPr>
          <w:rFonts w:ascii="Arial" w:eastAsia="Times New Roman" w:hAnsi="Arial" w:cs="Arial"/>
          <w:lang w:eastAsia="en-PH"/>
        </w:rPr>
        <w:t>2 – Slightly Practiced</w:t>
      </w:r>
    </w:p>
    <w:p>
      <w:pPr>
        <w:spacing w:after="0" w:line="240" w:lineRule="auto"/>
        <w:ind w:left="720" w:firstLine="720"/>
        <w:jc w:val="both"/>
        <w:rPr>
          <w:rFonts w:ascii="Arial" w:eastAsia="Times New Roman" w:hAnsi="Arial" w:cs="Arial"/>
          <w:lang w:eastAsia="en-PH"/>
        </w:rPr>
      </w:pPr>
      <w:r>
        <w:rPr>
          <w:rFonts w:ascii="Arial" w:eastAsia="Times New Roman" w:hAnsi="Arial" w:cs="Arial"/>
          <w:lang w:eastAsia="en-PH"/>
        </w:rPr>
        <w:t>1 – Not Practiced</w:t>
      </w:r>
    </w:p>
    <w:p>
      <w:pPr>
        <w:spacing w:after="0" w:line="240" w:lineRule="auto"/>
        <w:ind w:left="720" w:firstLine="720"/>
        <w:jc w:val="both"/>
        <w:rPr>
          <w:rFonts w:ascii="Arial" w:eastAsia="Times New Roman" w:hAnsi="Arial" w:cs="Arial"/>
          <w:lang w:eastAsia="en-PH"/>
        </w:rPr>
      </w:pPr>
    </w:p>
    <w:tbl>
      <w:tblPr>
        <w:tblStyle w:val="TableGrid"/>
        <w:tblW w:w="5049" w:type="pct"/>
        <w:tblLayout w:type="fixed"/>
        <w:tblLook w:val="04A0" w:firstRow="1" w:lastRow="0" w:firstColumn="1" w:lastColumn="0" w:noHBand="0" w:noVBand="1"/>
      </w:tblPr>
      <w:tblGrid>
        <w:gridCol w:w="6988"/>
        <w:gridCol w:w="363"/>
        <w:gridCol w:w="382"/>
        <w:gridCol w:w="389"/>
        <w:gridCol w:w="298"/>
        <w:gridCol w:w="295"/>
      </w:tblGrid>
      <w:tr>
        <w:trPr>
          <w:trHeight w:val="395"/>
        </w:trPr>
        <w:tc>
          <w:tcPr>
            <w:tcW w:w="4010" w:type="pct"/>
            <w:hideMark/>
          </w:tcPr>
          <w:p>
            <w:pPr>
              <w:jc w:val="both"/>
              <w:rPr>
                <w:rFonts w:ascii="Arial" w:hAnsi="Arial" w:cs="Arial"/>
                <w:b/>
                <w:bCs/>
                <w:i/>
                <w:iCs/>
                <w:sz w:val="24"/>
                <w:szCs w:val="24"/>
                <w:lang w:eastAsia="en-PH"/>
              </w:rPr>
            </w:pPr>
            <w:r>
              <w:rPr>
                <w:rFonts w:ascii="Arial" w:hAnsi="Arial" w:cs="Arial"/>
                <w:b/>
                <w:bCs/>
                <w:i/>
                <w:iCs/>
                <w:sz w:val="24"/>
                <w:szCs w:val="24"/>
                <w:lang w:eastAsia="en-PH"/>
              </w:rPr>
              <w:t>A. Active Knowledge-Building Facilitation</w:t>
            </w:r>
          </w:p>
        </w:tc>
        <w:tc>
          <w:tcPr>
            <w:tcW w:w="208" w:type="pct"/>
          </w:tcPr>
          <w:p>
            <w:pPr>
              <w:jc w:val="both"/>
              <w:rPr>
                <w:rFonts w:ascii="Arial" w:hAnsi="Arial" w:cs="Arial"/>
                <w:b/>
                <w:bCs/>
                <w:sz w:val="24"/>
                <w:szCs w:val="24"/>
                <w:lang w:eastAsia="en-PH"/>
              </w:rPr>
            </w:pPr>
            <w:r>
              <w:rPr>
                <w:rFonts w:ascii="Arial" w:hAnsi="Arial" w:cs="Arial"/>
                <w:b/>
                <w:bCs/>
                <w:sz w:val="24"/>
                <w:szCs w:val="24"/>
                <w:lang w:eastAsia="en-PH"/>
              </w:rPr>
              <w:t>1</w:t>
            </w:r>
          </w:p>
        </w:tc>
        <w:tc>
          <w:tcPr>
            <w:tcW w:w="219" w:type="pct"/>
          </w:tcPr>
          <w:p>
            <w:pPr>
              <w:jc w:val="both"/>
              <w:rPr>
                <w:rFonts w:ascii="Arial" w:hAnsi="Arial" w:cs="Arial"/>
                <w:b/>
                <w:bCs/>
                <w:sz w:val="24"/>
                <w:szCs w:val="24"/>
                <w:lang w:eastAsia="en-PH"/>
              </w:rPr>
            </w:pPr>
            <w:r>
              <w:rPr>
                <w:rFonts w:ascii="Arial" w:hAnsi="Arial" w:cs="Arial"/>
                <w:b/>
                <w:bCs/>
                <w:sz w:val="24"/>
                <w:szCs w:val="24"/>
                <w:lang w:eastAsia="en-PH"/>
              </w:rPr>
              <w:t>2</w:t>
            </w:r>
          </w:p>
        </w:tc>
        <w:tc>
          <w:tcPr>
            <w:tcW w:w="223" w:type="pct"/>
          </w:tcPr>
          <w:p>
            <w:pPr>
              <w:jc w:val="both"/>
              <w:rPr>
                <w:rFonts w:ascii="Arial" w:hAnsi="Arial" w:cs="Arial"/>
                <w:b/>
                <w:bCs/>
                <w:sz w:val="24"/>
                <w:szCs w:val="24"/>
                <w:lang w:eastAsia="en-PH"/>
              </w:rPr>
            </w:pPr>
            <w:r>
              <w:rPr>
                <w:rFonts w:ascii="Arial" w:hAnsi="Arial" w:cs="Arial"/>
                <w:b/>
                <w:bCs/>
                <w:sz w:val="24"/>
                <w:szCs w:val="24"/>
                <w:lang w:eastAsia="en-PH"/>
              </w:rPr>
              <w:t>3</w:t>
            </w:r>
          </w:p>
        </w:tc>
        <w:tc>
          <w:tcPr>
            <w:tcW w:w="171" w:type="pct"/>
          </w:tcPr>
          <w:p>
            <w:pPr>
              <w:jc w:val="both"/>
              <w:rPr>
                <w:rFonts w:ascii="Arial" w:hAnsi="Arial" w:cs="Arial"/>
                <w:b/>
                <w:bCs/>
                <w:sz w:val="24"/>
                <w:szCs w:val="24"/>
                <w:lang w:eastAsia="en-PH"/>
              </w:rPr>
            </w:pPr>
            <w:r>
              <w:rPr>
                <w:rFonts w:ascii="Arial" w:hAnsi="Arial" w:cs="Arial"/>
                <w:b/>
                <w:bCs/>
                <w:sz w:val="24"/>
                <w:szCs w:val="24"/>
                <w:lang w:eastAsia="en-PH"/>
              </w:rPr>
              <w:t>4</w:t>
            </w:r>
          </w:p>
        </w:tc>
        <w:tc>
          <w:tcPr>
            <w:tcW w:w="169" w:type="pct"/>
          </w:tcPr>
          <w:p>
            <w:pPr>
              <w:jc w:val="both"/>
              <w:rPr>
                <w:rFonts w:ascii="Arial" w:hAnsi="Arial" w:cs="Arial"/>
                <w:b/>
                <w:bCs/>
                <w:sz w:val="24"/>
                <w:szCs w:val="24"/>
                <w:lang w:eastAsia="en-PH"/>
              </w:rPr>
            </w:pPr>
            <w:r>
              <w:rPr>
                <w:rFonts w:ascii="Arial" w:hAnsi="Arial" w:cs="Arial"/>
                <w:b/>
                <w:bCs/>
                <w:sz w:val="24"/>
                <w:szCs w:val="24"/>
                <w:lang w:eastAsia="en-PH"/>
              </w:rPr>
              <w:t>5</w:t>
            </w:r>
          </w:p>
        </w:tc>
      </w:tr>
      <w:tr>
        <w:trPr>
          <w:trHeight w:val="477"/>
        </w:trPr>
        <w:tc>
          <w:tcPr>
            <w:tcW w:w="4010" w:type="pct"/>
            <w:hideMark/>
          </w:tcPr>
          <w:p>
            <w:pPr>
              <w:rPr>
                <w:rFonts w:ascii="Arial" w:hAnsi="Arial" w:cs="Arial"/>
                <w:sz w:val="24"/>
                <w:szCs w:val="24"/>
              </w:rPr>
            </w:pPr>
            <w:r>
              <w:rPr>
                <w:rFonts w:ascii="Arial" w:hAnsi="Arial" w:cs="Arial"/>
                <w:sz w:val="24"/>
                <w:szCs w:val="24"/>
              </w:rPr>
              <w:lastRenderedPageBreak/>
              <w:t>1. I use technology to engage learners in constructing their own understanding of English concepts.</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280"/>
        </w:trPr>
        <w:tc>
          <w:tcPr>
            <w:tcW w:w="4010" w:type="pct"/>
            <w:hideMark/>
          </w:tcPr>
          <w:p>
            <w:pPr>
              <w:rPr>
                <w:rFonts w:ascii="Arial" w:hAnsi="Arial" w:cs="Arial"/>
                <w:sz w:val="24"/>
                <w:szCs w:val="24"/>
              </w:rPr>
            </w:pPr>
            <w:r>
              <w:rPr>
                <w:rFonts w:ascii="Arial" w:hAnsi="Arial" w:cs="Arial"/>
                <w:sz w:val="24"/>
                <w:szCs w:val="24"/>
              </w:rPr>
              <w:t>2. I design activities where learners actively process and apply English knowledge using digital tools.</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128"/>
        </w:trPr>
        <w:tc>
          <w:tcPr>
            <w:tcW w:w="4010" w:type="pct"/>
          </w:tcPr>
          <w:p>
            <w:pPr>
              <w:rPr>
                <w:rFonts w:ascii="Arial" w:hAnsi="Arial" w:cs="Arial"/>
                <w:sz w:val="24"/>
                <w:szCs w:val="24"/>
              </w:rPr>
            </w:pPr>
            <w:r>
              <w:rPr>
                <w:rFonts w:ascii="Arial" w:hAnsi="Arial" w:cs="Arial"/>
                <w:sz w:val="24"/>
                <w:szCs w:val="24"/>
              </w:rPr>
              <w:t>3. I encourage learners to explore ideas and generate responses through technology-supported tasks.</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rPr>
          <w:trHeight w:val="132"/>
        </w:trPr>
        <w:tc>
          <w:tcPr>
            <w:tcW w:w="4010" w:type="pct"/>
          </w:tcPr>
          <w:p>
            <w:pPr>
              <w:rPr>
                <w:rFonts w:ascii="Arial" w:hAnsi="Arial" w:cs="Arial"/>
                <w:sz w:val="24"/>
                <w:szCs w:val="24"/>
              </w:rPr>
            </w:pPr>
            <w:r>
              <w:rPr>
                <w:rFonts w:ascii="Arial" w:hAnsi="Arial" w:cs="Arial"/>
                <w:sz w:val="24"/>
                <w:szCs w:val="24"/>
              </w:rPr>
              <w:t>4. I use technology to support higher-order thinking in English learning activities.</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rPr>
          <w:trHeight w:val="58"/>
        </w:trPr>
        <w:tc>
          <w:tcPr>
            <w:tcW w:w="4010" w:type="pct"/>
          </w:tcPr>
          <w:p>
            <w:pPr>
              <w:rPr>
                <w:rFonts w:ascii="Arial" w:hAnsi="Arial" w:cs="Arial"/>
                <w:sz w:val="24"/>
                <w:szCs w:val="24"/>
              </w:rPr>
            </w:pPr>
            <w:r>
              <w:rPr>
                <w:rFonts w:ascii="Arial" w:hAnsi="Arial" w:cs="Arial"/>
                <w:sz w:val="24"/>
                <w:szCs w:val="24"/>
              </w:rPr>
              <w:t>5. I facilitate learner-centered activities rather than teacher-directed instruction using technology.</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rPr>
          <w:trHeight w:val="263"/>
        </w:trPr>
        <w:tc>
          <w:tcPr>
            <w:tcW w:w="4010" w:type="pct"/>
            <w:hideMark/>
          </w:tcPr>
          <w:p>
            <w:pPr>
              <w:jc w:val="both"/>
              <w:rPr>
                <w:rFonts w:ascii="Arial" w:hAnsi="Arial" w:cs="Arial"/>
                <w:b/>
                <w:bCs/>
                <w:i/>
                <w:iCs/>
                <w:sz w:val="24"/>
                <w:szCs w:val="24"/>
                <w:lang w:eastAsia="en-PH"/>
              </w:rPr>
            </w:pPr>
            <w:r>
              <w:rPr>
                <w:rFonts w:ascii="Arial" w:hAnsi="Arial" w:cs="Arial"/>
                <w:b/>
                <w:bCs/>
                <w:i/>
                <w:iCs/>
                <w:sz w:val="24"/>
                <w:szCs w:val="24"/>
                <w:lang w:eastAsia="en-PH"/>
              </w:rPr>
              <w:t>B. Activation and Linking of Prior Knowledge</w:t>
            </w:r>
          </w:p>
        </w:tc>
        <w:tc>
          <w:tcPr>
            <w:tcW w:w="208" w:type="pct"/>
          </w:tcPr>
          <w:p>
            <w:pPr>
              <w:jc w:val="both"/>
              <w:rPr>
                <w:rFonts w:ascii="Arial" w:hAnsi="Arial" w:cs="Arial"/>
                <w:b/>
                <w:bCs/>
                <w:sz w:val="24"/>
                <w:szCs w:val="24"/>
                <w:lang w:eastAsia="en-PH"/>
              </w:rPr>
            </w:pPr>
            <w:r>
              <w:rPr>
                <w:rFonts w:ascii="Arial" w:hAnsi="Arial" w:cs="Arial"/>
                <w:b/>
                <w:bCs/>
                <w:sz w:val="24"/>
                <w:szCs w:val="24"/>
                <w:lang w:eastAsia="en-PH"/>
              </w:rPr>
              <w:t>1</w:t>
            </w:r>
          </w:p>
        </w:tc>
        <w:tc>
          <w:tcPr>
            <w:tcW w:w="219" w:type="pct"/>
          </w:tcPr>
          <w:p>
            <w:pPr>
              <w:jc w:val="both"/>
              <w:rPr>
                <w:rFonts w:ascii="Arial" w:hAnsi="Arial" w:cs="Arial"/>
                <w:b/>
                <w:bCs/>
                <w:sz w:val="24"/>
                <w:szCs w:val="24"/>
                <w:lang w:eastAsia="en-PH"/>
              </w:rPr>
            </w:pPr>
            <w:r>
              <w:rPr>
                <w:rFonts w:ascii="Arial" w:hAnsi="Arial" w:cs="Arial"/>
                <w:b/>
                <w:bCs/>
                <w:sz w:val="24"/>
                <w:szCs w:val="24"/>
                <w:lang w:eastAsia="en-PH"/>
              </w:rPr>
              <w:t>2</w:t>
            </w:r>
          </w:p>
        </w:tc>
        <w:tc>
          <w:tcPr>
            <w:tcW w:w="223" w:type="pct"/>
          </w:tcPr>
          <w:p>
            <w:pPr>
              <w:jc w:val="both"/>
              <w:rPr>
                <w:rFonts w:ascii="Arial" w:hAnsi="Arial" w:cs="Arial"/>
                <w:b/>
                <w:bCs/>
                <w:sz w:val="24"/>
                <w:szCs w:val="24"/>
                <w:lang w:eastAsia="en-PH"/>
              </w:rPr>
            </w:pPr>
            <w:r>
              <w:rPr>
                <w:rFonts w:ascii="Arial" w:hAnsi="Arial" w:cs="Arial"/>
                <w:b/>
                <w:bCs/>
                <w:sz w:val="24"/>
                <w:szCs w:val="24"/>
                <w:lang w:eastAsia="en-PH"/>
              </w:rPr>
              <w:t>3</w:t>
            </w:r>
          </w:p>
        </w:tc>
        <w:tc>
          <w:tcPr>
            <w:tcW w:w="171" w:type="pct"/>
          </w:tcPr>
          <w:p>
            <w:pPr>
              <w:jc w:val="both"/>
              <w:rPr>
                <w:rFonts w:ascii="Arial" w:hAnsi="Arial" w:cs="Arial"/>
                <w:b/>
                <w:bCs/>
                <w:sz w:val="24"/>
                <w:szCs w:val="24"/>
                <w:lang w:eastAsia="en-PH"/>
              </w:rPr>
            </w:pPr>
            <w:r>
              <w:rPr>
                <w:rFonts w:ascii="Arial" w:hAnsi="Arial" w:cs="Arial"/>
                <w:b/>
                <w:bCs/>
                <w:sz w:val="24"/>
                <w:szCs w:val="24"/>
                <w:lang w:eastAsia="en-PH"/>
              </w:rPr>
              <w:t>4</w:t>
            </w:r>
          </w:p>
        </w:tc>
        <w:tc>
          <w:tcPr>
            <w:tcW w:w="169" w:type="pct"/>
          </w:tcPr>
          <w:p>
            <w:pPr>
              <w:jc w:val="both"/>
              <w:rPr>
                <w:rFonts w:ascii="Arial" w:hAnsi="Arial" w:cs="Arial"/>
                <w:b/>
                <w:bCs/>
                <w:sz w:val="24"/>
                <w:szCs w:val="24"/>
                <w:lang w:eastAsia="en-PH"/>
              </w:rPr>
            </w:pPr>
            <w:r>
              <w:rPr>
                <w:rFonts w:ascii="Arial" w:hAnsi="Arial" w:cs="Arial"/>
                <w:b/>
                <w:bCs/>
                <w:sz w:val="24"/>
                <w:szCs w:val="24"/>
                <w:lang w:eastAsia="en-PH"/>
              </w:rPr>
              <w:t>5</w:t>
            </w:r>
          </w:p>
        </w:tc>
      </w:tr>
      <w:tr>
        <w:trPr>
          <w:trHeight w:val="263"/>
        </w:trPr>
        <w:tc>
          <w:tcPr>
            <w:tcW w:w="4010" w:type="pct"/>
            <w:hideMark/>
          </w:tcPr>
          <w:p>
            <w:pPr>
              <w:rPr>
                <w:rFonts w:ascii="Arial" w:hAnsi="Arial" w:cs="Arial"/>
                <w:sz w:val="24"/>
                <w:szCs w:val="24"/>
              </w:rPr>
            </w:pPr>
            <w:r>
              <w:rPr>
                <w:rFonts w:ascii="Arial" w:hAnsi="Arial" w:cs="Arial"/>
                <w:sz w:val="24"/>
                <w:szCs w:val="24"/>
              </w:rPr>
              <w:t xml:space="preserve">1. I use digital tools to connect new English lessons with learners’ prior knowledge. </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282"/>
        </w:trPr>
        <w:tc>
          <w:tcPr>
            <w:tcW w:w="4010" w:type="pct"/>
            <w:hideMark/>
          </w:tcPr>
          <w:p>
            <w:pPr>
              <w:rPr>
                <w:rFonts w:ascii="Arial" w:hAnsi="Arial" w:cs="Arial"/>
                <w:sz w:val="24"/>
                <w:szCs w:val="24"/>
              </w:rPr>
            </w:pPr>
            <w:r>
              <w:rPr>
                <w:rFonts w:ascii="Arial" w:hAnsi="Arial" w:cs="Arial"/>
                <w:sz w:val="24"/>
                <w:szCs w:val="24"/>
              </w:rPr>
              <w:t xml:space="preserve">2. I design activities that allow learners to relate English concepts to their daily life. </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263"/>
        </w:trPr>
        <w:tc>
          <w:tcPr>
            <w:tcW w:w="4010" w:type="pct"/>
            <w:hideMark/>
          </w:tcPr>
          <w:p>
            <w:pPr>
              <w:rPr>
                <w:rFonts w:ascii="Arial" w:hAnsi="Arial" w:cs="Arial"/>
                <w:sz w:val="24"/>
                <w:szCs w:val="24"/>
              </w:rPr>
            </w:pPr>
            <w:r>
              <w:rPr>
                <w:rFonts w:ascii="Arial" w:hAnsi="Arial" w:cs="Arial"/>
                <w:sz w:val="24"/>
                <w:szCs w:val="24"/>
              </w:rPr>
              <w:t xml:space="preserve">3. I use multimedia to activate background knowledge before introducing new topics. </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544"/>
        </w:trPr>
        <w:tc>
          <w:tcPr>
            <w:tcW w:w="4010" w:type="pct"/>
          </w:tcPr>
          <w:p>
            <w:pPr>
              <w:rPr>
                <w:rFonts w:ascii="Arial" w:hAnsi="Arial" w:cs="Arial"/>
                <w:sz w:val="24"/>
                <w:szCs w:val="24"/>
              </w:rPr>
            </w:pPr>
            <w:r>
              <w:rPr>
                <w:rFonts w:ascii="Arial" w:hAnsi="Arial" w:cs="Arial"/>
                <w:sz w:val="24"/>
                <w:szCs w:val="24"/>
              </w:rPr>
              <w:t xml:space="preserve">4. I encourage learners to share prior knowledge using digital platforms. </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rPr>
          <w:trHeight w:val="544"/>
        </w:trPr>
        <w:tc>
          <w:tcPr>
            <w:tcW w:w="4010" w:type="pct"/>
          </w:tcPr>
          <w:p>
            <w:pPr>
              <w:rPr>
                <w:rFonts w:ascii="Arial" w:hAnsi="Arial" w:cs="Arial"/>
                <w:sz w:val="24"/>
                <w:szCs w:val="24"/>
              </w:rPr>
            </w:pPr>
            <w:r>
              <w:rPr>
                <w:rFonts w:ascii="Arial" w:hAnsi="Arial" w:cs="Arial"/>
                <w:sz w:val="24"/>
                <w:szCs w:val="24"/>
              </w:rPr>
              <w:t>5. I integrate culturally familiar examples when teaching English.</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rPr>
          <w:trHeight w:val="263"/>
        </w:trPr>
        <w:tc>
          <w:tcPr>
            <w:tcW w:w="4010" w:type="pct"/>
            <w:hideMark/>
          </w:tcPr>
          <w:p>
            <w:pPr>
              <w:jc w:val="both"/>
              <w:rPr>
                <w:rFonts w:ascii="Arial" w:hAnsi="Arial" w:cs="Arial"/>
                <w:b/>
                <w:bCs/>
                <w:i/>
                <w:iCs/>
                <w:sz w:val="24"/>
                <w:szCs w:val="24"/>
                <w:lang w:eastAsia="en-PH"/>
              </w:rPr>
            </w:pPr>
            <w:r>
              <w:rPr>
                <w:rFonts w:ascii="Arial" w:hAnsi="Arial" w:cs="Arial"/>
                <w:b/>
                <w:bCs/>
                <w:i/>
                <w:iCs/>
                <w:sz w:val="24"/>
                <w:szCs w:val="24"/>
                <w:lang w:eastAsia="en-PH"/>
              </w:rPr>
              <w:t>C. Inquiry and Problem-Solving Support</w:t>
            </w:r>
          </w:p>
        </w:tc>
        <w:tc>
          <w:tcPr>
            <w:tcW w:w="208" w:type="pct"/>
          </w:tcPr>
          <w:p>
            <w:pPr>
              <w:jc w:val="both"/>
              <w:rPr>
                <w:rFonts w:ascii="Arial" w:hAnsi="Arial" w:cs="Arial"/>
                <w:b/>
                <w:bCs/>
                <w:sz w:val="24"/>
                <w:szCs w:val="24"/>
                <w:lang w:eastAsia="en-PH"/>
              </w:rPr>
            </w:pPr>
            <w:r>
              <w:rPr>
                <w:rFonts w:ascii="Arial" w:hAnsi="Arial" w:cs="Arial"/>
                <w:b/>
                <w:bCs/>
                <w:sz w:val="24"/>
                <w:szCs w:val="24"/>
                <w:lang w:eastAsia="en-PH"/>
              </w:rPr>
              <w:t>1</w:t>
            </w:r>
          </w:p>
        </w:tc>
        <w:tc>
          <w:tcPr>
            <w:tcW w:w="219" w:type="pct"/>
          </w:tcPr>
          <w:p>
            <w:pPr>
              <w:jc w:val="both"/>
              <w:rPr>
                <w:rFonts w:ascii="Arial" w:hAnsi="Arial" w:cs="Arial"/>
                <w:b/>
                <w:bCs/>
                <w:sz w:val="24"/>
                <w:szCs w:val="24"/>
                <w:lang w:eastAsia="en-PH"/>
              </w:rPr>
            </w:pPr>
            <w:r>
              <w:rPr>
                <w:rFonts w:ascii="Arial" w:hAnsi="Arial" w:cs="Arial"/>
                <w:b/>
                <w:bCs/>
                <w:sz w:val="24"/>
                <w:szCs w:val="24"/>
                <w:lang w:eastAsia="en-PH"/>
              </w:rPr>
              <w:t>2</w:t>
            </w:r>
          </w:p>
        </w:tc>
        <w:tc>
          <w:tcPr>
            <w:tcW w:w="223" w:type="pct"/>
          </w:tcPr>
          <w:p>
            <w:pPr>
              <w:jc w:val="both"/>
              <w:rPr>
                <w:rFonts w:ascii="Arial" w:hAnsi="Arial" w:cs="Arial"/>
                <w:b/>
                <w:bCs/>
                <w:sz w:val="24"/>
                <w:szCs w:val="24"/>
                <w:lang w:eastAsia="en-PH"/>
              </w:rPr>
            </w:pPr>
            <w:r>
              <w:rPr>
                <w:rFonts w:ascii="Arial" w:hAnsi="Arial" w:cs="Arial"/>
                <w:b/>
                <w:bCs/>
                <w:sz w:val="24"/>
                <w:szCs w:val="24"/>
                <w:lang w:eastAsia="en-PH"/>
              </w:rPr>
              <w:t>3</w:t>
            </w:r>
          </w:p>
        </w:tc>
        <w:tc>
          <w:tcPr>
            <w:tcW w:w="171" w:type="pct"/>
          </w:tcPr>
          <w:p>
            <w:pPr>
              <w:jc w:val="both"/>
              <w:rPr>
                <w:rFonts w:ascii="Arial" w:hAnsi="Arial" w:cs="Arial"/>
                <w:b/>
                <w:bCs/>
                <w:sz w:val="24"/>
                <w:szCs w:val="24"/>
                <w:lang w:eastAsia="en-PH"/>
              </w:rPr>
            </w:pPr>
            <w:r>
              <w:rPr>
                <w:rFonts w:ascii="Arial" w:hAnsi="Arial" w:cs="Arial"/>
                <w:b/>
                <w:bCs/>
                <w:sz w:val="24"/>
                <w:szCs w:val="24"/>
                <w:lang w:eastAsia="en-PH"/>
              </w:rPr>
              <w:t>4</w:t>
            </w:r>
          </w:p>
        </w:tc>
        <w:tc>
          <w:tcPr>
            <w:tcW w:w="169" w:type="pct"/>
          </w:tcPr>
          <w:p>
            <w:pPr>
              <w:jc w:val="both"/>
              <w:rPr>
                <w:rFonts w:ascii="Arial" w:hAnsi="Arial" w:cs="Arial"/>
                <w:b/>
                <w:bCs/>
                <w:sz w:val="24"/>
                <w:szCs w:val="24"/>
                <w:lang w:eastAsia="en-PH"/>
              </w:rPr>
            </w:pPr>
            <w:r>
              <w:rPr>
                <w:rFonts w:ascii="Arial" w:hAnsi="Arial" w:cs="Arial"/>
                <w:b/>
                <w:bCs/>
                <w:sz w:val="24"/>
                <w:szCs w:val="24"/>
                <w:lang w:eastAsia="en-PH"/>
              </w:rPr>
              <w:t>5</w:t>
            </w:r>
          </w:p>
        </w:tc>
      </w:tr>
      <w:tr>
        <w:trPr>
          <w:trHeight w:val="544"/>
        </w:trPr>
        <w:tc>
          <w:tcPr>
            <w:tcW w:w="4010" w:type="pct"/>
            <w:hideMark/>
          </w:tcPr>
          <w:p>
            <w:pPr>
              <w:rPr>
                <w:rFonts w:ascii="Arial" w:hAnsi="Arial" w:cs="Arial"/>
                <w:sz w:val="24"/>
                <w:szCs w:val="24"/>
              </w:rPr>
            </w:pPr>
            <w:r>
              <w:rPr>
                <w:rFonts w:ascii="Arial" w:hAnsi="Arial" w:cs="Arial"/>
                <w:sz w:val="24"/>
                <w:szCs w:val="24"/>
              </w:rPr>
              <w:t xml:space="preserve">1. I use technology to present real-life English-related problems. </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544"/>
        </w:trPr>
        <w:tc>
          <w:tcPr>
            <w:tcW w:w="4010" w:type="pct"/>
            <w:hideMark/>
          </w:tcPr>
          <w:p>
            <w:pPr>
              <w:rPr>
                <w:rFonts w:ascii="Arial" w:hAnsi="Arial" w:cs="Arial"/>
                <w:sz w:val="24"/>
                <w:szCs w:val="24"/>
              </w:rPr>
            </w:pPr>
            <w:r>
              <w:rPr>
                <w:rFonts w:ascii="Arial" w:hAnsi="Arial" w:cs="Arial"/>
                <w:sz w:val="24"/>
                <w:szCs w:val="24"/>
              </w:rPr>
              <w:t xml:space="preserve">2.  I design inquiry-based activities using digital tools. </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282"/>
        </w:trPr>
        <w:tc>
          <w:tcPr>
            <w:tcW w:w="4010" w:type="pct"/>
            <w:hideMark/>
          </w:tcPr>
          <w:p>
            <w:pPr>
              <w:rPr>
                <w:rFonts w:ascii="Arial" w:hAnsi="Arial" w:cs="Arial"/>
                <w:sz w:val="24"/>
                <w:szCs w:val="24"/>
              </w:rPr>
            </w:pPr>
            <w:r>
              <w:rPr>
                <w:rFonts w:ascii="Arial" w:hAnsi="Arial" w:cs="Arial"/>
                <w:sz w:val="24"/>
                <w:szCs w:val="24"/>
              </w:rPr>
              <w:t xml:space="preserve">3. I encourage learners to ask and explore questions through technology. </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263"/>
        </w:trPr>
        <w:tc>
          <w:tcPr>
            <w:tcW w:w="4010" w:type="pct"/>
          </w:tcPr>
          <w:p>
            <w:pPr>
              <w:rPr>
                <w:rFonts w:ascii="Arial" w:hAnsi="Arial" w:cs="Arial"/>
                <w:sz w:val="24"/>
                <w:szCs w:val="24"/>
              </w:rPr>
            </w:pPr>
            <w:r>
              <w:rPr>
                <w:rFonts w:ascii="Arial" w:hAnsi="Arial" w:cs="Arial"/>
                <w:sz w:val="24"/>
                <w:szCs w:val="24"/>
              </w:rPr>
              <w:t xml:space="preserve">4. I support critical thinking using technology-based tasks. </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rPr>
          <w:trHeight w:val="544"/>
        </w:trPr>
        <w:tc>
          <w:tcPr>
            <w:tcW w:w="4010" w:type="pct"/>
          </w:tcPr>
          <w:p>
            <w:pPr>
              <w:rPr>
                <w:rFonts w:ascii="Arial" w:hAnsi="Arial" w:cs="Arial"/>
                <w:sz w:val="24"/>
                <w:szCs w:val="24"/>
              </w:rPr>
            </w:pPr>
            <w:r>
              <w:rPr>
                <w:rFonts w:ascii="Arial" w:hAnsi="Arial" w:cs="Arial"/>
                <w:sz w:val="24"/>
                <w:szCs w:val="24"/>
              </w:rPr>
              <w:t>5. I guide learners in gathering and analyzing information digitally.</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rPr>
          <w:trHeight w:val="263"/>
        </w:trPr>
        <w:tc>
          <w:tcPr>
            <w:tcW w:w="4010" w:type="pct"/>
            <w:hideMark/>
          </w:tcPr>
          <w:p>
            <w:pPr>
              <w:jc w:val="both"/>
              <w:rPr>
                <w:rFonts w:ascii="Arial" w:hAnsi="Arial" w:cs="Arial"/>
                <w:b/>
                <w:bCs/>
                <w:i/>
                <w:iCs/>
                <w:sz w:val="24"/>
                <w:szCs w:val="24"/>
                <w:lang w:eastAsia="en-PH"/>
              </w:rPr>
            </w:pPr>
            <w:r>
              <w:rPr>
                <w:rFonts w:ascii="Arial" w:hAnsi="Arial" w:cs="Arial"/>
                <w:b/>
                <w:bCs/>
                <w:i/>
                <w:iCs/>
                <w:sz w:val="24"/>
                <w:szCs w:val="24"/>
                <w:lang w:eastAsia="en-PH"/>
              </w:rPr>
              <w:t>D. Technology-Mediated Dialogue and Collaboration</w:t>
            </w:r>
          </w:p>
        </w:tc>
        <w:tc>
          <w:tcPr>
            <w:tcW w:w="208" w:type="pct"/>
          </w:tcPr>
          <w:p>
            <w:pPr>
              <w:jc w:val="both"/>
              <w:rPr>
                <w:rFonts w:ascii="Arial" w:hAnsi="Arial" w:cs="Arial"/>
                <w:b/>
                <w:bCs/>
                <w:sz w:val="24"/>
                <w:szCs w:val="24"/>
                <w:lang w:eastAsia="en-PH"/>
              </w:rPr>
            </w:pPr>
            <w:r>
              <w:rPr>
                <w:rFonts w:ascii="Arial" w:hAnsi="Arial" w:cs="Arial"/>
                <w:b/>
                <w:bCs/>
                <w:sz w:val="24"/>
                <w:szCs w:val="24"/>
                <w:lang w:eastAsia="en-PH"/>
              </w:rPr>
              <w:t>1</w:t>
            </w:r>
          </w:p>
        </w:tc>
        <w:tc>
          <w:tcPr>
            <w:tcW w:w="219" w:type="pct"/>
          </w:tcPr>
          <w:p>
            <w:pPr>
              <w:jc w:val="both"/>
              <w:rPr>
                <w:rFonts w:ascii="Arial" w:hAnsi="Arial" w:cs="Arial"/>
                <w:b/>
                <w:bCs/>
                <w:sz w:val="24"/>
                <w:szCs w:val="24"/>
                <w:lang w:eastAsia="en-PH"/>
              </w:rPr>
            </w:pPr>
            <w:r>
              <w:rPr>
                <w:rFonts w:ascii="Arial" w:hAnsi="Arial" w:cs="Arial"/>
                <w:b/>
                <w:bCs/>
                <w:sz w:val="24"/>
                <w:szCs w:val="24"/>
                <w:lang w:eastAsia="en-PH"/>
              </w:rPr>
              <w:t>2</w:t>
            </w:r>
          </w:p>
        </w:tc>
        <w:tc>
          <w:tcPr>
            <w:tcW w:w="223" w:type="pct"/>
          </w:tcPr>
          <w:p>
            <w:pPr>
              <w:jc w:val="both"/>
              <w:rPr>
                <w:rFonts w:ascii="Arial" w:hAnsi="Arial" w:cs="Arial"/>
                <w:b/>
                <w:bCs/>
                <w:sz w:val="24"/>
                <w:szCs w:val="24"/>
                <w:lang w:eastAsia="en-PH"/>
              </w:rPr>
            </w:pPr>
            <w:r>
              <w:rPr>
                <w:rFonts w:ascii="Arial" w:hAnsi="Arial" w:cs="Arial"/>
                <w:b/>
                <w:bCs/>
                <w:sz w:val="24"/>
                <w:szCs w:val="24"/>
                <w:lang w:eastAsia="en-PH"/>
              </w:rPr>
              <w:t>3</w:t>
            </w:r>
          </w:p>
        </w:tc>
        <w:tc>
          <w:tcPr>
            <w:tcW w:w="171" w:type="pct"/>
          </w:tcPr>
          <w:p>
            <w:pPr>
              <w:jc w:val="both"/>
              <w:rPr>
                <w:rFonts w:ascii="Arial" w:hAnsi="Arial" w:cs="Arial"/>
                <w:b/>
                <w:bCs/>
                <w:sz w:val="24"/>
                <w:szCs w:val="24"/>
                <w:lang w:eastAsia="en-PH"/>
              </w:rPr>
            </w:pPr>
            <w:r>
              <w:rPr>
                <w:rFonts w:ascii="Arial" w:hAnsi="Arial" w:cs="Arial"/>
                <w:b/>
                <w:bCs/>
                <w:sz w:val="24"/>
                <w:szCs w:val="24"/>
                <w:lang w:eastAsia="en-PH"/>
              </w:rPr>
              <w:t>4</w:t>
            </w:r>
          </w:p>
        </w:tc>
        <w:tc>
          <w:tcPr>
            <w:tcW w:w="169" w:type="pct"/>
          </w:tcPr>
          <w:p>
            <w:pPr>
              <w:jc w:val="both"/>
              <w:rPr>
                <w:rFonts w:ascii="Arial" w:hAnsi="Arial" w:cs="Arial"/>
                <w:b/>
                <w:bCs/>
                <w:sz w:val="24"/>
                <w:szCs w:val="24"/>
                <w:lang w:eastAsia="en-PH"/>
              </w:rPr>
            </w:pPr>
            <w:r>
              <w:rPr>
                <w:rFonts w:ascii="Arial" w:hAnsi="Arial" w:cs="Arial"/>
                <w:b/>
                <w:bCs/>
                <w:sz w:val="24"/>
                <w:szCs w:val="24"/>
                <w:lang w:eastAsia="en-PH"/>
              </w:rPr>
              <w:t>5</w:t>
            </w:r>
          </w:p>
        </w:tc>
      </w:tr>
      <w:tr>
        <w:trPr>
          <w:trHeight w:val="544"/>
        </w:trPr>
        <w:tc>
          <w:tcPr>
            <w:tcW w:w="4010" w:type="pct"/>
            <w:hideMark/>
          </w:tcPr>
          <w:p>
            <w:pPr>
              <w:rPr>
                <w:rFonts w:ascii="Arial" w:hAnsi="Arial" w:cs="Arial"/>
                <w:sz w:val="24"/>
                <w:szCs w:val="24"/>
              </w:rPr>
            </w:pPr>
            <w:r>
              <w:rPr>
                <w:rFonts w:ascii="Arial" w:hAnsi="Arial" w:cs="Arial"/>
                <w:sz w:val="24"/>
                <w:szCs w:val="24"/>
              </w:rPr>
              <w:t xml:space="preserve">1. I use digital tools to facilitate interaction in English. </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544"/>
        </w:trPr>
        <w:tc>
          <w:tcPr>
            <w:tcW w:w="4010" w:type="pct"/>
            <w:hideMark/>
          </w:tcPr>
          <w:p>
            <w:pPr>
              <w:rPr>
                <w:rFonts w:ascii="Arial" w:hAnsi="Arial" w:cs="Arial"/>
                <w:sz w:val="24"/>
                <w:szCs w:val="24"/>
              </w:rPr>
            </w:pPr>
            <w:r>
              <w:rPr>
                <w:rFonts w:ascii="Arial" w:hAnsi="Arial" w:cs="Arial"/>
                <w:sz w:val="24"/>
                <w:szCs w:val="24"/>
              </w:rPr>
              <w:t xml:space="preserve">2. I design collaborative tasks using technology. </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282"/>
        </w:trPr>
        <w:tc>
          <w:tcPr>
            <w:tcW w:w="4010" w:type="pct"/>
            <w:hideMark/>
          </w:tcPr>
          <w:p>
            <w:pPr>
              <w:rPr>
                <w:rFonts w:ascii="Arial" w:hAnsi="Arial" w:cs="Arial"/>
                <w:sz w:val="24"/>
                <w:szCs w:val="24"/>
              </w:rPr>
            </w:pPr>
            <w:r>
              <w:rPr>
                <w:rFonts w:ascii="Arial" w:hAnsi="Arial" w:cs="Arial"/>
                <w:sz w:val="24"/>
                <w:szCs w:val="24"/>
              </w:rPr>
              <w:t xml:space="preserve">3.  I encourage peer feedback through digital platforms. </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263"/>
        </w:trPr>
        <w:tc>
          <w:tcPr>
            <w:tcW w:w="4010" w:type="pct"/>
          </w:tcPr>
          <w:p>
            <w:pPr>
              <w:rPr>
                <w:rFonts w:ascii="Arial" w:hAnsi="Arial" w:cs="Arial"/>
                <w:sz w:val="24"/>
                <w:szCs w:val="24"/>
              </w:rPr>
            </w:pPr>
            <w:r>
              <w:rPr>
                <w:rFonts w:ascii="Arial" w:hAnsi="Arial" w:cs="Arial"/>
                <w:sz w:val="24"/>
                <w:szCs w:val="24"/>
              </w:rPr>
              <w:t xml:space="preserve">4.  I support group work using technology. </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rPr>
          <w:trHeight w:val="544"/>
        </w:trPr>
        <w:tc>
          <w:tcPr>
            <w:tcW w:w="4010" w:type="pct"/>
          </w:tcPr>
          <w:p>
            <w:pPr>
              <w:rPr>
                <w:rFonts w:ascii="Arial" w:hAnsi="Arial" w:cs="Arial"/>
                <w:sz w:val="24"/>
                <w:szCs w:val="24"/>
              </w:rPr>
            </w:pPr>
            <w:r>
              <w:rPr>
                <w:rFonts w:ascii="Arial" w:hAnsi="Arial" w:cs="Arial"/>
                <w:sz w:val="24"/>
                <w:szCs w:val="24"/>
              </w:rPr>
              <w:t>5.  I promote communication and idea exchange through digital tools.</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rPr>
          <w:trHeight w:val="263"/>
        </w:trPr>
        <w:tc>
          <w:tcPr>
            <w:tcW w:w="4010" w:type="pct"/>
            <w:hideMark/>
          </w:tcPr>
          <w:p>
            <w:pPr>
              <w:jc w:val="both"/>
              <w:rPr>
                <w:rFonts w:ascii="Arial" w:hAnsi="Arial" w:cs="Arial"/>
                <w:b/>
                <w:bCs/>
                <w:i/>
                <w:iCs/>
                <w:sz w:val="24"/>
                <w:szCs w:val="24"/>
                <w:lang w:eastAsia="en-PH"/>
              </w:rPr>
            </w:pPr>
            <w:r>
              <w:rPr>
                <w:rFonts w:ascii="Arial" w:hAnsi="Arial" w:cs="Arial"/>
                <w:b/>
                <w:bCs/>
                <w:i/>
                <w:iCs/>
                <w:sz w:val="24"/>
                <w:szCs w:val="24"/>
                <w:lang w:eastAsia="en-PH"/>
              </w:rPr>
              <w:t>E. Culturally Responsive Task Design and Scaffolding</w:t>
            </w:r>
          </w:p>
        </w:tc>
        <w:tc>
          <w:tcPr>
            <w:tcW w:w="208" w:type="pct"/>
          </w:tcPr>
          <w:p>
            <w:pPr>
              <w:jc w:val="both"/>
              <w:rPr>
                <w:rFonts w:ascii="Arial" w:hAnsi="Arial" w:cs="Arial"/>
                <w:b/>
                <w:bCs/>
                <w:sz w:val="24"/>
                <w:szCs w:val="24"/>
                <w:lang w:eastAsia="en-PH"/>
              </w:rPr>
            </w:pPr>
            <w:r>
              <w:rPr>
                <w:rFonts w:ascii="Arial" w:hAnsi="Arial" w:cs="Arial"/>
                <w:b/>
                <w:bCs/>
                <w:sz w:val="24"/>
                <w:szCs w:val="24"/>
                <w:lang w:eastAsia="en-PH"/>
              </w:rPr>
              <w:t>1</w:t>
            </w:r>
          </w:p>
        </w:tc>
        <w:tc>
          <w:tcPr>
            <w:tcW w:w="219" w:type="pct"/>
          </w:tcPr>
          <w:p>
            <w:pPr>
              <w:jc w:val="both"/>
              <w:rPr>
                <w:rFonts w:ascii="Arial" w:hAnsi="Arial" w:cs="Arial"/>
                <w:b/>
                <w:bCs/>
                <w:sz w:val="24"/>
                <w:szCs w:val="24"/>
                <w:lang w:eastAsia="en-PH"/>
              </w:rPr>
            </w:pPr>
            <w:r>
              <w:rPr>
                <w:rFonts w:ascii="Arial" w:hAnsi="Arial" w:cs="Arial"/>
                <w:b/>
                <w:bCs/>
                <w:sz w:val="24"/>
                <w:szCs w:val="24"/>
                <w:lang w:eastAsia="en-PH"/>
              </w:rPr>
              <w:t>2</w:t>
            </w:r>
          </w:p>
        </w:tc>
        <w:tc>
          <w:tcPr>
            <w:tcW w:w="223" w:type="pct"/>
          </w:tcPr>
          <w:p>
            <w:pPr>
              <w:jc w:val="both"/>
              <w:rPr>
                <w:rFonts w:ascii="Arial" w:hAnsi="Arial" w:cs="Arial"/>
                <w:b/>
                <w:bCs/>
                <w:sz w:val="24"/>
                <w:szCs w:val="24"/>
                <w:lang w:eastAsia="en-PH"/>
              </w:rPr>
            </w:pPr>
            <w:r>
              <w:rPr>
                <w:rFonts w:ascii="Arial" w:hAnsi="Arial" w:cs="Arial"/>
                <w:b/>
                <w:bCs/>
                <w:sz w:val="24"/>
                <w:szCs w:val="24"/>
                <w:lang w:eastAsia="en-PH"/>
              </w:rPr>
              <w:t>3</w:t>
            </w:r>
          </w:p>
        </w:tc>
        <w:tc>
          <w:tcPr>
            <w:tcW w:w="171" w:type="pct"/>
          </w:tcPr>
          <w:p>
            <w:pPr>
              <w:jc w:val="both"/>
              <w:rPr>
                <w:rFonts w:ascii="Arial" w:hAnsi="Arial" w:cs="Arial"/>
                <w:b/>
                <w:bCs/>
                <w:sz w:val="24"/>
                <w:szCs w:val="24"/>
                <w:lang w:eastAsia="en-PH"/>
              </w:rPr>
            </w:pPr>
            <w:r>
              <w:rPr>
                <w:rFonts w:ascii="Arial" w:hAnsi="Arial" w:cs="Arial"/>
                <w:b/>
                <w:bCs/>
                <w:sz w:val="24"/>
                <w:szCs w:val="24"/>
                <w:lang w:eastAsia="en-PH"/>
              </w:rPr>
              <w:t>4</w:t>
            </w:r>
          </w:p>
        </w:tc>
        <w:tc>
          <w:tcPr>
            <w:tcW w:w="169" w:type="pct"/>
          </w:tcPr>
          <w:p>
            <w:pPr>
              <w:jc w:val="both"/>
              <w:rPr>
                <w:rFonts w:ascii="Arial" w:hAnsi="Arial" w:cs="Arial"/>
                <w:b/>
                <w:bCs/>
                <w:sz w:val="24"/>
                <w:szCs w:val="24"/>
                <w:lang w:eastAsia="en-PH"/>
              </w:rPr>
            </w:pPr>
            <w:r>
              <w:rPr>
                <w:rFonts w:ascii="Arial" w:hAnsi="Arial" w:cs="Arial"/>
                <w:b/>
                <w:bCs/>
                <w:sz w:val="24"/>
                <w:szCs w:val="24"/>
                <w:lang w:eastAsia="en-PH"/>
              </w:rPr>
              <w:t>5</w:t>
            </w:r>
          </w:p>
        </w:tc>
      </w:tr>
      <w:tr>
        <w:trPr>
          <w:trHeight w:val="544"/>
        </w:trPr>
        <w:tc>
          <w:tcPr>
            <w:tcW w:w="4010" w:type="pct"/>
            <w:hideMark/>
          </w:tcPr>
          <w:p>
            <w:pPr>
              <w:rPr>
                <w:rFonts w:ascii="Arial" w:hAnsi="Arial" w:cs="Arial"/>
                <w:sz w:val="24"/>
                <w:szCs w:val="24"/>
              </w:rPr>
            </w:pPr>
            <w:r>
              <w:rPr>
                <w:rFonts w:ascii="Arial" w:hAnsi="Arial" w:cs="Arial"/>
                <w:sz w:val="24"/>
                <w:szCs w:val="24"/>
              </w:rPr>
              <w:lastRenderedPageBreak/>
              <w:t>1. I design tasks reflecting Indigenous culture.</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544"/>
        </w:trPr>
        <w:tc>
          <w:tcPr>
            <w:tcW w:w="4010" w:type="pct"/>
            <w:hideMark/>
          </w:tcPr>
          <w:p>
            <w:pPr>
              <w:rPr>
                <w:rFonts w:ascii="Arial" w:hAnsi="Arial" w:cs="Arial"/>
                <w:sz w:val="24"/>
                <w:szCs w:val="24"/>
              </w:rPr>
            </w:pPr>
            <w:r>
              <w:rPr>
                <w:rFonts w:ascii="Arial" w:hAnsi="Arial" w:cs="Arial"/>
                <w:sz w:val="24"/>
                <w:szCs w:val="24"/>
              </w:rPr>
              <w:t>2. I integrate local knowledge using technology.</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282"/>
        </w:trPr>
        <w:tc>
          <w:tcPr>
            <w:tcW w:w="4010" w:type="pct"/>
            <w:hideMark/>
          </w:tcPr>
          <w:p>
            <w:pPr>
              <w:rPr>
                <w:rFonts w:ascii="Arial" w:hAnsi="Arial" w:cs="Arial"/>
                <w:sz w:val="24"/>
                <w:szCs w:val="24"/>
              </w:rPr>
            </w:pPr>
            <w:r>
              <w:rPr>
                <w:rFonts w:ascii="Arial" w:hAnsi="Arial" w:cs="Arial"/>
                <w:sz w:val="24"/>
                <w:szCs w:val="24"/>
              </w:rPr>
              <w:t>3. I provide scaffolding through digital tools.</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263"/>
        </w:trPr>
        <w:tc>
          <w:tcPr>
            <w:tcW w:w="4010" w:type="pct"/>
          </w:tcPr>
          <w:p>
            <w:pPr>
              <w:rPr>
                <w:rFonts w:ascii="Arial" w:hAnsi="Arial" w:cs="Arial"/>
                <w:sz w:val="24"/>
                <w:szCs w:val="24"/>
              </w:rPr>
            </w:pPr>
            <w:r>
              <w:rPr>
                <w:rFonts w:ascii="Arial" w:hAnsi="Arial" w:cs="Arial"/>
                <w:sz w:val="24"/>
                <w:szCs w:val="24"/>
              </w:rPr>
              <w:t>4. I adapt materials to learners’ cultural background.</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rPr>
          <w:trHeight w:val="544"/>
        </w:trPr>
        <w:tc>
          <w:tcPr>
            <w:tcW w:w="4010" w:type="pct"/>
          </w:tcPr>
          <w:p>
            <w:pPr>
              <w:rPr>
                <w:rFonts w:ascii="Arial" w:hAnsi="Arial" w:cs="Arial"/>
                <w:sz w:val="24"/>
                <w:szCs w:val="24"/>
              </w:rPr>
            </w:pPr>
            <w:r>
              <w:rPr>
                <w:rFonts w:ascii="Arial" w:hAnsi="Arial" w:cs="Arial"/>
                <w:sz w:val="24"/>
                <w:szCs w:val="24"/>
              </w:rPr>
              <w:t>5. I ensure technology respects Indigenous values.</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bl>
    <w:p>
      <w:pPr>
        <w:spacing w:before="100" w:beforeAutospacing="1" w:after="100" w:afterAutospacing="1" w:line="240" w:lineRule="auto"/>
        <w:jc w:val="both"/>
        <w:outlineLvl w:val="2"/>
        <w:rPr>
          <w:rFonts w:ascii="Arial" w:eastAsia="Times New Roman" w:hAnsi="Arial" w:cs="Arial"/>
          <w:b/>
          <w:bCs/>
          <w:lang w:eastAsia="en-PH"/>
        </w:rPr>
      </w:pPr>
      <w:r>
        <w:rPr>
          <w:rFonts w:ascii="Arial" w:eastAsia="Times New Roman" w:hAnsi="Arial" w:cs="Arial"/>
          <w:b/>
          <w:bCs/>
          <w:lang w:eastAsia="en-PH"/>
        </w:rPr>
        <w:t>PART IV : TEACHERS’ TECHNOLOGY INTEGRATION PRACTICES (PICRAT – TEACHER DIMENSION)</w:t>
      </w:r>
    </w:p>
    <w:p>
      <w:pPr>
        <w:spacing w:before="100" w:beforeAutospacing="1" w:after="100" w:afterAutospacing="1" w:line="240" w:lineRule="auto"/>
        <w:jc w:val="both"/>
        <w:outlineLvl w:val="2"/>
        <w:rPr>
          <w:rFonts w:ascii="Arial" w:eastAsia="Times New Roman" w:hAnsi="Arial" w:cs="Arial"/>
          <w:bCs/>
          <w:lang w:eastAsia="en-PH"/>
        </w:rPr>
      </w:pPr>
      <w:r>
        <w:rPr>
          <w:rFonts w:ascii="Arial" w:eastAsia="Times New Roman" w:hAnsi="Arial" w:cs="Arial"/>
          <w:bCs/>
          <w:lang w:eastAsia="en-PH"/>
        </w:rPr>
        <w:t>Please rate the extent to which you practice the following technology integration strategies in your English classes.</w:t>
      </w:r>
    </w:p>
    <w:p>
      <w:pPr>
        <w:spacing w:before="100" w:beforeAutospacing="1" w:after="100" w:afterAutospacing="1" w:line="240" w:lineRule="auto"/>
        <w:jc w:val="both"/>
        <w:outlineLvl w:val="2"/>
        <w:rPr>
          <w:rFonts w:ascii="Arial" w:eastAsia="Times New Roman" w:hAnsi="Arial" w:cs="Arial"/>
          <w:bCs/>
          <w:lang w:eastAsia="en-PH"/>
        </w:rPr>
      </w:pPr>
      <w:r>
        <w:rPr>
          <w:rFonts w:ascii="Arial" w:eastAsia="Times New Roman" w:hAnsi="Arial" w:cs="Arial"/>
          <w:bCs/>
          <w:lang w:eastAsia="en-PH"/>
        </w:rPr>
        <w:t>Legend (Level of Practice)</w:t>
      </w:r>
    </w:p>
    <w:p>
      <w:pPr>
        <w:spacing w:after="0" w:line="240" w:lineRule="auto"/>
        <w:ind w:left="720" w:firstLine="720"/>
        <w:jc w:val="both"/>
        <w:rPr>
          <w:rFonts w:ascii="Arial" w:eastAsia="Times New Roman" w:hAnsi="Arial" w:cs="Arial"/>
          <w:lang w:eastAsia="en-PH"/>
        </w:rPr>
      </w:pPr>
      <w:r>
        <w:rPr>
          <w:rFonts w:ascii="Arial" w:eastAsia="Times New Roman" w:hAnsi="Arial" w:cs="Arial"/>
          <w:lang w:eastAsia="en-PH"/>
        </w:rPr>
        <w:t>5 – Highly Practiced</w:t>
      </w:r>
    </w:p>
    <w:p>
      <w:pPr>
        <w:spacing w:after="0" w:line="240" w:lineRule="auto"/>
        <w:ind w:left="720" w:firstLine="720"/>
        <w:jc w:val="both"/>
        <w:rPr>
          <w:rFonts w:ascii="Arial" w:eastAsia="Times New Roman" w:hAnsi="Arial" w:cs="Arial"/>
          <w:lang w:eastAsia="en-PH"/>
        </w:rPr>
      </w:pPr>
      <w:r>
        <w:rPr>
          <w:rFonts w:ascii="Arial" w:eastAsia="Times New Roman" w:hAnsi="Arial" w:cs="Arial"/>
          <w:lang w:eastAsia="en-PH"/>
        </w:rPr>
        <w:t>4 – Practiced</w:t>
      </w:r>
    </w:p>
    <w:p>
      <w:pPr>
        <w:spacing w:after="0" w:line="240" w:lineRule="auto"/>
        <w:ind w:left="720" w:firstLine="720"/>
        <w:jc w:val="both"/>
        <w:rPr>
          <w:rFonts w:ascii="Arial" w:eastAsia="Times New Roman" w:hAnsi="Arial" w:cs="Arial"/>
          <w:lang w:eastAsia="en-PH"/>
        </w:rPr>
      </w:pPr>
      <w:r>
        <w:rPr>
          <w:rFonts w:ascii="Arial" w:eastAsia="Times New Roman" w:hAnsi="Arial" w:cs="Arial"/>
          <w:lang w:eastAsia="en-PH"/>
        </w:rPr>
        <w:t>3 – Moderately Practiced</w:t>
      </w:r>
    </w:p>
    <w:p>
      <w:pPr>
        <w:spacing w:after="0" w:line="240" w:lineRule="auto"/>
        <w:ind w:left="720" w:firstLine="720"/>
        <w:jc w:val="both"/>
        <w:rPr>
          <w:rFonts w:ascii="Arial" w:eastAsia="Times New Roman" w:hAnsi="Arial" w:cs="Arial"/>
          <w:lang w:eastAsia="en-PH"/>
        </w:rPr>
      </w:pPr>
      <w:r>
        <w:rPr>
          <w:rFonts w:ascii="Arial" w:eastAsia="Times New Roman" w:hAnsi="Arial" w:cs="Arial"/>
          <w:lang w:eastAsia="en-PH"/>
        </w:rPr>
        <w:t>2 – Slightly Practiced</w:t>
      </w:r>
    </w:p>
    <w:p>
      <w:pPr>
        <w:spacing w:after="0" w:line="240" w:lineRule="auto"/>
        <w:ind w:left="720" w:firstLine="720"/>
        <w:jc w:val="both"/>
        <w:rPr>
          <w:rFonts w:ascii="Arial" w:eastAsia="Times New Roman" w:hAnsi="Arial" w:cs="Arial"/>
          <w:lang w:eastAsia="en-PH"/>
        </w:rPr>
      </w:pPr>
      <w:r>
        <w:rPr>
          <w:rFonts w:ascii="Arial" w:eastAsia="Times New Roman" w:hAnsi="Arial" w:cs="Arial"/>
          <w:lang w:eastAsia="en-PH"/>
        </w:rPr>
        <w:t>1 – Not Practiced</w:t>
      </w:r>
    </w:p>
    <w:p>
      <w:pPr>
        <w:spacing w:after="0" w:line="240" w:lineRule="auto"/>
        <w:ind w:left="720" w:firstLine="720"/>
        <w:jc w:val="both"/>
        <w:rPr>
          <w:rFonts w:ascii="Arial" w:eastAsia="Times New Roman" w:hAnsi="Arial" w:cs="Arial"/>
          <w:lang w:eastAsia="en-PH"/>
        </w:rPr>
      </w:pPr>
    </w:p>
    <w:tbl>
      <w:tblPr>
        <w:tblStyle w:val="TableGrid"/>
        <w:tblW w:w="5049" w:type="pct"/>
        <w:tblLayout w:type="fixed"/>
        <w:tblLook w:val="04A0" w:firstRow="1" w:lastRow="0" w:firstColumn="1" w:lastColumn="0" w:noHBand="0" w:noVBand="1"/>
      </w:tblPr>
      <w:tblGrid>
        <w:gridCol w:w="6988"/>
        <w:gridCol w:w="363"/>
        <w:gridCol w:w="382"/>
        <w:gridCol w:w="389"/>
        <w:gridCol w:w="298"/>
        <w:gridCol w:w="295"/>
      </w:tblGrid>
      <w:tr>
        <w:trPr>
          <w:trHeight w:val="395"/>
        </w:trPr>
        <w:tc>
          <w:tcPr>
            <w:tcW w:w="4010" w:type="pct"/>
            <w:hideMark/>
          </w:tcPr>
          <w:p>
            <w:pPr>
              <w:jc w:val="both"/>
              <w:rPr>
                <w:rFonts w:ascii="Arial" w:hAnsi="Arial" w:cs="Arial"/>
                <w:b/>
                <w:bCs/>
                <w:i/>
                <w:iCs/>
                <w:sz w:val="24"/>
                <w:szCs w:val="24"/>
                <w:lang w:eastAsia="en-PH"/>
              </w:rPr>
            </w:pPr>
            <w:r>
              <w:rPr>
                <w:rFonts w:ascii="Arial" w:hAnsi="Arial" w:cs="Arial"/>
                <w:b/>
                <w:bCs/>
                <w:i/>
                <w:iCs/>
                <w:sz w:val="24"/>
                <w:szCs w:val="24"/>
                <w:lang w:eastAsia="en-PH"/>
              </w:rPr>
              <w:t>A. Replacement</w:t>
            </w:r>
          </w:p>
        </w:tc>
        <w:tc>
          <w:tcPr>
            <w:tcW w:w="208" w:type="pct"/>
          </w:tcPr>
          <w:p>
            <w:pPr>
              <w:jc w:val="both"/>
              <w:rPr>
                <w:rFonts w:ascii="Arial" w:hAnsi="Arial" w:cs="Arial"/>
                <w:b/>
                <w:bCs/>
                <w:sz w:val="24"/>
                <w:szCs w:val="24"/>
                <w:lang w:eastAsia="en-PH"/>
              </w:rPr>
            </w:pPr>
            <w:r>
              <w:rPr>
                <w:rFonts w:ascii="Arial" w:hAnsi="Arial" w:cs="Arial"/>
                <w:b/>
                <w:bCs/>
                <w:sz w:val="24"/>
                <w:szCs w:val="24"/>
                <w:lang w:eastAsia="en-PH"/>
              </w:rPr>
              <w:t>1</w:t>
            </w:r>
          </w:p>
        </w:tc>
        <w:tc>
          <w:tcPr>
            <w:tcW w:w="219" w:type="pct"/>
          </w:tcPr>
          <w:p>
            <w:pPr>
              <w:jc w:val="both"/>
              <w:rPr>
                <w:rFonts w:ascii="Arial" w:hAnsi="Arial" w:cs="Arial"/>
                <w:b/>
                <w:bCs/>
                <w:sz w:val="24"/>
                <w:szCs w:val="24"/>
                <w:lang w:eastAsia="en-PH"/>
              </w:rPr>
            </w:pPr>
            <w:r>
              <w:rPr>
                <w:rFonts w:ascii="Arial" w:hAnsi="Arial" w:cs="Arial"/>
                <w:b/>
                <w:bCs/>
                <w:sz w:val="24"/>
                <w:szCs w:val="24"/>
                <w:lang w:eastAsia="en-PH"/>
              </w:rPr>
              <w:t>2</w:t>
            </w:r>
          </w:p>
        </w:tc>
        <w:tc>
          <w:tcPr>
            <w:tcW w:w="223" w:type="pct"/>
          </w:tcPr>
          <w:p>
            <w:pPr>
              <w:jc w:val="both"/>
              <w:rPr>
                <w:rFonts w:ascii="Arial" w:hAnsi="Arial" w:cs="Arial"/>
                <w:b/>
                <w:bCs/>
                <w:sz w:val="24"/>
                <w:szCs w:val="24"/>
                <w:lang w:eastAsia="en-PH"/>
              </w:rPr>
            </w:pPr>
            <w:r>
              <w:rPr>
                <w:rFonts w:ascii="Arial" w:hAnsi="Arial" w:cs="Arial"/>
                <w:b/>
                <w:bCs/>
                <w:sz w:val="24"/>
                <w:szCs w:val="24"/>
                <w:lang w:eastAsia="en-PH"/>
              </w:rPr>
              <w:t>3</w:t>
            </w:r>
          </w:p>
        </w:tc>
        <w:tc>
          <w:tcPr>
            <w:tcW w:w="171" w:type="pct"/>
          </w:tcPr>
          <w:p>
            <w:pPr>
              <w:jc w:val="both"/>
              <w:rPr>
                <w:rFonts w:ascii="Arial" w:hAnsi="Arial" w:cs="Arial"/>
                <w:b/>
                <w:bCs/>
                <w:sz w:val="24"/>
                <w:szCs w:val="24"/>
                <w:lang w:eastAsia="en-PH"/>
              </w:rPr>
            </w:pPr>
            <w:r>
              <w:rPr>
                <w:rFonts w:ascii="Arial" w:hAnsi="Arial" w:cs="Arial"/>
                <w:b/>
                <w:bCs/>
                <w:sz w:val="24"/>
                <w:szCs w:val="24"/>
                <w:lang w:eastAsia="en-PH"/>
              </w:rPr>
              <w:t>4</w:t>
            </w:r>
          </w:p>
        </w:tc>
        <w:tc>
          <w:tcPr>
            <w:tcW w:w="169" w:type="pct"/>
          </w:tcPr>
          <w:p>
            <w:pPr>
              <w:jc w:val="both"/>
              <w:rPr>
                <w:rFonts w:ascii="Arial" w:hAnsi="Arial" w:cs="Arial"/>
                <w:b/>
                <w:bCs/>
                <w:sz w:val="24"/>
                <w:szCs w:val="24"/>
                <w:lang w:eastAsia="en-PH"/>
              </w:rPr>
            </w:pPr>
            <w:r>
              <w:rPr>
                <w:rFonts w:ascii="Arial" w:hAnsi="Arial" w:cs="Arial"/>
                <w:b/>
                <w:bCs/>
                <w:sz w:val="24"/>
                <w:szCs w:val="24"/>
                <w:lang w:eastAsia="en-PH"/>
              </w:rPr>
              <w:t>5</w:t>
            </w:r>
          </w:p>
        </w:tc>
      </w:tr>
      <w:tr>
        <w:trPr>
          <w:trHeight w:val="477"/>
        </w:trPr>
        <w:tc>
          <w:tcPr>
            <w:tcW w:w="4010" w:type="pct"/>
            <w:hideMark/>
          </w:tcPr>
          <w:p>
            <w:pPr>
              <w:rPr>
                <w:rFonts w:ascii="Arial" w:hAnsi="Arial" w:cs="Arial"/>
                <w:sz w:val="24"/>
                <w:szCs w:val="24"/>
              </w:rPr>
            </w:pPr>
            <w:r>
              <w:rPr>
                <w:rFonts w:ascii="Arial" w:hAnsi="Arial" w:cs="Arial"/>
                <w:sz w:val="24"/>
                <w:szCs w:val="24"/>
              </w:rPr>
              <w:t xml:space="preserve">1. Technology replaces traditional English teaching materials </w:t>
            </w:r>
          </w:p>
          <w:p>
            <w:pPr>
              <w:rPr>
                <w:rFonts w:ascii="Arial" w:hAnsi="Arial" w:cs="Arial"/>
                <w:sz w:val="24"/>
                <w:szCs w:val="24"/>
              </w:rPr>
            </w:pPr>
            <w:r>
              <w:rPr>
                <w:rFonts w:ascii="Arial" w:hAnsi="Arial" w:cs="Arial"/>
                <w:sz w:val="24"/>
                <w:szCs w:val="24"/>
              </w:rPr>
              <w:t xml:space="preserve">    without changing the task.</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280"/>
        </w:trPr>
        <w:tc>
          <w:tcPr>
            <w:tcW w:w="4010" w:type="pct"/>
            <w:hideMark/>
          </w:tcPr>
          <w:p>
            <w:pPr>
              <w:rPr>
                <w:rFonts w:ascii="Arial" w:hAnsi="Arial" w:cs="Arial"/>
                <w:sz w:val="24"/>
                <w:szCs w:val="24"/>
              </w:rPr>
            </w:pPr>
            <w:r>
              <w:rPr>
                <w:rFonts w:ascii="Arial" w:hAnsi="Arial" w:cs="Arial"/>
                <w:sz w:val="24"/>
                <w:szCs w:val="24"/>
              </w:rPr>
              <w:t>2. Digital slides replace chalkboard explanations in English lessons.</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128"/>
        </w:trPr>
        <w:tc>
          <w:tcPr>
            <w:tcW w:w="4010" w:type="pct"/>
          </w:tcPr>
          <w:p>
            <w:pPr>
              <w:rPr>
                <w:rFonts w:ascii="Arial" w:hAnsi="Arial" w:cs="Arial"/>
                <w:sz w:val="24"/>
                <w:szCs w:val="24"/>
              </w:rPr>
            </w:pPr>
            <w:r>
              <w:rPr>
                <w:rFonts w:ascii="Arial" w:hAnsi="Arial" w:cs="Arial"/>
                <w:sz w:val="24"/>
                <w:szCs w:val="24"/>
              </w:rPr>
              <w:t>3. Online texts replace printed English materials.</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rPr>
          <w:trHeight w:val="132"/>
        </w:trPr>
        <w:tc>
          <w:tcPr>
            <w:tcW w:w="4010" w:type="pct"/>
          </w:tcPr>
          <w:p>
            <w:pPr>
              <w:rPr>
                <w:rFonts w:ascii="Arial" w:hAnsi="Arial" w:cs="Arial"/>
                <w:sz w:val="24"/>
                <w:szCs w:val="24"/>
              </w:rPr>
            </w:pPr>
            <w:r>
              <w:rPr>
                <w:rFonts w:ascii="Arial" w:hAnsi="Arial" w:cs="Arial"/>
                <w:sz w:val="24"/>
                <w:szCs w:val="24"/>
              </w:rPr>
              <w:t>4. Digital quizzes replace paper-based English assessments.</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rPr>
          <w:trHeight w:val="58"/>
        </w:trPr>
        <w:tc>
          <w:tcPr>
            <w:tcW w:w="4010" w:type="pct"/>
          </w:tcPr>
          <w:p>
            <w:pPr>
              <w:rPr>
                <w:rFonts w:ascii="Arial" w:hAnsi="Arial" w:cs="Arial"/>
                <w:sz w:val="24"/>
                <w:szCs w:val="24"/>
              </w:rPr>
            </w:pPr>
            <w:r>
              <w:rPr>
                <w:rFonts w:ascii="Arial" w:hAnsi="Arial" w:cs="Arial"/>
                <w:sz w:val="24"/>
                <w:szCs w:val="24"/>
              </w:rPr>
              <w:t>5. English teaching strategies remain unchanged despite technology use.</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rPr>
          <w:trHeight w:val="263"/>
        </w:trPr>
        <w:tc>
          <w:tcPr>
            <w:tcW w:w="4010" w:type="pct"/>
            <w:hideMark/>
          </w:tcPr>
          <w:p>
            <w:pPr>
              <w:jc w:val="both"/>
              <w:rPr>
                <w:rFonts w:ascii="Arial" w:hAnsi="Arial" w:cs="Arial"/>
                <w:b/>
                <w:bCs/>
                <w:i/>
                <w:iCs/>
                <w:sz w:val="24"/>
                <w:szCs w:val="24"/>
                <w:lang w:eastAsia="en-PH"/>
              </w:rPr>
            </w:pPr>
            <w:r>
              <w:rPr>
                <w:rFonts w:ascii="Arial" w:hAnsi="Arial" w:cs="Arial"/>
                <w:b/>
                <w:bCs/>
                <w:i/>
                <w:iCs/>
                <w:sz w:val="24"/>
                <w:szCs w:val="24"/>
                <w:lang w:eastAsia="en-PH"/>
              </w:rPr>
              <w:t>B. Amplification</w:t>
            </w:r>
          </w:p>
        </w:tc>
        <w:tc>
          <w:tcPr>
            <w:tcW w:w="208" w:type="pct"/>
          </w:tcPr>
          <w:p>
            <w:pPr>
              <w:jc w:val="both"/>
              <w:rPr>
                <w:rFonts w:ascii="Arial" w:hAnsi="Arial" w:cs="Arial"/>
                <w:b/>
                <w:bCs/>
                <w:sz w:val="24"/>
                <w:szCs w:val="24"/>
                <w:lang w:eastAsia="en-PH"/>
              </w:rPr>
            </w:pPr>
            <w:r>
              <w:rPr>
                <w:rFonts w:ascii="Arial" w:hAnsi="Arial" w:cs="Arial"/>
                <w:b/>
                <w:bCs/>
                <w:sz w:val="24"/>
                <w:szCs w:val="24"/>
                <w:lang w:eastAsia="en-PH"/>
              </w:rPr>
              <w:t>1</w:t>
            </w:r>
          </w:p>
        </w:tc>
        <w:tc>
          <w:tcPr>
            <w:tcW w:w="219" w:type="pct"/>
          </w:tcPr>
          <w:p>
            <w:pPr>
              <w:jc w:val="both"/>
              <w:rPr>
                <w:rFonts w:ascii="Arial" w:hAnsi="Arial" w:cs="Arial"/>
                <w:b/>
                <w:bCs/>
                <w:sz w:val="24"/>
                <w:szCs w:val="24"/>
                <w:lang w:eastAsia="en-PH"/>
              </w:rPr>
            </w:pPr>
            <w:r>
              <w:rPr>
                <w:rFonts w:ascii="Arial" w:hAnsi="Arial" w:cs="Arial"/>
                <w:b/>
                <w:bCs/>
                <w:sz w:val="24"/>
                <w:szCs w:val="24"/>
                <w:lang w:eastAsia="en-PH"/>
              </w:rPr>
              <w:t>2</w:t>
            </w:r>
          </w:p>
        </w:tc>
        <w:tc>
          <w:tcPr>
            <w:tcW w:w="223" w:type="pct"/>
          </w:tcPr>
          <w:p>
            <w:pPr>
              <w:jc w:val="both"/>
              <w:rPr>
                <w:rFonts w:ascii="Arial" w:hAnsi="Arial" w:cs="Arial"/>
                <w:b/>
                <w:bCs/>
                <w:sz w:val="24"/>
                <w:szCs w:val="24"/>
                <w:lang w:eastAsia="en-PH"/>
              </w:rPr>
            </w:pPr>
            <w:r>
              <w:rPr>
                <w:rFonts w:ascii="Arial" w:hAnsi="Arial" w:cs="Arial"/>
                <w:b/>
                <w:bCs/>
                <w:sz w:val="24"/>
                <w:szCs w:val="24"/>
                <w:lang w:eastAsia="en-PH"/>
              </w:rPr>
              <w:t>3</w:t>
            </w:r>
          </w:p>
        </w:tc>
        <w:tc>
          <w:tcPr>
            <w:tcW w:w="171" w:type="pct"/>
          </w:tcPr>
          <w:p>
            <w:pPr>
              <w:jc w:val="both"/>
              <w:rPr>
                <w:rFonts w:ascii="Arial" w:hAnsi="Arial" w:cs="Arial"/>
                <w:b/>
                <w:bCs/>
                <w:sz w:val="24"/>
                <w:szCs w:val="24"/>
                <w:lang w:eastAsia="en-PH"/>
              </w:rPr>
            </w:pPr>
            <w:r>
              <w:rPr>
                <w:rFonts w:ascii="Arial" w:hAnsi="Arial" w:cs="Arial"/>
                <w:b/>
                <w:bCs/>
                <w:sz w:val="24"/>
                <w:szCs w:val="24"/>
                <w:lang w:eastAsia="en-PH"/>
              </w:rPr>
              <w:t>4</w:t>
            </w:r>
          </w:p>
        </w:tc>
        <w:tc>
          <w:tcPr>
            <w:tcW w:w="169" w:type="pct"/>
          </w:tcPr>
          <w:p>
            <w:pPr>
              <w:jc w:val="both"/>
              <w:rPr>
                <w:rFonts w:ascii="Arial" w:hAnsi="Arial" w:cs="Arial"/>
                <w:b/>
                <w:bCs/>
                <w:sz w:val="24"/>
                <w:szCs w:val="24"/>
                <w:lang w:eastAsia="en-PH"/>
              </w:rPr>
            </w:pPr>
            <w:r>
              <w:rPr>
                <w:rFonts w:ascii="Arial" w:hAnsi="Arial" w:cs="Arial"/>
                <w:b/>
                <w:bCs/>
                <w:sz w:val="24"/>
                <w:szCs w:val="24"/>
                <w:lang w:eastAsia="en-PH"/>
              </w:rPr>
              <w:t>5</w:t>
            </w:r>
          </w:p>
        </w:tc>
      </w:tr>
      <w:tr>
        <w:trPr>
          <w:trHeight w:val="263"/>
        </w:trPr>
        <w:tc>
          <w:tcPr>
            <w:tcW w:w="4010" w:type="pct"/>
            <w:hideMark/>
          </w:tcPr>
          <w:p>
            <w:pPr>
              <w:rPr>
                <w:rFonts w:ascii="Arial" w:hAnsi="Arial" w:cs="Arial"/>
                <w:sz w:val="24"/>
                <w:szCs w:val="24"/>
              </w:rPr>
            </w:pPr>
            <w:r>
              <w:rPr>
                <w:rFonts w:ascii="Arial" w:hAnsi="Arial" w:cs="Arial"/>
                <w:sz w:val="24"/>
                <w:szCs w:val="24"/>
              </w:rPr>
              <w:t>1. Technology improves clarity of English explanations.</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282"/>
        </w:trPr>
        <w:tc>
          <w:tcPr>
            <w:tcW w:w="4010" w:type="pct"/>
            <w:hideMark/>
          </w:tcPr>
          <w:p>
            <w:pPr>
              <w:rPr>
                <w:rFonts w:ascii="Arial" w:hAnsi="Arial" w:cs="Arial"/>
                <w:sz w:val="24"/>
                <w:szCs w:val="24"/>
              </w:rPr>
            </w:pPr>
            <w:r>
              <w:rPr>
                <w:rFonts w:ascii="Arial" w:hAnsi="Arial" w:cs="Arial"/>
                <w:sz w:val="24"/>
                <w:szCs w:val="24"/>
              </w:rPr>
              <w:t>2.  Digital tools make English lessons more efficient.</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263"/>
        </w:trPr>
        <w:tc>
          <w:tcPr>
            <w:tcW w:w="4010" w:type="pct"/>
            <w:hideMark/>
          </w:tcPr>
          <w:p>
            <w:pPr>
              <w:rPr>
                <w:rFonts w:ascii="Arial" w:hAnsi="Arial" w:cs="Arial"/>
                <w:sz w:val="24"/>
                <w:szCs w:val="24"/>
              </w:rPr>
            </w:pPr>
            <w:r>
              <w:rPr>
                <w:rFonts w:ascii="Arial" w:hAnsi="Arial" w:cs="Arial"/>
                <w:sz w:val="24"/>
                <w:szCs w:val="24"/>
              </w:rPr>
              <w:t>3.  Technology allows faster feedback on English tasks.</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544"/>
        </w:trPr>
        <w:tc>
          <w:tcPr>
            <w:tcW w:w="4010" w:type="pct"/>
          </w:tcPr>
          <w:p>
            <w:pPr>
              <w:rPr>
                <w:rFonts w:ascii="Arial" w:hAnsi="Arial" w:cs="Arial"/>
                <w:sz w:val="24"/>
                <w:szCs w:val="24"/>
              </w:rPr>
            </w:pPr>
            <w:r>
              <w:rPr>
                <w:rFonts w:ascii="Arial" w:hAnsi="Arial" w:cs="Arial"/>
                <w:sz w:val="24"/>
                <w:szCs w:val="24"/>
              </w:rPr>
              <w:t xml:space="preserve">4.  Multimedia improves learners’ understanding of English </w:t>
            </w:r>
          </w:p>
          <w:p>
            <w:pPr>
              <w:rPr>
                <w:rFonts w:ascii="Arial" w:hAnsi="Arial" w:cs="Arial"/>
                <w:sz w:val="24"/>
                <w:szCs w:val="24"/>
              </w:rPr>
            </w:pPr>
            <w:r>
              <w:rPr>
                <w:rFonts w:ascii="Arial" w:hAnsi="Arial" w:cs="Arial"/>
                <w:sz w:val="24"/>
                <w:szCs w:val="24"/>
              </w:rPr>
              <w:t xml:space="preserve">     concepts.</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rPr>
          <w:trHeight w:val="544"/>
        </w:trPr>
        <w:tc>
          <w:tcPr>
            <w:tcW w:w="4010" w:type="pct"/>
          </w:tcPr>
          <w:p>
            <w:pPr>
              <w:rPr>
                <w:rFonts w:ascii="Arial" w:hAnsi="Arial" w:cs="Arial"/>
                <w:sz w:val="24"/>
                <w:szCs w:val="24"/>
              </w:rPr>
            </w:pPr>
            <w:r>
              <w:rPr>
                <w:rFonts w:ascii="Arial" w:hAnsi="Arial" w:cs="Arial"/>
                <w:sz w:val="24"/>
                <w:szCs w:val="24"/>
              </w:rPr>
              <w:t xml:space="preserve">5.  Technology enhances classroom management in English </w:t>
            </w:r>
          </w:p>
          <w:p>
            <w:pPr>
              <w:rPr>
                <w:rFonts w:ascii="Arial" w:hAnsi="Arial" w:cs="Arial"/>
                <w:sz w:val="24"/>
                <w:szCs w:val="24"/>
              </w:rPr>
            </w:pPr>
            <w:r>
              <w:rPr>
                <w:rFonts w:ascii="Arial" w:hAnsi="Arial" w:cs="Arial"/>
                <w:sz w:val="24"/>
                <w:szCs w:val="24"/>
              </w:rPr>
              <w:t xml:space="preserve">     lessons.</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rPr>
          <w:trHeight w:val="263"/>
        </w:trPr>
        <w:tc>
          <w:tcPr>
            <w:tcW w:w="4010" w:type="pct"/>
            <w:hideMark/>
          </w:tcPr>
          <w:p>
            <w:pPr>
              <w:jc w:val="both"/>
              <w:rPr>
                <w:rFonts w:ascii="Arial" w:hAnsi="Arial" w:cs="Arial"/>
                <w:b/>
                <w:bCs/>
                <w:i/>
                <w:iCs/>
                <w:sz w:val="24"/>
                <w:szCs w:val="24"/>
                <w:lang w:eastAsia="en-PH"/>
              </w:rPr>
            </w:pPr>
            <w:r>
              <w:rPr>
                <w:rFonts w:ascii="Arial" w:hAnsi="Arial" w:cs="Arial"/>
                <w:b/>
                <w:bCs/>
                <w:i/>
                <w:iCs/>
                <w:sz w:val="24"/>
                <w:szCs w:val="24"/>
                <w:lang w:eastAsia="en-PH"/>
              </w:rPr>
              <w:t>C. Transformation</w:t>
            </w:r>
          </w:p>
        </w:tc>
        <w:tc>
          <w:tcPr>
            <w:tcW w:w="208" w:type="pct"/>
          </w:tcPr>
          <w:p>
            <w:pPr>
              <w:jc w:val="both"/>
              <w:rPr>
                <w:rFonts w:ascii="Arial" w:hAnsi="Arial" w:cs="Arial"/>
                <w:b/>
                <w:bCs/>
                <w:sz w:val="24"/>
                <w:szCs w:val="24"/>
                <w:lang w:eastAsia="en-PH"/>
              </w:rPr>
            </w:pPr>
            <w:r>
              <w:rPr>
                <w:rFonts w:ascii="Arial" w:hAnsi="Arial" w:cs="Arial"/>
                <w:b/>
                <w:bCs/>
                <w:sz w:val="24"/>
                <w:szCs w:val="24"/>
                <w:lang w:eastAsia="en-PH"/>
              </w:rPr>
              <w:t>1</w:t>
            </w:r>
          </w:p>
        </w:tc>
        <w:tc>
          <w:tcPr>
            <w:tcW w:w="219" w:type="pct"/>
          </w:tcPr>
          <w:p>
            <w:pPr>
              <w:jc w:val="both"/>
              <w:rPr>
                <w:rFonts w:ascii="Arial" w:hAnsi="Arial" w:cs="Arial"/>
                <w:b/>
                <w:bCs/>
                <w:sz w:val="24"/>
                <w:szCs w:val="24"/>
                <w:lang w:eastAsia="en-PH"/>
              </w:rPr>
            </w:pPr>
            <w:r>
              <w:rPr>
                <w:rFonts w:ascii="Arial" w:hAnsi="Arial" w:cs="Arial"/>
                <w:b/>
                <w:bCs/>
                <w:sz w:val="24"/>
                <w:szCs w:val="24"/>
                <w:lang w:eastAsia="en-PH"/>
              </w:rPr>
              <w:t>2</w:t>
            </w:r>
          </w:p>
        </w:tc>
        <w:tc>
          <w:tcPr>
            <w:tcW w:w="223" w:type="pct"/>
          </w:tcPr>
          <w:p>
            <w:pPr>
              <w:jc w:val="both"/>
              <w:rPr>
                <w:rFonts w:ascii="Arial" w:hAnsi="Arial" w:cs="Arial"/>
                <w:b/>
                <w:bCs/>
                <w:sz w:val="24"/>
                <w:szCs w:val="24"/>
                <w:lang w:eastAsia="en-PH"/>
              </w:rPr>
            </w:pPr>
            <w:r>
              <w:rPr>
                <w:rFonts w:ascii="Arial" w:hAnsi="Arial" w:cs="Arial"/>
                <w:b/>
                <w:bCs/>
                <w:sz w:val="24"/>
                <w:szCs w:val="24"/>
                <w:lang w:eastAsia="en-PH"/>
              </w:rPr>
              <w:t>3</w:t>
            </w:r>
          </w:p>
        </w:tc>
        <w:tc>
          <w:tcPr>
            <w:tcW w:w="171" w:type="pct"/>
          </w:tcPr>
          <w:p>
            <w:pPr>
              <w:jc w:val="both"/>
              <w:rPr>
                <w:rFonts w:ascii="Arial" w:hAnsi="Arial" w:cs="Arial"/>
                <w:b/>
                <w:bCs/>
                <w:sz w:val="24"/>
                <w:szCs w:val="24"/>
                <w:lang w:eastAsia="en-PH"/>
              </w:rPr>
            </w:pPr>
            <w:r>
              <w:rPr>
                <w:rFonts w:ascii="Arial" w:hAnsi="Arial" w:cs="Arial"/>
                <w:b/>
                <w:bCs/>
                <w:sz w:val="24"/>
                <w:szCs w:val="24"/>
                <w:lang w:eastAsia="en-PH"/>
              </w:rPr>
              <w:t>4</w:t>
            </w:r>
          </w:p>
        </w:tc>
        <w:tc>
          <w:tcPr>
            <w:tcW w:w="169" w:type="pct"/>
          </w:tcPr>
          <w:p>
            <w:pPr>
              <w:jc w:val="both"/>
              <w:rPr>
                <w:rFonts w:ascii="Arial" w:hAnsi="Arial" w:cs="Arial"/>
                <w:b/>
                <w:bCs/>
                <w:sz w:val="24"/>
                <w:szCs w:val="24"/>
                <w:lang w:eastAsia="en-PH"/>
              </w:rPr>
            </w:pPr>
            <w:r>
              <w:rPr>
                <w:rFonts w:ascii="Arial" w:hAnsi="Arial" w:cs="Arial"/>
                <w:b/>
                <w:bCs/>
                <w:sz w:val="24"/>
                <w:szCs w:val="24"/>
                <w:lang w:eastAsia="en-PH"/>
              </w:rPr>
              <w:t>5</w:t>
            </w:r>
          </w:p>
        </w:tc>
      </w:tr>
      <w:tr>
        <w:trPr>
          <w:trHeight w:val="544"/>
        </w:trPr>
        <w:tc>
          <w:tcPr>
            <w:tcW w:w="4010" w:type="pct"/>
            <w:hideMark/>
          </w:tcPr>
          <w:p>
            <w:pPr>
              <w:rPr>
                <w:rFonts w:ascii="Arial" w:hAnsi="Arial" w:cs="Arial"/>
                <w:sz w:val="24"/>
                <w:szCs w:val="24"/>
              </w:rPr>
            </w:pPr>
            <w:r>
              <w:rPr>
                <w:rFonts w:ascii="Arial" w:hAnsi="Arial" w:cs="Arial"/>
                <w:sz w:val="24"/>
                <w:szCs w:val="24"/>
              </w:rPr>
              <w:lastRenderedPageBreak/>
              <w:t xml:space="preserve">1.Technology enables English learning tasks that cannot be done </w:t>
            </w:r>
          </w:p>
          <w:p>
            <w:pPr>
              <w:rPr>
                <w:rFonts w:ascii="Arial" w:hAnsi="Arial" w:cs="Arial"/>
                <w:sz w:val="24"/>
                <w:szCs w:val="24"/>
              </w:rPr>
            </w:pPr>
            <w:r>
              <w:rPr>
                <w:rFonts w:ascii="Arial" w:hAnsi="Arial" w:cs="Arial"/>
                <w:sz w:val="24"/>
                <w:szCs w:val="24"/>
              </w:rPr>
              <w:t xml:space="preserve">   traditionally.</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544"/>
        </w:trPr>
        <w:tc>
          <w:tcPr>
            <w:tcW w:w="4010" w:type="pct"/>
            <w:hideMark/>
          </w:tcPr>
          <w:p>
            <w:pPr>
              <w:rPr>
                <w:rFonts w:ascii="Arial" w:hAnsi="Arial" w:cs="Arial"/>
                <w:sz w:val="24"/>
                <w:szCs w:val="24"/>
              </w:rPr>
            </w:pPr>
            <w:r>
              <w:rPr>
                <w:rFonts w:ascii="Arial" w:hAnsi="Arial" w:cs="Arial"/>
                <w:sz w:val="24"/>
                <w:szCs w:val="24"/>
              </w:rPr>
              <w:t xml:space="preserve">2. Learners engage in authentic English communication using  </w:t>
            </w:r>
          </w:p>
          <w:p>
            <w:pPr>
              <w:rPr>
                <w:rFonts w:ascii="Arial" w:hAnsi="Arial" w:cs="Arial"/>
                <w:sz w:val="24"/>
                <w:szCs w:val="24"/>
              </w:rPr>
            </w:pPr>
            <w:r>
              <w:rPr>
                <w:rFonts w:ascii="Arial" w:hAnsi="Arial" w:cs="Arial"/>
                <w:sz w:val="24"/>
                <w:szCs w:val="24"/>
              </w:rPr>
              <w:t xml:space="preserve">    technology.</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282"/>
        </w:trPr>
        <w:tc>
          <w:tcPr>
            <w:tcW w:w="4010" w:type="pct"/>
            <w:hideMark/>
          </w:tcPr>
          <w:p>
            <w:pPr>
              <w:rPr>
                <w:rFonts w:ascii="Arial" w:hAnsi="Arial" w:cs="Arial"/>
                <w:sz w:val="24"/>
                <w:szCs w:val="24"/>
              </w:rPr>
            </w:pPr>
            <w:r>
              <w:rPr>
                <w:rFonts w:ascii="Arial" w:hAnsi="Arial" w:cs="Arial"/>
                <w:sz w:val="24"/>
                <w:szCs w:val="24"/>
              </w:rPr>
              <w:t>3. Technology supports inquiry-based English learning.</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263"/>
        </w:trPr>
        <w:tc>
          <w:tcPr>
            <w:tcW w:w="4010" w:type="pct"/>
          </w:tcPr>
          <w:p>
            <w:pPr>
              <w:rPr>
                <w:rFonts w:ascii="Arial" w:hAnsi="Arial" w:cs="Arial"/>
                <w:sz w:val="24"/>
                <w:szCs w:val="24"/>
              </w:rPr>
            </w:pPr>
            <w:r>
              <w:rPr>
                <w:rFonts w:ascii="Arial" w:hAnsi="Arial" w:cs="Arial"/>
                <w:sz w:val="24"/>
                <w:szCs w:val="24"/>
              </w:rPr>
              <w:t>4. Technology facilitates meaningful English collaboration.</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rPr>
          <w:trHeight w:val="544"/>
        </w:trPr>
        <w:tc>
          <w:tcPr>
            <w:tcW w:w="4010" w:type="pct"/>
          </w:tcPr>
          <w:p>
            <w:pPr>
              <w:rPr>
                <w:rFonts w:ascii="Arial" w:hAnsi="Arial" w:cs="Arial"/>
                <w:sz w:val="24"/>
                <w:szCs w:val="24"/>
              </w:rPr>
            </w:pPr>
            <w:r>
              <w:rPr>
                <w:rFonts w:ascii="Arial" w:hAnsi="Arial" w:cs="Arial"/>
                <w:sz w:val="24"/>
                <w:szCs w:val="24"/>
              </w:rPr>
              <w:t xml:space="preserve">5. My English teaching strategies change because of technology </w:t>
            </w:r>
          </w:p>
          <w:p>
            <w:pPr>
              <w:rPr>
                <w:rFonts w:ascii="Arial" w:hAnsi="Arial" w:cs="Arial"/>
                <w:sz w:val="24"/>
                <w:szCs w:val="24"/>
              </w:rPr>
            </w:pPr>
            <w:r>
              <w:rPr>
                <w:rFonts w:ascii="Arial" w:hAnsi="Arial" w:cs="Arial"/>
                <w:sz w:val="24"/>
                <w:szCs w:val="24"/>
              </w:rPr>
              <w:t xml:space="preserve">    use.</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bl>
    <w:p>
      <w:pPr>
        <w:spacing w:before="100" w:beforeAutospacing="1" w:after="100" w:afterAutospacing="1" w:line="240" w:lineRule="auto"/>
        <w:jc w:val="both"/>
        <w:outlineLvl w:val="2"/>
        <w:rPr>
          <w:rFonts w:ascii="Arial" w:eastAsia="Times New Roman" w:hAnsi="Arial" w:cs="Arial"/>
          <w:b/>
          <w:bCs/>
          <w:lang w:eastAsia="en-PH"/>
        </w:rPr>
      </w:pPr>
      <w:r>
        <w:rPr>
          <w:rFonts w:ascii="Arial" w:eastAsia="Times New Roman" w:hAnsi="Arial" w:cs="Arial"/>
          <w:b/>
          <w:bCs/>
          <w:lang w:eastAsia="en-PH"/>
        </w:rPr>
        <w:t>PART V. CHALLENGES IN INDIGENIZING ENGLISH LANGUAGE TEACHING THROUGH TECHNOLOGY</w:t>
      </w:r>
    </w:p>
    <w:p>
      <w:pPr>
        <w:spacing w:before="100" w:beforeAutospacing="1" w:after="100" w:afterAutospacing="1" w:line="240" w:lineRule="auto"/>
        <w:jc w:val="both"/>
        <w:outlineLvl w:val="2"/>
        <w:rPr>
          <w:rFonts w:ascii="Arial" w:eastAsia="Times New Roman" w:hAnsi="Arial" w:cs="Arial"/>
          <w:b/>
          <w:bCs/>
          <w:lang w:eastAsia="en-PH"/>
        </w:rPr>
      </w:pPr>
      <w:r>
        <w:rPr>
          <w:rFonts w:ascii="Arial" w:eastAsia="Times New Roman" w:hAnsi="Arial" w:cs="Arial"/>
          <w:b/>
          <w:bCs/>
          <w:lang w:eastAsia="en-PH"/>
        </w:rPr>
        <w:t>Please rate the extent to which the following factors pose challenges in integrating technology in English instruction.</w:t>
      </w:r>
    </w:p>
    <w:p>
      <w:pPr>
        <w:spacing w:before="100" w:beforeAutospacing="1" w:after="100" w:afterAutospacing="1" w:line="240" w:lineRule="auto"/>
        <w:jc w:val="both"/>
        <w:outlineLvl w:val="2"/>
        <w:rPr>
          <w:rFonts w:ascii="Arial" w:eastAsia="Times New Roman" w:hAnsi="Arial" w:cs="Arial"/>
          <w:b/>
          <w:bCs/>
          <w:lang w:eastAsia="en-PH"/>
        </w:rPr>
      </w:pPr>
      <w:r>
        <w:rPr>
          <w:rFonts w:ascii="Arial" w:eastAsia="Times New Roman" w:hAnsi="Arial" w:cs="Arial"/>
          <w:b/>
          <w:bCs/>
          <w:lang w:eastAsia="en-PH"/>
        </w:rPr>
        <w:t>Suggested Legend (Extent of Challenge)</w:t>
      </w:r>
    </w:p>
    <w:p>
      <w:pPr>
        <w:spacing w:after="0" w:line="240" w:lineRule="auto"/>
        <w:ind w:left="284" w:hanging="284"/>
        <w:jc w:val="both"/>
        <w:outlineLvl w:val="2"/>
        <w:rPr>
          <w:rFonts w:ascii="Arial" w:eastAsia="Times New Roman" w:hAnsi="Arial" w:cs="Arial"/>
          <w:bCs/>
          <w:lang w:eastAsia="en-PH"/>
        </w:rPr>
      </w:pPr>
      <w:r>
        <w:rPr>
          <w:rFonts w:ascii="Arial" w:eastAsia="Times New Roman" w:hAnsi="Arial" w:cs="Arial"/>
          <w:bCs/>
          <w:lang w:eastAsia="en-PH"/>
        </w:rPr>
        <w:tab/>
      </w:r>
      <w:r>
        <w:rPr>
          <w:rFonts w:ascii="Arial" w:eastAsia="Times New Roman" w:hAnsi="Arial" w:cs="Arial"/>
          <w:bCs/>
          <w:lang w:eastAsia="en-PH"/>
        </w:rPr>
        <w:tab/>
      </w:r>
      <w:r>
        <w:rPr>
          <w:rFonts w:ascii="Arial" w:eastAsia="Times New Roman" w:hAnsi="Arial" w:cs="Arial"/>
          <w:bCs/>
          <w:lang w:eastAsia="en-PH"/>
        </w:rPr>
        <w:tab/>
        <w:t>5 – Very Highly Challenging</w:t>
      </w:r>
    </w:p>
    <w:p>
      <w:pPr>
        <w:spacing w:after="0" w:line="240" w:lineRule="auto"/>
        <w:ind w:left="284" w:hanging="284"/>
        <w:jc w:val="both"/>
        <w:outlineLvl w:val="2"/>
        <w:rPr>
          <w:rFonts w:ascii="Arial" w:eastAsia="Times New Roman" w:hAnsi="Arial" w:cs="Arial"/>
          <w:bCs/>
          <w:lang w:eastAsia="en-PH"/>
        </w:rPr>
      </w:pPr>
      <w:r>
        <w:rPr>
          <w:rFonts w:ascii="Arial" w:eastAsia="Times New Roman" w:hAnsi="Arial" w:cs="Arial"/>
          <w:bCs/>
          <w:lang w:eastAsia="en-PH"/>
        </w:rPr>
        <w:tab/>
      </w:r>
      <w:r>
        <w:rPr>
          <w:rFonts w:ascii="Arial" w:eastAsia="Times New Roman" w:hAnsi="Arial" w:cs="Arial"/>
          <w:bCs/>
          <w:lang w:eastAsia="en-PH"/>
        </w:rPr>
        <w:tab/>
      </w:r>
      <w:r>
        <w:rPr>
          <w:rFonts w:ascii="Arial" w:eastAsia="Times New Roman" w:hAnsi="Arial" w:cs="Arial"/>
          <w:bCs/>
          <w:lang w:eastAsia="en-PH"/>
        </w:rPr>
        <w:tab/>
        <w:t>4 – Highly Challenging</w:t>
      </w:r>
    </w:p>
    <w:p>
      <w:pPr>
        <w:spacing w:after="0" w:line="240" w:lineRule="auto"/>
        <w:ind w:left="284" w:hanging="284"/>
        <w:jc w:val="both"/>
        <w:outlineLvl w:val="2"/>
        <w:rPr>
          <w:rFonts w:ascii="Arial" w:eastAsia="Times New Roman" w:hAnsi="Arial" w:cs="Arial"/>
          <w:bCs/>
          <w:lang w:eastAsia="en-PH"/>
        </w:rPr>
      </w:pPr>
      <w:r>
        <w:rPr>
          <w:rFonts w:ascii="Arial" w:eastAsia="Times New Roman" w:hAnsi="Arial" w:cs="Arial"/>
          <w:bCs/>
          <w:lang w:eastAsia="en-PH"/>
        </w:rPr>
        <w:tab/>
      </w:r>
      <w:r>
        <w:rPr>
          <w:rFonts w:ascii="Arial" w:eastAsia="Times New Roman" w:hAnsi="Arial" w:cs="Arial"/>
          <w:bCs/>
          <w:lang w:eastAsia="en-PH"/>
        </w:rPr>
        <w:tab/>
      </w:r>
      <w:r>
        <w:rPr>
          <w:rFonts w:ascii="Arial" w:eastAsia="Times New Roman" w:hAnsi="Arial" w:cs="Arial"/>
          <w:bCs/>
          <w:lang w:eastAsia="en-PH"/>
        </w:rPr>
        <w:tab/>
        <w:t>3 – Moderately Challenging</w:t>
      </w:r>
    </w:p>
    <w:p>
      <w:pPr>
        <w:spacing w:after="0" w:line="240" w:lineRule="auto"/>
        <w:ind w:left="284" w:hanging="284"/>
        <w:jc w:val="both"/>
        <w:outlineLvl w:val="2"/>
        <w:rPr>
          <w:rFonts w:ascii="Arial" w:eastAsia="Times New Roman" w:hAnsi="Arial" w:cs="Arial"/>
          <w:bCs/>
          <w:lang w:eastAsia="en-PH"/>
        </w:rPr>
      </w:pPr>
      <w:r>
        <w:rPr>
          <w:rFonts w:ascii="Arial" w:eastAsia="Times New Roman" w:hAnsi="Arial" w:cs="Arial"/>
          <w:bCs/>
          <w:lang w:eastAsia="en-PH"/>
        </w:rPr>
        <w:tab/>
      </w:r>
      <w:r>
        <w:rPr>
          <w:rFonts w:ascii="Arial" w:eastAsia="Times New Roman" w:hAnsi="Arial" w:cs="Arial"/>
          <w:bCs/>
          <w:lang w:eastAsia="en-PH"/>
        </w:rPr>
        <w:tab/>
      </w:r>
      <w:r>
        <w:rPr>
          <w:rFonts w:ascii="Arial" w:eastAsia="Times New Roman" w:hAnsi="Arial" w:cs="Arial"/>
          <w:bCs/>
          <w:lang w:eastAsia="en-PH"/>
        </w:rPr>
        <w:tab/>
        <w:t>2 – Slightly Challenging</w:t>
      </w:r>
    </w:p>
    <w:p>
      <w:pPr>
        <w:spacing w:after="0" w:line="240" w:lineRule="auto"/>
        <w:ind w:left="284" w:hanging="284"/>
        <w:jc w:val="both"/>
        <w:outlineLvl w:val="2"/>
        <w:rPr>
          <w:rFonts w:ascii="Arial" w:eastAsia="Times New Roman" w:hAnsi="Arial" w:cs="Arial"/>
          <w:bCs/>
          <w:lang w:eastAsia="en-PH"/>
        </w:rPr>
      </w:pPr>
      <w:r>
        <w:rPr>
          <w:rFonts w:ascii="Arial" w:eastAsia="Times New Roman" w:hAnsi="Arial" w:cs="Arial"/>
          <w:bCs/>
          <w:lang w:eastAsia="en-PH"/>
        </w:rPr>
        <w:tab/>
      </w:r>
      <w:r>
        <w:rPr>
          <w:rFonts w:ascii="Arial" w:eastAsia="Times New Roman" w:hAnsi="Arial" w:cs="Arial"/>
          <w:bCs/>
          <w:lang w:eastAsia="en-PH"/>
        </w:rPr>
        <w:tab/>
      </w:r>
      <w:r>
        <w:rPr>
          <w:rFonts w:ascii="Arial" w:eastAsia="Times New Roman" w:hAnsi="Arial" w:cs="Arial"/>
          <w:bCs/>
          <w:lang w:eastAsia="en-PH"/>
        </w:rPr>
        <w:tab/>
        <w:t>1 – Not Challenging</w:t>
      </w:r>
    </w:p>
    <w:p>
      <w:pPr>
        <w:spacing w:after="0" w:line="240" w:lineRule="auto"/>
        <w:ind w:left="284" w:hanging="284"/>
        <w:jc w:val="both"/>
        <w:outlineLvl w:val="2"/>
        <w:rPr>
          <w:rFonts w:ascii="Arial" w:eastAsia="Times New Roman" w:hAnsi="Arial" w:cs="Arial"/>
          <w:bCs/>
          <w:lang w:eastAsia="en-PH"/>
        </w:rPr>
      </w:pPr>
    </w:p>
    <w:tbl>
      <w:tblPr>
        <w:tblStyle w:val="TableGrid"/>
        <w:tblW w:w="5000" w:type="pct"/>
        <w:tblLayout w:type="fixed"/>
        <w:tblLook w:val="04A0" w:firstRow="1" w:lastRow="0" w:firstColumn="1" w:lastColumn="0" w:noHBand="0" w:noVBand="1"/>
      </w:tblPr>
      <w:tblGrid>
        <w:gridCol w:w="6921"/>
        <w:gridCol w:w="359"/>
        <w:gridCol w:w="378"/>
        <w:gridCol w:w="385"/>
        <w:gridCol w:w="295"/>
        <w:gridCol w:w="292"/>
      </w:tblGrid>
      <w:tr>
        <w:trPr>
          <w:trHeight w:val="394"/>
        </w:trPr>
        <w:tc>
          <w:tcPr>
            <w:tcW w:w="4010" w:type="pct"/>
            <w:hideMark/>
          </w:tcPr>
          <w:p>
            <w:pPr>
              <w:jc w:val="both"/>
              <w:rPr>
                <w:rFonts w:ascii="Arial" w:hAnsi="Arial" w:cs="Arial"/>
                <w:b/>
                <w:bCs/>
                <w:i/>
                <w:iCs/>
                <w:sz w:val="24"/>
                <w:szCs w:val="24"/>
                <w:lang w:eastAsia="en-PH"/>
              </w:rPr>
            </w:pPr>
            <w:r>
              <w:rPr>
                <w:rFonts w:ascii="Arial" w:hAnsi="Arial" w:cs="Arial"/>
                <w:b/>
                <w:bCs/>
                <w:i/>
                <w:iCs/>
                <w:sz w:val="24"/>
                <w:szCs w:val="24"/>
                <w:lang w:eastAsia="en-PH"/>
              </w:rPr>
              <w:t>A. Replacement</w:t>
            </w:r>
          </w:p>
        </w:tc>
        <w:tc>
          <w:tcPr>
            <w:tcW w:w="208" w:type="pct"/>
          </w:tcPr>
          <w:p>
            <w:pPr>
              <w:jc w:val="both"/>
              <w:rPr>
                <w:rFonts w:ascii="Arial" w:hAnsi="Arial" w:cs="Arial"/>
                <w:b/>
                <w:bCs/>
                <w:sz w:val="24"/>
                <w:szCs w:val="24"/>
                <w:lang w:eastAsia="en-PH"/>
              </w:rPr>
            </w:pPr>
            <w:r>
              <w:rPr>
                <w:rFonts w:ascii="Arial" w:hAnsi="Arial" w:cs="Arial"/>
                <w:b/>
                <w:bCs/>
                <w:sz w:val="24"/>
                <w:szCs w:val="24"/>
                <w:lang w:eastAsia="en-PH"/>
              </w:rPr>
              <w:t>1</w:t>
            </w:r>
          </w:p>
        </w:tc>
        <w:tc>
          <w:tcPr>
            <w:tcW w:w="219" w:type="pct"/>
          </w:tcPr>
          <w:p>
            <w:pPr>
              <w:jc w:val="both"/>
              <w:rPr>
                <w:rFonts w:ascii="Arial" w:hAnsi="Arial" w:cs="Arial"/>
                <w:b/>
                <w:bCs/>
                <w:sz w:val="24"/>
                <w:szCs w:val="24"/>
                <w:lang w:eastAsia="en-PH"/>
              </w:rPr>
            </w:pPr>
            <w:r>
              <w:rPr>
                <w:rFonts w:ascii="Arial" w:hAnsi="Arial" w:cs="Arial"/>
                <w:b/>
                <w:bCs/>
                <w:sz w:val="24"/>
                <w:szCs w:val="24"/>
                <w:lang w:eastAsia="en-PH"/>
              </w:rPr>
              <w:t>2</w:t>
            </w:r>
          </w:p>
        </w:tc>
        <w:tc>
          <w:tcPr>
            <w:tcW w:w="223" w:type="pct"/>
          </w:tcPr>
          <w:p>
            <w:pPr>
              <w:jc w:val="both"/>
              <w:rPr>
                <w:rFonts w:ascii="Arial" w:hAnsi="Arial" w:cs="Arial"/>
                <w:b/>
                <w:bCs/>
                <w:sz w:val="24"/>
                <w:szCs w:val="24"/>
                <w:lang w:eastAsia="en-PH"/>
              </w:rPr>
            </w:pPr>
            <w:r>
              <w:rPr>
                <w:rFonts w:ascii="Arial" w:hAnsi="Arial" w:cs="Arial"/>
                <w:b/>
                <w:bCs/>
                <w:sz w:val="24"/>
                <w:szCs w:val="24"/>
                <w:lang w:eastAsia="en-PH"/>
              </w:rPr>
              <w:t>3</w:t>
            </w:r>
          </w:p>
        </w:tc>
        <w:tc>
          <w:tcPr>
            <w:tcW w:w="171" w:type="pct"/>
          </w:tcPr>
          <w:p>
            <w:pPr>
              <w:jc w:val="both"/>
              <w:rPr>
                <w:rFonts w:ascii="Arial" w:hAnsi="Arial" w:cs="Arial"/>
                <w:b/>
                <w:bCs/>
                <w:sz w:val="24"/>
                <w:szCs w:val="24"/>
                <w:lang w:eastAsia="en-PH"/>
              </w:rPr>
            </w:pPr>
            <w:r>
              <w:rPr>
                <w:rFonts w:ascii="Arial" w:hAnsi="Arial" w:cs="Arial"/>
                <w:b/>
                <w:bCs/>
                <w:sz w:val="24"/>
                <w:szCs w:val="24"/>
                <w:lang w:eastAsia="en-PH"/>
              </w:rPr>
              <w:t>4</w:t>
            </w:r>
          </w:p>
        </w:tc>
        <w:tc>
          <w:tcPr>
            <w:tcW w:w="169" w:type="pct"/>
          </w:tcPr>
          <w:p>
            <w:pPr>
              <w:jc w:val="both"/>
              <w:rPr>
                <w:rFonts w:ascii="Arial" w:hAnsi="Arial" w:cs="Arial"/>
                <w:b/>
                <w:bCs/>
                <w:sz w:val="24"/>
                <w:szCs w:val="24"/>
                <w:lang w:eastAsia="en-PH"/>
              </w:rPr>
            </w:pPr>
            <w:r>
              <w:rPr>
                <w:rFonts w:ascii="Arial" w:hAnsi="Arial" w:cs="Arial"/>
                <w:b/>
                <w:bCs/>
                <w:sz w:val="24"/>
                <w:szCs w:val="24"/>
                <w:lang w:eastAsia="en-PH"/>
              </w:rPr>
              <w:t>5</w:t>
            </w:r>
          </w:p>
        </w:tc>
      </w:tr>
      <w:tr>
        <w:trPr>
          <w:trHeight w:val="475"/>
        </w:trPr>
        <w:tc>
          <w:tcPr>
            <w:tcW w:w="4010" w:type="pct"/>
            <w:hideMark/>
          </w:tcPr>
          <w:p>
            <w:pPr>
              <w:rPr>
                <w:rFonts w:ascii="Arial" w:hAnsi="Arial" w:cs="Arial"/>
                <w:sz w:val="24"/>
                <w:szCs w:val="24"/>
              </w:rPr>
            </w:pPr>
            <w:r>
              <w:rPr>
                <w:rFonts w:ascii="Arial" w:hAnsi="Arial" w:cs="Arial"/>
                <w:sz w:val="24"/>
                <w:szCs w:val="24"/>
              </w:rPr>
              <w:t>1. Limited digital devices affect technology integration in ELT.</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279"/>
        </w:trPr>
        <w:tc>
          <w:tcPr>
            <w:tcW w:w="4010" w:type="pct"/>
            <w:hideMark/>
          </w:tcPr>
          <w:p>
            <w:pPr>
              <w:rPr>
                <w:rFonts w:ascii="Arial" w:hAnsi="Arial" w:cs="Arial"/>
                <w:sz w:val="24"/>
                <w:szCs w:val="24"/>
              </w:rPr>
            </w:pPr>
            <w:r>
              <w:rPr>
                <w:rFonts w:ascii="Arial" w:hAnsi="Arial" w:cs="Arial"/>
                <w:sz w:val="24"/>
                <w:szCs w:val="24"/>
              </w:rPr>
              <w:t>2. Poor internet connectivity limits technology-supported English activities.</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rPr>
          <w:trHeight w:val="128"/>
        </w:trPr>
        <w:tc>
          <w:tcPr>
            <w:tcW w:w="4010" w:type="pct"/>
          </w:tcPr>
          <w:p>
            <w:pPr>
              <w:rPr>
                <w:rFonts w:ascii="Arial" w:hAnsi="Arial" w:cs="Arial"/>
                <w:sz w:val="24"/>
                <w:szCs w:val="24"/>
              </w:rPr>
            </w:pPr>
            <w:r>
              <w:rPr>
                <w:rFonts w:ascii="Arial" w:hAnsi="Arial" w:cs="Arial"/>
                <w:sz w:val="24"/>
                <w:szCs w:val="24"/>
              </w:rPr>
              <w:t>3. I lack sufficient training in technology-integrated ELT.</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rPr>
          <w:trHeight w:val="132"/>
        </w:trPr>
        <w:tc>
          <w:tcPr>
            <w:tcW w:w="4010" w:type="pct"/>
          </w:tcPr>
          <w:p>
            <w:pPr>
              <w:rPr>
                <w:rFonts w:ascii="Arial" w:hAnsi="Arial" w:cs="Arial"/>
                <w:sz w:val="24"/>
                <w:szCs w:val="24"/>
              </w:rPr>
            </w:pPr>
            <w:r>
              <w:rPr>
                <w:rFonts w:ascii="Arial" w:hAnsi="Arial" w:cs="Arial"/>
                <w:sz w:val="24"/>
                <w:szCs w:val="24"/>
              </w:rPr>
              <w:t xml:space="preserve">4. Designing culturally responsive digital English tasks is </w:t>
            </w:r>
          </w:p>
          <w:p>
            <w:pPr>
              <w:rPr>
                <w:rFonts w:ascii="Arial" w:hAnsi="Arial" w:cs="Arial"/>
                <w:sz w:val="24"/>
                <w:szCs w:val="24"/>
              </w:rPr>
            </w:pPr>
            <w:r>
              <w:rPr>
                <w:rFonts w:ascii="Arial" w:hAnsi="Arial" w:cs="Arial"/>
                <w:sz w:val="24"/>
                <w:szCs w:val="24"/>
              </w:rPr>
              <w:t xml:space="preserve">    challenging.</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rPr>
          <w:trHeight w:val="58"/>
        </w:trPr>
        <w:tc>
          <w:tcPr>
            <w:tcW w:w="4010" w:type="pct"/>
          </w:tcPr>
          <w:p>
            <w:pPr>
              <w:rPr>
                <w:rFonts w:ascii="Arial" w:hAnsi="Arial" w:cs="Arial"/>
                <w:sz w:val="24"/>
                <w:szCs w:val="24"/>
              </w:rPr>
            </w:pPr>
            <w:r>
              <w:rPr>
                <w:rFonts w:ascii="Arial" w:hAnsi="Arial" w:cs="Arial"/>
                <w:sz w:val="24"/>
                <w:szCs w:val="24"/>
              </w:rPr>
              <w:t xml:space="preserve">5. Creating technology-supported English tasks that promote </w:t>
            </w:r>
          </w:p>
          <w:p>
            <w:pPr>
              <w:rPr>
                <w:rFonts w:ascii="Arial" w:hAnsi="Arial" w:cs="Arial"/>
                <w:sz w:val="24"/>
                <w:szCs w:val="24"/>
              </w:rPr>
            </w:pPr>
            <w:r>
              <w:rPr>
                <w:rFonts w:ascii="Arial" w:hAnsi="Arial" w:cs="Arial"/>
                <w:sz w:val="24"/>
                <w:szCs w:val="24"/>
              </w:rPr>
              <w:t xml:space="preserve">    thinking is difficult.</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c>
          <w:tcPr>
            <w:tcW w:w="4010" w:type="pct"/>
            <w:hideMark/>
          </w:tcPr>
          <w:p>
            <w:pPr>
              <w:rPr>
                <w:rFonts w:ascii="Arial" w:hAnsi="Arial" w:cs="Arial"/>
                <w:sz w:val="24"/>
                <w:szCs w:val="24"/>
              </w:rPr>
            </w:pPr>
            <w:r>
              <w:rPr>
                <w:rFonts w:ascii="Arial" w:hAnsi="Arial" w:cs="Arial"/>
                <w:sz w:val="24"/>
                <w:szCs w:val="24"/>
              </w:rPr>
              <w:t>6. Available digital English resources are not culturally appropriate.</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c>
          <w:tcPr>
            <w:tcW w:w="4010" w:type="pct"/>
            <w:hideMark/>
          </w:tcPr>
          <w:p>
            <w:pPr>
              <w:rPr>
                <w:rFonts w:ascii="Arial" w:hAnsi="Arial" w:cs="Arial"/>
                <w:sz w:val="24"/>
                <w:szCs w:val="24"/>
              </w:rPr>
            </w:pPr>
            <w:r>
              <w:rPr>
                <w:rFonts w:ascii="Arial" w:hAnsi="Arial" w:cs="Arial"/>
                <w:sz w:val="24"/>
                <w:szCs w:val="24"/>
              </w:rPr>
              <w:t>7. Time constraints limit planning of technology-supported English lessons.</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c>
          <w:tcPr>
            <w:tcW w:w="4010" w:type="pct"/>
            <w:hideMark/>
          </w:tcPr>
          <w:p>
            <w:pPr>
              <w:rPr>
                <w:rFonts w:ascii="Arial" w:hAnsi="Arial" w:cs="Arial"/>
                <w:sz w:val="24"/>
                <w:szCs w:val="24"/>
              </w:rPr>
            </w:pPr>
            <w:r>
              <w:rPr>
                <w:rFonts w:ascii="Arial" w:hAnsi="Arial" w:cs="Arial"/>
                <w:sz w:val="24"/>
                <w:szCs w:val="24"/>
              </w:rPr>
              <w:t>8. I need more guidance on applying PICRAT in ELT.</w:t>
            </w:r>
          </w:p>
        </w:tc>
        <w:tc>
          <w:tcPr>
            <w:tcW w:w="208" w:type="pct"/>
            <w:hideMark/>
          </w:tcPr>
          <w:p>
            <w:pPr>
              <w:jc w:val="both"/>
              <w:rPr>
                <w:rFonts w:ascii="Arial" w:hAnsi="Arial" w:cs="Arial"/>
                <w:sz w:val="24"/>
                <w:szCs w:val="24"/>
                <w:lang w:eastAsia="en-PH"/>
              </w:rPr>
            </w:pPr>
          </w:p>
        </w:tc>
        <w:tc>
          <w:tcPr>
            <w:tcW w:w="219" w:type="pct"/>
            <w:hideMark/>
          </w:tcPr>
          <w:p>
            <w:pPr>
              <w:jc w:val="both"/>
              <w:rPr>
                <w:rFonts w:ascii="Arial" w:hAnsi="Arial" w:cs="Arial"/>
                <w:sz w:val="24"/>
                <w:szCs w:val="24"/>
                <w:lang w:eastAsia="en-PH"/>
              </w:rPr>
            </w:pPr>
          </w:p>
        </w:tc>
        <w:tc>
          <w:tcPr>
            <w:tcW w:w="223" w:type="pct"/>
            <w:hideMark/>
          </w:tcPr>
          <w:p>
            <w:pPr>
              <w:jc w:val="both"/>
              <w:rPr>
                <w:rFonts w:ascii="Arial" w:hAnsi="Arial" w:cs="Arial"/>
                <w:sz w:val="24"/>
                <w:szCs w:val="24"/>
                <w:lang w:eastAsia="en-PH"/>
              </w:rPr>
            </w:pPr>
          </w:p>
        </w:tc>
        <w:tc>
          <w:tcPr>
            <w:tcW w:w="171" w:type="pct"/>
            <w:hideMark/>
          </w:tcPr>
          <w:p>
            <w:pPr>
              <w:jc w:val="both"/>
              <w:rPr>
                <w:rFonts w:ascii="Arial" w:hAnsi="Arial" w:cs="Arial"/>
                <w:sz w:val="24"/>
                <w:szCs w:val="24"/>
                <w:lang w:eastAsia="en-PH"/>
              </w:rPr>
            </w:pPr>
          </w:p>
        </w:tc>
        <w:tc>
          <w:tcPr>
            <w:tcW w:w="169" w:type="pct"/>
            <w:hideMark/>
          </w:tcPr>
          <w:p>
            <w:pPr>
              <w:jc w:val="both"/>
              <w:rPr>
                <w:rFonts w:ascii="Arial" w:hAnsi="Arial" w:cs="Arial"/>
                <w:sz w:val="24"/>
                <w:szCs w:val="24"/>
                <w:lang w:eastAsia="en-PH"/>
              </w:rPr>
            </w:pPr>
          </w:p>
        </w:tc>
      </w:tr>
      <w:tr>
        <w:tc>
          <w:tcPr>
            <w:tcW w:w="4010" w:type="pct"/>
          </w:tcPr>
          <w:p>
            <w:pPr>
              <w:rPr>
                <w:rFonts w:ascii="Arial" w:hAnsi="Arial" w:cs="Arial"/>
                <w:sz w:val="24"/>
                <w:szCs w:val="24"/>
              </w:rPr>
            </w:pPr>
            <w:r>
              <w:rPr>
                <w:rFonts w:ascii="Arial" w:hAnsi="Arial" w:cs="Arial"/>
                <w:sz w:val="24"/>
                <w:szCs w:val="24"/>
              </w:rPr>
              <w:t xml:space="preserve">9. Curriculum requirements limit integration of Indigenous  </w:t>
            </w:r>
          </w:p>
          <w:p>
            <w:pPr>
              <w:rPr>
                <w:rFonts w:ascii="Arial" w:hAnsi="Arial" w:cs="Arial"/>
                <w:sz w:val="24"/>
                <w:szCs w:val="24"/>
              </w:rPr>
            </w:pPr>
            <w:r>
              <w:rPr>
                <w:rFonts w:ascii="Arial" w:hAnsi="Arial" w:cs="Arial"/>
                <w:sz w:val="24"/>
                <w:szCs w:val="24"/>
              </w:rPr>
              <w:t xml:space="preserve">    knowledge in ELT.</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c>
          <w:tcPr>
            <w:tcW w:w="4010" w:type="pct"/>
          </w:tcPr>
          <w:p>
            <w:pPr>
              <w:rPr>
                <w:rFonts w:ascii="Arial" w:hAnsi="Arial" w:cs="Arial"/>
                <w:sz w:val="24"/>
                <w:szCs w:val="24"/>
              </w:rPr>
            </w:pPr>
            <w:r>
              <w:rPr>
                <w:rFonts w:ascii="Arial" w:hAnsi="Arial" w:cs="Arial"/>
                <w:sz w:val="24"/>
                <w:szCs w:val="24"/>
              </w:rPr>
              <w:lastRenderedPageBreak/>
              <w:t>10.Infrastructure limitations prevent transformative technology use in English teaching.</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c>
          <w:tcPr>
            <w:tcW w:w="4010" w:type="pct"/>
          </w:tcPr>
          <w:p>
            <w:pPr>
              <w:rPr>
                <w:rFonts w:ascii="Arial" w:hAnsi="Arial" w:cs="Arial"/>
                <w:sz w:val="24"/>
                <w:szCs w:val="24"/>
              </w:rPr>
            </w:pPr>
            <w:r>
              <w:rPr>
                <w:rFonts w:ascii="Arial" w:hAnsi="Arial" w:cs="Arial"/>
                <w:sz w:val="24"/>
                <w:szCs w:val="24"/>
              </w:rPr>
              <w:t>11. Limited access to culturally localized digital content affects lesson contextualization.</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c>
          <w:tcPr>
            <w:tcW w:w="4010" w:type="pct"/>
          </w:tcPr>
          <w:p>
            <w:pPr>
              <w:rPr>
                <w:rFonts w:ascii="Arial" w:hAnsi="Arial" w:cs="Arial"/>
                <w:sz w:val="24"/>
                <w:szCs w:val="24"/>
              </w:rPr>
            </w:pPr>
            <w:r>
              <w:rPr>
                <w:rFonts w:ascii="Arial" w:hAnsi="Arial" w:cs="Arial"/>
                <w:sz w:val="24"/>
                <w:szCs w:val="24"/>
              </w:rPr>
              <w:t>12. Learners’ limited digital literacy skills hinder effective participation in technology-supported English tasks.</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c>
          <w:tcPr>
            <w:tcW w:w="4010" w:type="pct"/>
          </w:tcPr>
          <w:p>
            <w:pPr>
              <w:rPr>
                <w:rFonts w:ascii="Arial" w:hAnsi="Arial" w:cs="Arial"/>
                <w:sz w:val="24"/>
                <w:szCs w:val="24"/>
              </w:rPr>
            </w:pPr>
            <w:r>
              <w:rPr>
                <w:rFonts w:ascii="Arial" w:hAnsi="Arial" w:cs="Arial"/>
                <w:sz w:val="24"/>
                <w:szCs w:val="24"/>
              </w:rPr>
              <w:t>13. Learners have limited access to devices at home for technology-based English activities.</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c>
          <w:tcPr>
            <w:tcW w:w="4010" w:type="pct"/>
          </w:tcPr>
          <w:p>
            <w:pPr>
              <w:rPr>
                <w:rFonts w:ascii="Arial" w:hAnsi="Arial" w:cs="Arial"/>
                <w:sz w:val="24"/>
                <w:szCs w:val="24"/>
              </w:rPr>
            </w:pPr>
            <w:r>
              <w:rPr>
                <w:rFonts w:ascii="Arial" w:hAnsi="Arial" w:cs="Arial"/>
                <w:sz w:val="24"/>
                <w:szCs w:val="24"/>
              </w:rPr>
              <w:t>14.  Technical problems during class disrupt English instruction.</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c>
          <w:tcPr>
            <w:tcW w:w="4010" w:type="pct"/>
          </w:tcPr>
          <w:p>
            <w:pPr>
              <w:rPr>
                <w:rFonts w:ascii="Arial" w:hAnsi="Arial" w:cs="Arial"/>
                <w:sz w:val="24"/>
                <w:szCs w:val="24"/>
              </w:rPr>
            </w:pPr>
            <w:r>
              <w:rPr>
                <w:rFonts w:ascii="Arial" w:hAnsi="Arial" w:cs="Arial"/>
                <w:sz w:val="24"/>
                <w:szCs w:val="24"/>
              </w:rPr>
              <w:t>15. I find it difficult to balance curriculum standards with culturally contextualized digital tasks.</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c>
          <w:tcPr>
            <w:tcW w:w="4010" w:type="pct"/>
          </w:tcPr>
          <w:p>
            <w:pPr>
              <w:rPr>
                <w:rFonts w:ascii="Arial" w:hAnsi="Arial" w:cs="Arial"/>
                <w:sz w:val="24"/>
                <w:szCs w:val="24"/>
              </w:rPr>
            </w:pPr>
            <w:r>
              <w:rPr>
                <w:rFonts w:ascii="Arial" w:hAnsi="Arial" w:cs="Arial"/>
                <w:sz w:val="24"/>
                <w:szCs w:val="24"/>
              </w:rPr>
              <w:t>16. Lack of professional development specific to IPEd digital instruction affects my integration practices.</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c>
          <w:tcPr>
            <w:tcW w:w="4010" w:type="pct"/>
          </w:tcPr>
          <w:p>
            <w:pPr>
              <w:rPr>
                <w:rFonts w:ascii="Arial" w:hAnsi="Arial" w:cs="Arial"/>
                <w:sz w:val="24"/>
                <w:szCs w:val="24"/>
              </w:rPr>
            </w:pPr>
            <w:r>
              <w:rPr>
                <w:rFonts w:ascii="Arial" w:hAnsi="Arial" w:cs="Arial"/>
                <w:sz w:val="24"/>
                <w:szCs w:val="24"/>
              </w:rPr>
              <w:t>17. There is insufficient institutional support for culturally responsive technology integration.</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c>
          <w:tcPr>
            <w:tcW w:w="4010" w:type="pct"/>
          </w:tcPr>
          <w:p>
            <w:pPr>
              <w:rPr>
                <w:rFonts w:ascii="Arial" w:hAnsi="Arial" w:cs="Arial"/>
                <w:sz w:val="24"/>
                <w:szCs w:val="24"/>
              </w:rPr>
            </w:pPr>
            <w:r>
              <w:rPr>
                <w:rFonts w:ascii="Arial" w:hAnsi="Arial" w:cs="Arial"/>
                <w:sz w:val="24"/>
                <w:szCs w:val="24"/>
              </w:rPr>
              <w:t>18. I struggle to design collaborative digital activities that reflect Indigenous culture.</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c>
          <w:tcPr>
            <w:tcW w:w="4010" w:type="pct"/>
          </w:tcPr>
          <w:p>
            <w:pPr>
              <w:rPr>
                <w:rFonts w:ascii="Arial" w:hAnsi="Arial" w:cs="Arial"/>
                <w:sz w:val="24"/>
                <w:szCs w:val="24"/>
              </w:rPr>
            </w:pPr>
            <w:r>
              <w:rPr>
                <w:rFonts w:ascii="Arial" w:hAnsi="Arial" w:cs="Arial"/>
                <w:sz w:val="24"/>
                <w:szCs w:val="24"/>
              </w:rPr>
              <w:t>19. Assessing learners’ performance in technology-supported English tasks is challenging.</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r>
        <w:tc>
          <w:tcPr>
            <w:tcW w:w="4010" w:type="pct"/>
          </w:tcPr>
          <w:p>
            <w:pPr>
              <w:rPr>
                <w:rFonts w:ascii="Arial" w:hAnsi="Arial" w:cs="Arial"/>
                <w:sz w:val="24"/>
                <w:szCs w:val="24"/>
              </w:rPr>
            </w:pPr>
            <w:r>
              <w:rPr>
                <w:rFonts w:ascii="Arial" w:hAnsi="Arial" w:cs="Arial"/>
                <w:sz w:val="24"/>
                <w:szCs w:val="24"/>
              </w:rPr>
              <w:t>20. Monitoring learner engagement in digital English activities is difficult.</w:t>
            </w:r>
          </w:p>
        </w:tc>
        <w:tc>
          <w:tcPr>
            <w:tcW w:w="208" w:type="pct"/>
          </w:tcPr>
          <w:p>
            <w:pPr>
              <w:jc w:val="both"/>
              <w:rPr>
                <w:rFonts w:ascii="Arial" w:hAnsi="Arial" w:cs="Arial"/>
                <w:sz w:val="24"/>
                <w:szCs w:val="24"/>
                <w:lang w:eastAsia="en-PH"/>
              </w:rPr>
            </w:pPr>
          </w:p>
        </w:tc>
        <w:tc>
          <w:tcPr>
            <w:tcW w:w="219" w:type="pct"/>
          </w:tcPr>
          <w:p>
            <w:pPr>
              <w:jc w:val="both"/>
              <w:rPr>
                <w:rFonts w:ascii="Arial" w:hAnsi="Arial" w:cs="Arial"/>
                <w:sz w:val="24"/>
                <w:szCs w:val="24"/>
                <w:lang w:eastAsia="en-PH"/>
              </w:rPr>
            </w:pPr>
          </w:p>
        </w:tc>
        <w:tc>
          <w:tcPr>
            <w:tcW w:w="223" w:type="pct"/>
          </w:tcPr>
          <w:p>
            <w:pPr>
              <w:jc w:val="both"/>
              <w:rPr>
                <w:rFonts w:ascii="Arial" w:hAnsi="Arial" w:cs="Arial"/>
                <w:sz w:val="24"/>
                <w:szCs w:val="24"/>
                <w:lang w:eastAsia="en-PH"/>
              </w:rPr>
            </w:pPr>
          </w:p>
        </w:tc>
        <w:tc>
          <w:tcPr>
            <w:tcW w:w="171" w:type="pct"/>
          </w:tcPr>
          <w:p>
            <w:pPr>
              <w:jc w:val="both"/>
              <w:rPr>
                <w:rFonts w:ascii="Arial" w:hAnsi="Arial" w:cs="Arial"/>
                <w:sz w:val="24"/>
                <w:szCs w:val="24"/>
                <w:lang w:eastAsia="en-PH"/>
              </w:rPr>
            </w:pPr>
          </w:p>
        </w:tc>
        <w:tc>
          <w:tcPr>
            <w:tcW w:w="169" w:type="pct"/>
          </w:tcPr>
          <w:p>
            <w:pPr>
              <w:jc w:val="both"/>
              <w:rPr>
                <w:rFonts w:ascii="Arial" w:hAnsi="Arial" w:cs="Arial"/>
                <w:sz w:val="24"/>
                <w:szCs w:val="24"/>
                <w:lang w:eastAsia="en-PH"/>
              </w:rPr>
            </w:pPr>
          </w:p>
        </w:tc>
      </w:tr>
    </w:tbl>
    <w:p>
      <w:pPr>
        <w:rPr>
          <w:rFonts w:ascii="Arial" w:hAnsi="Arial" w:cs="Arial"/>
        </w:rPr>
      </w:pPr>
    </w:p>
    <w:p>
      <w:pPr>
        <w:spacing w:before="100" w:beforeAutospacing="1" w:after="100" w:afterAutospacing="1" w:line="240" w:lineRule="auto"/>
        <w:jc w:val="both"/>
        <w:rPr>
          <w:rFonts w:ascii="Arial" w:eastAsia="Times New Roman" w:hAnsi="Arial" w:cs="Arial"/>
          <w:lang w:eastAsia="en-PH"/>
        </w:rPr>
      </w:pPr>
    </w:p>
    <w:p>
      <w:pPr>
        <w:spacing w:before="100" w:beforeAutospacing="1" w:after="100" w:afterAutospacing="1" w:line="240" w:lineRule="auto"/>
        <w:jc w:val="both"/>
        <w:rPr>
          <w:rFonts w:ascii="Arial" w:eastAsia="Times New Roman" w:hAnsi="Arial" w:cs="Arial"/>
          <w:lang w:eastAsia="en-PH"/>
        </w:rPr>
      </w:pPr>
    </w:p>
    <w:p>
      <w:pPr>
        <w:spacing w:before="100" w:beforeAutospacing="1" w:after="100" w:afterAutospacing="1" w:line="240" w:lineRule="auto"/>
        <w:jc w:val="both"/>
        <w:rPr>
          <w:rFonts w:ascii="Arial" w:eastAsia="Times New Roman" w:hAnsi="Arial" w:cs="Arial"/>
          <w:lang w:eastAsia="en-PH"/>
        </w:rPr>
      </w:pPr>
    </w:p>
    <w:p>
      <w:pPr>
        <w:spacing w:before="100" w:beforeAutospacing="1" w:after="100" w:afterAutospacing="1" w:line="240" w:lineRule="auto"/>
        <w:jc w:val="both"/>
        <w:rPr>
          <w:rFonts w:ascii="Arial" w:eastAsia="Times New Roman" w:hAnsi="Arial" w:cs="Arial"/>
          <w:lang w:eastAsia="en-PH"/>
        </w:rPr>
      </w:pPr>
    </w:p>
    <w:p>
      <w:pPr>
        <w:spacing w:before="100" w:beforeAutospacing="1" w:after="100" w:afterAutospacing="1" w:line="240" w:lineRule="auto"/>
        <w:jc w:val="both"/>
        <w:rPr>
          <w:rFonts w:ascii="Arial" w:eastAsia="Times New Roman" w:hAnsi="Arial" w:cs="Arial"/>
          <w:lang w:eastAsia="en-PH"/>
        </w:rPr>
      </w:pPr>
    </w:p>
    <w:p>
      <w:pPr>
        <w:spacing w:before="100" w:beforeAutospacing="1" w:after="100" w:afterAutospacing="1" w:line="240" w:lineRule="auto"/>
        <w:jc w:val="both"/>
        <w:rPr>
          <w:rFonts w:ascii="Arial" w:eastAsia="Times New Roman" w:hAnsi="Arial" w:cs="Arial"/>
          <w:lang w:eastAsia="en-PH"/>
        </w:rPr>
      </w:pPr>
    </w:p>
    <w:p>
      <w:pPr>
        <w:spacing w:before="100" w:beforeAutospacing="1" w:after="100" w:afterAutospacing="1" w:line="240" w:lineRule="auto"/>
        <w:jc w:val="both"/>
        <w:rPr>
          <w:rFonts w:ascii="Arial" w:eastAsia="Times New Roman" w:hAnsi="Arial" w:cs="Arial"/>
          <w:lang w:eastAsia="en-PH"/>
        </w:rPr>
      </w:pPr>
    </w:p>
    <w:p>
      <w:pPr>
        <w:spacing w:before="100" w:beforeAutospacing="1" w:after="100" w:afterAutospacing="1" w:line="240" w:lineRule="auto"/>
        <w:jc w:val="both"/>
        <w:rPr>
          <w:rFonts w:ascii="Arial" w:eastAsia="Times New Roman" w:hAnsi="Arial" w:cs="Arial"/>
          <w:lang w:eastAsia="en-PH"/>
        </w:rPr>
      </w:pPr>
    </w:p>
    <w:p>
      <w:pPr>
        <w:spacing w:before="100" w:beforeAutospacing="1" w:after="100" w:afterAutospacing="1" w:line="240" w:lineRule="auto"/>
        <w:jc w:val="both"/>
        <w:rPr>
          <w:rFonts w:ascii="Arial" w:eastAsia="Times New Roman" w:hAnsi="Arial" w:cs="Arial"/>
          <w:lang w:eastAsia="en-PH"/>
        </w:rPr>
      </w:pPr>
    </w:p>
    <w:p>
      <w:pPr>
        <w:spacing w:before="100" w:beforeAutospacing="1" w:after="100" w:afterAutospacing="1" w:line="240" w:lineRule="auto"/>
        <w:jc w:val="center"/>
        <w:outlineLvl w:val="0"/>
        <w:rPr>
          <w:rFonts w:ascii="Arial" w:eastAsia="Times New Roman" w:hAnsi="Arial" w:cs="Arial"/>
          <w:b/>
          <w:bCs/>
          <w:kern w:val="36"/>
          <w:lang w:eastAsia="en-PH"/>
        </w:rPr>
      </w:pPr>
    </w:p>
    <w:p>
      <w:pPr>
        <w:spacing w:before="100" w:beforeAutospacing="1" w:after="100" w:afterAutospacing="1" w:line="240" w:lineRule="auto"/>
        <w:jc w:val="center"/>
        <w:outlineLvl w:val="0"/>
        <w:rPr>
          <w:rFonts w:ascii="Arial" w:eastAsia="Times New Roman" w:hAnsi="Arial" w:cs="Arial"/>
          <w:b/>
          <w:bCs/>
          <w:kern w:val="36"/>
          <w:lang w:eastAsia="en-PH"/>
        </w:rPr>
      </w:pPr>
      <w:r>
        <w:rPr>
          <w:rFonts w:ascii="Arial" w:eastAsia="Times New Roman" w:hAnsi="Arial" w:cs="Arial"/>
          <w:b/>
          <w:bCs/>
          <w:kern w:val="36"/>
          <w:lang w:eastAsia="en-PH"/>
        </w:rPr>
        <w:lastRenderedPageBreak/>
        <w:t>Appendix B.</w:t>
      </w:r>
    </w:p>
    <w:p>
      <w:pPr>
        <w:spacing w:before="100" w:beforeAutospacing="1" w:after="100" w:afterAutospacing="1" w:line="240" w:lineRule="auto"/>
        <w:jc w:val="center"/>
        <w:rPr>
          <w:rFonts w:ascii="Arial" w:eastAsia="Times New Roman" w:hAnsi="Arial" w:cs="Arial"/>
          <w:b/>
          <w:lang w:eastAsia="en-PH"/>
        </w:rPr>
      </w:pPr>
      <w:r>
        <w:rPr>
          <w:rFonts w:ascii="Arial" w:eastAsia="Times New Roman" w:hAnsi="Arial" w:cs="Arial"/>
          <w:b/>
          <w:noProof/>
          <w:lang w:val="en-PH" w:eastAsia="en-PH"/>
        </w:rPr>
        <w:drawing>
          <wp:anchor distT="0" distB="0" distL="114300" distR="114300" simplePos="0" relativeHeight="251751424" behindDoc="0" locked="0" layoutInCell="1" allowOverlap="1">
            <wp:simplePos x="0" y="0"/>
            <wp:positionH relativeFrom="margin">
              <wp:align>right</wp:align>
            </wp:positionH>
            <wp:positionV relativeFrom="paragraph">
              <wp:posOffset>277561</wp:posOffset>
            </wp:positionV>
            <wp:extent cx="5281295" cy="6707505"/>
            <wp:effectExtent l="0" t="0" r="0" b="0"/>
            <wp:wrapThrough wrapText="bothSides">
              <wp:wrapPolygon edited="0">
                <wp:start x="0" y="0"/>
                <wp:lineTo x="0" y="21533"/>
                <wp:lineTo x="21504" y="21533"/>
                <wp:lineTo x="21504" y="0"/>
                <wp:lineTo x="0" y="0"/>
              </wp:wrapPolygon>
            </wp:wrapThrough>
            <wp:docPr id="68" name="Picture 68" descr="C:\Users\USER\Downloads\78d33791-d2c0-41b2-b374-c9d29e0cc66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78d33791-d2c0-41b2-b374-c9d29e0cc66a (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4931"/>
                    <a:stretch/>
                  </pic:blipFill>
                  <pic:spPr bwMode="auto">
                    <a:xfrm>
                      <a:off x="0" y="0"/>
                      <a:ext cx="5281295" cy="670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
          <w:lang w:eastAsia="en-PH"/>
        </w:rPr>
        <w:t>LETTER AND PERMISSIONS</w:t>
      </w:r>
    </w:p>
    <w:p>
      <w:pPr>
        <w:spacing w:before="100" w:beforeAutospacing="1" w:after="100" w:afterAutospacing="1" w:line="240" w:lineRule="auto"/>
        <w:jc w:val="center"/>
        <w:rPr>
          <w:rFonts w:ascii="Arial" w:eastAsia="Times New Roman" w:hAnsi="Arial" w:cs="Arial"/>
          <w:b/>
          <w:lang w:eastAsia="en-PH"/>
        </w:rPr>
      </w:pPr>
    </w:p>
    <w:p>
      <w:pPr>
        <w:spacing w:before="100" w:beforeAutospacing="1" w:after="100" w:afterAutospacing="1" w:line="240" w:lineRule="auto"/>
        <w:jc w:val="center"/>
        <w:rPr>
          <w:rFonts w:ascii="Arial" w:eastAsia="Times New Roman" w:hAnsi="Arial" w:cs="Arial"/>
          <w:b/>
          <w:lang w:eastAsia="en-PH"/>
        </w:rPr>
      </w:pPr>
      <w:r>
        <w:rPr>
          <w:rFonts w:ascii="Arial" w:eastAsia="Times New Roman" w:hAnsi="Arial" w:cs="Arial"/>
          <w:b/>
          <w:noProof/>
          <w:lang w:val="en-PH" w:eastAsia="en-PH"/>
        </w:rPr>
        <w:lastRenderedPageBreak/>
        <w:drawing>
          <wp:inline distT="0" distB="0" distL="0" distR="0">
            <wp:extent cx="5486400" cy="611702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007c7b4c-927e-42a0-a533-d4a9492c6460.jpg"/>
                    <pic:cNvPicPr/>
                  </pic:nvPicPr>
                  <pic:blipFill rotWithShape="1">
                    <a:blip r:embed="rId35" cstate="print">
                      <a:extLst>
                        <a:ext uri="{28A0092B-C50C-407E-A947-70E740481C1C}">
                          <a14:useLocalDpi xmlns:a14="http://schemas.microsoft.com/office/drawing/2010/main" val="0"/>
                        </a:ext>
                      </a:extLst>
                    </a:blip>
                    <a:srcRect b="8265"/>
                    <a:stretch/>
                  </pic:blipFill>
                  <pic:spPr bwMode="auto">
                    <a:xfrm>
                      <a:off x="0" y="0"/>
                      <a:ext cx="5486400" cy="6117021"/>
                    </a:xfrm>
                    <a:prstGeom prst="rect">
                      <a:avLst/>
                    </a:prstGeom>
                    <a:ln>
                      <a:noFill/>
                    </a:ln>
                    <a:extLst>
                      <a:ext uri="{53640926-AAD7-44D8-BBD7-CCE9431645EC}">
                        <a14:shadowObscured xmlns:a14="http://schemas.microsoft.com/office/drawing/2010/main"/>
                      </a:ext>
                    </a:extLst>
                  </pic:spPr>
                </pic:pic>
              </a:graphicData>
            </a:graphic>
          </wp:inline>
        </w:drawing>
      </w:r>
    </w:p>
    <w:p>
      <w:pPr>
        <w:spacing w:before="100" w:beforeAutospacing="1" w:after="100" w:afterAutospacing="1" w:line="240" w:lineRule="auto"/>
        <w:jc w:val="center"/>
        <w:rPr>
          <w:rFonts w:ascii="Arial" w:eastAsia="Times New Roman" w:hAnsi="Arial" w:cs="Arial"/>
          <w:b/>
          <w:lang w:eastAsia="en-PH"/>
        </w:rPr>
      </w:pPr>
    </w:p>
    <w:p>
      <w:pPr>
        <w:spacing w:before="100" w:beforeAutospacing="1" w:after="100" w:afterAutospacing="1" w:line="240" w:lineRule="auto"/>
        <w:jc w:val="center"/>
        <w:rPr>
          <w:rFonts w:ascii="Arial" w:eastAsia="Times New Roman" w:hAnsi="Arial" w:cs="Arial"/>
          <w:b/>
          <w:lang w:eastAsia="en-PH"/>
        </w:rPr>
      </w:pPr>
    </w:p>
    <w:p>
      <w:pPr>
        <w:spacing w:before="100" w:beforeAutospacing="1" w:after="100" w:afterAutospacing="1" w:line="240" w:lineRule="auto"/>
        <w:jc w:val="center"/>
        <w:rPr>
          <w:rFonts w:ascii="Arial" w:eastAsia="Times New Roman" w:hAnsi="Arial" w:cs="Arial"/>
          <w:b/>
          <w:lang w:eastAsia="en-PH"/>
        </w:rPr>
      </w:pPr>
    </w:p>
    <w:p>
      <w:pPr>
        <w:spacing w:before="100" w:beforeAutospacing="1" w:after="100" w:afterAutospacing="1" w:line="240" w:lineRule="auto"/>
        <w:jc w:val="center"/>
        <w:rPr>
          <w:rFonts w:ascii="Arial" w:eastAsia="Times New Roman" w:hAnsi="Arial" w:cs="Arial"/>
          <w:b/>
          <w:lang w:eastAsia="en-PH"/>
        </w:rPr>
      </w:pPr>
      <w:r>
        <w:rPr>
          <w:rFonts w:ascii="Arial" w:eastAsia="Times New Roman" w:hAnsi="Arial" w:cs="Arial"/>
          <w:b/>
          <w:lang w:eastAsia="en-PH"/>
        </w:rPr>
        <w:lastRenderedPageBreak/>
        <w:t xml:space="preserve"> </w:t>
      </w:r>
      <w:r>
        <w:rPr>
          <w:rFonts w:ascii="Arial" w:eastAsia="Times New Roman" w:hAnsi="Arial" w:cs="Arial"/>
          <w:b/>
          <w:noProof/>
          <w:lang w:val="en-PH" w:eastAsia="en-PH"/>
        </w:rPr>
        <w:drawing>
          <wp:inline distT="0" distB="0" distL="0" distR="0">
            <wp:extent cx="5343327" cy="7788096"/>
            <wp:effectExtent l="0" t="0" r="0" b="3810"/>
            <wp:docPr id="46" name="Picture 46" descr="C:\Users\USER\Downloads\b78b5f98-f2c5-411d-be8e-a1de940f9a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b78b5f98-f2c5-411d-be8e-a1de940f9acb.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82" t="-305" r="1513" b="305"/>
                    <a:stretch/>
                  </pic:blipFill>
                  <pic:spPr bwMode="auto">
                    <a:xfrm>
                      <a:off x="0" y="0"/>
                      <a:ext cx="5344001" cy="7789078"/>
                    </a:xfrm>
                    <a:prstGeom prst="rect">
                      <a:avLst/>
                    </a:prstGeom>
                    <a:noFill/>
                    <a:ln>
                      <a:noFill/>
                    </a:ln>
                    <a:extLst>
                      <a:ext uri="{53640926-AAD7-44D8-BBD7-CCE9431645EC}">
                        <a14:shadowObscured xmlns:a14="http://schemas.microsoft.com/office/drawing/2010/main"/>
                      </a:ext>
                    </a:extLst>
                  </pic:spPr>
                </pic:pic>
              </a:graphicData>
            </a:graphic>
          </wp:inline>
        </w:drawing>
      </w:r>
    </w:p>
    <w:p>
      <w:pPr>
        <w:spacing w:before="100" w:beforeAutospacing="1" w:after="100" w:afterAutospacing="1" w:line="240" w:lineRule="auto"/>
        <w:jc w:val="center"/>
        <w:rPr>
          <w:rFonts w:ascii="Arial" w:eastAsia="Times New Roman" w:hAnsi="Arial" w:cs="Arial"/>
          <w:b/>
          <w:lang w:eastAsia="en-PH"/>
        </w:rPr>
      </w:pPr>
      <w:r>
        <w:rPr>
          <w:rFonts w:ascii="Arial" w:eastAsia="Times New Roman" w:hAnsi="Arial" w:cs="Arial"/>
          <w:b/>
          <w:noProof/>
          <w:lang w:val="en-PH" w:eastAsia="en-PH"/>
        </w:rPr>
        <w:lastRenderedPageBreak/>
        <w:drawing>
          <wp:inline distT="0" distB="0" distL="0" distR="0">
            <wp:extent cx="5283512" cy="7166344"/>
            <wp:effectExtent l="0" t="0" r="0" b="0"/>
            <wp:docPr id="47" name="Picture 47" descr="C:\Users\USER\Downloads\69b220e6-d9db-4ec4-99a0-4b5817795c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69b220e6-d9db-4ec4-99a0-4b5817795c40.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550" r="2128" b="7985"/>
                    <a:stretch/>
                  </pic:blipFill>
                  <pic:spPr bwMode="auto">
                    <a:xfrm>
                      <a:off x="0" y="0"/>
                      <a:ext cx="5284566" cy="7167773"/>
                    </a:xfrm>
                    <a:prstGeom prst="rect">
                      <a:avLst/>
                    </a:prstGeom>
                    <a:noFill/>
                    <a:ln>
                      <a:noFill/>
                    </a:ln>
                    <a:extLst>
                      <a:ext uri="{53640926-AAD7-44D8-BBD7-CCE9431645EC}">
                        <a14:shadowObscured xmlns:a14="http://schemas.microsoft.com/office/drawing/2010/main"/>
                      </a:ext>
                    </a:extLst>
                  </pic:spPr>
                </pic:pic>
              </a:graphicData>
            </a:graphic>
          </wp:inline>
        </w:drawing>
      </w:r>
    </w:p>
    <w:p>
      <w:pPr>
        <w:spacing w:before="100" w:beforeAutospacing="1" w:after="100" w:afterAutospacing="1" w:line="240" w:lineRule="auto"/>
        <w:jc w:val="center"/>
        <w:rPr>
          <w:rFonts w:ascii="Arial" w:eastAsia="Times New Roman" w:hAnsi="Arial" w:cs="Arial"/>
          <w:b/>
          <w:lang w:eastAsia="en-PH"/>
        </w:rPr>
      </w:pPr>
    </w:p>
    <w:p>
      <w:pPr>
        <w:spacing w:before="100" w:beforeAutospacing="1" w:after="100" w:afterAutospacing="1" w:line="240" w:lineRule="auto"/>
        <w:rPr>
          <w:rFonts w:ascii="Arial" w:eastAsia="Times New Roman" w:hAnsi="Arial" w:cs="Arial"/>
          <w:b/>
          <w:lang w:eastAsia="en-PH"/>
        </w:rPr>
      </w:pPr>
      <w:r>
        <w:rPr>
          <w:rFonts w:ascii="Arial" w:eastAsia="Times New Roman" w:hAnsi="Arial" w:cs="Arial"/>
          <w:b/>
          <w:noProof/>
          <w:lang w:val="en-PH" w:eastAsia="en-PH"/>
        </w:rPr>
        <w:lastRenderedPageBreak/>
        <w:drawing>
          <wp:anchor distT="0" distB="0" distL="114300" distR="114300" simplePos="0" relativeHeight="251747328" behindDoc="0" locked="0" layoutInCell="1" allowOverlap="1">
            <wp:simplePos x="0" y="0"/>
            <wp:positionH relativeFrom="page">
              <wp:posOffset>1485900</wp:posOffset>
            </wp:positionH>
            <wp:positionV relativeFrom="paragraph">
              <wp:posOffset>6985</wp:posOffset>
            </wp:positionV>
            <wp:extent cx="4705350" cy="6365240"/>
            <wp:effectExtent l="0" t="0" r="0" b="0"/>
            <wp:wrapSquare wrapText="bothSides"/>
            <wp:docPr id="55" name="Picture 55" descr="C:\Users\USER\Downloads\f0b693ea-86a5-46ae-99bb-3e4da82b94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f0b693ea-86a5-46ae-99bb-3e4da82b946d.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1867" b="7524"/>
                    <a:stretch/>
                  </pic:blipFill>
                  <pic:spPr bwMode="auto">
                    <a:xfrm>
                      <a:off x="0" y="0"/>
                      <a:ext cx="4705350" cy="6365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Arial" w:eastAsia="Times New Roman" w:hAnsi="Arial" w:cs="Arial"/>
          <w:b/>
          <w:lang w:eastAsia="en-PH"/>
        </w:rPr>
        <w:br w:type="textWrapping" w:clear="all"/>
      </w:r>
    </w:p>
    <w:p>
      <w:pPr>
        <w:spacing w:before="100" w:beforeAutospacing="1" w:after="100" w:afterAutospacing="1" w:line="240" w:lineRule="auto"/>
        <w:jc w:val="center"/>
        <w:rPr>
          <w:rFonts w:ascii="Arial" w:eastAsia="Times New Roman" w:hAnsi="Arial" w:cs="Arial"/>
          <w:b/>
          <w:lang w:eastAsia="en-PH"/>
        </w:rPr>
      </w:pPr>
    </w:p>
    <w:p>
      <w:pPr>
        <w:spacing w:before="100" w:beforeAutospacing="1" w:after="100" w:afterAutospacing="1" w:line="240" w:lineRule="auto"/>
        <w:jc w:val="center"/>
        <w:rPr>
          <w:rFonts w:ascii="Arial" w:eastAsia="Times New Roman" w:hAnsi="Arial" w:cs="Arial"/>
          <w:b/>
          <w:noProof/>
          <w:lang w:val="en-PH" w:eastAsia="en-PH"/>
        </w:rPr>
      </w:pPr>
    </w:p>
    <w:p>
      <w:pPr>
        <w:spacing w:before="100" w:beforeAutospacing="1" w:after="100" w:afterAutospacing="1" w:line="240" w:lineRule="auto"/>
        <w:jc w:val="center"/>
        <w:rPr>
          <w:rFonts w:ascii="Arial" w:eastAsia="Times New Roman" w:hAnsi="Arial" w:cs="Arial"/>
          <w:b/>
          <w:lang w:eastAsia="en-PH"/>
        </w:rPr>
      </w:pPr>
    </w:p>
    <w:p>
      <w:pPr>
        <w:spacing w:before="100" w:beforeAutospacing="1" w:after="100" w:afterAutospacing="1" w:line="240" w:lineRule="auto"/>
        <w:jc w:val="center"/>
        <w:rPr>
          <w:rFonts w:ascii="Arial" w:eastAsia="Times New Roman" w:hAnsi="Arial" w:cs="Arial"/>
          <w:b/>
          <w:lang w:eastAsia="en-PH"/>
        </w:rPr>
      </w:pPr>
      <w:r>
        <w:rPr>
          <w:rFonts w:ascii="Arial" w:eastAsia="Times New Roman" w:hAnsi="Arial" w:cs="Arial"/>
          <w:b/>
          <w:noProof/>
          <w:lang w:val="en-PH" w:eastAsia="en-PH"/>
        </w:rPr>
        <w:lastRenderedPageBreak/>
        <w:drawing>
          <wp:inline distT="0" distB="0" distL="0" distR="0">
            <wp:extent cx="5486400" cy="7105650"/>
            <wp:effectExtent l="0" t="0" r="0" b="0"/>
            <wp:docPr id="54" name="Picture 54" descr="C:\Users\USER\Downloads\cf0c7afd-e932-4346-8c64-1b80a329e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cf0c7afd-e932-4346-8c64-1b80a329e31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7105650"/>
                    </a:xfrm>
                    <a:prstGeom prst="rect">
                      <a:avLst/>
                    </a:prstGeom>
                    <a:noFill/>
                    <a:ln>
                      <a:noFill/>
                    </a:ln>
                  </pic:spPr>
                </pic:pic>
              </a:graphicData>
            </a:graphic>
          </wp:inline>
        </w:drawing>
      </w:r>
    </w:p>
    <w:p>
      <w:pPr>
        <w:spacing w:before="100" w:beforeAutospacing="1" w:after="100" w:afterAutospacing="1" w:line="240" w:lineRule="auto"/>
        <w:jc w:val="center"/>
        <w:rPr>
          <w:rFonts w:ascii="Arial" w:eastAsia="Times New Roman" w:hAnsi="Arial" w:cs="Arial"/>
          <w:b/>
          <w:lang w:eastAsia="en-PH"/>
        </w:rPr>
      </w:pPr>
    </w:p>
    <w:p>
      <w:pPr>
        <w:spacing w:before="100" w:beforeAutospacing="1" w:after="100" w:afterAutospacing="1" w:line="240" w:lineRule="auto"/>
        <w:jc w:val="center"/>
        <w:rPr>
          <w:rFonts w:ascii="Arial" w:eastAsia="Times New Roman" w:hAnsi="Arial" w:cs="Arial"/>
          <w:b/>
          <w:noProof/>
          <w:lang w:val="en-PH" w:eastAsia="en-PH"/>
        </w:rPr>
      </w:pPr>
    </w:p>
    <w:p>
      <w:pPr>
        <w:spacing w:before="100" w:beforeAutospacing="1" w:after="100" w:afterAutospacing="1" w:line="240" w:lineRule="auto"/>
        <w:jc w:val="center"/>
        <w:rPr>
          <w:rFonts w:ascii="Arial" w:eastAsia="Times New Roman" w:hAnsi="Arial" w:cs="Arial"/>
          <w:b/>
          <w:lang w:eastAsia="en-PH"/>
        </w:rPr>
      </w:pPr>
      <w:r>
        <w:rPr>
          <w:rFonts w:ascii="Arial" w:eastAsia="Times New Roman" w:hAnsi="Arial" w:cs="Arial"/>
          <w:b/>
          <w:noProof/>
          <w:lang w:val="en-PH" w:eastAsia="en-PH"/>
        </w:rPr>
        <w:drawing>
          <wp:inline distT="0" distB="0" distL="0" distR="0">
            <wp:extent cx="5486323" cy="6953250"/>
            <wp:effectExtent l="0" t="0" r="635" b="0"/>
            <wp:docPr id="56" name="Picture 56" descr="C:\Users\USER\Downloads\8c5c07a1-42d5-4a9c-a226-5cb8c354f0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8c5c07a1-42d5-4a9c-a226-5cb8c354f0f5.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9173"/>
                    <a:stretch/>
                  </pic:blipFill>
                  <pic:spPr bwMode="auto">
                    <a:xfrm>
                      <a:off x="0" y="0"/>
                      <a:ext cx="5486400" cy="6953348"/>
                    </a:xfrm>
                    <a:prstGeom prst="rect">
                      <a:avLst/>
                    </a:prstGeom>
                    <a:noFill/>
                    <a:ln>
                      <a:noFill/>
                    </a:ln>
                    <a:extLst>
                      <a:ext uri="{53640926-AAD7-44D8-BBD7-CCE9431645EC}">
                        <a14:shadowObscured xmlns:a14="http://schemas.microsoft.com/office/drawing/2010/main"/>
                      </a:ext>
                    </a:extLst>
                  </pic:spPr>
                </pic:pic>
              </a:graphicData>
            </a:graphic>
          </wp:inline>
        </w:drawing>
      </w:r>
    </w:p>
    <w:p>
      <w:pPr>
        <w:spacing w:before="100" w:beforeAutospacing="1" w:after="100" w:afterAutospacing="1" w:line="240" w:lineRule="auto"/>
        <w:jc w:val="center"/>
        <w:rPr>
          <w:rFonts w:ascii="Arial" w:eastAsia="Times New Roman" w:hAnsi="Arial" w:cs="Arial"/>
          <w:b/>
          <w:noProof/>
          <w:lang w:val="en-PH" w:eastAsia="en-PH"/>
        </w:rPr>
      </w:pPr>
    </w:p>
    <w:p>
      <w:pPr>
        <w:spacing w:before="100" w:beforeAutospacing="1" w:after="100" w:afterAutospacing="1" w:line="240" w:lineRule="auto"/>
        <w:jc w:val="center"/>
        <w:rPr>
          <w:rFonts w:ascii="Arial" w:eastAsia="Times New Roman" w:hAnsi="Arial" w:cs="Arial"/>
          <w:b/>
          <w:lang w:eastAsia="en-PH"/>
        </w:rPr>
      </w:pPr>
      <w:r>
        <w:rPr>
          <w:rFonts w:ascii="Arial" w:eastAsia="Times New Roman" w:hAnsi="Arial" w:cs="Arial"/>
          <w:b/>
          <w:noProof/>
          <w:lang w:val="en-PH" w:eastAsia="en-PH"/>
        </w:rPr>
        <w:lastRenderedPageBreak/>
        <w:drawing>
          <wp:inline distT="0" distB="0" distL="0" distR="0">
            <wp:extent cx="5374078" cy="6857186"/>
            <wp:effectExtent l="0" t="0" r="0" b="1270"/>
            <wp:docPr id="57" name="Picture 57" descr="C:\Users\USER\Downloads\42cddf0b-3c68-4e29-b568-6b350d1331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42cddf0b-3c68-4e29-b568-6b350d13319f.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070" r="2420" b="9213"/>
                    <a:stretch/>
                  </pic:blipFill>
                  <pic:spPr bwMode="auto">
                    <a:xfrm>
                      <a:off x="0" y="0"/>
                      <a:ext cx="5379665" cy="6864314"/>
                    </a:xfrm>
                    <a:prstGeom prst="rect">
                      <a:avLst/>
                    </a:prstGeom>
                    <a:noFill/>
                    <a:ln>
                      <a:noFill/>
                    </a:ln>
                    <a:extLst>
                      <a:ext uri="{53640926-AAD7-44D8-BBD7-CCE9431645EC}">
                        <a14:shadowObscured xmlns:a14="http://schemas.microsoft.com/office/drawing/2010/main"/>
                      </a:ext>
                    </a:extLst>
                  </pic:spPr>
                </pic:pic>
              </a:graphicData>
            </a:graphic>
          </wp:inline>
        </w:drawing>
      </w:r>
    </w:p>
    <w:p>
      <w:pPr>
        <w:spacing w:before="100" w:beforeAutospacing="1" w:after="100" w:afterAutospacing="1" w:line="240" w:lineRule="auto"/>
        <w:jc w:val="center"/>
        <w:rPr>
          <w:rFonts w:ascii="Arial" w:eastAsia="Times New Roman" w:hAnsi="Arial" w:cs="Arial"/>
          <w:b/>
          <w:lang w:eastAsia="en-PH"/>
        </w:rPr>
      </w:pPr>
    </w:p>
    <w:p>
      <w:pPr>
        <w:spacing w:before="100" w:beforeAutospacing="1" w:after="100" w:afterAutospacing="1" w:line="240" w:lineRule="auto"/>
        <w:jc w:val="center"/>
        <w:rPr>
          <w:rFonts w:ascii="Arial" w:eastAsia="Times New Roman" w:hAnsi="Arial" w:cs="Arial"/>
          <w:b/>
          <w:lang w:eastAsia="en-PH"/>
        </w:rPr>
      </w:pPr>
      <w:r>
        <w:rPr>
          <w:rFonts w:ascii="Arial" w:eastAsia="Times New Roman" w:hAnsi="Arial" w:cs="Arial"/>
          <w:b/>
          <w:noProof/>
          <w:lang w:val="en-PH" w:eastAsia="en-PH"/>
        </w:rPr>
        <w:lastRenderedPageBreak/>
        <w:drawing>
          <wp:inline distT="0" distB="0" distL="0" distR="0">
            <wp:extent cx="5500895" cy="7086600"/>
            <wp:effectExtent l="0" t="0" r="5080" b="0"/>
            <wp:docPr id="58" name="Picture 58" descr="C:\Users\USER\Downloads\68e189c0-7fd5-4bbe-a17e-73f48c7296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68e189c0-7fd5-4bbe-a17e-73f48c7296de.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6769"/>
                    <a:stretch/>
                  </pic:blipFill>
                  <pic:spPr bwMode="auto">
                    <a:xfrm>
                      <a:off x="0" y="0"/>
                      <a:ext cx="5506076" cy="7093275"/>
                    </a:xfrm>
                    <a:prstGeom prst="rect">
                      <a:avLst/>
                    </a:prstGeom>
                    <a:noFill/>
                    <a:ln>
                      <a:noFill/>
                    </a:ln>
                    <a:extLst>
                      <a:ext uri="{53640926-AAD7-44D8-BBD7-CCE9431645EC}">
                        <a14:shadowObscured xmlns:a14="http://schemas.microsoft.com/office/drawing/2010/main"/>
                      </a:ext>
                    </a:extLst>
                  </pic:spPr>
                </pic:pic>
              </a:graphicData>
            </a:graphic>
          </wp:inline>
        </w:drawing>
      </w:r>
    </w:p>
    <w:p>
      <w:pPr>
        <w:spacing w:before="100" w:beforeAutospacing="1" w:after="100" w:afterAutospacing="1" w:line="240" w:lineRule="auto"/>
        <w:jc w:val="center"/>
        <w:rPr>
          <w:rFonts w:ascii="Arial" w:eastAsia="Times New Roman" w:hAnsi="Arial" w:cs="Arial"/>
          <w:b/>
          <w:noProof/>
          <w:lang w:val="en-PH" w:eastAsia="en-PH"/>
        </w:rPr>
      </w:pPr>
    </w:p>
    <w:p>
      <w:pPr>
        <w:spacing w:before="100" w:beforeAutospacing="1" w:after="100" w:afterAutospacing="1" w:line="240" w:lineRule="auto"/>
        <w:jc w:val="center"/>
        <w:rPr>
          <w:rFonts w:ascii="Arial" w:eastAsia="Times New Roman" w:hAnsi="Arial" w:cs="Arial"/>
          <w:b/>
          <w:lang w:eastAsia="en-PH"/>
        </w:rPr>
      </w:pPr>
      <w:r>
        <w:rPr>
          <w:rFonts w:ascii="Arial" w:eastAsia="Times New Roman" w:hAnsi="Arial" w:cs="Arial"/>
          <w:b/>
          <w:noProof/>
          <w:lang w:val="en-PH" w:eastAsia="en-PH"/>
        </w:rPr>
        <w:lastRenderedPageBreak/>
        <w:drawing>
          <wp:inline distT="0" distB="0" distL="0" distR="0">
            <wp:extent cx="5411337" cy="6419308"/>
            <wp:effectExtent l="0" t="0" r="0" b="635"/>
            <wp:docPr id="59" name="Picture 59" descr="C:\Users\USER\Downloads\7bc045d0-f0ca-4eb6-a5c5-690b85962c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7bc045d0-f0ca-4eb6-a5c5-690b85962cc2.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357" b="16604"/>
                    <a:stretch/>
                  </pic:blipFill>
                  <pic:spPr bwMode="auto">
                    <a:xfrm>
                      <a:off x="0" y="0"/>
                      <a:ext cx="5411963" cy="6420051"/>
                    </a:xfrm>
                    <a:prstGeom prst="rect">
                      <a:avLst/>
                    </a:prstGeom>
                    <a:noFill/>
                    <a:ln>
                      <a:noFill/>
                    </a:ln>
                    <a:extLst>
                      <a:ext uri="{53640926-AAD7-44D8-BBD7-CCE9431645EC}">
                        <a14:shadowObscured xmlns:a14="http://schemas.microsoft.com/office/drawing/2010/main"/>
                      </a:ext>
                    </a:extLst>
                  </pic:spPr>
                </pic:pic>
              </a:graphicData>
            </a:graphic>
          </wp:inline>
        </w:drawing>
      </w:r>
    </w:p>
    <w:p>
      <w:pPr>
        <w:spacing w:before="100" w:beforeAutospacing="1" w:after="100" w:afterAutospacing="1" w:line="240" w:lineRule="auto"/>
        <w:jc w:val="center"/>
        <w:rPr>
          <w:rFonts w:ascii="Arial" w:eastAsia="Times New Roman" w:hAnsi="Arial" w:cs="Arial"/>
          <w:b/>
          <w:lang w:eastAsia="en-PH"/>
        </w:rPr>
      </w:pPr>
    </w:p>
    <w:p>
      <w:pPr>
        <w:spacing w:before="100" w:beforeAutospacing="1" w:after="100" w:afterAutospacing="1" w:line="240" w:lineRule="auto"/>
        <w:jc w:val="center"/>
        <w:rPr>
          <w:rFonts w:ascii="Arial" w:eastAsia="Times New Roman" w:hAnsi="Arial" w:cs="Arial"/>
          <w:b/>
          <w:lang w:eastAsia="en-PH"/>
        </w:rPr>
      </w:pPr>
    </w:p>
    <w:p>
      <w:pPr>
        <w:spacing w:before="100" w:beforeAutospacing="1" w:after="100" w:afterAutospacing="1" w:line="240" w:lineRule="auto"/>
        <w:jc w:val="center"/>
        <w:rPr>
          <w:rFonts w:ascii="Arial" w:eastAsia="Times New Roman" w:hAnsi="Arial" w:cs="Arial"/>
          <w:b/>
          <w:lang w:eastAsia="en-PH"/>
        </w:rPr>
      </w:pPr>
    </w:p>
    <w:p>
      <w:pPr>
        <w:spacing w:before="100" w:beforeAutospacing="1" w:after="100" w:afterAutospacing="1" w:line="240" w:lineRule="auto"/>
        <w:jc w:val="center"/>
        <w:rPr>
          <w:rFonts w:ascii="Arial" w:eastAsia="Times New Roman" w:hAnsi="Arial" w:cs="Arial"/>
          <w:b/>
          <w:lang w:eastAsia="en-PH"/>
        </w:rPr>
      </w:pPr>
      <w:r>
        <w:rPr>
          <w:rFonts w:ascii="Arial" w:eastAsia="Times New Roman" w:hAnsi="Arial" w:cs="Arial"/>
          <w:b/>
          <w:lang w:eastAsia="en-PH"/>
        </w:rPr>
        <w:lastRenderedPageBreak/>
        <w:t>Appendix C.</w:t>
      </w:r>
    </w:p>
    <w:p>
      <w:pPr>
        <w:spacing w:before="100" w:beforeAutospacing="1" w:after="100" w:afterAutospacing="1" w:line="240" w:lineRule="auto"/>
        <w:jc w:val="center"/>
        <w:rPr>
          <w:rFonts w:ascii="Arial" w:eastAsia="Times New Roman" w:hAnsi="Arial" w:cs="Arial"/>
          <w:b/>
          <w:lang w:eastAsia="en-PH"/>
        </w:rPr>
      </w:pPr>
      <w:r>
        <w:rPr>
          <w:rFonts w:ascii="Arial" w:eastAsia="Times New Roman" w:hAnsi="Arial" w:cs="Arial"/>
          <w:b/>
          <w:lang w:eastAsia="en-PH"/>
        </w:rPr>
        <w:t>VALIDITY AND VALIDATION DOCUMENT</w:t>
      </w:r>
    </w:p>
    <w:p>
      <w:pPr>
        <w:spacing w:before="100" w:beforeAutospacing="1" w:after="100" w:afterAutospacing="1" w:line="240" w:lineRule="auto"/>
        <w:jc w:val="center"/>
        <w:rPr>
          <w:rFonts w:ascii="Arial" w:eastAsia="Times New Roman" w:hAnsi="Arial" w:cs="Arial"/>
          <w:b/>
          <w:lang w:eastAsia="en-PH"/>
        </w:rPr>
      </w:pPr>
      <w:r>
        <w:rPr>
          <w:rFonts w:ascii="Arial" w:eastAsia="Times New Roman" w:hAnsi="Arial" w:cs="Arial"/>
          <w:b/>
          <w:noProof/>
          <w:lang w:val="en-PH" w:eastAsia="en-PH"/>
        </w:rPr>
        <w:drawing>
          <wp:inline distT="0" distB="0" distL="0" distR="0">
            <wp:extent cx="5154908" cy="6746728"/>
            <wp:effectExtent l="0" t="0" r="8255" b="0"/>
            <wp:docPr id="38" name="Picture 38" descr="C:\Users\USER\Downloads\89493a91-8f31-4586-8892-7fe78a3c5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89493a91-8f31-4586-8892-7fe78a3c5669.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42" r="6033" b="6195"/>
                    <a:stretch/>
                  </pic:blipFill>
                  <pic:spPr bwMode="auto">
                    <a:xfrm>
                      <a:off x="0" y="0"/>
                      <a:ext cx="5155402" cy="6747374"/>
                    </a:xfrm>
                    <a:prstGeom prst="rect">
                      <a:avLst/>
                    </a:prstGeom>
                    <a:noFill/>
                    <a:ln>
                      <a:noFill/>
                    </a:ln>
                    <a:extLst>
                      <a:ext uri="{53640926-AAD7-44D8-BBD7-CCE9431645EC}">
                        <a14:shadowObscured xmlns:a14="http://schemas.microsoft.com/office/drawing/2010/main"/>
                      </a:ext>
                    </a:extLst>
                  </pic:spPr>
                </pic:pic>
              </a:graphicData>
            </a:graphic>
          </wp:inline>
        </w:drawing>
      </w:r>
    </w:p>
    <w:p>
      <w:pPr>
        <w:spacing w:before="100" w:beforeAutospacing="1" w:after="100" w:afterAutospacing="1" w:line="240" w:lineRule="auto"/>
        <w:jc w:val="center"/>
        <w:rPr>
          <w:rFonts w:ascii="Arial" w:eastAsia="Times New Roman" w:hAnsi="Arial" w:cs="Arial"/>
          <w:b/>
          <w:lang w:eastAsia="en-PH"/>
        </w:rPr>
      </w:pPr>
      <w:r>
        <w:rPr>
          <w:rFonts w:ascii="Arial" w:eastAsia="Times New Roman" w:hAnsi="Arial" w:cs="Arial"/>
          <w:b/>
          <w:lang w:eastAsia="en-PH"/>
        </w:rPr>
        <w:lastRenderedPageBreak/>
        <w:t xml:space="preserve"> </w:t>
      </w:r>
      <w:r>
        <w:rPr>
          <w:rFonts w:ascii="Arial" w:eastAsia="Times New Roman" w:hAnsi="Arial" w:cs="Arial"/>
          <w:b/>
          <w:noProof/>
          <w:lang w:val="en-PH" w:eastAsia="en-PH"/>
        </w:rPr>
        <w:drawing>
          <wp:inline distT="0" distB="0" distL="0" distR="0">
            <wp:extent cx="5238750" cy="7094092"/>
            <wp:effectExtent l="0" t="0" r="0" b="0"/>
            <wp:docPr id="41" name="Picture 41" descr="C:\Users\USER\Downloads\f4c40ced-622d-41ea-a716-99e7720b1f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f4c40ced-622d-41ea-a716-99e7720b1f44.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487" r="2252" b="2931"/>
                    <a:stretch/>
                  </pic:blipFill>
                  <pic:spPr bwMode="auto">
                    <a:xfrm>
                      <a:off x="0" y="0"/>
                      <a:ext cx="5239936" cy="7095698"/>
                    </a:xfrm>
                    <a:prstGeom prst="rect">
                      <a:avLst/>
                    </a:prstGeom>
                    <a:noFill/>
                    <a:ln>
                      <a:noFill/>
                    </a:ln>
                    <a:extLst>
                      <a:ext uri="{53640926-AAD7-44D8-BBD7-CCE9431645EC}">
                        <a14:shadowObscured xmlns:a14="http://schemas.microsoft.com/office/drawing/2010/main"/>
                      </a:ext>
                    </a:extLst>
                  </pic:spPr>
                </pic:pic>
              </a:graphicData>
            </a:graphic>
          </wp:inline>
        </w:drawing>
      </w:r>
    </w:p>
    <w:p>
      <w:pPr>
        <w:spacing w:before="100" w:beforeAutospacing="1" w:after="100" w:afterAutospacing="1" w:line="240" w:lineRule="auto"/>
        <w:jc w:val="center"/>
        <w:rPr>
          <w:rFonts w:ascii="Arial" w:eastAsia="Times New Roman" w:hAnsi="Arial" w:cs="Arial"/>
          <w:b/>
          <w:lang w:eastAsia="en-PH"/>
        </w:rPr>
      </w:pPr>
    </w:p>
    <w:p>
      <w:pPr>
        <w:spacing w:before="100" w:beforeAutospacing="1" w:after="100" w:afterAutospacing="1" w:line="240" w:lineRule="auto"/>
        <w:jc w:val="center"/>
        <w:rPr>
          <w:rFonts w:ascii="Arial" w:eastAsia="Times New Roman" w:hAnsi="Arial" w:cs="Arial"/>
          <w:b/>
          <w:noProof/>
          <w:lang w:val="en-PH" w:eastAsia="en-PH"/>
        </w:rPr>
      </w:pPr>
      <w:r>
        <w:rPr>
          <w:rFonts w:ascii="Arial" w:eastAsia="Times New Roman" w:hAnsi="Arial" w:cs="Arial"/>
          <w:b/>
          <w:noProof/>
          <w:lang w:val="en-PH" w:eastAsia="en-PH"/>
        </w:rPr>
        <w:lastRenderedPageBreak/>
        <w:drawing>
          <wp:inline distT="0" distB="0" distL="0" distR="0">
            <wp:extent cx="5332020" cy="6997700"/>
            <wp:effectExtent l="0" t="0" r="2540" b="0"/>
            <wp:docPr id="69" name="Picture 69" descr="C:\Users\USER\Downloads\8d69bffc-3a30-46eb-b4bb-c2a2ee2ec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8d69bffc-3a30-46eb-b4bb-c2a2ee2ec086.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2809"/>
                    <a:stretch/>
                  </pic:blipFill>
                  <pic:spPr bwMode="auto">
                    <a:xfrm>
                      <a:off x="0" y="0"/>
                      <a:ext cx="5332245" cy="6997995"/>
                    </a:xfrm>
                    <a:prstGeom prst="rect">
                      <a:avLst/>
                    </a:prstGeom>
                    <a:noFill/>
                    <a:ln>
                      <a:noFill/>
                    </a:ln>
                    <a:extLst>
                      <a:ext uri="{53640926-AAD7-44D8-BBD7-CCE9431645EC}">
                        <a14:shadowObscured xmlns:a14="http://schemas.microsoft.com/office/drawing/2010/main"/>
                      </a:ext>
                    </a:extLst>
                  </pic:spPr>
                </pic:pic>
              </a:graphicData>
            </a:graphic>
          </wp:inline>
        </w:drawing>
      </w:r>
    </w:p>
    <w:p>
      <w:pPr>
        <w:spacing w:before="100" w:beforeAutospacing="1" w:after="100" w:afterAutospacing="1" w:line="240" w:lineRule="auto"/>
        <w:jc w:val="center"/>
        <w:rPr>
          <w:rFonts w:ascii="Arial" w:eastAsia="Times New Roman" w:hAnsi="Arial" w:cs="Arial"/>
          <w:b/>
          <w:noProof/>
          <w:lang w:val="en-PH" w:eastAsia="en-PH"/>
        </w:rPr>
      </w:pPr>
    </w:p>
    <w:p>
      <w:pPr>
        <w:spacing w:before="100" w:beforeAutospacing="1" w:after="100" w:afterAutospacing="1" w:line="240" w:lineRule="auto"/>
        <w:jc w:val="center"/>
        <w:rPr>
          <w:rFonts w:ascii="Arial" w:eastAsia="Times New Roman" w:hAnsi="Arial" w:cs="Arial"/>
          <w:b/>
          <w:noProof/>
          <w:lang w:val="en-PH" w:eastAsia="en-PH"/>
        </w:rPr>
      </w:pPr>
      <w:r>
        <w:rPr>
          <w:rFonts w:ascii="Arial" w:eastAsia="Times New Roman" w:hAnsi="Arial" w:cs="Arial"/>
          <w:b/>
          <w:noProof/>
          <w:lang w:val="en-PH" w:eastAsia="en-PH"/>
        </w:rPr>
        <w:lastRenderedPageBreak/>
        <w:drawing>
          <wp:inline distT="0" distB="0" distL="0" distR="0">
            <wp:extent cx="5485926" cy="7260605"/>
            <wp:effectExtent l="0" t="0" r="635" b="0"/>
            <wp:docPr id="70" name="Picture 70" descr="C:\Users\USER\Downloads\f1e2ceef-78ee-476c-94de-73a7d14d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f1e2ceef-78ee-476c-94de-73a7d14d2024.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583"/>
                    <a:stretch/>
                  </pic:blipFill>
                  <pic:spPr bwMode="auto">
                    <a:xfrm>
                      <a:off x="0" y="0"/>
                      <a:ext cx="5486400" cy="7261232"/>
                    </a:xfrm>
                    <a:prstGeom prst="rect">
                      <a:avLst/>
                    </a:prstGeom>
                    <a:noFill/>
                    <a:ln>
                      <a:noFill/>
                    </a:ln>
                    <a:extLst>
                      <a:ext uri="{53640926-AAD7-44D8-BBD7-CCE9431645EC}">
                        <a14:shadowObscured xmlns:a14="http://schemas.microsoft.com/office/drawing/2010/main"/>
                      </a:ext>
                    </a:extLst>
                  </pic:spPr>
                </pic:pic>
              </a:graphicData>
            </a:graphic>
          </wp:inline>
        </w:drawing>
      </w:r>
    </w:p>
    <w:p>
      <w:pPr>
        <w:spacing w:before="100" w:beforeAutospacing="1" w:after="100" w:afterAutospacing="1" w:line="240" w:lineRule="auto"/>
        <w:jc w:val="center"/>
        <w:rPr>
          <w:rFonts w:ascii="Arial" w:eastAsia="Times New Roman" w:hAnsi="Arial" w:cs="Arial"/>
          <w:b/>
          <w:noProof/>
          <w:lang w:val="en-PH" w:eastAsia="en-PH"/>
        </w:rPr>
      </w:pPr>
      <w:r>
        <w:rPr>
          <w:rFonts w:ascii="Arial" w:eastAsia="Times New Roman" w:hAnsi="Arial" w:cs="Arial"/>
          <w:b/>
          <w:noProof/>
          <w:lang w:val="en-PH" w:eastAsia="en-PH"/>
        </w:rPr>
        <w:lastRenderedPageBreak/>
        <w:drawing>
          <wp:inline distT="0" distB="0" distL="0" distR="0">
            <wp:extent cx="5486324" cy="7268063"/>
            <wp:effectExtent l="0" t="0" r="635" b="0"/>
            <wp:docPr id="71" name="Picture 71" descr="C:\Users\USER\Downloads\13eda26f-52d9-4f01-8928-346e5072bc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13eda26f-52d9-4f01-8928-346e5072bc96.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437" b="1"/>
                    <a:stretch/>
                  </pic:blipFill>
                  <pic:spPr bwMode="auto">
                    <a:xfrm>
                      <a:off x="0" y="0"/>
                      <a:ext cx="5486400" cy="7268164"/>
                    </a:xfrm>
                    <a:prstGeom prst="rect">
                      <a:avLst/>
                    </a:prstGeom>
                    <a:noFill/>
                    <a:ln>
                      <a:noFill/>
                    </a:ln>
                    <a:extLst>
                      <a:ext uri="{53640926-AAD7-44D8-BBD7-CCE9431645EC}">
                        <a14:shadowObscured xmlns:a14="http://schemas.microsoft.com/office/drawing/2010/main"/>
                      </a:ext>
                    </a:extLst>
                  </pic:spPr>
                </pic:pic>
              </a:graphicData>
            </a:graphic>
          </wp:inline>
        </w:drawing>
      </w:r>
    </w:p>
    <w:p>
      <w:pPr>
        <w:spacing w:before="100" w:beforeAutospacing="1" w:after="100" w:afterAutospacing="1" w:line="240" w:lineRule="auto"/>
        <w:jc w:val="center"/>
        <w:rPr>
          <w:rFonts w:ascii="Arial" w:eastAsia="Times New Roman" w:hAnsi="Arial" w:cs="Arial"/>
          <w:b/>
          <w:noProof/>
          <w:lang w:val="en-PH" w:eastAsia="en-PH"/>
        </w:rPr>
      </w:pPr>
    </w:p>
    <w:p>
      <w:pPr>
        <w:spacing w:before="100" w:beforeAutospacing="1" w:after="100" w:afterAutospacing="1" w:line="240" w:lineRule="auto"/>
        <w:jc w:val="center"/>
        <w:rPr>
          <w:rFonts w:ascii="Arial" w:eastAsia="Times New Roman" w:hAnsi="Arial" w:cs="Arial"/>
          <w:b/>
          <w:lang w:eastAsia="en-PH"/>
        </w:rPr>
      </w:pPr>
      <w:r>
        <w:rPr>
          <w:rFonts w:ascii="Arial" w:eastAsia="Times New Roman" w:hAnsi="Arial" w:cs="Arial"/>
          <w:b/>
          <w:noProof/>
          <w:lang w:val="en-PH" w:eastAsia="en-PH"/>
        </w:rPr>
        <w:lastRenderedPageBreak/>
        <w:drawing>
          <wp:inline distT="0" distB="0" distL="0" distR="0">
            <wp:extent cx="5699760" cy="6534150"/>
            <wp:effectExtent l="0" t="0" r="0" b="0"/>
            <wp:docPr id="45" name="Picture 45" descr="C:\Users\USER\Downloads\19e33b94-a3e3-4f6a-87e5-9eaec47cfd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19e33b94-a3e3-4f6a-87e5-9eaec47cfd6a.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605" t="1703" r="2363" b="14859"/>
                    <a:stretch/>
                  </pic:blipFill>
                  <pic:spPr bwMode="auto">
                    <a:xfrm>
                      <a:off x="0" y="0"/>
                      <a:ext cx="5704138" cy="6539169"/>
                    </a:xfrm>
                    <a:prstGeom prst="rect">
                      <a:avLst/>
                    </a:prstGeom>
                    <a:noFill/>
                    <a:ln>
                      <a:noFill/>
                    </a:ln>
                    <a:extLst>
                      <a:ext uri="{53640926-AAD7-44D8-BBD7-CCE9431645EC}">
                        <a14:shadowObscured xmlns:a14="http://schemas.microsoft.com/office/drawing/2010/main"/>
                      </a:ext>
                    </a:extLst>
                  </pic:spPr>
                </pic:pic>
              </a:graphicData>
            </a:graphic>
          </wp:inline>
        </w:drawing>
      </w:r>
    </w:p>
    <w:p>
      <w:pPr>
        <w:spacing w:before="100" w:beforeAutospacing="1" w:after="100" w:afterAutospacing="1" w:line="240" w:lineRule="auto"/>
        <w:jc w:val="center"/>
        <w:rPr>
          <w:rFonts w:ascii="Arial" w:eastAsia="Times New Roman" w:hAnsi="Arial" w:cs="Arial"/>
          <w:b/>
          <w:lang w:eastAsia="en-PH"/>
        </w:rPr>
      </w:pPr>
    </w:p>
    <w:p>
      <w:pPr>
        <w:spacing w:before="100" w:beforeAutospacing="1" w:after="100" w:afterAutospacing="1" w:line="240" w:lineRule="auto"/>
        <w:jc w:val="center"/>
        <w:rPr>
          <w:rFonts w:ascii="Arial" w:eastAsia="Times New Roman" w:hAnsi="Arial" w:cs="Arial"/>
          <w:b/>
          <w:lang w:eastAsia="en-PH"/>
        </w:rPr>
      </w:pPr>
    </w:p>
    <w:p>
      <w:pPr>
        <w:spacing w:before="100" w:beforeAutospacing="1" w:after="100" w:afterAutospacing="1" w:line="240" w:lineRule="auto"/>
        <w:jc w:val="center"/>
        <w:rPr>
          <w:rFonts w:ascii="Arial" w:eastAsia="Times New Roman" w:hAnsi="Arial" w:cs="Arial"/>
          <w:b/>
          <w:lang w:eastAsia="en-PH"/>
        </w:rPr>
      </w:pPr>
    </w:p>
    <w:p>
      <w:pPr>
        <w:spacing w:before="100" w:beforeAutospacing="1" w:after="100" w:afterAutospacing="1" w:line="240" w:lineRule="auto"/>
        <w:jc w:val="center"/>
        <w:rPr>
          <w:rFonts w:ascii="Arial" w:eastAsia="Times New Roman" w:hAnsi="Arial" w:cs="Arial"/>
          <w:b/>
          <w:lang w:eastAsia="en-PH"/>
        </w:rPr>
      </w:pPr>
      <w:r>
        <w:rPr>
          <w:rFonts w:ascii="Arial" w:eastAsia="Times New Roman" w:hAnsi="Arial" w:cs="Arial"/>
          <w:b/>
          <w:lang w:eastAsia="en-PH"/>
        </w:rPr>
        <w:lastRenderedPageBreak/>
        <w:t>Appendix D.</w:t>
      </w:r>
    </w:p>
    <w:p>
      <w:pPr>
        <w:spacing w:before="100" w:beforeAutospacing="1" w:after="100" w:afterAutospacing="1" w:line="240" w:lineRule="auto"/>
        <w:jc w:val="center"/>
        <w:rPr>
          <w:rFonts w:ascii="Arial" w:eastAsia="Times New Roman" w:hAnsi="Arial" w:cs="Arial"/>
          <w:b/>
          <w:lang w:eastAsia="en-PH"/>
        </w:rPr>
      </w:pPr>
      <w:r>
        <w:rPr>
          <w:rFonts w:ascii="Arial" w:eastAsia="Times New Roman" w:hAnsi="Arial" w:cs="Arial"/>
          <w:b/>
          <w:lang w:eastAsia="en-PH"/>
        </w:rPr>
        <w:t>PILOT TESTING RESULT</w:t>
      </w:r>
      <w:r>
        <w:rPr>
          <w:rFonts w:ascii="Arial" w:hAnsi="Arial" w:cs="Arial"/>
          <w:noProof/>
          <w:lang w:val="en-PH" w:eastAsia="en-PH"/>
        </w:rPr>
        <w:drawing>
          <wp:inline distT="0" distB="0" distL="0" distR="0">
            <wp:extent cx="5195696" cy="6743700"/>
            <wp:effectExtent l="0" t="0" r="5080" b="0"/>
            <wp:docPr id="26" name="Picture 26" descr="C:\Users\USER\AppData\Local\Microsoft\Windows\INetCache\Content.Word\Reliability Result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Reliability Result (2)_page-0001.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5876" t="7527" r="12954" b="11064"/>
                    <a:stretch/>
                  </pic:blipFill>
                  <pic:spPr bwMode="auto">
                    <a:xfrm>
                      <a:off x="0" y="0"/>
                      <a:ext cx="5203755" cy="6754160"/>
                    </a:xfrm>
                    <a:prstGeom prst="rect">
                      <a:avLst/>
                    </a:prstGeom>
                    <a:noFill/>
                    <a:ln>
                      <a:noFill/>
                    </a:ln>
                    <a:extLst>
                      <a:ext uri="{53640926-AAD7-44D8-BBD7-CCE9431645EC}">
                        <a14:shadowObscured xmlns:a14="http://schemas.microsoft.com/office/drawing/2010/main"/>
                      </a:ext>
                    </a:extLst>
                  </pic:spPr>
                </pic:pic>
              </a:graphicData>
            </a:graphic>
          </wp:inline>
        </w:drawing>
      </w:r>
    </w:p>
    <w:p>
      <w:pPr>
        <w:spacing w:before="100" w:beforeAutospacing="1" w:after="100" w:afterAutospacing="1" w:line="240" w:lineRule="auto"/>
        <w:jc w:val="center"/>
        <w:rPr>
          <w:rFonts w:ascii="Arial" w:hAnsi="Arial" w:cs="Arial"/>
          <w:noProof/>
          <w:lang w:val="en-PH" w:eastAsia="en-PH"/>
        </w:rPr>
      </w:pPr>
      <w:r>
        <w:rPr>
          <w:rFonts w:ascii="Arial" w:hAnsi="Arial" w:cs="Arial"/>
          <w:noProof/>
          <w:lang w:val="en-PH" w:eastAsia="en-PH"/>
        </w:rPr>
        <w:lastRenderedPageBreak/>
        <w:drawing>
          <wp:inline distT="0" distB="0" distL="0" distR="0">
            <wp:extent cx="5624716" cy="3286125"/>
            <wp:effectExtent l="0" t="0" r="0" b="0"/>
            <wp:docPr id="27" name="Picture 27" descr="C:\Users\USER\AppData\Local\Microsoft\Windows\INetCache\Content.Word\Reliability Result (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Reliability Result (2)_page-0002.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10139" t="5543" r="10492" b="58626"/>
                    <a:stretch/>
                  </pic:blipFill>
                  <pic:spPr bwMode="auto">
                    <a:xfrm>
                      <a:off x="0" y="0"/>
                      <a:ext cx="5639738" cy="3294902"/>
                    </a:xfrm>
                    <a:prstGeom prst="rect">
                      <a:avLst/>
                    </a:prstGeom>
                    <a:noFill/>
                    <a:ln>
                      <a:noFill/>
                    </a:ln>
                    <a:extLst>
                      <a:ext uri="{53640926-AAD7-44D8-BBD7-CCE9431645EC}">
                        <a14:shadowObscured xmlns:a14="http://schemas.microsoft.com/office/drawing/2010/main"/>
                      </a:ext>
                    </a:extLst>
                  </pic:spPr>
                </pic:pic>
              </a:graphicData>
            </a:graphic>
          </wp:inline>
        </w:drawing>
      </w:r>
    </w:p>
    <w:p>
      <w:pPr>
        <w:spacing w:before="100" w:beforeAutospacing="1" w:after="100" w:afterAutospacing="1" w:line="240" w:lineRule="auto"/>
        <w:jc w:val="center"/>
        <w:rPr>
          <w:rFonts w:ascii="Arial" w:hAnsi="Arial" w:cs="Arial"/>
          <w:noProof/>
          <w:lang w:val="en-PH" w:eastAsia="en-PH"/>
        </w:rPr>
      </w:pPr>
    </w:p>
    <w:p>
      <w:pPr>
        <w:spacing w:before="100" w:beforeAutospacing="1" w:after="100" w:afterAutospacing="1" w:line="240" w:lineRule="auto"/>
        <w:jc w:val="center"/>
        <w:rPr>
          <w:rFonts w:ascii="Arial" w:eastAsia="Times New Roman" w:hAnsi="Arial" w:cs="Arial"/>
          <w:b/>
          <w:lang w:eastAsia="en-PH"/>
        </w:rPr>
      </w:pPr>
    </w:p>
    <w:p>
      <w:pPr>
        <w:spacing w:before="100" w:beforeAutospacing="1" w:after="100" w:afterAutospacing="1" w:line="240" w:lineRule="auto"/>
        <w:jc w:val="center"/>
        <w:rPr>
          <w:rFonts w:ascii="Arial" w:eastAsia="Times New Roman" w:hAnsi="Arial" w:cs="Arial"/>
          <w:b/>
          <w:lang w:eastAsia="en-PH"/>
        </w:rPr>
      </w:pPr>
    </w:p>
    <w:p>
      <w:pPr>
        <w:spacing w:before="100" w:beforeAutospacing="1" w:after="100" w:afterAutospacing="1" w:line="240" w:lineRule="auto"/>
        <w:jc w:val="center"/>
        <w:rPr>
          <w:rFonts w:ascii="Arial" w:eastAsia="Times New Roman" w:hAnsi="Arial" w:cs="Arial"/>
          <w:b/>
          <w:lang w:eastAsia="en-PH"/>
        </w:rPr>
      </w:pPr>
    </w:p>
    <w:p>
      <w:pPr>
        <w:spacing w:before="100" w:beforeAutospacing="1" w:after="100" w:afterAutospacing="1" w:line="240" w:lineRule="auto"/>
        <w:jc w:val="center"/>
        <w:rPr>
          <w:rFonts w:ascii="Arial" w:eastAsia="Times New Roman" w:hAnsi="Arial" w:cs="Arial"/>
          <w:b/>
          <w:lang w:eastAsia="en-PH"/>
        </w:rPr>
      </w:pPr>
    </w:p>
    <w:p>
      <w:pPr>
        <w:spacing w:before="100" w:beforeAutospacing="1" w:after="100" w:afterAutospacing="1" w:line="240" w:lineRule="auto"/>
        <w:jc w:val="center"/>
        <w:rPr>
          <w:rFonts w:ascii="Arial" w:eastAsia="Times New Roman" w:hAnsi="Arial" w:cs="Arial"/>
          <w:b/>
          <w:lang w:eastAsia="en-PH"/>
        </w:rPr>
      </w:pPr>
    </w:p>
    <w:p>
      <w:pPr>
        <w:spacing w:before="100" w:beforeAutospacing="1" w:after="100" w:afterAutospacing="1" w:line="240" w:lineRule="auto"/>
        <w:jc w:val="center"/>
        <w:rPr>
          <w:rFonts w:ascii="Arial" w:eastAsia="Times New Roman" w:hAnsi="Arial" w:cs="Arial"/>
          <w:b/>
          <w:lang w:eastAsia="en-PH"/>
        </w:rPr>
      </w:pPr>
    </w:p>
    <w:p>
      <w:pPr>
        <w:spacing w:before="100" w:beforeAutospacing="1" w:after="100" w:afterAutospacing="1" w:line="240" w:lineRule="auto"/>
        <w:jc w:val="center"/>
        <w:rPr>
          <w:rFonts w:ascii="Arial" w:eastAsia="Times New Roman" w:hAnsi="Arial" w:cs="Arial"/>
          <w:b/>
          <w:lang w:eastAsia="en-PH"/>
        </w:rPr>
      </w:pPr>
    </w:p>
    <w:p>
      <w:pPr>
        <w:spacing w:before="100" w:beforeAutospacing="1" w:after="100" w:afterAutospacing="1" w:line="240" w:lineRule="auto"/>
        <w:jc w:val="center"/>
        <w:rPr>
          <w:rFonts w:ascii="Arial" w:eastAsia="Times New Roman" w:hAnsi="Arial" w:cs="Arial"/>
          <w:b/>
          <w:lang w:eastAsia="en-PH"/>
        </w:rPr>
      </w:pPr>
    </w:p>
    <w:p>
      <w:pPr>
        <w:spacing w:before="100" w:beforeAutospacing="1" w:after="100" w:afterAutospacing="1" w:line="240" w:lineRule="auto"/>
        <w:jc w:val="center"/>
        <w:rPr>
          <w:rFonts w:ascii="Arial" w:eastAsia="Times New Roman" w:hAnsi="Arial" w:cs="Arial"/>
          <w:b/>
          <w:lang w:eastAsia="en-PH"/>
        </w:rPr>
      </w:pPr>
    </w:p>
    <w:p>
      <w:pPr>
        <w:spacing w:before="100" w:beforeAutospacing="1" w:after="100" w:afterAutospacing="1" w:line="240" w:lineRule="auto"/>
        <w:jc w:val="center"/>
        <w:rPr>
          <w:rFonts w:ascii="Arial" w:eastAsia="Times New Roman" w:hAnsi="Arial" w:cs="Arial"/>
          <w:b/>
          <w:lang w:eastAsia="en-PH"/>
        </w:rPr>
      </w:pPr>
    </w:p>
    <w:p>
      <w:pPr>
        <w:spacing w:before="100" w:beforeAutospacing="1" w:after="100" w:afterAutospacing="1" w:line="240" w:lineRule="auto"/>
        <w:jc w:val="center"/>
        <w:rPr>
          <w:rFonts w:ascii="Arial" w:eastAsia="Times New Roman" w:hAnsi="Arial" w:cs="Arial"/>
          <w:b/>
          <w:lang w:eastAsia="en-PH"/>
        </w:rPr>
      </w:pPr>
    </w:p>
    <w:p>
      <w:pPr>
        <w:spacing w:before="100" w:beforeAutospacing="1" w:after="100" w:afterAutospacing="1" w:line="240" w:lineRule="auto"/>
        <w:jc w:val="center"/>
        <w:rPr>
          <w:rFonts w:ascii="Arial" w:eastAsia="Times New Roman" w:hAnsi="Arial" w:cs="Arial"/>
          <w:b/>
          <w:lang w:eastAsia="en-PH"/>
        </w:rPr>
      </w:pPr>
      <w:r>
        <w:rPr>
          <w:rFonts w:ascii="Arial" w:eastAsia="Times New Roman" w:hAnsi="Arial" w:cs="Arial"/>
          <w:b/>
          <w:lang w:eastAsia="en-PH"/>
        </w:rPr>
        <w:lastRenderedPageBreak/>
        <w:t>Appendix E.</w:t>
      </w:r>
    </w:p>
    <w:p>
      <w:pPr>
        <w:spacing w:before="100" w:beforeAutospacing="1" w:after="100" w:afterAutospacing="1" w:line="240" w:lineRule="auto"/>
        <w:jc w:val="center"/>
        <w:rPr>
          <w:rFonts w:ascii="Arial" w:eastAsia="Times New Roman" w:hAnsi="Arial" w:cs="Arial"/>
          <w:b/>
          <w:lang w:eastAsia="en-PH"/>
        </w:rPr>
      </w:pPr>
      <w:r>
        <w:rPr>
          <w:rFonts w:ascii="Arial" w:eastAsia="Times New Roman" w:hAnsi="Arial" w:cs="Arial"/>
          <w:b/>
          <w:lang w:eastAsia="en-PH"/>
        </w:rPr>
        <w:t>DETAILED RESULT OF THE STUDY</w:t>
      </w:r>
    </w:p>
    <w:p>
      <w:pPr>
        <w:jc w:val="center"/>
        <w:rPr>
          <w:rFonts w:ascii="Arial" w:hAnsi="Arial" w:cs="Arial"/>
        </w:rPr>
      </w:pPr>
      <w:r>
        <w:rPr>
          <w:rFonts w:ascii="Arial" w:eastAsia="Times New Roman" w:hAnsi="Arial" w:cs="Arial"/>
          <w:lang w:eastAsia="en-PH"/>
        </w:rPr>
        <w:t>TEACHERS’ COMPETENCE IN INTEGRATING TECHNOLOGY IN ENGLISH LANGUAGE TEACHING</w:t>
      </w:r>
    </w:p>
    <w:tbl>
      <w:tblPr>
        <w:tblStyle w:val="TableGrid"/>
        <w:tblW w:w="0" w:type="auto"/>
        <w:tblLook w:val="04A0" w:firstRow="1" w:lastRow="0" w:firstColumn="1" w:lastColumn="0" w:noHBand="0" w:noVBand="1"/>
      </w:tblPr>
      <w:tblGrid>
        <w:gridCol w:w="5761"/>
        <w:gridCol w:w="1230"/>
        <w:gridCol w:w="1639"/>
      </w:tblGrid>
      <w:tr>
        <w:tc>
          <w:tcPr>
            <w:tcW w:w="6475" w:type="dxa"/>
          </w:tcPr>
          <w:p>
            <w:pPr>
              <w:jc w:val="center"/>
              <w:rPr>
                <w:rFonts w:ascii="Arial" w:hAnsi="Arial" w:cs="Arial"/>
                <w:sz w:val="24"/>
                <w:szCs w:val="24"/>
              </w:rPr>
            </w:pPr>
            <w:r>
              <w:rPr>
                <w:rFonts w:ascii="Arial" w:hAnsi="Arial" w:cs="Arial"/>
                <w:sz w:val="24"/>
                <w:szCs w:val="24"/>
              </w:rPr>
              <w:t>Indicator</w:t>
            </w:r>
          </w:p>
        </w:tc>
        <w:tc>
          <w:tcPr>
            <w:tcW w:w="1170" w:type="dxa"/>
          </w:tcPr>
          <w:p>
            <w:pPr>
              <w:jc w:val="center"/>
              <w:rPr>
                <w:rFonts w:ascii="Arial" w:hAnsi="Arial" w:cs="Arial"/>
                <w:sz w:val="24"/>
                <w:szCs w:val="24"/>
              </w:rPr>
            </w:pPr>
            <w:r>
              <w:rPr>
                <w:rFonts w:ascii="Arial" w:hAnsi="Arial" w:cs="Arial"/>
                <w:sz w:val="24"/>
                <w:szCs w:val="24"/>
              </w:rPr>
              <w:t>Weighted Mean</w:t>
            </w:r>
          </w:p>
        </w:tc>
        <w:tc>
          <w:tcPr>
            <w:tcW w:w="1705" w:type="dxa"/>
          </w:tcPr>
          <w:p>
            <w:pPr>
              <w:jc w:val="center"/>
              <w:rPr>
                <w:rFonts w:ascii="Arial" w:hAnsi="Arial" w:cs="Arial"/>
                <w:sz w:val="24"/>
                <w:szCs w:val="24"/>
              </w:rPr>
            </w:pPr>
            <w:r>
              <w:rPr>
                <w:rFonts w:ascii="Arial" w:hAnsi="Arial" w:cs="Arial"/>
                <w:sz w:val="24"/>
                <w:szCs w:val="24"/>
              </w:rPr>
              <w:t>Adjectival Rating</w:t>
            </w:r>
          </w:p>
        </w:tc>
      </w:tr>
      <w:tr>
        <w:tc>
          <w:tcPr>
            <w:tcW w:w="6475" w:type="dxa"/>
          </w:tcPr>
          <w:p>
            <w:pPr>
              <w:rPr>
                <w:rFonts w:ascii="Arial" w:hAnsi="Arial" w:cs="Arial"/>
                <w:sz w:val="24"/>
                <w:szCs w:val="24"/>
              </w:rPr>
            </w:pPr>
            <w:r>
              <w:rPr>
                <w:rFonts w:ascii="Arial" w:hAnsi="Arial" w:cs="Arial"/>
                <w:b/>
                <w:bCs/>
                <w:sz w:val="24"/>
                <w:szCs w:val="24"/>
                <w:lang w:eastAsia="en-PH"/>
              </w:rPr>
              <w:t>PICRAT-Based Pedagogical Knowledge</w:t>
            </w:r>
          </w:p>
        </w:tc>
        <w:tc>
          <w:tcPr>
            <w:tcW w:w="1170" w:type="dxa"/>
            <w:vAlign w:val="center"/>
          </w:tcPr>
          <w:p>
            <w:pPr>
              <w:jc w:val="center"/>
              <w:rPr>
                <w:rFonts w:ascii="Arial" w:hAnsi="Arial" w:cs="Arial"/>
                <w:sz w:val="24"/>
                <w:szCs w:val="24"/>
              </w:rPr>
            </w:pPr>
          </w:p>
        </w:tc>
        <w:tc>
          <w:tcPr>
            <w:tcW w:w="1705" w:type="dxa"/>
          </w:tcPr>
          <w:p>
            <w:pPr>
              <w:rPr>
                <w:rFonts w:ascii="Arial" w:hAnsi="Arial" w:cs="Arial"/>
                <w:sz w:val="24"/>
                <w:szCs w:val="24"/>
              </w:rPr>
            </w:pPr>
          </w:p>
        </w:tc>
      </w:tr>
      <w:tr>
        <w:tc>
          <w:tcPr>
            <w:tcW w:w="6475" w:type="dxa"/>
          </w:tcPr>
          <w:p>
            <w:pPr>
              <w:jc w:val="both"/>
              <w:rPr>
                <w:rFonts w:ascii="Arial" w:hAnsi="Arial" w:cs="Arial"/>
                <w:sz w:val="24"/>
                <w:szCs w:val="24"/>
                <w:lang w:eastAsia="en-PH"/>
              </w:rPr>
            </w:pPr>
            <w:r>
              <w:rPr>
                <w:rFonts w:ascii="Arial" w:hAnsi="Arial" w:cs="Arial"/>
                <w:sz w:val="24"/>
                <w:szCs w:val="24"/>
              </w:rPr>
              <w:t>I intentionally align technology use with English learning outcomes.</w:t>
            </w:r>
          </w:p>
        </w:tc>
        <w:tc>
          <w:tcPr>
            <w:tcW w:w="1170" w:type="dxa"/>
            <w:vAlign w:val="center"/>
          </w:tcPr>
          <w:p>
            <w:pPr>
              <w:jc w:val="center"/>
              <w:rPr>
                <w:rFonts w:ascii="Arial" w:hAnsi="Arial" w:cs="Arial"/>
                <w:sz w:val="24"/>
                <w:szCs w:val="24"/>
              </w:rPr>
            </w:pPr>
            <w:r>
              <w:rPr>
                <w:rFonts w:ascii="Arial" w:hAnsi="Arial" w:cs="Arial"/>
                <w:sz w:val="24"/>
                <w:szCs w:val="24"/>
              </w:rPr>
              <w:t>3.67</w:t>
            </w:r>
          </w:p>
        </w:tc>
        <w:tc>
          <w:tcPr>
            <w:tcW w:w="1705" w:type="dxa"/>
            <w:vAlign w:val="center"/>
          </w:tcPr>
          <w:p>
            <w:pPr>
              <w:jc w:val="center"/>
              <w:rPr>
                <w:rFonts w:ascii="Arial" w:hAnsi="Arial" w:cs="Arial"/>
                <w:sz w:val="24"/>
                <w:szCs w:val="24"/>
              </w:rPr>
            </w:pPr>
            <w:r>
              <w:rPr>
                <w:rFonts w:ascii="Arial" w:hAnsi="Arial" w:cs="Arial"/>
                <w:sz w:val="24"/>
                <w:szCs w:val="24"/>
              </w:rPr>
              <w:t>Competent</w:t>
            </w:r>
          </w:p>
        </w:tc>
      </w:tr>
      <w:tr>
        <w:tc>
          <w:tcPr>
            <w:tcW w:w="6475" w:type="dxa"/>
          </w:tcPr>
          <w:p>
            <w:pPr>
              <w:jc w:val="both"/>
              <w:rPr>
                <w:rFonts w:ascii="Arial" w:hAnsi="Arial" w:cs="Arial"/>
                <w:sz w:val="24"/>
                <w:szCs w:val="24"/>
                <w:lang w:eastAsia="en-PH"/>
              </w:rPr>
            </w:pPr>
            <w:r>
              <w:rPr>
                <w:rFonts w:ascii="Arial" w:hAnsi="Arial" w:cs="Arial"/>
                <w:sz w:val="24"/>
                <w:szCs w:val="24"/>
              </w:rPr>
              <w:t>I select digital tools based on how they promote learner engagement in English lessons.</w:t>
            </w:r>
          </w:p>
        </w:tc>
        <w:tc>
          <w:tcPr>
            <w:tcW w:w="1170" w:type="dxa"/>
            <w:vAlign w:val="center"/>
          </w:tcPr>
          <w:p>
            <w:pPr>
              <w:jc w:val="center"/>
              <w:rPr>
                <w:rFonts w:ascii="Arial" w:hAnsi="Arial" w:cs="Arial"/>
                <w:sz w:val="24"/>
                <w:szCs w:val="24"/>
              </w:rPr>
            </w:pPr>
            <w:r>
              <w:rPr>
                <w:rFonts w:ascii="Arial" w:hAnsi="Arial" w:cs="Arial"/>
                <w:sz w:val="24"/>
                <w:szCs w:val="24"/>
              </w:rPr>
              <w:t>3.73</w:t>
            </w:r>
          </w:p>
        </w:tc>
        <w:tc>
          <w:tcPr>
            <w:tcW w:w="1705" w:type="dxa"/>
            <w:vAlign w:val="center"/>
          </w:tcPr>
          <w:p>
            <w:pPr>
              <w:jc w:val="center"/>
              <w:rPr>
                <w:rFonts w:ascii="Arial" w:hAnsi="Arial" w:cs="Arial"/>
                <w:sz w:val="24"/>
                <w:szCs w:val="24"/>
              </w:rPr>
            </w:pPr>
            <w:r>
              <w:rPr>
                <w:rFonts w:ascii="Arial" w:hAnsi="Arial" w:cs="Arial"/>
                <w:sz w:val="24"/>
                <w:szCs w:val="24"/>
              </w:rPr>
              <w:t>Competent</w:t>
            </w:r>
          </w:p>
        </w:tc>
      </w:tr>
      <w:tr>
        <w:tc>
          <w:tcPr>
            <w:tcW w:w="6475" w:type="dxa"/>
          </w:tcPr>
          <w:p>
            <w:pPr>
              <w:jc w:val="both"/>
              <w:rPr>
                <w:rFonts w:ascii="Arial" w:hAnsi="Arial" w:cs="Arial"/>
                <w:sz w:val="24"/>
                <w:szCs w:val="24"/>
                <w:lang w:eastAsia="en-PH"/>
              </w:rPr>
            </w:pPr>
            <w:r>
              <w:rPr>
                <w:rFonts w:ascii="Arial" w:hAnsi="Arial" w:cs="Arial"/>
                <w:sz w:val="24"/>
                <w:szCs w:val="24"/>
              </w:rPr>
              <w:t>I plan technology-supported English activities using clear instructional objectives.</w:t>
            </w:r>
          </w:p>
        </w:tc>
        <w:tc>
          <w:tcPr>
            <w:tcW w:w="1170" w:type="dxa"/>
            <w:vAlign w:val="center"/>
          </w:tcPr>
          <w:p>
            <w:pPr>
              <w:jc w:val="center"/>
              <w:rPr>
                <w:rFonts w:ascii="Arial" w:hAnsi="Arial" w:cs="Arial"/>
                <w:sz w:val="24"/>
                <w:szCs w:val="24"/>
              </w:rPr>
            </w:pPr>
            <w:r>
              <w:rPr>
                <w:rFonts w:ascii="Arial" w:hAnsi="Arial" w:cs="Arial"/>
                <w:sz w:val="24"/>
                <w:szCs w:val="24"/>
              </w:rPr>
              <w:t>3.80</w:t>
            </w:r>
          </w:p>
        </w:tc>
        <w:tc>
          <w:tcPr>
            <w:tcW w:w="1705" w:type="dxa"/>
            <w:vAlign w:val="center"/>
          </w:tcPr>
          <w:p>
            <w:pPr>
              <w:jc w:val="center"/>
              <w:rPr>
                <w:rFonts w:ascii="Arial" w:hAnsi="Arial" w:cs="Arial"/>
                <w:sz w:val="24"/>
                <w:szCs w:val="24"/>
              </w:rPr>
            </w:pPr>
            <w:r>
              <w:rPr>
                <w:rFonts w:ascii="Arial" w:hAnsi="Arial" w:cs="Arial"/>
                <w:sz w:val="24"/>
                <w:szCs w:val="24"/>
              </w:rPr>
              <w:t>Competent</w:t>
            </w:r>
          </w:p>
        </w:tc>
      </w:tr>
      <w:tr>
        <w:tc>
          <w:tcPr>
            <w:tcW w:w="6475" w:type="dxa"/>
          </w:tcPr>
          <w:p>
            <w:pPr>
              <w:jc w:val="both"/>
              <w:rPr>
                <w:rFonts w:ascii="Arial" w:hAnsi="Arial" w:cs="Arial"/>
                <w:sz w:val="24"/>
                <w:szCs w:val="24"/>
                <w:lang w:eastAsia="en-PH"/>
              </w:rPr>
            </w:pPr>
            <w:r>
              <w:rPr>
                <w:rFonts w:ascii="Arial" w:hAnsi="Arial" w:cs="Arial"/>
                <w:sz w:val="24"/>
                <w:szCs w:val="24"/>
              </w:rPr>
              <w:t>I can distinguish between passive and interactive technology use in ELT.</w:t>
            </w:r>
          </w:p>
        </w:tc>
        <w:tc>
          <w:tcPr>
            <w:tcW w:w="1170" w:type="dxa"/>
            <w:vAlign w:val="center"/>
          </w:tcPr>
          <w:p>
            <w:pPr>
              <w:jc w:val="center"/>
              <w:rPr>
                <w:rFonts w:ascii="Arial" w:hAnsi="Arial" w:cs="Arial"/>
                <w:sz w:val="24"/>
                <w:szCs w:val="24"/>
              </w:rPr>
            </w:pPr>
            <w:r>
              <w:rPr>
                <w:rFonts w:ascii="Arial" w:hAnsi="Arial" w:cs="Arial"/>
                <w:sz w:val="24"/>
                <w:szCs w:val="24"/>
              </w:rPr>
              <w:t>3.90</w:t>
            </w:r>
          </w:p>
        </w:tc>
        <w:tc>
          <w:tcPr>
            <w:tcW w:w="1705" w:type="dxa"/>
            <w:vAlign w:val="center"/>
          </w:tcPr>
          <w:p>
            <w:pPr>
              <w:jc w:val="center"/>
              <w:rPr>
                <w:rFonts w:ascii="Arial" w:hAnsi="Arial" w:cs="Arial"/>
                <w:sz w:val="24"/>
                <w:szCs w:val="24"/>
              </w:rPr>
            </w:pPr>
            <w:r>
              <w:rPr>
                <w:rFonts w:ascii="Arial" w:hAnsi="Arial" w:cs="Arial"/>
                <w:sz w:val="24"/>
                <w:szCs w:val="24"/>
              </w:rPr>
              <w:t>Competent</w:t>
            </w:r>
          </w:p>
        </w:tc>
      </w:tr>
      <w:tr>
        <w:tc>
          <w:tcPr>
            <w:tcW w:w="6475" w:type="dxa"/>
          </w:tcPr>
          <w:p>
            <w:pPr>
              <w:jc w:val="both"/>
              <w:rPr>
                <w:rFonts w:ascii="Arial" w:hAnsi="Arial" w:cs="Arial"/>
                <w:sz w:val="24"/>
                <w:szCs w:val="24"/>
                <w:lang w:eastAsia="en-PH"/>
              </w:rPr>
            </w:pPr>
            <w:r>
              <w:rPr>
                <w:rFonts w:ascii="Arial" w:hAnsi="Arial" w:cs="Arial"/>
                <w:sz w:val="24"/>
                <w:szCs w:val="24"/>
              </w:rPr>
              <w:t>I consider whether technology use encourages active English language use among learners.</w:t>
            </w:r>
          </w:p>
        </w:tc>
        <w:tc>
          <w:tcPr>
            <w:tcW w:w="1170" w:type="dxa"/>
            <w:vAlign w:val="center"/>
          </w:tcPr>
          <w:p>
            <w:pPr>
              <w:jc w:val="center"/>
              <w:rPr>
                <w:rFonts w:ascii="Arial" w:hAnsi="Arial" w:cs="Arial"/>
                <w:sz w:val="24"/>
                <w:szCs w:val="24"/>
              </w:rPr>
            </w:pPr>
            <w:r>
              <w:rPr>
                <w:rFonts w:ascii="Arial" w:hAnsi="Arial" w:cs="Arial"/>
                <w:sz w:val="24"/>
                <w:szCs w:val="24"/>
              </w:rPr>
              <w:t>4.00</w:t>
            </w:r>
          </w:p>
        </w:tc>
        <w:tc>
          <w:tcPr>
            <w:tcW w:w="1705" w:type="dxa"/>
            <w:vAlign w:val="center"/>
          </w:tcPr>
          <w:p>
            <w:pPr>
              <w:jc w:val="center"/>
              <w:rPr>
                <w:rFonts w:ascii="Arial" w:hAnsi="Arial" w:cs="Arial"/>
                <w:sz w:val="24"/>
                <w:szCs w:val="24"/>
              </w:rPr>
            </w:pPr>
            <w:r>
              <w:rPr>
                <w:rFonts w:ascii="Arial" w:hAnsi="Arial" w:cs="Arial"/>
                <w:sz w:val="24"/>
                <w:szCs w:val="24"/>
              </w:rPr>
              <w:t>Competent</w:t>
            </w:r>
          </w:p>
        </w:tc>
      </w:tr>
      <w:tr>
        <w:tc>
          <w:tcPr>
            <w:tcW w:w="6475" w:type="dxa"/>
          </w:tcPr>
          <w:p>
            <w:pPr>
              <w:jc w:val="center"/>
              <w:rPr>
                <w:rFonts w:ascii="Arial" w:hAnsi="Arial" w:cs="Arial"/>
                <w:sz w:val="24"/>
                <w:szCs w:val="24"/>
                <w:lang w:eastAsia="en-PH"/>
              </w:rPr>
            </w:pPr>
            <w:r>
              <w:rPr>
                <w:rFonts w:ascii="Arial" w:hAnsi="Arial" w:cs="Arial"/>
                <w:sz w:val="24"/>
                <w:szCs w:val="24"/>
                <w:lang w:eastAsia="en-PH"/>
              </w:rPr>
              <w:t xml:space="preserve">Mean </w:t>
            </w:r>
          </w:p>
        </w:tc>
        <w:tc>
          <w:tcPr>
            <w:tcW w:w="1170" w:type="dxa"/>
            <w:vAlign w:val="center"/>
          </w:tcPr>
          <w:p>
            <w:pPr>
              <w:jc w:val="center"/>
              <w:rPr>
                <w:rFonts w:ascii="Arial" w:hAnsi="Arial" w:cs="Arial"/>
                <w:sz w:val="24"/>
                <w:szCs w:val="24"/>
              </w:rPr>
            </w:pPr>
            <w:r>
              <w:rPr>
                <w:rFonts w:ascii="Arial" w:hAnsi="Arial" w:cs="Arial"/>
                <w:color w:val="000000"/>
                <w:sz w:val="24"/>
                <w:szCs w:val="24"/>
              </w:rPr>
              <w:t>3.82</w:t>
            </w:r>
          </w:p>
        </w:tc>
        <w:tc>
          <w:tcPr>
            <w:tcW w:w="1705" w:type="dxa"/>
            <w:vAlign w:val="center"/>
          </w:tcPr>
          <w:p>
            <w:pPr>
              <w:jc w:val="center"/>
              <w:rPr>
                <w:rFonts w:ascii="Arial" w:hAnsi="Arial" w:cs="Arial"/>
                <w:sz w:val="24"/>
                <w:szCs w:val="24"/>
              </w:rPr>
            </w:pPr>
            <w:r>
              <w:rPr>
                <w:rFonts w:ascii="Arial" w:hAnsi="Arial" w:cs="Arial"/>
                <w:sz w:val="24"/>
                <w:szCs w:val="24"/>
              </w:rPr>
              <w:t>Competent</w:t>
            </w:r>
          </w:p>
        </w:tc>
      </w:tr>
      <w:tr>
        <w:tc>
          <w:tcPr>
            <w:tcW w:w="6475" w:type="dxa"/>
          </w:tcPr>
          <w:p>
            <w:pPr>
              <w:jc w:val="both"/>
              <w:rPr>
                <w:rFonts w:ascii="Arial" w:hAnsi="Arial" w:cs="Arial"/>
                <w:sz w:val="24"/>
                <w:szCs w:val="24"/>
                <w:lang w:eastAsia="en-PH"/>
              </w:rPr>
            </w:pPr>
            <w:r>
              <w:rPr>
                <w:rFonts w:ascii="Arial" w:hAnsi="Arial" w:cs="Arial"/>
                <w:b/>
                <w:bCs/>
                <w:sz w:val="24"/>
                <w:szCs w:val="24"/>
                <w:lang w:eastAsia="en-PH"/>
              </w:rPr>
              <w:t>Cultural Responsiveness and Contextualization</w:t>
            </w:r>
          </w:p>
        </w:tc>
        <w:tc>
          <w:tcPr>
            <w:tcW w:w="1170" w:type="dxa"/>
            <w:vAlign w:val="center"/>
          </w:tcPr>
          <w:p>
            <w:pPr>
              <w:jc w:val="center"/>
              <w:rPr>
                <w:rFonts w:ascii="Arial" w:hAnsi="Arial" w:cs="Arial"/>
                <w:sz w:val="24"/>
                <w:szCs w:val="24"/>
              </w:rPr>
            </w:pPr>
          </w:p>
        </w:tc>
        <w:tc>
          <w:tcPr>
            <w:tcW w:w="1705" w:type="dxa"/>
            <w:vAlign w:val="center"/>
          </w:tcPr>
          <w:p>
            <w:pPr>
              <w:jc w:val="center"/>
              <w:rPr>
                <w:rFonts w:ascii="Arial" w:hAnsi="Arial" w:cs="Arial"/>
                <w:sz w:val="24"/>
                <w:szCs w:val="24"/>
              </w:rPr>
            </w:pPr>
          </w:p>
        </w:tc>
      </w:tr>
      <w:tr>
        <w:tc>
          <w:tcPr>
            <w:tcW w:w="6475" w:type="dxa"/>
          </w:tcPr>
          <w:p>
            <w:pPr>
              <w:jc w:val="both"/>
              <w:rPr>
                <w:rFonts w:ascii="Arial" w:hAnsi="Arial" w:cs="Arial"/>
                <w:sz w:val="24"/>
                <w:szCs w:val="24"/>
              </w:rPr>
            </w:pPr>
            <w:r>
              <w:rPr>
                <w:rFonts w:ascii="Arial" w:hAnsi="Arial" w:cs="Arial"/>
                <w:sz w:val="24"/>
                <w:szCs w:val="24"/>
              </w:rPr>
              <w:t>I contextualize English lessons using learners’ community experiences through digital tools.</w:t>
            </w:r>
          </w:p>
        </w:tc>
        <w:tc>
          <w:tcPr>
            <w:tcW w:w="1170" w:type="dxa"/>
            <w:vAlign w:val="center"/>
          </w:tcPr>
          <w:p>
            <w:pPr>
              <w:jc w:val="center"/>
              <w:rPr>
                <w:rFonts w:ascii="Arial" w:hAnsi="Arial" w:cs="Arial"/>
                <w:sz w:val="24"/>
                <w:szCs w:val="24"/>
              </w:rPr>
            </w:pPr>
            <w:r>
              <w:rPr>
                <w:rFonts w:ascii="Arial" w:hAnsi="Arial" w:cs="Arial"/>
                <w:sz w:val="24"/>
                <w:szCs w:val="24"/>
              </w:rPr>
              <w:t>3.90</w:t>
            </w:r>
          </w:p>
        </w:tc>
        <w:tc>
          <w:tcPr>
            <w:tcW w:w="1705" w:type="dxa"/>
            <w:vAlign w:val="center"/>
          </w:tcPr>
          <w:p>
            <w:pPr>
              <w:jc w:val="center"/>
              <w:rPr>
                <w:rFonts w:ascii="Arial" w:hAnsi="Arial" w:cs="Arial"/>
                <w:sz w:val="24"/>
                <w:szCs w:val="24"/>
              </w:rPr>
            </w:pPr>
            <w:r>
              <w:rPr>
                <w:rFonts w:ascii="Arial" w:hAnsi="Arial" w:cs="Arial"/>
                <w:sz w:val="24"/>
                <w:szCs w:val="24"/>
              </w:rPr>
              <w:t>Competent</w:t>
            </w:r>
          </w:p>
        </w:tc>
      </w:tr>
      <w:tr>
        <w:tc>
          <w:tcPr>
            <w:tcW w:w="6475" w:type="dxa"/>
          </w:tcPr>
          <w:p>
            <w:pPr>
              <w:jc w:val="both"/>
              <w:rPr>
                <w:rFonts w:ascii="Arial" w:hAnsi="Arial" w:cs="Arial"/>
                <w:sz w:val="24"/>
                <w:szCs w:val="24"/>
              </w:rPr>
            </w:pPr>
            <w:r>
              <w:rPr>
                <w:rFonts w:ascii="Arial" w:hAnsi="Arial" w:cs="Arial"/>
                <w:sz w:val="24"/>
                <w:szCs w:val="24"/>
              </w:rPr>
              <w:t>I design technology-supported English tasks that respect Indigenous values and identity.</w:t>
            </w:r>
          </w:p>
        </w:tc>
        <w:tc>
          <w:tcPr>
            <w:tcW w:w="1170" w:type="dxa"/>
            <w:vAlign w:val="center"/>
          </w:tcPr>
          <w:p>
            <w:pPr>
              <w:jc w:val="center"/>
              <w:rPr>
                <w:rFonts w:ascii="Arial" w:hAnsi="Arial" w:cs="Arial"/>
                <w:sz w:val="24"/>
                <w:szCs w:val="24"/>
              </w:rPr>
            </w:pPr>
            <w:r>
              <w:rPr>
                <w:rFonts w:ascii="Arial" w:hAnsi="Arial" w:cs="Arial"/>
                <w:sz w:val="24"/>
                <w:szCs w:val="24"/>
              </w:rPr>
              <w:t>3.87</w:t>
            </w:r>
          </w:p>
        </w:tc>
        <w:tc>
          <w:tcPr>
            <w:tcW w:w="1705" w:type="dxa"/>
            <w:vAlign w:val="center"/>
          </w:tcPr>
          <w:p>
            <w:pPr>
              <w:jc w:val="center"/>
              <w:rPr>
                <w:rFonts w:ascii="Arial" w:hAnsi="Arial" w:cs="Arial"/>
                <w:sz w:val="24"/>
                <w:szCs w:val="24"/>
              </w:rPr>
            </w:pPr>
            <w:r>
              <w:rPr>
                <w:rFonts w:ascii="Arial" w:hAnsi="Arial" w:cs="Arial"/>
                <w:sz w:val="24"/>
                <w:szCs w:val="24"/>
              </w:rPr>
              <w:t>Competent</w:t>
            </w:r>
          </w:p>
        </w:tc>
      </w:tr>
      <w:tr>
        <w:tc>
          <w:tcPr>
            <w:tcW w:w="6475" w:type="dxa"/>
          </w:tcPr>
          <w:p>
            <w:pPr>
              <w:jc w:val="both"/>
              <w:rPr>
                <w:rFonts w:ascii="Arial" w:hAnsi="Arial" w:cs="Arial"/>
                <w:sz w:val="24"/>
                <w:szCs w:val="24"/>
              </w:rPr>
            </w:pPr>
            <w:r>
              <w:rPr>
                <w:rFonts w:ascii="Arial" w:hAnsi="Arial" w:cs="Arial"/>
                <w:sz w:val="24"/>
                <w:szCs w:val="24"/>
              </w:rPr>
              <w:t>I adapt digital English materials to suit the cultural background of IP learners.</w:t>
            </w:r>
          </w:p>
        </w:tc>
        <w:tc>
          <w:tcPr>
            <w:tcW w:w="1170" w:type="dxa"/>
            <w:vAlign w:val="center"/>
          </w:tcPr>
          <w:p>
            <w:pPr>
              <w:jc w:val="center"/>
              <w:rPr>
                <w:rFonts w:ascii="Arial" w:hAnsi="Arial" w:cs="Arial"/>
                <w:sz w:val="24"/>
                <w:szCs w:val="24"/>
              </w:rPr>
            </w:pPr>
            <w:r>
              <w:rPr>
                <w:rFonts w:ascii="Arial" w:hAnsi="Arial" w:cs="Arial"/>
                <w:sz w:val="24"/>
                <w:szCs w:val="24"/>
              </w:rPr>
              <w:t>3.87</w:t>
            </w:r>
          </w:p>
        </w:tc>
        <w:tc>
          <w:tcPr>
            <w:tcW w:w="1705" w:type="dxa"/>
            <w:vAlign w:val="center"/>
          </w:tcPr>
          <w:p>
            <w:pPr>
              <w:jc w:val="center"/>
              <w:rPr>
                <w:rFonts w:ascii="Arial" w:hAnsi="Arial" w:cs="Arial"/>
                <w:sz w:val="24"/>
                <w:szCs w:val="24"/>
              </w:rPr>
            </w:pPr>
            <w:r>
              <w:rPr>
                <w:rFonts w:ascii="Arial" w:hAnsi="Arial" w:cs="Arial"/>
                <w:sz w:val="24"/>
                <w:szCs w:val="24"/>
              </w:rPr>
              <w:t>Competent</w:t>
            </w:r>
          </w:p>
        </w:tc>
      </w:tr>
      <w:tr>
        <w:tc>
          <w:tcPr>
            <w:tcW w:w="6475" w:type="dxa"/>
          </w:tcPr>
          <w:p>
            <w:pPr>
              <w:jc w:val="both"/>
              <w:rPr>
                <w:rFonts w:ascii="Arial" w:hAnsi="Arial" w:cs="Arial"/>
                <w:sz w:val="24"/>
                <w:szCs w:val="24"/>
              </w:rPr>
            </w:pPr>
            <w:r>
              <w:rPr>
                <w:rFonts w:ascii="Arial" w:hAnsi="Arial" w:cs="Arial"/>
                <w:sz w:val="24"/>
                <w:szCs w:val="24"/>
              </w:rPr>
              <w:t>I consider cultural appropriateness when selecting digital resources for ELT.</w:t>
            </w:r>
          </w:p>
        </w:tc>
        <w:tc>
          <w:tcPr>
            <w:tcW w:w="1170" w:type="dxa"/>
            <w:vAlign w:val="center"/>
          </w:tcPr>
          <w:p>
            <w:pPr>
              <w:jc w:val="center"/>
              <w:rPr>
                <w:rFonts w:ascii="Arial" w:hAnsi="Arial" w:cs="Arial"/>
                <w:sz w:val="24"/>
                <w:szCs w:val="24"/>
              </w:rPr>
            </w:pPr>
            <w:r>
              <w:rPr>
                <w:rFonts w:ascii="Arial" w:hAnsi="Arial" w:cs="Arial"/>
                <w:sz w:val="24"/>
                <w:szCs w:val="24"/>
              </w:rPr>
              <w:t>3.77</w:t>
            </w:r>
          </w:p>
        </w:tc>
        <w:tc>
          <w:tcPr>
            <w:tcW w:w="1705" w:type="dxa"/>
            <w:vAlign w:val="center"/>
          </w:tcPr>
          <w:p>
            <w:pPr>
              <w:jc w:val="center"/>
              <w:rPr>
                <w:rFonts w:ascii="Arial" w:hAnsi="Arial" w:cs="Arial"/>
                <w:sz w:val="24"/>
                <w:szCs w:val="24"/>
              </w:rPr>
            </w:pPr>
            <w:r>
              <w:rPr>
                <w:rFonts w:ascii="Arial" w:hAnsi="Arial" w:cs="Arial"/>
                <w:sz w:val="24"/>
                <w:szCs w:val="24"/>
              </w:rPr>
              <w:t>Competent</w:t>
            </w:r>
          </w:p>
        </w:tc>
      </w:tr>
      <w:tr>
        <w:tc>
          <w:tcPr>
            <w:tcW w:w="6475" w:type="dxa"/>
          </w:tcPr>
          <w:p>
            <w:pPr>
              <w:jc w:val="both"/>
              <w:rPr>
                <w:rFonts w:ascii="Arial" w:hAnsi="Arial" w:cs="Arial"/>
                <w:sz w:val="24"/>
                <w:szCs w:val="24"/>
              </w:rPr>
            </w:pPr>
            <w:r>
              <w:rPr>
                <w:rFonts w:ascii="Arial" w:hAnsi="Arial" w:cs="Arial"/>
                <w:sz w:val="24"/>
                <w:szCs w:val="24"/>
              </w:rPr>
              <w:t>I use technology to integrate Indigenous culture into English learning activities</w:t>
            </w:r>
          </w:p>
        </w:tc>
        <w:tc>
          <w:tcPr>
            <w:tcW w:w="1170" w:type="dxa"/>
            <w:vAlign w:val="center"/>
          </w:tcPr>
          <w:p>
            <w:pPr>
              <w:jc w:val="center"/>
              <w:rPr>
                <w:rFonts w:ascii="Arial" w:hAnsi="Arial" w:cs="Arial"/>
                <w:sz w:val="24"/>
                <w:szCs w:val="24"/>
              </w:rPr>
            </w:pPr>
            <w:r>
              <w:rPr>
                <w:rFonts w:ascii="Arial" w:hAnsi="Arial" w:cs="Arial"/>
                <w:sz w:val="24"/>
                <w:szCs w:val="24"/>
              </w:rPr>
              <w:t>3.63</w:t>
            </w:r>
          </w:p>
        </w:tc>
        <w:tc>
          <w:tcPr>
            <w:tcW w:w="1705" w:type="dxa"/>
            <w:vAlign w:val="center"/>
          </w:tcPr>
          <w:p>
            <w:pPr>
              <w:jc w:val="center"/>
              <w:rPr>
                <w:rFonts w:ascii="Arial" w:hAnsi="Arial" w:cs="Arial"/>
                <w:sz w:val="24"/>
                <w:szCs w:val="24"/>
              </w:rPr>
            </w:pPr>
            <w:r>
              <w:rPr>
                <w:rFonts w:ascii="Arial" w:hAnsi="Arial" w:cs="Arial"/>
                <w:sz w:val="24"/>
                <w:szCs w:val="24"/>
              </w:rPr>
              <w:t>Competent</w:t>
            </w:r>
          </w:p>
        </w:tc>
      </w:tr>
      <w:tr>
        <w:tc>
          <w:tcPr>
            <w:tcW w:w="6475" w:type="dxa"/>
          </w:tcPr>
          <w:p>
            <w:pPr>
              <w:jc w:val="center"/>
              <w:rPr>
                <w:rFonts w:ascii="Arial" w:hAnsi="Arial" w:cs="Arial"/>
                <w:sz w:val="24"/>
                <w:szCs w:val="24"/>
              </w:rPr>
            </w:pPr>
            <w:r>
              <w:rPr>
                <w:rFonts w:ascii="Arial" w:hAnsi="Arial" w:cs="Arial"/>
                <w:sz w:val="24"/>
                <w:szCs w:val="24"/>
              </w:rPr>
              <w:t xml:space="preserve">Mean </w:t>
            </w:r>
          </w:p>
        </w:tc>
        <w:tc>
          <w:tcPr>
            <w:tcW w:w="1170" w:type="dxa"/>
            <w:vAlign w:val="center"/>
          </w:tcPr>
          <w:p>
            <w:pPr>
              <w:jc w:val="center"/>
              <w:rPr>
                <w:rFonts w:ascii="Arial" w:hAnsi="Arial" w:cs="Arial"/>
                <w:sz w:val="24"/>
                <w:szCs w:val="24"/>
              </w:rPr>
            </w:pPr>
            <w:r>
              <w:rPr>
                <w:rFonts w:ascii="Arial" w:hAnsi="Arial" w:cs="Arial"/>
                <w:color w:val="000000"/>
                <w:sz w:val="24"/>
                <w:szCs w:val="24"/>
              </w:rPr>
              <w:t>3.81</w:t>
            </w:r>
          </w:p>
        </w:tc>
        <w:tc>
          <w:tcPr>
            <w:tcW w:w="1705" w:type="dxa"/>
            <w:vAlign w:val="center"/>
          </w:tcPr>
          <w:p>
            <w:pPr>
              <w:jc w:val="center"/>
              <w:rPr>
                <w:rFonts w:ascii="Arial" w:hAnsi="Arial" w:cs="Arial"/>
                <w:sz w:val="24"/>
                <w:szCs w:val="24"/>
              </w:rPr>
            </w:pPr>
            <w:r>
              <w:rPr>
                <w:rFonts w:ascii="Arial" w:hAnsi="Arial" w:cs="Arial"/>
                <w:sz w:val="24"/>
                <w:szCs w:val="24"/>
              </w:rPr>
              <w:t>Competent</w:t>
            </w:r>
          </w:p>
        </w:tc>
      </w:tr>
      <w:tr>
        <w:tc>
          <w:tcPr>
            <w:tcW w:w="6475" w:type="dxa"/>
          </w:tcPr>
          <w:p>
            <w:pPr>
              <w:jc w:val="both"/>
              <w:rPr>
                <w:rFonts w:ascii="Arial" w:hAnsi="Arial" w:cs="Arial"/>
                <w:sz w:val="24"/>
                <w:szCs w:val="24"/>
              </w:rPr>
            </w:pPr>
            <w:r>
              <w:rPr>
                <w:rFonts w:ascii="Arial" w:hAnsi="Arial" w:cs="Arial"/>
                <w:b/>
                <w:bCs/>
                <w:i/>
                <w:iCs/>
                <w:sz w:val="24"/>
                <w:szCs w:val="24"/>
                <w:lang w:eastAsia="en-PH"/>
              </w:rPr>
              <w:t>Creative Engagement/Technology Use</w:t>
            </w:r>
          </w:p>
        </w:tc>
        <w:tc>
          <w:tcPr>
            <w:tcW w:w="1170" w:type="dxa"/>
            <w:vAlign w:val="center"/>
          </w:tcPr>
          <w:p>
            <w:pPr>
              <w:jc w:val="center"/>
              <w:rPr>
                <w:rFonts w:ascii="Arial" w:hAnsi="Arial" w:cs="Arial"/>
                <w:sz w:val="24"/>
                <w:szCs w:val="24"/>
              </w:rPr>
            </w:pPr>
          </w:p>
        </w:tc>
        <w:tc>
          <w:tcPr>
            <w:tcW w:w="1705" w:type="dxa"/>
            <w:vAlign w:val="center"/>
          </w:tcPr>
          <w:p>
            <w:pPr>
              <w:jc w:val="center"/>
              <w:rPr>
                <w:rFonts w:ascii="Arial" w:hAnsi="Arial" w:cs="Arial"/>
                <w:sz w:val="24"/>
                <w:szCs w:val="24"/>
              </w:rPr>
            </w:pPr>
          </w:p>
        </w:tc>
      </w:tr>
      <w:tr>
        <w:tc>
          <w:tcPr>
            <w:tcW w:w="6475" w:type="dxa"/>
          </w:tcPr>
          <w:p>
            <w:pPr>
              <w:jc w:val="both"/>
              <w:rPr>
                <w:rFonts w:ascii="Arial" w:hAnsi="Arial" w:cs="Arial"/>
                <w:sz w:val="24"/>
                <w:szCs w:val="24"/>
              </w:rPr>
            </w:pPr>
            <w:r>
              <w:rPr>
                <w:rFonts w:ascii="Arial" w:hAnsi="Arial" w:cs="Arial"/>
                <w:sz w:val="24"/>
                <w:szCs w:val="24"/>
              </w:rPr>
              <w:t>I can select digital tools appropriate for specific English language skills.</w:t>
            </w:r>
          </w:p>
        </w:tc>
        <w:tc>
          <w:tcPr>
            <w:tcW w:w="1170" w:type="dxa"/>
            <w:vAlign w:val="center"/>
          </w:tcPr>
          <w:p>
            <w:pPr>
              <w:jc w:val="center"/>
              <w:rPr>
                <w:rFonts w:ascii="Arial" w:hAnsi="Arial" w:cs="Arial"/>
                <w:sz w:val="24"/>
                <w:szCs w:val="24"/>
              </w:rPr>
            </w:pPr>
            <w:r>
              <w:rPr>
                <w:rFonts w:ascii="Arial" w:hAnsi="Arial" w:cs="Arial"/>
                <w:sz w:val="24"/>
                <w:szCs w:val="24"/>
              </w:rPr>
              <w:t>3.90</w:t>
            </w:r>
          </w:p>
        </w:tc>
        <w:tc>
          <w:tcPr>
            <w:tcW w:w="1705" w:type="dxa"/>
            <w:vAlign w:val="center"/>
          </w:tcPr>
          <w:p>
            <w:pPr>
              <w:jc w:val="center"/>
              <w:rPr>
                <w:rFonts w:ascii="Arial" w:hAnsi="Arial" w:cs="Arial"/>
                <w:sz w:val="24"/>
                <w:szCs w:val="24"/>
              </w:rPr>
            </w:pPr>
            <w:r>
              <w:rPr>
                <w:rFonts w:ascii="Arial" w:hAnsi="Arial" w:cs="Arial"/>
                <w:sz w:val="24"/>
                <w:szCs w:val="24"/>
              </w:rPr>
              <w:t>Competent</w:t>
            </w:r>
          </w:p>
        </w:tc>
      </w:tr>
      <w:tr>
        <w:tc>
          <w:tcPr>
            <w:tcW w:w="6475" w:type="dxa"/>
          </w:tcPr>
          <w:p>
            <w:pPr>
              <w:jc w:val="both"/>
              <w:rPr>
                <w:rFonts w:ascii="Arial" w:hAnsi="Arial" w:cs="Arial"/>
                <w:sz w:val="24"/>
                <w:szCs w:val="24"/>
                <w:lang w:eastAsia="en-PH"/>
              </w:rPr>
            </w:pPr>
            <w:r>
              <w:rPr>
                <w:rFonts w:ascii="Arial" w:hAnsi="Arial" w:cs="Arial"/>
                <w:sz w:val="24"/>
                <w:szCs w:val="24"/>
              </w:rPr>
              <w:t>I can operate basic digital tools commonly used in English instruction.</w:t>
            </w:r>
          </w:p>
        </w:tc>
        <w:tc>
          <w:tcPr>
            <w:tcW w:w="1170" w:type="dxa"/>
            <w:vAlign w:val="center"/>
          </w:tcPr>
          <w:p>
            <w:pPr>
              <w:jc w:val="center"/>
              <w:rPr>
                <w:rFonts w:ascii="Arial" w:hAnsi="Arial" w:cs="Arial"/>
                <w:sz w:val="24"/>
                <w:szCs w:val="24"/>
              </w:rPr>
            </w:pPr>
            <w:r>
              <w:rPr>
                <w:rFonts w:ascii="Arial" w:hAnsi="Arial" w:cs="Arial"/>
                <w:sz w:val="24"/>
                <w:szCs w:val="24"/>
              </w:rPr>
              <w:t>3.87</w:t>
            </w:r>
          </w:p>
        </w:tc>
        <w:tc>
          <w:tcPr>
            <w:tcW w:w="1705" w:type="dxa"/>
            <w:vAlign w:val="center"/>
          </w:tcPr>
          <w:p>
            <w:pPr>
              <w:jc w:val="center"/>
              <w:rPr>
                <w:rFonts w:ascii="Arial" w:hAnsi="Arial" w:cs="Arial"/>
                <w:sz w:val="24"/>
                <w:szCs w:val="24"/>
              </w:rPr>
            </w:pPr>
            <w:r>
              <w:rPr>
                <w:rFonts w:ascii="Arial" w:hAnsi="Arial" w:cs="Arial"/>
                <w:sz w:val="24"/>
                <w:szCs w:val="24"/>
              </w:rPr>
              <w:t>Competent</w:t>
            </w:r>
          </w:p>
        </w:tc>
      </w:tr>
      <w:tr>
        <w:tc>
          <w:tcPr>
            <w:tcW w:w="6475" w:type="dxa"/>
          </w:tcPr>
          <w:p>
            <w:pPr>
              <w:jc w:val="both"/>
              <w:rPr>
                <w:rFonts w:ascii="Arial" w:hAnsi="Arial" w:cs="Arial"/>
                <w:sz w:val="24"/>
                <w:szCs w:val="24"/>
                <w:lang w:eastAsia="en-PH"/>
              </w:rPr>
            </w:pPr>
            <w:r>
              <w:rPr>
                <w:rFonts w:ascii="Arial" w:hAnsi="Arial" w:cs="Arial"/>
                <w:sz w:val="24"/>
                <w:szCs w:val="24"/>
              </w:rPr>
              <w:t>I can adjust technology use based on learners’ English proficiency levels.</w:t>
            </w:r>
          </w:p>
        </w:tc>
        <w:tc>
          <w:tcPr>
            <w:tcW w:w="1170" w:type="dxa"/>
            <w:vAlign w:val="center"/>
          </w:tcPr>
          <w:p>
            <w:pPr>
              <w:jc w:val="center"/>
              <w:rPr>
                <w:rFonts w:ascii="Arial" w:hAnsi="Arial" w:cs="Arial"/>
                <w:sz w:val="24"/>
                <w:szCs w:val="24"/>
              </w:rPr>
            </w:pPr>
            <w:r>
              <w:rPr>
                <w:rFonts w:ascii="Arial" w:hAnsi="Arial" w:cs="Arial"/>
                <w:sz w:val="24"/>
                <w:szCs w:val="24"/>
              </w:rPr>
              <w:t>3.87</w:t>
            </w:r>
          </w:p>
        </w:tc>
        <w:tc>
          <w:tcPr>
            <w:tcW w:w="1705" w:type="dxa"/>
            <w:vAlign w:val="center"/>
          </w:tcPr>
          <w:p>
            <w:pPr>
              <w:jc w:val="center"/>
              <w:rPr>
                <w:rFonts w:ascii="Arial" w:hAnsi="Arial" w:cs="Arial"/>
                <w:sz w:val="24"/>
                <w:szCs w:val="24"/>
              </w:rPr>
            </w:pPr>
            <w:r>
              <w:rPr>
                <w:rFonts w:ascii="Arial" w:hAnsi="Arial" w:cs="Arial"/>
                <w:sz w:val="24"/>
                <w:szCs w:val="24"/>
              </w:rPr>
              <w:t>Competent</w:t>
            </w:r>
          </w:p>
        </w:tc>
      </w:tr>
      <w:tr>
        <w:tc>
          <w:tcPr>
            <w:tcW w:w="6475" w:type="dxa"/>
          </w:tcPr>
          <w:p>
            <w:pPr>
              <w:jc w:val="both"/>
              <w:rPr>
                <w:rFonts w:ascii="Arial" w:hAnsi="Arial" w:cs="Arial"/>
                <w:sz w:val="24"/>
                <w:szCs w:val="24"/>
                <w:lang w:eastAsia="en-PH"/>
              </w:rPr>
            </w:pPr>
            <w:r>
              <w:rPr>
                <w:rFonts w:ascii="Arial" w:hAnsi="Arial" w:cs="Arial"/>
                <w:sz w:val="24"/>
                <w:szCs w:val="24"/>
              </w:rPr>
              <w:t>I can manage basic technical issues during English lessons.</w:t>
            </w:r>
          </w:p>
        </w:tc>
        <w:tc>
          <w:tcPr>
            <w:tcW w:w="1170" w:type="dxa"/>
            <w:vAlign w:val="center"/>
          </w:tcPr>
          <w:p>
            <w:pPr>
              <w:jc w:val="center"/>
              <w:rPr>
                <w:rFonts w:ascii="Arial" w:hAnsi="Arial" w:cs="Arial"/>
                <w:sz w:val="24"/>
                <w:szCs w:val="24"/>
              </w:rPr>
            </w:pPr>
            <w:r>
              <w:rPr>
                <w:rFonts w:ascii="Arial" w:hAnsi="Arial" w:cs="Arial"/>
                <w:sz w:val="24"/>
                <w:szCs w:val="24"/>
              </w:rPr>
              <w:t>3.80</w:t>
            </w:r>
          </w:p>
        </w:tc>
        <w:tc>
          <w:tcPr>
            <w:tcW w:w="1705" w:type="dxa"/>
            <w:vAlign w:val="center"/>
          </w:tcPr>
          <w:p>
            <w:pPr>
              <w:jc w:val="center"/>
              <w:rPr>
                <w:rFonts w:ascii="Arial" w:hAnsi="Arial" w:cs="Arial"/>
                <w:sz w:val="24"/>
                <w:szCs w:val="24"/>
              </w:rPr>
            </w:pPr>
            <w:r>
              <w:rPr>
                <w:rFonts w:ascii="Arial" w:hAnsi="Arial" w:cs="Arial"/>
                <w:sz w:val="24"/>
                <w:szCs w:val="24"/>
              </w:rPr>
              <w:t>Competent</w:t>
            </w:r>
          </w:p>
        </w:tc>
      </w:tr>
      <w:tr>
        <w:tc>
          <w:tcPr>
            <w:tcW w:w="6475" w:type="dxa"/>
          </w:tcPr>
          <w:p>
            <w:pPr>
              <w:jc w:val="both"/>
              <w:rPr>
                <w:rFonts w:ascii="Arial" w:hAnsi="Arial" w:cs="Arial"/>
                <w:sz w:val="24"/>
                <w:szCs w:val="24"/>
                <w:lang w:eastAsia="en-PH"/>
              </w:rPr>
            </w:pPr>
            <w:r>
              <w:rPr>
                <w:rFonts w:ascii="Arial" w:hAnsi="Arial" w:cs="Arial"/>
                <w:sz w:val="24"/>
                <w:szCs w:val="24"/>
              </w:rPr>
              <w:lastRenderedPageBreak/>
              <w:t>I can adapt technology use when internet access is limited.</w:t>
            </w:r>
          </w:p>
        </w:tc>
        <w:tc>
          <w:tcPr>
            <w:tcW w:w="1170" w:type="dxa"/>
            <w:vAlign w:val="center"/>
          </w:tcPr>
          <w:p>
            <w:pPr>
              <w:jc w:val="center"/>
              <w:rPr>
                <w:rFonts w:ascii="Arial" w:hAnsi="Arial" w:cs="Arial"/>
                <w:sz w:val="24"/>
                <w:szCs w:val="24"/>
              </w:rPr>
            </w:pPr>
            <w:r>
              <w:rPr>
                <w:rFonts w:ascii="Arial" w:hAnsi="Arial" w:cs="Arial"/>
                <w:sz w:val="24"/>
                <w:szCs w:val="24"/>
              </w:rPr>
              <w:t>3.73</w:t>
            </w:r>
          </w:p>
        </w:tc>
        <w:tc>
          <w:tcPr>
            <w:tcW w:w="1705" w:type="dxa"/>
            <w:vAlign w:val="center"/>
          </w:tcPr>
          <w:p>
            <w:pPr>
              <w:jc w:val="center"/>
              <w:rPr>
                <w:rFonts w:ascii="Arial" w:hAnsi="Arial" w:cs="Arial"/>
                <w:sz w:val="24"/>
                <w:szCs w:val="24"/>
              </w:rPr>
            </w:pPr>
            <w:r>
              <w:rPr>
                <w:rFonts w:ascii="Arial" w:hAnsi="Arial" w:cs="Arial"/>
                <w:sz w:val="24"/>
                <w:szCs w:val="24"/>
              </w:rPr>
              <w:t>Competent</w:t>
            </w:r>
          </w:p>
        </w:tc>
      </w:tr>
      <w:tr>
        <w:tc>
          <w:tcPr>
            <w:tcW w:w="6475" w:type="dxa"/>
          </w:tcPr>
          <w:p>
            <w:pPr>
              <w:jc w:val="center"/>
              <w:rPr>
                <w:rFonts w:ascii="Arial" w:hAnsi="Arial" w:cs="Arial"/>
                <w:sz w:val="24"/>
                <w:szCs w:val="24"/>
                <w:lang w:eastAsia="en-PH"/>
              </w:rPr>
            </w:pPr>
            <w:r>
              <w:rPr>
                <w:rFonts w:ascii="Arial" w:hAnsi="Arial" w:cs="Arial"/>
                <w:sz w:val="24"/>
                <w:szCs w:val="24"/>
                <w:lang w:eastAsia="en-PH"/>
              </w:rPr>
              <w:t xml:space="preserve">Mean </w:t>
            </w:r>
          </w:p>
        </w:tc>
        <w:tc>
          <w:tcPr>
            <w:tcW w:w="1170" w:type="dxa"/>
            <w:vAlign w:val="center"/>
          </w:tcPr>
          <w:p>
            <w:pPr>
              <w:jc w:val="center"/>
              <w:rPr>
                <w:rFonts w:ascii="Arial" w:hAnsi="Arial" w:cs="Arial"/>
                <w:sz w:val="24"/>
                <w:szCs w:val="24"/>
              </w:rPr>
            </w:pPr>
            <w:r>
              <w:rPr>
                <w:rFonts w:ascii="Arial" w:hAnsi="Arial" w:cs="Arial"/>
                <w:color w:val="000000"/>
                <w:sz w:val="24"/>
                <w:szCs w:val="24"/>
              </w:rPr>
              <w:t>3.83</w:t>
            </w:r>
          </w:p>
        </w:tc>
        <w:tc>
          <w:tcPr>
            <w:tcW w:w="1705" w:type="dxa"/>
            <w:vAlign w:val="center"/>
          </w:tcPr>
          <w:p>
            <w:pPr>
              <w:jc w:val="center"/>
              <w:rPr>
                <w:rFonts w:ascii="Arial" w:hAnsi="Arial" w:cs="Arial"/>
                <w:sz w:val="24"/>
                <w:szCs w:val="24"/>
              </w:rPr>
            </w:pPr>
            <w:r>
              <w:rPr>
                <w:rFonts w:ascii="Arial" w:hAnsi="Arial" w:cs="Arial"/>
                <w:sz w:val="24"/>
                <w:szCs w:val="24"/>
              </w:rPr>
              <w:t>Competent</w:t>
            </w:r>
          </w:p>
        </w:tc>
      </w:tr>
      <w:tr>
        <w:tc>
          <w:tcPr>
            <w:tcW w:w="6475" w:type="dxa"/>
          </w:tcPr>
          <w:p>
            <w:pPr>
              <w:jc w:val="both"/>
              <w:rPr>
                <w:rFonts w:ascii="Arial" w:hAnsi="Arial" w:cs="Arial"/>
                <w:b/>
                <w:sz w:val="24"/>
                <w:szCs w:val="24"/>
                <w:lang w:eastAsia="en-PH"/>
              </w:rPr>
            </w:pPr>
            <w:r>
              <w:rPr>
                <w:rFonts w:ascii="Arial" w:hAnsi="Arial" w:cs="Arial"/>
                <w:b/>
                <w:sz w:val="24"/>
                <w:szCs w:val="24"/>
                <w:lang w:eastAsia="en-PH"/>
              </w:rPr>
              <w:t>Access to Technological Resources</w:t>
            </w:r>
          </w:p>
        </w:tc>
        <w:tc>
          <w:tcPr>
            <w:tcW w:w="1170" w:type="dxa"/>
            <w:vAlign w:val="center"/>
          </w:tcPr>
          <w:p>
            <w:pPr>
              <w:jc w:val="center"/>
              <w:rPr>
                <w:rFonts w:ascii="Arial" w:hAnsi="Arial" w:cs="Arial"/>
                <w:sz w:val="24"/>
                <w:szCs w:val="24"/>
              </w:rPr>
            </w:pPr>
          </w:p>
        </w:tc>
        <w:tc>
          <w:tcPr>
            <w:tcW w:w="1705" w:type="dxa"/>
            <w:vAlign w:val="center"/>
          </w:tcPr>
          <w:p>
            <w:pPr>
              <w:jc w:val="center"/>
              <w:rPr>
                <w:rFonts w:ascii="Arial" w:hAnsi="Arial" w:cs="Arial"/>
                <w:sz w:val="24"/>
                <w:szCs w:val="24"/>
              </w:rPr>
            </w:pPr>
          </w:p>
        </w:tc>
      </w:tr>
      <w:tr>
        <w:tc>
          <w:tcPr>
            <w:tcW w:w="6475" w:type="dxa"/>
          </w:tcPr>
          <w:p>
            <w:pPr>
              <w:jc w:val="both"/>
              <w:rPr>
                <w:rFonts w:ascii="Arial" w:hAnsi="Arial" w:cs="Arial"/>
                <w:b/>
                <w:i/>
                <w:iCs/>
                <w:sz w:val="24"/>
                <w:szCs w:val="24"/>
                <w:lang w:eastAsia="en-PH"/>
              </w:rPr>
            </w:pPr>
            <w:r>
              <w:rPr>
                <w:rFonts w:ascii="Arial" w:hAnsi="Arial" w:cs="Arial"/>
                <w:sz w:val="24"/>
                <w:szCs w:val="24"/>
              </w:rPr>
              <w:t>Internet connectivity influences how often I use technology in ELT.</w:t>
            </w:r>
          </w:p>
        </w:tc>
        <w:tc>
          <w:tcPr>
            <w:tcW w:w="1170" w:type="dxa"/>
            <w:vAlign w:val="center"/>
          </w:tcPr>
          <w:p>
            <w:pPr>
              <w:jc w:val="center"/>
              <w:rPr>
                <w:rFonts w:ascii="Arial" w:hAnsi="Arial" w:cs="Arial"/>
                <w:sz w:val="24"/>
                <w:szCs w:val="24"/>
              </w:rPr>
            </w:pPr>
            <w:r>
              <w:rPr>
                <w:rFonts w:ascii="Arial" w:hAnsi="Arial" w:cs="Arial"/>
                <w:sz w:val="24"/>
                <w:szCs w:val="24"/>
              </w:rPr>
              <w:t>3.73</w:t>
            </w:r>
          </w:p>
        </w:tc>
        <w:tc>
          <w:tcPr>
            <w:tcW w:w="1705" w:type="dxa"/>
            <w:vAlign w:val="center"/>
          </w:tcPr>
          <w:p>
            <w:pPr>
              <w:jc w:val="center"/>
              <w:rPr>
                <w:rFonts w:ascii="Arial" w:hAnsi="Arial" w:cs="Arial"/>
                <w:sz w:val="24"/>
                <w:szCs w:val="24"/>
              </w:rPr>
            </w:pPr>
            <w:r>
              <w:rPr>
                <w:rFonts w:ascii="Arial" w:hAnsi="Arial" w:cs="Arial"/>
                <w:sz w:val="24"/>
                <w:szCs w:val="24"/>
              </w:rPr>
              <w:t>Competent</w:t>
            </w:r>
          </w:p>
        </w:tc>
      </w:tr>
      <w:tr>
        <w:tc>
          <w:tcPr>
            <w:tcW w:w="6475" w:type="dxa"/>
          </w:tcPr>
          <w:p>
            <w:pPr>
              <w:jc w:val="both"/>
              <w:rPr>
                <w:rFonts w:ascii="Arial" w:hAnsi="Arial" w:cs="Arial"/>
                <w:sz w:val="24"/>
                <w:szCs w:val="24"/>
                <w:lang w:eastAsia="en-PH"/>
              </w:rPr>
            </w:pPr>
            <w:r>
              <w:rPr>
                <w:rFonts w:ascii="Arial" w:hAnsi="Arial" w:cs="Arial"/>
                <w:sz w:val="24"/>
                <w:szCs w:val="24"/>
              </w:rPr>
              <w:t>Availability of digital devices affects my English teaching strategies.</w:t>
            </w:r>
          </w:p>
        </w:tc>
        <w:tc>
          <w:tcPr>
            <w:tcW w:w="1170" w:type="dxa"/>
            <w:vAlign w:val="center"/>
          </w:tcPr>
          <w:p>
            <w:pPr>
              <w:jc w:val="center"/>
              <w:rPr>
                <w:rFonts w:ascii="Arial" w:hAnsi="Arial" w:cs="Arial"/>
                <w:sz w:val="24"/>
                <w:szCs w:val="24"/>
              </w:rPr>
            </w:pPr>
            <w:r>
              <w:rPr>
                <w:rFonts w:ascii="Arial" w:hAnsi="Arial" w:cs="Arial"/>
                <w:sz w:val="24"/>
                <w:szCs w:val="24"/>
              </w:rPr>
              <w:t>3.70</w:t>
            </w:r>
          </w:p>
        </w:tc>
        <w:tc>
          <w:tcPr>
            <w:tcW w:w="1705" w:type="dxa"/>
            <w:vAlign w:val="center"/>
          </w:tcPr>
          <w:p>
            <w:pPr>
              <w:jc w:val="center"/>
              <w:rPr>
                <w:rFonts w:ascii="Arial" w:hAnsi="Arial" w:cs="Arial"/>
                <w:sz w:val="24"/>
                <w:szCs w:val="24"/>
              </w:rPr>
            </w:pPr>
            <w:r>
              <w:rPr>
                <w:rFonts w:ascii="Arial" w:hAnsi="Arial" w:cs="Arial"/>
                <w:sz w:val="24"/>
                <w:szCs w:val="24"/>
              </w:rPr>
              <w:t>Competent</w:t>
            </w:r>
          </w:p>
        </w:tc>
      </w:tr>
      <w:tr>
        <w:tc>
          <w:tcPr>
            <w:tcW w:w="6475" w:type="dxa"/>
          </w:tcPr>
          <w:p>
            <w:pPr>
              <w:rPr>
                <w:rFonts w:ascii="Arial" w:hAnsi="Arial" w:cs="Arial"/>
                <w:sz w:val="24"/>
                <w:szCs w:val="24"/>
              </w:rPr>
            </w:pPr>
            <w:r>
              <w:rPr>
                <w:rFonts w:ascii="Arial" w:hAnsi="Arial" w:cs="Arial"/>
                <w:sz w:val="24"/>
                <w:szCs w:val="24"/>
              </w:rPr>
              <w:t>I have access to digital materials appropriate for English instruction.</w:t>
            </w:r>
          </w:p>
        </w:tc>
        <w:tc>
          <w:tcPr>
            <w:tcW w:w="1170" w:type="dxa"/>
            <w:vAlign w:val="center"/>
          </w:tcPr>
          <w:p>
            <w:pPr>
              <w:jc w:val="center"/>
              <w:rPr>
                <w:rFonts w:ascii="Arial" w:hAnsi="Arial" w:cs="Arial"/>
                <w:sz w:val="24"/>
                <w:szCs w:val="24"/>
              </w:rPr>
            </w:pPr>
            <w:r>
              <w:rPr>
                <w:rFonts w:ascii="Arial" w:hAnsi="Arial" w:cs="Arial"/>
                <w:sz w:val="24"/>
                <w:szCs w:val="24"/>
              </w:rPr>
              <w:t>3.67</w:t>
            </w:r>
          </w:p>
        </w:tc>
        <w:tc>
          <w:tcPr>
            <w:tcW w:w="1705" w:type="dxa"/>
            <w:vAlign w:val="center"/>
          </w:tcPr>
          <w:p>
            <w:pPr>
              <w:jc w:val="center"/>
              <w:rPr>
                <w:rFonts w:ascii="Arial" w:hAnsi="Arial" w:cs="Arial"/>
                <w:sz w:val="24"/>
                <w:szCs w:val="24"/>
              </w:rPr>
            </w:pPr>
            <w:r>
              <w:rPr>
                <w:rFonts w:ascii="Arial" w:hAnsi="Arial" w:cs="Arial"/>
                <w:sz w:val="24"/>
                <w:szCs w:val="24"/>
              </w:rPr>
              <w:t>Competent</w:t>
            </w:r>
          </w:p>
        </w:tc>
      </w:tr>
      <w:tr>
        <w:tc>
          <w:tcPr>
            <w:tcW w:w="6475" w:type="dxa"/>
          </w:tcPr>
          <w:p>
            <w:pPr>
              <w:rPr>
                <w:rFonts w:ascii="Arial" w:hAnsi="Arial" w:cs="Arial"/>
                <w:sz w:val="24"/>
                <w:szCs w:val="24"/>
              </w:rPr>
            </w:pPr>
            <w:r>
              <w:rPr>
                <w:rFonts w:ascii="Arial" w:hAnsi="Arial" w:cs="Arial"/>
                <w:sz w:val="24"/>
                <w:szCs w:val="24"/>
              </w:rPr>
              <w:t>Electricity availability affects the type of technology I use in English lessons.</w:t>
            </w:r>
          </w:p>
        </w:tc>
        <w:tc>
          <w:tcPr>
            <w:tcW w:w="1170" w:type="dxa"/>
            <w:vAlign w:val="center"/>
          </w:tcPr>
          <w:p>
            <w:pPr>
              <w:jc w:val="center"/>
              <w:rPr>
                <w:rFonts w:ascii="Arial" w:hAnsi="Arial" w:cs="Arial"/>
                <w:sz w:val="24"/>
                <w:szCs w:val="24"/>
              </w:rPr>
            </w:pPr>
            <w:r>
              <w:rPr>
                <w:rFonts w:ascii="Arial" w:hAnsi="Arial" w:cs="Arial"/>
                <w:sz w:val="24"/>
                <w:szCs w:val="24"/>
              </w:rPr>
              <w:t>3.63</w:t>
            </w:r>
          </w:p>
        </w:tc>
        <w:tc>
          <w:tcPr>
            <w:tcW w:w="1705" w:type="dxa"/>
            <w:vAlign w:val="center"/>
          </w:tcPr>
          <w:p>
            <w:pPr>
              <w:jc w:val="center"/>
              <w:rPr>
                <w:rFonts w:ascii="Arial" w:hAnsi="Arial" w:cs="Arial"/>
                <w:sz w:val="24"/>
                <w:szCs w:val="24"/>
              </w:rPr>
            </w:pPr>
            <w:r>
              <w:rPr>
                <w:rFonts w:ascii="Arial" w:hAnsi="Arial" w:cs="Arial"/>
                <w:sz w:val="24"/>
                <w:szCs w:val="24"/>
              </w:rPr>
              <w:t>Competent</w:t>
            </w:r>
          </w:p>
        </w:tc>
      </w:tr>
      <w:tr>
        <w:tc>
          <w:tcPr>
            <w:tcW w:w="6475" w:type="dxa"/>
          </w:tcPr>
          <w:p>
            <w:pPr>
              <w:rPr>
                <w:rFonts w:ascii="Arial" w:hAnsi="Arial" w:cs="Arial"/>
                <w:sz w:val="24"/>
                <w:szCs w:val="24"/>
              </w:rPr>
            </w:pPr>
            <w:r>
              <w:rPr>
                <w:rFonts w:ascii="Arial" w:hAnsi="Arial" w:cs="Arial"/>
                <w:sz w:val="24"/>
                <w:szCs w:val="24"/>
              </w:rPr>
              <w:t>Resource limitations affect the depth of my technology integration in ELT.</w:t>
            </w:r>
          </w:p>
        </w:tc>
        <w:tc>
          <w:tcPr>
            <w:tcW w:w="1170" w:type="dxa"/>
            <w:vAlign w:val="center"/>
          </w:tcPr>
          <w:p>
            <w:pPr>
              <w:jc w:val="center"/>
              <w:rPr>
                <w:rFonts w:ascii="Arial" w:hAnsi="Arial" w:cs="Arial"/>
                <w:sz w:val="24"/>
                <w:szCs w:val="24"/>
              </w:rPr>
            </w:pPr>
            <w:r>
              <w:rPr>
                <w:rFonts w:ascii="Arial" w:hAnsi="Arial" w:cs="Arial"/>
                <w:sz w:val="24"/>
                <w:szCs w:val="24"/>
              </w:rPr>
              <w:t>3.57</w:t>
            </w:r>
          </w:p>
        </w:tc>
        <w:tc>
          <w:tcPr>
            <w:tcW w:w="1705" w:type="dxa"/>
            <w:vAlign w:val="center"/>
          </w:tcPr>
          <w:p>
            <w:pPr>
              <w:jc w:val="center"/>
              <w:rPr>
                <w:rFonts w:ascii="Arial" w:hAnsi="Arial" w:cs="Arial"/>
                <w:sz w:val="24"/>
                <w:szCs w:val="24"/>
              </w:rPr>
            </w:pPr>
            <w:r>
              <w:rPr>
                <w:rFonts w:ascii="Arial" w:hAnsi="Arial" w:cs="Arial"/>
                <w:sz w:val="24"/>
                <w:szCs w:val="24"/>
              </w:rPr>
              <w:t>Competent</w:t>
            </w:r>
          </w:p>
        </w:tc>
      </w:tr>
      <w:tr>
        <w:tc>
          <w:tcPr>
            <w:tcW w:w="6475" w:type="dxa"/>
          </w:tcPr>
          <w:p>
            <w:pPr>
              <w:jc w:val="center"/>
              <w:rPr>
                <w:rFonts w:ascii="Arial" w:hAnsi="Arial" w:cs="Arial"/>
                <w:sz w:val="24"/>
                <w:szCs w:val="24"/>
              </w:rPr>
            </w:pPr>
            <w:r>
              <w:rPr>
                <w:rFonts w:ascii="Arial" w:hAnsi="Arial" w:cs="Arial"/>
                <w:sz w:val="24"/>
                <w:szCs w:val="24"/>
              </w:rPr>
              <w:t xml:space="preserve">Mean </w:t>
            </w:r>
          </w:p>
        </w:tc>
        <w:tc>
          <w:tcPr>
            <w:tcW w:w="1170" w:type="dxa"/>
            <w:vAlign w:val="center"/>
          </w:tcPr>
          <w:p>
            <w:pPr>
              <w:jc w:val="center"/>
              <w:rPr>
                <w:rFonts w:ascii="Arial" w:hAnsi="Arial" w:cs="Arial"/>
                <w:sz w:val="24"/>
                <w:szCs w:val="24"/>
              </w:rPr>
            </w:pPr>
            <w:r>
              <w:rPr>
                <w:rFonts w:ascii="Arial" w:hAnsi="Arial" w:cs="Arial"/>
                <w:color w:val="000000"/>
                <w:sz w:val="24"/>
                <w:szCs w:val="24"/>
              </w:rPr>
              <w:t>3.66</w:t>
            </w:r>
          </w:p>
        </w:tc>
        <w:tc>
          <w:tcPr>
            <w:tcW w:w="1705" w:type="dxa"/>
            <w:vAlign w:val="center"/>
          </w:tcPr>
          <w:p>
            <w:pPr>
              <w:jc w:val="center"/>
              <w:rPr>
                <w:rFonts w:ascii="Arial" w:hAnsi="Arial" w:cs="Arial"/>
                <w:sz w:val="24"/>
                <w:szCs w:val="24"/>
              </w:rPr>
            </w:pPr>
            <w:r>
              <w:rPr>
                <w:rFonts w:ascii="Arial" w:hAnsi="Arial" w:cs="Arial"/>
                <w:sz w:val="24"/>
                <w:szCs w:val="24"/>
              </w:rPr>
              <w:t>Competent</w:t>
            </w:r>
          </w:p>
        </w:tc>
      </w:tr>
      <w:tr>
        <w:tc>
          <w:tcPr>
            <w:tcW w:w="6475" w:type="dxa"/>
          </w:tcPr>
          <w:p>
            <w:pPr>
              <w:rPr>
                <w:rFonts w:ascii="Arial" w:hAnsi="Arial" w:cs="Arial"/>
                <w:sz w:val="24"/>
                <w:szCs w:val="24"/>
              </w:rPr>
            </w:pPr>
            <w:r>
              <w:rPr>
                <w:rFonts w:ascii="Arial" w:hAnsi="Arial" w:cs="Arial"/>
                <w:b/>
                <w:i/>
                <w:iCs/>
                <w:sz w:val="24"/>
                <w:szCs w:val="24"/>
                <w:lang w:eastAsia="en-PH"/>
              </w:rPr>
              <w:t>Reflective Teaching Practice</w:t>
            </w:r>
          </w:p>
        </w:tc>
        <w:tc>
          <w:tcPr>
            <w:tcW w:w="1170" w:type="dxa"/>
            <w:vAlign w:val="center"/>
          </w:tcPr>
          <w:p>
            <w:pPr>
              <w:jc w:val="center"/>
              <w:rPr>
                <w:rFonts w:ascii="Arial" w:hAnsi="Arial" w:cs="Arial"/>
                <w:sz w:val="24"/>
                <w:szCs w:val="24"/>
              </w:rPr>
            </w:pPr>
          </w:p>
        </w:tc>
        <w:tc>
          <w:tcPr>
            <w:tcW w:w="1705" w:type="dxa"/>
            <w:vAlign w:val="center"/>
          </w:tcPr>
          <w:p>
            <w:pPr>
              <w:jc w:val="center"/>
              <w:rPr>
                <w:rFonts w:ascii="Arial" w:hAnsi="Arial" w:cs="Arial"/>
                <w:sz w:val="24"/>
                <w:szCs w:val="24"/>
              </w:rPr>
            </w:pPr>
          </w:p>
        </w:tc>
      </w:tr>
      <w:tr>
        <w:tc>
          <w:tcPr>
            <w:tcW w:w="6475" w:type="dxa"/>
          </w:tcPr>
          <w:p>
            <w:pPr>
              <w:rPr>
                <w:rFonts w:ascii="Arial" w:hAnsi="Arial" w:cs="Arial"/>
                <w:b/>
                <w:i/>
                <w:iCs/>
                <w:sz w:val="24"/>
                <w:szCs w:val="24"/>
                <w:lang w:eastAsia="en-PH"/>
              </w:rPr>
            </w:pPr>
            <w:r>
              <w:rPr>
                <w:rFonts w:ascii="Arial" w:hAnsi="Arial" w:cs="Arial"/>
                <w:sz w:val="24"/>
                <w:szCs w:val="24"/>
              </w:rPr>
              <w:t>I review learner outputs after technology-supported English tasks.</w:t>
            </w:r>
          </w:p>
        </w:tc>
        <w:tc>
          <w:tcPr>
            <w:tcW w:w="1170" w:type="dxa"/>
            <w:vAlign w:val="center"/>
          </w:tcPr>
          <w:p>
            <w:pPr>
              <w:jc w:val="center"/>
              <w:rPr>
                <w:rFonts w:ascii="Arial" w:hAnsi="Arial" w:cs="Arial"/>
                <w:sz w:val="24"/>
                <w:szCs w:val="24"/>
              </w:rPr>
            </w:pPr>
            <w:r>
              <w:rPr>
                <w:rFonts w:ascii="Arial" w:hAnsi="Arial" w:cs="Arial"/>
                <w:sz w:val="24"/>
                <w:szCs w:val="24"/>
              </w:rPr>
              <w:t>3.83</w:t>
            </w:r>
          </w:p>
        </w:tc>
        <w:tc>
          <w:tcPr>
            <w:tcW w:w="1705" w:type="dxa"/>
            <w:vAlign w:val="center"/>
          </w:tcPr>
          <w:p>
            <w:pPr>
              <w:jc w:val="center"/>
              <w:rPr>
                <w:rFonts w:ascii="Arial" w:hAnsi="Arial" w:cs="Arial"/>
                <w:sz w:val="24"/>
                <w:szCs w:val="24"/>
              </w:rPr>
            </w:pPr>
            <w:r>
              <w:rPr>
                <w:rFonts w:ascii="Arial" w:hAnsi="Arial" w:cs="Arial"/>
                <w:sz w:val="24"/>
                <w:szCs w:val="24"/>
              </w:rPr>
              <w:t>Competent</w:t>
            </w:r>
          </w:p>
        </w:tc>
      </w:tr>
      <w:tr>
        <w:tc>
          <w:tcPr>
            <w:tcW w:w="6475" w:type="dxa"/>
          </w:tcPr>
          <w:p>
            <w:pPr>
              <w:rPr>
                <w:rFonts w:ascii="Arial" w:hAnsi="Arial" w:cs="Arial"/>
                <w:sz w:val="24"/>
                <w:szCs w:val="24"/>
              </w:rPr>
            </w:pPr>
            <w:r>
              <w:rPr>
                <w:rFonts w:ascii="Arial" w:hAnsi="Arial" w:cs="Arial"/>
                <w:sz w:val="24"/>
                <w:szCs w:val="24"/>
              </w:rPr>
              <w:t>I continuously improve my technology integration practices in ELT.</w:t>
            </w:r>
          </w:p>
        </w:tc>
        <w:tc>
          <w:tcPr>
            <w:tcW w:w="1170" w:type="dxa"/>
            <w:vAlign w:val="center"/>
          </w:tcPr>
          <w:p>
            <w:pPr>
              <w:jc w:val="center"/>
              <w:rPr>
                <w:rFonts w:ascii="Arial" w:hAnsi="Arial" w:cs="Arial"/>
                <w:sz w:val="24"/>
                <w:szCs w:val="24"/>
              </w:rPr>
            </w:pPr>
            <w:r>
              <w:rPr>
                <w:rFonts w:ascii="Arial" w:hAnsi="Arial" w:cs="Arial"/>
                <w:sz w:val="24"/>
                <w:szCs w:val="24"/>
              </w:rPr>
              <w:t>3.67</w:t>
            </w:r>
          </w:p>
        </w:tc>
        <w:tc>
          <w:tcPr>
            <w:tcW w:w="1705" w:type="dxa"/>
            <w:vAlign w:val="center"/>
          </w:tcPr>
          <w:p>
            <w:pPr>
              <w:jc w:val="center"/>
              <w:rPr>
                <w:rFonts w:ascii="Arial" w:hAnsi="Arial" w:cs="Arial"/>
                <w:sz w:val="24"/>
                <w:szCs w:val="24"/>
              </w:rPr>
            </w:pPr>
            <w:r>
              <w:rPr>
                <w:rFonts w:ascii="Arial" w:hAnsi="Arial" w:cs="Arial"/>
                <w:sz w:val="24"/>
                <w:szCs w:val="24"/>
              </w:rPr>
              <w:t>Competent</w:t>
            </w:r>
          </w:p>
        </w:tc>
      </w:tr>
      <w:tr>
        <w:tc>
          <w:tcPr>
            <w:tcW w:w="6475" w:type="dxa"/>
          </w:tcPr>
          <w:p>
            <w:pPr>
              <w:rPr>
                <w:rFonts w:ascii="Arial" w:hAnsi="Arial" w:cs="Arial"/>
                <w:sz w:val="24"/>
                <w:szCs w:val="24"/>
              </w:rPr>
            </w:pPr>
            <w:r>
              <w:rPr>
                <w:rFonts w:ascii="Arial" w:hAnsi="Arial" w:cs="Arial"/>
                <w:sz w:val="24"/>
                <w:szCs w:val="24"/>
              </w:rPr>
              <w:t>I modify future English lessons based on previous technology use.</w:t>
            </w:r>
          </w:p>
        </w:tc>
        <w:tc>
          <w:tcPr>
            <w:tcW w:w="1170" w:type="dxa"/>
            <w:vAlign w:val="center"/>
          </w:tcPr>
          <w:p>
            <w:pPr>
              <w:jc w:val="center"/>
              <w:rPr>
                <w:rFonts w:ascii="Arial" w:hAnsi="Arial" w:cs="Arial"/>
                <w:sz w:val="24"/>
                <w:szCs w:val="24"/>
              </w:rPr>
            </w:pPr>
            <w:r>
              <w:rPr>
                <w:rFonts w:ascii="Arial" w:hAnsi="Arial" w:cs="Arial"/>
                <w:sz w:val="24"/>
                <w:szCs w:val="24"/>
              </w:rPr>
              <w:t>3.63</w:t>
            </w:r>
          </w:p>
        </w:tc>
        <w:tc>
          <w:tcPr>
            <w:tcW w:w="1705" w:type="dxa"/>
            <w:vAlign w:val="center"/>
          </w:tcPr>
          <w:p>
            <w:pPr>
              <w:jc w:val="center"/>
              <w:rPr>
                <w:rFonts w:ascii="Arial" w:hAnsi="Arial" w:cs="Arial"/>
                <w:sz w:val="24"/>
                <w:szCs w:val="24"/>
              </w:rPr>
            </w:pPr>
            <w:r>
              <w:rPr>
                <w:rFonts w:ascii="Arial" w:hAnsi="Arial" w:cs="Arial"/>
                <w:sz w:val="24"/>
                <w:szCs w:val="24"/>
              </w:rPr>
              <w:t>Competent</w:t>
            </w:r>
          </w:p>
        </w:tc>
      </w:tr>
      <w:tr>
        <w:tc>
          <w:tcPr>
            <w:tcW w:w="6475" w:type="dxa"/>
          </w:tcPr>
          <w:p>
            <w:pPr>
              <w:rPr>
                <w:rFonts w:ascii="Arial" w:hAnsi="Arial" w:cs="Arial"/>
                <w:sz w:val="24"/>
                <w:szCs w:val="24"/>
              </w:rPr>
            </w:pPr>
            <w:r>
              <w:rPr>
                <w:rFonts w:ascii="Arial" w:hAnsi="Arial" w:cs="Arial"/>
                <w:sz w:val="24"/>
                <w:szCs w:val="24"/>
              </w:rPr>
              <w:t>I adjust my ELT strategies based on learner engagement in tech-based activities.</w:t>
            </w:r>
          </w:p>
        </w:tc>
        <w:tc>
          <w:tcPr>
            <w:tcW w:w="1170" w:type="dxa"/>
            <w:vAlign w:val="center"/>
          </w:tcPr>
          <w:p>
            <w:pPr>
              <w:jc w:val="center"/>
              <w:rPr>
                <w:rFonts w:ascii="Arial" w:hAnsi="Arial" w:cs="Arial"/>
                <w:sz w:val="24"/>
                <w:szCs w:val="24"/>
              </w:rPr>
            </w:pPr>
            <w:r>
              <w:rPr>
                <w:rFonts w:ascii="Arial" w:hAnsi="Arial" w:cs="Arial"/>
                <w:sz w:val="24"/>
                <w:szCs w:val="24"/>
              </w:rPr>
              <w:t>3.60</w:t>
            </w:r>
          </w:p>
        </w:tc>
        <w:tc>
          <w:tcPr>
            <w:tcW w:w="1705" w:type="dxa"/>
            <w:vAlign w:val="center"/>
          </w:tcPr>
          <w:p>
            <w:pPr>
              <w:jc w:val="center"/>
              <w:rPr>
                <w:rFonts w:ascii="Arial" w:hAnsi="Arial" w:cs="Arial"/>
                <w:sz w:val="24"/>
                <w:szCs w:val="24"/>
              </w:rPr>
            </w:pPr>
            <w:r>
              <w:rPr>
                <w:rFonts w:ascii="Arial" w:hAnsi="Arial" w:cs="Arial"/>
                <w:sz w:val="24"/>
                <w:szCs w:val="24"/>
              </w:rPr>
              <w:t>Competent</w:t>
            </w:r>
          </w:p>
        </w:tc>
      </w:tr>
      <w:tr>
        <w:tc>
          <w:tcPr>
            <w:tcW w:w="6475" w:type="dxa"/>
          </w:tcPr>
          <w:p>
            <w:pPr>
              <w:rPr>
                <w:rFonts w:ascii="Arial" w:hAnsi="Arial" w:cs="Arial"/>
                <w:sz w:val="24"/>
                <w:szCs w:val="24"/>
              </w:rPr>
            </w:pPr>
            <w:r>
              <w:rPr>
                <w:rFonts w:ascii="Arial" w:hAnsi="Arial" w:cs="Arial"/>
                <w:sz w:val="24"/>
                <w:szCs w:val="24"/>
              </w:rPr>
              <w:t>I evaluate the effectiveness of technology-supported English lessons.</w:t>
            </w:r>
          </w:p>
        </w:tc>
        <w:tc>
          <w:tcPr>
            <w:tcW w:w="1170" w:type="dxa"/>
            <w:vAlign w:val="center"/>
          </w:tcPr>
          <w:p>
            <w:pPr>
              <w:jc w:val="center"/>
              <w:rPr>
                <w:rFonts w:ascii="Arial" w:hAnsi="Arial" w:cs="Arial"/>
                <w:sz w:val="24"/>
                <w:szCs w:val="24"/>
              </w:rPr>
            </w:pPr>
            <w:r>
              <w:rPr>
                <w:rFonts w:ascii="Arial" w:hAnsi="Arial" w:cs="Arial"/>
                <w:sz w:val="24"/>
                <w:szCs w:val="24"/>
              </w:rPr>
              <w:t>3.47</w:t>
            </w:r>
          </w:p>
        </w:tc>
        <w:tc>
          <w:tcPr>
            <w:tcW w:w="1705" w:type="dxa"/>
            <w:vAlign w:val="center"/>
          </w:tcPr>
          <w:p>
            <w:pPr>
              <w:jc w:val="center"/>
              <w:rPr>
                <w:rFonts w:ascii="Arial" w:hAnsi="Arial" w:cs="Arial"/>
                <w:sz w:val="24"/>
                <w:szCs w:val="24"/>
              </w:rPr>
            </w:pPr>
            <w:r>
              <w:rPr>
                <w:rFonts w:ascii="Arial" w:hAnsi="Arial" w:cs="Arial"/>
                <w:sz w:val="24"/>
                <w:szCs w:val="24"/>
              </w:rPr>
              <w:t>Competent</w:t>
            </w:r>
          </w:p>
        </w:tc>
      </w:tr>
      <w:tr>
        <w:tc>
          <w:tcPr>
            <w:tcW w:w="6475" w:type="dxa"/>
          </w:tcPr>
          <w:p>
            <w:pPr>
              <w:jc w:val="center"/>
              <w:rPr>
                <w:rFonts w:ascii="Arial" w:hAnsi="Arial" w:cs="Arial"/>
                <w:sz w:val="24"/>
                <w:szCs w:val="24"/>
              </w:rPr>
            </w:pPr>
            <w:r>
              <w:rPr>
                <w:rFonts w:ascii="Arial" w:hAnsi="Arial" w:cs="Arial"/>
                <w:sz w:val="24"/>
                <w:szCs w:val="24"/>
              </w:rPr>
              <w:t>Mean</w:t>
            </w:r>
          </w:p>
        </w:tc>
        <w:tc>
          <w:tcPr>
            <w:tcW w:w="1170" w:type="dxa"/>
            <w:vAlign w:val="center"/>
          </w:tcPr>
          <w:p>
            <w:pPr>
              <w:jc w:val="center"/>
              <w:rPr>
                <w:rFonts w:ascii="Arial" w:hAnsi="Arial" w:cs="Arial"/>
                <w:sz w:val="24"/>
                <w:szCs w:val="24"/>
              </w:rPr>
            </w:pPr>
            <w:r>
              <w:rPr>
                <w:rFonts w:ascii="Arial" w:hAnsi="Arial" w:cs="Arial"/>
                <w:color w:val="000000"/>
                <w:sz w:val="24"/>
                <w:szCs w:val="24"/>
              </w:rPr>
              <w:t>3.64</w:t>
            </w:r>
          </w:p>
        </w:tc>
        <w:tc>
          <w:tcPr>
            <w:tcW w:w="1705" w:type="dxa"/>
            <w:vAlign w:val="center"/>
          </w:tcPr>
          <w:p>
            <w:pPr>
              <w:jc w:val="center"/>
              <w:rPr>
                <w:rFonts w:ascii="Arial" w:hAnsi="Arial" w:cs="Arial"/>
                <w:sz w:val="24"/>
                <w:szCs w:val="24"/>
              </w:rPr>
            </w:pPr>
            <w:r>
              <w:rPr>
                <w:rFonts w:ascii="Arial" w:hAnsi="Arial" w:cs="Arial"/>
                <w:sz w:val="24"/>
                <w:szCs w:val="24"/>
              </w:rPr>
              <w:t>Competent</w:t>
            </w:r>
          </w:p>
        </w:tc>
      </w:tr>
      <w:tr>
        <w:tc>
          <w:tcPr>
            <w:tcW w:w="6475" w:type="dxa"/>
          </w:tcPr>
          <w:p>
            <w:pPr>
              <w:jc w:val="center"/>
              <w:rPr>
                <w:rFonts w:ascii="Arial" w:hAnsi="Arial" w:cs="Arial"/>
                <w:sz w:val="24"/>
                <w:szCs w:val="24"/>
              </w:rPr>
            </w:pPr>
            <w:r>
              <w:rPr>
                <w:rFonts w:ascii="Arial" w:hAnsi="Arial" w:cs="Arial"/>
                <w:sz w:val="24"/>
                <w:szCs w:val="24"/>
              </w:rPr>
              <w:t>Over-all Mean</w:t>
            </w:r>
          </w:p>
        </w:tc>
        <w:tc>
          <w:tcPr>
            <w:tcW w:w="1170" w:type="dxa"/>
            <w:vAlign w:val="center"/>
          </w:tcPr>
          <w:p>
            <w:pPr>
              <w:jc w:val="center"/>
              <w:rPr>
                <w:rFonts w:ascii="Arial" w:hAnsi="Arial" w:cs="Arial"/>
                <w:color w:val="000000"/>
                <w:sz w:val="24"/>
                <w:szCs w:val="24"/>
              </w:rPr>
            </w:pPr>
            <w:r>
              <w:rPr>
                <w:rFonts w:ascii="Arial" w:hAnsi="Arial" w:cs="Arial"/>
                <w:color w:val="000000"/>
                <w:sz w:val="24"/>
                <w:szCs w:val="24"/>
              </w:rPr>
              <w:t>3.75</w:t>
            </w:r>
          </w:p>
        </w:tc>
        <w:tc>
          <w:tcPr>
            <w:tcW w:w="1705" w:type="dxa"/>
            <w:vAlign w:val="center"/>
          </w:tcPr>
          <w:p>
            <w:pPr>
              <w:jc w:val="center"/>
              <w:rPr>
                <w:rFonts w:ascii="Arial" w:hAnsi="Arial" w:cs="Arial"/>
                <w:sz w:val="24"/>
                <w:szCs w:val="24"/>
              </w:rPr>
            </w:pPr>
            <w:r>
              <w:rPr>
                <w:rFonts w:ascii="Arial" w:hAnsi="Arial" w:cs="Arial"/>
                <w:sz w:val="24"/>
                <w:szCs w:val="24"/>
              </w:rPr>
              <w:t>Competent</w:t>
            </w:r>
          </w:p>
        </w:tc>
      </w:tr>
    </w:tbl>
    <w:p>
      <w:pPr>
        <w:rPr>
          <w:rFonts w:ascii="Arial" w:hAnsi="Arial" w:cs="Arial"/>
        </w:rPr>
      </w:pPr>
    </w:p>
    <w:p>
      <w:pPr>
        <w:jc w:val="center"/>
        <w:rPr>
          <w:rFonts w:ascii="Arial" w:eastAsia="Times New Roman" w:hAnsi="Arial" w:cs="Arial"/>
          <w:lang w:eastAsia="en-PH"/>
        </w:rPr>
      </w:pPr>
      <w:r>
        <w:rPr>
          <w:rFonts w:ascii="Arial" w:hAnsi="Arial" w:cs="Arial"/>
        </w:rPr>
        <w:t xml:space="preserve">SUMMARY ON </w:t>
      </w:r>
      <w:r>
        <w:rPr>
          <w:rFonts w:ascii="Arial" w:eastAsia="Times New Roman" w:hAnsi="Arial" w:cs="Arial"/>
          <w:lang w:eastAsia="en-PH"/>
        </w:rPr>
        <w:t>TEACHERS’ COMPETENCE IN INTEGRATING TECHNOLOGY IN ENGLISH LANGUAGE TEACHING</w:t>
      </w:r>
    </w:p>
    <w:tbl>
      <w:tblPr>
        <w:tblStyle w:val="TableGrid"/>
        <w:tblW w:w="0" w:type="auto"/>
        <w:tblLook w:val="04A0" w:firstRow="1" w:lastRow="0" w:firstColumn="1" w:lastColumn="0" w:noHBand="0" w:noVBand="1"/>
      </w:tblPr>
      <w:tblGrid>
        <w:gridCol w:w="5045"/>
        <w:gridCol w:w="1260"/>
        <w:gridCol w:w="2325"/>
      </w:tblGrid>
      <w:tr>
        <w:tc>
          <w:tcPr>
            <w:tcW w:w="5485" w:type="dxa"/>
          </w:tcPr>
          <w:p>
            <w:pPr>
              <w:jc w:val="center"/>
              <w:rPr>
                <w:rFonts w:ascii="Arial" w:hAnsi="Arial" w:cs="Arial"/>
                <w:sz w:val="24"/>
                <w:szCs w:val="24"/>
              </w:rPr>
            </w:pPr>
            <w:r>
              <w:rPr>
                <w:rFonts w:ascii="Arial" w:hAnsi="Arial" w:cs="Arial"/>
                <w:sz w:val="24"/>
                <w:szCs w:val="24"/>
              </w:rPr>
              <w:t>Indicator</w:t>
            </w:r>
          </w:p>
        </w:tc>
        <w:tc>
          <w:tcPr>
            <w:tcW w:w="1350" w:type="dxa"/>
          </w:tcPr>
          <w:p>
            <w:pPr>
              <w:jc w:val="center"/>
              <w:rPr>
                <w:rFonts w:ascii="Arial" w:hAnsi="Arial" w:cs="Arial"/>
                <w:sz w:val="24"/>
                <w:szCs w:val="24"/>
              </w:rPr>
            </w:pPr>
            <w:r>
              <w:rPr>
                <w:rFonts w:ascii="Arial" w:hAnsi="Arial" w:cs="Arial"/>
                <w:sz w:val="24"/>
                <w:szCs w:val="24"/>
              </w:rPr>
              <w:t>Mean</w:t>
            </w:r>
          </w:p>
        </w:tc>
        <w:tc>
          <w:tcPr>
            <w:tcW w:w="2515" w:type="dxa"/>
          </w:tcPr>
          <w:p>
            <w:pPr>
              <w:jc w:val="center"/>
              <w:rPr>
                <w:rFonts w:ascii="Arial" w:hAnsi="Arial" w:cs="Arial"/>
                <w:sz w:val="24"/>
                <w:szCs w:val="24"/>
              </w:rPr>
            </w:pPr>
            <w:r>
              <w:rPr>
                <w:rFonts w:ascii="Arial" w:hAnsi="Arial" w:cs="Arial"/>
                <w:sz w:val="24"/>
                <w:szCs w:val="24"/>
              </w:rPr>
              <w:t>Adjectival Rating</w:t>
            </w:r>
          </w:p>
        </w:tc>
      </w:tr>
      <w:tr>
        <w:tc>
          <w:tcPr>
            <w:tcW w:w="5485" w:type="dxa"/>
          </w:tcPr>
          <w:p>
            <w:pPr>
              <w:rPr>
                <w:rFonts w:ascii="Arial" w:hAnsi="Arial" w:cs="Arial"/>
                <w:sz w:val="24"/>
                <w:szCs w:val="24"/>
              </w:rPr>
            </w:pPr>
            <w:r>
              <w:rPr>
                <w:rFonts w:ascii="Arial" w:hAnsi="Arial" w:cs="Arial"/>
                <w:sz w:val="24"/>
                <w:szCs w:val="24"/>
                <w:lang w:eastAsia="en-PH"/>
              </w:rPr>
              <w:t>PICRAT-Based Pedagogical Knowledge</w:t>
            </w:r>
          </w:p>
        </w:tc>
        <w:tc>
          <w:tcPr>
            <w:tcW w:w="1350" w:type="dxa"/>
            <w:vAlign w:val="center"/>
          </w:tcPr>
          <w:p>
            <w:pPr>
              <w:jc w:val="center"/>
              <w:rPr>
                <w:rFonts w:ascii="Arial" w:hAnsi="Arial" w:cs="Arial"/>
                <w:sz w:val="24"/>
                <w:szCs w:val="24"/>
              </w:rPr>
            </w:pPr>
            <w:r>
              <w:rPr>
                <w:rFonts w:ascii="Arial" w:hAnsi="Arial" w:cs="Arial"/>
                <w:color w:val="000000"/>
                <w:sz w:val="24"/>
                <w:szCs w:val="24"/>
              </w:rPr>
              <w:t>3.82</w:t>
            </w:r>
          </w:p>
        </w:tc>
        <w:tc>
          <w:tcPr>
            <w:tcW w:w="2515" w:type="dxa"/>
            <w:vAlign w:val="center"/>
          </w:tcPr>
          <w:p>
            <w:pPr>
              <w:jc w:val="center"/>
              <w:rPr>
                <w:rFonts w:ascii="Arial" w:hAnsi="Arial" w:cs="Arial"/>
                <w:sz w:val="24"/>
                <w:szCs w:val="24"/>
              </w:rPr>
            </w:pPr>
            <w:r>
              <w:rPr>
                <w:rFonts w:ascii="Arial" w:hAnsi="Arial" w:cs="Arial"/>
                <w:sz w:val="24"/>
                <w:szCs w:val="24"/>
              </w:rPr>
              <w:t>Competent</w:t>
            </w:r>
          </w:p>
        </w:tc>
      </w:tr>
      <w:tr>
        <w:tc>
          <w:tcPr>
            <w:tcW w:w="5485" w:type="dxa"/>
          </w:tcPr>
          <w:p>
            <w:pPr>
              <w:rPr>
                <w:rFonts w:ascii="Arial" w:hAnsi="Arial" w:cs="Arial"/>
                <w:sz w:val="24"/>
                <w:szCs w:val="24"/>
                <w:lang w:eastAsia="en-PH"/>
              </w:rPr>
            </w:pPr>
            <w:r>
              <w:rPr>
                <w:rFonts w:ascii="Arial" w:hAnsi="Arial" w:cs="Arial"/>
                <w:sz w:val="24"/>
                <w:szCs w:val="24"/>
                <w:lang w:eastAsia="en-PH"/>
              </w:rPr>
              <w:t>Cultural Responsiveness and Contextualization</w:t>
            </w:r>
          </w:p>
        </w:tc>
        <w:tc>
          <w:tcPr>
            <w:tcW w:w="1350" w:type="dxa"/>
            <w:vAlign w:val="center"/>
          </w:tcPr>
          <w:p>
            <w:pPr>
              <w:jc w:val="center"/>
              <w:rPr>
                <w:rFonts w:ascii="Arial" w:hAnsi="Arial" w:cs="Arial"/>
                <w:sz w:val="24"/>
                <w:szCs w:val="24"/>
              </w:rPr>
            </w:pPr>
            <w:r>
              <w:rPr>
                <w:rFonts w:ascii="Arial" w:hAnsi="Arial" w:cs="Arial"/>
                <w:color w:val="000000"/>
                <w:sz w:val="24"/>
                <w:szCs w:val="24"/>
              </w:rPr>
              <w:t>3.81</w:t>
            </w:r>
          </w:p>
        </w:tc>
        <w:tc>
          <w:tcPr>
            <w:tcW w:w="2515" w:type="dxa"/>
            <w:vAlign w:val="center"/>
          </w:tcPr>
          <w:p>
            <w:pPr>
              <w:jc w:val="center"/>
              <w:rPr>
                <w:rFonts w:ascii="Arial" w:hAnsi="Arial" w:cs="Arial"/>
                <w:sz w:val="24"/>
                <w:szCs w:val="24"/>
              </w:rPr>
            </w:pPr>
            <w:r>
              <w:rPr>
                <w:rFonts w:ascii="Arial" w:hAnsi="Arial" w:cs="Arial"/>
                <w:sz w:val="24"/>
                <w:szCs w:val="24"/>
              </w:rPr>
              <w:t>Competent</w:t>
            </w:r>
          </w:p>
        </w:tc>
      </w:tr>
      <w:tr>
        <w:tc>
          <w:tcPr>
            <w:tcW w:w="5485" w:type="dxa"/>
          </w:tcPr>
          <w:p>
            <w:pPr>
              <w:rPr>
                <w:rFonts w:ascii="Arial" w:hAnsi="Arial" w:cs="Arial"/>
                <w:sz w:val="24"/>
                <w:szCs w:val="24"/>
                <w:lang w:eastAsia="en-PH"/>
              </w:rPr>
            </w:pPr>
            <w:r>
              <w:rPr>
                <w:rFonts w:ascii="Arial" w:hAnsi="Arial" w:cs="Arial"/>
                <w:i/>
                <w:iCs/>
                <w:sz w:val="24"/>
                <w:szCs w:val="24"/>
                <w:lang w:eastAsia="en-PH"/>
              </w:rPr>
              <w:t>Creative Engagement/Technology Use</w:t>
            </w:r>
          </w:p>
        </w:tc>
        <w:tc>
          <w:tcPr>
            <w:tcW w:w="1350" w:type="dxa"/>
            <w:vAlign w:val="center"/>
          </w:tcPr>
          <w:p>
            <w:pPr>
              <w:jc w:val="center"/>
              <w:rPr>
                <w:rFonts w:ascii="Arial" w:hAnsi="Arial" w:cs="Arial"/>
                <w:sz w:val="24"/>
                <w:szCs w:val="24"/>
              </w:rPr>
            </w:pPr>
            <w:r>
              <w:rPr>
                <w:rFonts w:ascii="Arial" w:hAnsi="Arial" w:cs="Arial"/>
                <w:color w:val="000000"/>
                <w:sz w:val="24"/>
                <w:szCs w:val="24"/>
              </w:rPr>
              <w:t>3.83</w:t>
            </w:r>
          </w:p>
        </w:tc>
        <w:tc>
          <w:tcPr>
            <w:tcW w:w="2515" w:type="dxa"/>
            <w:vAlign w:val="center"/>
          </w:tcPr>
          <w:p>
            <w:pPr>
              <w:jc w:val="center"/>
              <w:rPr>
                <w:rFonts w:ascii="Arial" w:hAnsi="Arial" w:cs="Arial"/>
                <w:sz w:val="24"/>
                <w:szCs w:val="24"/>
              </w:rPr>
            </w:pPr>
            <w:r>
              <w:rPr>
                <w:rFonts w:ascii="Arial" w:hAnsi="Arial" w:cs="Arial"/>
                <w:sz w:val="24"/>
                <w:szCs w:val="24"/>
              </w:rPr>
              <w:t>Competent</w:t>
            </w:r>
          </w:p>
        </w:tc>
      </w:tr>
      <w:tr>
        <w:tc>
          <w:tcPr>
            <w:tcW w:w="5485" w:type="dxa"/>
          </w:tcPr>
          <w:p>
            <w:pPr>
              <w:rPr>
                <w:rFonts w:ascii="Arial" w:hAnsi="Arial" w:cs="Arial"/>
                <w:sz w:val="24"/>
                <w:szCs w:val="24"/>
                <w:lang w:eastAsia="en-PH"/>
              </w:rPr>
            </w:pPr>
            <w:r>
              <w:rPr>
                <w:rFonts w:ascii="Arial" w:hAnsi="Arial" w:cs="Arial"/>
                <w:sz w:val="24"/>
                <w:szCs w:val="24"/>
                <w:lang w:eastAsia="en-PH"/>
              </w:rPr>
              <w:t>Access to Technological Resources</w:t>
            </w:r>
          </w:p>
        </w:tc>
        <w:tc>
          <w:tcPr>
            <w:tcW w:w="1350" w:type="dxa"/>
            <w:vAlign w:val="center"/>
          </w:tcPr>
          <w:p>
            <w:pPr>
              <w:jc w:val="center"/>
              <w:rPr>
                <w:rFonts w:ascii="Arial" w:hAnsi="Arial" w:cs="Arial"/>
                <w:sz w:val="24"/>
                <w:szCs w:val="24"/>
              </w:rPr>
            </w:pPr>
            <w:r>
              <w:rPr>
                <w:rFonts w:ascii="Arial" w:hAnsi="Arial" w:cs="Arial"/>
                <w:color w:val="000000"/>
                <w:sz w:val="24"/>
                <w:szCs w:val="24"/>
              </w:rPr>
              <w:t>3.66</w:t>
            </w:r>
          </w:p>
        </w:tc>
        <w:tc>
          <w:tcPr>
            <w:tcW w:w="2515" w:type="dxa"/>
            <w:vAlign w:val="center"/>
          </w:tcPr>
          <w:p>
            <w:pPr>
              <w:jc w:val="center"/>
              <w:rPr>
                <w:rFonts w:ascii="Arial" w:hAnsi="Arial" w:cs="Arial"/>
                <w:sz w:val="24"/>
                <w:szCs w:val="24"/>
              </w:rPr>
            </w:pPr>
            <w:r>
              <w:rPr>
                <w:rFonts w:ascii="Arial" w:hAnsi="Arial" w:cs="Arial"/>
                <w:sz w:val="24"/>
                <w:szCs w:val="24"/>
              </w:rPr>
              <w:t>Competent</w:t>
            </w:r>
          </w:p>
        </w:tc>
      </w:tr>
      <w:tr>
        <w:tc>
          <w:tcPr>
            <w:tcW w:w="5485" w:type="dxa"/>
          </w:tcPr>
          <w:p>
            <w:pPr>
              <w:rPr>
                <w:rFonts w:ascii="Arial" w:hAnsi="Arial" w:cs="Arial"/>
                <w:sz w:val="24"/>
                <w:szCs w:val="24"/>
                <w:lang w:eastAsia="en-PH"/>
              </w:rPr>
            </w:pPr>
            <w:r>
              <w:rPr>
                <w:rFonts w:ascii="Arial" w:hAnsi="Arial" w:cs="Arial"/>
                <w:i/>
                <w:iCs/>
                <w:sz w:val="24"/>
                <w:szCs w:val="24"/>
                <w:lang w:eastAsia="en-PH"/>
              </w:rPr>
              <w:t>Reflective Teaching Practice</w:t>
            </w:r>
          </w:p>
        </w:tc>
        <w:tc>
          <w:tcPr>
            <w:tcW w:w="1350" w:type="dxa"/>
            <w:vAlign w:val="center"/>
          </w:tcPr>
          <w:p>
            <w:pPr>
              <w:jc w:val="center"/>
              <w:rPr>
                <w:rFonts w:ascii="Arial" w:hAnsi="Arial" w:cs="Arial"/>
                <w:sz w:val="24"/>
                <w:szCs w:val="24"/>
              </w:rPr>
            </w:pPr>
            <w:r>
              <w:rPr>
                <w:rFonts w:ascii="Arial" w:hAnsi="Arial" w:cs="Arial"/>
                <w:color w:val="000000"/>
                <w:sz w:val="24"/>
                <w:szCs w:val="24"/>
              </w:rPr>
              <w:t>3.64</w:t>
            </w:r>
          </w:p>
        </w:tc>
        <w:tc>
          <w:tcPr>
            <w:tcW w:w="2515" w:type="dxa"/>
            <w:vAlign w:val="center"/>
          </w:tcPr>
          <w:p>
            <w:pPr>
              <w:jc w:val="center"/>
              <w:rPr>
                <w:rFonts w:ascii="Arial" w:hAnsi="Arial" w:cs="Arial"/>
                <w:sz w:val="24"/>
                <w:szCs w:val="24"/>
              </w:rPr>
            </w:pPr>
            <w:r>
              <w:rPr>
                <w:rFonts w:ascii="Arial" w:hAnsi="Arial" w:cs="Arial"/>
                <w:sz w:val="24"/>
                <w:szCs w:val="24"/>
              </w:rPr>
              <w:t>Competent</w:t>
            </w:r>
          </w:p>
        </w:tc>
      </w:tr>
      <w:tr>
        <w:tc>
          <w:tcPr>
            <w:tcW w:w="5485" w:type="dxa"/>
          </w:tcPr>
          <w:p>
            <w:pPr>
              <w:jc w:val="center"/>
              <w:rPr>
                <w:rFonts w:ascii="Arial" w:hAnsi="Arial" w:cs="Arial"/>
                <w:sz w:val="24"/>
                <w:szCs w:val="24"/>
                <w:lang w:eastAsia="en-PH"/>
              </w:rPr>
            </w:pPr>
            <w:r>
              <w:rPr>
                <w:rFonts w:ascii="Arial" w:hAnsi="Arial" w:cs="Arial"/>
                <w:sz w:val="24"/>
                <w:szCs w:val="24"/>
                <w:lang w:eastAsia="en-PH"/>
              </w:rPr>
              <w:t>Over-all Mean</w:t>
            </w:r>
          </w:p>
        </w:tc>
        <w:tc>
          <w:tcPr>
            <w:tcW w:w="1350" w:type="dxa"/>
            <w:vAlign w:val="center"/>
          </w:tcPr>
          <w:p>
            <w:pPr>
              <w:jc w:val="center"/>
              <w:rPr>
                <w:rFonts w:ascii="Arial" w:hAnsi="Arial" w:cs="Arial"/>
                <w:sz w:val="24"/>
                <w:szCs w:val="24"/>
              </w:rPr>
            </w:pPr>
            <w:r>
              <w:rPr>
                <w:rFonts w:ascii="Arial" w:hAnsi="Arial" w:cs="Arial"/>
                <w:color w:val="000000"/>
                <w:sz w:val="24"/>
                <w:szCs w:val="24"/>
              </w:rPr>
              <w:t>3.75</w:t>
            </w:r>
          </w:p>
        </w:tc>
        <w:tc>
          <w:tcPr>
            <w:tcW w:w="2515" w:type="dxa"/>
            <w:vAlign w:val="center"/>
          </w:tcPr>
          <w:p>
            <w:pPr>
              <w:jc w:val="center"/>
              <w:rPr>
                <w:rFonts w:ascii="Arial" w:hAnsi="Arial" w:cs="Arial"/>
                <w:sz w:val="24"/>
                <w:szCs w:val="24"/>
              </w:rPr>
            </w:pPr>
            <w:r>
              <w:rPr>
                <w:rFonts w:ascii="Arial" w:hAnsi="Arial" w:cs="Arial"/>
                <w:sz w:val="24"/>
                <w:szCs w:val="24"/>
              </w:rPr>
              <w:t>Competent</w:t>
            </w:r>
          </w:p>
        </w:tc>
      </w:tr>
    </w:tbl>
    <w:p>
      <w:pPr>
        <w:jc w:val="center"/>
        <w:rPr>
          <w:rFonts w:ascii="Arial" w:hAnsi="Arial" w:cs="Arial"/>
        </w:rPr>
      </w:pPr>
    </w:p>
    <w:p>
      <w:pPr>
        <w:rPr>
          <w:rFonts w:ascii="Arial" w:hAnsi="Arial" w:cs="Arial"/>
        </w:rPr>
      </w:pPr>
      <w:r>
        <w:rPr>
          <w:rFonts w:ascii="Arial" w:eastAsia="Times New Roman" w:hAnsi="Arial" w:cs="Arial"/>
          <w:lang w:eastAsia="en-PH"/>
        </w:rPr>
        <w:lastRenderedPageBreak/>
        <w:t>TECHNOLOGY-SUPPORTED LEARNER ENGAGEMENT IN ENGLISH LESSONS (PICRAT – LEARNER DIMENSION)</w:t>
      </w:r>
    </w:p>
    <w:tbl>
      <w:tblPr>
        <w:tblStyle w:val="TableGrid"/>
        <w:tblW w:w="0" w:type="auto"/>
        <w:tblLook w:val="04A0" w:firstRow="1" w:lastRow="0" w:firstColumn="1" w:lastColumn="0" w:noHBand="0" w:noVBand="1"/>
      </w:tblPr>
      <w:tblGrid>
        <w:gridCol w:w="5742"/>
        <w:gridCol w:w="1230"/>
        <w:gridCol w:w="1658"/>
      </w:tblGrid>
      <w:tr>
        <w:tc>
          <w:tcPr>
            <w:tcW w:w="6475" w:type="dxa"/>
          </w:tcPr>
          <w:p>
            <w:pPr>
              <w:jc w:val="center"/>
              <w:rPr>
                <w:rFonts w:ascii="Arial" w:hAnsi="Arial" w:cs="Arial"/>
                <w:sz w:val="24"/>
                <w:szCs w:val="24"/>
              </w:rPr>
            </w:pPr>
            <w:r>
              <w:rPr>
                <w:rFonts w:ascii="Arial" w:hAnsi="Arial" w:cs="Arial"/>
                <w:sz w:val="24"/>
                <w:szCs w:val="24"/>
              </w:rPr>
              <w:t>Indicator</w:t>
            </w:r>
          </w:p>
        </w:tc>
        <w:tc>
          <w:tcPr>
            <w:tcW w:w="1170" w:type="dxa"/>
          </w:tcPr>
          <w:p>
            <w:pPr>
              <w:jc w:val="center"/>
              <w:rPr>
                <w:rFonts w:ascii="Arial" w:hAnsi="Arial" w:cs="Arial"/>
                <w:sz w:val="24"/>
                <w:szCs w:val="24"/>
              </w:rPr>
            </w:pPr>
            <w:r>
              <w:rPr>
                <w:rFonts w:ascii="Arial" w:hAnsi="Arial" w:cs="Arial"/>
                <w:sz w:val="24"/>
                <w:szCs w:val="24"/>
              </w:rPr>
              <w:t>Weighted Mean</w:t>
            </w:r>
          </w:p>
        </w:tc>
        <w:tc>
          <w:tcPr>
            <w:tcW w:w="1705" w:type="dxa"/>
          </w:tcPr>
          <w:p>
            <w:pPr>
              <w:jc w:val="center"/>
              <w:rPr>
                <w:rFonts w:ascii="Arial" w:hAnsi="Arial" w:cs="Arial"/>
                <w:sz w:val="24"/>
                <w:szCs w:val="24"/>
              </w:rPr>
            </w:pPr>
            <w:r>
              <w:rPr>
                <w:rFonts w:ascii="Arial" w:hAnsi="Arial" w:cs="Arial"/>
                <w:sz w:val="24"/>
                <w:szCs w:val="24"/>
              </w:rPr>
              <w:t>Adjectival Rating</w:t>
            </w:r>
          </w:p>
        </w:tc>
      </w:tr>
      <w:tr>
        <w:tc>
          <w:tcPr>
            <w:tcW w:w="6475" w:type="dxa"/>
          </w:tcPr>
          <w:p>
            <w:pPr>
              <w:rPr>
                <w:rFonts w:ascii="Arial" w:hAnsi="Arial" w:cs="Arial"/>
                <w:sz w:val="24"/>
                <w:szCs w:val="24"/>
              </w:rPr>
            </w:pPr>
            <w:r>
              <w:rPr>
                <w:rFonts w:ascii="Arial" w:hAnsi="Arial" w:cs="Arial"/>
                <w:b/>
                <w:bCs/>
                <w:i/>
                <w:iCs/>
                <w:sz w:val="24"/>
                <w:szCs w:val="24"/>
                <w:lang w:eastAsia="en-PH"/>
              </w:rPr>
              <w:t>Passive Engagement</w:t>
            </w:r>
          </w:p>
        </w:tc>
        <w:tc>
          <w:tcPr>
            <w:tcW w:w="1170" w:type="dxa"/>
            <w:vAlign w:val="center"/>
          </w:tcPr>
          <w:p>
            <w:pPr>
              <w:jc w:val="center"/>
              <w:rPr>
                <w:rFonts w:ascii="Arial" w:hAnsi="Arial" w:cs="Arial"/>
                <w:sz w:val="24"/>
                <w:szCs w:val="24"/>
              </w:rPr>
            </w:pPr>
          </w:p>
        </w:tc>
        <w:tc>
          <w:tcPr>
            <w:tcW w:w="1705" w:type="dxa"/>
          </w:tcPr>
          <w:p>
            <w:pPr>
              <w:rPr>
                <w:rFonts w:ascii="Arial" w:hAnsi="Arial" w:cs="Arial"/>
                <w:sz w:val="24"/>
                <w:szCs w:val="24"/>
              </w:rPr>
            </w:pPr>
          </w:p>
        </w:tc>
      </w:tr>
      <w:tr>
        <w:tc>
          <w:tcPr>
            <w:tcW w:w="6475" w:type="dxa"/>
          </w:tcPr>
          <w:p>
            <w:pPr>
              <w:rPr>
                <w:rFonts w:ascii="Arial" w:hAnsi="Arial" w:cs="Arial"/>
                <w:b/>
                <w:bCs/>
                <w:sz w:val="24"/>
                <w:szCs w:val="24"/>
                <w:lang w:eastAsia="en-PH"/>
              </w:rPr>
            </w:pPr>
            <w:r>
              <w:rPr>
                <w:rFonts w:ascii="Arial" w:hAnsi="Arial" w:cs="Arial"/>
                <w:sz w:val="24"/>
                <w:szCs w:val="24"/>
              </w:rPr>
              <w:t>Learners receive English information using digital tools.</w:t>
            </w:r>
          </w:p>
        </w:tc>
        <w:tc>
          <w:tcPr>
            <w:tcW w:w="1170" w:type="dxa"/>
            <w:vAlign w:val="center"/>
          </w:tcPr>
          <w:p>
            <w:pPr>
              <w:jc w:val="center"/>
              <w:rPr>
                <w:rFonts w:ascii="Arial" w:hAnsi="Arial" w:cs="Arial"/>
                <w:sz w:val="24"/>
                <w:szCs w:val="24"/>
              </w:rPr>
            </w:pPr>
            <w:r>
              <w:rPr>
                <w:rFonts w:ascii="Arial" w:hAnsi="Arial" w:cs="Arial"/>
                <w:sz w:val="24"/>
                <w:szCs w:val="24"/>
              </w:rPr>
              <w:t>3.77</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rPr>
                <w:rFonts w:ascii="Arial" w:hAnsi="Arial" w:cs="Arial"/>
                <w:sz w:val="24"/>
                <w:szCs w:val="24"/>
              </w:rPr>
            </w:pPr>
            <w:r>
              <w:rPr>
                <w:rFonts w:ascii="Arial" w:hAnsi="Arial" w:cs="Arial"/>
                <w:sz w:val="24"/>
                <w:szCs w:val="24"/>
              </w:rPr>
              <w:t>Learners listen to recorded English audio materials.</w:t>
            </w:r>
          </w:p>
        </w:tc>
        <w:tc>
          <w:tcPr>
            <w:tcW w:w="1170" w:type="dxa"/>
            <w:vAlign w:val="center"/>
          </w:tcPr>
          <w:p>
            <w:pPr>
              <w:jc w:val="center"/>
              <w:rPr>
                <w:rFonts w:ascii="Arial" w:hAnsi="Arial" w:cs="Arial"/>
                <w:sz w:val="24"/>
                <w:szCs w:val="24"/>
              </w:rPr>
            </w:pPr>
            <w:r>
              <w:rPr>
                <w:rFonts w:ascii="Arial" w:hAnsi="Arial" w:cs="Arial"/>
                <w:sz w:val="24"/>
                <w:szCs w:val="24"/>
              </w:rPr>
              <w:t>3.63</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rPr>
                <w:rFonts w:ascii="Arial" w:hAnsi="Arial" w:cs="Arial"/>
                <w:sz w:val="24"/>
                <w:szCs w:val="24"/>
              </w:rPr>
            </w:pPr>
            <w:r>
              <w:rPr>
                <w:rFonts w:ascii="Arial" w:hAnsi="Arial" w:cs="Arial"/>
                <w:sz w:val="24"/>
                <w:szCs w:val="24"/>
              </w:rPr>
              <w:t>Learners read English texts displayed on digital screens.</w:t>
            </w:r>
          </w:p>
        </w:tc>
        <w:tc>
          <w:tcPr>
            <w:tcW w:w="1170" w:type="dxa"/>
            <w:vAlign w:val="center"/>
          </w:tcPr>
          <w:p>
            <w:pPr>
              <w:jc w:val="center"/>
              <w:rPr>
                <w:rFonts w:ascii="Arial" w:hAnsi="Arial" w:cs="Arial"/>
                <w:sz w:val="24"/>
                <w:szCs w:val="24"/>
              </w:rPr>
            </w:pPr>
            <w:r>
              <w:rPr>
                <w:rFonts w:ascii="Arial" w:hAnsi="Arial" w:cs="Arial"/>
                <w:sz w:val="24"/>
                <w:szCs w:val="24"/>
              </w:rPr>
              <w:t>3.60</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rPr>
                <w:rFonts w:ascii="Arial" w:hAnsi="Arial" w:cs="Arial"/>
                <w:sz w:val="24"/>
                <w:szCs w:val="24"/>
              </w:rPr>
            </w:pPr>
            <w:r>
              <w:rPr>
                <w:rFonts w:ascii="Arial" w:hAnsi="Arial" w:cs="Arial"/>
                <w:sz w:val="24"/>
                <w:szCs w:val="24"/>
              </w:rPr>
              <w:t>Learners primarily observe during technology-supported English lessons.</w:t>
            </w:r>
          </w:p>
        </w:tc>
        <w:tc>
          <w:tcPr>
            <w:tcW w:w="1170" w:type="dxa"/>
            <w:vAlign w:val="center"/>
          </w:tcPr>
          <w:p>
            <w:pPr>
              <w:jc w:val="center"/>
              <w:rPr>
                <w:rFonts w:ascii="Arial" w:hAnsi="Arial" w:cs="Arial"/>
                <w:sz w:val="24"/>
                <w:szCs w:val="24"/>
              </w:rPr>
            </w:pPr>
            <w:r>
              <w:rPr>
                <w:rFonts w:ascii="Arial" w:hAnsi="Arial" w:cs="Arial"/>
                <w:sz w:val="24"/>
                <w:szCs w:val="24"/>
              </w:rPr>
              <w:t>3.53</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jc w:val="center"/>
              <w:rPr>
                <w:rFonts w:ascii="Arial" w:hAnsi="Arial" w:cs="Arial"/>
                <w:sz w:val="24"/>
                <w:szCs w:val="24"/>
              </w:rPr>
            </w:pPr>
            <w:r>
              <w:rPr>
                <w:rFonts w:ascii="Arial" w:hAnsi="Arial" w:cs="Arial"/>
                <w:sz w:val="24"/>
                <w:szCs w:val="24"/>
              </w:rPr>
              <w:t xml:space="preserve">Mean </w:t>
            </w:r>
          </w:p>
        </w:tc>
        <w:tc>
          <w:tcPr>
            <w:tcW w:w="1170" w:type="dxa"/>
            <w:vAlign w:val="center"/>
          </w:tcPr>
          <w:p>
            <w:pPr>
              <w:jc w:val="center"/>
              <w:rPr>
                <w:rFonts w:ascii="Arial" w:hAnsi="Arial" w:cs="Arial"/>
                <w:sz w:val="24"/>
                <w:szCs w:val="24"/>
              </w:rPr>
            </w:pPr>
            <w:r>
              <w:rPr>
                <w:rFonts w:ascii="Arial" w:hAnsi="Arial" w:cs="Arial"/>
                <w:color w:val="000000"/>
                <w:sz w:val="24"/>
                <w:szCs w:val="24"/>
              </w:rPr>
              <w:t>3.63</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rPr>
                <w:rFonts w:ascii="Arial" w:hAnsi="Arial" w:cs="Arial"/>
                <w:sz w:val="24"/>
                <w:szCs w:val="24"/>
              </w:rPr>
            </w:pPr>
            <w:r>
              <w:rPr>
                <w:rFonts w:ascii="Arial" w:hAnsi="Arial" w:cs="Arial"/>
                <w:b/>
                <w:bCs/>
                <w:i/>
                <w:iCs/>
                <w:sz w:val="24"/>
                <w:szCs w:val="24"/>
                <w:lang w:eastAsia="en-PH"/>
              </w:rPr>
              <w:t>Interactive Engagement</w:t>
            </w:r>
          </w:p>
        </w:tc>
        <w:tc>
          <w:tcPr>
            <w:tcW w:w="1170" w:type="dxa"/>
            <w:vAlign w:val="center"/>
          </w:tcPr>
          <w:p>
            <w:pPr>
              <w:jc w:val="center"/>
              <w:rPr>
                <w:rFonts w:ascii="Arial" w:hAnsi="Arial" w:cs="Arial"/>
                <w:sz w:val="24"/>
                <w:szCs w:val="24"/>
              </w:rPr>
            </w:pPr>
          </w:p>
        </w:tc>
        <w:tc>
          <w:tcPr>
            <w:tcW w:w="1705" w:type="dxa"/>
            <w:vAlign w:val="center"/>
          </w:tcPr>
          <w:p>
            <w:pPr>
              <w:jc w:val="center"/>
              <w:rPr>
                <w:rFonts w:ascii="Arial" w:hAnsi="Arial" w:cs="Arial"/>
                <w:sz w:val="24"/>
                <w:szCs w:val="24"/>
              </w:rPr>
            </w:pPr>
          </w:p>
        </w:tc>
      </w:tr>
      <w:tr>
        <w:tc>
          <w:tcPr>
            <w:tcW w:w="6475" w:type="dxa"/>
          </w:tcPr>
          <w:p>
            <w:pPr>
              <w:rPr>
                <w:rFonts w:ascii="Arial" w:hAnsi="Arial" w:cs="Arial"/>
                <w:sz w:val="24"/>
                <w:szCs w:val="24"/>
              </w:rPr>
            </w:pPr>
            <w:r>
              <w:rPr>
                <w:rFonts w:ascii="Arial" w:hAnsi="Arial" w:cs="Arial"/>
                <w:sz w:val="24"/>
                <w:szCs w:val="24"/>
              </w:rPr>
              <w:t>Learners participate in technology-supported English activities.</w:t>
            </w:r>
          </w:p>
        </w:tc>
        <w:tc>
          <w:tcPr>
            <w:tcW w:w="1170" w:type="dxa"/>
            <w:vAlign w:val="center"/>
          </w:tcPr>
          <w:p>
            <w:pPr>
              <w:jc w:val="center"/>
              <w:rPr>
                <w:rFonts w:ascii="Arial" w:hAnsi="Arial" w:cs="Arial"/>
                <w:sz w:val="24"/>
                <w:szCs w:val="24"/>
              </w:rPr>
            </w:pPr>
            <w:r>
              <w:rPr>
                <w:rFonts w:ascii="Arial" w:hAnsi="Arial" w:cs="Arial"/>
                <w:sz w:val="24"/>
                <w:szCs w:val="24"/>
              </w:rPr>
              <w:t>3.67</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rPr>
                <w:rFonts w:ascii="Arial" w:hAnsi="Arial" w:cs="Arial"/>
                <w:sz w:val="24"/>
                <w:szCs w:val="24"/>
              </w:rPr>
            </w:pPr>
            <w:r>
              <w:rPr>
                <w:rFonts w:ascii="Arial" w:hAnsi="Arial" w:cs="Arial"/>
                <w:sz w:val="24"/>
                <w:szCs w:val="24"/>
              </w:rPr>
              <w:t>Learners answer English questions using digital tools.</w:t>
            </w:r>
          </w:p>
        </w:tc>
        <w:tc>
          <w:tcPr>
            <w:tcW w:w="1170" w:type="dxa"/>
            <w:vAlign w:val="center"/>
          </w:tcPr>
          <w:p>
            <w:pPr>
              <w:jc w:val="center"/>
              <w:rPr>
                <w:rFonts w:ascii="Arial" w:hAnsi="Arial" w:cs="Arial"/>
                <w:sz w:val="24"/>
                <w:szCs w:val="24"/>
              </w:rPr>
            </w:pPr>
            <w:r>
              <w:rPr>
                <w:rFonts w:ascii="Arial" w:hAnsi="Arial" w:cs="Arial"/>
                <w:sz w:val="24"/>
                <w:szCs w:val="24"/>
              </w:rPr>
              <w:t>3.53</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rPr>
                <w:rFonts w:ascii="Arial" w:hAnsi="Arial" w:cs="Arial"/>
                <w:sz w:val="24"/>
                <w:szCs w:val="24"/>
              </w:rPr>
            </w:pPr>
            <w:r>
              <w:rPr>
                <w:rFonts w:ascii="Arial" w:hAnsi="Arial" w:cs="Arial"/>
                <w:sz w:val="24"/>
                <w:szCs w:val="24"/>
              </w:rPr>
              <w:t>Learners respond to teacher prompts through technology.</w:t>
            </w:r>
          </w:p>
        </w:tc>
        <w:tc>
          <w:tcPr>
            <w:tcW w:w="1170" w:type="dxa"/>
            <w:vAlign w:val="center"/>
          </w:tcPr>
          <w:p>
            <w:pPr>
              <w:jc w:val="center"/>
              <w:rPr>
                <w:rFonts w:ascii="Arial" w:hAnsi="Arial" w:cs="Arial"/>
                <w:sz w:val="24"/>
                <w:szCs w:val="24"/>
              </w:rPr>
            </w:pPr>
            <w:r>
              <w:rPr>
                <w:rFonts w:ascii="Arial" w:hAnsi="Arial" w:cs="Arial"/>
                <w:sz w:val="24"/>
                <w:szCs w:val="24"/>
              </w:rPr>
              <w:t>3.5</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rPr>
                <w:rFonts w:ascii="Arial" w:hAnsi="Arial" w:cs="Arial"/>
                <w:sz w:val="24"/>
                <w:szCs w:val="24"/>
              </w:rPr>
            </w:pPr>
            <w:r>
              <w:rPr>
                <w:rFonts w:ascii="Arial" w:hAnsi="Arial" w:cs="Arial"/>
                <w:sz w:val="24"/>
                <w:szCs w:val="24"/>
              </w:rPr>
              <w:t>Learners interact with digital content to check understanding.</w:t>
            </w:r>
          </w:p>
        </w:tc>
        <w:tc>
          <w:tcPr>
            <w:tcW w:w="1170" w:type="dxa"/>
            <w:vAlign w:val="center"/>
          </w:tcPr>
          <w:p>
            <w:pPr>
              <w:jc w:val="center"/>
              <w:rPr>
                <w:rFonts w:ascii="Arial" w:hAnsi="Arial" w:cs="Arial"/>
                <w:sz w:val="24"/>
                <w:szCs w:val="24"/>
              </w:rPr>
            </w:pPr>
            <w:r>
              <w:rPr>
                <w:rFonts w:ascii="Arial" w:hAnsi="Arial" w:cs="Arial"/>
                <w:sz w:val="24"/>
                <w:szCs w:val="24"/>
              </w:rPr>
              <w:t>3.5</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jc w:val="center"/>
              <w:rPr>
                <w:rFonts w:ascii="Arial" w:hAnsi="Arial" w:cs="Arial"/>
                <w:sz w:val="24"/>
                <w:szCs w:val="24"/>
              </w:rPr>
            </w:pPr>
            <w:r>
              <w:rPr>
                <w:rFonts w:ascii="Arial" w:hAnsi="Arial" w:cs="Arial"/>
                <w:sz w:val="24"/>
                <w:szCs w:val="24"/>
              </w:rPr>
              <w:t>Mean</w:t>
            </w:r>
          </w:p>
        </w:tc>
        <w:tc>
          <w:tcPr>
            <w:tcW w:w="1170" w:type="dxa"/>
            <w:vAlign w:val="center"/>
          </w:tcPr>
          <w:p>
            <w:pPr>
              <w:jc w:val="center"/>
              <w:rPr>
                <w:rFonts w:ascii="Arial" w:hAnsi="Arial" w:cs="Arial"/>
                <w:sz w:val="24"/>
                <w:szCs w:val="24"/>
              </w:rPr>
            </w:pPr>
            <w:r>
              <w:rPr>
                <w:rFonts w:ascii="Arial" w:hAnsi="Arial" w:cs="Arial"/>
                <w:color w:val="000000"/>
                <w:sz w:val="24"/>
                <w:szCs w:val="24"/>
              </w:rPr>
              <w:t>3.55</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rPr>
                <w:rFonts w:ascii="Arial" w:hAnsi="Arial" w:cs="Arial"/>
                <w:sz w:val="24"/>
                <w:szCs w:val="24"/>
              </w:rPr>
            </w:pPr>
            <w:r>
              <w:rPr>
                <w:rFonts w:ascii="Arial" w:hAnsi="Arial" w:cs="Arial"/>
                <w:b/>
                <w:bCs/>
                <w:i/>
                <w:iCs/>
                <w:sz w:val="24"/>
                <w:szCs w:val="24"/>
                <w:lang w:eastAsia="en-PH"/>
              </w:rPr>
              <w:t>Collaborative Engagement</w:t>
            </w:r>
          </w:p>
        </w:tc>
        <w:tc>
          <w:tcPr>
            <w:tcW w:w="1170" w:type="dxa"/>
            <w:vAlign w:val="center"/>
          </w:tcPr>
          <w:p>
            <w:pPr>
              <w:jc w:val="center"/>
              <w:rPr>
                <w:rFonts w:ascii="Arial" w:hAnsi="Arial" w:cs="Arial"/>
                <w:sz w:val="24"/>
                <w:szCs w:val="24"/>
              </w:rPr>
            </w:pPr>
          </w:p>
        </w:tc>
        <w:tc>
          <w:tcPr>
            <w:tcW w:w="1705" w:type="dxa"/>
            <w:vAlign w:val="center"/>
          </w:tcPr>
          <w:p>
            <w:pPr>
              <w:jc w:val="center"/>
              <w:rPr>
                <w:rFonts w:ascii="Arial" w:hAnsi="Arial" w:cs="Arial"/>
                <w:sz w:val="24"/>
                <w:szCs w:val="24"/>
              </w:rPr>
            </w:pPr>
          </w:p>
        </w:tc>
      </w:tr>
      <w:tr>
        <w:tc>
          <w:tcPr>
            <w:tcW w:w="6475" w:type="dxa"/>
          </w:tcPr>
          <w:p>
            <w:pPr>
              <w:rPr>
                <w:rFonts w:ascii="Arial" w:hAnsi="Arial" w:cs="Arial"/>
                <w:sz w:val="24"/>
                <w:szCs w:val="24"/>
              </w:rPr>
            </w:pPr>
            <w:r>
              <w:rPr>
                <w:rFonts w:ascii="Arial" w:hAnsi="Arial" w:cs="Arial"/>
                <w:sz w:val="24"/>
                <w:szCs w:val="24"/>
              </w:rPr>
              <w:t xml:space="preserve">Learners provide peer feedback on English tasks through </w:t>
            </w:r>
            <w:r>
              <w:rPr>
                <w:rFonts w:ascii="Arial" w:hAnsi="Arial" w:cs="Arial"/>
                <w:sz w:val="24"/>
                <w:szCs w:val="24"/>
              </w:rPr>
              <w:br/>
              <w:t>technology.</w:t>
            </w:r>
          </w:p>
        </w:tc>
        <w:tc>
          <w:tcPr>
            <w:tcW w:w="1170" w:type="dxa"/>
            <w:vAlign w:val="center"/>
          </w:tcPr>
          <w:p>
            <w:pPr>
              <w:jc w:val="center"/>
              <w:rPr>
                <w:rFonts w:ascii="Arial" w:hAnsi="Arial" w:cs="Arial"/>
                <w:sz w:val="24"/>
                <w:szCs w:val="24"/>
              </w:rPr>
            </w:pPr>
            <w:r>
              <w:rPr>
                <w:rFonts w:ascii="Arial" w:hAnsi="Arial" w:cs="Arial"/>
                <w:sz w:val="24"/>
                <w:szCs w:val="24"/>
              </w:rPr>
              <w:t>3.47</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rPr>
                <w:rFonts w:ascii="Arial" w:hAnsi="Arial" w:cs="Arial"/>
                <w:sz w:val="24"/>
                <w:szCs w:val="24"/>
              </w:rPr>
            </w:pPr>
            <w:r>
              <w:rPr>
                <w:rFonts w:ascii="Arial" w:hAnsi="Arial" w:cs="Arial"/>
                <w:sz w:val="24"/>
                <w:szCs w:val="24"/>
              </w:rPr>
              <w:t>Learners work with peers on English tasks using technology.</w:t>
            </w:r>
          </w:p>
        </w:tc>
        <w:tc>
          <w:tcPr>
            <w:tcW w:w="1170" w:type="dxa"/>
            <w:vAlign w:val="center"/>
          </w:tcPr>
          <w:p>
            <w:pPr>
              <w:jc w:val="center"/>
              <w:rPr>
                <w:rFonts w:ascii="Arial" w:hAnsi="Arial" w:cs="Arial"/>
                <w:sz w:val="24"/>
                <w:szCs w:val="24"/>
              </w:rPr>
            </w:pPr>
            <w:r>
              <w:rPr>
                <w:rFonts w:ascii="Arial" w:hAnsi="Arial" w:cs="Arial"/>
                <w:sz w:val="24"/>
                <w:szCs w:val="24"/>
              </w:rPr>
              <w:t>3.43</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rPr>
                <w:rFonts w:ascii="Arial" w:hAnsi="Arial" w:cs="Arial"/>
                <w:sz w:val="24"/>
                <w:szCs w:val="24"/>
              </w:rPr>
            </w:pPr>
            <w:r>
              <w:rPr>
                <w:rFonts w:ascii="Arial" w:hAnsi="Arial" w:cs="Arial"/>
                <w:sz w:val="24"/>
                <w:szCs w:val="24"/>
              </w:rPr>
              <w:t>Learners cooperate during technology-supported English group work.</w:t>
            </w:r>
          </w:p>
        </w:tc>
        <w:tc>
          <w:tcPr>
            <w:tcW w:w="1170" w:type="dxa"/>
            <w:vAlign w:val="center"/>
          </w:tcPr>
          <w:p>
            <w:pPr>
              <w:jc w:val="center"/>
              <w:rPr>
                <w:rFonts w:ascii="Arial" w:hAnsi="Arial" w:cs="Arial"/>
                <w:sz w:val="24"/>
                <w:szCs w:val="24"/>
              </w:rPr>
            </w:pPr>
            <w:r>
              <w:rPr>
                <w:rFonts w:ascii="Arial" w:hAnsi="Arial" w:cs="Arial"/>
                <w:sz w:val="24"/>
                <w:szCs w:val="24"/>
              </w:rPr>
              <w:t>3.40</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rPr>
                <w:rFonts w:ascii="Arial" w:hAnsi="Arial" w:cs="Arial"/>
                <w:sz w:val="24"/>
                <w:szCs w:val="24"/>
              </w:rPr>
            </w:pPr>
            <w:r>
              <w:rPr>
                <w:rFonts w:ascii="Arial" w:hAnsi="Arial" w:cs="Arial"/>
                <w:sz w:val="24"/>
                <w:szCs w:val="24"/>
              </w:rPr>
              <w:t>Learners exchange ideas in English using digital platforms.</w:t>
            </w:r>
          </w:p>
        </w:tc>
        <w:tc>
          <w:tcPr>
            <w:tcW w:w="1170" w:type="dxa"/>
            <w:vAlign w:val="center"/>
          </w:tcPr>
          <w:p>
            <w:pPr>
              <w:jc w:val="center"/>
              <w:rPr>
                <w:rFonts w:ascii="Arial" w:hAnsi="Arial" w:cs="Arial"/>
                <w:sz w:val="24"/>
                <w:szCs w:val="24"/>
              </w:rPr>
            </w:pPr>
            <w:r>
              <w:rPr>
                <w:rFonts w:ascii="Arial" w:hAnsi="Arial" w:cs="Arial"/>
                <w:sz w:val="24"/>
                <w:szCs w:val="24"/>
              </w:rPr>
              <w:t>3.37</w:t>
            </w:r>
          </w:p>
        </w:tc>
        <w:tc>
          <w:tcPr>
            <w:tcW w:w="1705" w:type="dxa"/>
            <w:vAlign w:val="center"/>
          </w:tcPr>
          <w:p>
            <w:pPr>
              <w:jc w:val="center"/>
              <w:rPr>
                <w:rFonts w:ascii="Arial" w:hAnsi="Arial" w:cs="Arial"/>
                <w:sz w:val="24"/>
                <w:szCs w:val="24"/>
              </w:rPr>
            </w:pPr>
            <w:r>
              <w:rPr>
                <w:rFonts w:ascii="Arial" w:hAnsi="Arial" w:cs="Arial"/>
                <w:sz w:val="24"/>
                <w:szCs w:val="24"/>
              </w:rPr>
              <w:t>Moderately Engaged</w:t>
            </w:r>
          </w:p>
        </w:tc>
      </w:tr>
      <w:tr>
        <w:tc>
          <w:tcPr>
            <w:tcW w:w="6475" w:type="dxa"/>
          </w:tcPr>
          <w:p>
            <w:pPr>
              <w:rPr>
                <w:rFonts w:ascii="Arial" w:hAnsi="Arial" w:cs="Arial"/>
                <w:sz w:val="24"/>
                <w:szCs w:val="24"/>
              </w:rPr>
            </w:pPr>
            <w:r>
              <w:rPr>
                <w:rFonts w:ascii="Arial" w:hAnsi="Arial" w:cs="Arial"/>
                <w:sz w:val="24"/>
                <w:szCs w:val="24"/>
              </w:rPr>
              <w:t>Learners collaborate on shared digital English activities.</w:t>
            </w:r>
          </w:p>
        </w:tc>
        <w:tc>
          <w:tcPr>
            <w:tcW w:w="1170" w:type="dxa"/>
            <w:vAlign w:val="center"/>
          </w:tcPr>
          <w:p>
            <w:pPr>
              <w:jc w:val="center"/>
              <w:rPr>
                <w:rFonts w:ascii="Arial" w:hAnsi="Arial" w:cs="Arial"/>
                <w:sz w:val="24"/>
                <w:szCs w:val="24"/>
              </w:rPr>
            </w:pPr>
            <w:r>
              <w:rPr>
                <w:rFonts w:ascii="Arial" w:hAnsi="Arial" w:cs="Arial"/>
                <w:sz w:val="24"/>
                <w:szCs w:val="24"/>
              </w:rPr>
              <w:t>3.30</w:t>
            </w:r>
          </w:p>
        </w:tc>
        <w:tc>
          <w:tcPr>
            <w:tcW w:w="1705" w:type="dxa"/>
            <w:vAlign w:val="center"/>
          </w:tcPr>
          <w:p>
            <w:pPr>
              <w:jc w:val="center"/>
              <w:rPr>
                <w:rFonts w:ascii="Arial" w:hAnsi="Arial" w:cs="Arial"/>
                <w:sz w:val="24"/>
                <w:szCs w:val="24"/>
              </w:rPr>
            </w:pPr>
            <w:r>
              <w:rPr>
                <w:rFonts w:ascii="Arial" w:hAnsi="Arial" w:cs="Arial"/>
                <w:sz w:val="24"/>
                <w:szCs w:val="24"/>
              </w:rPr>
              <w:t>Moderately Engaged</w:t>
            </w:r>
          </w:p>
        </w:tc>
      </w:tr>
      <w:tr>
        <w:tc>
          <w:tcPr>
            <w:tcW w:w="6475" w:type="dxa"/>
          </w:tcPr>
          <w:p>
            <w:pPr>
              <w:jc w:val="center"/>
              <w:rPr>
                <w:rFonts w:ascii="Arial" w:hAnsi="Arial" w:cs="Arial"/>
                <w:sz w:val="24"/>
                <w:szCs w:val="24"/>
              </w:rPr>
            </w:pPr>
            <w:r>
              <w:rPr>
                <w:rFonts w:ascii="Arial" w:hAnsi="Arial" w:cs="Arial"/>
                <w:sz w:val="24"/>
                <w:szCs w:val="24"/>
              </w:rPr>
              <w:t>Mean</w:t>
            </w:r>
          </w:p>
        </w:tc>
        <w:tc>
          <w:tcPr>
            <w:tcW w:w="1170" w:type="dxa"/>
            <w:vAlign w:val="center"/>
          </w:tcPr>
          <w:p>
            <w:pPr>
              <w:jc w:val="center"/>
              <w:rPr>
                <w:rFonts w:ascii="Arial" w:hAnsi="Arial" w:cs="Arial"/>
                <w:sz w:val="24"/>
                <w:szCs w:val="24"/>
              </w:rPr>
            </w:pPr>
            <w:r>
              <w:rPr>
                <w:rFonts w:ascii="Arial" w:hAnsi="Arial" w:cs="Arial"/>
                <w:color w:val="000000"/>
                <w:sz w:val="24"/>
                <w:szCs w:val="24"/>
              </w:rPr>
              <w:t>3.39</w:t>
            </w:r>
          </w:p>
        </w:tc>
        <w:tc>
          <w:tcPr>
            <w:tcW w:w="1705" w:type="dxa"/>
            <w:vAlign w:val="center"/>
          </w:tcPr>
          <w:p>
            <w:pPr>
              <w:jc w:val="center"/>
              <w:rPr>
                <w:rFonts w:ascii="Arial" w:hAnsi="Arial" w:cs="Arial"/>
                <w:sz w:val="24"/>
                <w:szCs w:val="24"/>
              </w:rPr>
            </w:pPr>
            <w:r>
              <w:rPr>
                <w:rFonts w:ascii="Arial" w:hAnsi="Arial" w:cs="Arial"/>
                <w:sz w:val="24"/>
                <w:szCs w:val="24"/>
              </w:rPr>
              <w:t>Moderately Engaged</w:t>
            </w:r>
          </w:p>
        </w:tc>
      </w:tr>
      <w:tr>
        <w:tc>
          <w:tcPr>
            <w:tcW w:w="6475" w:type="dxa"/>
          </w:tcPr>
          <w:p>
            <w:pPr>
              <w:rPr>
                <w:rFonts w:ascii="Arial" w:hAnsi="Arial" w:cs="Arial"/>
                <w:sz w:val="24"/>
                <w:szCs w:val="24"/>
              </w:rPr>
            </w:pPr>
            <w:r>
              <w:rPr>
                <w:rFonts w:ascii="Arial" w:hAnsi="Arial" w:cs="Arial"/>
                <w:b/>
                <w:bCs/>
                <w:i/>
                <w:sz w:val="24"/>
                <w:szCs w:val="24"/>
                <w:lang w:eastAsia="en-PH"/>
              </w:rPr>
              <w:t>Creative Engagement</w:t>
            </w:r>
          </w:p>
        </w:tc>
        <w:tc>
          <w:tcPr>
            <w:tcW w:w="1170" w:type="dxa"/>
            <w:vAlign w:val="center"/>
          </w:tcPr>
          <w:p>
            <w:pPr>
              <w:jc w:val="center"/>
              <w:rPr>
                <w:rFonts w:ascii="Arial" w:hAnsi="Arial" w:cs="Arial"/>
                <w:sz w:val="24"/>
                <w:szCs w:val="24"/>
              </w:rPr>
            </w:pPr>
          </w:p>
        </w:tc>
        <w:tc>
          <w:tcPr>
            <w:tcW w:w="1705" w:type="dxa"/>
            <w:vAlign w:val="center"/>
          </w:tcPr>
          <w:p>
            <w:pPr>
              <w:jc w:val="center"/>
              <w:rPr>
                <w:rFonts w:ascii="Arial" w:hAnsi="Arial" w:cs="Arial"/>
                <w:sz w:val="24"/>
                <w:szCs w:val="24"/>
              </w:rPr>
            </w:pPr>
          </w:p>
        </w:tc>
      </w:tr>
      <w:tr>
        <w:tc>
          <w:tcPr>
            <w:tcW w:w="6475" w:type="dxa"/>
          </w:tcPr>
          <w:p>
            <w:pPr>
              <w:rPr>
                <w:rFonts w:ascii="Arial" w:hAnsi="Arial" w:cs="Arial"/>
                <w:b/>
                <w:bCs/>
                <w:i/>
                <w:sz w:val="24"/>
                <w:szCs w:val="24"/>
                <w:lang w:eastAsia="en-PH"/>
              </w:rPr>
            </w:pPr>
            <w:r>
              <w:rPr>
                <w:rFonts w:ascii="Arial" w:hAnsi="Arial" w:cs="Arial"/>
                <w:sz w:val="24"/>
                <w:szCs w:val="24"/>
              </w:rPr>
              <w:t>Learners express ideas creatively through technology.</w:t>
            </w:r>
          </w:p>
        </w:tc>
        <w:tc>
          <w:tcPr>
            <w:tcW w:w="1170" w:type="dxa"/>
            <w:vAlign w:val="center"/>
          </w:tcPr>
          <w:p>
            <w:pPr>
              <w:jc w:val="center"/>
              <w:rPr>
                <w:rFonts w:ascii="Arial" w:hAnsi="Arial" w:cs="Arial"/>
                <w:sz w:val="24"/>
                <w:szCs w:val="24"/>
              </w:rPr>
            </w:pPr>
            <w:r>
              <w:rPr>
                <w:rFonts w:ascii="Arial" w:hAnsi="Arial" w:cs="Arial"/>
                <w:sz w:val="24"/>
                <w:szCs w:val="24"/>
              </w:rPr>
              <w:t>3.60</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rPr>
                <w:rFonts w:ascii="Arial" w:hAnsi="Arial" w:cs="Arial"/>
                <w:sz w:val="24"/>
                <w:szCs w:val="24"/>
              </w:rPr>
            </w:pPr>
            <w:r>
              <w:rPr>
                <w:rFonts w:ascii="Arial" w:hAnsi="Arial" w:cs="Arial"/>
                <w:sz w:val="24"/>
                <w:szCs w:val="24"/>
              </w:rPr>
              <w:t>Learners create original English outputs using digital tools.</w:t>
            </w:r>
          </w:p>
        </w:tc>
        <w:tc>
          <w:tcPr>
            <w:tcW w:w="1170" w:type="dxa"/>
            <w:vAlign w:val="center"/>
          </w:tcPr>
          <w:p>
            <w:pPr>
              <w:jc w:val="center"/>
              <w:rPr>
                <w:rFonts w:ascii="Arial" w:hAnsi="Arial" w:cs="Arial"/>
                <w:sz w:val="24"/>
                <w:szCs w:val="24"/>
              </w:rPr>
            </w:pPr>
            <w:r>
              <w:rPr>
                <w:rFonts w:ascii="Arial" w:hAnsi="Arial" w:cs="Arial"/>
                <w:sz w:val="24"/>
                <w:szCs w:val="24"/>
              </w:rPr>
              <w:t>3.53</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rPr>
                <w:rFonts w:ascii="Arial" w:hAnsi="Arial" w:cs="Arial"/>
                <w:sz w:val="24"/>
                <w:szCs w:val="24"/>
              </w:rPr>
            </w:pPr>
            <w:r>
              <w:rPr>
                <w:rFonts w:ascii="Arial" w:hAnsi="Arial" w:cs="Arial"/>
                <w:sz w:val="24"/>
                <w:szCs w:val="24"/>
              </w:rPr>
              <w:lastRenderedPageBreak/>
              <w:t>Learners produce digital stories or presentations in English.</w:t>
            </w:r>
          </w:p>
        </w:tc>
        <w:tc>
          <w:tcPr>
            <w:tcW w:w="1170" w:type="dxa"/>
            <w:vAlign w:val="center"/>
          </w:tcPr>
          <w:p>
            <w:pPr>
              <w:jc w:val="center"/>
              <w:rPr>
                <w:rFonts w:ascii="Arial" w:hAnsi="Arial" w:cs="Arial"/>
                <w:sz w:val="24"/>
                <w:szCs w:val="24"/>
              </w:rPr>
            </w:pPr>
            <w:r>
              <w:rPr>
                <w:rFonts w:ascii="Arial" w:hAnsi="Arial" w:cs="Arial"/>
                <w:sz w:val="24"/>
                <w:szCs w:val="24"/>
              </w:rPr>
              <w:t>3.53</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rPr>
                <w:rFonts w:ascii="Arial" w:hAnsi="Arial" w:cs="Arial"/>
                <w:sz w:val="24"/>
                <w:szCs w:val="24"/>
              </w:rPr>
            </w:pPr>
            <w:r>
              <w:rPr>
                <w:rFonts w:ascii="Arial" w:hAnsi="Arial" w:cs="Arial"/>
                <w:sz w:val="24"/>
                <w:szCs w:val="24"/>
              </w:rPr>
              <w:t>Learners design digital products to demonstrate English learning.</w:t>
            </w:r>
          </w:p>
        </w:tc>
        <w:tc>
          <w:tcPr>
            <w:tcW w:w="1170" w:type="dxa"/>
            <w:vAlign w:val="center"/>
          </w:tcPr>
          <w:p>
            <w:pPr>
              <w:jc w:val="center"/>
              <w:rPr>
                <w:rFonts w:ascii="Arial" w:hAnsi="Arial" w:cs="Arial"/>
                <w:sz w:val="24"/>
                <w:szCs w:val="24"/>
              </w:rPr>
            </w:pPr>
            <w:r>
              <w:rPr>
                <w:rFonts w:ascii="Arial" w:hAnsi="Arial" w:cs="Arial"/>
                <w:sz w:val="24"/>
                <w:szCs w:val="24"/>
              </w:rPr>
              <w:t>3.47</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rPr>
                <w:rFonts w:ascii="Arial" w:hAnsi="Arial" w:cs="Arial"/>
                <w:sz w:val="24"/>
                <w:szCs w:val="24"/>
              </w:rPr>
            </w:pPr>
            <w:r>
              <w:rPr>
                <w:rFonts w:ascii="Arial" w:hAnsi="Arial" w:cs="Arial"/>
                <w:sz w:val="24"/>
                <w:szCs w:val="24"/>
              </w:rPr>
              <w:t>Learners perform English tasks that are not possible without technology.</w:t>
            </w:r>
          </w:p>
        </w:tc>
        <w:tc>
          <w:tcPr>
            <w:tcW w:w="1170" w:type="dxa"/>
            <w:vAlign w:val="center"/>
          </w:tcPr>
          <w:p>
            <w:pPr>
              <w:jc w:val="center"/>
              <w:rPr>
                <w:rFonts w:ascii="Arial" w:hAnsi="Arial" w:cs="Arial"/>
                <w:sz w:val="24"/>
                <w:szCs w:val="24"/>
              </w:rPr>
            </w:pPr>
            <w:r>
              <w:rPr>
                <w:rFonts w:ascii="Arial" w:hAnsi="Arial" w:cs="Arial"/>
                <w:sz w:val="24"/>
                <w:szCs w:val="24"/>
              </w:rPr>
              <w:t>3.47</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jc w:val="center"/>
              <w:rPr>
                <w:rFonts w:ascii="Arial" w:hAnsi="Arial" w:cs="Arial"/>
                <w:sz w:val="24"/>
                <w:szCs w:val="24"/>
              </w:rPr>
            </w:pPr>
            <w:r>
              <w:rPr>
                <w:rFonts w:ascii="Arial" w:hAnsi="Arial" w:cs="Arial"/>
                <w:sz w:val="24"/>
                <w:szCs w:val="24"/>
              </w:rPr>
              <w:t xml:space="preserve">Mean </w:t>
            </w:r>
          </w:p>
        </w:tc>
        <w:tc>
          <w:tcPr>
            <w:tcW w:w="1170" w:type="dxa"/>
            <w:vAlign w:val="center"/>
          </w:tcPr>
          <w:p>
            <w:pPr>
              <w:jc w:val="center"/>
              <w:rPr>
                <w:rFonts w:ascii="Arial" w:hAnsi="Arial" w:cs="Arial"/>
                <w:sz w:val="24"/>
                <w:szCs w:val="24"/>
              </w:rPr>
            </w:pPr>
            <w:r>
              <w:rPr>
                <w:rFonts w:ascii="Arial" w:hAnsi="Arial" w:cs="Arial"/>
                <w:color w:val="000000"/>
                <w:sz w:val="24"/>
                <w:szCs w:val="24"/>
              </w:rPr>
              <w:t>3.52</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rPr>
                <w:rFonts w:ascii="Arial" w:hAnsi="Arial" w:cs="Arial"/>
                <w:sz w:val="24"/>
                <w:szCs w:val="24"/>
              </w:rPr>
            </w:pPr>
            <w:r>
              <w:rPr>
                <w:rFonts w:ascii="Arial" w:hAnsi="Arial" w:cs="Arial"/>
                <w:b/>
                <w:i/>
                <w:sz w:val="24"/>
                <w:szCs w:val="24"/>
                <w:lang w:eastAsia="en-PH"/>
              </w:rPr>
              <w:t>Reflective / Metacognitive Engagement</w:t>
            </w:r>
          </w:p>
        </w:tc>
        <w:tc>
          <w:tcPr>
            <w:tcW w:w="1170" w:type="dxa"/>
            <w:vAlign w:val="center"/>
          </w:tcPr>
          <w:p>
            <w:pPr>
              <w:jc w:val="center"/>
              <w:rPr>
                <w:rFonts w:ascii="Arial" w:hAnsi="Arial" w:cs="Arial"/>
                <w:sz w:val="24"/>
                <w:szCs w:val="24"/>
              </w:rPr>
            </w:pPr>
          </w:p>
        </w:tc>
        <w:tc>
          <w:tcPr>
            <w:tcW w:w="1705" w:type="dxa"/>
            <w:vAlign w:val="center"/>
          </w:tcPr>
          <w:p>
            <w:pPr>
              <w:jc w:val="center"/>
              <w:rPr>
                <w:rFonts w:ascii="Arial" w:hAnsi="Arial" w:cs="Arial"/>
                <w:sz w:val="24"/>
                <w:szCs w:val="24"/>
              </w:rPr>
            </w:pPr>
          </w:p>
        </w:tc>
      </w:tr>
      <w:tr>
        <w:tc>
          <w:tcPr>
            <w:tcW w:w="6475" w:type="dxa"/>
          </w:tcPr>
          <w:p>
            <w:pPr>
              <w:rPr>
                <w:rFonts w:ascii="Arial" w:hAnsi="Arial" w:cs="Arial"/>
                <w:b/>
                <w:i/>
                <w:sz w:val="24"/>
                <w:szCs w:val="24"/>
                <w:lang w:eastAsia="en-PH"/>
              </w:rPr>
            </w:pPr>
            <w:r>
              <w:rPr>
                <w:rFonts w:ascii="Arial" w:hAnsi="Arial" w:cs="Arial"/>
                <w:sz w:val="24"/>
                <w:szCs w:val="24"/>
              </w:rPr>
              <w:t>Learners review their English outputs using digital tools.</w:t>
            </w:r>
          </w:p>
        </w:tc>
        <w:tc>
          <w:tcPr>
            <w:tcW w:w="1170" w:type="dxa"/>
            <w:vAlign w:val="center"/>
          </w:tcPr>
          <w:p>
            <w:pPr>
              <w:jc w:val="center"/>
              <w:rPr>
                <w:rFonts w:ascii="Arial" w:hAnsi="Arial" w:cs="Arial"/>
                <w:sz w:val="24"/>
                <w:szCs w:val="24"/>
              </w:rPr>
            </w:pPr>
            <w:r>
              <w:rPr>
                <w:rFonts w:ascii="Arial" w:hAnsi="Arial" w:cs="Arial"/>
                <w:sz w:val="24"/>
                <w:szCs w:val="24"/>
              </w:rPr>
              <w:t>3.60</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rPr>
                <w:rFonts w:ascii="Arial" w:hAnsi="Arial" w:cs="Arial"/>
                <w:sz w:val="24"/>
                <w:szCs w:val="24"/>
              </w:rPr>
            </w:pPr>
            <w:r>
              <w:rPr>
                <w:rFonts w:ascii="Arial" w:hAnsi="Arial" w:cs="Arial"/>
                <w:sz w:val="24"/>
                <w:szCs w:val="24"/>
              </w:rPr>
              <w:t>Learners revise English work based on digital feedback.</w:t>
            </w:r>
          </w:p>
        </w:tc>
        <w:tc>
          <w:tcPr>
            <w:tcW w:w="1170" w:type="dxa"/>
            <w:vAlign w:val="center"/>
          </w:tcPr>
          <w:p>
            <w:pPr>
              <w:jc w:val="center"/>
              <w:rPr>
                <w:rFonts w:ascii="Arial" w:hAnsi="Arial" w:cs="Arial"/>
                <w:sz w:val="24"/>
                <w:szCs w:val="24"/>
              </w:rPr>
            </w:pPr>
            <w:r>
              <w:rPr>
                <w:rFonts w:ascii="Arial" w:hAnsi="Arial" w:cs="Arial"/>
                <w:sz w:val="24"/>
                <w:szCs w:val="24"/>
              </w:rPr>
              <w:t>3.57</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rPr>
                <w:rFonts w:ascii="Arial" w:hAnsi="Arial" w:cs="Arial"/>
                <w:sz w:val="24"/>
                <w:szCs w:val="24"/>
              </w:rPr>
            </w:pPr>
            <w:r>
              <w:rPr>
                <w:rFonts w:ascii="Arial" w:hAnsi="Arial" w:cs="Arial"/>
                <w:sz w:val="24"/>
                <w:szCs w:val="24"/>
              </w:rPr>
              <w:t>Learners assess their performance during tech-based English tasks.</w:t>
            </w:r>
          </w:p>
        </w:tc>
        <w:tc>
          <w:tcPr>
            <w:tcW w:w="1170" w:type="dxa"/>
            <w:vAlign w:val="center"/>
          </w:tcPr>
          <w:p>
            <w:pPr>
              <w:jc w:val="center"/>
              <w:rPr>
                <w:rFonts w:ascii="Arial" w:hAnsi="Arial" w:cs="Arial"/>
                <w:sz w:val="24"/>
                <w:szCs w:val="24"/>
              </w:rPr>
            </w:pPr>
            <w:r>
              <w:rPr>
                <w:rFonts w:ascii="Arial" w:hAnsi="Arial" w:cs="Arial"/>
                <w:sz w:val="24"/>
                <w:szCs w:val="24"/>
              </w:rPr>
              <w:t>3.50</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rPr>
                <w:rFonts w:ascii="Arial" w:hAnsi="Arial" w:cs="Arial"/>
                <w:sz w:val="24"/>
                <w:szCs w:val="24"/>
              </w:rPr>
            </w:pPr>
            <w:r>
              <w:rPr>
                <w:rFonts w:ascii="Arial" w:hAnsi="Arial" w:cs="Arial"/>
                <w:sz w:val="24"/>
                <w:szCs w:val="24"/>
              </w:rPr>
              <w:t>Learners show awareness of their English learning process.</w:t>
            </w:r>
          </w:p>
        </w:tc>
        <w:tc>
          <w:tcPr>
            <w:tcW w:w="1170" w:type="dxa"/>
            <w:vAlign w:val="center"/>
          </w:tcPr>
          <w:p>
            <w:pPr>
              <w:jc w:val="center"/>
              <w:rPr>
                <w:rFonts w:ascii="Arial" w:hAnsi="Arial" w:cs="Arial"/>
                <w:sz w:val="24"/>
                <w:szCs w:val="24"/>
              </w:rPr>
            </w:pPr>
            <w:r>
              <w:rPr>
                <w:rFonts w:ascii="Arial" w:hAnsi="Arial" w:cs="Arial"/>
                <w:sz w:val="24"/>
                <w:szCs w:val="24"/>
              </w:rPr>
              <w:t>3.47</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rPr>
                <w:rFonts w:ascii="Arial" w:hAnsi="Arial" w:cs="Arial"/>
                <w:sz w:val="24"/>
                <w:szCs w:val="24"/>
              </w:rPr>
            </w:pPr>
            <w:r>
              <w:rPr>
                <w:rFonts w:ascii="Arial" w:hAnsi="Arial" w:cs="Arial"/>
                <w:sz w:val="24"/>
                <w:szCs w:val="24"/>
              </w:rPr>
              <w:t xml:space="preserve">Learners monitor their English learning progress using </w:t>
            </w:r>
            <w:r>
              <w:rPr>
                <w:rFonts w:ascii="Arial" w:hAnsi="Arial" w:cs="Arial"/>
                <w:sz w:val="24"/>
                <w:szCs w:val="24"/>
              </w:rPr>
              <w:br/>
              <w:t>technology.</w:t>
            </w:r>
          </w:p>
        </w:tc>
        <w:tc>
          <w:tcPr>
            <w:tcW w:w="1170" w:type="dxa"/>
            <w:vAlign w:val="center"/>
          </w:tcPr>
          <w:p>
            <w:pPr>
              <w:jc w:val="center"/>
              <w:rPr>
                <w:rFonts w:ascii="Arial" w:hAnsi="Arial" w:cs="Arial"/>
                <w:sz w:val="24"/>
                <w:szCs w:val="24"/>
              </w:rPr>
            </w:pPr>
            <w:r>
              <w:rPr>
                <w:rFonts w:ascii="Arial" w:hAnsi="Arial" w:cs="Arial"/>
                <w:sz w:val="24"/>
                <w:szCs w:val="24"/>
              </w:rPr>
              <w:t>3.27</w:t>
            </w:r>
          </w:p>
        </w:tc>
        <w:tc>
          <w:tcPr>
            <w:tcW w:w="1705" w:type="dxa"/>
            <w:vAlign w:val="center"/>
          </w:tcPr>
          <w:p>
            <w:pPr>
              <w:jc w:val="center"/>
              <w:rPr>
                <w:rFonts w:ascii="Arial" w:hAnsi="Arial" w:cs="Arial"/>
                <w:sz w:val="24"/>
                <w:szCs w:val="24"/>
              </w:rPr>
            </w:pPr>
            <w:r>
              <w:rPr>
                <w:rFonts w:ascii="Arial" w:hAnsi="Arial" w:cs="Arial"/>
                <w:sz w:val="24"/>
                <w:szCs w:val="24"/>
              </w:rPr>
              <w:t>Moderately Engaged</w:t>
            </w:r>
          </w:p>
        </w:tc>
      </w:tr>
      <w:tr>
        <w:tc>
          <w:tcPr>
            <w:tcW w:w="6475" w:type="dxa"/>
          </w:tcPr>
          <w:p>
            <w:pPr>
              <w:jc w:val="center"/>
              <w:rPr>
                <w:rFonts w:ascii="Arial" w:hAnsi="Arial" w:cs="Arial"/>
                <w:sz w:val="24"/>
                <w:szCs w:val="24"/>
              </w:rPr>
            </w:pPr>
            <w:r>
              <w:rPr>
                <w:rFonts w:ascii="Arial" w:hAnsi="Arial" w:cs="Arial"/>
                <w:sz w:val="24"/>
                <w:szCs w:val="24"/>
              </w:rPr>
              <w:t>Mean</w:t>
            </w:r>
          </w:p>
        </w:tc>
        <w:tc>
          <w:tcPr>
            <w:tcW w:w="1170" w:type="dxa"/>
            <w:vAlign w:val="center"/>
          </w:tcPr>
          <w:p>
            <w:pPr>
              <w:jc w:val="center"/>
              <w:rPr>
                <w:rFonts w:ascii="Arial" w:hAnsi="Arial" w:cs="Arial"/>
                <w:sz w:val="24"/>
                <w:szCs w:val="24"/>
              </w:rPr>
            </w:pPr>
            <w:r>
              <w:rPr>
                <w:rFonts w:ascii="Arial" w:hAnsi="Arial" w:cs="Arial"/>
                <w:color w:val="000000"/>
                <w:sz w:val="24"/>
                <w:szCs w:val="24"/>
              </w:rPr>
              <w:t>3.48</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jc w:val="center"/>
              <w:rPr>
                <w:rFonts w:ascii="Arial" w:hAnsi="Arial" w:cs="Arial"/>
                <w:sz w:val="24"/>
                <w:szCs w:val="24"/>
              </w:rPr>
            </w:pPr>
            <w:r>
              <w:rPr>
                <w:rFonts w:ascii="Arial" w:hAnsi="Arial" w:cs="Arial"/>
                <w:sz w:val="24"/>
                <w:szCs w:val="24"/>
              </w:rPr>
              <w:t>Over-all Mean</w:t>
            </w:r>
          </w:p>
        </w:tc>
        <w:tc>
          <w:tcPr>
            <w:tcW w:w="1170" w:type="dxa"/>
            <w:vAlign w:val="center"/>
          </w:tcPr>
          <w:p>
            <w:pPr>
              <w:jc w:val="center"/>
              <w:rPr>
                <w:rFonts w:ascii="Arial" w:hAnsi="Arial" w:cs="Arial"/>
                <w:color w:val="000000"/>
                <w:sz w:val="24"/>
                <w:szCs w:val="24"/>
              </w:rPr>
            </w:pPr>
            <w:r>
              <w:rPr>
                <w:rFonts w:ascii="Arial" w:hAnsi="Arial" w:cs="Arial"/>
                <w:color w:val="000000"/>
                <w:sz w:val="24"/>
                <w:szCs w:val="24"/>
              </w:rPr>
              <w:t>3.52</w:t>
            </w:r>
          </w:p>
        </w:tc>
        <w:tc>
          <w:tcPr>
            <w:tcW w:w="1705" w:type="dxa"/>
            <w:vAlign w:val="center"/>
          </w:tcPr>
          <w:p>
            <w:pPr>
              <w:jc w:val="center"/>
              <w:rPr>
                <w:rFonts w:ascii="Arial" w:hAnsi="Arial" w:cs="Arial"/>
                <w:sz w:val="24"/>
                <w:szCs w:val="24"/>
              </w:rPr>
            </w:pPr>
            <w:r>
              <w:rPr>
                <w:rFonts w:ascii="Arial" w:hAnsi="Arial" w:cs="Arial"/>
                <w:sz w:val="24"/>
                <w:szCs w:val="24"/>
              </w:rPr>
              <w:t>Engaged</w:t>
            </w:r>
          </w:p>
        </w:tc>
      </w:tr>
    </w:tbl>
    <w:p>
      <w:pPr>
        <w:jc w:val="center"/>
        <w:rPr>
          <w:rFonts w:ascii="Arial" w:hAnsi="Arial" w:cs="Arial"/>
        </w:rPr>
      </w:pPr>
    </w:p>
    <w:p>
      <w:pPr>
        <w:jc w:val="center"/>
        <w:rPr>
          <w:rFonts w:ascii="Arial" w:hAnsi="Arial" w:cs="Arial"/>
        </w:rPr>
      </w:pPr>
      <w:r>
        <w:rPr>
          <w:rFonts w:ascii="Arial" w:eastAsia="Times New Roman" w:hAnsi="Arial" w:cs="Arial"/>
          <w:lang w:eastAsia="en-PH"/>
        </w:rPr>
        <w:t>SUMMARY ON TECHNOLOGY-SUPPORTED LEARNER ENGAGEMENT IN ENGLISH LESSONS (PICRAT – LEARNER DIMENSION)</w:t>
      </w:r>
    </w:p>
    <w:tbl>
      <w:tblPr>
        <w:tblStyle w:val="TableGrid"/>
        <w:tblW w:w="0" w:type="auto"/>
        <w:tblLook w:val="04A0" w:firstRow="1" w:lastRow="0" w:firstColumn="1" w:lastColumn="0" w:noHBand="0" w:noVBand="1"/>
      </w:tblPr>
      <w:tblGrid>
        <w:gridCol w:w="4983"/>
        <w:gridCol w:w="1279"/>
        <w:gridCol w:w="2368"/>
      </w:tblGrid>
      <w:tr>
        <w:tc>
          <w:tcPr>
            <w:tcW w:w="5485" w:type="dxa"/>
          </w:tcPr>
          <w:p>
            <w:pPr>
              <w:jc w:val="center"/>
              <w:rPr>
                <w:rFonts w:ascii="Arial" w:hAnsi="Arial" w:cs="Arial"/>
                <w:sz w:val="24"/>
                <w:szCs w:val="24"/>
              </w:rPr>
            </w:pPr>
            <w:r>
              <w:rPr>
                <w:rFonts w:ascii="Arial" w:hAnsi="Arial" w:cs="Arial"/>
                <w:sz w:val="24"/>
                <w:szCs w:val="24"/>
              </w:rPr>
              <w:t>Indicator</w:t>
            </w:r>
          </w:p>
        </w:tc>
        <w:tc>
          <w:tcPr>
            <w:tcW w:w="1350" w:type="dxa"/>
          </w:tcPr>
          <w:p>
            <w:pPr>
              <w:jc w:val="center"/>
              <w:rPr>
                <w:rFonts w:ascii="Arial" w:hAnsi="Arial" w:cs="Arial"/>
                <w:sz w:val="24"/>
                <w:szCs w:val="24"/>
              </w:rPr>
            </w:pPr>
            <w:r>
              <w:rPr>
                <w:rFonts w:ascii="Arial" w:hAnsi="Arial" w:cs="Arial"/>
                <w:sz w:val="24"/>
                <w:szCs w:val="24"/>
              </w:rPr>
              <w:t>Mean</w:t>
            </w:r>
          </w:p>
        </w:tc>
        <w:tc>
          <w:tcPr>
            <w:tcW w:w="2515" w:type="dxa"/>
          </w:tcPr>
          <w:p>
            <w:pPr>
              <w:jc w:val="center"/>
              <w:rPr>
                <w:rFonts w:ascii="Arial" w:hAnsi="Arial" w:cs="Arial"/>
                <w:sz w:val="24"/>
                <w:szCs w:val="24"/>
              </w:rPr>
            </w:pPr>
            <w:r>
              <w:rPr>
                <w:rFonts w:ascii="Arial" w:hAnsi="Arial" w:cs="Arial"/>
                <w:sz w:val="24"/>
                <w:szCs w:val="24"/>
              </w:rPr>
              <w:t>Adjectival Rating</w:t>
            </w:r>
          </w:p>
        </w:tc>
      </w:tr>
      <w:tr>
        <w:tc>
          <w:tcPr>
            <w:tcW w:w="5485" w:type="dxa"/>
          </w:tcPr>
          <w:p>
            <w:pPr>
              <w:rPr>
                <w:rFonts w:ascii="Arial" w:hAnsi="Arial" w:cs="Arial"/>
                <w:sz w:val="24"/>
                <w:szCs w:val="24"/>
              </w:rPr>
            </w:pPr>
            <w:r>
              <w:rPr>
                <w:rFonts w:ascii="Arial" w:hAnsi="Arial" w:cs="Arial"/>
                <w:sz w:val="24"/>
                <w:szCs w:val="24"/>
                <w:lang w:eastAsia="en-PH"/>
              </w:rPr>
              <w:t>Passive Engagement</w:t>
            </w:r>
          </w:p>
        </w:tc>
        <w:tc>
          <w:tcPr>
            <w:tcW w:w="1350" w:type="dxa"/>
            <w:vAlign w:val="center"/>
          </w:tcPr>
          <w:p>
            <w:pPr>
              <w:jc w:val="center"/>
              <w:rPr>
                <w:rFonts w:ascii="Arial" w:hAnsi="Arial" w:cs="Arial"/>
                <w:sz w:val="24"/>
                <w:szCs w:val="24"/>
              </w:rPr>
            </w:pPr>
            <w:r>
              <w:rPr>
                <w:rFonts w:ascii="Arial" w:hAnsi="Arial" w:cs="Arial"/>
                <w:color w:val="000000"/>
                <w:sz w:val="24"/>
                <w:szCs w:val="24"/>
              </w:rPr>
              <w:t>3.63</w:t>
            </w:r>
          </w:p>
        </w:tc>
        <w:tc>
          <w:tcPr>
            <w:tcW w:w="2515" w:type="dxa"/>
            <w:vAlign w:val="center"/>
          </w:tcPr>
          <w:p>
            <w:pPr>
              <w:jc w:val="center"/>
              <w:rPr>
                <w:rFonts w:ascii="Arial" w:hAnsi="Arial" w:cs="Arial"/>
                <w:sz w:val="24"/>
                <w:szCs w:val="24"/>
              </w:rPr>
            </w:pPr>
            <w:r>
              <w:rPr>
                <w:rFonts w:ascii="Arial" w:hAnsi="Arial" w:cs="Arial"/>
                <w:sz w:val="24"/>
                <w:szCs w:val="24"/>
              </w:rPr>
              <w:t>Engaged</w:t>
            </w:r>
          </w:p>
        </w:tc>
      </w:tr>
      <w:tr>
        <w:tc>
          <w:tcPr>
            <w:tcW w:w="5485" w:type="dxa"/>
          </w:tcPr>
          <w:p>
            <w:pPr>
              <w:rPr>
                <w:rFonts w:ascii="Arial" w:hAnsi="Arial" w:cs="Arial"/>
                <w:sz w:val="24"/>
                <w:szCs w:val="24"/>
              </w:rPr>
            </w:pPr>
            <w:r>
              <w:rPr>
                <w:rFonts w:ascii="Arial" w:hAnsi="Arial" w:cs="Arial"/>
                <w:sz w:val="24"/>
                <w:szCs w:val="24"/>
                <w:lang w:eastAsia="en-PH"/>
              </w:rPr>
              <w:t>Interactive Engagement</w:t>
            </w:r>
          </w:p>
        </w:tc>
        <w:tc>
          <w:tcPr>
            <w:tcW w:w="1350" w:type="dxa"/>
            <w:vAlign w:val="center"/>
          </w:tcPr>
          <w:p>
            <w:pPr>
              <w:jc w:val="center"/>
              <w:rPr>
                <w:rFonts w:ascii="Arial" w:hAnsi="Arial" w:cs="Arial"/>
                <w:sz w:val="24"/>
                <w:szCs w:val="24"/>
              </w:rPr>
            </w:pPr>
            <w:r>
              <w:rPr>
                <w:rFonts w:ascii="Arial" w:hAnsi="Arial" w:cs="Arial"/>
                <w:color w:val="000000"/>
                <w:sz w:val="24"/>
                <w:szCs w:val="24"/>
              </w:rPr>
              <w:t>3.55</w:t>
            </w:r>
          </w:p>
        </w:tc>
        <w:tc>
          <w:tcPr>
            <w:tcW w:w="2515" w:type="dxa"/>
            <w:vAlign w:val="center"/>
          </w:tcPr>
          <w:p>
            <w:pPr>
              <w:jc w:val="center"/>
              <w:rPr>
                <w:rFonts w:ascii="Arial" w:hAnsi="Arial" w:cs="Arial"/>
                <w:sz w:val="24"/>
                <w:szCs w:val="24"/>
              </w:rPr>
            </w:pPr>
            <w:r>
              <w:rPr>
                <w:rFonts w:ascii="Arial" w:hAnsi="Arial" w:cs="Arial"/>
                <w:sz w:val="24"/>
                <w:szCs w:val="24"/>
              </w:rPr>
              <w:t>Engaged</w:t>
            </w:r>
          </w:p>
        </w:tc>
      </w:tr>
      <w:tr>
        <w:tc>
          <w:tcPr>
            <w:tcW w:w="5485" w:type="dxa"/>
          </w:tcPr>
          <w:p>
            <w:pPr>
              <w:rPr>
                <w:rFonts w:ascii="Arial" w:hAnsi="Arial" w:cs="Arial"/>
                <w:sz w:val="24"/>
                <w:szCs w:val="24"/>
              </w:rPr>
            </w:pPr>
            <w:r>
              <w:rPr>
                <w:rFonts w:ascii="Arial" w:hAnsi="Arial" w:cs="Arial"/>
                <w:sz w:val="24"/>
                <w:szCs w:val="24"/>
                <w:lang w:eastAsia="en-PH"/>
              </w:rPr>
              <w:t>Collaborative Engagement</w:t>
            </w:r>
          </w:p>
        </w:tc>
        <w:tc>
          <w:tcPr>
            <w:tcW w:w="1350" w:type="dxa"/>
            <w:vAlign w:val="center"/>
          </w:tcPr>
          <w:p>
            <w:pPr>
              <w:jc w:val="center"/>
              <w:rPr>
                <w:rFonts w:ascii="Arial" w:hAnsi="Arial" w:cs="Arial"/>
                <w:sz w:val="24"/>
                <w:szCs w:val="24"/>
              </w:rPr>
            </w:pPr>
            <w:r>
              <w:rPr>
                <w:rFonts w:ascii="Arial" w:hAnsi="Arial" w:cs="Arial"/>
                <w:color w:val="000000"/>
                <w:sz w:val="24"/>
                <w:szCs w:val="24"/>
              </w:rPr>
              <w:t>3.39</w:t>
            </w:r>
          </w:p>
        </w:tc>
        <w:tc>
          <w:tcPr>
            <w:tcW w:w="2515" w:type="dxa"/>
            <w:vAlign w:val="center"/>
          </w:tcPr>
          <w:p>
            <w:pPr>
              <w:jc w:val="center"/>
              <w:rPr>
                <w:rFonts w:ascii="Arial" w:hAnsi="Arial" w:cs="Arial"/>
                <w:sz w:val="24"/>
                <w:szCs w:val="24"/>
              </w:rPr>
            </w:pPr>
            <w:r>
              <w:rPr>
                <w:rFonts w:ascii="Arial" w:hAnsi="Arial" w:cs="Arial"/>
                <w:sz w:val="24"/>
                <w:szCs w:val="24"/>
              </w:rPr>
              <w:t>Moderately Engaged</w:t>
            </w:r>
          </w:p>
        </w:tc>
      </w:tr>
      <w:tr>
        <w:tc>
          <w:tcPr>
            <w:tcW w:w="5485" w:type="dxa"/>
          </w:tcPr>
          <w:p>
            <w:pPr>
              <w:rPr>
                <w:rFonts w:ascii="Arial" w:hAnsi="Arial" w:cs="Arial"/>
                <w:sz w:val="24"/>
                <w:szCs w:val="24"/>
              </w:rPr>
            </w:pPr>
            <w:r>
              <w:rPr>
                <w:rFonts w:ascii="Arial" w:hAnsi="Arial" w:cs="Arial"/>
                <w:sz w:val="24"/>
                <w:szCs w:val="24"/>
                <w:lang w:eastAsia="en-PH"/>
              </w:rPr>
              <w:t>Creative Engagement</w:t>
            </w:r>
          </w:p>
        </w:tc>
        <w:tc>
          <w:tcPr>
            <w:tcW w:w="1350" w:type="dxa"/>
            <w:vAlign w:val="center"/>
          </w:tcPr>
          <w:p>
            <w:pPr>
              <w:jc w:val="center"/>
              <w:rPr>
                <w:rFonts w:ascii="Arial" w:hAnsi="Arial" w:cs="Arial"/>
                <w:sz w:val="24"/>
                <w:szCs w:val="24"/>
              </w:rPr>
            </w:pPr>
            <w:r>
              <w:rPr>
                <w:rFonts w:ascii="Arial" w:hAnsi="Arial" w:cs="Arial"/>
                <w:color w:val="000000"/>
                <w:sz w:val="24"/>
                <w:szCs w:val="24"/>
              </w:rPr>
              <w:t>3.52</w:t>
            </w:r>
          </w:p>
        </w:tc>
        <w:tc>
          <w:tcPr>
            <w:tcW w:w="2515" w:type="dxa"/>
            <w:vAlign w:val="center"/>
          </w:tcPr>
          <w:p>
            <w:pPr>
              <w:jc w:val="center"/>
              <w:rPr>
                <w:rFonts w:ascii="Arial" w:hAnsi="Arial" w:cs="Arial"/>
                <w:sz w:val="24"/>
                <w:szCs w:val="24"/>
              </w:rPr>
            </w:pPr>
            <w:r>
              <w:rPr>
                <w:rFonts w:ascii="Arial" w:hAnsi="Arial" w:cs="Arial"/>
                <w:sz w:val="24"/>
                <w:szCs w:val="24"/>
              </w:rPr>
              <w:t>Engaged</w:t>
            </w:r>
          </w:p>
        </w:tc>
      </w:tr>
      <w:tr>
        <w:tc>
          <w:tcPr>
            <w:tcW w:w="5485" w:type="dxa"/>
          </w:tcPr>
          <w:p>
            <w:pPr>
              <w:rPr>
                <w:rFonts w:ascii="Arial" w:hAnsi="Arial" w:cs="Arial"/>
                <w:sz w:val="24"/>
                <w:szCs w:val="24"/>
              </w:rPr>
            </w:pPr>
            <w:r>
              <w:rPr>
                <w:rFonts w:ascii="Arial" w:hAnsi="Arial" w:cs="Arial"/>
                <w:sz w:val="24"/>
                <w:szCs w:val="24"/>
                <w:lang w:eastAsia="en-PH"/>
              </w:rPr>
              <w:t>Reflective / Metacognitive Engagement</w:t>
            </w:r>
          </w:p>
        </w:tc>
        <w:tc>
          <w:tcPr>
            <w:tcW w:w="1350" w:type="dxa"/>
            <w:vAlign w:val="center"/>
          </w:tcPr>
          <w:p>
            <w:pPr>
              <w:jc w:val="center"/>
              <w:rPr>
                <w:rFonts w:ascii="Arial" w:hAnsi="Arial" w:cs="Arial"/>
                <w:sz w:val="24"/>
                <w:szCs w:val="24"/>
              </w:rPr>
            </w:pPr>
            <w:r>
              <w:rPr>
                <w:rFonts w:ascii="Arial" w:hAnsi="Arial" w:cs="Arial"/>
                <w:color w:val="000000"/>
                <w:sz w:val="24"/>
                <w:szCs w:val="24"/>
              </w:rPr>
              <w:t>3.48</w:t>
            </w:r>
          </w:p>
        </w:tc>
        <w:tc>
          <w:tcPr>
            <w:tcW w:w="2515" w:type="dxa"/>
            <w:vAlign w:val="center"/>
          </w:tcPr>
          <w:p>
            <w:pPr>
              <w:jc w:val="center"/>
              <w:rPr>
                <w:rFonts w:ascii="Arial" w:hAnsi="Arial" w:cs="Arial"/>
                <w:sz w:val="24"/>
                <w:szCs w:val="24"/>
              </w:rPr>
            </w:pPr>
            <w:r>
              <w:rPr>
                <w:rFonts w:ascii="Arial" w:hAnsi="Arial" w:cs="Arial"/>
                <w:sz w:val="24"/>
                <w:szCs w:val="24"/>
              </w:rPr>
              <w:t>Engaged</w:t>
            </w:r>
          </w:p>
        </w:tc>
      </w:tr>
      <w:tr>
        <w:tc>
          <w:tcPr>
            <w:tcW w:w="5485" w:type="dxa"/>
          </w:tcPr>
          <w:p>
            <w:pPr>
              <w:jc w:val="center"/>
              <w:rPr>
                <w:rFonts w:ascii="Arial" w:hAnsi="Arial" w:cs="Arial"/>
                <w:sz w:val="24"/>
                <w:szCs w:val="24"/>
              </w:rPr>
            </w:pPr>
            <w:r>
              <w:rPr>
                <w:rFonts w:ascii="Arial" w:hAnsi="Arial" w:cs="Arial"/>
                <w:sz w:val="24"/>
                <w:szCs w:val="24"/>
              </w:rPr>
              <w:t>Over-all Mean</w:t>
            </w:r>
          </w:p>
        </w:tc>
        <w:tc>
          <w:tcPr>
            <w:tcW w:w="1350" w:type="dxa"/>
            <w:vAlign w:val="center"/>
          </w:tcPr>
          <w:p>
            <w:pPr>
              <w:jc w:val="center"/>
              <w:rPr>
                <w:rFonts w:ascii="Arial" w:hAnsi="Arial" w:cs="Arial"/>
                <w:sz w:val="24"/>
                <w:szCs w:val="24"/>
              </w:rPr>
            </w:pPr>
            <w:r>
              <w:rPr>
                <w:rFonts w:ascii="Arial" w:hAnsi="Arial" w:cs="Arial"/>
                <w:color w:val="000000"/>
                <w:sz w:val="24"/>
                <w:szCs w:val="24"/>
              </w:rPr>
              <w:t>3.52</w:t>
            </w:r>
          </w:p>
        </w:tc>
        <w:tc>
          <w:tcPr>
            <w:tcW w:w="2515" w:type="dxa"/>
            <w:vAlign w:val="center"/>
          </w:tcPr>
          <w:p>
            <w:pPr>
              <w:jc w:val="center"/>
              <w:rPr>
                <w:rFonts w:ascii="Arial" w:hAnsi="Arial" w:cs="Arial"/>
                <w:sz w:val="24"/>
                <w:szCs w:val="24"/>
              </w:rPr>
            </w:pPr>
            <w:r>
              <w:rPr>
                <w:rFonts w:ascii="Arial" w:hAnsi="Arial" w:cs="Arial"/>
                <w:sz w:val="24"/>
                <w:szCs w:val="24"/>
              </w:rPr>
              <w:t>Engaged</w:t>
            </w:r>
          </w:p>
        </w:tc>
      </w:tr>
    </w:tbl>
    <w:p>
      <w:pPr>
        <w:rPr>
          <w:rFonts w:ascii="Arial" w:hAnsi="Arial" w:cs="Arial"/>
        </w:rPr>
      </w:pPr>
    </w:p>
    <w:p>
      <w:pPr>
        <w:rPr>
          <w:rFonts w:ascii="Arial" w:hAnsi="Arial" w:cs="Arial"/>
        </w:rPr>
      </w:pPr>
      <w:r>
        <w:rPr>
          <w:rFonts w:ascii="Arial" w:hAnsi="Arial" w:cs="Arial"/>
        </w:rPr>
        <w:t>Level of teachers’ technology integration practices in teaching English in IPEd classrooms based on PICRAT-aligned instructional processes</w:t>
      </w:r>
    </w:p>
    <w:tbl>
      <w:tblPr>
        <w:tblStyle w:val="TableGrid"/>
        <w:tblW w:w="9010" w:type="dxa"/>
        <w:tblLook w:val="04A0" w:firstRow="1" w:lastRow="0" w:firstColumn="1" w:lastColumn="0" w:noHBand="0" w:noVBand="1"/>
      </w:tblPr>
      <w:tblGrid>
        <w:gridCol w:w="5769"/>
        <w:gridCol w:w="1230"/>
        <w:gridCol w:w="2011"/>
      </w:tblGrid>
      <w:tr>
        <w:trPr>
          <w:trHeight w:val="291"/>
        </w:trPr>
        <w:tc>
          <w:tcPr>
            <w:tcW w:w="5792" w:type="dxa"/>
          </w:tcPr>
          <w:p>
            <w:pPr>
              <w:jc w:val="center"/>
              <w:rPr>
                <w:rFonts w:ascii="Arial" w:hAnsi="Arial" w:cs="Arial"/>
                <w:sz w:val="24"/>
                <w:szCs w:val="24"/>
              </w:rPr>
            </w:pPr>
            <w:r>
              <w:rPr>
                <w:rFonts w:ascii="Arial" w:hAnsi="Arial" w:cs="Arial"/>
                <w:sz w:val="24"/>
                <w:szCs w:val="24"/>
              </w:rPr>
              <w:t>Indicator</w:t>
            </w:r>
          </w:p>
        </w:tc>
        <w:tc>
          <w:tcPr>
            <w:tcW w:w="1204" w:type="dxa"/>
          </w:tcPr>
          <w:p>
            <w:pPr>
              <w:jc w:val="center"/>
              <w:rPr>
                <w:rFonts w:ascii="Arial" w:hAnsi="Arial" w:cs="Arial"/>
                <w:sz w:val="24"/>
                <w:szCs w:val="24"/>
              </w:rPr>
            </w:pPr>
            <w:r>
              <w:rPr>
                <w:rFonts w:ascii="Arial" w:hAnsi="Arial" w:cs="Arial"/>
                <w:sz w:val="24"/>
                <w:szCs w:val="24"/>
              </w:rPr>
              <w:t>Weighted Mean</w:t>
            </w:r>
          </w:p>
        </w:tc>
        <w:tc>
          <w:tcPr>
            <w:tcW w:w="2014" w:type="dxa"/>
          </w:tcPr>
          <w:p>
            <w:pPr>
              <w:jc w:val="center"/>
              <w:rPr>
                <w:rFonts w:ascii="Arial" w:hAnsi="Arial" w:cs="Arial"/>
                <w:sz w:val="24"/>
                <w:szCs w:val="24"/>
              </w:rPr>
            </w:pPr>
            <w:r>
              <w:rPr>
                <w:rFonts w:ascii="Arial" w:hAnsi="Arial" w:cs="Arial"/>
                <w:sz w:val="24"/>
                <w:szCs w:val="24"/>
              </w:rPr>
              <w:t>Adjectival Rating</w:t>
            </w:r>
          </w:p>
        </w:tc>
      </w:tr>
      <w:tr>
        <w:trPr>
          <w:trHeight w:val="151"/>
        </w:trPr>
        <w:tc>
          <w:tcPr>
            <w:tcW w:w="5792" w:type="dxa"/>
          </w:tcPr>
          <w:p>
            <w:pPr>
              <w:pStyle w:val="NoSpacing"/>
              <w:rPr>
                <w:rFonts w:ascii="Arial" w:hAnsi="Arial" w:cs="Arial"/>
                <w:b/>
                <w:bCs/>
                <w:sz w:val="24"/>
                <w:szCs w:val="24"/>
              </w:rPr>
            </w:pPr>
            <w:r>
              <w:rPr>
                <w:rFonts w:ascii="Arial" w:hAnsi="Arial" w:cs="Arial"/>
                <w:b/>
                <w:bCs/>
                <w:sz w:val="24"/>
                <w:szCs w:val="24"/>
              </w:rPr>
              <w:t>Active knowledge-building facilitation</w:t>
            </w:r>
          </w:p>
        </w:tc>
        <w:tc>
          <w:tcPr>
            <w:tcW w:w="1204" w:type="dxa"/>
            <w:vAlign w:val="center"/>
          </w:tcPr>
          <w:p>
            <w:pPr>
              <w:pStyle w:val="NoSpacing"/>
              <w:rPr>
                <w:rFonts w:ascii="Arial" w:hAnsi="Arial" w:cs="Arial"/>
                <w:sz w:val="24"/>
                <w:szCs w:val="24"/>
              </w:rPr>
            </w:pPr>
          </w:p>
        </w:tc>
        <w:tc>
          <w:tcPr>
            <w:tcW w:w="2014" w:type="dxa"/>
          </w:tcPr>
          <w:p>
            <w:pPr>
              <w:pStyle w:val="NoSpacing"/>
              <w:rPr>
                <w:rFonts w:ascii="Arial" w:hAnsi="Arial" w:cs="Arial"/>
                <w:sz w:val="24"/>
                <w:szCs w:val="24"/>
              </w:rPr>
            </w:pPr>
          </w:p>
        </w:tc>
      </w:tr>
      <w:tr>
        <w:trPr>
          <w:trHeight w:val="278"/>
        </w:trPr>
        <w:tc>
          <w:tcPr>
            <w:tcW w:w="5792" w:type="dxa"/>
          </w:tcPr>
          <w:p>
            <w:pPr>
              <w:jc w:val="both"/>
              <w:rPr>
                <w:rFonts w:ascii="Arial" w:hAnsi="Arial" w:cs="Arial"/>
                <w:b/>
                <w:bCs/>
                <w:sz w:val="24"/>
                <w:szCs w:val="24"/>
                <w:lang w:eastAsia="en-PH"/>
              </w:rPr>
            </w:pPr>
            <w:r>
              <w:rPr>
                <w:rFonts w:ascii="Arial" w:hAnsi="Arial" w:cs="Arial"/>
                <w:sz w:val="24"/>
                <w:szCs w:val="24"/>
              </w:rPr>
              <w:lastRenderedPageBreak/>
              <w:t>I encourage learners to explore ideas and generate responses through technology-supported tasks.</w:t>
            </w:r>
          </w:p>
        </w:tc>
        <w:tc>
          <w:tcPr>
            <w:tcW w:w="1204" w:type="dxa"/>
            <w:vAlign w:val="center"/>
          </w:tcPr>
          <w:p>
            <w:pPr>
              <w:jc w:val="center"/>
              <w:rPr>
                <w:rFonts w:ascii="Arial" w:hAnsi="Arial" w:cs="Arial"/>
                <w:sz w:val="24"/>
                <w:szCs w:val="24"/>
              </w:rPr>
            </w:pPr>
            <w:r>
              <w:rPr>
                <w:rFonts w:ascii="Arial" w:hAnsi="Arial" w:cs="Arial"/>
                <w:sz w:val="24"/>
                <w:szCs w:val="24"/>
              </w:rPr>
              <w:t>3.50</w:t>
            </w:r>
          </w:p>
        </w:tc>
        <w:tc>
          <w:tcPr>
            <w:tcW w:w="2014" w:type="dxa"/>
            <w:vAlign w:val="center"/>
          </w:tcPr>
          <w:p>
            <w:pPr>
              <w:pStyle w:val="NoSpacing"/>
              <w:jc w:val="center"/>
              <w:rPr>
                <w:rFonts w:ascii="Arial" w:hAnsi="Arial" w:cs="Arial"/>
                <w:sz w:val="24"/>
                <w:szCs w:val="24"/>
                <w:lang w:eastAsia="en-PH"/>
              </w:rPr>
            </w:pPr>
            <w:r>
              <w:rPr>
                <w:rFonts w:ascii="Arial" w:hAnsi="Arial" w:cs="Arial"/>
                <w:sz w:val="24"/>
                <w:szCs w:val="24"/>
              </w:rPr>
              <w:t>Practiced</w:t>
            </w:r>
          </w:p>
        </w:tc>
      </w:tr>
      <w:tr>
        <w:trPr>
          <w:trHeight w:val="291"/>
        </w:trPr>
        <w:tc>
          <w:tcPr>
            <w:tcW w:w="5792" w:type="dxa"/>
          </w:tcPr>
          <w:p>
            <w:pPr>
              <w:jc w:val="both"/>
              <w:rPr>
                <w:rFonts w:ascii="Arial" w:hAnsi="Arial" w:cs="Arial"/>
                <w:sz w:val="24"/>
                <w:szCs w:val="24"/>
              </w:rPr>
            </w:pPr>
            <w:r>
              <w:rPr>
                <w:rFonts w:ascii="Arial" w:hAnsi="Arial" w:cs="Arial"/>
                <w:sz w:val="24"/>
                <w:szCs w:val="24"/>
              </w:rPr>
              <w:t>I use technology to engage learners in constructing their own understanding of English concepts.</w:t>
            </w:r>
          </w:p>
        </w:tc>
        <w:tc>
          <w:tcPr>
            <w:tcW w:w="1204" w:type="dxa"/>
            <w:vAlign w:val="center"/>
          </w:tcPr>
          <w:p>
            <w:pPr>
              <w:jc w:val="center"/>
              <w:rPr>
                <w:rFonts w:ascii="Arial" w:hAnsi="Arial" w:cs="Arial"/>
                <w:sz w:val="24"/>
                <w:szCs w:val="24"/>
              </w:rPr>
            </w:pPr>
            <w:r>
              <w:rPr>
                <w:rFonts w:ascii="Arial" w:hAnsi="Arial" w:cs="Arial"/>
                <w:sz w:val="24"/>
                <w:szCs w:val="24"/>
              </w:rPr>
              <w:t>3.33</w:t>
            </w:r>
          </w:p>
        </w:tc>
        <w:tc>
          <w:tcPr>
            <w:tcW w:w="2014" w:type="dxa"/>
            <w:vAlign w:val="center"/>
          </w:tcPr>
          <w:p>
            <w:pPr>
              <w:pStyle w:val="NoSpacing"/>
              <w:jc w:val="center"/>
              <w:rPr>
                <w:rFonts w:ascii="Arial" w:hAnsi="Arial" w:cs="Arial"/>
                <w:sz w:val="24"/>
                <w:szCs w:val="24"/>
                <w:lang w:eastAsia="en-PH"/>
              </w:rPr>
            </w:pPr>
            <w:r>
              <w:rPr>
                <w:rFonts w:ascii="Arial" w:hAnsi="Arial" w:cs="Arial"/>
                <w:sz w:val="24"/>
                <w:szCs w:val="24"/>
              </w:rPr>
              <w:t>Moderately Practiced</w:t>
            </w:r>
          </w:p>
        </w:tc>
      </w:tr>
      <w:tr>
        <w:trPr>
          <w:trHeight w:val="278"/>
        </w:trPr>
        <w:tc>
          <w:tcPr>
            <w:tcW w:w="5792" w:type="dxa"/>
          </w:tcPr>
          <w:p>
            <w:pPr>
              <w:jc w:val="both"/>
              <w:rPr>
                <w:rFonts w:ascii="Arial" w:hAnsi="Arial" w:cs="Arial"/>
                <w:sz w:val="24"/>
                <w:szCs w:val="24"/>
              </w:rPr>
            </w:pPr>
            <w:r>
              <w:rPr>
                <w:rFonts w:ascii="Arial" w:hAnsi="Arial" w:cs="Arial"/>
                <w:sz w:val="24"/>
                <w:szCs w:val="24"/>
              </w:rPr>
              <w:t>I design activities where learners actively process and apply English knowledge using digital tools.</w:t>
            </w:r>
          </w:p>
        </w:tc>
        <w:tc>
          <w:tcPr>
            <w:tcW w:w="1204" w:type="dxa"/>
            <w:vAlign w:val="center"/>
          </w:tcPr>
          <w:p>
            <w:pPr>
              <w:jc w:val="center"/>
              <w:rPr>
                <w:rFonts w:ascii="Arial" w:hAnsi="Arial" w:cs="Arial"/>
                <w:sz w:val="24"/>
                <w:szCs w:val="24"/>
              </w:rPr>
            </w:pPr>
            <w:r>
              <w:rPr>
                <w:rFonts w:ascii="Arial" w:hAnsi="Arial" w:cs="Arial"/>
                <w:sz w:val="24"/>
                <w:szCs w:val="24"/>
              </w:rPr>
              <w:t>3.33</w:t>
            </w:r>
          </w:p>
        </w:tc>
        <w:tc>
          <w:tcPr>
            <w:tcW w:w="2014" w:type="dxa"/>
            <w:vAlign w:val="center"/>
          </w:tcPr>
          <w:p>
            <w:pPr>
              <w:jc w:val="center"/>
              <w:rPr>
                <w:rFonts w:ascii="Arial" w:hAnsi="Arial" w:cs="Arial"/>
                <w:sz w:val="24"/>
                <w:szCs w:val="24"/>
              </w:rPr>
            </w:pPr>
            <w:r>
              <w:rPr>
                <w:rFonts w:ascii="Arial" w:hAnsi="Arial" w:cs="Arial"/>
                <w:sz w:val="24"/>
                <w:szCs w:val="24"/>
              </w:rPr>
              <w:t>Moderately Practiced</w:t>
            </w:r>
          </w:p>
        </w:tc>
      </w:tr>
      <w:tr>
        <w:trPr>
          <w:trHeight w:val="291"/>
        </w:trPr>
        <w:tc>
          <w:tcPr>
            <w:tcW w:w="5792" w:type="dxa"/>
          </w:tcPr>
          <w:p>
            <w:pPr>
              <w:jc w:val="both"/>
              <w:rPr>
                <w:rFonts w:ascii="Arial" w:hAnsi="Arial" w:cs="Arial"/>
                <w:sz w:val="24"/>
                <w:szCs w:val="24"/>
              </w:rPr>
            </w:pPr>
            <w:r>
              <w:rPr>
                <w:rFonts w:ascii="Arial" w:hAnsi="Arial" w:cs="Arial"/>
                <w:sz w:val="24"/>
                <w:szCs w:val="24"/>
              </w:rPr>
              <w:t>I facilitate learner-centered activities rather than teacher-directed instruction using technology.</w:t>
            </w:r>
          </w:p>
        </w:tc>
        <w:tc>
          <w:tcPr>
            <w:tcW w:w="1204" w:type="dxa"/>
            <w:vAlign w:val="center"/>
          </w:tcPr>
          <w:p>
            <w:pPr>
              <w:jc w:val="center"/>
              <w:rPr>
                <w:rFonts w:ascii="Arial" w:hAnsi="Arial" w:cs="Arial"/>
                <w:sz w:val="24"/>
                <w:szCs w:val="24"/>
              </w:rPr>
            </w:pPr>
            <w:r>
              <w:rPr>
                <w:rFonts w:ascii="Arial" w:hAnsi="Arial" w:cs="Arial"/>
                <w:sz w:val="24"/>
                <w:szCs w:val="24"/>
              </w:rPr>
              <w:t>3.00</w:t>
            </w:r>
          </w:p>
        </w:tc>
        <w:tc>
          <w:tcPr>
            <w:tcW w:w="2014" w:type="dxa"/>
            <w:vAlign w:val="center"/>
          </w:tcPr>
          <w:p>
            <w:pPr>
              <w:jc w:val="center"/>
              <w:rPr>
                <w:rFonts w:ascii="Arial" w:hAnsi="Arial" w:cs="Arial"/>
                <w:sz w:val="24"/>
                <w:szCs w:val="24"/>
              </w:rPr>
            </w:pPr>
            <w:r>
              <w:rPr>
                <w:rFonts w:ascii="Arial" w:hAnsi="Arial" w:cs="Arial"/>
                <w:sz w:val="24"/>
                <w:szCs w:val="24"/>
              </w:rPr>
              <w:t>Moderately Practiced</w:t>
            </w:r>
          </w:p>
        </w:tc>
      </w:tr>
      <w:tr>
        <w:trPr>
          <w:trHeight w:val="291"/>
        </w:trPr>
        <w:tc>
          <w:tcPr>
            <w:tcW w:w="5792" w:type="dxa"/>
          </w:tcPr>
          <w:p>
            <w:pPr>
              <w:jc w:val="both"/>
              <w:rPr>
                <w:rFonts w:ascii="Arial" w:hAnsi="Arial" w:cs="Arial"/>
                <w:sz w:val="24"/>
                <w:szCs w:val="24"/>
              </w:rPr>
            </w:pPr>
            <w:r>
              <w:rPr>
                <w:rFonts w:ascii="Arial" w:hAnsi="Arial" w:cs="Arial"/>
                <w:sz w:val="24"/>
                <w:szCs w:val="24"/>
              </w:rPr>
              <w:t>I use technology to support higher-order thinking in English learning activities.</w:t>
            </w:r>
          </w:p>
        </w:tc>
        <w:tc>
          <w:tcPr>
            <w:tcW w:w="1204" w:type="dxa"/>
            <w:vAlign w:val="center"/>
          </w:tcPr>
          <w:p>
            <w:pPr>
              <w:jc w:val="center"/>
              <w:rPr>
                <w:rFonts w:ascii="Arial" w:hAnsi="Arial" w:cs="Arial"/>
                <w:sz w:val="24"/>
                <w:szCs w:val="24"/>
              </w:rPr>
            </w:pPr>
            <w:r>
              <w:rPr>
                <w:rFonts w:ascii="Arial" w:hAnsi="Arial" w:cs="Arial"/>
                <w:sz w:val="24"/>
                <w:szCs w:val="24"/>
              </w:rPr>
              <w:t>2.83</w:t>
            </w:r>
          </w:p>
        </w:tc>
        <w:tc>
          <w:tcPr>
            <w:tcW w:w="2014" w:type="dxa"/>
            <w:vAlign w:val="center"/>
          </w:tcPr>
          <w:p>
            <w:pPr>
              <w:jc w:val="center"/>
              <w:rPr>
                <w:rFonts w:ascii="Arial" w:hAnsi="Arial" w:cs="Arial"/>
                <w:sz w:val="24"/>
                <w:szCs w:val="24"/>
              </w:rPr>
            </w:pPr>
            <w:r>
              <w:rPr>
                <w:rFonts w:ascii="Arial" w:hAnsi="Arial" w:cs="Arial"/>
                <w:sz w:val="24"/>
                <w:szCs w:val="24"/>
              </w:rPr>
              <w:t>Moderately Practiced</w:t>
            </w:r>
          </w:p>
        </w:tc>
      </w:tr>
      <w:tr>
        <w:trPr>
          <w:trHeight w:val="278"/>
        </w:trPr>
        <w:tc>
          <w:tcPr>
            <w:tcW w:w="5792" w:type="dxa"/>
          </w:tcPr>
          <w:p>
            <w:pPr>
              <w:jc w:val="center"/>
              <w:rPr>
                <w:rFonts w:ascii="Arial" w:hAnsi="Arial" w:cs="Arial"/>
                <w:sz w:val="24"/>
                <w:szCs w:val="24"/>
              </w:rPr>
            </w:pPr>
            <w:r>
              <w:rPr>
                <w:rFonts w:ascii="Arial" w:hAnsi="Arial" w:cs="Arial"/>
                <w:sz w:val="24"/>
                <w:szCs w:val="24"/>
              </w:rPr>
              <w:t xml:space="preserve">Mean </w:t>
            </w:r>
          </w:p>
        </w:tc>
        <w:tc>
          <w:tcPr>
            <w:tcW w:w="1204" w:type="dxa"/>
            <w:vAlign w:val="center"/>
          </w:tcPr>
          <w:p>
            <w:pPr>
              <w:jc w:val="center"/>
              <w:rPr>
                <w:rFonts w:ascii="Arial" w:hAnsi="Arial" w:cs="Arial"/>
                <w:color w:val="000000"/>
                <w:sz w:val="24"/>
                <w:szCs w:val="24"/>
              </w:rPr>
            </w:pPr>
            <w:r>
              <w:rPr>
                <w:rFonts w:ascii="Arial" w:hAnsi="Arial" w:cs="Arial"/>
                <w:color w:val="000000"/>
                <w:sz w:val="24"/>
                <w:szCs w:val="24"/>
              </w:rPr>
              <w:t>3.20</w:t>
            </w:r>
          </w:p>
        </w:tc>
        <w:tc>
          <w:tcPr>
            <w:tcW w:w="2014" w:type="dxa"/>
            <w:vAlign w:val="center"/>
          </w:tcPr>
          <w:p>
            <w:pPr>
              <w:jc w:val="center"/>
              <w:rPr>
                <w:rFonts w:ascii="Arial" w:hAnsi="Arial" w:cs="Arial"/>
                <w:sz w:val="24"/>
                <w:szCs w:val="24"/>
                <w:lang w:eastAsia="en-PH"/>
              </w:rPr>
            </w:pPr>
            <w:r>
              <w:rPr>
                <w:rFonts w:ascii="Arial" w:hAnsi="Arial" w:cs="Arial"/>
                <w:sz w:val="24"/>
                <w:szCs w:val="24"/>
                <w:lang w:eastAsia="en-PH"/>
              </w:rPr>
              <w:t>Moderately Practiced</w:t>
            </w:r>
          </w:p>
        </w:tc>
      </w:tr>
      <w:tr>
        <w:trPr>
          <w:trHeight w:val="151"/>
        </w:trPr>
        <w:tc>
          <w:tcPr>
            <w:tcW w:w="5792" w:type="dxa"/>
          </w:tcPr>
          <w:p>
            <w:pPr>
              <w:pStyle w:val="NoSpacing"/>
              <w:rPr>
                <w:rFonts w:ascii="Arial" w:hAnsi="Arial" w:cs="Arial"/>
                <w:b/>
                <w:bCs/>
                <w:sz w:val="24"/>
                <w:szCs w:val="24"/>
              </w:rPr>
            </w:pPr>
            <w:r>
              <w:rPr>
                <w:rFonts w:ascii="Arial" w:hAnsi="Arial" w:cs="Arial"/>
                <w:b/>
                <w:bCs/>
                <w:sz w:val="24"/>
                <w:szCs w:val="24"/>
              </w:rPr>
              <w:t>Activation and linking of prior knowledge</w:t>
            </w:r>
          </w:p>
        </w:tc>
        <w:tc>
          <w:tcPr>
            <w:tcW w:w="1204" w:type="dxa"/>
            <w:vAlign w:val="center"/>
          </w:tcPr>
          <w:p>
            <w:pPr>
              <w:jc w:val="center"/>
              <w:rPr>
                <w:rFonts w:ascii="Arial" w:hAnsi="Arial" w:cs="Arial"/>
                <w:sz w:val="24"/>
                <w:szCs w:val="24"/>
              </w:rPr>
            </w:pPr>
          </w:p>
        </w:tc>
        <w:tc>
          <w:tcPr>
            <w:tcW w:w="2014" w:type="dxa"/>
            <w:vAlign w:val="center"/>
          </w:tcPr>
          <w:p>
            <w:pPr>
              <w:jc w:val="center"/>
              <w:rPr>
                <w:rFonts w:ascii="Arial" w:hAnsi="Arial" w:cs="Arial"/>
                <w:sz w:val="24"/>
                <w:szCs w:val="24"/>
              </w:rPr>
            </w:pPr>
          </w:p>
        </w:tc>
      </w:tr>
      <w:tr>
        <w:trPr>
          <w:trHeight w:val="278"/>
        </w:trPr>
        <w:tc>
          <w:tcPr>
            <w:tcW w:w="5792" w:type="dxa"/>
          </w:tcPr>
          <w:p>
            <w:pPr>
              <w:rPr>
                <w:rFonts w:ascii="Arial" w:hAnsi="Arial" w:cs="Arial"/>
                <w:sz w:val="24"/>
                <w:szCs w:val="24"/>
              </w:rPr>
            </w:pPr>
            <w:r>
              <w:rPr>
                <w:rFonts w:ascii="Arial" w:hAnsi="Arial" w:cs="Arial"/>
                <w:sz w:val="24"/>
                <w:szCs w:val="24"/>
              </w:rPr>
              <w:t>I use digital tools to connect new English lessons with learners’ prior knowledge.</w:t>
            </w:r>
          </w:p>
        </w:tc>
        <w:tc>
          <w:tcPr>
            <w:tcW w:w="1204" w:type="dxa"/>
            <w:vAlign w:val="center"/>
          </w:tcPr>
          <w:p>
            <w:pPr>
              <w:jc w:val="center"/>
              <w:rPr>
                <w:rFonts w:ascii="Arial" w:hAnsi="Arial" w:cs="Arial"/>
                <w:sz w:val="24"/>
                <w:szCs w:val="24"/>
              </w:rPr>
            </w:pPr>
            <w:r>
              <w:rPr>
                <w:rFonts w:ascii="Arial" w:hAnsi="Arial" w:cs="Arial"/>
                <w:sz w:val="24"/>
                <w:szCs w:val="24"/>
              </w:rPr>
              <w:t>3.63</w:t>
            </w:r>
          </w:p>
        </w:tc>
        <w:tc>
          <w:tcPr>
            <w:tcW w:w="2014" w:type="dxa"/>
            <w:vAlign w:val="center"/>
          </w:tcPr>
          <w:p>
            <w:pPr>
              <w:jc w:val="center"/>
              <w:rPr>
                <w:rFonts w:ascii="Arial" w:hAnsi="Arial" w:cs="Arial"/>
                <w:sz w:val="24"/>
                <w:szCs w:val="24"/>
              </w:rPr>
            </w:pPr>
            <w:r>
              <w:rPr>
                <w:rFonts w:ascii="Arial" w:hAnsi="Arial" w:cs="Arial"/>
                <w:sz w:val="24"/>
                <w:szCs w:val="24"/>
              </w:rPr>
              <w:t>Practiced</w:t>
            </w:r>
          </w:p>
        </w:tc>
      </w:tr>
      <w:tr>
        <w:trPr>
          <w:trHeight w:val="291"/>
        </w:trPr>
        <w:tc>
          <w:tcPr>
            <w:tcW w:w="5792" w:type="dxa"/>
          </w:tcPr>
          <w:p>
            <w:pPr>
              <w:rPr>
                <w:rFonts w:ascii="Arial" w:hAnsi="Arial" w:cs="Arial"/>
                <w:sz w:val="24"/>
                <w:szCs w:val="24"/>
              </w:rPr>
            </w:pPr>
            <w:r>
              <w:rPr>
                <w:rFonts w:ascii="Arial" w:hAnsi="Arial" w:cs="Arial"/>
                <w:sz w:val="24"/>
                <w:szCs w:val="24"/>
              </w:rPr>
              <w:t>I integrate culturally familiar examples when teaching English.</w:t>
            </w:r>
          </w:p>
        </w:tc>
        <w:tc>
          <w:tcPr>
            <w:tcW w:w="1204" w:type="dxa"/>
            <w:vAlign w:val="center"/>
          </w:tcPr>
          <w:p>
            <w:pPr>
              <w:jc w:val="center"/>
              <w:rPr>
                <w:rFonts w:ascii="Arial" w:hAnsi="Arial" w:cs="Arial"/>
                <w:sz w:val="24"/>
                <w:szCs w:val="24"/>
              </w:rPr>
            </w:pPr>
            <w:r>
              <w:rPr>
                <w:rFonts w:ascii="Arial" w:hAnsi="Arial" w:cs="Arial"/>
                <w:sz w:val="24"/>
                <w:szCs w:val="24"/>
              </w:rPr>
              <w:t>3.13</w:t>
            </w:r>
          </w:p>
        </w:tc>
        <w:tc>
          <w:tcPr>
            <w:tcW w:w="2014" w:type="dxa"/>
            <w:vAlign w:val="center"/>
          </w:tcPr>
          <w:p>
            <w:pPr>
              <w:jc w:val="center"/>
              <w:rPr>
                <w:rFonts w:ascii="Arial" w:hAnsi="Arial" w:cs="Arial"/>
                <w:sz w:val="24"/>
                <w:szCs w:val="24"/>
              </w:rPr>
            </w:pPr>
            <w:r>
              <w:rPr>
                <w:rFonts w:ascii="Arial" w:hAnsi="Arial" w:cs="Arial"/>
                <w:sz w:val="24"/>
                <w:szCs w:val="24"/>
              </w:rPr>
              <w:t>Moderately Practiced</w:t>
            </w:r>
          </w:p>
        </w:tc>
      </w:tr>
      <w:tr>
        <w:trPr>
          <w:trHeight w:val="291"/>
        </w:trPr>
        <w:tc>
          <w:tcPr>
            <w:tcW w:w="5792" w:type="dxa"/>
          </w:tcPr>
          <w:p>
            <w:pPr>
              <w:rPr>
                <w:rFonts w:ascii="Arial" w:hAnsi="Arial" w:cs="Arial"/>
                <w:sz w:val="24"/>
                <w:szCs w:val="24"/>
              </w:rPr>
            </w:pPr>
            <w:r>
              <w:rPr>
                <w:rFonts w:ascii="Arial" w:hAnsi="Arial" w:cs="Arial"/>
                <w:sz w:val="24"/>
                <w:szCs w:val="24"/>
              </w:rPr>
              <w:t>I encourage learners to share prior knowledge using digital platforms.</w:t>
            </w:r>
          </w:p>
        </w:tc>
        <w:tc>
          <w:tcPr>
            <w:tcW w:w="1204" w:type="dxa"/>
            <w:vAlign w:val="center"/>
          </w:tcPr>
          <w:p>
            <w:pPr>
              <w:jc w:val="center"/>
              <w:rPr>
                <w:rFonts w:ascii="Arial" w:hAnsi="Arial" w:cs="Arial"/>
                <w:sz w:val="24"/>
                <w:szCs w:val="24"/>
              </w:rPr>
            </w:pPr>
            <w:r>
              <w:rPr>
                <w:rFonts w:ascii="Arial" w:hAnsi="Arial" w:cs="Arial"/>
                <w:sz w:val="24"/>
                <w:szCs w:val="24"/>
              </w:rPr>
              <w:t>2.97</w:t>
            </w:r>
          </w:p>
        </w:tc>
        <w:tc>
          <w:tcPr>
            <w:tcW w:w="2014" w:type="dxa"/>
            <w:vAlign w:val="center"/>
          </w:tcPr>
          <w:p>
            <w:pPr>
              <w:jc w:val="center"/>
              <w:rPr>
                <w:rFonts w:ascii="Arial" w:hAnsi="Arial" w:cs="Arial"/>
                <w:sz w:val="24"/>
                <w:szCs w:val="24"/>
              </w:rPr>
            </w:pPr>
            <w:r>
              <w:rPr>
                <w:rFonts w:ascii="Arial" w:hAnsi="Arial" w:cs="Arial"/>
                <w:sz w:val="24"/>
                <w:szCs w:val="24"/>
              </w:rPr>
              <w:t>Moderately Practiced</w:t>
            </w:r>
          </w:p>
        </w:tc>
      </w:tr>
      <w:tr>
        <w:trPr>
          <w:trHeight w:val="278"/>
        </w:trPr>
        <w:tc>
          <w:tcPr>
            <w:tcW w:w="5792" w:type="dxa"/>
          </w:tcPr>
          <w:p>
            <w:pPr>
              <w:rPr>
                <w:rFonts w:ascii="Arial" w:hAnsi="Arial" w:cs="Arial"/>
                <w:sz w:val="24"/>
                <w:szCs w:val="24"/>
              </w:rPr>
            </w:pPr>
            <w:r>
              <w:rPr>
                <w:rFonts w:ascii="Arial" w:hAnsi="Arial" w:cs="Arial"/>
                <w:sz w:val="24"/>
                <w:szCs w:val="24"/>
              </w:rPr>
              <w:t>I design activities that allow learners to relate English concepts to their daily life.</w:t>
            </w:r>
          </w:p>
        </w:tc>
        <w:tc>
          <w:tcPr>
            <w:tcW w:w="1204" w:type="dxa"/>
            <w:vAlign w:val="center"/>
          </w:tcPr>
          <w:p>
            <w:pPr>
              <w:jc w:val="center"/>
              <w:rPr>
                <w:rFonts w:ascii="Arial" w:hAnsi="Arial" w:cs="Arial"/>
                <w:sz w:val="24"/>
                <w:szCs w:val="24"/>
              </w:rPr>
            </w:pPr>
            <w:r>
              <w:rPr>
                <w:rFonts w:ascii="Arial" w:hAnsi="Arial" w:cs="Arial"/>
                <w:sz w:val="24"/>
                <w:szCs w:val="24"/>
              </w:rPr>
              <w:t>2.70</w:t>
            </w:r>
          </w:p>
        </w:tc>
        <w:tc>
          <w:tcPr>
            <w:tcW w:w="2014" w:type="dxa"/>
            <w:vAlign w:val="center"/>
          </w:tcPr>
          <w:p>
            <w:pPr>
              <w:jc w:val="center"/>
              <w:rPr>
                <w:rFonts w:ascii="Arial" w:hAnsi="Arial" w:cs="Arial"/>
                <w:sz w:val="24"/>
                <w:szCs w:val="24"/>
              </w:rPr>
            </w:pPr>
            <w:r>
              <w:rPr>
                <w:rFonts w:ascii="Arial" w:hAnsi="Arial" w:cs="Arial"/>
                <w:sz w:val="24"/>
                <w:szCs w:val="24"/>
              </w:rPr>
              <w:t>Moderately Practiced</w:t>
            </w:r>
          </w:p>
        </w:tc>
      </w:tr>
      <w:tr>
        <w:trPr>
          <w:trHeight w:val="291"/>
        </w:trPr>
        <w:tc>
          <w:tcPr>
            <w:tcW w:w="5792" w:type="dxa"/>
          </w:tcPr>
          <w:p>
            <w:pPr>
              <w:rPr>
                <w:rFonts w:ascii="Arial" w:hAnsi="Arial" w:cs="Arial"/>
                <w:sz w:val="24"/>
                <w:szCs w:val="24"/>
              </w:rPr>
            </w:pPr>
            <w:r>
              <w:rPr>
                <w:rFonts w:ascii="Arial" w:hAnsi="Arial" w:cs="Arial"/>
                <w:sz w:val="24"/>
                <w:szCs w:val="24"/>
              </w:rPr>
              <w:t>I use multimedia to activate background knowledge before introducing new topics.</w:t>
            </w:r>
          </w:p>
        </w:tc>
        <w:tc>
          <w:tcPr>
            <w:tcW w:w="1204" w:type="dxa"/>
            <w:vAlign w:val="center"/>
          </w:tcPr>
          <w:p>
            <w:pPr>
              <w:jc w:val="center"/>
              <w:rPr>
                <w:rFonts w:ascii="Arial" w:hAnsi="Arial" w:cs="Arial"/>
                <w:sz w:val="24"/>
                <w:szCs w:val="24"/>
              </w:rPr>
            </w:pPr>
            <w:r>
              <w:rPr>
                <w:rFonts w:ascii="Arial" w:hAnsi="Arial" w:cs="Arial"/>
                <w:sz w:val="24"/>
                <w:szCs w:val="24"/>
              </w:rPr>
              <w:t>2.33</w:t>
            </w:r>
          </w:p>
        </w:tc>
        <w:tc>
          <w:tcPr>
            <w:tcW w:w="2014" w:type="dxa"/>
            <w:vAlign w:val="center"/>
          </w:tcPr>
          <w:p>
            <w:pPr>
              <w:jc w:val="center"/>
              <w:rPr>
                <w:rFonts w:ascii="Arial" w:hAnsi="Arial" w:cs="Arial"/>
                <w:sz w:val="24"/>
                <w:szCs w:val="24"/>
              </w:rPr>
            </w:pPr>
            <w:r>
              <w:rPr>
                <w:rFonts w:ascii="Arial" w:hAnsi="Arial" w:cs="Arial"/>
                <w:sz w:val="24"/>
                <w:szCs w:val="24"/>
              </w:rPr>
              <w:t>Slightly Practiced</w:t>
            </w:r>
          </w:p>
        </w:tc>
      </w:tr>
      <w:tr>
        <w:trPr>
          <w:trHeight w:val="291"/>
        </w:trPr>
        <w:tc>
          <w:tcPr>
            <w:tcW w:w="5792" w:type="dxa"/>
          </w:tcPr>
          <w:p>
            <w:pPr>
              <w:jc w:val="center"/>
              <w:rPr>
                <w:rFonts w:ascii="Arial" w:hAnsi="Arial" w:cs="Arial"/>
                <w:sz w:val="24"/>
                <w:szCs w:val="24"/>
              </w:rPr>
            </w:pPr>
            <w:r>
              <w:rPr>
                <w:rFonts w:ascii="Arial" w:hAnsi="Arial" w:cs="Arial"/>
                <w:sz w:val="24"/>
                <w:szCs w:val="24"/>
              </w:rPr>
              <w:t xml:space="preserve">Mean </w:t>
            </w:r>
          </w:p>
        </w:tc>
        <w:tc>
          <w:tcPr>
            <w:tcW w:w="1204" w:type="dxa"/>
            <w:vAlign w:val="center"/>
          </w:tcPr>
          <w:p>
            <w:pPr>
              <w:jc w:val="center"/>
              <w:rPr>
                <w:rFonts w:ascii="Arial" w:hAnsi="Arial" w:cs="Arial"/>
                <w:color w:val="000000"/>
                <w:sz w:val="24"/>
                <w:szCs w:val="24"/>
              </w:rPr>
            </w:pPr>
            <w:r>
              <w:rPr>
                <w:rFonts w:ascii="Arial" w:hAnsi="Arial" w:cs="Arial"/>
                <w:color w:val="000000"/>
                <w:sz w:val="24"/>
                <w:szCs w:val="24"/>
              </w:rPr>
              <w:t>2.95</w:t>
            </w:r>
          </w:p>
        </w:tc>
        <w:tc>
          <w:tcPr>
            <w:tcW w:w="2014" w:type="dxa"/>
            <w:vAlign w:val="center"/>
          </w:tcPr>
          <w:p>
            <w:pPr>
              <w:jc w:val="center"/>
              <w:rPr>
                <w:rFonts w:ascii="Arial" w:hAnsi="Arial" w:cs="Arial"/>
                <w:sz w:val="24"/>
                <w:szCs w:val="24"/>
                <w:lang w:eastAsia="en-PH"/>
              </w:rPr>
            </w:pPr>
            <w:r>
              <w:rPr>
                <w:rFonts w:ascii="Arial" w:hAnsi="Arial" w:cs="Arial"/>
                <w:sz w:val="24"/>
                <w:szCs w:val="24"/>
                <w:lang w:eastAsia="en-PH"/>
              </w:rPr>
              <w:t>Moderately Practiced</w:t>
            </w:r>
          </w:p>
        </w:tc>
      </w:tr>
      <w:tr>
        <w:trPr>
          <w:trHeight w:val="138"/>
        </w:trPr>
        <w:tc>
          <w:tcPr>
            <w:tcW w:w="5792" w:type="dxa"/>
          </w:tcPr>
          <w:p>
            <w:pPr>
              <w:pStyle w:val="NoSpacing"/>
              <w:rPr>
                <w:rFonts w:ascii="Arial" w:hAnsi="Arial" w:cs="Arial"/>
                <w:b/>
                <w:bCs/>
                <w:sz w:val="24"/>
                <w:szCs w:val="24"/>
              </w:rPr>
            </w:pPr>
            <w:r>
              <w:rPr>
                <w:rFonts w:ascii="Arial" w:hAnsi="Arial" w:cs="Arial"/>
                <w:b/>
                <w:bCs/>
                <w:sz w:val="24"/>
                <w:szCs w:val="24"/>
              </w:rPr>
              <w:t>Inquiry and problem-solving support</w:t>
            </w:r>
          </w:p>
        </w:tc>
        <w:tc>
          <w:tcPr>
            <w:tcW w:w="1204" w:type="dxa"/>
            <w:vAlign w:val="center"/>
          </w:tcPr>
          <w:p>
            <w:pPr>
              <w:jc w:val="center"/>
              <w:rPr>
                <w:rFonts w:ascii="Arial" w:hAnsi="Arial" w:cs="Arial"/>
                <w:sz w:val="24"/>
                <w:szCs w:val="24"/>
              </w:rPr>
            </w:pPr>
          </w:p>
        </w:tc>
        <w:tc>
          <w:tcPr>
            <w:tcW w:w="2014" w:type="dxa"/>
            <w:vAlign w:val="center"/>
          </w:tcPr>
          <w:p>
            <w:pPr>
              <w:jc w:val="center"/>
              <w:rPr>
                <w:rFonts w:ascii="Arial" w:hAnsi="Arial" w:cs="Arial"/>
                <w:sz w:val="24"/>
                <w:szCs w:val="24"/>
              </w:rPr>
            </w:pPr>
          </w:p>
        </w:tc>
      </w:tr>
      <w:tr>
        <w:trPr>
          <w:trHeight w:val="291"/>
        </w:trPr>
        <w:tc>
          <w:tcPr>
            <w:tcW w:w="5792" w:type="dxa"/>
          </w:tcPr>
          <w:p>
            <w:pPr>
              <w:rPr>
                <w:rFonts w:ascii="Arial" w:hAnsi="Arial" w:cs="Arial"/>
                <w:sz w:val="24"/>
                <w:szCs w:val="24"/>
              </w:rPr>
            </w:pPr>
            <w:r>
              <w:rPr>
                <w:rFonts w:ascii="Arial" w:hAnsi="Arial" w:cs="Arial"/>
                <w:sz w:val="24"/>
                <w:szCs w:val="24"/>
              </w:rPr>
              <w:t>I encourage learners to ask and explore questions through technology.</w:t>
            </w:r>
          </w:p>
        </w:tc>
        <w:tc>
          <w:tcPr>
            <w:tcW w:w="1204" w:type="dxa"/>
            <w:vAlign w:val="center"/>
          </w:tcPr>
          <w:p>
            <w:pPr>
              <w:jc w:val="center"/>
              <w:rPr>
                <w:rFonts w:ascii="Arial" w:hAnsi="Arial" w:cs="Arial"/>
                <w:sz w:val="24"/>
                <w:szCs w:val="24"/>
              </w:rPr>
            </w:pPr>
            <w:r>
              <w:rPr>
                <w:rFonts w:ascii="Arial" w:hAnsi="Arial" w:cs="Arial"/>
                <w:sz w:val="24"/>
                <w:szCs w:val="24"/>
              </w:rPr>
              <w:t>3.40</w:t>
            </w:r>
          </w:p>
        </w:tc>
        <w:tc>
          <w:tcPr>
            <w:tcW w:w="2014" w:type="dxa"/>
            <w:vAlign w:val="center"/>
          </w:tcPr>
          <w:p>
            <w:pPr>
              <w:jc w:val="center"/>
              <w:rPr>
                <w:rFonts w:ascii="Arial" w:hAnsi="Arial" w:cs="Arial"/>
                <w:sz w:val="24"/>
                <w:szCs w:val="24"/>
              </w:rPr>
            </w:pPr>
            <w:r>
              <w:rPr>
                <w:rFonts w:ascii="Arial" w:hAnsi="Arial" w:cs="Arial"/>
                <w:sz w:val="24"/>
                <w:szCs w:val="24"/>
              </w:rPr>
              <w:t>Practiced</w:t>
            </w:r>
          </w:p>
        </w:tc>
      </w:tr>
      <w:tr>
        <w:trPr>
          <w:trHeight w:val="278"/>
        </w:trPr>
        <w:tc>
          <w:tcPr>
            <w:tcW w:w="5792" w:type="dxa"/>
          </w:tcPr>
          <w:p>
            <w:pPr>
              <w:rPr>
                <w:rFonts w:ascii="Arial" w:hAnsi="Arial" w:cs="Arial"/>
                <w:sz w:val="24"/>
                <w:szCs w:val="24"/>
              </w:rPr>
            </w:pPr>
            <w:r>
              <w:rPr>
                <w:rFonts w:ascii="Arial" w:hAnsi="Arial" w:cs="Arial"/>
                <w:sz w:val="24"/>
                <w:szCs w:val="24"/>
              </w:rPr>
              <w:t>I use technology to present real-life English-related problems.</w:t>
            </w:r>
          </w:p>
        </w:tc>
        <w:tc>
          <w:tcPr>
            <w:tcW w:w="1204" w:type="dxa"/>
            <w:vAlign w:val="center"/>
          </w:tcPr>
          <w:p>
            <w:pPr>
              <w:jc w:val="center"/>
              <w:rPr>
                <w:rFonts w:ascii="Arial" w:hAnsi="Arial" w:cs="Arial"/>
                <w:sz w:val="24"/>
                <w:szCs w:val="24"/>
              </w:rPr>
            </w:pPr>
            <w:r>
              <w:rPr>
                <w:rFonts w:ascii="Arial" w:hAnsi="Arial" w:cs="Arial"/>
                <w:sz w:val="24"/>
                <w:szCs w:val="24"/>
              </w:rPr>
              <w:t>3.37</w:t>
            </w:r>
          </w:p>
        </w:tc>
        <w:tc>
          <w:tcPr>
            <w:tcW w:w="2014" w:type="dxa"/>
            <w:vAlign w:val="center"/>
          </w:tcPr>
          <w:p>
            <w:pPr>
              <w:jc w:val="center"/>
              <w:rPr>
                <w:rFonts w:ascii="Arial" w:hAnsi="Arial" w:cs="Arial"/>
                <w:sz w:val="24"/>
                <w:szCs w:val="24"/>
              </w:rPr>
            </w:pPr>
            <w:r>
              <w:rPr>
                <w:rFonts w:ascii="Arial" w:hAnsi="Arial" w:cs="Arial"/>
                <w:sz w:val="24"/>
                <w:szCs w:val="24"/>
              </w:rPr>
              <w:t>Moderately Practiced</w:t>
            </w:r>
          </w:p>
        </w:tc>
      </w:tr>
      <w:tr>
        <w:trPr>
          <w:trHeight w:val="291"/>
        </w:trPr>
        <w:tc>
          <w:tcPr>
            <w:tcW w:w="5792" w:type="dxa"/>
          </w:tcPr>
          <w:p>
            <w:pPr>
              <w:rPr>
                <w:rFonts w:ascii="Arial" w:hAnsi="Arial" w:cs="Arial"/>
                <w:sz w:val="24"/>
                <w:szCs w:val="24"/>
              </w:rPr>
            </w:pPr>
            <w:r>
              <w:rPr>
                <w:rFonts w:ascii="Arial" w:hAnsi="Arial" w:cs="Arial"/>
                <w:sz w:val="24"/>
                <w:szCs w:val="24"/>
              </w:rPr>
              <w:t>I design inquiry-based activities using digital tools.</w:t>
            </w:r>
          </w:p>
        </w:tc>
        <w:tc>
          <w:tcPr>
            <w:tcW w:w="1204" w:type="dxa"/>
            <w:vAlign w:val="center"/>
          </w:tcPr>
          <w:p>
            <w:pPr>
              <w:jc w:val="center"/>
              <w:rPr>
                <w:rFonts w:ascii="Arial" w:hAnsi="Arial" w:cs="Arial"/>
                <w:sz w:val="24"/>
                <w:szCs w:val="24"/>
              </w:rPr>
            </w:pPr>
            <w:r>
              <w:rPr>
                <w:rFonts w:ascii="Arial" w:hAnsi="Arial" w:cs="Arial"/>
                <w:sz w:val="24"/>
                <w:szCs w:val="24"/>
              </w:rPr>
              <w:t>3.20</w:t>
            </w:r>
          </w:p>
        </w:tc>
        <w:tc>
          <w:tcPr>
            <w:tcW w:w="2014" w:type="dxa"/>
            <w:vAlign w:val="center"/>
          </w:tcPr>
          <w:p>
            <w:pPr>
              <w:jc w:val="center"/>
              <w:rPr>
                <w:rFonts w:ascii="Arial" w:hAnsi="Arial" w:cs="Arial"/>
                <w:sz w:val="24"/>
                <w:szCs w:val="24"/>
              </w:rPr>
            </w:pPr>
            <w:r>
              <w:rPr>
                <w:rFonts w:ascii="Arial" w:hAnsi="Arial" w:cs="Arial"/>
                <w:sz w:val="24"/>
                <w:szCs w:val="24"/>
              </w:rPr>
              <w:t>Moderately Practiced</w:t>
            </w:r>
          </w:p>
        </w:tc>
      </w:tr>
      <w:tr>
        <w:trPr>
          <w:trHeight w:val="291"/>
        </w:trPr>
        <w:tc>
          <w:tcPr>
            <w:tcW w:w="5792" w:type="dxa"/>
          </w:tcPr>
          <w:p>
            <w:pPr>
              <w:rPr>
                <w:rFonts w:ascii="Arial" w:hAnsi="Arial" w:cs="Arial"/>
                <w:sz w:val="24"/>
                <w:szCs w:val="24"/>
              </w:rPr>
            </w:pPr>
            <w:r>
              <w:rPr>
                <w:rFonts w:ascii="Arial" w:hAnsi="Arial" w:cs="Arial"/>
                <w:sz w:val="24"/>
                <w:szCs w:val="24"/>
              </w:rPr>
              <w:t>I support critical thinking using technology-based tasks.</w:t>
            </w:r>
          </w:p>
        </w:tc>
        <w:tc>
          <w:tcPr>
            <w:tcW w:w="1204" w:type="dxa"/>
            <w:vAlign w:val="center"/>
          </w:tcPr>
          <w:p>
            <w:pPr>
              <w:jc w:val="center"/>
              <w:rPr>
                <w:rFonts w:ascii="Arial" w:hAnsi="Arial" w:cs="Arial"/>
                <w:sz w:val="24"/>
                <w:szCs w:val="24"/>
              </w:rPr>
            </w:pPr>
            <w:r>
              <w:rPr>
                <w:rFonts w:ascii="Arial" w:hAnsi="Arial" w:cs="Arial"/>
                <w:sz w:val="24"/>
                <w:szCs w:val="24"/>
              </w:rPr>
              <w:t>3.13</w:t>
            </w:r>
          </w:p>
        </w:tc>
        <w:tc>
          <w:tcPr>
            <w:tcW w:w="2014" w:type="dxa"/>
            <w:vAlign w:val="center"/>
          </w:tcPr>
          <w:p>
            <w:pPr>
              <w:jc w:val="center"/>
              <w:rPr>
                <w:rFonts w:ascii="Arial" w:hAnsi="Arial" w:cs="Arial"/>
                <w:sz w:val="24"/>
                <w:szCs w:val="24"/>
              </w:rPr>
            </w:pPr>
            <w:r>
              <w:rPr>
                <w:rFonts w:ascii="Arial" w:hAnsi="Arial" w:cs="Arial"/>
                <w:sz w:val="24"/>
                <w:szCs w:val="24"/>
              </w:rPr>
              <w:t>Moderately Practiced</w:t>
            </w:r>
          </w:p>
        </w:tc>
      </w:tr>
      <w:tr>
        <w:trPr>
          <w:trHeight w:val="278"/>
        </w:trPr>
        <w:tc>
          <w:tcPr>
            <w:tcW w:w="5792" w:type="dxa"/>
          </w:tcPr>
          <w:p>
            <w:pPr>
              <w:rPr>
                <w:rFonts w:ascii="Arial" w:hAnsi="Arial" w:cs="Arial"/>
                <w:sz w:val="24"/>
                <w:szCs w:val="24"/>
              </w:rPr>
            </w:pPr>
            <w:r>
              <w:rPr>
                <w:rFonts w:ascii="Arial" w:hAnsi="Arial" w:cs="Arial"/>
                <w:sz w:val="24"/>
                <w:szCs w:val="24"/>
              </w:rPr>
              <w:t>I guide learners in gathering and analyzing information digitally.</w:t>
            </w:r>
          </w:p>
        </w:tc>
        <w:tc>
          <w:tcPr>
            <w:tcW w:w="1204" w:type="dxa"/>
            <w:vAlign w:val="center"/>
          </w:tcPr>
          <w:p>
            <w:pPr>
              <w:jc w:val="center"/>
              <w:rPr>
                <w:rFonts w:ascii="Arial" w:hAnsi="Arial" w:cs="Arial"/>
                <w:sz w:val="24"/>
                <w:szCs w:val="24"/>
              </w:rPr>
            </w:pPr>
            <w:r>
              <w:rPr>
                <w:rFonts w:ascii="Arial" w:hAnsi="Arial" w:cs="Arial"/>
                <w:sz w:val="24"/>
                <w:szCs w:val="24"/>
              </w:rPr>
              <w:t>2.67</w:t>
            </w:r>
          </w:p>
        </w:tc>
        <w:tc>
          <w:tcPr>
            <w:tcW w:w="2014" w:type="dxa"/>
            <w:vAlign w:val="center"/>
          </w:tcPr>
          <w:p>
            <w:pPr>
              <w:jc w:val="center"/>
              <w:rPr>
                <w:rFonts w:ascii="Arial" w:hAnsi="Arial" w:cs="Arial"/>
                <w:sz w:val="24"/>
                <w:szCs w:val="24"/>
              </w:rPr>
            </w:pPr>
            <w:r>
              <w:rPr>
                <w:rFonts w:ascii="Arial" w:hAnsi="Arial" w:cs="Arial"/>
                <w:sz w:val="24"/>
                <w:szCs w:val="24"/>
              </w:rPr>
              <w:t>Moderately Practiced</w:t>
            </w:r>
          </w:p>
        </w:tc>
      </w:tr>
      <w:tr>
        <w:trPr>
          <w:trHeight w:val="291"/>
        </w:trPr>
        <w:tc>
          <w:tcPr>
            <w:tcW w:w="5792" w:type="dxa"/>
          </w:tcPr>
          <w:p>
            <w:pPr>
              <w:jc w:val="center"/>
              <w:rPr>
                <w:rFonts w:ascii="Arial" w:hAnsi="Arial" w:cs="Arial"/>
                <w:sz w:val="24"/>
                <w:szCs w:val="24"/>
              </w:rPr>
            </w:pPr>
            <w:r>
              <w:rPr>
                <w:rFonts w:ascii="Arial" w:hAnsi="Arial" w:cs="Arial"/>
                <w:sz w:val="24"/>
                <w:szCs w:val="24"/>
              </w:rPr>
              <w:t>Mean</w:t>
            </w:r>
          </w:p>
        </w:tc>
        <w:tc>
          <w:tcPr>
            <w:tcW w:w="1204" w:type="dxa"/>
            <w:vAlign w:val="center"/>
          </w:tcPr>
          <w:p>
            <w:pPr>
              <w:jc w:val="center"/>
              <w:rPr>
                <w:rFonts w:ascii="Arial" w:hAnsi="Arial" w:cs="Arial"/>
                <w:sz w:val="24"/>
                <w:szCs w:val="24"/>
              </w:rPr>
            </w:pPr>
            <w:r>
              <w:rPr>
                <w:rFonts w:ascii="Arial" w:hAnsi="Arial" w:cs="Arial"/>
                <w:color w:val="000000"/>
                <w:sz w:val="24"/>
                <w:szCs w:val="24"/>
              </w:rPr>
              <w:t>3.15</w:t>
            </w:r>
          </w:p>
        </w:tc>
        <w:tc>
          <w:tcPr>
            <w:tcW w:w="2014" w:type="dxa"/>
            <w:vAlign w:val="center"/>
          </w:tcPr>
          <w:p>
            <w:pPr>
              <w:jc w:val="center"/>
              <w:rPr>
                <w:rFonts w:ascii="Arial" w:hAnsi="Arial" w:cs="Arial"/>
                <w:sz w:val="24"/>
                <w:szCs w:val="24"/>
              </w:rPr>
            </w:pPr>
            <w:r>
              <w:rPr>
                <w:rFonts w:ascii="Arial" w:hAnsi="Arial" w:cs="Arial"/>
                <w:sz w:val="24"/>
                <w:szCs w:val="24"/>
                <w:lang w:eastAsia="en-PH"/>
              </w:rPr>
              <w:t>Moderately Practiced</w:t>
            </w:r>
          </w:p>
        </w:tc>
      </w:tr>
      <w:tr>
        <w:trPr>
          <w:trHeight w:val="138"/>
        </w:trPr>
        <w:tc>
          <w:tcPr>
            <w:tcW w:w="5792" w:type="dxa"/>
          </w:tcPr>
          <w:p>
            <w:pPr>
              <w:rPr>
                <w:rFonts w:ascii="Arial" w:hAnsi="Arial" w:cs="Arial"/>
                <w:b/>
                <w:bCs/>
                <w:sz w:val="24"/>
                <w:szCs w:val="24"/>
              </w:rPr>
            </w:pPr>
            <w:r>
              <w:rPr>
                <w:rFonts w:ascii="Arial" w:hAnsi="Arial" w:cs="Arial"/>
                <w:b/>
                <w:bCs/>
                <w:sz w:val="24"/>
                <w:szCs w:val="24"/>
              </w:rPr>
              <w:t>Technology-mediated dialogue and collaboration</w:t>
            </w:r>
          </w:p>
        </w:tc>
        <w:tc>
          <w:tcPr>
            <w:tcW w:w="1204" w:type="dxa"/>
            <w:vAlign w:val="center"/>
          </w:tcPr>
          <w:p>
            <w:pPr>
              <w:jc w:val="center"/>
              <w:rPr>
                <w:rFonts w:ascii="Arial" w:hAnsi="Arial" w:cs="Arial"/>
                <w:sz w:val="24"/>
                <w:szCs w:val="24"/>
              </w:rPr>
            </w:pPr>
          </w:p>
        </w:tc>
        <w:tc>
          <w:tcPr>
            <w:tcW w:w="2014" w:type="dxa"/>
            <w:vAlign w:val="center"/>
          </w:tcPr>
          <w:p>
            <w:pPr>
              <w:jc w:val="center"/>
              <w:rPr>
                <w:rFonts w:ascii="Arial" w:hAnsi="Arial" w:cs="Arial"/>
                <w:sz w:val="24"/>
                <w:szCs w:val="24"/>
              </w:rPr>
            </w:pPr>
          </w:p>
        </w:tc>
      </w:tr>
      <w:tr>
        <w:trPr>
          <w:trHeight w:val="304"/>
        </w:trPr>
        <w:tc>
          <w:tcPr>
            <w:tcW w:w="5792" w:type="dxa"/>
          </w:tcPr>
          <w:p>
            <w:pPr>
              <w:rPr>
                <w:rFonts w:ascii="Arial" w:hAnsi="Arial" w:cs="Arial"/>
                <w:b/>
                <w:bCs/>
                <w:i/>
                <w:sz w:val="24"/>
                <w:szCs w:val="24"/>
                <w:lang w:eastAsia="en-PH"/>
              </w:rPr>
            </w:pPr>
            <w:r>
              <w:rPr>
                <w:rFonts w:ascii="Arial" w:hAnsi="Arial" w:cs="Arial"/>
                <w:sz w:val="24"/>
                <w:szCs w:val="24"/>
              </w:rPr>
              <w:t>I support group work using technology.</w:t>
            </w:r>
          </w:p>
        </w:tc>
        <w:tc>
          <w:tcPr>
            <w:tcW w:w="1204" w:type="dxa"/>
            <w:vAlign w:val="center"/>
          </w:tcPr>
          <w:p>
            <w:pPr>
              <w:jc w:val="center"/>
              <w:rPr>
                <w:rFonts w:ascii="Arial" w:hAnsi="Arial" w:cs="Arial"/>
                <w:sz w:val="24"/>
                <w:szCs w:val="24"/>
              </w:rPr>
            </w:pPr>
            <w:r>
              <w:rPr>
                <w:rFonts w:ascii="Arial" w:hAnsi="Arial" w:cs="Arial"/>
                <w:sz w:val="24"/>
                <w:szCs w:val="24"/>
              </w:rPr>
              <w:t>3.30</w:t>
            </w:r>
          </w:p>
        </w:tc>
        <w:tc>
          <w:tcPr>
            <w:tcW w:w="2014" w:type="dxa"/>
            <w:vAlign w:val="center"/>
          </w:tcPr>
          <w:p>
            <w:pPr>
              <w:jc w:val="center"/>
              <w:rPr>
                <w:rFonts w:ascii="Arial" w:hAnsi="Arial" w:cs="Arial"/>
                <w:sz w:val="24"/>
                <w:szCs w:val="24"/>
              </w:rPr>
            </w:pPr>
            <w:r>
              <w:rPr>
                <w:rFonts w:ascii="Arial" w:hAnsi="Arial" w:cs="Arial"/>
                <w:sz w:val="24"/>
                <w:szCs w:val="24"/>
              </w:rPr>
              <w:t>Moderately Practiced</w:t>
            </w:r>
          </w:p>
        </w:tc>
      </w:tr>
      <w:tr>
        <w:trPr>
          <w:trHeight w:val="291"/>
        </w:trPr>
        <w:tc>
          <w:tcPr>
            <w:tcW w:w="5792" w:type="dxa"/>
          </w:tcPr>
          <w:p>
            <w:pPr>
              <w:rPr>
                <w:rFonts w:ascii="Arial" w:hAnsi="Arial" w:cs="Arial"/>
                <w:sz w:val="24"/>
                <w:szCs w:val="24"/>
              </w:rPr>
            </w:pPr>
            <w:r>
              <w:rPr>
                <w:rFonts w:ascii="Arial" w:hAnsi="Arial" w:cs="Arial"/>
                <w:sz w:val="24"/>
                <w:szCs w:val="24"/>
              </w:rPr>
              <w:lastRenderedPageBreak/>
              <w:t>I encourage peer feedback through digital platforms.</w:t>
            </w:r>
          </w:p>
        </w:tc>
        <w:tc>
          <w:tcPr>
            <w:tcW w:w="1204" w:type="dxa"/>
            <w:vAlign w:val="center"/>
          </w:tcPr>
          <w:p>
            <w:pPr>
              <w:jc w:val="center"/>
              <w:rPr>
                <w:rFonts w:ascii="Arial" w:hAnsi="Arial" w:cs="Arial"/>
                <w:sz w:val="24"/>
                <w:szCs w:val="24"/>
              </w:rPr>
            </w:pPr>
            <w:r>
              <w:rPr>
                <w:rFonts w:ascii="Arial" w:hAnsi="Arial" w:cs="Arial"/>
                <w:sz w:val="24"/>
                <w:szCs w:val="24"/>
              </w:rPr>
              <w:t>3.10</w:t>
            </w:r>
          </w:p>
        </w:tc>
        <w:tc>
          <w:tcPr>
            <w:tcW w:w="2014" w:type="dxa"/>
            <w:vAlign w:val="center"/>
          </w:tcPr>
          <w:p>
            <w:pPr>
              <w:jc w:val="center"/>
              <w:rPr>
                <w:rFonts w:ascii="Arial" w:hAnsi="Arial" w:cs="Arial"/>
                <w:sz w:val="24"/>
                <w:szCs w:val="24"/>
              </w:rPr>
            </w:pPr>
            <w:r>
              <w:rPr>
                <w:rFonts w:ascii="Arial" w:hAnsi="Arial" w:cs="Arial"/>
                <w:sz w:val="24"/>
                <w:szCs w:val="24"/>
              </w:rPr>
              <w:t>Moderately Practiced</w:t>
            </w:r>
          </w:p>
        </w:tc>
      </w:tr>
      <w:tr>
        <w:trPr>
          <w:trHeight w:val="278"/>
        </w:trPr>
        <w:tc>
          <w:tcPr>
            <w:tcW w:w="5792" w:type="dxa"/>
          </w:tcPr>
          <w:p>
            <w:pPr>
              <w:rPr>
                <w:rFonts w:ascii="Arial" w:hAnsi="Arial" w:cs="Arial"/>
                <w:sz w:val="24"/>
                <w:szCs w:val="24"/>
              </w:rPr>
            </w:pPr>
            <w:r>
              <w:rPr>
                <w:rFonts w:ascii="Arial" w:hAnsi="Arial" w:cs="Arial"/>
                <w:sz w:val="24"/>
                <w:szCs w:val="24"/>
              </w:rPr>
              <w:t>I design collaborative tasks using technology.</w:t>
            </w:r>
          </w:p>
        </w:tc>
        <w:tc>
          <w:tcPr>
            <w:tcW w:w="1204" w:type="dxa"/>
            <w:vAlign w:val="center"/>
          </w:tcPr>
          <w:p>
            <w:pPr>
              <w:jc w:val="center"/>
              <w:rPr>
                <w:rFonts w:ascii="Arial" w:hAnsi="Arial" w:cs="Arial"/>
                <w:sz w:val="24"/>
                <w:szCs w:val="24"/>
              </w:rPr>
            </w:pPr>
            <w:r>
              <w:rPr>
                <w:rFonts w:ascii="Arial" w:hAnsi="Arial" w:cs="Arial"/>
                <w:sz w:val="24"/>
                <w:szCs w:val="24"/>
              </w:rPr>
              <w:t>2.80</w:t>
            </w:r>
          </w:p>
        </w:tc>
        <w:tc>
          <w:tcPr>
            <w:tcW w:w="2014" w:type="dxa"/>
            <w:vAlign w:val="center"/>
          </w:tcPr>
          <w:p>
            <w:pPr>
              <w:jc w:val="center"/>
              <w:rPr>
                <w:rFonts w:ascii="Arial" w:hAnsi="Arial" w:cs="Arial"/>
                <w:sz w:val="24"/>
                <w:szCs w:val="24"/>
              </w:rPr>
            </w:pPr>
            <w:r>
              <w:rPr>
                <w:rFonts w:ascii="Arial" w:hAnsi="Arial" w:cs="Arial"/>
                <w:sz w:val="24"/>
                <w:szCs w:val="24"/>
              </w:rPr>
              <w:t>Moderately Practiced</w:t>
            </w:r>
          </w:p>
        </w:tc>
      </w:tr>
      <w:tr>
        <w:trPr>
          <w:trHeight w:val="291"/>
        </w:trPr>
        <w:tc>
          <w:tcPr>
            <w:tcW w:w="5792" w:type="dxa"/>
          </w:tcPr>
          <w:p>
            <w:pPr>
              <w:rPr>
                <w:rFonts w:ascii="Arial" w:hAnsi="Arial" w:cs="Arial"/>
                <w:sz w:val="24"/>
                <w:szCs w:val="24"/>
              </w:rPr>
            </w:pPr>
            <w:r>
              <w:rPr>
                <w:rFonts w:ascii="Arial" w:hAnsi="Arial" w:cs="Arial"/>
                <w:sz w:val="24"/>
                <w:szCs w:val="24"/>
              </w:rPr>
              <w:t>I promote communication and idea exchange through digital tools.</w:t>
            </w:r>
          </w:p>
        </w:tc>
        <w:tc>
          <w:tcPr>
            <w:tcW w:w="1204" w:type="dxa"/>
            <w:vAlign w:val="center"/>
          </w:tcPr>
          <w:p>
            <w:pPr>
              <w:jc w:val="center"/>
              <w:rPr>
                <w:rFonts w:ascii="Arial" w:hAnsi="Arial" w:cs="Arial"/>
                <w:sz w:val="24"/>
                <w:szCs w:val="24"/>
              </w:rPr>
            </w:pPr>
            <w:r>
              <w:rPr>
                <w:rFonts w:ascii="Arial" w:hAnsi="Arial" w:cs="Arial"/>
                <w:sz w:val="24"/>
                <w:szCs w:val="24"/>
              </w:rPr>
              <w:t>2.60</w:t>
            </w:r>
          </w:p>
        </w:tc>
        <w:tc>
          <w:tcPr>
            <w:tcW w:w="2014" w:type="dxa"/>
            <w:vAlign w:val="center"/>
          </w:tcPr>
          <w:p>
            <w:pPr>
              <w:jc w:val="center"/>
              <w:rPr>
                <w:rFonts w:ascii="Arial" w:hAnsi="Arial" w:cs="Arial"/>
                <w:sz w:val="24"/>
                <w:szCs w:val="24"/>
              </w:rPr>
            </w:pPr>
            <w:r>
              <w:rPr>
                <w:rFonts w:ascii="Arial" w:hAnsi="Arial" w:cs="Arial"/>
                <w:sz w:val="24"/>
                <w:szCs w:val="24"/>
              </w:rPr>
              <w:t>Moderately Practiced</w:t>
            </w:r>
          </w:p>
        </w:tc>
      </w:tr>
      <w:tr>
        <w:trPr>
          <w:trHeight w:val="291"/>
        </w:trPr>
        <w:tc>
          <w:tcPr>
            <w:tcW w:w="5792" w:type="dxa"/>
          </w:tcPr>
          <w:p>
            <w:pPr>
              <w:rPr>
                <w:rFonts w:ascii="Arial" w:hAnsi="Arial" w:cs="Arial"/>
                <w:sz w:val="24"/>
                <w:szCs w:val="24"/>
              </w:rPr>
            </w:pPr>
            <w:r>
              <w:rPr>
                <w:rFonts w:ascii="Arial" w:hAnsi="Arial" w:cs="Arial"/>
                <w:sz w:val="24"/>
                <w:szCs w:val="24"/>
              </w:rPr>
              <w:t>I use digital tools to facilitate interaction in English.</w:t>
            </w:r>
          </w:p>
        </w:tc>
        <w:tc>
          <w:tcPr>
            <w:tcW w:w="1204" w:type="dxa"/>
            <w:vAlign w:val="center"/>
          </w:tcPr>
          <w:p>
            <w:pPr>
              <w:jc w:val="center"/>
              <w:rPr>
                <w:rFonts w:ascii="Arial" w:hAnsi="Arial" w:cs="Arial"/>
                <w:sz w:val="24"/>
                <w:szCs w:val="24"/>
              </w:rPr>
            </w:pPr>
            <w:r>
              <w:rPr>
                <w:rFonts w:ascii="Arial" w:hAnsi="Arial" w:cs="Arial"/>
                <w:sz w:val="24"/>
                <w:szCs w:val="24"/>
              </w:rPr>
              <w:t>2.43</w:t>
            </w:r>
          </w:p>
        </w:tc>
        <w:tc>
          <w:tcPr>
            <w:tcW w:w="2014" w:type="dxa"/>
            <w:vAlign w:val="center"/>
          </w:tcPr>
          <w:p>
            <w:pPr>
              <w:jc w:val="center"/>
              <w:rPr>
                <w:rFonts w:ascii="Arial" w:hAnsi="Arial" w:cs="Arial"/>
                <w:sz w:val="24"/>
                <w:szCs w:val="24"/>
              </w:rPr>
            </w:pPr>
            <w:r>
              <w:rPr>
                <w:rFonts w:ascii="Arial" w:hAnsi="Arial" w:cs="Arial"/>
                <w:sz w:val="24"/>
                <w:szCs w:val="24"/>
              </w:rPr>
              <w:t>Moderately Practiced</w:t>
            </w:r>
          </w:p>
        </w:tc>
      </w:tr>
      <w:tr>
        <w:trPr>
          <w:trHeight w:val="278"/>
        </w:trPr>
        <w:tc>
          <w:tcPr>
            <w:tcW w:w="5792" w:type="dxa"/>
          </w:tcPr>
          <w:p>
            <w:pPr>
              <w:jc w:val="center"/>
              <w:rPr>
                <w:rFonts w:ascii="Arial" w:hAnsi="Arial" w:cs="Arial"/>
                <w:sz w:val="24"/>
                <w:szCs w:val="24"/>
              </w:rPr>
            </w:pPr>
            <w:r>
              <w:rPr>
                <w:rFonts w:ascii="Arial" w:hAnsi="Arial" w:cs="Arial"/>
                <w:sz w:val="24"/>
                <w:szCs w:val="24"/>
              </w:rPr>
              <w:t xml:space="preserve">Mean </w:t>
            </w:r>
          </w:p>
        </w:tc>
        <w:tc>
          <w:tcPr>
            <w:tcW w:w="1204" w:type="dxa"/>
            <w:vAlign w:val="center"/>
          </w:tcPr>
          <w:p>
            <w:pPr>
              <w:jc w:val="center"/>
              <w:rPr>
                <w:rFonts w:ascii="Arial" w:hAnsi="Arial" w:cs="Arial"/>
                <w:sz w:val="24"/>
                <w:szCs w:val="24"/>
              </w:rPr>
            </w:pPr>
            <w:r>
              <w:rPr>
                <w:rFonts w:ascii="Arial" w:hAnsi="Arial" w:cs="Arial"/>
                <w:color w:val="000000"/>
                <w:sz w:val="24"/>
                <w:szCs w:val="24"/>
              </w:rPr>
              <w:t>2.85</w:t>
            </w:r>
          </w:p>
        </w:tc>
        <w:tc>
          <w:tcPr>
            <w:tcW w:w="2014" w:type="dxa"/>
            <w:vAlign w:val="center"/>
          </w:tcPr>
          <w:p>
            <w:pPr>
              <w:jc w:val="center"/>
              <w:rPr>
                <w:rFonts w:ascii="Arial" w:hAnsi="Arial" w:cs="Arial"/>
                <w:sz w:val="24"/>
                <w:szCs w:val="24"/>
              </w:rPr>
            </w:pPr>
            <w:r>
              <w:rPr>
                <w:rFonts w:ascii="Arial" w:hAnsi="Arial" w:cs="Arial"/>
                <w:sz w:val="24"/>
                <w:szCs w:val="24"/>
                <w:lang w:eastAsia="en-PH"/>
              </w:rPr>
              <w:t>Moderately Practiced</w:t>
            </w:r>
          </w:p>
        </w:tc>
      </w:tr>
      <w:tr>
        <w:trPr>
          <w:trHeight w:val="151"/>
        </w:trPr>
        <w:tc>
          <w:tcPr>
            <w:tcW w:w="5792" w:type="dxa"/>
          </w:tcPr>
          <w:p>
            <w:pPr>
              <w:rPr>
                <w:rFonts w:ascii="Arial" w:hAnsi="Arial" w:cs="Arial"/>
                <w:b/>
                <w:bCs/>
                <w:sz w:val="24"/>
                <w:szCs w:val="24"/>
              </w:rPr>
            </w:pPr>
            <w:r>
              <w:rPr>
                <w:rFonts w:ascii="Arial" w:hAnsi="Arial" w:cs="Arial"/>
                <w:b/>
                <w:bCs/>
                <w:sz w:val="24"/>
                <w:szCs w:val="24"/>
              </w:rPr>
              <w:t>Culturally responsive task design and scaffolding</w:t>
            </w:r>
          </w:p>
        </w:tc>
        <w:tc>
          <w:tcPr>
            <w:tcW w:w="1204" w:type="dxa"/>
            <w:vAlign w:val="center"/>
          </w:tcPr>
          <w:p>
            <w:pPr>
              <w:jc w:val="center"/>
              <w:rPr>
                <w:rFonts w:ascii="Arial" w:hAnsi="Arial" w:cs="Arial"/>
                <w:sz w:val="24"/>
                <w:szCs w:val="24"/>
              </w:rPr>
            </w:pPr>
          </w:p>
        </w:tc>
        <w:tc>
          <w:tcPr>
            <w:tcW w:w="2014" w:type="dxa"/>
            <w:vAlign w:val="center"/>
          </w:tcPr>
          <w:p>
            <w:pPr>
              <w:jc w:val="center"/>
              <w:rPr>
                <w:rFonts w:ascii="Arial" w:hAnsi="Arial" w:cs="Arial"/>
                <w:sz w:val="24"/>
                <w:szCs w:val="24"/>
              </w:rPr>
            </w:pPr>
          </w:p>
        </w:tc>
      </w:tr>
      <w:tr>
        <w:trPr>
          <w:trHeight w:val="278"/>
        </w:trPr>
        <w:tc>
          <w:tcPr>
            <w:tcW w:w="5792" w:type="dxa"/>
          </w:tcPr>
          <w:p>
            <w:pPr>
              <w:rPr>
                <w:rFonts w:ascii="Arial" w:hAnsi="Arial" w:cs="Arial"/>
                <w:b/>
                <w:i/>
                <w:sz w:val="24"/>
                <w:szCs w:val="24"/>
                <w:lang w:eastAsia="en-PH"/>
              </w:rPr>
            </w:pPr>
            <w:r>
              <w:rPr>
                <w:rFonts w:ascii="Arial" w:hAnsi="Arial" w:cs="Arial"/>
                <w:sz w:val="24"/>
                <w:szCs w:val="24"/>
              </w:rPr>
              <w:t>I ensure technology respects Indigenous values.</w:t>
            </w:r>
          </w:p>
        </w:tc>
        <w:tc>
          <w:tcPr>
            <w:tcW w:w="1204" w:type="dxa"/>
            <w:vAlign w:val="center"/>
          </w:tcPr>
          <w:p>
            <w:pPr>
              <w:jc w:val="center"/>
              <w:rPr>
                <w:rFonts w:ascii="Arial" w:hAnsi="Arial" w:cs="Arial"/>
                <w:sz w:val="24"/>
                <w:szCs w:val="24"/>
              </w:rPr>
            </w:pPr>
            <w:r>
              <w:rPr>
                <w:rFonts w:ascii="Arial" w:hAnsi="Arial" w:cs="Arial"/>
                <w:sz w:val="24"/>
                <w:szCs w:val="24"/>
              </w:rPr>
              <w:t>3.13</w:t>
            </w:r>
          </w:p>
        </w:tc>
        <w:tc>
          <w:tcPr>
            <w:tcW w:w="2014" w:type="dxa"/>
            <w:vAlign w:val="center"/>
          </w:tcPr>
          <w:p>
            <w:pPr>
              <w:jc w:val="center"/>
              <w:rPr>
                <w:rFonts w:ascii="Arial" w:hAnsi="Arial" w:cs="Arial"/>
                <w:sz w:val="24"/>
                <w:szCs w:val="24"/>
              </w:rPr>
            </w:pPr>
            <w:r>
              <w:rPr>
                <w:rFonts w:ascii="Arial" w:hAnsi="Arial" w:cs="Arial"/>
                <w:sz w:val="24"/>
                <w:szCs w:val="24"/>
              </w:rPr>
              <w:t>Moderately Practiced</w:t>
            </w:r>
          </w:p>
        </w:tc>
      </w:tr>
      <w:tr>
        <w:trPr>
          <w:trHeight w:val="291"/>
        </w:trPr>
        <w:tc>
          <w:tcPr>
            <w:tcW w:w="5792" w:type="dxa"/>
          </w:tcPr>
          <w:p>
            <w:pPr>
              <w:rPr>
                <w:rFonts w:ascii="Arial" w:hAnsi="Arial" w:cs="Arial"/>
                <w:sz w:val="24"/>
                <w:szCs w:val="24"/>
              </w:rPr>
            </w:pPr>
            <w:r>
              <w:rPr>
                <w:rFonts w:ascii="Arial" w:hAnsi="Arial" w:cs="Arial"/>
                <w:sz w:val="24"/>
                <w:szCs w:val="24"/>
              </w:rPr>
              <w:t>I design tasks reflecting Indigenous culture.</w:t>
            </w:r>
          </w:p>
        </w:tc>
        <w:tc>
          <w:tcPr>
            <w:tcW w:w="1204" w:type="dxa"/>
            <w:vAlign w:val="center"/>
          </w:tcPr>
          <w:p>
            <w:pPr>
              <w:jc w:val="center"/>
              <w:rPr>
                <w:rFonts w:ascii="Arial" w:hAnsi="Arial" w:cs="Arial"/>
                <w:sz w:val="24"/>
                <w:szCs w:val="24"/>
              </w:rPr>
            </w:pPr>
            <w:r>
              <w:rPr>
                <w:rFonts w:ascii="Arial" w:hAnsi="Arial" w:cs="Arial"/>
                <w:sz w:val="24"/>
                <w:szCs w:val="24"/>
              </w:rPr>
              <w:t>2.97</w:t>
            </w:r>
          </w:p>
        </w:tc>
        <w:tc>
          <w:tcPr>
            <w:tcW w:w="2014" w:type="dxa"/>
            <w:vAlign w:val="center"/>
          </w:tcPr>
          <w:p>
            <w:pPr>
              <w:jc w:val="center"/>
              <w:rPr>
                <w:rFonts w:ascii="Arial" w:hAnsi="Arial" w:cs="Arial"/>
                <w:sz w:val="24"/>
                <w:szCs w:val="24"/>
              </w:rPr>
            </w:pPr>
            <w:r>
              <w:rPr>
                <w:rFonts w:ascii="Arial" w:hAnsi="Arial" w:cs="Arial"/>
                <w:sz w:val="24"/>
                <w:szCs w:val="24"/>
              </w:rPr>
              <w:t>Moderately Practiced</w:t>
            </w:r>
          </w:p>
        </w:tc>
      </w:tr>
      <w:tr>
        <w:trPr>
          <w:trHeight w:val="291"/>
        </w:trPr>
        <w:tc>
          <w:tcPr>
            <w:tcW w:w="5792" w:type="dxa"/>
          </w:tcPr>
          <w:p>
            <w:pPr>
              <w:rPr>
                <w:rFonts w:ascii="Arial" w:hAnsi="Arial" w:cs="Arial"/>
                <w:sz w:val="24"/>
                <w:szCs w:val="24"/>
              </w:rPr>
            </w:pPr>
            <w:r>
              <w:rPr>
                <w:rFonts w:ascii="Arial" w:hAnsi="Arial" w:cs="Arial"/>
                <w:sz w:val="24"/>
                <w:szCs w:val="24"/>
              </w:rPr>
              <w:t>I adapt materials to learners’ cultural background.</w:t>
            </w:r>
          </w:p>
        </w:tc>
        <w:tc>
          <w:tcPr>
            <w:tcW w:w="1204" w:type="dxa"/>
            <w:vAlign w:val="center"/>
          </w:tcPr>
          <w:p>
            <w:pPr>
              <w:jc w:val="center"/>
              <w:rPr>
                <w:rFonts w:ascii="Arial" w:hAnsi="Arial" w:cs="Arial"/>
                <w:sz w:val="24"/>
                <w:szCs w:val="24"/>
              </w:rPr>
            </w:pPr>
            <w:r>
              <w:rPr>
                <w:rFonts w:ascii="Arial" w:hAnsi="Arial" w:cs="Arial"/>
                <w:sz w:val="24"/>
                <w:szCs w:val="24"/>
              </w:rPr>
              <w:t>2.93</w:t>
            </w:r>
          </w:p>
        </w:tc>
        <w:tc>
          <w:tcPr>
            <w:tcW w:w="2014" w:type="dxa"/>
            <w:vAlign w:val="center"/>
          </w:tcPr>
          <w:p>
            <w:pPr>
              <w:jc w:val="center"/>
              <w:rPr>
                <w:rFonts w:ascii="Arial" w:hAnsi="Arial" w:cs="Arial"/>
                <w:sz w:val="24"/>
                <w:szCs w:val="24"/>
              </w:rPr>
            </w:pPr>
            <w:r>
              <w:rPr>
                <w:rFonts w:ascii="Arial" w:hAnsi="Arial" w:cs="Arial"/>
                <w:sz w:val="24"/>
                <w:szCs w:val="24"/>
              </w:rPr>
              <w:t>Moderately Practiced</w:t>
            </w:r>
          </w:p>
        </w:tc>
      </w:tr>
      <w:tr>
        <w:trPr>
          <w:trHeight w:val="278"/>
        </w:trPr>
        <w:tc>
          <w:tcPr>
            <w:tcW w:w="5792" w:type="dxa"/>
          </w:tcPr>
          <w:p>
            <w:pPr>
              <w:rPr>
                <w:rFonts w:ascii="Arial" w:hAnsi="Arial" w:cs="Arial"/>
                <w:sz w:val="24"/>
                <w:szCs w:val="24"/>
              </w:rPr>
            </w:pPr>
            <w:r>
              <w:rPr>
                <w:rFonts w:ascii="Arial" w:hAnsi="Arial" w:cs="Arial"/>
                <w:sz w:val="24"/>
                <w:szCs w:val="24"/>
              </w:rPr>
              <w:t>I integrate local knowledge using technology.</w:t>
            </w:r>
          </w:p>
        </w:tc>
        <w:tc>
          <w:tcPr>
            <w:tcW w:w="1204" w:type="dxa"/>
            <w:vAlign w:val="center"/>
          </w:tcPr>
          <w:p>
            <w:pPr>
              <w:jc w:val="center"/>
              <w:rPr>
                <w:rFonts w:ascii="Arial" w:hAnsi="Arial" w:cs="Arial"/>
                <w:sz w:val="24"/>
                <w:szCs w:val="24"/>
              </w:rPr>
            </w:pPr>
            <w:r>
              <w:rPr>
                <w:rFonts w:ascii="Arial" w:hAnsi="Arial" w:cs="Arial"/>
                <w:sz w:val="24"/>
                <w:szCs w:val="24"/>
              </w:rPr>
              <w:t>2.87</w:t>
            </w:r>
          </w:p>
        </w:tc>
        <w:tc>
          <w:tcPr>
            <w:tcW w:w="2014" w:type="dxa"/>
            <w:vAlign w:val="center"/>
          </w:tcPr>
          <w:p>
            <w:pPr>
              <w:jc w:val="center"/>
              <w:rPr>
                <w:rFonts w:ascii="Arial" w:hAnsi="Arial" w:cs="Arial"/>
                <w:sz w:val="24"/>
                <w:szCs w:val="24"/>
              </w:rPr>
            </w:pPr>
            <w:r>
              <w:rPr>
                <w:rFonts w:ascii="Arial" w:hAnsi="Arial" w:cs="Arial"/>
                <w:sz w:val="24"/>
                <w:szCs w:val="24"/>
              </w:rPr>
              <w:t>Moderately Practiced</w:t>
            </w:r>
          </w:p>
        </w:tc>
      </w:tr>
      <w:tr>
        <w:trPr>
          <w:trHeight w:val="291"/>
        </w:trPr>
        <w:tc>
          <w:tcPr>
            <w:tcW w:w="5792" w:type="dxa"/>
          </w:tcPr>
          <w:p>
            <w:pPr>
              <w:rPr>
                <w:rFonts w:ascii="Arial" w:hAnsi="Arial" w:cs="Arial"/>
                <w:sz w:val="24"/>
                <w:szCs w:val="24"/>
              </w:rPr>
            </w:pPr>
            <w:r>
              <w:rPr>
                <w:rFonts w:ascii="Arial" w:hAnsi="Arial" w:cs="Arial"/>
                <w:sz w:val="24"/>
                <w:szCs w:val="24"/>
              </w:rPr>
              <w:t>I provide scaffolding through digital tools.</w:t>
            </w:r>
          </w:p>
        </w:tc>
        <w:tc>
          <w:tcPr>
            <w:tcW w:w="1204" w:type="dxa"/>
            <w:vAlign w:val="center"/>
          </w:tcPr>
          <w:p>
            <w:pPr>
              <w:jc w:val="center"/>
              <w:rPr>
                <w:rFonts w:ascii="Arial" w:hAnsi="Arial" w:cs="Arial"/>
                <w:sz w:val="24"/>
                <w:szCs w:val="24"/>
              </w:rPr>
            </w:pPr>
            <w:r>
              <w:rPr>
                <w:rFonts w:ascii="Arial" w:hAnsi="Arial" w:cs="Arial"/>
                <w:sz w:val="24"/>
                <w:szCs w:val="24"/>
              </w:rPr>
              <w:t>2.60</w:t>
            </w:r>
          </w:p>
        </w:tc>
        <w:tc>
          <w:tcPr>
            <w:tcW w:w="2014" w:type="dxa"/>
            <w:vAlign w:val="center"/>
          </w:tcPr>
          <w:p>
            <w:pPr>
              <w:jc w:val="center"/>
              <w:rPr>
                <w:rFonts w:ascii="Arial" w:hAnsi="Arial" w:cs="Arial"/>
                <w:sz w:val="24"/>
                <w:szCs w:val="24"/>
              </w:rPr>
            </w:pPr>
            <w:r>
              <w:rPr>
                <w:rFonts w:ascii="Arial" w:hAnsi="Arial" w:cs="Arial"/>
                <w:sz w:val="24"/>
                <w:szCs w:val="24"/>
              </w:rPr>
              <w:t>Moderately Practiced</w:t>
            </w:r>
          </w:p>
        </w:tc>
      </w:tr>
      <w:tr>
        <w:trPr>
          <w:trHeight w:val="278"/>
        </w:trPr>
        <w:tc>
          <w:tcPr>
            <w:tcW w:w="5792" w:type="dxa"/>
          </w:tcPr>
          <w:p>
            <w:pPr>
              <w:jc w:val="center"/>
              <w:rPr>
                <w:rFonts w:ascii="Arial" w:hAnsi="Arial" w:cs="Arial"/>
                <w:sz w:val="24"/>
                <w:szCs w:val="24"/>
              </w:rPr>
            </w:pPr>
            <w:r>
              <w:rPr>
                <w:rFonts w:ascii="Arial" w:hAnsi="Arial" w:cs="Arial"/>
                <w:sz w:val="24"/>
                <w:szCs w:val="24"/>
              </w:rPr>
              <w:t>Mean</w:t>
            </w:r>
          </w:p>
        </w:tc>
        <w:tc>
          <w:tcPr>
            <w:tcW w:w="1204" w:type="dxa"/>
            <w:vAlign w:val="center"/>
          </w:tcPr>
          <w:p>
            <w:pPr>
              <w:jc w:val="center"/>
              <w:rPr>
                <w:rFonts w:ascii="Arial" w:hAnsi="Arial" w:cs="Arial"/>
                <w:sz w:val="24"/>
                <w:szCs w:val="24"/>
              </w:rPr>
            </w:pPr>
            <w:r>
              <w:rPr>
                <w:rFonts w:ascii="Arial" w:hAnsi="Arial" w:cs="Arial"/>
                <w:color w:val="000000"/>
                <w:sz w:val="24"/>
                <w:szCs w:val="24"/>
              </w:rPr>
              <w:t>2.90</w:t>
            </w:r>
          </w:p>
        </w:tc>
        <w:tc>
          <w:tcPr>
            <w:tcW w:w="2014" w:type="dxa"/>
            <w:vAlign w:val="center"/>
          </w:tcPr>
          <w:p>
            <w:pPr>
              <w:jc w:val="center"/>
              <w:rPr>
                <w:rFonts w:ascii="Arial" w:hAnsi="Arial" w:cs="Arial"/>
                <w:sz w:val="24"/>
                <w:szCs w:val="24"/>
              </w:rPr>
            </w:pPr>
            <w:r>
              <w:rPr>
                <w:rFonts w:ascii="Arial" w:hAnsi="Arial" w:cs="Arial"/>
                <w:sz w:val="24"/>
                <w:szCs w:val="24"/>
                <w:lang w:eastAsia="en-PH"/>
              </w:rPr>
              <w:t>Moderately Practiced</w:t>
            </w:r>
          </w:p>
        </w:tc>
      </w:tr>
      <w:tr>
        <w:trPr>
          <w:trHeight w:val="304"/>
        </w:trPr>
        <w:tc>
          <w:tcPr>
            <w:tcW w:w="5792" w:type="dxa"/>
          </w:tcPr>
          <w:p>
            <w:pPr>
              <w:jc w:val="center"/>
              <w:rPr>
                <w:rFonts w:ascii="Arial" w:hAnsi="Arial" w:cs="Arial"/>
                <w:sz w:val="24"/>
                <w:szCs w:val="24"/>
              </w:rPr>
            </w:pPr>
            <w:r>
              <w:rPr>
                <w:rFonts w:ascii="Arial" w:hAnsi="Arial" w:cs="Arial"/>
                <w:sz w:val="24"/>
                <w:szCs w:val="24"/>
              </w:rPr>
              <w:t>Over-all Mean</w:t>
            </w:r>
          </w:p>
        </w:tc>
        <w:tc>
          <w:tcPr>
            <w:tcW w:w="1204" w:type="dxa"/>
            <w:vAlign w:val="center"/>
          </w:tcPr>
          <w:p>
            <w:pPr>
              <w:jc w:val="center"/>
              <w:rPr>
                <w:rFonts w:ascii="Arial" w:hAnsi="Arial" w:cs="Arial"/>
                <w:color w:val="000000"/>
                <w:sz w:val="24"/>
                <w:szCs w:val="24"/>
              </w:rPr>
            </w:pPr>
            <w:r>
              <w:rPr>
                <w:rFonts w:ascii="Arial" w:hAnsi="Arial" w:cs="Arial"/>
                <w:color w:val="000000"/>
                <w:sz w:val="24"/>
                <w:szCs w:val="24"/>
              </w:rPr>
              <w:t>3.01</w:t>
            </w:r>
          </w:p>
        </w:tc>
        <w:tc>
          <w:tcPr>
            <w:tcW w:w="2014" w:type="dxa"/>
            <w:vAlign w:val="center"/>
          </w:tcPr>
          <w:p>
            <w:pPr>
              <w:jc w:val="center"/>
              <w:rPr>
                <w:rFonts w:ascii="Arial" w:hAnsi="Arial" w:cs="Arial"/>
                <w:sz w:val="24"/>
                <w:szCs w:val="24"/>
              </w:rPr>
            </w:pPr>
            <w:r>
              <w:rPr>
                <w:rFonts w:ascii="Arial" w:hAnsi="Arial" w:cs="Arial"/>
                <w:sz w:val="24"/>
                <w:szCs w:val="24"/>
                <w:lang w:eastAsia="en-PH"/>
              </w:rPr>
              <w:t>Moderately Practiced</w:t>
            </w:r>
          </w:p>
        </w:tc>
      </w:tr>
    </w:tbl>
    <w:p>
      <w:pPr>
        <w:rPr>
          <w:rFonts w:ascii="Arial" w:hAnsi="Arial" w:cs="Arial"/>
        </w:rPr>
      </w:pPr>
    </w:p>
    <w:p>
      <w:pPr>
        <w:jc w:val="center"/>
        <w:rPr>
          <w:rFonts w:ascii="Arial" w:hAnsi="Arial" w:cs="Arial"/>
        </w:rPr>
      </w:pPr>
      <w:r>
        <w:rPr>
          <w:rFonts w:ascii="Arial" w:eastAsia="Times New Roman" w:hAnsi="Arial" w:cs="Arial"/>
          <w:lang w:eastAsia="en-PH"/>
        </w:rPr>
        <w:t xml:space="preserve">SUMMARY ON THE </w:t>
      </w:r>
      <w:r>
        <w:rPr>
          <w:rFonts w:ascii="Arial" w:hAnsi="Arial" w:cs="Arial"/>
        </w:rPr>
        <w:t>LEVEL OF TEACHERS’ TECHNOLOGY INTEGRATION PRACTICES IN TEACHING ENGLISH IN IPED CLASSROOMS BASED ON PICRAT-ALIGNED INSTRUCTIONAL PROCESSES</w:t>
      </w:r>
    </w:p>
    <w:tbl>
      <w:tblPr>
        <w:tblStyle w:val="TableGrid"/>
        <w:tblW w:w="0" w:type="auto"/>
        <w:tblLook w:val="04A0" w:firstRow="1" w:lastRow="0" w:firstColumn="1" w:lastColumn="0" w:noHBand="0" w:noVBand="1"/>
      </w:tblPr>
      <w:tblGrid>
        <w:gridCol w:w="4978"/>
        <w:gridCol w:w="1281"/>
        <w:gridCol w:w="2371"/>
      </w:tblGrid>
      <w:tr>
        <w:tc>
          <w:tcPr>
            <w:tcW w:w="5485" w:type="dxa"/>
          </w:tcPr>
          <w:p>
            <w:pPr>
              <w:jc w:val="center"/>
              <w:rPr>
                <w:rFonts w:ascii="Arial" w:hAnsi="Arial" w:cs="Arial"/>
                <w:sz w:val="24"/>
                <w:szCs w:val="24"/>
              </w:rPr>
            </w:pPr>
            <w:r>
              <w:rPr>
                <w:rFonts w:ascii="Arial" w:hAnsi="Arial" w:cs="Arial"/>
                <w:sz w:val="24"/>
                <w:szCs w:val="24"/>
              </w:rPr>
              <w:t>Indicator</w:t>
            </w:r>
          </w:p>
        </w:tc>
        <w:tc>
          <w:tcPr>
            <w:tcW w:w="1350" w:type="dxa"/>
          </w:tcPr>
          <w:p>
            <w:pPr>
              <w:jc w:val="center"/>
              <w:rPr>
                <w:rFonts w:ascii="Arial" w:hAnsi="Arial" w:cs="Arial"/>
                <w:sz w:val="24"/>
                <w:szCs w:val="24"/>
              </w:rPr>
            </w:pPr>
            <w:r>
              <w:rPr>
                <w:rFonts w:ascii="Arial" w:hAnsi="Arial" w:cs="Arial"/>
                <w:sz w:val="24"/>
                <w:szCs w:val="24"/>
              </w:rPr>
              <w:t>Mean</w:t>
            </w:r>
          </w:p>
        </w:tc>
        <w:tc>
          <w:tcPr>
            <w:tcW w:w="2515" w:type="dxa"/>
          </w:tcPr>
          <w:p>
            <w:pPr>
              <w:jc w:val="center"/>
              <w:rPr>
                <w:rFonts w:ascii="Arial" w:hAnsi="Arial" w:cs="Arial"/>
                <w:sz w:val="24"/>
                <w:szCs w:val="24"/>
              </w:rPr>
            </w:pPr>
            <w:r>
              <w:rPr>
                <w:rFonts w:ascii="Arial" w:hAnsi="Arial" w:cs="Arial"/>
                <w:sz w:val="24"/>
                <w:szCs w:val="24"/>
              </w:rPr>
              <w:t>Adjectival Rating</w:t>
            </w:r>
          </w:p>
        </w:tc>
      </w:tr>
      <w:tr>
        <w:tc>
          <w:tcPr>
            <w:tcW w:w="5485" w:type="dxa"/>
          </w:tcPr>
          <w:p>
            <w:pPr>
              <w:pStyle w:val="NoSpacing"/>
              <w:rPr>
                <w:rFonts w:ascii="Arial" w:hAnsi="Arial" w:cs="Arial"/>
                <w:sz w:val="24"/>
                <w:szCs w:val="24"/>
              </w:rPr>
            </w:pPr>
            <w:r>
              <w:rPr>
                <w:rFonts w:ascii="Arial" w:hAnsi="Arial" w:cs="Arial"/>
                <w:sz w:val="24"/>
                <w:szCs w:val="24"/>
              </w:rPr>
              <w:t>Active knowledge-building facilitation</w:t>
            </w:r>
          </w:p>
        </w:tc>
        <w:tc>
          <w:tcPr>
            <w:tcW w:w="1350" w:type="dxa"/>
            <w:vAlign w:val="bottom"/>
          </w:tcPr>
          <w:p>
            <w:pPr>
              <w:jc w:val="center"/>
              <w:rPr>
                <w:rFonts w:ascii="Arial" w:hAnsi="Arial" w:cs="Arial"/>
                <w:sz w:val="24"/>
                <w:szCs w:val="24"/>
              </w:rPr>
            </w:pPr>
            <w:r>
              <w:rPr>
                <w:rFonts w:ascii="Arial" w:hAnsi="Arial" w:cs="Arial"/>
                <w:color w:val="000000"/>
                <w:sz w:val="24"/>
                <w:szCs w:val="24"/>
              </w:rPr>
              <w:t>3.20</w:t>
            </w:r>
          </w:p>
        </w:tc>
        <w:tc>
          <w:tcPr>
            <w:tcW w:w="2515" w:type="dxa"/>
            <w:vAlign w:val="center"/>
          </w:tcPr>
          <w:p>
            <w:pPr>
              <w:jc w:val="center"/>
              <w:rPr>
                <w:rFonts w:ascii="Arial" w:hAnsi="Arial" w:cs="Arial"/>
                <w:sz w:val="24"/>
                <w:szCs w:val="24"/>
              </w:rPr>
            </w:pPr>
            <w:r>
              <w:rPr>
                <w:rFonts w:ascii="Arial" w:hAnsi="Arial" w:cs="Arial"/>
                <w:sz w:val="24"/>
                <w:szCs w:val="24"/>
                <w:lang w:eastAsia="en-PH"/>
              </w:rPr>
              <w:t>Moderately Practiced</w:t>
            </w:r>
          </w:p>
        </w:tc>
      </w:tr>
      <w:tr>
        <w:tc>
          <w:tcPr>
            <w:tcW w:w="5485" w:type="dxa"/>
          </w:tcPr>
          <w:p>
            <w:pPr>
              <w:pStyle w:val="NoSpacing"/>
              <w:rPr>
                <w:rFonts w:ascii="Arial" w:hAnsi="Arial" w:cs="Arial"/>
                <w:sz w:val="24"/>
                <w:szCs w:val="24"/>
              </w:rPr>
            </w:pPr>
            <w:r>
              <w:rPr>
                <w:rFonts w:ascii="Arial" w:hAnsi="Arial" w:cs="Arial"/>
                <w:sz w:val="24"/>
                <w:szCs w:val="24"/>
              </w:rPr>
              <w:t>Activation and linking of prior knowledge</w:t>
            </w:r>
          </w:p>
        </w:tc>
        <w:tc>
          <w:tcPr>
            <w:tcW w:w="1350" w:type="dxa"/>
            <w:vAlign w:val="bottom"/>
          </w:tcPr>
          <w:p>
            <w:pPr>
              <w:jc w:val="center"/>
              <w:rPr>
                <w:rFonts w:ascii="Arial" w:hAnsi="Arial" w:cs="Arial"/>
                <w:sz w:val="24"/>
                <w:szCs w:val="24"/>
              </w:rPr>
            </w:pPr>
            <w:r>
              <w:rPr>
                <w:rFonts w:ascii="Arial" w:hAnsi="Arial" w:cs="Arial"/>
                <w:color w:val="000000"/>
                <w:sz w:val="24"/>
                <w:szCs w:val="24"/>
              </w:rPr>
              <w:t>2.95</w:t>
            </w:r>
          </w:p>
        </w:tc>
        <w:tc>
          <w:tcPr>
            <w:tcW w:w="2515" w:type="dxa"/>
            <w:vAlign w:val="center"/>
          </w:tcPr>
          <w:p>
            <w:pPr>
              <w:jc w:val="center"/>
              <w:rPr>
                <w:rFonts w:ascii="Arial" w:hAnsi="Arial" w:cs="Arial"/>
                <w:sz w:val="24"/>
                <w:szCs w:val="24"/>
              </w:rPr>
            </w:pPr>
            <w:r>
              <w:rPr>
                <w:rFonts w:ascii="Arial" w:hAnsi="Arial" w:cs="Arial"/>
                <w:sz w:val="24"/>
                <w:szCs w:val="24"/>
                <w:lang w:eastAsia="en-PH"/>
              </w:rPr>
              <w:t>Moderately Practiced</w:t>
            </w:r>
          </w:p>
        </w:tc>
      </w:tr>
      <w:tr>
        <w:tc>
          <w:tcPr>
            <w:tcW w:w="5485" w:type="dxa"/>
          </w:tcPr>
          <w:p>
            <w:pPr>
              <w:pStyle w:val="NoSpacing"/>
              <w:rPr>
                <w:rFonts w:ascii="Arial" w:hAnsi="Arial" w:cs="Arial"/>
                <w:sz w:val="24"/>
                <w:szCs w:val="24"/>
              </w:rPr>
            </w:pPr>
            <w:r>
              <w:rPr>
                <w:rFonts w:ascii="Arial" w:hAnsi="Arial" w:cs="Arial"/>
                <w:sz w:val="24"/>
                <w:szCs w:val="24"/>
              </w:rPr>
              <w:t>Inquiry and problem-solving support</w:t>
            </w:r>
          </w:p>
        </w:tc>
        <w:tc>
          <w:tcPr>
            <w:tcW w:w="1350" w:type="dxa"/>
            <w:vAlign w:val="center"/>
          </w:tcPr>
          <w:p>
            <w:pPr>
              <w:jc w:val="center"/>
              <w:rPr>
                <w:rFonts w:ascii="Arial" w:hAnsi="Arial" w:cs="Arial"/>
                <w:sz w:val="24"/>
                <w:szCs w:val="24"/>
              </w:rPr>
            </w:pPr>
            <w:r>
              <w:rPr>
                <w:rFonts w:ascii="Arial" w:hAnsi="Arial" w:cs="Arial"/>
                <w:color w:val="000000"/>
                <w:sz w:val="24"/>
                <w:szCs w:val="24"/>
              </w:rPr>
              <w:t>3.15</w:t>
            </w:r>
          </w:p>
        </w:tc>
        <w:tc>
          <w:tcPr>
            <w:tcW w:w="2515" w:type="dxa"/>
            <w:vAlign w:val="center"/>
          </w:tcPr>
          <w:p>
            <w:pPr>
              <w:jc w:val="center"/>
              <w:rPr>
                <w:rFonts w:ascii="Arial" w:hAnsi="Arial" w:cs="Arial"/>
                <w:sz w:val="24"/>
                <w:szCs w:val="24"/>
              </w:rPr>
            </w:pPr>
            <w:r>
              <w:rPr>
                <w:rFonts w:ascii="Arial" w:hAnsi="Arial" w:cs="Arial"/>
                <w:sz w:val="24"/>
                <w:szCs w:val="24"/>
                <w:lang w:eastAsia="en-PH"/>
              </w:rPr>
              <w:t>Moderately Practiced</w:t>
            </w:r>
          </w:p>
        </w:tc>
      </w:tr>
      <w:tr>
        <w:tc>
          <w:tcPr>
            <w:tcW w:w="5485" w:type="dxa"/>
          </w:tcPr>
          <w:p>
            <w:pPr>
              <w:pStyle w:val="NoSpacing"/>
              <w:rPr>
                <w:rFonts w:ascii="Arial" w:hAnsi="Arial" w:cs="Arial"/>
                <w:sz w:val="24"/>
                <w:szCs w:val="24"/>
              </w:rPr>
            </w:pPr>
            <w:r>
              <w:rPr>
                <w:rFonts w:ascii="Arial" w:hAnsi="Arial" w:cs="Arial"/>
                <w:sz w:val="24"/>
                <w:szCs w:val="24"/>
              </w:rPr>
              <w:t>Technology-mediated dialogue and collaboration</w:t>
            </w:r>
          </w:p>
        </w:tc>
        <w:tc>
          <w:tcPr>
            <w:tcW w:w="1350" w:type="dxa"/>
            <w:vAlign w:val="center"/>
          </w:tcPr>
          <w:p>
            <w:pPr>
              <w:jc w:val="center"/>
              <w:rPr>
                <w:rFonts w:ascii="Arial" w:hAnsi="Arial" w:cs="Arial"/>
                <w:sz w:val="24"/>
                <w:szCs w:val="24"/>
              </w:rPr>
            </w:pPr>
            <w:r>
              <w:rPr>
                <w:rFonts w:ascii="Arial" w:hAnsi="Arial" w:cs="Arial"/>
                <w:color w:val="000000"/>
                <w:sz w:val="24"/>
                <w:szCs w:val="24"/>
              </w:rPr>
              <w:t>2.85</w:t>
            </w:r>
          </w:p>
        </w:tc>
        <w:tc>
          <w:tcPr>
            <w:tcW w:w="2515" w:type="dxa"/>
            <w:vAlign w:val="center"/>
          </w:tcPr>
          <w:p>
            <w:pPr>
              <w:jc w:val="center"/>
              <w:rPr>
                <w:rFonts w:ascii="Arial" w:hAnsi="Arial" w:cs="Arial"/>
                <w:sz w:val="24"/>
                <w:szCs w:val="24"/>
              </w:rPr>
            </w:pPr>
            <w:r>
              <w:rPr>
                <w:rFonts w:ascii="Arial" w:hAnsi="Arial" w:cs="Arial"/>
                <w:sz w:val="24"/>
                <w:szCs w:val="24"/>
                <w:lang w:eastAsia="en-PH"/>
              </w:rPr>
              <w:t>Moderately Practiced</w:t>
            </w:r>
          </w:p>
        </w:tc>
      </w:tr>
      <w:tr>
        <w:tc>
          <w:tcPr>
            <w:tcW w:w="5485" w:type="dxa"/>
          </w:tcPr>
          <w:p>
            <w:pPr>
              <w:pStyle w:val="NoSpacing"/>
              <w:rPr>
                <w:rFonts w:ascii="Arial" w:hAnsi="Arial" w:cs="Arial"/>
                <w:sz w:val="24"/>
                <w:szCs w:val="24"/>
              </w:rPr>
            </w:pPr>
            <w:r>
              <w:rPr>
                <w:rFonts w:ascii="Arial" w:hAnsi="Arial" w:cs="Arial"/>
                <w:sz w:val="24"/>
                <w:szCs w:val="24"/>
              </w:rPr>
              <w:t>Culturally responsive task design and scaffolding</w:t>
            </w:r>
          </w:p>
        </w:tc>
        <w:tc>
          <w:tcPr>
            <w:tcW w:w="1350" w:type="dxa"/>
            <w:vAlign w:val="center"/>
          </w:tcPr>
          <w:p>
            <w:pPr>
              <w:jc w:val="center"/>
              <w:rPr>
                <w:rFonts w:ascii="Arial" w:hAnsi="Arial" w:cs="Arial"/>
                <w:sz w:val="24"/>
                <w:szCs w:val="24"/>
              </w:rPr>
            </w:pPr>
            <w:r>
              <w:rPr>
                <w:rFonts w:ascii="Arial" w:hAnsi="Arial" w:cs="Arial"/>
                <w:color w:val="000000"/>
                <w:sz w:val="24"/>
                <w:szCs w:val="24"/>
              </w:rPr>
              <w:t>2.90</w:t>
            </w:r>
          </w:p>
        </w:tc>
        <w:tc>
          <w:tcPr>
            <w:tcW w:w="2515" w:type="dxa"/>
            <w:vAlign w:val="center"/>
          </w:tcPr>
          <w:p>
            <w:pPr>
              <w:jc w:val="center"/>
              <w:rPr>
                <w:rFonts w:ascii="Arial" w:hAnsi="Arial" w:cs="Arial"/>
                <w:sz w:val="24"/>
                <w:szCs w:val="24"/>
              </w:rPr>
            </w:pPr>
            <w:r>
              <w:rPr>
                <w:rFonts w:ascii="Arial" w:hAnsi="Arial" w:cs="Arial"/>
                <w:sz w:val="24"/>
                <w:szCs w:val="24"/>
                <w:lang w:eastAsia="en-PH"/>
              </w:rPr>
              <w:t>Moderately Practiced</w:t>
            </w:r>
          </w:p>
        </w:tc>
      </w:tr>
      <w:tr>
        <w:tc>
          <w:tcPr>
            <w:tcW w:w="5485" w:type="dxa"/>
          </w:tcPr>
          <w:p>
            <w:pPr>
              <w:jc w:val="center"/>
              <w:rPr>
                <w:rFonts w:ascii="Arial" w:hAnsi="Arial" w:cs="Arial"/>
                <w:sz w:val="24"/>
                <w:szCs w:val="24"/>
              </w:rPr>
            </w:pPr>
            <w:r>
              <w:rPr>
                <w:rFonts w:ascii="Arial" w:hAnsi="Arial" w:cs="Arial"/>
                <w:sz w:val="24"/>
                <w:szCs w:val="24"/>
              </w:rPr>
              <w:lastRenderedPageBreak/>
              <w:t>Over-all Mean</w:t>
            </w:r>
          </w:p>
        </w:tc>
        <w:tc>
          <w:tcPr>
            <w:tcW w:w="1350" w:type="dxa"/>
            <w:vAlign w:val="center"/>
          </w:tcPr>
          <w:p>
            <w:pPr>
              <w:jc w:val="center"/>
              <w:rPr>
                <w:rFonts w:ascii="Arial" w:hAnsi="Arial" w:cs="Arial"/>
                <w:sz w:val="24"/>
                <w:szCs w:val="24"/>
              </w:rPr>
            </w:pPr>
            <w:r>
              <w:rPr>
                <w:rFonts w:ascii="Arial" w:hAnsi="Arial" w:cs="Arial"/>
                <w:color w:val="000000"/>
                <w:sz w:val="24"/>
                <w:szCs w:val="24"/>
              </w:rPr>
              <w:t>3.01</w:t>
            </w:r>
          </w:p>
        </w:tc>
        <w:tc>
          <w:tcPr>
            <w:tcW w:w="2515" w:type="dxa"/>
            <w:vAlign w:val="center"/>
          </w:tcPr>
          <w:p>
            <w:pPr>
              <w:jc w:val="center"/>
              <w:rPr>
                <w:rFonts w:ascii="Arial" w:hAnsi="Arial" w:cs="Arial"/>
                <w:sz w:val="24"/>
                <w:szCs w:val="24"/>
              </w:rPr>
            </w:pPr>
            <w:r>
              <w:rPr>
                <w:rFonts w:ascii="Arial" w:hAnsi="Arial" w:cs="Arial"/>
                <w:sz w:val="24"/>
                <w:szCs w:val="24"/>
                <w:lang w:eastAsia="en-PH"/>
              </w:rPr>
              <w:t>Moderately Practiced</w:t>
            </w:r>
          </w:p>
        </w:tc>
      </w:tr>
    </w:tbl>
    <w:p>
      <w:pPr>
        <w:jc w:val="center"/>
        <w:rPr>
          <w:rFonts w:ascii="Arial" w:hAnsi="Arial" w:cs="Arial"/>
        </w:rPr>
      </w:pPr>
    </w:p>
    <w:p>
      <w:pPr>
        <w:jc w:val="center"/>
        <w:rPr>
          <w:rFonts w:ascii="Arial" w:eastAsia="Times New Roman" w:hAnsi="Arial" w:cs="Arial"/>
          <w:lang w:eastAsia="en-PH"/>
        </w:rPr>
      </w:pPr>
      <w:r>
        <w:rPr>
          <w:rFonts w:ascii="Arial" w:hAnsi="Arial" w:cs="Arial"/>
        </w:rPr>
        <w:t>Extent Do Teachers’ Uses of Technology In English Instruction Reflect The RAT Dimensions</w:t>
      </w:r>
    </w:p>
    <w:tbl>
      <w:tblPr>
        <w:tblStyle w:val="TableGrid"/>
        <w:tblW w:w="0" w:type="auto"/>
        <w:tblLook w:val="04A0" w:firstRow="1" w:lastRow="0" w:firstColumn="1" w:lastColumn="0" w:noHBand="0" w:noVBand="1"/>
      </w:tblPr>
      <w:tblGrid>
        <w:gridCol w:w="5744"/>
        <w:gridCol w:w="1230"/>
        <w:gridCol w:w="1656"/>
      </w:tblGrid>
      <w:tr>
        <w:tc>
          <w:tcPr>
            <w:tcW w:w="6475" w:type="dxa"/>
          </w:tcPr>
          <w:p>
            <w:pPr>
              <w:jc w:val="center"/>
              <w:rPr>
                <w:rFonts w:ascii="Arial" w:hAnsi="Arial" w:cs="Arial"/>
                <w:sz w:val="24"/>
                <w:szCs w:val="24"/>
              </w:rPr>
            </w:pPr>
            <w:r>
              <w:rPr>
                <w:rFonts w:ascii="Arial" w:hAnsi="Arial" w:cs="Arial"/>
                <w:sz w:val="24"/>
                <w:szCs w:val="24"/>
              </w:rPr>
              <w:t>Indicator</w:t>
            </w:r>
          </w:p>
        </w:tc>
        <w:tc>
          <w:tcPr>
            <w:tcW w:w="1170" w:type="dxa"/>
          </w:tcPr>
          <w:p>
            <w:pPr>
              <w:jc w:val="center"/>
              <w:rPr>
                <w:rFonts w:ascii="Arial" w:hAnsi="Arial" w:cs="Arial"/>
                <w:sz w:val="24"/>
                <w:szCs w:val="24"/>
              </w:rPr>
            </w:pPr>
            <w:r>
              <w:rPr>
                <w:rFonts w:ascii="Arial" w:hAnsi="Arial" w:cs="Arial"/>
                <w:sz w:val="24"/>
                <w:szCs w:val="24"/>
              </w:rPr>
              <w:t>Weighted Mean</w:t>
            </w:r>
          </w:p>
        </w:tc>
        <w:tc>
          <w:tcPr>
            <w:tcW w:w="1705" w:type="dxa"/>
          </w:tcPr>
          <w:p>
            <w:pPr>
              <w:jc w:val="center"/>
              <w:rPr>
                <w:rFonts w:ascii="Arial" w:hAnsi="Arial" w:cs="Arial"/>
                <w:sz w:val="24"/>
                <w:szCs w:val="24"/>
              </w:rPr>
            </w:pPr>
            <w:r>
              <w:rPr>
                <w:rFonts w:ascii="Arial" w:hAnsi="Arial" w:cs="Arial"/>
                <w:sz w:val="24"/>
                <w:szCs w:val="24"/>
              </w:rPr>
              <w:t>Adjectival Rating</w:t>
            </w:r>
          </w:p>
        </w:tc>
      </w:tr>
      <w:tr>
        <w:tc>
          <w:tcPr>
            <w:tcW w:w="6475" w:type="dxa"/>
          </w:tcPr>
          <w:p>
            <w:pPr>
              <w:rPr>
                <w:rFonts w:ascii="Arial" w:hAnsi="Arial" w:cs="Arial"/>
                <w:sz w:val="24"/>
                <w:szCs w:val="24"/>
              </w:rPr>
            </w:pPr>
            <w:r>
              <w:rPr>
                <w:rFonts w:ascii="Arial" w:hAnsi="Arial" w:cs="Arial"/>
                <w:b/>
                <w:bCs/>
                <w:sz w:val="24"/>
                <w:szCs w:val="24"/>
                <w:lang w:eastAsia="en-PH"/>
              </w:rPr>
              <w:t>Replacement</w:t>
            </w:r>
          </w:p>
        </w:tc>
        <w:tc>
          <w:tcPr>
            <w:tcW w:w="1170" w:type="dxa"/>
            <w:vAlign w:val="center"/>
          </w:tcPr>
          <w:p>
            <w:pPr>
              <w:jc w:val="center"/>
              <w:rPr>
                <w:rFonts w:ascii="Arial" w:hAnsi="Arial" w:cs="Arial"/>
                <w:sz w:val="24"/>
                <w:szCs w:val="24"/>
              </w:rPr>
            </w:pPr>
          </w:p>
        </w:tc>
        <w:tc>
          <w:tcPr>
            <w:tcW w:w="1705" w:type="dxa"/>
          </w:tcPr>
          <w:p>
            <w:pPr>
              <w:rPr>
                <w:rFonts w:ascii="Arial" w:hAnsi="Arial" w:cs="Arial"/>
                <w:sz w:val="24"/>
                <w:szCs w:val="24"/>
              </w:rPr>
            </w:pPr>
          </w:p>
        </w:tc>
      </w:tr>
      <w:tr>
        <w:tc>
          <w:tcPr>
            <w:tcW w:w="6475" w:type="dxa"/>
          </w:tcPr>
          <w:p>
            <w:pPr>
              <w:jc w:val="both"/>
              <w:rPr>
                <w:rFonts w:ascii="Arial" w:hAnsi="Arial" w:cs="Arial"/>
                <w:sz w:val="24"/>
                <w:szCs w:val="24"/>
              </w:rPr>
            </w:pPr>
            <w:r>
              <w:rPr>
                <w:rFonts w:ascii="Arial" w:hAnsi="Arial" w:cs="Arial"/>
                <w:sz w:val="24"/>
                <w:szCs w:val="24"/>
              </w:rPr>
              <w:t>Digital slides replace chalkboard explanations in English lessons.</w:t>
            </w:r>
          </w:p>
        </w:tc>
        <w:tc>
          <w:tcPr>
            <w:tcW w:w="1170" w:type="dxa"/>
            <w:vAlign w:val="center"/>
          </w:tcPr>
          <w:p>
            <w:pPr>
              <w:jc w:val="center"/>
              <w:rPr>
                <w:rFonts w:ascii="Arial" w:hAnsi="Arial" w:cs="Arial"/>
                <w:sz w:val="24"/>
                <w:szCs w:val="24"/>
              </w:rPr>
            </w:pPr>
            <w:r>
              <w:rPr>
                <w:rFonts w:ascii="Arial" w:hAnsi="Arial" w:cs="Arial"/>
                <w:sz w:val="24"/>
                <w:szCs w:val="24"/>
              </w:rPr>
              <w:t>3.47</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jc w:val="both"/>
              <w:rPr>
                <w:rFonts w:ascii="Arial" w:hAnsi="Arial" w:cs="Arial"/>
                <w:sz w:val="24"/>
                <w:szCs w:val="24"/>
              </w:rPr>
            </w:pPr>
            <w:r>
              <w:rPr>
                <w:rFonts w:ascii="Arial" w:hAnsi="Arial" w:cs="Arial"/>
                <w:sz w:val="24"/>
                <w:szCs w:val="24"/>
              </w:rPr>
              <w:t>Online texts replace printed English materials.</w:t>
            </w:r>
          </w:p>
        </w:tc>
        <w:tc>
          <w:tcPr>
            <w:tcW w:w="1170" w:type="dxa"/>
            <w:vAlign w:val="center"/>
          </w:tcPr>
          <w:p>
            <w:pPr>
              <w:jc w:val="center"/>
              <w:rPr>
                <w:rFonts w:ascii="Arial" w:hAnsi="Arial" w:cs="Arial"/>
                <w:sz w:val="24"/>
                <w:szCs w:val="24"/>
              </w:rPr>
            </w:pPr>
            <w:r>
              <w:rPr>
                <w:rFonts w:ascii="Arial" w:hAnsi="Arial" w:cs="Arial"/>
                <w:sz w:val="24"/>
                <w:szCs w:val="24"/>
              </w:rPr>
              <w:t>3.47</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jc w:val="both"/>
              <w:rPr>
                <w:rFonts w:ascii="Arial" w:hAnsi="Arial" w:cs="Arial"/>
                <w:sz w:val="24"/>
                <w:szCs w:val="24"/>
              </w:rPr>
            </w:pPr>
            <w:r>
              <w:rPr>
                <w:rFonts w:ascii="Arial" w:hAnsi="Arial" w:cs="Arial"/>
                <w:sz w:val="24"/>
                <w:szCs w:val="24"/>
              </w:rPr>
              <w:t>Technology replaces traditional English teaching materials without changing the task.</w:t>
            </w:r>
          </w:p>
        </w:tc>
        <w:tc>
          <w:tcPr>
            <w:tcW w:w="1170" w:type="dxa"/>
            <w:vAlign w:val="center"/>
          </w:tcPr>
          <w:p>
            <w:pPr>
              <w:jc w:val="center"/>
              <w:rPr>
                <w:rFonts w:ascii="Arial" w:hAnsi="Arial" w:cs="Arial"/>
                <w:sz w:val="24"/>
                <w:szCs w:val="24"/>
              </w:rPr>
            </w:pPr>
            <w:r>
              <w:rPr>
                <w:rFonts w:ascii="Arial" w:hAnsi="Arial" w:cs="Arial"/>
                <w:sz w:val="24"/>
                <w:szCs w:val="24"/>
              </w:rPr>
              <w:t>3.43</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jc w:val="both"/>
              <w:rPr>
                <w:rFonts w:ascii="Arial" w:hAnsi="Arial" w:cs="Arial"/>
                <w:sz w:val="24"/>
                <w:szCs w:val="24"/>
              </w:rPr>
            </w:pPr>
            <w:r>
              <w:rPr>
                <w:rFonts w:ascii="Arial" w:hAnsi="Arial" w:cs="Arial"/>
                <w:sz w:val="24"/>
                <w:szCs w:val="24"/>
              </w:rPr>
              <w:t>Digital quizzes replace paper-based English assessments.</w:t>
            </w:r>
          </w:p>
        </w:tc>
        <w:tc>
          <w:tcPr>
            <w:tcW w:w="1170" w:type="dxa"/>
            <w:vAlign w:val="center"/>
          </w:tcPr>
          <w:p>
            <w:pPr>
              <w:jc w:val="center"/>
              <w:rPr>
                <w:rFonts w:ascii="Arial" w:hAnsi="Arial" w:cs="Arial"/>
                <w:sz w:val="24"/>
                <w:szCs w:val="24"/>
              </w:rPr>
            </w:pPr>
            <w:r>
              <w:rPr>
                <w:rFonts w:ascii="Arial" w:hAnsi="Arial" w:cs="Arial"/>
                <w:sz w:val="24"/>
                <w:szCs w:val="24"/>
              </w:rPr>
              <w:t>3.40</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jc w:val="both"/>
              <w:rPr>
                <w:rFonts w:ascii="Arial" w:hAnsi="Arial" w:cs="Arial"/>
                <w:sz w:val="24"/>
                <w:szCs w:val="24"/>
              </w:rPr>
            </w:pPr>
            <w:r>
              <w:rPr>
                <w:rFonts w:ascii="Arial" w:hAnsi="Arial" w:cs="Arial"/>
                <w:sz w:val="24"/>
                <w:szCs w:val="24"/>
              </w:rPr>
              <w:t>English teaching strategies remain unchanged despite technology use.</w:t>
            </w:r>
          </w:p>
        </w:tc>
        <w:tc>
          <w:tcPr>
            <w:tcW w:w="1170" w:type="dxa"/>
            <w:vAlign w:val="center"/>
          </w:tcPr>
          <w:p>
            <w:pPr>
              <w:jc w:val="center"/>
              <w:rPr>
                <w:rFonts w:ascii="Arial" w:hAnsi="Arial" w:cs="Arial"/>
                <w:sz w:val="24"/>
                <w:szCs w:val="24"/>
              </w:rPr>
            </w:pPr>
            <w:r>
              <w:rPr>
                <w:rFonts w:ascii="Arial" w:hAnsi="Arial" w:cs="Arial"/>
                <w:sz w:val="24"/>
                <w:szCs w:val="24"/>
              </w:rPr>
              <w:t>3.37</w:t>
            </w:r>
          </w:p>
        </w:tc>
        <w:tc>
          <w:tcPr>
            <w:tcW w:w="1705" w:type="dxa"/>
            <w:vAlign w:val="center"/>
          </w:tcPr>
          <w:p>
            <w:pPr>
              <w:jc w:val="center"/>
              <w:rPr>
                <w:rFonts w:ascii="Arial" w:hAnsi="Arial" w:cs="Arial"/>
                <w:sz w:val="24"/>
                <w:szCs w:val="24"/>
              </w:rPr>
            </w:pPr>
            <w:r>
              <w:rPr>
                <w:rFonts w:ascii="Arial" w:hAnsi="Arial" w:cs="Arial"/>
                <w:sz w:val="24"/>
                <w:szCs w:val="24"/>
              </w:rPr>
              <w:t>Moderately Engaged</w:t>
            </w:r>
          </w:p>
        </w:tc>
      </w:tr>
      <w:tr>
        <w:tc>
          <w:tcPr>
            <w:tcW w:w="6475" w:type="dxa"/>
          </w:tcPr>
          <w:p>
            <w:pPr>
              <w:jc w:val="center"/>
              <w:rPr>
                <w:rFonts w:ascii="Arial" w:hAnsi="Arial" w:cs="Arial"/>
                <w:sz w:val="24"/>
                <w:szCs w:val="24"/>
              </w:rPr>
            </w:pPr>
            <w:r>
              <w:rPr>
                <w:rFonts w:ascii="Arial" w:hAnsi="Arial" w:cs="Arial"/>
                <w:sz w:val="24"/>
                <w:szCs w:val="24"/>
              </w:rPr>
              <w:t>Mean</w:t>
            </w:r>
          </w:p>
        </w:tc>
        <w:tc>
          <w:tcPr>
            <w:tcW w:w="1170" w:type="dxa"/>
            <w:vAlign w:val="center"/>
          </w:tcPr>
          <w:p>
            <w:pPr>
              <w:jc w:val="center"/>
              <w:rPr>
                <w:rFonts w:ascii="Arial" w:hAnsi="Arial" w:cs="Arial"/>
                <w:sz w:val="24"/>
                <w:szCs w:val="24"/>
              </w:rPr>
            </w:pPr>
            <w:r>
              <w:rPr>
                <w:rFonts w:ascii="Arial" w:hAnsi="Arial" w:cs="Arial"/>
                <w:color w:val="000000"/>
                <w:sz w:val="24"/>
                <w:szCs w:val="24"/>
              </w:rPr>
              <w:t>3.43</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rPr>
                <w:rFonts w:ascii="Arial" w:hAnsi="Arial" w:cs="Arial"/>
                <w:sz w:val="24"/>
                <w:szCs w:val="24"/>
              </w:rPr>
            </w:pPr>
            <w:r>
              <w:rPr>
                <w:rFonts w:ascii="Arial" w:hAnsi="Arial" w:cs="Arial"/>
                <w:b/>
                <w:bCs/>
                <w:sz w:val="24"/>
                <w:szCs w:val="24"/>
                <w:lang w:eastAsia="en-PH"/>
              </w:rPr>
              <w:t>Amplification</w:t>
            </w:r>
          </w:p>
        </w:tc>
        <w:tc>
          <w:tcPr>
            <w:tcW w:w="1170" w:type="dxa"/>
            <w:vAlign w:val="center"/>
          </w:tcPr>
          <w:p>
            <w:pPr>
              <w:jc w:val="center"/>
              <w:rPr>
                <w:rFonts w:ascii="Arial" w:hAnsi="Arial" w:cs="Arial"/>
                <w:sz w:val="24"/>
                <w:szCs w:val="24"/>
              </w:rPr>
            </w:pPr>
          </w:p>
        </w:tc>
        <w:tc>
          <w:tcPr>
            <w:tcW w:w="1705" w:type="dxa"/>
            <w:vAlign w:val="center"/>
          </w:tcPr>
          <w:p>
            <w:pPr>
              <w:jc w:val="center"/>
              <w:rPr>
                <w:rFonts w:ascii="Arial" w:hAnsi="Arial" w:cs="Arial"/>
                <w:sz w:val="24"/>
                <w:szCs w:val="24"/>
              </w:rPr>
            </w:pPr>
          </w:p>
        </w:tc>
      </w:tr>
      <w:tr>
        <w:tc>
          <w:tcPr>
            <w:tcW w:w="6475" w:type="dxa"/>
          </w:tcPr>
          <w:p>
            <w:pPr>
              <w:jc w:val="both"/>
              <w:rPr>
                <w:rFonts w:ascii="Arial" w:hAnsi="Arial" w:cs="Arial"/>
                <w:b/>
                <w:bCs/>
                <w:i/>
                <w:iCs/>
                <w:sz w:val="24"/>
                <w:szCs w:val="24"/>
                <w:lang w:eastAsia="en-PH"/>
              </w:rPr>
            </w:pPr>
            <w:r>
              <w:rPr>
                <w:rFonts w:ascii="Arial" w:hAnsi="Arial" w:cs="Arial"/>
                <w:sz w:val="24"/>
                <w:szCs w:val="24"/>
              </w:rPr>
              <w:t>Multimedia improves learners’ understanding of English concepts.</w:t>
            </w:r>
          </w:p>
        </w:tc>
        <w:tc>
          <w:tcPr>
            <w:tcW w:w="1170" w:type="dxa"/>
            <w:vAlign w:val="center"/>
          </w:tcPr>
          <w:p>
            <w:pPr>
              <w:jc w:val="center"/>
              <w:rPr>
                <w:rFonts w:ascii="Arial" w:hAnsi="Arial" w:cs="Arial"/>
                <w:sz w:val="24"/>
                <w:szCs w:val="24"/>
              </w:rPr>
            </w:pPr>
            <w:r>
              <w:rPr>
                <w:rFonts w:ascii="Arial" w:hAnsi="Arial" w:cs="Arial"/>
                <w:sz w:val="24"/>
                <w:szCs w:val="24"/>
              </w:rPr>
              <w:t>3.63</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jc w:val="both"/>
              <w:rPr>
                <w:rFonts w:ascii="Arial" w:hAnsi="Arial" w:cs="Arial"/>
                <w:sz w:val="24"/>
                <w:szCs w:val="24"/>
              </w:rPr>
            </w:pPr>
            <w:r>
              <w:rPr>
                <w:rFonts w:ascii="Arial" w:hAnsi="Arial" w:cs="Arial"/>
                <w:sz w:val="24"/>
                <w:szCs w:val="24"/>
              </w:rPr>
              <w:t>Digital tools make English lessons more efficient.</w:t>
            </w:r>
          </w:p>
        </w:tc>
        <w:tc>
          <w:tcPr>
            <w:tcW w:w="1170" w:type="dxa"/>
            <w:vAlign w:val="center"/>
          </w:tcPr>
          <w:p>
            <w:pPr>
              <w:jc w:val="center"/>
              <w:rPr>
                <w:rFonts w:ascii="Arial" w:hAnsi="Arial" w:cs="Arial"/>
                <w:sz w:val="24"/>
                <w:szCs w:val="24"/>
              </w:rPr>
            </w:pPr>
            <w:r>
              <w:rPr>
                <w:rFonts w:ascii="Arial" w:hAnsi="Arial" w:cs="Arial"/>
                <w:sz w:val="24"/>
                <w:szCs w:val="24"/>
              </w:rPr>
              <w:t>3.60</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jc w:val="both"/>
              <w:rPr>
                <w:rFonts w:ascii="Arial" w:hAnsi="Arial" w:cs="Arial"/>
                <w:sz w:val="24"/>
                <w:szCs w:val="24"/>
              </w:rPr>
            </w:pPr>
            <w:r>
              <w:rPr>
                <w:rFonts w:ascii="Arial" w:hAnsi="Arial" w:cs="Arial"/>
                <w:sz w:val="24"/>
                <w:szCs w:val="24"/>
              </w:rPr>
              <w:t>Technology enhances classroom management in English lessons.</w:t>
            </w:r>
          </w:p>
        </w:tc>
        <w:tc>
          <w:tcPr>
            <w:tcW w:w="1170" w:type="dxa"/>
            <w:vAlign w:val="center"/>
          </w:tcPr>
          <w:p>
            <w:pPr>
              <w:jc w:val="center"/>
              <w:rPr>
                <w:rFonts w:ascii="Arial" w:hAnsi="Arial" w:cs="Arial"/>
                <w:sz w:val="24"/>
                <w:szCs w:val="24"/>
              </w:rPr>
            </w:pPr>
            <w:r>
              <w:rPr>
                <w:rFonts w:ascii="Arial" w:hAnsi="Arial" w:cs="Arial"/>
                <w:sz w:val="24"/>
                <w:szCs w:val="24"/>
              </w:rPr>
              <w:t>3.60</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jc w:val="both"/>
              <w:rPr>
                <w:rFonts w:ascii="Arial" w:hAnsi="Arial" w:cs="Arial"/>
                <w:sz w:val="24"/>
                <w:szCs w:val="24"/>
              </w:rPr>
            </w:pPr>
            <w:r>
              <w:rPr>
                <w:rFonts w:ascii="Arial" w:hAnsi="Arial" w:cs="Arial"/>
                <w:sz w:val="24"/>
                <w:szCs w:val="24"/>
              </w:rPr>
              <w:t>Technology improves clarity of English explanations.</w:t>
            </w:r>
          </w:p>
        </w:tc>
        <w:tc>
          <w:tcPr>
            <w:tcW w:w="1170" w:type="dxa"/>
            <w:vAlign w:val="center"/>
          </w:tcPr>
          <w:p>
            <w:pPr>
              <w:jc w:val="center"/>
              <w:rPr>
                <w:rFonts w:ascii="Arial" w:hAnsi="Arial" w:cs="Arial"/>
                <w:sz w:val="24"/>
                <w:szCs w:val="24"/>
              </w:rPr>
            </w:pPr>
            <w:r>
              <w:rPr>
                <w:rFonts w:ascii="Arial" w:hAnsi="Arial" w:cs="Arial"/>
                <w:sz w:val="24"/>
                <w:szCs w:val="24"/>
              </w:rPr>
              <w:t>3.40</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jc w:val="both"/>
              <w:rPr>
                <w:rFonts w:ascii="Arial" w:hAnsi="Arial" w:cs="Arial"/>
                <w:sz w:val="24"/>
                <w:szCs w:val="24"/>
              </w:rPr>
            </w:pPr>
            <w:r>
              <w:rPr>
                <w:rFonts w:ascii="Arial" w:hAnsi="Arial" w:cs="Arial"/>
                <w:sz w:val="24"/>
                <w:szCs w:val="24"/>
              </w:rPr>
              <w:t>Technology allows faster feedback on English tasks.</w:t>
            </w:r>
          </w:p>
        </w:tc>
        <w:tc>
          <w:tcPr>
            <w:tcW w:w="1170" w:type="dxa"/>
            <w:vAlign w:val="center"/>
          </w:tcPr>
          <w:p>
            <w:pPr>
              <w:jc w:val="center"/>
              <w:rPr>
                <w:rFonts w:ascii="Arial" w:hAnsi="Arial" w:cs="Arial"/>
                <w:sz w:val="24"/>
                <w:szCs w:val="24"/>
              </w:rPr>
            </w:pPr>
            <w:r>
              <w:rPr>
                <w:rFonts w:ascii="Arial" w:hAnsi="Arial" w:cs="Arial"/>
                <w:sz w:val="24"/>
                <w:szCs w:val="24"/>
              </w:rPr>
              <w:t>3.40</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jc w:val="center"/>
              <w:rPr>
                <w:rFonts w:ascii="Arial" w:hAnsi="Arial" w:cs="Arial"/>
                <w:sz w:val="24"/>
                <w:szCs w:val="24"/>
              </w:rPr>
            </w:pPr>
            <w:r>
              <w:rPr>
                <w:rFonts w:ascii="Arial" w:hAnsi="Arial" w:cs="Arial"/>
                <w:sz w:val="24"/>
                <w:szCs w:val="24"/>
              </w:rPr>
              <w:t>Mean</w:t>
            </w:r>
          </w:p>
        </w:tc>
        <w:tc>
          <w:tcPr>
            <w:tcW w:w="1170" w:type="dxa"/>
            <w:vAlign w:val="center"/>
          </w:tcPr>
          <w:p>
            <w:pPr>
              <w:jc w:val="center"/>
              <w:rPr>
                <w:rFonts w:ascii="Arial" w:hAnsi="Arial" w:cs="Arial"/>
                <w:sz w:val="24"/>
                <w:szCs w:val="24"/>
              </w:rPr>
            </w:pPr>
            <w:r>
              <w:rPr>
                <w:rFonts w:ascii="Arial" w:hAnsi="Arial" w:cs="Arial"/>
                <w:color w:val="000000"/>
                <w:sz w:val="24"/>
                <w:szCs w:val="24"/>
              </w:rPr>
              <w:t>3.51</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rPr>
                <w:rFonts w:ascii="Arial" w:hAnsi="Arial" w:cs="Arial"/>
                <w:sz w:val="24"/>
                <w:szCs w:val="24"/>
              </w:rPr>
            </w:pPr>
            <w:r>
              <w:rPr>
                <w:rFonts w:ascii="Arial" w:hAnsi="Arial" w:cs="Arial"/>
                <w:b/>
                <w:bCs/>
                <w:i/>
                <w:iCs/>
                <w:sz w:val="24"/>
                <w:szCs w:val="24"/>
                <w:lang w:eastAsia="en-PH"/>
              </w:rPr>
              <w:t>Transformation</w:t>
            </w:r>
          </w:p>
        </w:tc>
        <w:tc>
          <w:tcPr>
            <w:tcW w:w="1170" w:type="dxa"/>
            <w:vAlign w:val="center"/>
          </w:tcPr>
          <w:p>
            <w:pPr>
              <w:jc w:val="center"/>
              <w:rPr>
                <w:rFonts w:ascii="Arial" w:hAnsi="Arial" w:cs="Arial"/>
                <w:sz w:val="24"/>
                <w:szCs w:val="24"/>
              </w:rPr>
            </w:pPr>
          </w:p>
        </w:tc>
        <w:tc>
          <w:tcPr>
            <w:tcW w:w="1705" w:type="dxa"/>
            <w:vAlign w:val="center"/>
          </w:tcPr>
          <w:p>
            <w:pPr>
              <w:jc w:val="center"/>
              <w:rPr>
                <w:rFonts w:ascii="Arial" w:hAnsi="Arial" w:cs="Arial"/>
                <w:sz w:val="24"/>
                <w:szCs w:val="24"/>
              </w:rPr>
            </w:pPr>
          </w:p>
        </w:tc>
      </w:tr>
      <w:tr>
        <w:tc>
          <w:tcPr>
            <w:tcW w:w="6475" w:type="dxa"/>
          </w:tcPr>
          <w:p>
            <w:pPr>
              <w:jc w:val="both"/>
              <w:rPr>
                <w:rFonts w:ascii="Arial" w:hAnsi="Arial" w:cs="Arial"/>
                <w:sz w:val="24"/>
                <w:szCs w:val="24"/>
              </w:rPr>
            </w:pPr>
            <w:r>
              <w:rPr>
                <w:rFonts w:ascii="Arial" w:hAnsi="Arial" w:cs="Arial"/>
                <w:sz w:val="24"/>
                <w:szCs w:val="24"/>
              </w:rPr>
              <w:t>Technology facilitates meaningful English collaboration.</w:t>
            </w:r>
          </w:p>
        </w:tc>
        <w:tc>
          <w:tcPr>
            <w:tcW w:w="1170" w:type="dxa"/>
            <w:vAlign w:val="center"/>
          </w:tcPr>
          <w:p>
            <w:pPr>
              <w:jc w:val="center"/>
              <w:rPr>
                <w:rFonts w:ascii="Arial" w:hAnsi="Arial" w:cs="Arial"/>
                <w:sz w:val="24"/>
                <w:szCs w:val="24"/>
              </w:rPr>
            </w:pPr>
            <w:r>
              <w:rPr>
                <w:rFonts w:ascii="Arial" w:hAnsi="Arial" w:cs="Arial"/>
                <w:sz w:val="24"/>
                <w:szCs w:val="24"/>
              </w:rPr>
              <w:t>3.63</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jc w:val="both"/>
              <w:rPr>
                <w:rFonts w:ascii="Arial" w:hAnsi="Arial" w:cs="Arial"/>
                <w:sz w:val="24"/>
                <w:szCs w:val="24"/>
              </w:rPr>
            </w:pPr>
            <w:r>
              <w:rPr>
                <w:rFonts w:ascii="Arial" w:hAnsi="Arial" w:cs="Arial"/>
                <w:sz w:val="24"/>
                <w:szCs w:val="24"/>
              </w:rPr>
              <w:t>Technology enables English learning tasks that cannot be done traditionally.</w:t>
            </w:r>
          </w:p>
        </w:tc>
        <w:tc>
          <w:tcPr>
            <w:tcW w:w="1170" w:type="dxa"/>
            <w:vAlign w:val="center"/>
          </w:tcPr>
          <w:p>
            <w:pPr>
              <w:jc w:val="center"/>
              <w:rPr>
                <w:rFonts w:ascii="Arial" w:hAnsi="Arial" w:cs="Arial"/>
                <w:sz w:val="24"/>
                <w:szCs w:val="24"/>
              </w:rPr>
            </w:pPr>
            <w:r>
              <w:rPr>
                <w:rFonts w:ascii="Arial" w:hAnsi="Arial" w:cs="Arial"/>
                <w:sz w:val="24"/>
                <w:szCs w:val="24"/>
              </w:rPr>
              <w:t>3.57</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jc w:val="both"/>
              <w:rPr>
                <w:rFonts w:ascii="Arial" w:hAnsi="Arial" w:cs="Arial"/>
                <w:sz w:val="24"/>
                <w:szCs w:val="24"/>
              </w:rPr>
            </w:pPr>
            <w:r>
              <w:rPr>
                <w:rFonts w:ascii="Arial" w:hAnsi="Arial" w:cs="Arial"/>
                <w:sz w:val="24"/>
                <w:szCs w:val="24"/>
              </w:rPr>
              <w:t>My English teaching strategies change because of technology use.</w:t>
            </w:r>
          </w:p>
        </w:tc>
        <w:tc>
          <w:tcPr>
            <w:tcW w:w="1170" w:type="dxa"/>
            <w:vAlign w:val="center"/>
          </w:tcPr>
          <w:p>
            <w:pPr>
              <w:jc w:val="center"/>
              <w:rPr>
                <w:rFonts w:ascii="Arial" w:hAnsi="Arial" w:cs="Arial"/>
                <w:sz w:val="24"/>
                <w:szCs w:val="24"/>
              </w:rPr>
            </w:pPr>
            <w:r>
              <w:rPr>
                <w:rFonts w:ascii="Arial" w:hAnsi="Arial" w:cs="Arial"/>
                <w:sz w:val="24"/>
                <w:szCs w:val="24"/>
              </w:rPr>
              <w:t>3.57</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jc w:val="both"/>
              <w:rPr>
                <w:rFonts w:ascii="Arial" w:hAnsi="Arial" w:cs="Arial"/>
                <w:sz w:val="24"/>
                <w:szCs w:val="24"/>
              </w:rPr>
            </w:pPr>
            <w:r>
              <w:rPr>
                <w:rFonts w:ascii="Arial" w:hAnsi="Arial" w:cs="Arial"/>
                <w:sz w:val="24"/>
                <w:szCs w:val="24"/>
              </w:rPr>
              <w:t>Technology supports inquiry-based English learning.</w:t>
            </w:r>
          </w:p>
        </w:tc>
        <w:tc>
          <w:tcPr>
            <w:tcW w:w="1170" w:type="dxa"/>
            <w:vAlign w:val="center"/>
          </w:tcPr>
          <w:p>
            <w:pPr>
              <w:jc w:val="center"/>
              <w:rPr>
                <w:rFonts w:ascii="Arial" w:hAnsi="Arial" w:cs="Arial"/>
                <w:sz w:val="24"/>
                <w:szCs w:val="24"/>
              </w:rPr>
            </w:pPr>
            <w:r>
              <w:rPr>
                <w:rFonts w:ascii="Arial" w:hAnsi="Arial" w:cs="Arial"/>
                <w:sz w:val="24"/>
                <w:szCs w:val="24"/>
              </w:rPr>
              <w:t>3.53</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jc w:val="both"/>
              <w:rPr>
                <w:rFonts w:ascii="Arial" w:hAnsi="Arial" w:cs="Arial"/>
                <w:sz w:val="24"/>
                <w:szCs w:val="24"/>
              </w:rPr>
            </w:pPr>
            <w:r>
              <w:rPr>
                <w:rFonts w:ascii="Arial" w:hAnsi="Arial" w:cs="Arial"/>
                <w:sz w:val="24"/>
                <w:szCs w:val="24"/>
              </w:rPr>
              <w:t>Learners engage in authentic English communication using technology.</w:t>
            </w:r>
          </w:p>
        </w:tc>
        <w:tc>
          <w:tcPr>
            <w:tcW w:w="1170" w:type="dxa"/>
            <w:vAlign w:val="center"/>
          </w:tcPr>
          <w:p>
            <w:pPr>
              <w:jc w:val="center"/>
              <w:rPr>
                <w:rFonts w:ascii="Arial" w:hAnsi="Arial" w:cs="Arial"/>
                <w:sz w:val="24"/>
                <w:szCs w:val="24"/>
              </w:rPr>
            </w:pPr>
            <w:r>
              <w:rPr>
                <w:rFonts w:ascii="Arial" w:hAnsi="Arial" w:cs="Arial"/>
                <w:sz w:val="24"/>
                <w:szCs w:val="24"/>
              </w:rPr>
              <w:t>3.37</w:t>
            </w:r>
          </w:p>
        </w:tc>
        <w:tc>
          <w:tcPr>
            <w:tcW w:w="1705" w:type="dxa"/>
            <w:vAlign w:val="center"/>
          </w:tcPr>
          <w:p>
            <w:pPr>
              <w:jc w:val="center"/>
              <w:rPr>
                <w:rFonts w:ascii="Arial" w:hAnsi="Arial" w:cs="Arial"/>
                <w:sz w:val="24"/>
                <w:szCs w:val="24"/>
              </w:rPr>
            </w:pPr>
            <w:r>
              <w:rPr>
                <w:rFonts w:ascii="Arial" w:hAnsi="Arial" w:cs="Arial"/>
                <w:sz w:val="24"/>
                <w:szCs w:val="24"/>
              </w:rPr>
              <w:t>Moderately Engaged</w:t>
            </w:r>
          </w:p>
        </w:tc>
      </w:tr>
      <w:tr>
        <w:tc>
          <w:tcPr>
            <w:tcW w:w="6475" w:type="dxa"/>
          </w:tcPr>
          <w:p>
            <w:pPr>
              <w:jc w:val="center"/>
              <w:rPr>
                <w:rFonts w:ascii="Arial" w:hAnsi="Arial" w:cs="Arial"/>
                <w:sz w:val="24"/>
                <w:szCs w:val="24"/>
              </w:rPr>
            </w:pPr>
            <w:r>
              <w:rPr>
                <w:rFonts w:ascii="Arial" w:hAnsi="Arial" w:cs="Arial"/>
                <w:sz w:val="24"/>
                <w:szCs w:val="24"/>
              </w:rPr>
              <w:t xml:space="preserve">Mean </w:t>
            </w:r>
          </w:p>
        </w:tc>
        <w:tc>
          <w:tcPr>
            <w:tcW w:w="1170" w:type="dxa"/>
            <w:vAlign w:val="center"/>
          </w:tcPr>
          <w:p>
            <w:pPr>
              <w:jc w:val="center"/>
              <w:rPr>
                <w:rFonts w:ascii="Arial" w:hAnsi="Arial" w:cs="Arial"/>
                <w:sz w:val="24"/>
                <w:szCs w:val="24"/>
              </w:rPr>
            </w:pPr>
            <w:r>
              <w:rPr>
                <w:rFonts w:ascii="Arial" w:hAnsi="Arial" w:cs="Arial"/>
                <w:color w:val="000000"/>
                <w:sz w:val="24"/>
                <w:szCs w:val="24"/>
              </w:rPr>
              <w:t>3.53</w:t>
            </w:r>
          </w:p>
        </w:tc>
        <w:tc>
          <w:tcPr>
            <w:tcW w:w="1705" w:type="dxa"/>
            <w:vAlign w:val="center"/>
          </w:tcPr>
          <w:p>
            <w:pPr>
              <w:jc w:val="center"/>
              <w:rPr>
                <w:rFonts w:ascii="Arial" w:hAnsi="Arial" w:cs="Arial"/>
                <w:sz w:val="24"/>
                <w:szCs w:val="24"/>
              </w:rPr>
            </w:pPr>
            <w:r>
              <w:rPr>
                <w:rFonts w:ascii="Arial" w:hAnsi="Arial" w:cs="Arial"/>
                <w:sz w:val="24"/>
                <w:szCs w:val="24"/>
              </w:rPr>
              <w:t>Engaged</w:t>
            </w:r>
          </w:p>
        </w:tc>
      </w:tr>
      <w:tr>
        <w:tc>
          <w:tcPr>
            <w:tcW w:w="6475" w:type="dxa"/>
          </w:tcPr>
          <w:p>
            <w:pPr>
              <w:jc w:val="center"/>
              <w:rPr>
                <w:rFonts w:ascii="Arial" w:hAnsi="Arial" w:cs="Arial"/>
                <w:sz w:val="24"/>
                <w:szCs w:val="24"/>
              </w:rPr>
            </w:pPr>
            <w:r>
              <w:rPr>
                <w:rFonts w:ascii="Arial" w:hAnsi="Arial" w:cs="Arial"/>
                <w:sz w:val="24"/>
                <w:szCs w:val="24"/>
              </w:rPr>
              <w:t>Over-all Mean</w:t>
            </w:r>
          </w:p>
        </w:tc>
        <w:tc>
          <w:tcPr>
            <w:tcW w:w="1170" w:type="dxa"/>
            <w:vAlign w:val="center"/>
          </w:tcPr>
          <w:p>
            <w:pPr>
              <w:jc w:val="center"/>
              <w:rPr>
                <w:rFonts w:ascii="Arial" w:hAnsi="Arial" w:cs="Arial"/>
                <w:color w:val="000000"/>
                <w:sz w:val="24"/>
                <w:szCs w:val="24"/>
              </w:rPr>
            </w:pPr>
            <w:r>
              <w:rPr>
                <w:rFonts w:ascii="Arial" w:hAnsi="Arial" w:cs="Arial"/>
                <w:color w:val="000000"/>
                <w:sz w:val="24"/>
                <w:szCs w:val="24"/>
              </w:rPr>
              <w:t>3.50</w:t>
            </w:r>
          </w:p>
        </w:tc>
        <w:tc>
          <w:tcPr>
            <w:tcW w:w="1705" w:type="dxa"/>
            <w:vAlign w:val="center"/>
          </w:tcPr>
          <w:p>
            <w:pPr>
              <w:jc w:val="center"/>
              <w:rPr>
                <w:rFonts w:ascii="Arial" w:hAnsi="Arial" w:cs="Arial"/>
                <w:sz w:val="24"/>
                <w:szCs w:val="24"/>
              </w:rPr>
            </w:pPr>
            <w:r>
              <w:rPr>
                <w:rFonts w:ascii="Arial" w:hAnsi="Arial" w:cs="Arial"/>
                <w:sz w:val="24"/>
                <w:szCs w:val="24"/>
              </w:rPr>
              <w:t>Engaged</w:t>
            </w:r>
          </w:p>
        </w:tc>
      </w:tr>
    </w:tbl>
    <w:p>
      <w:pPr>
        <w:jc w:val="center"/>
        <w:rPr>
          <w:rFonts w:ascii="Arial" w:hAnsi="Arial" w:cs="Arial"/>
        </w:rPr>
      </w:pPr>
    </w:p>
    <w:p>
      <w:pPr>
        <w:jc w:val="center"/>
        <w:rPr>
          <w:rFonts w:ascii="Arial" w:eastAsia="Times New Roman" w:hAnsi="Arial" w:cs="Arial"/>
          <w:lang w:eastAsia="en-PH"/>
        </w:rPr>
      </w:pPr>
      <w:r>
        <w:rPr>
          <w:rFonts w:ascii="Arial" w:eastAsia="Times New Roman" w:hAnsi="Arial" w:cs="Arial"/>
          <w:lang w:eastAsia="en-PH"/>
        </w:rPr>
        <w:lastRenderedPageBreak/>
        <w:t>CHALLENGES IN INDIGENIZING ENGLISH LANGUAGE TEACHING THROUGH TECHNOLOGY</w:t>
      </w:r>
    </w:p>
    <w:tbl>
      <w:tblPr>
        <w:tblStyle w:val="TableGrid"/>
        <w:tblW w:w="0" w:type="auto"/>
        <w:tblLook w:val="04A0" w:firstRow="1" w:lastRow="0" w:firstColumn="1" w:lastColumn="0" w:noHBand="0" w:noVBand="1"/>
      </w:tblPr>
      <w:tblGrid>
        <w:gridCol w:w="5732"/>
        <w:gridCol w:w="1230"/>
        <w:gridCol w:w="1668"/>
      </w:tblGrid>
      <w:tr>
        <w:tc>
          <w:tcPr>
            <w:tcW w:w="6475" w:type="dxa"/>
          </w:tcPr>
          <w:p>
            <w:pPr>
              <w:jc w:val="center"/>
              <w:rPr>
                <w:rFonts w:ascii="Arial" w:hAnsi="Arial" w:cs="Arial"/>
                <w:sz w:val="24"/>
                <w:szCs w:val="24"/>
              </w:rPr>
            </w:pPr>
            <w:r>
              <w:rPr>
                <w:rFonts w:ascii="Arial" w:hAnsi="Arial" w:cs="Arial"/>
                <w:sz w:val="24"/>
                <w:szCs w:val="24"/>
              </w:rPr>
              <w:t>Indicator</w:t>
            </w:r>
          </w:p>
        </w:tc>
        <w:tc>
          <w:tcPr>
            <w:tcW w:w="1170" w:type="dxa"/>
          </w:tcPr>
          <w:p>
            <w:pPr>
              <w:jc w:val="center"/>
              <w:rPr>
                <w:rFonts w:ascii="Arial" w:hAnsi="Arial" w:cs="Arial"/>
                <w:sz w:val="24"/>
                <w:szCs w:val="24"/>
              </w:rPr>
            </w:pPr>
            <w:r>
              <w:rPr>
                <w:rFonts w:ascii="Arial" w:hAnsi="Arial" w:cs="Arial"/>
                <w:sz w:val="24"/>
                <w:szCs w:val="24"/>
              </w:rPr>
              <w:t>Weighted Mean</w:t>
            </w:r>
          </w:p>
        </w:tc>
        <w:tc>
          <w:tcPr>
            <w:tcW w:w="1705" w:type="dxa"/>
          </w:tcPr>
          <w:p>
            <w:pPr>
              <w:jc w:val="center"/>
              <w:rPr>
                <w:rFonts w:ascii="Arial" w:hAnsi="Arial" w:cs="Arial"/>
                <w:sz w:val="24"/>
                <w:szCs w:val="24"/>
              </w:rPr>
            </w:pPr>
            <w:r>
              <w:rPr>
                <w:rFonts w:ascii="Arial" w:hAnsi="Arial" w:cs="Arial"/>
                <w:sz w:val="24"/>
                <w:szCs w:val="24"/>
              </w:rPr>
              <w:t>Adjectival Rating</w:t>
            </w:r>
          </w:p>
        </w:tc>
      </w:tr>
      <w:tr>
        <w:tc>
          <w:tcPr>
            <w:tcW w:w="6475" w:type="dxa"/>
          </w:tcPr>
          <w:p>
            <w:pPr>
              <w:jc w:val="both"/>
              <w:rPr>
                <w:rFonts w:ascii="Arial" w:hAnsi="Arial" w:cs="Arial"/>
                <w:sz w:val="24"/>
                <w:szCs w:val="24"/>
              </w:rPr>
            </w:pPr>
            <w:r>
              <w:rPr>
                <w:rFonts w:ascii="Arial" w:hAnsi="Arial" w:cs="Arial"/>
                <w:sz w:val="24"/>
                <w:szCs w:val="24"/>
              </w:rPr>
              <w:t>I find it difficult to balance curriculum standards with culturally contextualized digital tasks.</w:t>
            </w:r>
          </w:p>
        </w:tc>
        <w:tc>
          <w:tcPr>
            <w:tcW w:w="1170" w:type="dxa"/>
            <w:vAlign w:val="bottom"/>
          </w:tcPr>
          <w:p>
            <w:pPr>
              <w:jc w:val="center"/>
              <w:rPr>
                <w:rFonts w:ascii="Arial" w:hAnsi="Arial" w:cs="Arial"/>
                <w:sz w:val="24"/>
                <w:szCs w:val="24"/>
              </w:rPr>
            </w:pPr>
            <w:r>
              <w:rPr>
                <w:rFonts w:ascii="Arial" w:hAnsi="Arial" w:cs="Arial"/>
                <w:sz w:val="24"/>
                <w:szCs w:val="24"/>
              </w:rPr>
              <w:t>3.77</w:t>
            </w:r>
          </w:p>
        </w:tc>
        <w:tc>
          <w:tcPr>
            <w:tcW w:w="1705" w:type="dxa"/>
          </w:tcPr>
          <w:p>
            <w:pPr>
              <w:jc w:val="center"/>
              <w:rPr>
                <w:rFonts w:ascii="Arial" w:hAnsi="Arial" w:cs="Arial"/>
                <w:sz w:val="24"/>
                <w:szCs w:val="24"/>
              </w:rPr>
            </w:pPr>
            <w:r>
              <w:rPr>
                <w:rFonts w:ascii="Arial" w:hAnsi="Arial" w:cs="Arial"/>
                <w:sz w:val="24"/>
                <w:szCs w:val="24"/>
              </w:rPr>
              <w:t>Highly Challenging</w:t>
            </w:r>
          </w:p>
        </w:tc>
      </w:tr>
      <w:tr>
        <w:tc>
          <w:tcPr>
            <w:tcW w:w="6475" w:type="dxa"/>
          </w:tcPr>
          <w:p>
            <w:pPr>
              <w:jc w:val="both"/>
              <w:rPr>
                <w:rFonts w:ascii="Arial" w:hAnsi="Arial" w:cs="Arial"/>
                <w:sz w:val="24"/>
                <w:szCs w:val="24"/>
              </w:rPr>
            </w:pPr>
            <w:r>
              <w:rPr>
                <w:rFonts w:ascii="Arial" w:hAnsi="Arial" w:cs="Arial"/>
                <w:sz w:val="24"/>
                <w:szCs w:val="24"/>
              </w:rPr>
              <w:t>I need more guidance on applying PICRAT in ELT.</w:t>
            </w:r>
          </w:p>
        </w:tc>
        <w:tc>
          <w:tcPr>
            <w:tcW w:w="1170" w:type="dxa"/>
            <w:vAlign w:val="bottom"/>
          </w:tcPr>
          <w:p>
            <w:pPr>
              <w:jc w:val="center"/>
              <w:rPr>
                <w:rFonts w:ascii="Arial" w:hAnsi="Arial" w:cs="Arial"/>
                <w:sz w:val="24"/>
                <w:szCs w:val="24"/>
              </w:rPr>
            </w:pPr>
            <w:r>
              <w:rPr>
                <w:rFonts w:ascii="Arial" w:hAnsi="Arial" w:cs="Arial"/>
                <w:sz w:val="24"/>
                <w:szCs w:val="24"/>
              </w:rPr>
              <w:t>3.70</w:t>
            </w:r>
          </w:p>
        </w:tc>
        <w:tc>
          <w:tcPr>
            <w:tcW w:w="1705" w:type="dxa"/>
          </w:tcPr>
          <w:p>
            <w:pPr>
              <w:jc w:val="center"/>
              <w:rPr>
                <w:rFonts w:ascii="Arial" w:hAnsi="Arial" w:cs="Arial"/>
                <w:sz w:val="24"/>
                <w:szCs w:val="24"/>
              </w:rPr>
            </w:pPr>
            <w:r>
              <w:rPr>
                <w:rFonts w:ascii="Arial" w:hAnsi="Arial" w:cs="Arial"/>
                <w:sz w:val="24"/>
                <w:szCs w:val="24"/>
              </w:rPr>
              <w:t>Highly Challenging</w:t>
            </w:r>
          </w:p>
        </w:tc>
      </w:tr>
      <w:tr>
        <w:tc>
          <w:tcPr>
            <w:tcW w:w="6475" w:type="dxa"/>
          </w:tcPr>
          <w:p>
            <w:pPr>
              <w:jc w:val="both"/>
              <w:rPr>
                <w:rFonts w:ascii="Arial" w:hAnsi="Arial" w:cs="Arial"/>
                <w:sz w:val="24"/>
                <w:szCs w:val="24"/>
              </w:rPr>
            </w:pPr>
            <w:r>
              <w:rPr>
                <w:rFonts w:ascii="Arial" w:hAnsi="Arial" w:cs="Arial"/>
                <w:sz w:val="24"/>
                <w:szCs w:val="24"/>
              </w:rPr>
              <w:t>Curriculum requirements limit integration of Indigenous knowledge in ELT.</w:t>
            </w:r>
          </w:p>
        </w:tc>
        <w:tc>
          <w:tcPr>
            <w:tcW w:w="1170" w:type="dxa"/>
            <w:vAlign w:val="bottom"/>
          </w:tcPr>
          <w:p>
            <w:pPr>
              <w:jc w:val="center"/>
              <w:rPr>
                <w:rFonts w:ascii="Arial" w:hAnsi="Arial" w:cs="Arial"/>
                <w:sz w:val="24"/>
                <w:szCs w:val="24"/>
              </w:rPr>
            </w:pPr>
            <w:r>
              <w:rPr>
                <w:rFonts w:ascii="Arial" w:hAnsi="Arial" w:cs="Arial"/>
                <w:sz w:val="24"/>
                <w:szCs w:val="24"/>
              </w:rPr>
              <w:t>3.70</w:t>
            </w:r>
          </w:p>
        </w:tc>
        <w:tc>
          <w:tcPr>
            <w:tcW w:w="1705" w:type="dxa"/>
          </w:tcPr>
          <w:p>
            <w:pPr>
              <w:jc w:val="center"/>
              <w:rPr>
                <w:rFonts w:ascii="Arial" w:hAnsi="Arial" w:cs="Arial"/>
                <w:sz w:val="24"/>
                <w:szCs w:val="24"/>
              </w:rPr>
            </w:pPr>
            <w:r>
              <w:rPr>
                <w:rFonts w:ascii="Arial" w:hAnsi="Arial" w:cs="Arial"/>
                <w:sz w:val="24"/>
                <w:szCs w:val="24"/>
              </w:rPr>
              <w:t>Highly Challenging</w:t>
            </w:r>
          </w:p>
        </w:tc>
      </w:tr>
      <w:tr>
        <w:tc>
          <w:tcPr>
            <w:tcW w:w="6475" w:type="dxa"/>
          </w:tcPr>
          <w:p>
            <w:pPr>
              <w:jc w:val="both"/>
              <w:rPr>
                <w:rFonts w:ascii="Arial" w:hAnsi="Arial" w:cs="Arial"/>
                <w:sz w:val="24"/>
                <w:szCs w:val="24"/>
              </w:rPr>
            </w:pPr>
            <w:r>
              <w:rPr>
                <w:rFonts w:ascii="Arial" w:hAnsi="Arial" w:cs="Arial"/>
                <w:sz w:val="24"/>
                <w:szCs w:val="24"/>
              </w:rPr>
              <w:t>Learners’ limited digital literacy skills hinder effective participation in technology-supported English tasks.</w:t>
            </w:r>
          </w:p>
        </w:tc>
        <w:tc>
          <w:tcPr>
            <w:tcW w:w="1170" w:type="dxa"/>
            <w:vAlign w:val="bottom"/>
          </w:tcPr>
          <w:p>
            <w:pPr>
              <w:jc w:val="center"/>
              <w:rPr>
                <w:rFonts w:ascii="Arial" w:hAnsi="Arial" w:cs="Arial"/>
                <w:sz w:val="24"/>
                <w:szCs w:val="24"/>
              </w:rPr>
            </w:pPr>
            <w:r>
              <w:rPr>
                <w:rFonts w:ascii="Arial" w:hAnsi="Arial" w:cs="Arial"/>
                <w:sz w:val="24"/>
                <w:szCs w:val="24"/>
              </w:rPr>
              <w:t>3.70</w:t>
            </w:r>
          </w:p>
        </w:tc>
        <w:tc>
          <w:tcPr>
            <w:tcW w:w="1705" w:type="dxa"/>
          </w:tcPr>
          <w:p>
            <w:pPr>
              <w:jc w:val="center"/>
              <w:rPr>
                <w:rFonts w:ascii="Arial" w:hAnsi="Arial" w:cs="Arial"/>
                <w:sz w:val="24"/>
                <w:szCs w:val="24"/>
              </w:rPr>
            </w:pPr>
            <w:r>
              <w:rPr>
                <w:rFonts w:ascii="Arial" w:hAnsi="Arial" w:cs="Arial"/>
                <w:sz w:val="24"/>
                <w:szCs w:val="24"/>
              </w:rPr>
              <w:t>Highly Challenging</w:t>
            </w:r>
          </w:p>
        </w:tc>
      </w:tr>
      <w:tr>
        <w:tc>
          <w:tcPr>
            <w:tcW w:w="6475" w:type="dxa"/>
          </w:tcPr>
          <w:p>
            <w:pPr>
              <w:jc w:val="both"/>
              <w:rPr>
                <w:rFonts w:ascii="Arial" w:hAnsi="Arial" w:cs="Arial"/>
                <w:sz w:val="24"/>
                <w:szCs w:val="24"/>
              </w:rPr>
            </w:pPr>
            <w:r>
              <w:rPr>
                <w:rFonts w:ascii="Arial" w:hAnsi="Arial" w:cs="Arial"/>
                <w:sz w:val="24"/>
                <w:szCs w:val="24"/>
              </w:rPr>
              <w:t>Limited access to culturally localized digital content affects lesson contextualization.</w:t>
            </w:r>
          </w:p>
        </w:tc>
        <w:tc>
          <w:tcPr>
            <w:tcW w:w="1170" w:type="dxa"/>
            <w:vAlign w:val="bottom"/>
          </w:tcPr>
          <w:p>
            <w:pPr>
              <w:jc w:val="center"/>
              <w:rPr>
                <w:rFonts w:ascii="Arial" w:hAnsi="Arial" w:cs="Arial"/>
                <w:sz w:val="24"/>
                <w:szCs w:val="24"/>
              </w:rPr>
            </w:pPr>
            <w:r>
              <w:rPr>
                <w:rFonts w:ascii="Arial" w:hAnsi="Arial" w:cs="Arial"/>
                <w:sz w:val="24"/>
                <w:szCs w:val="24"/>
              </w:rPr>
              <w:t>3.67</w:t>
            </w:r>
          </w:p>
        </w:tc>
        <w:tc>
          <w:tcPr>
            <w:tcW w:w="1705" w:type="dxa"/>
          </w:tcPr>
          <w:p>
            <w:pPr>
              <w:jc w:val="center"/>
              <w:rPr>
                <w:rFonts w:ascii="Arial" w:hAnsi="Arial" w:cs="Arial"/>
                <w:sz w:val="24"/>
                <w:szCs w:val="24"/>
              </w:rPr>
            </w:pPr>
            <w:r>
              <w:rPr>
                <w:rFonts w:ascii="Arial" w:hAnsi="Arial" w:cs="Arial"/>
                <w:sz w:val="24"/>
                <w:szCs w:val="24"/>
              </w:rPr>
              <w:t>Highly Challenging</w:t>
            </w:r>
          </w:p>
        </w:tc>
      </w:tr>
      <w:tr>
        <w:tc>
          <w:tcPr>
            <w:tcW w:w="6475" w:type="dxa"/>
          </w:tcPr>
          <w:p>
            <w:pPr>
              <w:jc w:val="both"/>
              <w:rPr>
                <w:rFonts w:ascii="Arial" w:hAnsi="Arial" w:cs="Arial"/>
                <w:sz w:val="24"/>
                <w:szCs w:val="24"/>
              </w:rPr>
            </w:pPr>
            <w:r>
              <w:rPr>
                <w:rFonts w:ascii="Arial" w:hAnsi="Arial" w:cs="Arial"/>
                <w:sz w:val="24"/>
                <w:szCs w:val="24"/>
              </w:rPr>
              <w:t>Learners have limited access to devices at home for technology-based English activities.</w:t>
            </w:r>
          </w:p>
        </w:tc>
        <w:tc>
          <w:tcPr>
            <w:tcW w:w="1170" w:type="dxa"/>
            <w:vAlign w:val="bottom"/>
          </w:tcPr>
          <w:p>
            <w:pPr>
              <w:jc w:val="center"/>
              <w:rPr>
                <w:rFonts w:ascii="Arial" w:hAnsi="Arial" w:cs="Arial"/>
                <w:sz w:val="24"/>
                <w:szCs w:val="24"/>
              </w:rPr>
            </w:pPr>
            <w:r>
              <w:rPr>
                <w:rFonts w:ascii="Arial" w:hAnsi="Arial" w:cs="Arial"/>
                <w:sz w:val="24"/>
                <w:szCs w:val="24"/>
              </w:rPr>
              <w:t>3.63</w:t>
            </w:r>
          </w:p>
        </w:tc>
        <w:tc>
          <w:tcPr>
            <w:tcW w:w="1705" w:type="dxa"/>
          </w:tcPr>
          <w:p>
            <w:pPr>
              <w:jc w:val="center"/>
              <w:rPr>
                <w:rFonts w:ascii="Arial" w:hAnsi="Arial" w:cs="Arial"/>
                <w:sz w:val="24"/>
                <w:szCs w:val="24"/>
              </w:rPr>
            </w:pPr>
            <w:r>
              <w:rPr>
                <w:rFonts w:ascii="Arial" w:hAnsi="Arial" w:cs="Arial"/>
                <w:sz w:val="24"/>
                <w:szCs w:val="24"/>
              </w:rPr>
              <w:t>Highly Challenging</w:t>
            </w:r>
          </w:p>
        </w:tc>
      </w:tr>
      <w:tr>
        <w:tc>
          <w:tcPr>
            <w:tcW w:w="6475" w:type="dxa"/>
          </w:tcPr>
          <w:p>
            <w:pPr>
              <w:jc w:val="both"/>
              <w:rPr>
                <w:rFonts w:ascii="Arial" w:hAnsi="Arial" w:cs="Arial"/>
                <w:sz w:val="24"/>
                <w:szCs w:val="24"/>
              </w:rPr>
            </w:pPr>
            <w:r>
              <w:rPr>
                <w:rFonts w:ascii="Arial" w:hAnsi="Arial" w:cs="Arial"/>
                <w:sz w:val="24"/>
                <w:szCs w:val="24"/>
              </w:rPr>
              <w:t>Assessing learners’ performance in technology-supported English tasks is challenging.</w:t>
            </w:r>
          </w:p>
        </w:tc>
        <w:tc>
          <w:tcPr>
            <w:tcW w:w="1170" w:type="dxa"/>
            <w:vAlign w:val="bottom"/>
          </w:tcPr>
          <w:p>
            <w:pPr>
              <w:jc w:val="center"/>
              <w:rPr>
                <w:rFonts w:ascii="Arial" w:hAnsi="Arial" w:cs="Arial"/>
                <w:sz w:val="24"/>
                <w:szCs w:val="24"/>
              </w:rPr>
            </w:pPr>
            <w:r>
              <w:rPr>
                <w:rFonts w:ascii="Arial" w:hAnsi="Arial" w:cs="Arial"/>
                <w:sz w:val="24"/>
                <w:szCs w:val="24"/>
              </w:rPr>
              <w:t>3.63</w:t>
            </w:r>
          </w:p>
        </w:tc>
        <w:tc>
          <w:tcPr>
            <w:tcW w:w="1705" w:type="dxa"/>
          </w:tcPr>
          <w:p>
            <w:pPr>
              <w:jc w:val="center"/>
              <w:rPr>
                <w:rFonts w:ascii="Arial" w:hAnsi="Arial" w:cs="Arial"/>
                <w:sz w:val="24"/>
                <w:szCs w:val="24"/>
              </w:rPr>
            </w:pPr>
            <w:r>
              <w:rPr>
                <w:rFonts w:ascii="Arial" w:hAnsi="Arial" w:cs="Arial"/>
                <w:sz w:val="24"/>
                <w:szCs w:val="24"/>
              </w:rPr>
              <w:t>Highly Challenging</w:t>
            </w:r>
          </w:p>
        </w:tc>
      </w:tr>
      <w:tr>
        <w:tc>
          <w:tcPr>
            <w:tcW w:w="6475" w:type="dxa"/>
          </w:tcPr>
          <w:p>
            <w:pPr>
              <w:jc w:val="both"/>
              <w:rPr>
                <w:rFonts w:ascii="Arial" w:hAnsi="Arial" w:cs="Arial"/>
                <w:sz w:val="24"/>
                <w:szCs w:val="24"/>
              </w:rPr>
            </w:pPr>
            <w:r>
              <w:rPr>
                <w:rFonts w:ascii="Arial" w:hAnsi="Arial" w:cs="Arial"/>
                <w:sz w:val="24"/>
                <w:szCs w:val="24"/>
              </w:rPr>
              <w:t>Available digital English resources are not culturally appropriate.</w:t>
            </w:r>
          </w:p>
        </w:tc>
        <w:tc>
          <w:tcPr>
            <w:tcW w:w="1170" w:type="dxa"/>
            <w:vAlign w:val="bottom"/>
          </w:tcPr>
          <w:p>
            <w:pPr>
              <w:jc w:val="center"/>
              <w:rPr>
                <w:rFonts w:ascii="Arial" w:hAnsi="Arial" w:cs="Arial"/>
                <w:sz w:val="24"/>
                <w:szCs w:val="24"/>
              </w:rPr>
            </w:pPr>
            <w:r>
              <w:rPr>
                <w:rFonts w:ascii="Arial" w:hAnsi="Arial" w:cs="Arial"/>
                <w:sz w:val="24"/>
                <w:szCs w:val="24"/>
              </w:rPr>
              <w:t>3.60</w:t>
            </w:r>
          </w:p>
        </w:tc>
        <w:tc>
          <w:tcPr>
            <w:tcW w:w="1705" w:type="dxa"/>
          </w:tcPr>
          <w:p>
            <w:pPr>
              <w:jc w:val="center"/>
              <w:rPr>
                <w:rFonts w:ascii="Arial" w:hAnsi="Arial" w:cs="Arial"/>
                <w:sz w:val="24"/>
                <w:szCs w:val="24"/>
              </w:rPr>
            </w:pPr>
            <w:r>
              <w:rPr>
                <w:rFonts w:ascii="Arial" w:hAnsi="Arial" w:cs="Arial"/>
                <w:sz w:val="24"/>
                <w:szCs w:val="24"/>
              </w:rPr>
              <w:t>Highly Challenging</w:t>
            </w:r>
          </w:p>
        </w:tc>
      </w:tr>
      <w:tr>
        <w:tc>
          <w:tcPr>
            <w:tcW w:w="6475" w:type="dxa"/>
          </w:tcPr>
          <w:p>
            <w:pPr>
              <w:jc w:val="both"/>
              <w:rPr>
                <w:rFonts w:ascii="Arial" w:hAnsi="Arial" w:cs="Arial"/>
                <w:sz w:val="24"/>
                <w:szCs w:val="24"/>
              </w:rPr>
            </w:pPr>
            <w:r>
              <w:rPr>
                <w:rFonts w:ascii="Arial" w:hAnsi="Arial" w:cs="Arial"/>
                <w:sz w:val="24"/>
                <w:szCs w:val="24"/>
              </w:rPr>
              <w:t>Limited digital devices affect technology integration in ELT.</w:t>
            </w:r>
          </w:p>
        </w:tc>
        <w:tc>
          <w:tcPr>
            <w:tcW w:w="1170" w:type="dxa"/>
            <w:vAlign w:val="bottom"/>
          </w:tcPr>
          <w:p>
            <w:pPr>
              <w:jc w:val="center"/>
              <w:rPr>
                <w:rFonts w:ascii="Arial" w:hAnsi="Arial" w:cs="Arial"/>
                <w:sz w:val="24"/>
                <w:szCs w:val="24"/>
              </w:rPr>
            </w:pPr>
            <w:r>
              <w:rPr>
                <w:rFonts w:ascii="Arial" w:hAnsi="Arial" w:cs="Arial"/>
                <w:sz w:val="24"/>
                <w:szCs w:val="24"/>
              </w:rPr>
              <w:t>3.57</w:t>
            </w:r>
          </w:p>
        </w:tc>
        <w:tc>
          <w:tcPr>
            <w:tcW w:w="1705" w:type="dxa"/>
          </w:tcPr>
          <w:p>
            <w:pPr>
              <w:jc w:val="center"/>
              <w:rPr>
                <w:rFonts w:ascii="Arial" w:hAnsi="Arial" w:cs="Arial"/>
                <w:sz w:val="24"/>
                <w:szCs w:val="24"/>
              </w:rPr>
            </w:pPr>
            <w:r>
              <w:rPr>
                <w:rFonts w:ascii="Arial" w:hAnsi="Arial" w:cs="Arial"/>
                <w:sz w:val="24"/>
                <w:szCs w:val="24"/>
              </w:rPr>
              <w:t>Highly Challenging</w:t>
            </w:r>
          </w:p>
        </w:tc>
      </w:tr>
      <w:tr>
        <w:tc>
          <w:tcPr>
            <w:tcW w:w="6475" w:type="dxa"/>
          </w:tcPr>
          <w:p>
            <w:pPr>
              <w:jc w:val="both"/>
              <w:rPr>
                <w:rFonts w:ascii="Arial" w:hAnsi="Arial" w:cs="Arial"/>
                <w:sz w:val="24"/>
                <w:szCs w:val="24"/>
              </w:rPr>
            </w:pPr>
            <w:r>
              <w:rPr>
                <w:rFonts w:ascii="Arial" w:hAnsi="Arial" w:cs="Arial"/>
                <w:sz w:val="24"/>
                <w:szCs w:val="24"/>
              </w:rPr>
              <w:t>Poor internet connectivity limits technology-supported English activities.</w:t>
            </w:r>
          </w:p>
        </w:tc>
        <w:tc>
          <w:tcPr>
            <w:tcW w:w="1170" w:type="dxa"/>
            <w:vAlign w:val="bottom"/>
          </w:tcPr>
          <w:p>
            <w:pPr>
              <w:jc w:val="center"/>
              <w:rPr>
                <w:rFonts w:ascii="Arial" w:hAnsi="Arial" w:cs="Arial"/>
                <w:sz w:val="24"/>
                <w:szCs w:val="24"/>
              </w:rPr>
            </w:pPr>
            <w:r>
              <w:rPr>
                <w:rFonts w:ascii="Arial" w:hAnsi="Arial" w:cs="Arial"/>
                <w:sz w:val="24"/>
                <w:szCs w:val="24"/>
              </w:rPr>
              <w:t>3.57</w:t>
            </w:r>
          </w:p>
        </w:tc>
        <w:tc>
          <w:tcPr>
            <w:tcW w:w="1705" w:type="dxa"/>
          </w:tcPr>
          <w:p>
            <w:pPr>
              <w:jc w:val="center"/>
              <w:rPr>
                <w:rFonts w:ascii="Arial" w:hAnsi="Arial" w:cs="Arial"/>
                <w:sz w:val="24"/>
                <w:szCs w:val="24"/>
              </w:rPr>
            </w:pPr>
            <w:r>
              <w:rPr>
                <w:rFonts w:ascii="Arial" w:hAnsi="Arial" w:cs="Arial"/>
                <w:sz w:val="24"/>
                <w:szCs w:val="24"/>
              </w:rPr>
              <w:t>Highly Challenging</w:t>
            </w:r>
          </w:p>
        </w:tc>
      </w:tr>
      <w:tr>
        <w:tc>
          <w:tcPr>
            <w:tcW w:w="6475" w:type="dxa"/>
          </w:tcPr>
          <w:p>
            <w:pPr>
              <w:jc w:val="both"/>
              <w:rPr>
                <w:rFonts w:ascii="Arial" w:hAnsi="Arial" w:cs="Arial"/>
                <w:sz w:val="24"/>
                <w:szCs w:val="24"/>
              </w:rPr>
            </w:pPr>
            <w:r>
              <w:rPr>
                <w:rFonts w:ascii="Arial" w:hAnsi="Arial" w:cs="Arial"/>
                <w:sz w:val="24"/>
                <w:szCs w:val="24"/>
              </w:rPr>
              <w:t>Infrastructure limitations prevent transformative technology use in English teaching.</w:t>
            </w:r>
          </w:p>
        </w:tc>
        <w:tc>
          <w:tcPr>
            <w:tcW w:w="1170" w:type="dxa"/>
            <w:vAlign w:val="bottom"/>
          </w:tcPr>
          <w:p>
            <w:pPr>
              <w:jc w:val="center"/>
              <w:rPr>
                <w:rFonts w:ascii="Arial" w:hAnsi="Arial" w:cs="Arial"/>
                <w:sz w:val="24"/>
                <w:szCs w:val="24"/>
              </w:rPr>
            </w:pPr>
            <w:r>
              <w:rPr>
                <w:rFonts w:ascii="Arial" w:hAnsi="Arial" w:cs="Arial"/>
                <w:sz w:val="24"/>
                <w:szCs w:val="24"/>
              </w:rPr>
              <w:t>3.57</w:t>
            </w:r>
          </w:p>
        </w:tc>
        <w:tc>
          <w:tcPr>
            <w:tcW w:w="1705" w:type="dxa"/>
          </w:tcPr>
          <w:p>
            <w:pPr>
              <w:jc w:val="center"/>
              <w:rPr>
                <w:rFonts w:ascii="Arial" w:hAnsi="Arial" w:cs="Arial"/>
                <w:sz w:val="24"/>
                <w:szCs w:val="24"/>
              </w:rPr>
            </w:pPr>
            <w:r>
              <w:rPr>
                <w:rFonts w:ascii="Arial" w:hAnsi="Arial" w:cs="Arial"/>
                <w:sz w:val="24"/>
                <w:szCs w:val="24"/>
              </w:rPr>
              <w:t>Highly Challenging</w:t>
            </w:r>
          </w:p>
        </w:tc>
      </w:tr>
      <w:tr>
        <w:tc>
          <w:tcPr>
            <w:tcW w:w="6475" w:type="dxa"/>
          </w:tcPr>
          <w:p>
            <w:pPr>
              <w:jc w:val="both"/>
              <w:rPr>
                <w:rFonts w:ascii="Arial" w:hAnsi="Arial" w:cs="Arial"/>
                <w:sz w:val="24"/>
                <w:szCs w:val="24"/>
              </w:rPr>
            </w:pPr>
            <w:r>
              <w:rPr>
                <w:rFonts w:ascii="Arial" w:hAnsi="Arial" w:cs="Arial"/>
                <w:sz w:val="24"/>
                <w:szCs w:val="24"/>
              </w:rPr>
              <w:t>There is insufficient institutional support for culturally responsive technology integration.</w:t>
            </w:r>
          </w:p>
        </w:tc>
        <w:tc>
          <w:tcPr>
            <w:tcW w:w="1170" w:type="dxa"/>
            <w:vAlign w:val="bottom"/>
          </w:tcPr>
          <w:p>
            <w:pPr>
              <w:jc w:val="center"/>
              <w:rPr>
                <w:rFonts w:ascii="Arial" w:hAnsi="Arial" w:cs="Arial"/>
                <w:sz w:val="24"/>
                <w:szCs w:val="24"/>
              </w:rPr>
            </w:pPr>
            <w:r>
              <w:rPr>
                <w:rFonts w:ascii="Arial" w:hAnsi="Arial" w:cs="Arial"/>
                <w:sz w:val="24"/>
                <w:szCs w:val="24"/>
              </w:rPr>
              <w:t>3.57</w:t>
            </w:r>
          </w:p>
        </w:tc>
        <w:tc>
          <w:tcPr>
            <w:tcW w:w="1705" w:type="dxa"/>
          </w:tcPr>
          <w:p>
            <w:pPr>
              <w:jc w:val="center"/>
              <w:rPr>
                <w:rFonts w:ascii="Arial" w:hAnsi="Arial" w:cs="Arial"/>
                <w:sz w:val="24"/>
                <w:szCs w:val="24"/>
              </w:rPr>
            </w:pPr>
            <w:r>
              <w:rPr>
                <w:rFonts w:ascii="Arial" w:hAnsi="Arial" w:cs="Arial"/>
                <w:sz w:val="24"/>
                <w:szCs w:val="24"/>
              </w:rPr>
              <w:t>Highly Challenging</w:t>
            </w:r>
          </w:p>
        </w:tc>
      </w:tr>
      <w:tr>
        <w:tc>
          <w:tcPr>
            <w:tcW w:w="6475" w:type="dxa"/>
          </w:tcPr>
          <w:p>
            <w:pPr>
              <w:jc w:val="both"/>
              <w:rPr>
                <w:rFonts w:ascii="Arial" w:hAnsi="Arial" w:cs="Arial"/>
                <w:sz w:val="24"/>
                <w:szCs w:val="24"/>
              </w:rPr>
            </w:pPr>
            <w:r>
              <w:rPr>
                <w:rFonts w:ascii="Arial" w:hAnsi="Arial" w:cs="Arial"/>
                <w:sz w:val="24"/>
                <w:szCs w:val="24"/>
              </w:rPr>
              <w:t>Creating technology-supported English tasks that promote thinking is difficult.</w:t>
            </w:r>
          </w:p>
        </w:tc>
        <w:tc>
          <w:tcPr>
            <w:tcW w:w="1170" w:type="dxa"/>
            <w:vAlign w:val="bottom"/>
          </w:tcPr>
          <w:p>
            <w:pPr>
              <w:jc w:val="center"/>
              <w:rPr>
                <w:rFonts w:ascii="Arial" w:hAnsi="Arial" w:cs="Arial"/>
                <w:sz w:val="24"/>
                <w:szCs w:val="24"/>
              </w:rPr>
            </w:pPr>
            <w:r>
              <w:rPr>
                <w:rFonts w:ascii="Arial" w:hAnsi="Arial" w:cs="Arial"/>
                <w:sz w:val="24"/>
                <w:szCs w:val="24"/>
              </w:rPr>
              <w:t>3.53</w:t>
            </w:r>
          </w:p>
        </w:tc>
        <w:tc>
          <w:tcPr>
            <w:tcW w:w="1705" w:type="dxa"/>
          </w:tcPr>
          <w:p>
            <w:pPr>
              <w:jc w:val="center"/>
              <w:rPr>
                <w:rFonts w:ascii="Arial" w:hAnsi="Arial" w:cs="Arial"/>
                <w:sz w:val="24"/>
                <w:szCs w:val="24"/>
              </w:rPr>
            </w:pPr>
            <w:r>
              <w:rPr>
                <w:rFonts w:ascii="Arial" w:hAnsi="Arial" w:cs="Arial"/>
                <w:sz w:val="24"/>
                <w:szCs w:val="24"/>
              </w:rPr>
              <w:t>Highly Challenging</w:t>
            </w:r>
          </w:p>
        </w:tc>
      </w:tr>
      <w:tr>
        <w:tc>
          <w:tcPr>
            <w:tcW w:w="6475" w:type="dxa"/>
          </w:tcPr>
          <w:p>
            <w:pPr>
              <w:jc w:val="both"/>
              <w:rPr>
                <w:rFonts w:ascii="Arial" w:hAnsi="Arial" w:cs="Arial"/>
                <w:sz w:val="24"/>
                <w:szCs w:val="24"/>
              </w:rPr>
            </w:pPr>
            <w:r>
              <w:rPr>
                <w:rFonts w:ascii="Arial" w:hAnsi="Arial" w:cs="Arial"/>
                <w:sz w:val="24"/>
                <w:szCs w:val="24"/>
              </w:rPr>
              <w:t>Lack of professional development specific to IPEd digital instruction affects my integration practices.</w:t>
            </w:r>
          </w:p>
        </w:tc>
        <w:tc>
          <w:tcPr>
            <w:tcW w:w="1170" w:type="dxa"/>
            <w:vAlign w:val="bottom"/>
          </w:tcPr>
          <w:p>
            <w:pPr>
              <w:jc w:val="center"/>
              <w:rPr>
                <w:rFonts w:ascii="Arial" w:hAnsi="Arial" w:cs="Arial"/>
                <w:sz w:val="24"/>
                <w:szCs w:val="24"/>
              </w:rPr>
            </w:pPr>
            <w:r>
              <w:rPr>
                <w:rFonts w:ascii="Arial" w:hAnsi="Arial" w:cs="Arial"/>
                <w:sz w:val="24"/>
                <w:szCs w:val="24"/>
              </w:rPr>
              <w:t>3.53</w:t>
            </w:r>
          </w:p>
        </w:tc>
        <w:tc>
          <w:tcPr>
            <w:tcW w:w="1705" w:type="dxa"/>
          </w:tcPr>
          <w:p>
            <w:pPr>
              <w:jc w:val="center"/>
              <w:rPr>
                <w:rFonts w:ascii="Arial" w:hAnsi="Arial" w:cs="Arial"/>
                <w:sz w:val="24"/>
                <w:szCs w:val="24"/>
              </w:rPr>
            </w:pPr>
            <w:r>
              <w:rPr>
                <w:rFonts w:ascii="Arial" w:hAnsi="Arial" w:cs="Arial"/>
                <w:sz w:val="24"/>
                <w:szCs w:val="24"/>
              </w:rPr>
              <w:t>Highly Challenging</w:t>
            </w:r>
          </w:p>
        </w:tc>
      </w:tr>
      <w:tr>
        <w:tc>
          <w:tcPr>
            <w:tcW w:w="6475" w:type="dxa"/>
          </w:tcPr>
          <w:p>
            <w:pPr>
              <w:jc w:val="both"/>
              <w:rPr>
                <w:rFonts w:ascii="Arial" w:hAnsi="Arial" w:cs="Arial"/>
                <w:sz w:val="24"/>
                <w:szCs w:val="24"/>
              </w:rPr>
            </w:pPr>
            <w:r>
              <w:rPr>
                <w:rFonts w:ascii="Arial" w:hAnsi="Arial" w:cs="Arial"/>
                <w:sz w:val="24"/>
                <w:szCs w:val="24"/>
              </w:rPr>
              <w:t>I struggle to design collaborative digital activities that reflect Indigenous culture.</w:t>
            </w:r>
          </w:p>
        </w:tc>
        <w:tc>
          <w:tcPr>
            <w:tcW w:w="1170" w:type="dxa"/>
            <w:vAlign w:val="bottom"/>
          </w:tcPr>
          <w:p>
            <w:pPr>
              <w:jc w:val="center"/>
              <w:rPr>
                <w:rFonts w:ascii="Arial" w:hAnsi="Arial" w:cs="Arial"/>
                <w:sz w:val="24"/>
                <w:szCs w:val="24"/>
              </w:rPr>
            </w:pPr>
            <w:r>
              <w:rPr>
                <w:rFonts w:ascii="Arial" w:hAnsi="Arial" w:cs="Arial"/>
                <w:sz w:val="24"/>
                <w:szCs w:val="24"/>
              </w:rPr>
              <w:t>3.53</w:t>
            </w:r>
          </w:p>
        </w:tc>
        <w:tc>
          <w:tcPr>
            <w:tcW w:w="1705" w:type="dxa"/>
          </w:tcPr>
          <w:p>
            <w:pPr>
              <w:jc w:val="center"/>
              <w:rPr>
                <w:rFonts w:ascii="Arial" w:hAnsi="Arial" w:cs="Arial"/>
                <w:sz w:val="24"/>
                <w:szCs w:val="24"/>
              </w:rPr>
            </w:pPr>
            <w:r>
              <w:rPr>
                <w:rFonts w:ascii="Arial" w:hAnsi="Arial" w:cs="Arial"/>
                <w:sz w:val="24"/>
                <w:szCs w:val="24"/>
              </w:rPr>
              <w:t>Highly Challenging</w:t>
            </w:r>
          </w:p>
        </w:tc>
      </w:tr>
      <w:tr>
        <w:tc>
          <w:tcPr>
            <w:tcW w:w="6475" w:type="dxa"/>
          </w:tcPr>
          <w:p>
            <w:pPr>
              <w:jc w:val="both"/>
              <w:rPr>
                <w:rFonts w:ascii="Arial" w:hAnsi="Arial" w:cs="Arial"/>
                <w:sz w:val="24"/>
                <w:szCs w:val="24"/>
              </w:rPr>
            </w:pPr>
            <w:r>
              <w:rPr>
                <w:rFonts w:ascii="Arial" w:hAnsi="Arial" w:cs="Arial"/>
                <w:sz w:val="24"/>
                <w:szCs w:val="24"/>
              </w:rPr>
              <w:t>Monitoring learner engagement in digital English activities is difficult.</w:t>
            </w:r>
          </w:p>
        </w:tc>
        <w:tc>
          <w:tcPr>
            <w:tcW w:w="1170" w:type="dxa"/>
            <w:vAlign w:val="bottom"/>
          </w:tcPr>
          <w:p>
            <w:pPr>
              <w:jc w:val="center"/>
              <w:rPr>
                <w:rFonts w:ascii="Arial" w:hAnsi="Arial" w:cs="Arial"/>
                <w:sz w:val="24"/>
                <w:szCs w:val="24"/>
              </w:rPr>
            </w:pPr>
            <w:r>
              <w:rPr>
                <w:rFonts w:ascii="Arial" w:hAnsi="Arial" w:cs="Arial"/>
                <w:sz w:val="24"/>
                <w:szCs w:val="24"/>
              </w:rPr>
              <w:t>3.5</w:t>
            </w:r>
          </w:p>
        </w:tc>
        <w:tc>
          <w:tcPr>
            <w:tcW w:w="1705" w:type="dxa"/>
          </w:tcPr>
          <w:p>
            <w:pPr>
              <w:jc w:val="center"/>
              <w:rPr>
                <w:rFonts w:ascii="Arial" w:hAnsi="Arial" w:cs="Arial"/>
                <w:sz w:val="24"/>
                <w:szCs w:val="24"/>
              </w:rPr>
            </w:pPr>
            <w:r>
              <w:rPr>
                <w:rFonts w:ascii="Arial" w:hAnsi="Arial" w:cs="Arial"/>
                <w:sz w:val="24"/>
                <w:szCs w:val="24"/>
              </w:rPr>
              <w:t>Highly Challenging</w:t>
            </w:r>
          </w:p>
        </w:tc>
      </w:tr>
      <w:tr>
        <w:tc>
          <w:tcPr>
            <w:tcW w:w="6475" w:type="dxa"/>
          </w:tcPr>
          <w:p>
            <w:pPr>
              <w:jc w:val="both"/>
              <w:rPr>
                <w:rFonts w:ascii="Arial" w:hAnsi="Arial" w:cs="Arial"/>
                <w:sz w:val="24"/>
                <w:szCs w:val="24"/>
              </w:rPr>
            </w:pPr>
            <w:r>
              <w:rPr>
                <w:rFonts w:ascii="Arial" w:hAnsi="Arial" w:cs="Arial"/>
                <w:sz w:val="24"/>
                <w:szCs w:val="24"/>
              </w:rPr>
              <w:t>I lack sufficient training in technology-integrated ELT.</w:t>
            </w:r>
          </w:p>
        </w:tc>
        <w:tc>
          <w:tcPr>
            <w:tcW w:w="1170" w:type="dxa"/>
            <w:vAlign w:val="bottom"/>
          </w:tcPr>
          <w:p>
            <w:pPr>
              <w:jc w:val="center"/>
              <w:rPr>
                <w:rFonts w:ascii="Arial" w:hAnsi="Arial" w:cs="Arial"/>
                <w:sz w:val="24"/>
                <w:szCs w:val="24"/>
              </w:rPr>
            </w:pPr>
            <w:r>
              <w:rPr>
                <w:rFonts w:ascii="Arial" w:hAnsi="Arial" w:cs="Arial"/>
                <w:sz w:val="24"/>
                <w:szCs w:val="24"/>
              </w:rPr>
              <w:t>3.47</w:t>
            </w:r>
          </w:p>
        </w:tc>
        <w:tc>
          <w:tcPr>
            <w:tcW w:w="1705" w:type="dxa"/>
          </w:tcPr>
          <w:p>
            <w:pPr>
              <w:jc w:val="center"/>
              <w:rPr>
                <w:rFonts w:ascii="Arial" w:hAnsi="Arial" w:cs="Arial"/>
                <w:sz w:val="24"/>
                <w:szCs w:val="24"/>
              </w:rPr>
            </w:pPr>
            <w:r>
              <w:rPr>
                <w:rFonts w:ascii="Arial" w:hAnsi="Arial" w:cs="Arial"/>
                <w:sz w:val="24"/>
                <w:szCs w:val="24"/>
              </w:rPr>
              <w:t>Highly Challenging</w:t>
            </w:r>
          </w:p>
        </w:tc>
      </w:tr>
      <w:tr>
        <w:tc>
          <w:tcPr>
            <w:tcW w:w="6475" w:type="dxa"/>
          </w:tcPr>
          <w:p>
            <w:pPr>
              <w:jc w:val="both"/>
              <w:rPr>
                <w:rFonts w:ascii="Arial" w:hAnsi="Arial" w:cs="Arial"/>
                <w:sz w:val="24"/>
                <w:szCs w:val="24"/>
              </w:rPr>
            </w:pPr>
            <w:r>
              <w:rPr>
                <w:rFonts w:ascii="Arial" w:hAnsi="Arial" w:cs="Arial"/>
                <w:sz w:val="24"/>
                <w:szCs w:val="24"/>
              </w:rPr>
              <w:t xml:space="preserve">Designing culturally responsive digital English tasks is </w:t>
            </w:r>
            <w:r>
              <w:rPr>
                <w:rFonts w:ascii="Arial" w:hAnsi="Arial" w:cs="Arial"/>
                <w:sz w:val="24"/>
                <w:szCs w:val="24"/>
              </w:rPr>
              <w:br/>
              <w:t>challenging.</w:t>
            </w:r>
          </w:p>
        </w:tc>
        <w:tc>
          <w:tcPr>
            <w:tcW w:w="1170" w:type="dxa"/>
            <w:vAlign w:val="bottom"/>
          </w:tcPr>
          <w:p>
            <w:pPr>
              <w:jc w:val="center"/>
              <w:rPr>
                <w:rFonts w:ascii="Arial" w:hAnsi="Arial" w:cs="Arial"/>
                <w:sz w:val="24"/>
                <w:szCs w:val="24"/>
              </w:rPr>
            </w:pPr>
            <w:r>
              <w:rPr>
                <w:rFonts w:ascii="Arial" w:hAnsi="Arial" w:cs="Arial"/>
                <w:sz w:val="24"/>
                <w:szCs w:val="24"/>
              </w:rPr>
              <w:t>3.47</w:t>
            </w:r>
          </w:p>
        </w:tc>
        <w:tc>
          <w:tcPr>
            <w:tcW w:w="1705" w:type="dxa"/>
          </w:tcPr>
          <w:p>
            <w:pPr>
              <w:jc w:val="center"/>
              <w:rPr>
                <w:rFonts w:ascii="Arial" w:hAnsi="Arial" w:cs="Arial"/>
                <w:sz w:val="24"/>
                <w:szCs w:val="24"/>
              </w:rPr>
            </w:pPr>
            <w:r>
              <w:rPr>
                <w:rFonts w:ascii="Arial" w:hAnsi="Arial" w:cs="Arial"/>
                <w:sz w:val="24"/>
                <w:szCs w:val="24"/>
              </w:rPr>
              <w:t>Highly Challenging</w:t>
            </w:r>
          </w:p>
        </w:tc>
      </w:tr>
      <w:tr>
        <w:tc>
          <w:tcPr>
            <w:tcW w:w="6475" w:type="dxa"/>
          </w:tcPr>
          <w:p>
            <w:pPr>
              <w:jc w:val="both"/>
              <w:rPr>
                <w:rFonts w:ascii="Arial" w:hAnsi="Arial" w:cs="Arial"/>
                <w:sz w:val="24"/>
                <w:szCs w:val="24"/>
              </w:rPr>
            </w:pPr>
            <w:r>
              <w:rPr>
                <w:rFonts w:ascii="Arial" w:hAnsi="Arial" w:cs="Arial"/>
                <w:sz w:val="24"/>
                <w:szCs w:val="24"/>
              </w:rPr>
              <w:lastRenderedPageBreak/>
              <w:t>Technical problems during class disrupt English instruction.</w:t>
            </w:r>
          </w:p>
        </w:tc>
        <w:tc>
          <w:tcPr>
            <w:tcW w:w="1170" w:type="dxa"/>
            <w:vAlign w:val="bottom"/>
          </w:tcPr>
          <w:p>
            <w:pPr>
              <w:jc w:val="center"/>
              <w:rPr>
                <w:rFonts w:ascii="Arial" w:hAnsi="Arial" w:cs="Arial"/>
                <w:sz w:val="24"/>
                <w:szCs w:val="24"/>
              </w:rPr>
            </w:pPr>
            <w:r>
              <w:rPr>
                <w:rFonts w:ascii="Arial" w:hAnsi="Arial" w:cs="Arial"/>
                <w:sz w:val="24"/>
                <w:szCs w:val="24"/>
              </w:rPr>
              <w:t>3.37</w:t>
            </w:r>
          </w:p>
        </w:tc>
        <w:tc>
          <w:tcPr>
            <w:tcW w:w="1705" w:type="dxa"/>
          </w:tcPr>
          <w:p>
            <w:pPr>
              <w:jc w:val="center"/>
              <w:rPr>
                <w:rFonts w:ascii="Arial" w:hAnsi="Arial" w:cs="Arial"/>
                <w:sz w:val="24"/>
                <w:szCs w:val="24"/>
              </w:rPr>
            </w:pPr>
            <w:r>
              <w:rPr>
                <w:rFonts w:ascii="Arial" w:hAnsi="Arial" w:cs="Arial"/>
                <w:sz w:val="24"/>
                <w:szCs w:val="24"/>
              </w:rPr>
              <w:t>Highly Challenging</w:t>
            </w:r>
          </w:p>
        </w:tc>
      </w:tr>
      <w:tr>
        <w:tc>
          <w:tcPr>
            <w:tcW w:w="6475" w:type="dxa"/>
          </w:tcPr>
          <w:p>
            <w:pPr>
              <w:jc w:val="center"/>
              <w:rPr>
                <w:rFonts w:ascii="Arial" w:hAnsi="Arial" w:cs="Arial"/>
                <w:sz w:val="24"/>
                <w:szCs w:val="24"/>
              </w:rPr>
            </w:pPr>
            <w:r>
              <w:rPr>
                <w:rFonts w:ascii="Arial" w:hAnsi="Arial" w:cs="Arial"/>
                <w:sz w:val="24"/>
                <w:szCs w:val="24"/>
              </w:rPr>
              <w:t>Mean</w:t>
            </w:r>
          </w:p>
        </w:tc>
        <w:tc>
          <w:tcPr>
            <w:tcW w:w="1170" w:type="dxa"/>
            <w:vAlign w:val="center"/>
          </w:tcPr>
          <w:p>
            <w:pPr>
              <w:jc w:val="center"/>
              <w:rPr>
                <w:rFonts w:ascii="Arial" w:hAnsi="Arial" w:cs="Arial"/>
                <w:sz w:val="24"/>
                <w:szCs w:val="24"/>
              </w:rPr>
            </w:pPr>
            <w:r>
              <w:rPr>
                <w:rFonts w:ascii="Arial" w:hAnsi="Arial" w:cs="Arial"/>
                <w:color w:val="000000"/>
                <w:sz w:val="24"/>
                <w:szCs w:val="24"/>
              </w:rPr>
              <w:t>3.58</w:t>
            </w:r>
          </w:p>
        </w:tc>
        <w:tc>
          <w:tcPr>
            <w:tcW w:w="1705" w:type="dxa"/>
          </w:tcPr>
          <w:p>
            <w:pPr>
              <w:jc w:val="center"/>
              <w:rPr>
                <w:rFonts w:ascii="Arial" w:hAnsi="Arial" w:cs="Arial"/>
                <w:sz w:val="24"/>
                <w:szCs w:val="24"/>
              </w:rPr>
            </w:pPr>
            <w:r>
              <w:rPr>
                <w:rFonts w:ascii="Arial" w:hAnsi="Arial" w:cs="Arial"/>
                <w:bCs/>
                <w:sz w:val="24"/>
                <w:szCs w:val="24"/>
                <w:lang w:eastAsia="en-PH"/>
              </w:rPr>
              <w:t>Highly Challenging</w:t>
            </w:r>
          </w:p>
        </w:tc>
      </w:tr>
    </w:tbl>
    <w:p>
      <w:pPr>
        <w:jc w:val="center"/>
        <w:rPr>
          <w:rFonts w:ascii="Arial" w:hAnsi="Arial" w:cs="Arial"/>
        </w:rPr>
      </w:pPr>
    </w:p>
    <w:p>
      <w:pPr>
        <w:jc w:val="center"/>
        <w:rPr>
          <w:rFonts w:ascii="Arial" w:hAnsi="Arial" w:cs="Arial"/>
        </w:rPr>
      </w:pPr>
      <w:r>
        <w:rPr>
          <w:rFonts w:ascii="Arial" w:hAnsi="Arial" w:cs="Arial"/>
        </w:rPr>
        <w:t>Significant relationship between teachers’ competence in integrating technology and their level of technology integration practices in teaching English</w:t>
      </w:r>
    </w:p>
    <w:tbl>
      <w:tblPr>
        <w:tblStyle w:val="TableGrid"/>
        <w:tblW w:w="8679" w:type="dxa"/>
        <w:tblLook w:val="04A0" w:firstRow="1" w:lastRow="0" w:firstColumn="1" w:lastColumn="0" w:noHBand="0" w:noVBand="1"/>
      </w:tblPr>
      <w:tblGrid>
        <w:gridCol w:w="2885"/>
        <w:gridCol w:w="2190"/>
        <w:gridCol w:w="1324"/>
        <w:gridCol w:w="876"/>
        <w:gridCol w:w="1404"/>
      </w:tblGrid>
      <w:tr>
        <w:trPr>
          <w:trHeight w:val="539"/>
        </w:trPr>
        <w:tc>
          <w:tcPr>
            <w:tcW w:w="5204" w:type="dxa"/>
            <w:gridSpan w:val="2"/>
          </w:tcPr>
          <w:p>
            <w:pPr>
              <w:jc w:val="center"/>
              <w:rPr>
                <w:rFonts w:ascii="Arial" w:hAnsi="Arial" w:cs="Arial"/>
                <w:sz w:val="24"/>
                <w:szCs w:val="24"/>
              </w:rPr>
            </w:pPr>
            <w:r>
              <w:rPr>
                <w:rFonts w:ascii="Arial" w:hAnsi="Arial" w:cs="Arial"/>
                <w:sz w:val="24"/>
                <w:szCs w:val="24"/>
              </w:rPr>
              <w:t>Variable Tested</w:t>
            </w:r>
          </w:p>
        </w:tc>
        <w:tc>
          <w:tcPr>
            <w:tcW w:w="1205" w:type="dxa"/>
          </w:tcPr>
          <w:p>
            <w:pPr>
              <w:jc w:val="center"/>
              <w:rPr>
                <w:rFonts w:ascii="Arial" w:hAnsi="Arial" w:cs="Arial"/>
                <w:sz w:val="24"/>
                <w:szCs w:val="24"/>
              </w:rPr>
            </w:pPr>
            <w:r>
              <w:rPr>
                <w:rFonts w:ascii="Arial" w:hAnsi="Arial" w:cs="Arial"/>
                <w:sz w:val="24"/>
                <w:szCs w:val="24"/>
              </w:rPr>
              <w:t>Computed r</w:t>
            </w:r>
          </w:p>
        </w:tc>
        <w:tc>
          <w:tcPr>
            <w:tcW w:w="931" w:type="dxa"/>
          </w:tcPr>
          <w:p>
            <w:pPr>
              <w:jc w:val="center"/>
              <w:rPr>
                <w:rFonts w:ascii="Arial" w:hAnsi="Arial" w:cs="Arial"/>
                <w:sz w:val="24"/>
                <w:szCs w:val="24"/>
              </w:rPr>
            </w:pPr>
            <w:r>
              <w:rPr>
                <w:rFonts w:ascii="Arial" w:hAnsi="Arial" w:cs="Arial"/>
                <w:sz w:val="24"/>
                <w:szCs w:val="24"/>
              </w:rPr>
              <w:t>p-value</w:t>
            </w:r>
          </w:p>
        </w:tc>
        <w:tc>
          <w:tcPr>
            <w:tcW w:w="1339" w:type="dxa"/>
          </w:tcPr>
          <w:p>
            <w:pPr>
              <w:jc w:val="center"/>
              <w:rPr>
                <w:rFonts w:ascii="Arial" w:hAnsi="Arial" w:cs="Arial"/>
                <w:sz w:val="24"/>
                <w:szCs w:val="24"/>
              </w:rPr>
            </w:pPr>
            <w:r>
              <w:rPr>
                <w:rFonts w:ascii="Arial" w:hAnsi="Arial" w:cs="Arial"/>
                <w:sz w:val="24"/>
                <w:szCs w:val="24"/>
              </w:rPr>
              <w:t>Conclusion</w:t>
            </w:r>
          </w:p>
        </w:tc>
      </w:tr>
      <w:tr>
        <w:trPr>
          <w:trHeight w:val="554"/>
        </w:trPr>
        <w:tc>
          <w:tcPr>
            <w:tcW w:w="2626" w:type="dxa"/>
            <w:vMerge w:val="restart"/>
            <w:vAlign w:val="center"/>
          </w:tcPr>
          <w:p>
            <w:pPr>
              <w:jc w:val="center"/>
              <w:rPr>
                <w:rFonts w:ascii="Arial" w:hAnsi="Arial" w:cs="Arial"/>
                <w:sz w:val="24"/>
                <w:szCs w:val="24"/>
              </w:rPr>
            </w:pPr>
            <w:r>
              <w:rPr>
                <w:rFonts w:ascii="Arial" w:hAnsi="Arial" w:cs="Arial"/>
                <w:sz w:val="24"/>
                <w:szCs w:val="24"/>
                <w:lang w:eastAsia="en-PH"/>
              </w:rPr>
              <w:t>PICRAT-Based Pedagogical Knowledge</w:t>
            </w:r>
          </w:p>
        </w:tc>
        <w:tc>
          <w:tcPr>
            <w:tcW w:w="2578" w:type="dxa"/>
          </w:tcPr>
          <w:p>
            <w:pPr>
              <w:rPr>
                <w:rFonts w:ascii="Arial" w:hAnsi="Arial" w:cs="Arial"/>
                <w:sz w:val="24"/>
                <w:szCs w:val="24"/>
              </w:rPr>
            </w:pPr>
            <w:r>
              <w:rPr>
                <w:rFonts w:ascii="Arial" w:hAnsi="Arial" w:cs="Arial"/>
                <w:sz w:val="24"/>
                <w:szCs w:val="24"/>
              </w:rPr>
              <w:t>Active knowledge-building facilitation</w:t>
            </w:r>
          </w:p>
        </w:tc>
        <w:tc>
          <w:tcPr>
            <w:tcW w:w="1205" w:type="dxa"/>
            <w:vAlign w:val="center"/>
          </w:tcPr>
          <w:p>
            <w:pPr>
              <w:jc w:val="center"/>
              <w:rPr>
                <w:rFonts w:ascii="Arial" w:hAnsi="Arial" w:cs="Arial"/>
                <w:sz w:val="24"/>
                <w:szCs w:val="24"/>
              </w:rPr>
            </w:pPr>
            <w:r>
              <w:rPr>
                <w:rFonts w:ascii="Arial" w:hAnsi="Arial" w:cs="Arial"/>
                <w:sz w:val="24"/>
                <w:szCs w:val="24"/>
              </w:rPr>
              <w:t>0.832</w:t>
            </w:r>
          </w:p>
        </w:tc>
        <w:tc>
          <w:tcPr>
            <w:tcW w:w="931" w:type="dxa"/>
            <w:vAlign w:val="center"/>
          </w:tcPr>
          <w:p>
            <w:pPr>
              <w:jc w:val="center"/>
              <w:rPr>
                <w:rFonts w:ascii="Arial" w:hAnsi="Arial" w:cs="Arial"/>
                <w:sz w:val="24"/>
                <w:szCs w:val="24"/>
              </w:rPr>
            </w:pPr>
            <w:r>
              <w:rPr>
                <w:rFonts w:ascii="Arial" w:hAnsi="Arial" w:cs="Arial"/>
                <w:sz w:val="24"/>
                <w:szCs w:val="24"/>
              </w:rPr>
              <w:t>.000</w:t>
            </w:r>
          </w:p>
        </w:tc>
        <w:tc>
          <w:tcPr>
            <w:tcW w:w="1339" w:type="dxa"/>
          </w:tcPr>
          <w:p>
            <w:pPr>
              <w:jc w:val="center"/>
              <w:rPr>
                <w:rFonts w:ascii="Arial" w:hAnsi="Arial" w:cs="Arial"/>
                <w:sz w:val="24"/>
                <w:szCs w:val="24"/>
              </w:rPr>
            </w:pPr>
            <w:r>
              <w:rPr>
                <w:rFonts w:ascii="Arial" w:hAnsi="Arial" w:cs="Arial"/>
                <w:sz w:val="24"/>
                <w:szCs w:val="24"/>
              </w:rPr>
              <w:t>Significant</w:t>
            </w:r>
          </w:p>
        </w:tc>
      </w:tr>
      <w:tr>
        <w:trPr>
          <w:trHeight w:val="554"/>
        </w:trPr>
        <w:tc>
          <w:tcPr>
            <w:tcW w:w="2626" w:type="dxa"/>
            <w:vMerge/>
          </w:tcPr>
          <w:p>
            <w:pPr>
              <w:jc w:val="center"/>
              <w:rPr>
                <w:rFonts w:ascii="Arial" w:hAnsi="Arial" w:cs="Arial"/>
                <w:sz w:val="24"/>
                <w:szCs w:val="24"/>
              </w:rPr>
            </w:pPr>
          </w:p>
        </w:tc>
        <w:tc>
          <w:tcPr>
            <w:tcW w:w="2578" w:type="dxa"/>
          </w:tcPr>
          <w:p>
            <w:pPr>
              <w:rPr>
                <w:rFonts w:ascii="Arial" w:hAnsi="Arial" w:cs="Arial"/>
                <w:sz w:val="24"/>
                <w:szCs w:val="24"/>
                <w:lang w:eastAsia="en-PH"/>
              </w:rPr>
            </w:pPr>
            <w:r>
              <w:rPr>
                <w:rFonts w:ascii="Arial" w:hAnsi="Arial" w:cs="Arial"/>
                <w:sz w:val="24"/>
                <w:szCs w:val="24"/>
              </w:rPr>
              <w:t>Activation and linking of prior knowledge;</w:t>
            </w:r>
          </w:p>
        </w:tc>
        <w:tc>
          <w:tcPr>
            <w:tcW w:w="1205" w:type="dxa"/>
            <w:vAlign w:val="center"/>
          </w:tcPr>
          <w:p>
            <w:pPr>
              <w:jc w:val="center"/>
              <w:rPr>
                <w:rFonts w:ascii="Arial" w:hAnsi="Arial" w:cs="Arial"/>
                <w:sz w:val="24"/>
                <w:szCs w:val="24"/>
              </w:rPr>
            </w:pPr>
            <w:r>
              <w:rPr>
                <w:rFonts w:ascii="Arial" w:hAnsi="Arial" w:cs="Arial"/>
                <w:sz w:val="24"/>
                <w:szCs w:val="24"/>
              </w:rPr>
              <w:t>0.733</w:t>
            </w:r>
          </w:p>
        </w:tc>
        <w:tc>
          <w:tcPr>
            <w:tcW w:w="931" w:type="dxa"/>
            <w:vAlign w:val="center"/>
          </w:tcPr>
          <w:p>
            <w:pPr>
              <w:jc w:val="center"/>
              <w:rPr>
                <w:rFonts w:ascii="Arial" w:hAnsi="Arial" w:cs="Arial"/>
                <w:sz w:val="24"/>
                <w:szCs w:val="24"/>
              </w:rPr>
            </w:pPr>
            <w:r>
              <w:rPr>
                <w:rFonts w:ascii="Arial" w:hAnsi="Arial" w:cs="Arial"/>
                <w:sz w:val="24"/>
                <w:szCs w:val="24"/>
              </w:rPr>
              <w:t>.000</w:t>
            </w:r>
          </w:p>
        </w:tc>
        <w:tc>
          <w:tcPr>
            <w:tcW w:w="1339" w:type="dxa"/>
            <w:vAlign w:val="center"/>
          </w:tcPr>
          <w:p>
            <w:pPr>
              <w:jc w:val="center"/>
              <w:rPr>
                <w:rFonts w:ascii="Arial" w:hAnsi="Arial" w:cs="Arial"/>
                <w:sz w:val="24"/>
                <w:szCs w:val="24"/>
              </w:rPr>
            </w:pPr>
            <w:r>
              <w:rPr>
                <w:rFonts w:ascii="Arial" w:hAnsi="Arial" w:cs="Arial"/>
                <w:sz w:val="24"/>
                <w:szCs w:val="24"/>
              </w:rPr>
              <w:t>Significant</w:t>
            </w:r>
          </w:p>
        </w:tc>
      </w:tr>
      <w:tr>
        <w:trPr>
          <w:trHeight w:val="554"/>
        </w:trPr>
        <w:tc>
          <w:tcPr>
            <w:tcW w:w="2626" w:type="dxa"/>
            <w:vMerge/>
          </w:tcPr>
          <w:p>
            <w:pPr>
              <w:jc w:val="center"/>
              <w:rPr>
                <w:rFonts w:ascii="Arial" w:hAnsi="Arial" w:cs="Arial"/>
                <w:sz w:val="24"/>
                <w:szCs w:val="24"/>
              </w:rPr>
            </w:pPr>
          </w:p>
        </w:tc>
        <w:tc>
          <w:tcPr>
            <w:tcW w:w="2578" w:type="dxa"/>
          </w:tcPr>
          <w:p>
            <w:pPr>
              <w:rPr>
                <w:rFonts w:ascii="Arial" w:hAnsi="Arial" w:cs="Arial"/>
                <w:sz w:val="24"/>
                <w:szCs w:val="24"/>
                <w:lang w:eastAsia="en-PH"/>
              </w:rPr>
            </w:pPr>
            <w:r>
              <w:rPr>
                <w:rFonts w:ascii="Arial" w:hAnsi="Arial" w:cs="Arial"/>
                <w:sz w:val="24"/>
                <w:szCs w:val="24"/>
              </w:rPr>
              <w:t>Inquiry and problem-solving support</w:t>
            </w:r>
          </w:p>
        </w:tc>
        <w:tc>
          <w:tcPr>
            <w:tcW w:w="1205" w:type="dxa"/>
            <w:vAlign w:val="center"/>
          </w:tcPr>
          <w:p>
            <w:pPr>
              <w:jc w:val="center"/>
              <w:rPr>
                <w:rFonts w:ascii="Arial" w:hAnsi="Arial" w:cs="Arial"/>
                <w:sz w:val="24"/>
                <w:szCs w:val="24"/>
              </w:rPr>
            </w:pPr>
            <w:r>
              <w:rPr>
                <w:rFonts w:ascii="Arial" w:hAnsi="Arial" w:cs="Arial"/>
                <w:sz w:val="24"/>
                <w:szCs w:val="24"/>
              </w:rPr>
              <w:t>0.585</w:t>
            </w:r>
          </w:p>
        </w:tc>
        <w:tc>
          <w:tcPr>
            <w:tcW w:w="931" w:type="dxa"/>
            <w:vAlign w:val="center"/>
          </w:tcPr>
          <w:p>
            <w:pPr>
              <w:jc w:val="center"/>
              <w:rPr>
                <w:rFonts w:ascii="Arial" w:hAnsi="Arial" w:cs="Arial"/>
                <w:sz w:val="24"/>
                <w:szCs w:val="24"/>
              </w:rPr>
            </w:pPr>
            <w:r>
              <w:rPr>
                <w:rFonts w:ascii="Arial" w:hAnsi="Arial" w:cs="Arial"/>
                <w:sz w:val="24"/>
                <w:szCs w:val="24"/>
              </w:rPr>
              <w:t>.001</w:t>
            </w:r>
          </w:p>
        </w:tc>
        <w:tc>
          <w:tcPr>
            <w:tcW w:w="1339" w:type="dxa"/>
            <w:vAlign w:val="center"/>
          </w:tcPr>
          <w:p>
            <w:pPr>
              <w:jc w:val="center"/>
              <w:rPr>
                <w:rFonts w:ascii="Arial" w:hAnsi="Arial" w:cs="Arial"/>
                <w:sz w:val="24"/>
                <w:szCs w:val="24"/>
              </w:rPr>
            </w:pPr>
            <w:r>
              <w:rPr>
                <w:rFonts w:ascii="Arial" w:hAnsi="Arial" w:cs="Arial"/>
                <w:sz w:val="24"/>
                <w:szCs w:val="24"/>
              </w:rPr>
              <w:t>Significant</w:t>
            </w:r>
          </w:p>
        </w:tc>
      </w:tr>
      <w:tr>
        <w:trPr>
          <w:trHeight w:val="554"/>
        </w:trPr>
        <w:tc>
          <w:tcPr>
            <w:tcW w:w="2626" w:type="dxa"/>
            <w:vMerge/>
          </w:tcPr>
          <w:p>
            <w:pPr>
              <w:jc w:val="center"/>
              <w:rPr>
                <w:rFonts w:ascii="Arial" w:hAnsi="Arial" w:cs="Arial"/>
                <w:sz w:val="24"/>
                <w:szCs w:val="24"/>
              </w:rPr>
            </w:pPr>
          </w:p>
        </w:tc>
        <w:tc>
          <w:tcPr>
            <w:tcW w:w="2578" w:type="dxa"/>
          </w:tcPr>
          <w:p>
            <w:pPr>
              <w:rPr>
                <w:rFonts w:ascii="Arial" w:hAnsi="Arial" w:cs="Arial"/>
                <w:sz w:val="24"/>
                <w:szCs w:val="24"/>
                <w:lang w:eastAsia="en-PH"/>
              </w:rPr>
            </w:pPr>
            <w:r>
              <w:rPr>
                <w:rFonts w:ascii="Arial" w:hAnsi="Arial" w:cs="Arial"/>
                <w:sz w:val="24"/>
                <w:szCs w:val="24"/>
              </w:rPr>
              <w:t>Technology-mediated dialogue and collaboration</w:t>
            </w:r>
          </w:p>
        </w:tc>
        <w:tc>
          <w:tcPr>
            <w:tcW w:w="1205" w:type="dxa"/>
            <w:vAlign w:val="center"/>
          </w:tcPr>
          <w:p>
            <w:pPr>
              <w:jc w:val="center"/>
              <w:rPr>
                <w:rFonts w:ascii="Arial" w:hAnsi="Arial" w:cs="Arial"/>
                <w:sz w:val="24"/>
                <w:szCs w:val="24"/>
              </w:rPr>
            </w:pPr>
            <w:r>
              <w:rPr>
                <w:rFonts w:ascii="Arial" w:hAnsi="Arial" w:cs="Arial"/>
                <w:sz w:val="24"/>
                <w:szCs w:val="24"/>
              </w:rPr>
              <w:t>0.816</w:t>
            </w:r>
          </w:p>
        </w:tc>
        <w:tc>
          <w:tcPr>
            <w:tcW w:w="931" w:type="dxa"/>
            <w:vAlign w:val="center"/>
          </w:tcPr>
          <w:p>
            <w:pPr>
              <w:jc w:val="center"/>
              <w:rPr>
                <w:rFonts w:ascii="Arial" w:hAnsi="Arial" w:cs="Arial"/>
                <w:sz w:val="24"/>
                <w:szCs w:val="24"/>
              </w:rPr>
            </w:pPr>
            <w:r>
              <w:rPr>
                <w:rFonts w:ascii="Arial" w:hAnsi="Arial" w:cs="Arial"/>
                <w:sz w:val="24"/>
                <w:szCs w:val="24"/>
              </w:rPr>
              <w:t>.000</w:t>
            </w:r>
          </w:p>
        </w:tc>
        <w:tc>
          <w:tcPr>
            <w:tcW w:w="1339" w:type="dxa"/>
            <w:vAlign w:val="center"/>
          </w:tcPr>
          <w:p>
            <w:pPr>
              <w:jc w:val="center"/>
              <w:rPr>
                <w:rFonts w:ascii="Arial" w:hAnsi="Arial" w:cs="Arial"/>
                <w:sz w:val="24"/>
                <w:szCs w:val="24"/>
              </w:rPr>
            </w:pPr>
            <w:r>
              <w:rPr>
                <w:rFonts w:ascii="Arial" w:hAnsi="Arial" w:cs="Arial"/>
                <w:sz w:val="24"/>
                <w:szCs w:val="24"/>
              </w:rPr>
              <w:t>Significant</w:t>
            </w:r>
          </w:p>
        </w:tc>
      </w:tr>
      <w:tr>
        <w:trPr>
          <w:trHeight w:val="554"/>
        </w:trPr>
        <w:tc>
          <w:tcPr>
            <w:tcW w:w="2626" w:type="dxa"/>
            <w:vMerge/>
          </w:tcPr>
          <w:p>
            <w:pPr>
              <w:jc w:val="center"/>
              <w:rPr>
                <w:rFonts w:ascii="Arial" w:hAnsi="Arial" w:cs="Arial"/>
                <w:sz w:val="24"/>
                <w:szCs w:val="24"/>
              </w:rPr>
            </w:pPr>
          </w:p>
        </w:tc>
        <w:tc>
          <w:tcPr>
            <w:tcW w:w="2578" w:type="dxa"/>
          </w:tcPr>
          <w:p>
            <w:pPr>
              <w:rPr>
                <w:rFonts w:ascii="Arial" w:hAnsi="Arial" w:cs="Arial"/>
                <w:sz w:val="24"/>
                <w:szCs w:val="24"/>
                <w:lang w:eastAsia="en-PH"/>
              </w:rPr>
            </w:pPr>
            <w:r>
              <w:rPr>
                <w:rFonts w:ascii="Arial" w:hAnsi="Arial" w:cs="Arial"/>
                <w:sz w:val="24"/>
                <w:szCs w:val="24"/>
              </w:rPr>
              <w:t>Culturally responsive task design and scaffolding</w:t>
            </w:r>
          </w:p>
        </w:tc>
        <w:tc>
          <w:tcPr>
            <w:tcW w:w="1205" w:type="dxa"/>
            <w:vAlign w:val="center"/>
          </w:tcPr>
          <w:p>
            <w:pPr>
              <w:jc w:val="center"/>
              <w:rPr>
                <w:rFonts w:ascii="Arial" w:hAnsi="Arial" w:cs="Arial"/>
                <w:sz w:val="24"/>
                <w:szCs w:val="24"/>
              </w:rPr>
            </w:pPr>
            <w:r>
              <w:rPr>
                <w:rFonts w:ascii="Arial" w:hAnsi="Arial" w:cs="Arial"/>
                <w:sz w:val="24"/>
                <w:szCs w:val="24"/>
              </w:rPr>
              <w:t>0.857</w:t>
            </w:r>
          </w:p>
        </w:tc>
        <w:tc>
          <w:tcPr>
            <w:tcW w:w="931" w:type="dxa"/>
            <w:vAlign w:val="center"/>
          </w:tcPr>
          <w:p>
            <w:pPr>
              <w:jc w:val="center"/>
              <w:rPr>
                <w:rFonts w:ascii="Arial" w:hAnsi="Arial" w:cs="Arial"/>
                <w:sz w:val="24"/>
                <w:szCs w:val="24"/>
              </w:rPr>
            </w:pPr>
            <w:r>
              <w:rPr>
                <w:rFonts w:ascii="Arial" w:hAnsi="Arial" w:cs="Arial"/>
                <w:sz w:val="24"/>
                <w:szCs w:val="24"/>
              </w:rPr>
              <w:t>.000</w:t>
            </w:r>
          </w:p>
        </w:tc>
        <w:tc>
          <w:tcPr>
            <w:tcW w:w="1339" w:type="dxa"/>
            <w:vAlign w:val="center"/>
          </w:tcPr>
          <w:p>
            <w:pPr>
              <w:jc w:val="center"/>
              <w:rPr>
                <w:rFonts w:ascii="Arial" w:hAnsi="Arial" w:cs="Arial"/>
                <w:sz w:val="24"/>
                <w:szCs w:val="24"/>
              </w:rPr>
            </w:pPr>
            <w:r>
              <w:rPr>
                <w:rFonts w:ascii="Arial" w:hAnsi="Arial" w:cs="Arial"/>
                <w:sz w:val="24"/>
                <w:szCs w:val="24"/>
              </w:rPr>
              <w:t>Significant</w:t>
            </w:r>
          </w:p>
        </w:tc>
      </w:tr>
      <w:tr>
        <w:trPr>
          <w:trHeight w:val="539"/>
        </w:trPr>
        <w:tc>
          <w:tcPr>
            <w:tcW w:w="2626" w:type="dxa"/>
            <w:vMerge w:val="restart"/>
            <w:vAlign w:val="center"/>
          </w:tcPr>
          <w:p>
            <w:pPr>
              <w:jc w:val="center"/>
              <w:rPr>
                <w:rFonts w:ascii="Arial" w:hAnsi="Arial" w:cs="Arial"/>
                <w:sz w:val="24"/>
                <w:szCs w:val="24"/>
              </w:rPr>
            </w:pPr>
            <w:r>
              <w:rPr>
                <w:rFonts w:ascii="Arial" w:hAnsi="Arial" w:cs="Arial"/>
                <w:sz w:val="24"/>
                <w:szCs w:val="24"/>
                <w:lang w:eastAsia="en-PH"/>
              </w:rPr>
              <w:t>Cultural Responsiveness and Contextualization</w:t>
            </w:r>
          </w:p>
        </w:tc>
        <w:tc>
          <w:tcPr>
            <w:tcW w:w="2578" w:type="dxa"/>
          </w:tcPr>
          <w:p>
            <w:pPr>
              <w:rPr>
                <w:rFonts w:ascii="Arial" w:hAnsi="Arial" w:cs="Arial"/>
                <w:sz w:val="24"/>
                <w:szCs w:val="24"/>
                <w:lang w:eastAsia="en-PH"/>
              </w:rPr>
            </w:pPr>
            <w:r>
              <w:rPr>
                <w:rFonts w:ascii="Arial" w:hAnsi="Arial" w:cs="Arial"/>
                <w:sz w:val="24"/>
                <w:szCs w:val="24"/>
              </w:rPr>
              <w:t>Active knowledge-building facilitation</w:t>
            </w:r>
          </w:p>
        </w:tc>
        <w:tc>
          <w:tcPr>
            <w:tcW w:w="1205" w:type="dxa"/>
            <w:vAlign w:val="center"/>
          </w:tcPr>
          <w:p>
            <w:pPr>
              <w:jc w:val="center"/>
              <w:rPr>
                <w:rFonts w:ascii="Arial" w:hAnsi="Arial" w:cs="Arial"/>
                <w:sz w:val="24"/>
                <w:szCs w:val="24"/>
              </w:rPr>
            </w:pPr>
            <w:r>
              <w:rPr>
                <w:rFonts w:ascii="Arial" w:hAnsi="Arial" w:cs="Arial"/>
                <w:sz w:val="24"/>
                <w:szCs w:val="24"/>
              </w:rPr>
              <w:t>0.796</w:t>
            </w:r>
          </w:p>
        </w:tc>
        <w:tc>
          <w:tcPr>
            <w:tcW w:w="931" w:type="dxa"/>
            <w:vAlign w:val="center"/>
          </w:tcPr>
          <w:p>
            <w:pPr>
              <w:jc w:val="center"/>
              <w:rPr>
                <w:rFonts w:ascii="Arial" w:hAnsi="Arial" w:cs="Arial"/>
                <w:sz w:val="24"/>
                <w:szCs w:val="24"/>
              </w:rPr>
            </w:pPr>
            <w:r>
              <w:rPr>
                <w:rFonts w:ascii="Arial" w:hAnsi="Arial" w:cs="Arial"/>
                <w:sz w:val="24"/>
                <w:szCs w:val="24"/>
              </w:rPr>
              <w:t>.000</w:t>
            </w:r>
          </w:p>
        </w:tc>
        <w:tc>
          <w:tcPr>
            <w:tcW w:w="1339" w:type="dxa"/>
            <w:vAlign w:val="center"/>
          </w:tcPr>
          <w:p>
            <w:pPr>
              <w:jc w:val="center"/>
              <w:rPr>
                <w:rFonts w:ascii="Arial" w:hAnsi="Arial" w:cs="Arial"/>
                <w:sz w:val="24"/>
                <w:szCs w:val="24"/>
              </w:rPr>
            </w:pPr>
            <w:r>
              <w:rPr>
                <w:rFonts w:ascii="Arial" w:hAnsi="Arial" w:cs="Arial"/>
                <w:sz w:val="24"/>
                <w:szCs w:val="24"/>
              </w:rPr>
              <w:t>Significant</w:t>
            </w:r>
          </w:p>
        </w:tc>
      </w:tr>
      <w:tr>
        <w:trPr>
          <w:trHeight w:val="539"/>
        </w:trPr>
        <w:tc>
          <w:tcPr>
            <w:tcW w:w="2626" w:type="dxa"/>
            <w:vMerge/>
          </w:tcPr>
          <w:p>
            <w:pPr>
              <w:jc w:val="center"/>
              <w:rPr>
                <w:rFonts w:ascii="Arial" w:hAnsi="Arial" w:cs="Arial"/>
                <w:sz w:val="24"/>
                <w:szCs w:val="24"/>
              </w:rPr>
            </w:pPr>
          </w:p>
        </w:tc>
        <w:tc>
          <w:tcPr>
            <w:tcW w:w="2578" w:type="dxa"/>
          </w:tcPr>
          <w:p>
            <w:pPr>
              <w:rPr>
                <w:rFonts w:ascii="Arial" w:hAnsi="Arial" w:cs="Arial"/>
                <w:sz w:val="24"/>
                <w:szCs w:val="24"/>
                <w:lang w:eastAsia="en-PH"/>
              </w:rPr>
            </w:pPr>
            <w:r>
              <w:rPr>
                <w:rFonts w:ascii="Arial" w:hAnsi="Arial" w:cs="Arial"/>
                <w:sz w:val="24"/>
                <w:szCs w:val="24"/>
              </w:rPr>
              <w:t>Activation and linking of prior knowledge;</w:t>
            </w:r>
          </w:p>
        </w:tc>
        <w:tc>
          <w:tcPr>
            <w:tcW w:w="1205" w:type="dxa"/>
            <w:vAlign w:val="center"/>
          </w:tcPr>
          <w:p>
            <w:pPr>
              <w:jc w:val="center"/>
              <w:rPr>
                <w:rFonts w:ascii="Arial" w:hAnsi="Arial" w:cs="Arial"/>
                <w:sz w:val="24"/>
                <w:szCs w:val="24"/>
              </w:rPr>
            </w:pPr>
            <w:r>
              <w:rPr>
                <w:rFonts w:ascii="Arial" w:hAnsi="Arial" w:cs="Arial"/>
                <w:sz w:val="24"/>
                <w:szCs w:val="24"/>
              </w:rPr>
              <w:t>0.675</w:t>
            </w:r>
          </w:p>
        </w:tc>
        <w:tc>
          <w:tcPr>
            <w:tcW w:w="931" w:type="dxa"/>
            <w:vAlign w:val="center"/>
          </w:tcPr>
          <w:p>
            <w:pPr>
              <w:jc w:val="center"/>
              <w:rPr>
                <w:rFonts w:ascii="Arial" w:hAnsi="Arial" w:cs="Arial"/>
                <w:sz w:val="24"/>
                <w:szCs w:val="24"/>
              </w:rPr>
            </w:pPr>
            <w:r>
              <w:rPr>
                <w:rFonts w:ascii="Arial" w:hAnsi="Arial" w:cs="Arial"/>
                <w:sz w:val="24"/>
                <w:szCs w:val="24"/>
              </w:rPr>
              <w:t>.000</w:t>
            </w:r>
          </w:p>
        </w:tc>
        <w:tc>
          <w:tcPr>
            <w:tcW w:w="1339" w:type="dxa"/>
            <w:vAlign w:val="center"/>
          </w:tcPr>
          <w:p>
            <w:pPr>
              <w:jc w:val="center"/>
              <w:rPr>
                <w:rFonts w:ascii="Arial" w:hAnsi="Arial" w:cs="Arial"/>
                <w:sz w:val="24"/>
                <w:szCs w:val="24"/>
              </w:rPr>
            </w:pPr>
            <w:r>
              <w:rPr>
                <w:rFonts w:ascii="Arial" w:hAnsi="Arial" w:cs="Arial"/>
                <w:sz w:val="24"/>
                <w:szCs w:val="24"/>
              </w:rPr>
              <w:t>Significant</w:t>
            </w:r>
          </w:p>
        </w:tc>
      </w:tr>
      <w:tr>
        <w:trPr>
          <w:trHeight w:val="539"/>
        </w:trPr>
        <w:tc>
          <w:tcPr>
            <w:tcW w:w="2626" w:type="dxa"/>
            <w:vMerge/>
          </w:tcPr>
          <w:p>
            <w:pPr>
              <w:jc w:val="center"/>
              <w:rPr>
                <w:rFonts w:ascii="Arial" w:hAnsi="Arial" w:cs="Arial"/>
                <w:sz w:val="24"/>
                <w:szCs w:val="24"/>
              </w:rPr>
            </w:pPr>
          </w:p>
        </w:tc>
        <w:tc>
          <w:tcPr>
            <w:tcW w:w="2578" w:type="dxa"/>
          </w:tcPr>
          <w:p>
            <w:pPr>
              <w:rPr>
                <w:rFonts w:ascii="Arial" w:hAnsi="Arial" w:cs="Arial"/>
                <w:sz w:val="24"/>
                <w:szCs w:val="24"/>
                <w:lang w:eastAsia="en-PH"/>
              </w:rPr>
            </w:pPr>
            <w:r>
              <w:rPr>
                <w:rFonts w:ascii="Arial" w:hAnsi="Arial" w:cs="Arial"/>
                <w:sz w:val="24"/>
                <w:szCs w:val="24"/>
              </w:rPr>
              <w:t>Inquiry and problem-solving support</w:t>
            </w:r>
          </w:p>
        </w:tc>
        <w:tc>
          <w:tcPr>
            <w:tcW w:w="1205" w:type="dxa"/>
            <w:vAlign w:val="center"/>
          </w:tcPr>
          <w:p>
            <w:pPr>
              <w:jc w:val="center"/>
              <w:rPr>
                <w:rFonts w:ascii="Arial" w:hAnsi="Arial" w:cs="Arial"/>
                <w:sz w:val="24"/>
                <w:szCs w:val="24"/>
              </w:rPr>
            </w:pPr>
            <w:r>
              <w:rPr>
                <w:rFonts w:ascii="Arial" w:hAnsi="Arial" w:cs="Arial"/>
                <w:sz w:val="24"/>
                <w:szCs w:val="24"/>
              </w:rPr>
              <w:t>0.631</w:t>
            </w:r>
          </w:p>
        </w:tc>
        <w:tc>
          <w:tcPr>
            <w:tcW w:w="931" w:type="dxa"/>
            <w:vAlign w:val="center"/>
          </w:tcPr>
          <w:p>
            <w:pPr>
              <w:jc w:val="center"/>
              <w:rPr>
                <w:rFonts w:ascii="Arial" w:hAnsi="Arial" w:cs="Arial"/>
                <w:sz w:val="24"/>
                <w:szCs w:val="24"/>
              </w:rPr>
            </w:pPr>
            <w:r>
              <w:rPr>
                <w:rFonts w:ascii="Arial" w:hAnsi="Arial" w:cs="Arial"/>
                <w:sz w:val="24"/>
                <w:szCs w:val="24"/>
              </w:rPr>
              <w:t>.000</w:t>
            </w:r>
          </w:p>
        </w:tc>
        <w:tc>
          <w:tcPr>
            <w:tcW w:w="1339" w:type="dxa"/>
            <w:vAlign w:val="center"/>
          </w:tcPr>
          <w:p>
            <w:pPr>
              <w:jc w:val="center"/>
              <w:rPr>
                <w:rFonts w:ascii="Arial" w:hAnsi="Arial" w:cs="Arial"/>
                <w:sz w:val="24"/>
                <w:szCs w:val="24"/>
              </w:rPr>
            </w:pPr>
            <w:r>
              <w:rPr>
                <w:rFonts w:ascii="Arial" w:hAnsi="Arial" w:cs="Arial"/>
                <w:sz w:val="24"/>
                <w:szCs w:val="24"/>
              </w:rPr>
              <w:t>Significant</w:t>
            </w:r>
          </w:p>
        </w:tc>
      </w:tr>
      <w:tr>
        <w:trPr>
          <w:trHeight w:val="539"/>
        </w:trPr>
        <w:tc>
          <w:tcPr>
            <w:tcW w:w="2626" w:type="dxa"/>
            <w:vMerge/>
          </w:tcPr>
          <w:p>
            <w:pPr>
              <w:jc w:val="center"/>
              <w:rPr>
                <w:rFonts w:ascii="Arial" w:hAnsi="Arial" w:cs="Arial"/>
                <w:sz w:val="24"/>
                <w:szCs w:val="24"/>
              </w:rPr>
            </w:pPr>
          </w:p>
        </w:tc>
        <w:tc>
          <w:tcPr>
            <w:tcW w:w="2578" w:type="dxa"/>
          </w:tcPr>
          <w:p>
            <w:pPr>
              <w:rPr>
                <w:rFonts w:ascii="Arial" w:hAnsi="Arial" w:cs="Arial"/>
                <w:sz w:val="24"/>
                <w:szCs w:val="24"/>
                <w:lang w:eastAsia="en-PH"/>
              </w:rPr>
            </w:pPr>
            <w:r>
              <w:rPr>
                <w:rFonts w:ascii="Arial" w:hAnsi="Arial" w:cs="Arial"/>
                <w:sz w:val="24"/>
                <w:szCs w:val="24"/>
              </w:rPr>
              <w:t>Technology-mediated dialogue and collaboration</w:t>
            </w:r>
          </w:p>
        </w:tc>
        <w:tc>
          <w:tcPr>
            <w:tcW w:w="1205" w:type="dxa"/>
            <w:vAlign w:val="center"/>
          </w:tcPr>
          <w:p>
            <w:pPr>
              <w:jc w:val="center"/>
              <w:rPr>
                <w:rFonts w:ascii="Arial" w:hAnsi="Arial" w:cs="Arial"/>
                <w:sz w:val="24"/>
                <w:szCs w:val="24"/>
              </w:rPr>
            </w:pPr>
            <w:r>
              <w:rPr>
                <w:rFonts w:ascii="Arial" w:hAnsi="Arial" w:cs="Arial"/>
                <w:sz w:val="24"/>
                <w:szCs w:val="24"/>
              </w:rPr>
              <w:t>0.778</w:t>
            </w:r>
          </w:p>
        </w:tc>
        <w:tc>
          <w:tcPr>
            <w:tcW w:w="931" w:type="dxa"/>
            <w:vAlign w:val="center"/>
          </w:tcPr>
          <w:p>
            <w:pPr>
              <w:jc w:val="center"/>
              <w:rPr>
                <w:rFonts w:ascii="Arial" w:hAnsi="Arial" w:cs="Arial"/>
                <w:sz w:val="24"/>
                <w:szCs w:val="24"/>
              </w:rPr>
            </w:pPr>
            <w:r>
              <w:rPr>
                <w:rFonts w:ascii="Arial" w:hAnsi="Arial" w:cs="Arial"/>
                <w:sz w:val="24"/>
                <w:szCs w:val="24"/>
              </w:rPr>
              <w:t>.000</w:t>
            </w:r>
          </w:p>
        </w:tc>
        <w:tc>
          <w:tcPr>
            <w:tcW w:w="1339" w:type="dxa"/>
            <w:vAlign w:val="center"/>
          </w:tcPr>
          <w:p>
            <w:pPr>
              <w:jc w:val="center"/>
              <w:rPr>
                <w:rFonts w:ascii="Arial" w:hAnsi="Arial" w:cs="Arial"/>
                <w:sz w:val="24"/>
                <w:szCs w:val="24"/>
              </w:rPr>
            </w:pPr>
            <w:r>
              <w:rPr>
                <w:rFonts w:ascii="Arial" w:hAnsi="Arial" w:cs="Arial"/>
                <w:sz w:val="24"/>
                <w:szCs w:val="24"/>
              </w:rPr>
              <w:t>Significant</w:t>
            </w:r>
          </w:p>
        </w:tc>
      </w:tr>
      <w:tr>
        <w:trPr>
          <w:trHeight w:val="539"/>
        </w:trPr>
        <w:tc>
          <w:tcPr>
            <w:tcW w:w="2626" w:type="dxa"/>
            <w:vMerge/>
          </w:tcPr>
          <w:p>
            <w:pPr>
              <w:jc w:val="center"/>
              <w:rPr>
                <w:rFonts w:ascii="Arial" w:hAnsi="Arial" w:cs="Arial"/>
                <w:sz w:val="24"/>
                <w:szCs w:val="24"/>
              </w:rPr>
            </w:pPr>
          </w:p>
        </w:tc>
        <w:tc>
          <w:tcPr>
            <w:tcW w:w="2578" w:type="dxa"/>
          </w:tcPr>
          <w:p>
            <w:pPr>
              <w:rPr>
                <w:rFonts w:ascii="Arial" w:hAnsi="Arial" w:cs="Arial"/>
                <w:sz w:val="24"/>
                <w:szCs w:val="24"/>
                <w:lang w:eastAsia="en-PH"/>
              </w:rPr>
            </w:pPr>
            <w:r>
              <w:rPr>
                <w:rFonts w:ascii="Arial" w:hAnsi="Arial" w:cs="Arial"/>
                <w:sz w:val="24"/>
                <w:szCs w:val="24"/>
              </w:rPr>
              <w:t>Culturally responsive task design and scaffolding</w:t>
            </w:r>
          </w:p>
        </w:tc>
        <w:tc>
          <w:tcPr>
            <w:tcW w:w="1205" w:type="dxa"/>
            <w:vAlign w:val="center"/>
          </w:tcPr>
          <w:p>
            <w:pPr>
              <w:jc w:val="center"/>
              <w:rPr>
                <w:rFonts w:ascii="Arial" w:hAnsi="Arial" w:cs="Arial"/>
                <w:sz w:val="24"/>
                <w:szCs w:val="24"/>
              </w:rPr>
            </w:pPr>
            <w:r>
              <w:rPr>
                <w:rFonts w:ascii="Arial" w:hAnsi="Arial" w:cs="Arial"/>
                <w:sz w:val="24"/>
                <w:szCs w:val="24"/>
              </w:rPr>
              <w:t>0.850</w:t>
            </w:r>
          </w:p>
        </w:tc>
        <w:tc>
          <w:tcPr>
            <w:tcW w:w="931" w:type="dxa"/>
            <w:vAlign w:val="center"/>
          </w:tcPr>
          <w:p>
            <w:pPr>
              <w:jc w:val="center"/>
              <w:rPr>
                <w:rFonts w:ascii="Arial" w:hAnsi="Arial" w:cs="Arial"/>
                <w:sz w:val="24"/>
                <w:szCs w:val="24"/>
              </w:rPr>
            </w:pPr>
            <w:r>
              <w:rPr>
                <w:rFonts w:ascii="Arial" w:hAnsi="Arial" w:cs="Arial"/>
                <w:sz w:val="24"/>
                <w:szCs w:val="24"/>
              </w:rPr>
              <w:t>.000</w:t>
            </w:r>
          </w:p>
        </w:tc>
        <w:tc>
          <w:tcPr>
            <w:tcW w:w="1339" w:type="dxa"/>
            <w:vAlign w:val="center"/>
          </w:tcPr>
          <w:p>
            <w:pPr>
              <w:jc w:val="center"/>
              <w:rPr>
                <w:rFonts w:ascii="Arial" w:hAnsi="Arial" w:cs="Arial"/>
                <w:sz w:val="24"/>
                <w:szCs w:val="24"/>
              </w:rPr>
            </w:pPr>
            <w:r>
              <w:rPr>
                <w:rFonts w:ascii="Arial" w:hAnsi="Arial" w:cs="Arial"/>
                <w:sz w:val="24"/>
                <w:szCs w:val="24"/>
              </w:rPr>
              <w:t>Significant</w:t>
            </w:r>
          </w:p>
        </w:tc>
      </w:tr>
      <w:tr>
        <w:trPr>
          <w:trHeight w:val="539"/>
        </w:trPr>
        <w:tc>
          <w:tcPr>
            <w:tcW w:w="2626" w:type="dxa"/>
            <w:vMerge w:val="restart"/>
            <w:vAlign w:val="center"/>
          </w:tcPr>
          <w:p>
            <w:pPr>
              <w:jc w:val="center"/>
              <w:rPr>
                <w:rFonts w:ascii="Arial" w:hAnsi="Arial" w:cs="Arial"/>
                <w:sz w:val="24"/>
                <w:szCs w:val="24"/>
              </w:rPr>
            </w:pPr>
            <w:r>
              <w:rPr>
                <w:rFonts w:ascii="Arial" w:hAnsi="Arial" w:cs="Arial"/>
                <w:i/>
                <w:iCs/>
                <w:sz w:val="24"/>
                <w:szCs w:val="24"/>
                <w:lang w:eastAsia="en-PH"/>
              </w:rPr>
              <w:t>Creative Engagement/Technology Use</w:t>
            </w:r>
          </w:p>
        </w:tc>
        <w:tc>
          <w:tcPr>
            <w:tcW w:w="2578" w:type="dxa"/>
          </w:tcPr>
          <w:p>
            <w:pPr>
              <w:rPr>
                <w:rFonts w:ascii="Arial" w:hAnsi="Arial" w:cs="Arial"/>
                <w:sz w:val="24"/>
                <w:szCs w:val="24"/>
                <w:lang w:eastAsia="en-PH"/>
              </w:rPr>
            </w:pPr>
            <w:r>
              <w:rPr>
                <w:rFonts w:ascii="Arial" w:hAnsi="Arial" w:cs="Arial"/>
                <w:sz w:val="24"/>
                <w:szCs w:val="24"/>
              </w:rPr>
              <w:t>Active knowledge-building facilitation</w:t>
            </w:r>
          </w:p>
        </w:tc>
        <w:tc>
          <w:tcPr>
            <w:tcW w:w="1205" w:type="dxa"/>
            <w:vAlign w:val="center"/>
          </w:tcPr>
          <w:p>
            <w:pPr>
              <w:jc w:val="center"/>
              <w:rPr>
                <w:rFonts w:ascii="Arial" w:hAnsi="Arial" w:cs="Arial"/>
                <w:sz w:val="24"/>
                <w:szCs w:val="24"/>
              </w:rPr>
            </w:pPr>
            <w:r>
              <w:rPr>
                <w:rFonts w:ascii="Arial" w:hAnsi="Arial" w:cs="Arial"/>
                <w:sz w:val="24"/>
                <w:szCs w:val="24"/>
              </w:rPr>
              <w:t>0.641</w:t>
            </w:r>
          </w:p>
        </w:tc>
        <w:tc>
          <w:tcPr>
            <w:tcW w:w="931" w:type="dxa"/>
            <w:vAlign w:val="center"/>
          </w:tcPr>
          <w:p>
            <w:pPr>
              <w:jc w:val="center"/>
              <w:rPr>
                <w:rFonts w:ascii="Arial" w:hAnsi="Arial" w:cs="Arial"/>
                <w:sz w:val="24"/>
                <w:szCs w:val="24"/>
              </w:rPr>
            </w:pPr>
            <w:r>
              <w:rPr>
                <w:rFonts w:ascii="Arial" w:hAnsi="Arial" w:cs="Arial"/>
                <w:sz w:val="24"/>
                <w:szCs w:val="24"/>
              </w:rPr>
              <w:t>.000</w:t>
            </w:r>
          </w:p>
        </w:tc>
        <w:tc>
          <w:tcPr>
            <w:tcW w:w="1339" w:type="dxa"/>
            <w:vAlign w:val="center"/>
          </w:tcPr>
          <w:p>
            <w:pPr>
              <w:jc w:val="center"/>
              <w:rPr>
                <w:rFonts w:ascii="Arial" w:hAnsi="Arial" w:cs="Arial"/>
                <w:sz w:val="24"/>
                <w:szCs w:val="24"/>
              </w:rPr>
            </w:pPr>
            <w:r>
              <w:rPr>
                <w:rFonts w:ascii="Arial" w:hAnsi="Arial" w:cs="Arial"/>
                <w:sz w:val="24"/>
                <w:szCs w:val="24"/>
              </w:rPr>
              <w:t>Significant</w:t>
            </w:r>
          </w:p>
        </w:tc>
      </w:tr>
      <w:tr>
        <w:trPr>
          <w:trHeight w:val="539"/>
        </w:trPr>
        <w:tc>
          <w:tcPr>
            <w:tcW w:w="2626" w:type="dxa"/>
            <w:vMerge/>
          </w:tcPr>
          <w:p>
            <w:pPr>
              <w:jc w:val="center"/>
              <w:rPr>
                <w:rFonts w:ascii="Arial" w:hAnsi="Arial" w:cs="Arial"/>
                <w:sz w:val="24"/>
                <w:szCs w:val="24"/>
              </w:rPr>
            </w:pPr>
          </w:p>
        </w:tc>
        <w:tc>
          <w:tcPr>
            <w:tcW w:w="2578" w:type="dxa"/>
          </w:tcPr>
          <w:p>
            <w:pPr>
              <w:rPr>
                <w:rFonts w:ascii="Arial" w:hAnsi="Arial" w:cs="Arial"/>
                <w:sz w:val="24"/>
                <w:szCs w:val="24"/>
                <w:lang w:eastAsia="en-PH"/>
              </w:rPr>
            </w:pPr>
            <w:r>
              <w:rPr>
                <w:rFonts w:ascii="Arial" w:hAnsi="Arial" w:cs="Arial"/>
                <w:sz w:val="24"/>
                <w:szCs w:val="24"/>
              </w:rPr>
              <w:t>Activation and linking of prior knowledge;</w:t>
            </w:r>
          </w:p>
        </w:tc>
        <w:tc>
          <w:tcPr>
            <w:tcW w:w="1205" w:type="dxa"/>
            <w:vAlign w:val="center"/>
          </w:tcPr>
          <w:p>
            <w:pPr>
              <w:jc w:val="center"/>
              <w:rPr>
                <w:rFonts w:ascii="Arial" w:hAnsi="Arial" w:cs="Arial"/>
                <w:sz w:val="24"/>
                <w:szCs w:val="24"/>
              </w:rPr>
            </w:pPr>
            <w:r>
              <w:rPr>
                <w:rFonts w:ascii="Arial" w:hAnsi="Arial" w:cs="Arial"/>
                <w:sz w:val="24"/>
                <w:szCs w:val="24"/>
              </w:rPr>
              <w:t>0.505</w:t>
            </w:r>
          </w:p>
        </w:tc>
        <w:tc>
          <w:tcPr>
            <w:tcW w:w="931" w:type="dxa"/>
            <w:vAlign w:val="center"/>
          </w:tcPr>
          <w:p>
            <w:pPr>
              <w:jc w:val="center"/>
              <w:rPr>
                <w:rFonts w:ascii="Arial" w:hAnsi="Arial" w:cs="Arial"/>
                <w:sz w:val="24"/>
                <w:szCs w:val="24"/>
              </w:rPr>
            </w:pPr>
            <w:r>
              <w:rPr>
                <w:rFonts w:ascii="Arial" w:hAnsi="Arial" w:cs="Arial"/>
                <w:sz w:val="24"/>
                <w:szCs w:val="24"/>
              </w:rPr>
              <w:t>.004</w:t>
            </w:r>
          </w:p>
        </w:tc>
        <w:tc>
          <w:tcPr>
            <w:tcW w:w="1339" w:type="dxa"/>
            <w:vAlign w:val="center"/>
          </w:tcPr>
          <w:p>
            <w:pPr>
              <w:jc w:val="center"/>
              <w:rPr>
                <w:rFonts w:ascii="Arial" w:hAnsi="Arial" w:cs="Arial"/>
                <w:sz w:val="24"/>
                <w:szCs w:val="24"/>
              </w:rPr>
            </w:pPr>
            <w:r>
              <w:rPr>
                <w:rFonts w:ascii="Arial" w:hAnsi="Arial" w:cs="Arial"/>
                <w:sz w:val="24"/>
                <w:szCs w:val="24"/>
              </w:rPr>
              <w:t>Significant</w:t>
            </w:r>
          </w:p>
        </w:tc>
      </w:tr>
      <w:tr>
        <w:trPr>
          <w:trHeight w:val="539"/>
        </w:trPr>
        <w:tc>
          <w:tcPr>
            <w:tcW w:w="2626" w:type="dxa"/>
            <w:vMerge/>
          </w:tcPr>
          <w:p>
            <w:pPr>
              <w:jc w:val="center"/>
              <w:rPr>
                <w:rFonts w:ascii="Arial" w:hAnsi="Arial" w:cs="Arial"/>
                <w:sz w:val="24"/>
                <w:szCs w:val="24"/>
              </w:rPr>
            </w:pPr>
          </w:p>
        </w:tc>
        <w:tc>
          <w:tcPr>
            <w:tcW w:w="2578" w:type="dxa"/>
          </w:tcPr>
          <w:p>
            <w:pPr>
              <w:rPr>
                <w:rFonts w:ascii="Arial" w:hAnsi="Arial" w:cs="Arial"/>
                <w:sz w:val="24"/>
                <w:szCs w:val="24"/>
                <w:lang w:eastAsia="en-PH"/>
              </w:rPr>
            </w:pPr>
            <w:r>
              <w:rPr>
                <w:rFonts w:ascii="Arial" w:hAnsi="Arial" w:cs="Arial"/>
                <w:sz w:val="24"/>
                <w:szCs w:val="24"/>
              </w:rPr>
              <w:t>Inquiry and problem-solving support</w:t>
            </w:r>
          </w:p>
        </w:tc>
        <w:tc>
          <w:tcPr>
            <w:tcW w:w="1205" w:type="dxa"/>
            <w:vAlign w:val="center"/>
          </w:tcPr>
          <w:p>
            <w:pPr>
              <w:jc w:val="center"/>
              <w:rPr>
                <w:rFonts w:ascii="Arial" w:hAnsi="Arial" w:cs="Arial"/>
                <w:sz w:val="24"/>
                <w:szCs w:val="24"/>
              </w:rPr>
            </w:pPr>
            <w:r>
              <w:rPr>
                <w:rFonts w:ascii="Arial" w:hAnsi="Arial" w:cs="Arial"/>
                <w:sz w:val="24"/>
                <w:szCs w:val="24"/>
              </w:rPr>
              <w:t>0.595</w:t>
            </w:r>
          </w:p>
        </w:tc>
        <w:tc>
          <w:tcPr>
            <w:tcW w:w="931" w:type="dxa"/>
            <w:vAlign w:val="center"/>
          </w:tcPr>
          <w:p>
            <w:pPr>
              <w:jc w:val="center"/>
              <w:rPr>
                <w:rFonts w:ascii="Arial" w:hAnsi="Arial" w:cs="Arial"/>
                <w:sz w:val="24"/>
                <w:szCs w:val="24"/>
              </w:rPr>
            </w:pPr>
            <w:r>
              <w:rPr>
                <w:rFonts w:ascii="Arial" w:hAnsi="Arial" w:cs="Arial"/>
                <w:sz w:val="24"/>
                <w:szCs w:val="24"/>
              </w:rPr>
              <w:t>.001</w:t>
            </w:r>
          </w:p>
        </w:tc>
        <w:tc>
          <w:tcPr>
            <w:tcW w:w="1339" w:type="dxa"/>
            <w:vAlign w:val="center"/>
          </w:tcPr>
          <w:p>
            <w:pPr>
              <w:jc w:val="center"/>
              <w:rPr>
                <w:rFonts w:ascii="Arial" w:hAnsi="Arial" w:cs="Arial"/>
                <w:sz w:val="24"/>
                <w:szCs w:val="24"/>
              </w:rPr>
            </w:pPr>
            <w:r>
              <w:rPr>
                <w:rFonts w:ascii="Arial" w:hAnsi="Arial" w:cs="Arial"/>
                <w:sz w:val="24"/>
                <w:szCs w:val="24"/>
              </w:rPr>
              <w:t>Significant</w:t>
            </w:r>
          </w:p>
        </w:tc>
      </w:tr>
      <w:tr>
        <w:trPr>
          <w:trHeight w:val="539"/>
        </w:trPr>
        <w:tc>
          <w:tcPr>
            <w:tcW w:w="2626" w:type="dxa"/>
            <w:vMerge/>
          </w:tcPr>
          <w:p>
            <w:pPr>
              <w:jc w:val="center"/>
              <w:rPr>
                <w:rFonts w:ascii="Arial" w:hAnsi="Arial" w:cs="Arial"/>
                <w:sz w:val="24"/>
                <w:szCs w:val="24"/>
              </w:rPr>
            </w:pPr>
          </w:p>
        </w:tc>
        <w:tc>
          <w:tcPr>
            <w:tcW w:w="2578" w:type="dxa"/>
          </w:tcPr>
          <w:p>
            <w:pPr>
              <w:rPr>
                <w:rFonts w:ascii="Arial" w:hAnsi="Arial" w:cs="Arial"/>
                <w:sz w:val="24"/>
                <w:szCs w:val="24"/>
                <w:lang w:eastAsia="en-PH"/>
              </w:rPr>
            </w:pPr>
            <w:r>
              <w:rPr>
                <w:rFonts w:ascii="Arial" w:hAnsi="Arial" w:cs="Arial"/>
                <w:sz w:val="24"/>
                <w:szCs w:val="24"/>
              </w:rPr>
              <w:t>Technology-mediated dialogue and collaboration</w:t>
            </w:r>
          </w:p>
        </w:tc>
        <w:tc>
          <w:tcPr>
            <w:tcW w:w="1205" w:type="dxa"/>
            <w:vAlign w:val="center"/>
          </w:tcPr>
          <w:p>
            <w:pPr>
              <w:jc w:val="center"/>
              <w:rPr>
                <w:rFonts w:ascii="Arial" w:hAnsi="Arial" w:cs="Arial"/>
                <w:sz w:val="24"/>
                <w:szCs w:val="24"/>
              </w:rPr>
            </w:pPr>
            <w:r>
              <w:rPr>
                <w:rFonts w:ascii="Arial" w:hAnsi="Arial" w:cs="Arial"/>
                <w:sz w:val="24"/>
                <w:szCs w:val="24"/>
              </w:rPr>
              <w:t>0.576</w:t>
            </w:r>
          </w:p>
        </w:tc>
        <w:tc>
          <w:tcPr>
            <w:tcW w:w="931" w:type="dxa"/>
            <w:vAlign w:val="center"/>
          </w:tcPr>
          <w:p>
            <w:pPr>
              <w:jc w:val="center"/>
              <w:rPr>
                <w:rFonts w:ascii="Arial" w:hAnsi="Arial" w:cs="Arial"/>
                <w:sz w:val="24"/>
                <w:szCs w:val="24"/>
              </w:rPr>
            </w:pPr>
            <w:r>
              <w:rPr>
                <w:rFonts w:ascii="Arial" w:hAnsi="Arial" w:cs="Arial"/>
                <w:sz w:val="24"/>
                <w:szCs w:val="24"/>
              </w:rPr>
              <w:t>.001</w:t>
            </w:r>
          </w:p>
        </w:tc>
        <w:tc>
          <w:tcPr>
            <w:tcW w:w="1339" w:type="dxa"/>
            <w:vAlign w:val="center"/>
          </w:tcPr>
          <w:p>
            <w:pPr>
              <w:jc w:val="center"/>
              <w:rPr>
                <w:rFonts w:ascii="Arial" w:hAnsi="Arial" w:cs="Arial"/>
                <w:sz w:val="24"/>
                <w:szCs w:val="24"/>
              </w:rPr>
            </w:pPr>
            <w:r>
              <w:rPr>
                <w:rFonts w:ascii="Arial" w:hAnsi="Arial" w:cs="Arial"/>
                <w:sz w:val="24"/>
                <w:szCs w:val="24"/>
              </w:rPr>
              <w:t>Significant</w:t>
            </w:r>
          </w:p>
        </w:tc>
      </w:tr>
      <w:tr>
        <w:trPr>
          <w:trHeight w:val="539"/>
        </w:trPr>
        <w:tc>
          <w:tcPr>
            <w:tcW w:w="2626" w:type="dxa"/>
            <w:vMerge/>
          </w:tcPr>
          <w:p>
            <w:pPr>
              <w:jc w:val="center"/>
              <w:rPr>
                <w:rFonts w:ascii="Arial" w:hAnsi="Arial" w:cs="Arial"/>
                <w:sz w:val="24"/>
                <w:szCs w:val="24"/>
              </w:rPr>
            </w:pPr>
          </w:p>
        </w:tc>
        <w:tc>
          <w:tcPr>
            <w:tcW w:w="2578" w:type="dxa"/>
          </w:tcPr>
          <w:p>
            <w:pPr>
              <w:rPr>
                <w:rFonts w:ascii="Arial" w:hAnsi="Arial" w:cs="Arial"/>
                <w:sz w:val="24"/>
                <w:szCs w:val="24"/>
                <w:lang w:eastAsia="en-PH"/>
              </w:rPr>
            </w:pPr>
            <w:r>
              <w:rPr>
                <w:rFonts w:ascii="Arial" w:hAnsi="Arial" w:cs="Arial"/>
                <w:sz w:val="24"/>
                <w:szCs w:val="24"/>
              </w:rPr>
              <w:t>Culturally responsive task design and scaffolding</w:t>
            </w:r>
          </w:p>
        </w:tc>
        <w:tc>
          <w:tcPr>
            <w:tcW w:w="1205" w:type="dxa"/>
            <w:vAlign w:val="center"/>
          </w:tcPr>
          <w:p>
            <w:pPr>
              <w:jc w:val="center"/>
              <w:rPr>
                <w:rFonts w:ascii="Arial" w:hAnsi="Arial" w:cs="Arial"/>
                <w:sz w:val="24"/>
                <w:szCs w:val="24"/>
              </w:rPr>
            </w:pPr>
            <w:r>
              <w:rPr>
                <w:rFonts w:ascii="Arial" w:hAnsi="Arial" w:cs="Arial"/>
                <w:sz w:val="24"/>
                <w:szCs w:val="24"/>
              </w:rPr>
              <w:t>0.749</w:t>
            </w:r>
          </w:p>
        </w:tc>
        <w:tc>
          <w:tcPr>
            <w:tcW w:w="931" w:type="dxa"/>
            <w:vAlign w:val="center"/>
          </w:tcPr>
          <w:p>
            <w:pPr>
              <w:jc w:val="center"/>
              <w:rPr>
                <w:rFonts w:ascii="Arial" w:hAnsi="Arial" w:cs="Arial"/>
                <w:sz w:val="24"/>
                <w:szCs w:val="24"/>
              </w:rPr>
            </w:pPr>
            <w:r>
              <w:rPr>
                <w:rFonts w:ascii="Arial" w:hAnsi="Arial" w:cs="Arial"/>
                <w:sz w:val="24"/>
                <w:szCs w:val="24"/>
              </w:rPr>
              <w:t>.001</w:t>
            </w:r>
          </w:p>
        </w:tc>
        <w:tc>
          <w:tcPr>
            <w:tcW w:w="1339" w:type="dxa"/>
            <w:vAlign w:val="center"/>
          </w:tcPr>
          <w:p>
            <w:pPr>
              <w:jc w:val="center"/>
              <w:rPr>
                <w:rFonts w:ascii="Arial" w:hAnsi="Arial" w:cs="Arial"/>
                <w:sz w:val="24"/>
                <w:szCs w:val="24"/>
              </w:rPr>
            </w:pPr>
            <w:r>
              <w:rPr>
                <w:rFonts w:ascii="Arial" w:hAnsi="Arial" w:cs="Arial"/>
                <w:sz w:val="24"/>
                <w:szCs w:val="24"/>
              </w:rPr>
              <w:t>Significant</w:t>
            </w:r>
          </w:p>
        </w:tc>
      </w:tr>
      <w:tr>
        <w:trPr>
          <w:trHeight w:val="554"/>
        </w:trPr>
        <w:tc>
          <w:tcPr>
            <w:tcW w:w="2626" w:type="dxa"/>
            <w:vMerge w:val="restart"/>
            <w:vAlign w:val="center"/>
          </w:tcPr>
          <w:p>
            <w:pPr>
              <w:jc w:val="center"/>
              <w:rPr>
                <w:rFonts w:ascii="Arial" w:hAnsi="Arial" w:cs="Arial"/>
                <w:sz w:val="24"/>
                <w:szCs w:val="24"/>
              </w:rPr>
            </w:pPr>
            <w:r>
              <w:rPr>
                <w:rFonts w:ascii="Arial" w:hAnsi="Arial" w:cs="Arial"/>
                <w:sz w:val="24"/>
                <w:szCs w:val="24"/>
                <w:lang w:eastAsia="en-PH"/>
              </w:rPr>
              <w:t>Access to Technological Resources</w:t>
            </w:r>
          </w:p>
        </w:tc>
        <w:tc>
          <w:tcPr>
            <w:tcW w:w="2578" w:type="dxa"/>
          </w:tcPr>
          <w:p>
            <w:pPr>
              <w:rPr>
                <w:rFonts w:ascii="Arial" w:hAnsi="Arial" w:cs="Arial"/>
                <w:sz w:val="24"/>
                <w:szCs w:val="24"/>
                <w:lang w:eastAsia="en-PH"/>
              </w:rPr>
            </w:pPr>
            <w:r>
              <w:rPr>
                <w:rFonts w:ascii="Arial" w:hAnsi="Arial" w:cs="Arial"/>
                <w:sz w:val="24"/>
                <w:szCs w:val="24"/>
              </w:rPr>
              <w:t>Active knowledge-building facilitation</w:t>
            </w:r>
          </w:p>
        </w:tc>
        <w:tc>
          <w:tcPr>
            <w:tcW w:w="1205" w:type="dxa"/>
            <w:vAlign w:val="center"/>
          </w:tcPr>
          <w:p>
            <w:pPr>
              <w:jc w:val="center"/>
              <w:rPr>
                <w:rFonts w:ascii="Arial" w:hAnsi="Arial" w:cs="Arial"/>
                <w:sz w:val="24"/>
                <w:szCs w:val="24"/>
              </w:rPr>
            </w:pPr>
            <w:r>
              <w:rPr>
                <w:rFonts w:ascii="Arial" w:hAnsi="Arial" w:cs="Arial"/>
                <w:sz w:val="24"/>
                <w:szCs w:val="24"/>
              </w:rPr>
              <w:t>0.723</w:t>
            </w:r>
          </w:p>
        </w:tc>
        <w:tc>
          <w:tcPr>
            <w:tcW w:w="931" w:type="dxa"/>
            <w:vAlign w:val="center"/>
          </w:tcPr>
          <w:p>
            <w:pPr>
              <w:jc w:val="center"/>
              <w:rPr>
                <w:rFonts w:ascii="Arial" w:hAnsi="Arial" w:cs="Arial"/>
                <w:sz w:val="24"/>
                <w:szCs w:val="24"/>
              </w:rPr>
            </w:pPr>
            <w:r>
              <w:rPr>
                <w:rFonts w:ascii="Arial" w:hAnsi="Arial" w:cs="Arial"/>
                <w:sz w:val="24"/>
                <w:szCs w:val="24"/>
              </w:rPr>
              <w:t>.000</w:t>
            </w:r>
          </w:p>
        </w:tc>
        <w:tc>
          <w:tcPr>
            <w:tcW w:w="1339" w:type="dxa"/>
            <w:vAlign w:val="center"/>
          </w:tcPr>
          <w:p>
            <w:pPr>
              <w:jc w:val="center"/>
              <w:rPr>
                <w:rFonts w:ascii="Arial" w:hAnsi="Arial" w:cs="Arial"/>
                <w:sz w:val="24"/>
                <w:szCs w:val="24"/>
              </w:rPr>
            </w:pPr>
            <w:r>
              <w:rPr>
                <w:rFonts w:ascii="Arial" w:hAnsi="Arial" w:cs="Arial"/>
                <w:sz w:val="24"/>
                <w:szCs w:val="24"/>
              </w:rPr>
              <w:t>Significant</w:t>
            </w:r>
          </w:p>
        </w:tc>
      </w:tr>
      <w:tr>
        <w:trPr>
          <w:trHeight w:val="554"/>
        </w:trPr>
        <w:tc>
          <w:tcPr>
            <w:tcW w:w="2626" w:type="dxa"/>
            <w:vMerge/>
          </w:tcPr>
          <w:p>
            <w:pPr>
              <w:jc w:val="center"/>
              <w:rPr>
                <w:rFonts w:ascii="Arial" w:hAnsi="Arial" w:cs="Arial"/>
                <w:sz w:val="24"/>
                <w:szCs w:val="24"/>
              </w:rPr>
            </w:pPr>
          </w:p>
        </w:tc>
        <w:tc>
          <w:tcPr>
            <w:tcW w:w="2578" w:type="dxa"/>
          </w:tcPr>
          <w:p>
            <w:pPr>
              <w:rPr>
                <w:rFonts w:ascii="Arial" w:hAnsi="Arial" w:cs="Arial"/>
                <w:sz w:val="24"/>
                <w:szCs w:val="24"/>
                <w:lang w:eastAsia="en-PH"/>
              </w:rPr>
            </w:pPr>
            <w:r>
              <w:rPr>
                <w:rFonts w:ascii="Arial" w:hAnsi="Arial" w:cs="Arial"/>
                <w:sz w:val="24"/>
                <w:szCs w:val="24"/>
              </w:rPr>
              <w:t>Activation and linking of prior knowledge;</w:t>
            </w:r>
          </w:p>
        </w:tc>
        <w:tc>
          <w:tcPr>
            <w:tcW w:w="1205" w:type="dxa"/>
            <w:vAlign w:val="center"/>
          </w:tcPr>
          <w:p>
            <w:pPr>
              <w:jc w:val="center"/>
              <w:rPr>
                <w:rFonts w:ascii="Arial" w:hAnsi="Arial" w:cs="Arial"/>
                <w:sz w:val="24"/>
                <w:szCs w:val="24"/>
              </w:rPr>
            </w:pPr>
            <w:r>
              <w:rPr>
                <w:rFonts w:ascii="Arial" w:hAnsi="Arial" w:cs="Arial"/>
                <w:sz w:val="24"/>
                <w:szCs w:val="24"/>
              </w:rPr>
              <w:t>0.563</w:t>
            </w:r>
          </w:p>
        </w:tc>
        <w:tc>
          <w:tcPr>
            <w:tcW w:w="931" w:type="dxa"/>
            <w:vAlign w:val="center"/>
          </w:tcPr>
          <w:p>
            <w:pPr>
              <w:jc w:val="center"/>
              <w:rPr>
                <w:rFonts w:ascii="Arial" w:hAnsi="Arial" w:cs="Arial"/>
                <w:sz w:val="24"/>
                <w:szCs w:val="24"/>
              </w:rPr>
            </w:pPr>
            <w:r>
              <w:rPr>
                <w:rFonts w:ascii="Arial" w:hAnsi="Arial" w:cs="Arial"/>
                <w:sz w:val="24"/>
                <w:szCs w:val="24"/>
              </w:rPr>
              <w:t>.001</w:t>
            </w:r>
          </w:p>
        </w:tc>
        <w:tc>
          <w:tcPr>
            <w:tcW w:w="1339" w:type="dxa"/>
            <w:vAlign w:val="center"/>
          </w:tcPr>
          <w:p>
            <w:pPr>
              <w:jc w:val="center"/>
              <w:rPr>
                <w:rFonts w:ascii="Arial" w:hAnsi="Arial" w:cs="Arial"/>
                <w:sz w:val="24"/>
                <w:szCs w:val="24"/>
              </w:rPr>
            </w:pPr>
            <w:r>
              <w:rPr>
                <w:rFonts w:ascii="Arial" w:hAnsi="Arial" w:cs="Arial"/>
                <w:sz w:val="24"/>
                <w:szCs w:val="24"/>
              </w:rPr>
              <w:t>Significant</w:t>
            </w:r>
          </w:p>
        </w:tc>
      </w:tr>
      <w:tr>
        <w:trPr>
          <w:trHeight w:val="569"/>
        </w:trPr>
        <w:tc>
          <w:tcPr>
            <w:tcW w:w="2626" w:type="dxa"/>
            <w:vMerge/>
          </w:tcPr>
          <w:p>
            <w:pPr>
              <w:jc w:val="center"/>
              <w:rPr>
                <w:rFonts w:ascii="Arial" w:hAnsi="Arial" w:cs="Arial"/>
                <w:sz w:val="24"/>
                <w:szCs w:val="24"/>
              </w:rPr>
            </w:pPr>
          </w:p>
        </w:tc>
        <w:tc>
          <w:tcPr>
            <w:tcW w:w="2578" w:type="dxa"/>
          </w:tcPr>
          <w:p>
            <w:pPr>
              <w:rPr>
                <w:rFonts w:ascii="Arial" w:hAnsi="Arial" w:cs="Arial"/>
                <w:sz w:val="24"/>
                <w:szCs w:val="24"/>
                <w:lang w:eastAsia="en-PH"/>
              </w:rPr>
            </w:pPr>
            <w:r>
              <w:rPr>
                <w:rFonts w:ascii="Arial" w:hAnsi="Arial" w:cs="Arial"/>
                <w:sz w:val="24"/>
                <w:szCs w:val="24"/>
              </w:rPr>
              <w:t>Inquiry and problem-solving support</w:t>
            </w:r>
          </w:p>
        </w:tc>
        <w:tc>
          <w:tcPr>
            <w:tcW w:w="1205" w:type="dxa"/>
            <w:vAlign w:val="center"/>
          </w:tcPr>
          <w:p>
            <w:pPr>
              <w:jc w:val="center"/>
              <w:rPr>
                <w:rFonts w:ascii="Arial" w:hAnsi="Arial" w:cs="Arial"/>
                <w:sz w:val="24"/>
                <w:szCs w:val="24"/>
              </w:rPr>
            </w:pPr>
            <w:r>
              <w:rPr>
                <w:rFonts w:ascii="Arial" w:hAnsi="Arial" w:cs="Arial"/>
                <w:sz w:val="24"/>
                <w:szCs w:val="24"/>
              </w:rPr>
              <w:t>0.588</w:t>
            </w:r>
          </w:p>
        </w:tc>
        <w:tc>
          <w:tcPr>
            <w:tcW w:w="931" w:type="dxa"/>
            <w:vAlign w:val="center"/>
          </w:tcPr>
          <w:p>
            <w:pPr>
              <w:jc w:val="center"/>
              <w:rPr>
                <w:rFonts w:ascii="Arial" w:hAnsi="Arial" w:cs="Arial"/>
                <w:sz w:val="24"/>
                <w:szCs w:val="24"/>
              </w:rPr>
            </w:pPr>
            <w:r>
              <w:rPr>
                <w:rFonts w:ascii="Arial" w:hAnsi="Arial" w:cs="Arial"/>
                <w:sz w:val="24"/>
                <w:szCs w:val="24"/>
              </w:rPr>
              <w:t>.001</w:t>
            </w:r>
          </w:p>
        </w:tc>
        <w:tc>
          <w:tcPr>
            <w:tcW w:w="1339" w:type="dxa"/>
            <w:vAlign w:val="center"/>
          </w:tcPr>
          <w:p>
            <w:pPr>
              <w:jc w:val="center"/>
              <w:rPr>
                <w:rFonts w:ascii="Arial" w:hAnsi="Arial" w:cs="Arial"/>
                <w:sz w:val="24"/>
                <w:szCs w:val="24"/>
              </w:rPr>
            </w:pPr>
            <w:r>
              <w:rPr>
                <w:rFonts w:ascii="Arial" w:hAnsi="Arial" w:cs="Arial"/>
                <w:sz w:val="24"/>
                <w:szCs w:val="24"/>
              </w:rPr>
              <w:t>Significant</w:t>
            </w:r>
          </w:p>
        </w:tc>
      </w:tr>
      <w:tr>
        <w:trPr>
          <w:trHeight w:val="823"/>
        </w:trPr>
        <w:tc>
          <w:tcPr>
            <w:tcW w:w="2626" w:type="dxa"/>
            <w:vMerge/>
          </w:tcPr>
          <w:p>
            <w:pPr>
              <w:jc w:val="center"/>
              <w:rPr>
                <w:rFonts w:ascii="Arial" w:hAnsi="Arial" w:cs="Arial"/>
                <w:sz w:val="24"/>
                <w:szCs w:val="24"/>
              </w:rPr>
            </w:pPr>
          </w:p>
        </w:tc>
        <w:tc>
          <w:tcPr>
            <w:tcW w:w="2578" w:type="dxa"/>
          </w:tcPr>
          <w:p>
            <w:pPr>
              <w:rPr>
                <w:rFonts w:ascii="Arial" w:hAnsi="Arial" w:cs="Arial"/>
                <w:sz w:val="24"/>
                <w:szCs w:val="24"/>
                <w:lang w:eastAsia="en-PH"/>
              </w:rPr>
            </w:pPr>
            <w:r>
              <w:rPr>
                <w:rFonts w:ascii="Arial" w:hAnsi="Arial" w:cs="Arial"/>
                <w:sz w:val="24"/>
                <w:szCs w:val="24"/>
              </w:rPr>
              <w:t>Technology-mediated dialogue and collaboration</w:t>
            </w:r>
          </w:p>
        </w:tc>
        <w:tc>
          <w:tcPr>
            <w:tcW w:w="1205" w:type="dxa"/>
            <w:vAlign w:val="center"/>
          </w:tcPr>
          <w:p>
            <w:pPr>
              <w:jc w:val="center"/>
              <w:rPr>
                <w:rFonts w:ascii="Arial" w:hAnsi="Arial" w:cs="Arial"/>
                <w:color w:val="000000" w:themeColor="text1"/>
                <w:sz w:val="24"/>
                <w:szCs w:val="24"/>
              </w:rPr>
            </w:pPr>
            <w:r>
              <w:rPr>
                <w:rFonts w:ascii="Arial" w:hAnsi="Arial" w:cs="Arial"/>
                <w:color w:val="000000" w:themeColor="text1"/>
                <w:sz w:val="24"/>
                <w:szCs w:val="24"/>
              </w:rPr>
              <w:t>0.100</w:t>
            </w:r>
          </w:p>
        </w:tc>
        <w:tc>
          <w:tcPr>
            <w:tcW w:w="931" w:type="dxa"/>
            <w:vAlign w:val="center"/>
          </w:tcPr>
          <w:p>
            <w:pPr>
              <w:jc w:val="center"/>
              <w:rPr>
                <w:rFonts w:ascii="Arial" w:hAnsi="Arial" w:cs="Arial"/>
                <w:color w:val="000000" w:themeColor="text1"/>
                <w:sz w:val="24"/>
                <w:szCs w:val="24"/>
              </w:rPr>
            </w:pPr>
            <w:r>
              <w:rPr>
                <w:rFonts w:ascii="Arial" w:hAnsi="Arial" w:cs="Arial"/>
                <w:color w:val="000000" w:themeColor="text1"/>
                <w:sz w:val="24"/>
                <w:szCs w:val="24"/>
              </w:rPr>
              <w:t>.573</w:t>
            </w:r>
          </w:p>
        </w:tc>
        <w:tc>
          <w:tcPr>
            <w:tcW w:w="1339" w:type="dxa"/>
            <w:vAlign w:val="center"/>
          </w:tcPr>
          <w:p>
            <w:pPr>
              <w:jc w:val="center"/>
              <w:rPr>
                <w:rFonts w:ascii="Arial" w:hAnsi="Arial" w:cs="Arial"/>
                <w:color w:val="000000" w:themeColor="text1"/>
                <w:sz w:val="24"/>
                <w:szCs w:val="24"/>
              </w:rPr>
            </w:pPr>
            <w:r>
              <w:rPr>
                <w:rFonts w:ascii="Arial" w:hAnsi="Arial" w:cs="Arial"/>
                <w:color w:val="000000" w:themeColor="text1"/>
                <w:sz w:val="24"/>
                <w:szCs w:val="24"/>
              </w:rPr>
              <w:t>Not Significant</w:t>
            </w:r>
          </w:p>
        </w:tc>
      </w:tr>
      <w:tr>
        <w:trPr>
          <w:trHeight w:val="838"/>
        </w:trPr>
        <w:tc>
          <w:tcPr>
            <w:tcW w:w="2626" w:type="dxa"/>
            <w:vMerge/>
          </w:tcPr>
          <w:p>
            <w:pPr>
              <w:jc w:val="center"/>
              <w:rPr>
                <w:rFonts w:ascii="Arial" w:hAnsi="Arial" w:cs="Arial"/>
                <w:sz w:val="24"/>
                <w:szCs w:val="24"/>
              </w:rPr>
            </w:pPr>
          </w:p>
        </w:tc>
        <w:tc>
          <w:tcPr>
            <w:tcW w:w="2578" w:type="dxa"/>
          </w:tcPr>
          <w:p>
            <w:pPr>
              <w:rPr>
                <w:rFonts w:ascii="Arial" w:hAnsi="Arial" w:cs="Arial"/>
                <w:sz w:val="24"/>
                <w:szCs w:val="24"/>
                <w:lang w:eastAsia="en-PH"/>
              </w:rPr>
            </w:pPr>
            <w:r>
              <w:rPr>
                <w:rFonts w:ascii="Arial" w:hAnsi="Arial" w:cs="Arial"/>
                <w:sz w:val="24"/>
                <w:szCs w:val="24"/>
              </w:rPr>
              <w:t>Culturally responsive task design and scaffolding</w:t>
            </w:r>
          </w:p>
        </w:tc>
        <w:tc>
          <w:tcPr>
            <w:tcW w:w="1205" w:type="dxa"/>
            <w:vAlign w:val="center"/>
          </w:tcPr>
          <w:p>
            <w:pPr>
              <w:jc w:val="center"/>
              <w:rPr>
                <w:rFonts w:ascii="Arial" w:hAnsi="Arial" w:cs="Arial"/>
                <w:color w:val="000000" w:themeColor="text1"/>
                <w:sz w:val="24"/>
                <w:szCs w:val="24"/>
              </w:rPr>
            </w:pPr>
            <w:r>
              <w:rPr>
                <w:rFonts w:ascii="Arial" w:hAnsi="Arial" w:cs="Arial"/>
                <w:color w:val="000000" w:themeColor="text1"/>
                <w:sz w:val="24"/>
                <w:szCs w:val="24"/>
              </w:rPr>
              <w:t>0.182</w:t>
            </w:r>
          </w:p>
        </w:tc>
        <w:tc>
          <w:tcPr>
            <w:tcW w:w="931" w:type="dxa"/>
            <w:vAlign w:val="center"/>
          </w:tcPr>
          <w:p>
            <w:pPr>
              <w:jc w:val="center"/>
              <w:rPr>
                <w:rFonts w:ascii="Arial" w:hAnsi="Arial" w:cs="Arial"/>
                <w:color w:val="000000" w:themeColor="text1"/>
                <w:sz w:val="24"/>
                <w:szCs w:val="24"/>
              </w:rPr>
            </w:pPr>
            <w:r>
              <w:rPr>
                <w:rFonts w:ascii="Arial" w:hAnsi="Arial" w:cs="Arial"/>
                <w:color w:val="000000" w:themeColor="text1"/>
                <w:sz w:val="24"/>
                <w:szCs w:val="24"/>
              </w:rPr>
              <w:t>.339</w:t>
            </w:r>
          </w:p>
        </w:tc>
        <w:tc>
          <w:tcPr>
            <w:tcW w:w="1339" w:type="dxa"/>
            <w:vAlign w:val="center"/>
          </w:tcPr>
          <w:p>
            <w:pPr>
              <w:jc w:val="center"/>
              <w:rPr>
                <w:rFonts w:ascii="Arial" w:hAnsi="Arial" w:cs="Arial"/>
                <w:color w:val="000000" w:themeColor="text1"/>
                <w:sz w:val="24"/>
                <w:szCs w:val="24"/>
              </w:rPr>
            </w:pPr>
            <w:r>
              <w:rPr>
                <w:rFonts w:ascii="Arial" w:hAnsi="Arial" w:cs="Arial"/>
                <w:color w:val="000000" w:themeColor="text1"/>
                <w:sz w:val="24"/>
                <w:szCs w:val="24"/>
              </w:rPr>
              <w:t>Not Significant</w:t>
            </w:r>
          </w:p>
        </w:tc>
      </w:tr>
      <w:tr>
        <w:trPr>
          <w:trHeight w:val="554"/>
        </w:trPr>
        <w:tc>
          <w:tcPr>
            <w:tcW w:w="2626" w:type="dxa"/>
            <w:vMerge w:val="restart"/>
            <w:vAlign w:val="center"/>
          </w:tcPr>
          <w:p>
            <w:pPr>
              <w:jc w:val="center"/>
              <w:rPr>
                <w:rFonts w:ascii="Arial" w:hAnsi="Arial" w:cs="Arial"/>
                <w:sz w:val="24"/>
                <w:szCs w:val="24"/>
              </w:rPr>
            </w:pPr>
            <w:r>
              <w:rPr>
                <w:rFonts w:ascii="Arial" w:hAnsi="Arial" w:cs="Arial"/>
                <w:i/>
                <w:iCs/>
                <w:sz w:val="24"/>
                <w:szCs w:val="24"/>
                <w:lang w:eastAsia="en-PH"/>
              </w:rPr>
              <w:t>Reflective Teaching Practice</w:t>
            </w:r>
          </w:p>
        </w:tc>
        <w:tc>
          <w:tcPr>
            <w:tcW w:w="2578" w:type="dxa"/>
          </w:tcPr>
          <w:p>
            <w:pPr>
              <w:rPr>
                <w:rFonts w:ascii="Arial" w:hAnsi="Arial" w:cs="Arial"/>
                <w:sz w:val="24"/>
                <w:szCs w:val="24"/>
                <w:lang w:eastAsia="en-PH"/>
              </w:rPr>
            </w:pPr>
            <w:r>
              <w:rPr>
                <w:rFonts w:ascii="Arial" w:hAnsi="Arial" w:cs="Arial"/>
                <w:sz w:val="24"/>
                <w:szCs w:val="24"/>
              </w:rPr>
              <w:t>Active knowledge-building facilitation</w:t>
            </w:r>
          </w:p>
        </w:tc>
        <w:tc>
          <w:tcPr>
            <w:tcW w:w="1205" w:type="dxa"/>
            <w:vAlign w:val="center"/>
          </w:tcPr>
          <w:p>
            <w:pPr>
              <w:jc w:val="center"/>
              <w:rPr>
                <w:rFonts w:ascii="Arial" w:hAnsi="Arial" w:cs="Arial"/>
                <w:color w:val="000000" w:themeColor="text1"/>
                <w:sz w:val="24"/>
                <w:szCs w:val="24"/>
              </w:rPr>
            </w:pPr>
            <w:r>
              <w:rPr>
                <w:rFonts w:ascii="Arial" w:hAnsi="Arial" w:cs="Arial"/>
                <w:color w:val="000000" w:themeColor="text1"/>
                <w:sz w:val="24"/>
                <w:szCs w:val="24"/>
              </w:rPr>
              <w:t>0.877</w:t>
            </w:r>
          </w:p>
        </w:tc>
        <w:tc>
          <w:tcPr>
            <w:tcW w:w="931" w:type="dxa"/>
            <w:vAlign w:val="center"/>
          </w:tcPr>
          <w:p>
            <w:pPr>
              <w:jc w:val="center"/>
              <w:rPr>
                <w:rFonts w:ascii="Arial" w:hAnsi="Arial" w:cs="Arial"/>
                <w:color w:val="000000" w:themeColor="text1"/>
                <w:sz w:val="24"/>
                <w:szCs w:val="24"/>
              </w:rPr>
            </w:pPr>
            <w:r>
              <w:rPr>
                <w:rFonts w:ascii="Arial" w:hAnsi="Arial" w:cs="Arial"/>
                <w:color w:val="000000" w:themeColor="text1"/>
                <w:sz w:val="24"/>
                <w:szCs w:val="24"/>
              </w:rPr>
              <w:t>.000</w:t>
            </w:r>
          </w:p>
        </w:tc>
        <w:tc>
          <w:tcPr>
            <w:tcW w:w="1339" w:type="dxa"/>
            <w:vAlign w:val="center"/>
          </w:tcPr>
          <w:p>
            <w:pPr>
              <w:jc w:val="center"/>
              <w:rPr>
                <w:rFonts w:ascii="Arial" w:hAnsi="Arial" w:cs="Arial"/>
                <w:color w:val="000000" w:themeColor="text1"/>
                <w:sz w:val="24"/>
                <w:szCs w:val="24"/>
              </w:rPr>
            </w:pPr>
            <w:r>
              <w:rPr>
                <w:rFonts w:ascii="Arial" w:hAnsi="Arial" w:cs="Arial"/>
                <w:color w:val="000000" w:themeColor="text1"/>
                <w:sz w:val="24"/>
                <w:szCs w:val="24"/>
              </w:rPr>
              <w:t>Significant</w:t>
            </w:r>
          </w:p>
        </w:tc>
      </w:tr>
      <w:tr>
        <w:trPr>
          <w:trHeight w:val="554"/>
        </w:trPr>
        <w:tc>
          <w:tcPr>
            <w:tcW w:w="2626" w:type="dxa"/>
            <w:vMerge/>
          </w:tcPr>
          <w:p>
            <w:pPr>
              <w:jc w:val="center"/>
              <w:rPr>
                <w:rFonts w:ascii="Arial" w:hAnsi="Arial" w:cs="Arial"/>
                <w:i/>
                <w:iCs/>
                <w:sz w:val="24"/>
                <w:szCs w:val="24"/>
                <w:lang w:eastAsia="en-PH"/>
              </w:rPr>
            </w:pPr>
          </w:p>
        </w:tc>
        <w:tc>
          <w:tcPr>
            <w:tcW w:w="2578" w:type="dxa"/>
          </w:tcPr>
          <w:p>
            <w:pPr>
              <w:rPr>
                <w:rFonts w:ascii="Arial" w:hAnsi="Arial" w:cs="Arial"/>
                <w:sz w:val="24"/>
                <w:szCs w:val="24"/>
                <w:lang w:eastAsia="en-PH"/>
              </w:rPr>
            </w:pPr>
            <w:r>
              <w:rPr>
                <w:rFonts w:ascii="Arial" w:hAnsi="Arial" w:cs="Arial"/>
                <w:sz w:val="24"/>
                <w:szCs w:val="24"/>
              </w:rPr>
              <w:t>Activation and linking of prior knowledge;</w:t>
            </w:r>
          </w:p>
        </w:tc>
        <w:tc>
          <w:tcPr>
            <w:tcW w:w="1205" w:type="dxa"/>
            <w:vAlign w:val="center"/>
          </w:tcPr>
          <w:p>
            <w:pPr>
              <w:jc w:val="center"/>
              <w:rPr>
                <w:rFonts w:ascii="Arial" w:hAnsi="Arial" w:cs="Arial"/>
                <w:color w:val="000000" w:themeColor="text1"/>
                <w:sz w:val="24"/>
                <w:szCs w:val="24"/>
              </w:rPr>
            </w:pPr>
            <w:r>
              <w:rPr>
                <w:rFonts w:ascii="Arial" w:hAnsi="Arial" w:cs="Arial"/>
                <w:color w:val="000000" w:themeColor="text1"/>
                <w:sz w:val="24"/>
                <w:szCs w:val="24"/>
              </w:rPr>
              <w:t>0.719</w:t>
            </w:r>
          </w:p>
        </w:tc>
        <w:tc>
          <w:tcPr>
            <w:tcW w:w="931" w:type="dxa"/>
            <w:vAlign w:val="center"/>
          </w:tcPr>
          <w:p>
            <w:pPr>
              <w:jc w:val="center"/>
              <w:rPr>
                <w:rFonts w:ascii="Arial" w:hAnsi="Arial" w:cs="Arial"/>
                <w:color w:val="000000" w:themeColor="text1"/>
                <w:sz w:val="24"/>
                <w:szCs w:val="24"/>
              </w:rPr>
            </w:pPr>
            <w:r>
              <w:rPr>
                <w:rFonts w:ascii="Arial" w:hAnsi="Arial" w:cs="Arial"/>
                <w:color w:val="000000" w:themeColor="text1"/>
                <w:sz w:val="24"/>
                <w:szCs w:val="24"/>
              </w:rPr>
              <w:t>.000</w:t>
            </w:r>
          </w:p>
        </w:tc>
        <w:tc>
          <w:tcPr>
            <w:tcW w:w="1339" w:type="dxa"/>
            <w:vAlign w:val="center"/>
          </w:tcPr>
          <w:p>
            <w:pPr>
              <w:jc w:val="center"/>
              <w:rPr>
                <w:rFonts w:ascii="Arial" w:hAnsi="Arial" w:cs="Arial"/>
                <w:color w:val="000000" w:themeColor="text1"/>
                <w:sz w:val="24"/>
                <w:szCs w:val="24"/>
              </w:rPr>
            </w:pPr>
            <w:r>
              <w:rPr>
                <w:rFonts w:ascii="Arial" w:hAnsi="Arial" w:cs="Arial"/>
                <w:color w:val="000000" w:themeColor="text1"/>
                <w:sz w:val="24"/>
                <w:szCs w:val="24"/>
              </w:rPr>
              <w:t>Significant</w:t>
            </w:r>
          </w:p>
        </w:tc>
      </w:tr>
      <w:tr>
        <w:trPr>
          <w:trHeight w:val="569"/>
        </w:trPr>
        <w:tc>
          <w:tcPr>
            <w:tcW w:w="2626" w:type="dxa"/>
            <w:vMerge/>
          </w:tcPr>
          <w:p>
            <w:pPr>
              <w:jc w:val="center"/>
              <w:rPr>
                <w:rFonts w:ascii="Arial" w:hAnsi="Arial" w:cs="Arial"/>
                <w:i/>
                <w:iCs/>
                <w:sz w:val="24"/>
                <w:szCs w:val="24"/>
                <w:lang w:eastAsia="en-PH"/>
              </w:rPr>
            </w:pPr>
          </w:p>
        </w:tc>
        <w:tc>
          <w:tcPr>
            <w:tcW w:w="2578" w:type="dxa"/>
          </w:tcPr>
          <w:p>
            <w:pPr>
              <w:rPr>
                <w:rFonts w:ascii="Arial" w:hAnsi="Arial" w:cs="Arial"/>
                <w:sz w:val="24"/>
                <w:szCs w:val="24"/>
                <w:lang w:eastAsia="en-PH"/>
              </w:rPr>
            </w:pPr>
            <w:r>
              <w:rPr>
                <w:rFonts w:ascii="Arial" w:hAnsi="Arial" w:cs="Arial"/>
                <w:sz w:val="24"/>
                <w:szCs w:val="24"/>
              </w:rPr>
              <w:t>Inquiry and problem-solving support</w:t>
            </w:r>
          </w:p>
        </w:tc>
        <w:tc>
          <w:tcPr>
            <w:tcW w:w="1205" w:type="dxa"/>
            <w:vAlign w:val="center"/>
          </w:tcPr>
          <w:p>
            <w:pPr>
              <w:jc w:val="center"/>
              <w:rPr>
                <w:rFonts w:ascii="Arial" w:hAnsi="Arial" w:cs="Arial"/>
                <w:color w:val="000000" w:themeColor="text1"/>
                <w:sz w:val="24"/>
                <w:szCs w:val="24"/>
              </w:rPr>
            </w:pPr>
            <w:r>
              <w:rPr>
                <w:rFonts w:ascii="Arial" w:hAnsi="Arial" w:cs="Arial"/>
                <w:color w:val="000000" w:themeColor="text1"/>
                <w:sz w:val="24"/>
                <w:szCs w:val="24"/>
              </w:rPr>
              <w:t>0.615</w:t>
            </w:r>
          </w:p>
        </w:tc>
        <w:tc>
          <w:tcPr>
            <w:tcW w:w="931" w:type="dxa"/>
            <w:vAlign w:val="center"/>
          </w:tcPr>
          <w:p>
            <w:pPr>
              <w:jc w:val="center"/>
              <w:rPr>
                <w:rFonts w:ascii="Arial" w:hAnsi="Arial" w:cs="Arial"/>
                <w:color w:val="000000" w:themeColor="text1"/>
                <w:sz w:val="24"/>
                <w:szCs w:val="24"/>
              </w:rPr>
            </w:pPr>
            <w:r>
              <w:rPr>
                <w:rFonts w:ascii="Arial" w:hAnsi="Arial" w:cs="Arial"/>
                <w:color w:val="000000" w:themeColor="text1"/>
                <w:sz w:val="24"/>
                <w:szCs w:val="24"/>
              </w:rPr>
              <w:t>.000</w:t>
            </w:r>
          </w:p>
        </w:tc>
        <w:tc>
          <w:tcPr>
            <w:tcW w:w="1339" w:type="dxa"/>
            <w:vAlign w:val="center"/>
          </w:tcPr>
          <w:p>
            <w:pPr>
              <w:jc w:val="center"/>
              <w:rPr>
                <w:rFonts w:ascii="Arial" w:hAnsi="Arial" w:cs="Arial"/>
                <w:color w:val="000000" w:themeColor="text1"/>
                <w:sz w:val="24"/>
                <w:szCs w:val="24"/>
              </w:rPr>
            </w:pPr>
            <w:r>
              <w:rPr>
                <w:rFonts w:ascii="Arial" w:hAnsi="Arial" w:cs="Arial"/>
                <w:color w:val="000000" w:themeColor="text1"/>
                <w:sz w:val="24"/>
                <w:szCs w:val="24"/>
              </w:rPr>
              <w:t>Significant</w:t>
            </w:r>
          </w:p>
        </w:tc>
      </w:tr>
      <w:tr>
        <w:trPr>
          <w:trHeight w:val="838"/>
        </w:trPr>
        <w:tc>
          <w:tcPr>
            <w:tcW w:w="2626" w:type="dxa"/>
            <w:vMerge/>
          </w:tcPr>
          <w:p>
            <w:pPr>
              <w:jc w:val="center"/>
              <w:rPr>
                <w:rFonts w:ascii="Arial" w:hAnsi="Arial" w:cs="Arial"/>
                <w:i/>
                <w:iCs/>
                <w:sz w:val="24"/>
                <w:szCs w:val="24"/>
                <w:lang w:eastAsia="en-PH"/>
              </w:rPr>
            </w:pPr>
          </w:p>
        </w:tc>
        <w:tc>
          <w:tcPr>
            <w:tcW w:w="2578" w:type="dxa"/>
          </w:tcPr>
          <w:p>
            <w:pPr>
              <w:rPr>
                <w:rFonts w:ascii="Arial" w:hAnsi="Arial" w:cs="Arial"/>
                <w:sz w:val="24"/>
                <w:szCs w:val="24"/>
                <w:lang w:eastAsia="en-PH"/>
              </w:rPr>
            </w:pPr>
            <w:r>
              <w:rPr>
                <w:rFonts w:ascii="Arial" w:hAnsi="Arial" w:cs="Arial"/>
                <w:sz w:val="24"/>
                <w:szCs w:val="24"/>
              </w:rPr>
              <w:t>Technology-mediated dialogue and collaboration</w:t>
            </w:r>
          </w:p>
        </w:tc>
        <w:tc>
          <w:tcPr>
            <w:tcW w:w="1205" w:type="dxa"/>
            <w:vAlign w:val="center"/>
          </w:tcPr>
          <w:p>
            <w:pPr>
              <w:jc w:val="center"/>
              <w:rPr>
                <w:rFonts w:ascii="Arial" w:hAnsi="Arial" w:cs="Arial"/>
                <w:color w:val="000000" w:themeColor="text1"/>
                <w:sz w:val="24"/>
                <w:szCs w:val="24"/>
              </w:rPr>
            </w:pPr>
            <w:r>
              <w:rPr>
                <w:rFonts w:ascii="Arial" w:hAnsi="Arial" w:cs="Arial"/>
                <w:color w:val="000000" w:themeColor="text1"/>
                <w:sz w:val="24"/>
                <w:szCs w:val="24"/>
              </w:rPr>
              <w:t>0.123</w:t>
            </w:r>
          </w:p>
        </w:tc>
        <w:tc>
          <w:tcPr>
            <w:tcW w:w="931" w:type="dxa"/>
            <w:vAlign w:val="center"/>
          </w:tcPr>
          <w:p>
            <w:pPr>
              <w:jc w:val="center"/>
              <w:rPr>
                <w:rFonts w:ascii="Arial" w:hAnsi="Arial" w:cs="Arial"/>
                <w:color w:val="000000" w:themeColor="text1"/>
                <w:sz w:val="24"/>
                <w:szCs w:val="24"/>
              </w:rPr>
            </w:pPr>
            <w:r>
              <w:rPr>
                <w:rFonts w:ascii="Arial" w:hAnsi="Arial" w:cs="Arial"/>
                <w:color w:val="000000" w:themeColor="text1"/>
                <w:sz w:val="24"/>
                <w:szCs w:val="24"/>
              </w:rPr>
              <w:t>.793</w:t>
            </w:r>
          </w:p>
        </w:tc>
        <w:tc>
          <w:tcPr>
            <w:tcW w:w="1339" w:type="dxa"/>
            <w:vAlign w:val="center"/>
          </w:tcPr>
          <w:p>
            <w:pPr>
              <w:jc w:val="center"/>
              <w:rPr>
                <w:rFonts w:ascii="Arial" w:hAnsi="Arial" w:cs="Arial"/>
                <w:color w:val="000000" w:themeColor="text1"/>
                <w:sz w:val="24"/>
                <w:szCs w:val="24"/>
              </w:rPr>
            </w:pPr>
            <w:r>
              <w:rPr>
                <w:rFonts w:ascii="Arial" w:hAnsi="Arial" w:cs="Arial"/>
                <w:color w:val="000000" w:themeColor="text1"/>
                <w:sz w:val="24"/>
                <w:szCs w:val="24"/>
              </w:rPr>
              <w:t>Not Significant</w:t>
            </w:r>
          </w:p>
        </w:tc>
      </w:tr>
      <w:tr>
        <w:trPr>
          <w:trHeight w:val="823"/>
        </w:trPr>
        <w:tc>
          <w:tcPr>
            <w:tcW w:w="2626" w:type="dxa"/>
            <w:vMerge/>
          </w:tcPr>
          <w:p>
            <w:pPr>
              <w:jc w:val="center"/>
              <w:rPr>
                <w:rFonts w:ascii="Arial" w:hAnsi="Arial" w:cs="Arial"/>
                <w:i/>
                <w:iCs/>
                <w:sz w:val="24"/>
                <w:szCs w:val="24"/>
                <w:lang w:eastAsia="en-PH"/>
              </w:rPr>
            </w:pPr>
          </w:p>
        </w:tc>
        <w:tc>
          <w:tcPr>
            <w:tcW w:w="2578" w:type="dxa"/>
          </w:tcPr>
          <w:p>
            <w:pPr>
              <w:rPr>
                <w:rFonts w:ascii="Arial" w:hAnsi="Arial" w:cs="Arial"/>
                <w:sz w:val="24"/>
                <w:szCs w:val="24"/>
                <w:lang w:eastAsia="en-PH"/>
              </w:rPr>
            </w:pPr>
            <w:r>
              <w:rPr>
                <w:rFonts w:ascii="Arial" w:hAnsi="Arial" w:cs="Arial"/>
                <w:sz w:val="24"/>
                <w:szCs w:val="24"/>
              </w:rPr>
              <w:t>Culturally responsive task design and scaffolding</w:t>
            </w:r>
          </w:p>
        </w:tc>
        <w:tc>
          <w:tcPr>
            <w:tcW w:w="1205" w:type="dxa"/>
            <w:vAlign w:val="center"/>
          </w:tcPr>
          <w:p>
            <w:pPr>
              <w:jc w:val="center"/>
              <w:rPr>
                <w:rFonts w:ascii="Arial" w:hAnsi="Arial" w:cs="Arial"/>
                <w:color w:val="000000" w:themeColor="text1"/>
                <w:sz w:val="24"/>
                <w:szCs w:val="24"/>
              </w:rPr>
            </w:pPr>
            <w:r>
              <w:rPr>
                <w:rFonts w:ascii="Arial" w:hAnsi="Arial" w:cs="Arial"/>
                <w:color w:val="000000" w:themeColor="text1"/>
                <w:sz w:val="24"/>
                <w:szCs w:val="24"/>
              </w:rPr>
              <w:t>0.134</w:t>
            </w:r>
          </w:p>
        </w:tc>
        <w:tc>
          <w:tcPr>
            <w:tcW w:w="931" w:type="dxa"/>
            <w:vAlign w:val="center"/>
          </w:tcPr>
          <w:p>
            <w:pPr>
              <w:jc w:val="center"/>
              <w:rPr>
                <w:rFonts w:ascii="Arial" w:hAnsi="Arial" w:cs="Arial"/>
                <w:color w:val="000000" w:themeColor="text1"/>
                <w:sz w:val="24"/>
                <w:szCs w:val="24"/>
              </w:rPr>
            </w:pPr>
            <w:r>
              <w:rPr>
                <w:rFonts w:ascii="Arial" w:hAnsi="Arial" w:cs="Arial"/>
                <w:color w:val="000000" w:themeColor="text1"/>
                <w:sz w:val="24"/>
                <w:szCs w:val="24"/>
              </w:rPr>
              <w:t>.558</w:t>
            </w:r>
          </w:p>
        </w:tc>
        <w:tc>
          <w:tcPr>
            <w:tcW w:w="1339" w:type="dxa"/>
            <w:vAlign w:val="center"/>
          </w:tcPr>
          <w:p>
            <w:pPr>
              <w:jc w:val="center"/>
              <w:rPr>
                <w:rFonts w:ascii="Arial" w:hAnsi="Arial" w:cs="Arial"/>
                <w:color w:val="000000" w:themeColor="text1"/>
                <w:sz w:val="24"/>
                <w:szCs w:val="24"/>
              </w:rPr>
            </w:pPr>
            <w:r>
              <w:rPr>
                <w:rFonts w:ascii="Arial" w:hAnsi="Arial" w:cs="Arial"/>
                <w:color w:val="000000" w:themeColor="text1"/>
                <w:sz w:val="24"/>
                <w:szCs w:val="24"/>
              </w:rPr>
              <w:t>Not Significant</w:t>
            </w:r>
          </w:p>
        </w:tc>
      </w:tr>
    </w:tbl>
    <w:p>
      <w:pPr>
        <w:jc w:val="center"/>
        <w:rPr>
          <w:rFonts w:ascii="Arial" w:hAnsi="Arial" w:cs="Arial"/>
        </w:rPr>
      </w:pPr>
    </w:p>
    <w:p>
      <w:pPr>
        <w:jc w:val="center"/>
        <w:rPr>
          <w:rFonts w:ascii="Arial" w:hAnsi="Arial" w:cs="Arial"/>
        </w:rPr>
      </w:pPr>
      <w:r>
        <w:rPr>
          <w:rFonts w:ascii="Arial" w:hAnsi="Arial" w:cs="Arial"/>
        </w:rPr>
        <w:t>Significant relationship between teachers’ level of technology integration and learners’ level of technology-supported engagement</w:t>
      </w:r>
    </w:p>
    <w:tbl>
      <w:tblPr>
        <w:tblStyle w:val="TableGrid"/>
        <w:tblW w:w="0" w:type="auto"/>
        <w:tblLook w:val="04A0" w:firstRow="1" w:lastRow="0" w:firstColumn="1" w:lastColumn="0" w:noHBand="0" w:noVBand="1"/>
      </w:tblPr>
      <w:tblGrid>
        <w:gridCol w:w="2482"/>
        <w:gridCol w:w="2539"/>
        <w:gridCol w:w="1324"/>
        <w:gridCol w:w="859"/>
        <w:gridCol w:w="1426"/>
      </w:tblGrid>
      <w:tr>
        <w:trPr>
          <w:trHeight w:val="323"/>
        </w:trPr>
        <w:tc>
          <w:tcPr>
            <w:tcW w:w="5755" w:type="dxa"/>
            <w:gridSpan w:val="2"/>
          </w:tcPr>
          <w:p>
            <w:pPr>
              <w:jc w:val="center"/>
              <w:rPr>
                <w:rFonts w:ascii="Arial" w:hAnsi="Arial" w:cs="Arial"/>
                <w:sz w:val="24"/>
                <w:szCs w:val="24"/>
              </w:rPr>
            </w:pPr>
            <w:r>
              <w:rPr>
                <w:rFonts w:ascii="Arial" w:hAnsi="Arial" w:cs="Arial"/>
                <w:sz w:val="24"/>
                <w:szCs w:val="24"/>
              </w:rPr>
              <w:t>Variable Tested</w:t>
            </w:r>
          </w:p>
        </w:tc>
        <w:tc>
          <w:tcPr>
            <w:tcW w:w="1272" w:type="dxa"/>
          </w:tcPr>
          <w:p>
            <w:pPr>
              <w:jc w:val="center"/>
              <w:rPr>
                <w:rFonts w:ascii="Arial" w:hAnsi="Arial" w:cs="Arial"/>
                <w:sz w:val="24"/>
                <w:szCs w:val="24"/>
              </w:rPr>
            </w:pPr>
            <w:r>
              <w:rPr>
                <w:rFonts w:ascii="Arial" w:hAnsi="Arial" w:cs="Arial"/>
                <w:sz w:val="24"/>
                <w:szCs w:val="24"/>
              </w:rPr>
              <w:t>Computed r</w:t>
            </w:r>
          </w:p>
        </w:tc>
        <w:tc>
          <w:tcPr>
            <w:tcW w:w="888" w:type="dxa"/>
          </w:tcPr>
          <w:p>
            <w:pPr>
              <w:jc w:val="center"/>
              <w:rPr>
                <w:rFonts w:ascii="Arial" w:hAnsi="Arial" w:cs="Arial"/>
                <w:sz w:val="24"/>
                <w:szCs w:val="24"/>
              </w:rPr>
            </w:pPr>
            <w:r>
              <w:rPr>
                <w:rFonts w:ascii="Arial" w:hAnsi="Arial" w:cs="Arial"/>
                <w:sz w:val="24"/>
                <w:szCs w:val="24"/>
              </w:rPr>
              <w:t>p-value</w:t>
            </w:r>
          </w:p>
        </w:tc>
        <w:tc>
          <w:tcPr>
            <w:tcW w:w="1435" w:type="dxa"/>
          </w:tcPr>
          <w:p>
            <w:pPr>
              <w:jc w:val="center"/>
              <w:rPr>
                <w:rFonts w:ascii="Arial" w:hAnsi="Arial" w:cs="Arial"/>
                <w:sz w:val="24"/>
                <w:szCs w:val="24"/>
              </w:rPr>
            </w:pPr>
            <w:r>
              <w:rPr>
                <w:rFonts w:ascii="Arial" w:hAnsi="Arial" w:cs="Arial"/>
                <w:sz w:val="24"/>
                <w:szCs w:val="24"/>
              </w:rPr>
              <w:t>Conclusion</w:t>
            </w:r>
          </w:p>
        </w:tc>
      </w:tr>
      <w:tr>
        <w:tc>
          <w:tcPr>
            <w:tcW w:w="2863" w:type="dxa"/>
            <w:vMerge w:val="restart"/>
            <w:vAlign w:val="center"/>
          </w:tcPr>
          <w:p>
            <w:pPr>
              <w:pStyle w:val="NoSpacing"/>
              <w:jc w:val="center"/>
              <w:rPr>
                <w:rFonts w:ascii="Arial" w:hAnsi="Arial" w:cs="Arial"/>
                <w:sz w:val="24"/>
                <w:szCs w:val="24"/>
              </w:rPr>
            </w:pPr>
            <w:r>
              <w:rPr>
                <w:rFonts w:ascii="Arial" w:hAnsi="Arial" w:cs="Arial"/>
                <w:sz w:val="24"/>
                <w:szCs w:val="24"/>
              </w:rPr>
              <w:t>Active knowledge-building facilitation</w:t>
            </w:r>
          </w:p>
        </w:tc>
        <w:tc>
          <w:tcPr>
            <w:tcW w:w="2892" w:type="dxa"/>
          </w:tcPr>
          <w:p>
            <w:pPr>
              <w:pStyle w:val="NoSpacing"/>
              <w:rPr>
                <w:rFonts w:ascii="Arial" w:hAnsi="Arial" w:cs="Arial"/>
                <w:sz w:val="24"/>
                <w:szCs w:val="24"/>
              </w:rPr>
            </w:pPr>
            <w:r>
              <w:rPr>
                <w:rFonts w:ascii="Arial" w:hAnsi="Arial" w:cs="Arial"/>
                <w:sz w:val="24"/>
                <w:szCs w:val="24"/>
              </w:rPr>
              <w:t>Passive Engagement</w:t>
            </w:r>
          </w:p>
        </w:tc>
        <w:tc>
          <w:tcPr>
            <w:tcW w:w="1272" w:type="dxa"/>
            <w:vAlign w:val="center"/>
          </w:tcPr>
          <w:p>
            <w:pPr>
              <w:jc w:val="center"/>
              <w:rPr>
                <w:rFonts w:ascii="Arial" w:hAnsi="Arial" w:cs="Arial"/>
                <w:sz w:val="24"/>
                <w:szCs w:val="24"/>
              </w:rPr>
            </w:pPr>
            <w:r>
              <w:rPr>
                <w:rFonts w:ascii="Arial" w:hAnsi="Arial" w:cs="Arial"/>
                <w:sz w:val="24"/>
                <w:szCs w:val="24"/>
              </w:rPr>
              <w:t>0.565</w:t>
            </w:r>
          </w:p>
        </w:tc>
        <w:tc>
          <w:tcPr>
            <w:tcW w:w="888" w:type="dxa"/>
            <w:vAlign w:val="center"/>
          </w:tcPr>
          <w:p>
            <w:pPr>
              <w:jc w:val="center"/>
              <w:rPr>
                <w:rFonts w:ascii="Arial" w:hAnsi="Arial" w:cs="Arial"/>
                <w:sz w:val="24"/>
                <w:szCs w:val="24"/>
              </w:rPr>
            </w:pPr>
            <w:r>
              <w:rPr>
                <w:rFonts w:ascii="Arial" w:hAnsi="Arial" w:cs="Arial"/>
                <w:sz w:val="24"/>
                <w:szCs w:val="24"/>
              </w:rPr>
              <w:t>.001</w:t>
            </w:r>
          </w:p>
        </w:tc>
        <w:tc>
          <w:tcPr>
            <w:tcW w:w="1435" w:type="dxa"/>
          </w:tcPr>
          <w:p>
            <w:pPr>
              <w:jc w:val="center"/>
              <w:rPr>
                <w:rFonts w:ascii="Arial" w:hAnsi="Arial" w:cs="Arial"/>
                <w:sz w:val="24"/>
                <w:szCs w:val="24"/>
              </w:rPr>
            </w:pPr>
            <w:r>
              <w:rPr>
                <w:rFonts w:ascii="Arial" w:hAnsi="Arial" w:cs="Arial"/>
                <w:sz w:val="24"/>
                <w:szCs w:val="24"/>
              </w:rPr>
              <w:t>Significant</w:t>
            </w:r>
          </w:p>
        </w:tc>
      </w:tr>
      <w:tr>
        <w:tc>
          <w:tcPr>
            <w:tcW w:w="2863" w:type="dxa"/>
            <w:vMerge/>
            <w:vAlign w:val="center"/>
          </w:tcPr>
          <w:p>
            <w:pPr>
              <w:pStyle w:val="NoSpacing"/>
              <w:jc w:val="center"/>
              <w:rPr>
                <w:rFonts w:ascii="Arial" w:hAnsi="Arial" w:cs="Arial"/>
                <w:sz w:val="24"/>
                <w:szCs w:val="24"/>
              </w:rPr>
            </w:pPr>
          </w:p>
        </w:tc>
        <w:tc>
          <w:tcPr>
            <w:tcW w:w="2892" w:type="dxa"/>
          </w:tcPr>
          <w:p>
            <w:pPr>
              <w:pStyle w:val="NoSpacing"/>
              <w:rPr>
                <w:rFonts w:ascii="Arial" w:hAnsi="Arial" w:cs="Arial"/>
                <w:sz w:val="24"/>
                <w:szCs w:val="24"/>
              </w:rPr>
            </w:pPr>
            <w:r>
              <w:rPr>
                <w:rFonts w:ascii="Arial" w:hAnsi="Arial" w:cs="Arial"/>
                <w:sz w:val="24"/>
                <w:szCs w:val="24"/>
              </w:rPr>
              <w:t>Interactive Engagement</w:t>
            </w:r>
          </w:p>
        </w:tc>
        <w:tc>
          <w:tcPr>
            <w:tcW w:w="1272" w:type="dxa"/>
            <w:vAlign w:val="center"/>
          </w:tcPr>
          <w:p>
            <w:pPr>
              <w:jc w:val="center"/>
              <w:rPr>
                <w:rFonts w:ascii="Arial" w:hAnsi="Arial" w:cs="Arial"/>
                <w:sz w:val="24"/>
                <w:szCs w:val="24"/>
              </w:rPr>
            </w:pPr>
            <w:r>
              <w:rPr>
                <w:rFonts w:ascii="Arial" w:hAnsi="Arial" w:cs="Arial"/>
                <w:sz w:val="24"/>
                <w:szCs w:val="24"/>
              </w:rPr>
              <w:t>0.650</w:t>
            </w:r>
          </w:p>
        </w:tc>
        <w:tc>
          <w:tcPr>
            <w:tcW w:w="888" w:type="dxa"/>
            <w:vAlign w:val="center"/>
          </w:tcPr>
          <w:p>
            <w:pPr>
              <w:jc w:val="center"/>
              <w:rPr>
                <w:rFonts w:ascii="Arial" w:hAnsi="Arial" w:cs="Arial"/>
                <w:sz w:val="24"/>
                <w:szCs w:val="24"/>
              </w:rPr>
            </w:pPr>
            <w:r>
              <w:rPr>
                <w:rFonts w:ascii="Arial" w:hAnsi="Arial" w:cs="Arial"/>
                <w:sz w:val="24"/>
                <w:szCs w:val="24"/>
              </w:rPr>
              <w:t>.000</w:t>
            </w:r>
          </w:p>
        </w:tc>
        <w:tc>
          <w:tcPr>
            <w:tcW w:w="1435" w:type="dxa"/>
            <w:vAlign w:val="center"/>
          </w:tcPr>
          <w:p>
            <w:pPr>
              <w:jc w:val="center"/>
              <w:rPr>
                <w:rFonts w:ascii="Arial" w:hAnsi="Arial" w:cs="Arial"/>
                <w:sz w:val="24"/>
                <w:szCs w:val="24"/>
              </w:rPr>
            </w:pPr>
            <w:r>
              <w:rPr>
                <w:rFonts w:ascii="Arial" w:hAnsi="Arial" w:cs="Arial"/>
                <w:sz w:val="24"/>
                <w:szCs w:val="24"/>
              </w:rPr>
              <w:t>Significant</w:t>
            </w:r>
          </w:p>
        </w:tc>
      </w:tr>
      <w:tr>
        <w:tc>
          <w:tcPr>
            <w:tcW w:w="2863" w:type="dxa"/>
            <w:vMerge/>
            <w:vAlign w:val="center"/>
          </w:tcPr>
          <w:p>
            <w:pPr>
              <w:pStyle w:val="NoSpacing"/>
              <w:jc w:val="center"/>
              <w:rPr>
                <w:rFonts w:ascii="Arial" w:hAnsi="Arial" w:cs="Arial"/>
                <w:sz w:val="24"/>
                <w:szCs w:val="24"/>
              </w:rPr>
            </w:pPr>
          </w:p>
        </w:tc>
        <w:tc>
          <w:tcPr>
            <w:tcW w:w="2892" w:type="dxa"/>
          </w:tcPr>
          <w:p>
            <w:pPr>
              <w:pStyle w:val="NoSpacing"/>
              <w:rPr>
                <w:rFonts w:ascii="Arial" w:hAnsi="Arial" w:cs="Arial"/>
                <w:sz w:val="24"/>
                <w:szCs w:val="24"/>
              </w:rPr>
            </w:pPr>
            <w:r>
              <w:rPr>
                <w:rFonts w:ascii="Arial" w:hAnsi="Arial" w:cs="Arial"/>
                <w:sz w:val="24"/>
                <w:szCs w:val="24"/>
              </w:rPr>
              <w:t>Collaborative Engagement</w:t>
            </w:r>
          </w:p>
        </w:tc>
        <w:tc>
          <w:tcPr>
            <w:tcW w:w="1272" w:type="dxa"/>
            <w:vAlign w:val="center"/>
          </w:tcPr>
          <w:p>
            <w:pPr>
              <w:jc w:val="center"/>
              <w:rPr>
                <w:rFonts w:ascii="Arial" w:hAnsi="Arial" w:cs="Arial"/>
                <w:sz w:val="24"/>
                <w:szCs w:val="24"/>
              </w:rPr>
            </w:pPr>
            <w:r>
              <w:rPr>
                <w:rFonts w:ascii="Arial" w:hAnsi="Arial" w:cs="Arial"/>
                <w:sz w:val="24"/>
                <w:szCs w:val="24"/>
              </w:rPr>
              <w:t>0.287</w:t>
            </w:r>
          </w:p>
        </w:tc>
        <w:tc>
          <w:tcPr>
            <w:tcW w:w="888" w:type="dxa"/>
            <w:vAlign w:val="center"/>
          </w:tcPr>
          <w:p>
            <w:pPr>
              <w:jc w:val="center"/>
              <w:rPr>
                <w:rFonts w:ascii="Arial" w:hAnsi="Arial" w:cs="Arial"/>
                <w:sz w:val="24"/>
                <w:szCs w:val="24"/>
              </w:rPr>
            </w:pPr>
            <w:r>
              <w:rPr>
                <w:rFonts w:ascii="Arial" w:hAnsi="Arial" w:cs="Arial"/>
                <w:sz w:val="24"/>
                <w:szCs w:val="24"/>
              </w:rPr>
              <w:t>.125</w:t>
            </w:r>
          </w:p>
        </w:tc>
        <w:tc>
          <w:tcPr>
            <w:tcW w:w="1435" w:type="dxa"/>
            <w:vAlign w:val="center"/>
          </w:tcPr>
          <w:p>
            <w:pPr>
              <w:jc w:val="center"/>
              <w:rPr>
                <w:rFonts w:ascii="Arial" w:hAnsi="Arial" w:cs="Arial"/>
                <w:sz w:val="24"/>
                <w:szCs w:val="24"/>
              </w:rPr>
            </w:pPr>
            <w:r>
              <w:rPr>
                <w:rFonts w:ascii="Arial" w:hAnsi="Arial" w:cs="Arial"/>
                <w:sz w:val="24"/>
                <w:szCs w:val="24"/>
              </w:rPr>
              <w:t>Not Significant</w:t>
            </w:r>
          </w:p>
        </w:tc>
      </w:tr>
      <w:tr>
        <w:tc>
          <w:tcPr>
            <w:tcW w:w="2863" w:type="dxa"/>
            <w:vMerge/>
            <w:vAlign w:val="center"/>
          </w:tcPr>
          <w:p>
            <w:pPr>
              <w:pStyle w:val="NoSpacing"/>
              <w:jc w:val="center"/>
              <w:rPr>
                <w:rFonts w:ascii="Arial" w:hAnsi="Arial" w:cs="Arial"/>
                <w:sz w:val="24"/>
                <w:szCs w:val="24"/>
              </w:rPr>
            </w:pPr>
          </w:p>
        </w:tc>
        <w:tc>
          <w:tcPr>
            <w:tcW w:w="2892" w:type="dxa"/>
          </w:tcPr>
          <w:p>
            <w:pPr>
              <w:pStyle w:val="NoSpacing"/>
              <w:rPr>
                <w:rFonts w:ascii="Arial" w:hAnsi="Arial" w:cs="Arial"/>
                <w:sz w:val="24"/>
                <w:szCs w:val="24"/>
              </w:rPr>
            </w:pPr>
            <w:r>
              <w:rPr>
                <w:rFonts w:ascii="Arial" w:hAnsi="Arial" w:cs="Arial"/>
                <w:sz w:val="24"/>
                <w:szCs w:val="24"/>
              </w:rPr>
              <w:t>Creative Engagement</w:t>
            </w:r>
          </w:p>
        </w:tc>
        <w:tc>
          <w:tcPr>
            <w:tcW w:w="1272" w:type="dxa"/>
            <w:vAlign w:val="center"/>
          </w:tcPr>
          <w:p>
            <w:pPr>
              <w:jc w:val="center"/>
              <w:rPr>
                <w:rFonts w:ascii="Arial" w:hAnsi="Arial" w:cs="Arial"/>
                <w:sz w:val="24"/>
                <w:szCs w:val="24"/>
              </w:rPr>
            </w:pPr>
            <w:r>
              <w:rPr>
                <w:rFonts w:ascii="Arial" w:hAnsi="Arial" w:cs="Arial"/>
                <w:sz w:val="24"/>
                <w:szCs w:val="24"/>
              </w:rPr>
              <w:t>0.110</w:t>
            </w:r>
          </w:p>
        </w:tc>
        <w:tc>
          <w:tcPr>
            <w:tcW w:w="888" w:type="dxa"/>
            <w:vAlign w:val="center"/>
          </w:tcPr>
          <w:p>
            <w:pPr>
              <w:jc w:val="center"/>
              <w:rPr>
                <w:rFonts w:ascii="Arial" w:hAnsi="Arial" w:cs="Arial"/>
                <w:sz w:val="24"/>
                <w:szCs w:val="24"/>
              </w:rPr>
            </w:pPr>
            <w:r>
              <w:rPr>
                <w:rFonts w:ascii="Arial" w:hAnsi="Arial" w:cs="Arial"/>
                <w:sz w:val="24"/>
                <w:szCs w:val="24"/>
              </w:rPr>
              <w:t>.561</w:t>
            </w:r>
          </w:p>
        </w:tc>
        <w:tc>
          <w:tcPr>
            <w:tcW w:w="1435" w:type="dxa"/>
          </w:tcPr>
          <w:p>
            <w:pPr>
              <w:jc w:val="center"/>
              <w:rPr>
                <w:rFonts w:ascii="Arial" w:hAnsi="Arial" w:cs="Arial"/>
                <w:sz w:val="24"/>
                <w:szCs w:val="24"/>
              </w:rPr>
            </w:pPr>
            <w:r>
              <w:rPr>
                <w:rFonts w:ascii="Arial" w:hAnsi="Arial" w:cs="Arial"/>
                <w:sz w:val="24"/>
                <w:szCs w:val="24"/>
              </w:rPr>
              <w:t>Not Significant</w:t>
            </w:r>
          </w:p>
        </w:tc>
      </w:tr>
      <w:tr>
        <w:tc>
          <w:tcPr>
            <w:tcW w:w="2863" w:type="dxa"/>
            <w:vMerge/>
            <w:vAlign w:val="center"/>
          </w:tcPr>
          <w:p>
            <w:pPr>
              <w:pStyle w:val="NoSpacing"/>
              <w:jc w:val="center"/>
              <w:rPr>
                <w:rFonts w:ascii="Arial" w:hAnsi="Arial" w:cs="Arial"/>
                <w:sz w:val="24"/>
                <w:szCs w:val="24"/>
              </w:rPr>
            </w:pPr>
          </w:p>
        </w:tc>
        <w:tc>
          <w:tcPr>
            <w:tcW w:w="2892" w:type="dxa"/>
          </w:tcPr>
          <w:p>
            <w:pPr>
              <w:pStyle w:val="NoSpacing"/>
              <w:rPr>
                <w:rFonts w:ascii="Arial" w:hAnsi="Arial" w:cs="Arial"/>
                <w:sz w:val="24"/>
                <w:szCs w:val="24"/>
              </w:rPr>
            </w:pPr>
            <w:r>
              <w:rPr>
                <w:rFonts w:ascii="Arial" w:hAnsi="Arial" w:cs="Arial"/>
                <w:sz w:val="24"/>
                <w:szCs w:val="24"/>
              </w:rPr>
              <w:t>Reflective / Metacognitive Engagement</w:t>
            </w:r>
          </w:p>
        </w:tc>
        <w:tc>
          <w:tcPr>
            <w:tcW w:w="1272" w:type="dxa"/>
            <w:vAlign w:val="center"/>
          </w:tcPr>
          <w:p>
            <w:pPr>
              <w:jc w:val="center"/>
              <w:rPr>
                <w:rFonts w:ascii="Arial" w:hAnsi="Arial" w:cs="Arial"/>
                <w:sz w:val="24"/>
                <w:szCs w:val="24"/>
              </w:rPr>
            </w:pPr>
            <w:r>
              <w:rPr>
                <w:rFonts w:ascii="Arial" w:hAnsi="Arial" w:cs="Arial"/>
                <w:sz w:val="24"/>
                <w:szCs w:val="24"/>
              </w:rPr>
              <w:t>0.202</w:t>
            </w:r>
          </w:p>
        </w:tc>
        <w:tc>
          <w:tcPr>
            <w:tcW w:w="888" w:type="dxa"/>
            <w:vAlign w:val="center"/>
          </w:tcPr>
          <w:p>
            <w:pPr>
              <w:jc w:val="center"/>
              <w:rPr>
                <w:rFonts w:ascii="Arial" w:hAnsi="Arial" w:cs="Arial"/>
                <w:sz w:val="24"/>
                <w:szCs w:val="24"/>
              </w:rPr>
            </w:pPr>
            <w:r>
              <w:rPr>
                <w:rFonts w:ascii="Arial" w:hAnsi="Arial" w:cs="Arial"/>
                <w:sz w:val="24"/>
                <w:szCs w:val="24"/>
              </w:rPr>
              <w:t>.285</w:t>
            </w:r>
          </w:p>
        </w:tc>
        <w:tc>
          <w:tcPr>
            <w:tcW w:w="1435" w:type="dxa"/>
          </w:tcPr>
          <w:p>
            <w:pPr>
              <w:jc w:val="center"/>
              <w:rPr>
                <w:rFonts w:ascii="Arial" w:hAnsi="Arial" w:cs="Arial"/>
                <w:sz w:val="24"/>
                <w:szCs w:val="24"/>
              </w:rPr>
            </w:pPr>
            <w:r>
              <w:rPr>
                <w:rFonts w:ascii="Arial" w:hAnsi="Arial" w:cs="Arial"/>
                <w:sz w:val="24"/>
                <w:szCs w:val="24"/>
              </w:rPr>
              <w:t>Not Significant</w:t>
            </w:r>
          </w:p>
        </w:tc>
      </w:tr>
      <w:tr>
        <w:tc>
          <w:tcPr>
            <w:tcW w:w="2863" w:type="dxa"/>
            <w:vMerge w:val="restart"/>
            <w:vAlign w:val="center"/>
          </w:tcPr>
          <w:p>
            <w:pPr>
              <w:pStyle w:val="NoSpacing"/>
              <w:jc w:val="center"/>
              <w:rPr>
                <w:rFonts w:ascii="Arial" w:hAnsi="Arial" w:cs="Arial"/>
                <w:sz w:val="24"/>
                <w:szCs w:val="24"/>
              </w:rPr>
            </w:pPr>
            <w:r>
              <w:rPr>
                <w:rFonts w:ascii="Arial" w:hAnsi="Arial" w:cs="Arial"/>
                <w:sz w:val="24"/>
                <w:szCs w:val="24"/>
              </w:rPr>
              <w:t>Activation and linking of prior knowledge</w:t>
            </w:r>
          </w:p>
        </w:tc>
        <w:tc>
          <w:tcPr>
            <w:tcW w:w="2892" w:type="dxa"/>
          </w:tcPr>
          <w:p>
            <w:pPr>
              <w:pStyle w:val="NoSpacing"/>
              <w:rPr>
                <w:rFonts w:ascii="Arial" w:hAnsi="Arial" w:cs="Arial"/>
                <w:sz w:val="24"/>
                <w:szCs w:val="24"/>
              </w:rPr>
            </w:pPr>
            <w:r>
              <w:rPr>
                <w:rFonts w:ascii="Arial" w:hAnsi="Arial" w:cs="Arial"/>
                <w:sz w:val="24"/>
                <w:szCs w:val="24"/>
              </w:rPr>
              <w:t>Passive Engagement</w:t>
            </w:r>
          </w:p>
        </w:tc>
        <w:tc>
          <w:tcPr>
            <w:tcW w:w="1272" w:type="dxa"/>
            <w:vAlign w:val="center"/>
          </w:tcPr>
          <w:p>
            <w:pPr>
              <w:jc w:val="center"/>
              <w:rPr>
                <w:rFonts w:ascii="Arial" w:hAnsi="Arial" w:cs="Arial"/>
                <w:sz w:val="24"/>
                <w:szCs w:val="24"/>
              </w:rPr>
            </w:pPr>
            <w:r>
              <w:rPr>
                <w:rFonts w:ascii="Arial" w:hAnsi="Arial" w:cs="Arial"/>
                <w:sz w:val="24"/>
                <w:szCs w:val="24"/>
              </w:rPr>
              <w:t>-0.145</w:t>
            </w:r>
          </w:p>
        </w:tc>
        <w:tc>
          <w:tcPr>
            <w:tcW w:w="888" w:type="dxa"/>
            <w:vAlign w:val="center"/>
          </w:tcPr>
          <w:p>
            <w:pPr>
              <w:jc w:val="center"/>
              <w:rPr>
                <w:rFonts w:ascii="Arial" w:hAnsi="Arial" w:cs="Arial"/>
                <w:sz w:val="24"/>
                <w:szCs w:val="24"/>
              </w:rPr>
            </w:pPr>
            <w:r>
              <w:rPr>
                <w:rFonts w:ascii="Arial" w:hAnsi="Arial" w:cs="Arial"/>
                <w:sz w:val="24"/>
                <w:szCs w:val="24"/>
              </w:rPr>
              <w:t>.444</w:t>
            </w:r>
          </w:p>
        </w:tc>
        <w:tc>
          <w:tcPr>
            <w:tcW w:w="1435" w:type="dxa"/>
          </w:tcPr>
          <w:p>
            <w:pPr>
              <w:jc w:val="center"/>
              <w:rPr>
                <w:rFonts w:ascii="Arial" w:hAnsi="Arial" w:cs="Arial"/>
                <w:sz w:val="24"/>
                <w:szCs w:val="24"/>
              </w:rPr>
            </w:pPr>
            <w:r>
              <w:rPr>
                <w:rFonts w:ascii="Arial" w:hAnsi="Arial" w:cs="Arial"/>
                <w:sz w:val="24"/>
                <w:szCs w:val="24"/>
              </w:rPr>
              <w:t>Not Significant</w:t>
            </w:r>
          </w:p>
        </w:tc>
      </w:tr>
      <w:tr>
        <w:tc>
          <w:tcPr>
            <w:tcW w:w="2863" w:type="dxa"/>
            <w:vMerge/>
          </w:tcPr>
          <w:p>
            <w:pPr>
              <w:pStyle w:val="NoSpacing"/>
              <w:rPr>
                <w:rFonts w:ascii="Arial" w:hAnsi="Arial" w:cs="Arial"/>
                <w:sz w:val="24"/>
                <w:szCs w:val="24"/>
              </w:rPr>
            </w:pPr>
          </w:p>
        </w:tc>
        <w:tc>
          <w:tcPr>
            <w:tcW w:w="2892" w:type="dxa"/>
          </w:tcPr>
          <w:p>
            <w:pPr>
              <w:pStyle w:val="NoSpacing"/>
              <w:rPr>
                <w:rFonts w:ascii="Arial" w:hAnsi="Arial" w:cs="Arial"/>
                <w:sz w:val="24"/>
                <w:szCs w:val="24"/>
              </w:rPr>
            </w:pPr>
            <w:r>
              <w:rPr>
                <w:rFonts w:ascii="Arial" w:hAnsi="Arial" w:cs="Arial"/>
                <w:sz w:val="24"/>
                <w:szCs w:val="24"/>
              </w:rPr>
              <w:t>Interactive Engagement</w:t>
            </w:r>
          </w:p>
        </w:tc>
        <w:tc>
          <w:tcPr>
            <w:tcW w:w="1272" w:type="dxa"/>
            <w:vAlign w:val="center"/>
          </w:tcPr>
          <w:p>
            <w:pPr>
              <w:jc w:val="center"/>
              <w:rPr>
                <w:rFonts w:ascii="Arial" w:hAnsi="Arial" w:cs="Arial"/>
                <w:sz w:val="24"/>
                <w:szCs w:val="24"/>
              </w:rPr>
            </w:pPr>
            <w:r>
              <w:rPr>
                <w:rFonts w:ascii="Arial" w:hAnsi="Arial" w:cs="Arial"/>
                <w:sz w:val="24"/>
                <w:szCs w:val="24"/>
              </w:rPr>
              <w:t>-0.053</w:t>
            </w:r>
          </w:p>
        </w:tc>
        <w:tc>
          <w:tcPr>
            <w:tcW w:w="888" w:type="dxa"/>
            <w:vAlign w:val="center"/>
          </w:tcPr>
          <w:p>
            <w:pPr>
              <w:jc w:val="center"/>
              <w:rPr>
                <w:rFonts w:ascii="Arial" w:hAnsi="Arial" w:cs="Arial"/>
                <w:sz w:val="24"/>
                <w:szCs w:val="24"/>
              </w:rPr>
            </w:pPr>
            <w:r>
              <w:rPr>
                <w:rFonts w:ascii="Arial" w:hAnsi="Arial" w:cs="Arial"/>
                <w:sz w:val="24"/>
                <w:szCs w:val="24"/>
              </w:rPr>
              <w:t>.780</w:t>
            </w:r>
          </w:p>
        </w:tc>
        <w:tc>
          <w:tcPr>
            <w:tcW w:w="1435" w:type="dxa"/>
          </w:tcPr>
          <w:p>
            <w:pPr>
              <w:jc w:val="center"/>
              <w:rPr>
                <w:rFonts w:ascii="Arial" w:hAnsi="Arial" w:cs="Arial"/>
                <w:sz w:val="24"/>
                <w:szCs w:val="24"/>
              </w:rPr>
            </w:pPr>
            <w:r>
              <w:rPr>
                <w:rFonts w:ascii="Arial" w:hAnsi="Arial" w:cs="Arial"/>
                <w:sz w:val="24"/>
                <w:szCs w:val="24"/>
              </w:rPr>
              <w:t>Not Significant</w:t>
            </w:r>
          </w:p>
        </w:tc>
      </w:tr>
      <w:tr>
        <w:tc>
          <w:tcPr>
            <w:tcW w:w="2863" w:type="dxa"/>
            <w:vMerge/>
          </w:tcPr>
          <w:p>
            <w:pPr>
              <w:pStyle w:val="NoSpacing"/>
              <w:rPr>
                <w:rFonts w:ascii="Arial" w:hAnsi="Arial" w:cs="Arial"/>
                <w:sz w:val="24"/>
                <w:szCs w:val="24"/>
              </w:rPr>
            </w:pPr>
          </w:p>
        </w:tc>
        <w:tc>
          <w:tcPr>
            <w:tcW w:w="2892" w:type="dxa"/>
          </w:tcPr>
          <w:p>
            <w:pPr>
              <w:pStyle w:val="NoSpacing"/>
              <w:rPr>
                <w:rFonts w:ascii="Arial" w:hAnsi="Arial" w:cs="Arial"/>
                <w:sz w:val="24"/>
                <w:szCs w:val="24"/>
              </w:rPr>
            </w:pPr>
            <w:r>
              <w:rPr>
                <w:rFonts w:ascii="Arial" w:hAnsi="Arial" w:cs="Arial"/>
                <w:sz w:val="24"/>
                <w:szCs w:val="24"/>
              </w:rPr>
              <w:t>Collaborative Engagement</w:t>
            </w:r>
          </w:p>
        </w:tc>
        <w:tc>
          <w:tcPr>
            <w:tcW w:w="1272" w:type="dxa"/>
            <w:vAlign w:val="center"/>
          </w:tcPr>
          <w:p>
            <w:pPr>
              <w:jc w:val="center"/>
              <w:rPr>
                <w:rFonts w:ascii="Arial" w:hAnsi="Arial" w:cs="Arial"/>
                <w:sz w:val="24"/>
                <w:szCs w:val="24"/>
              </w:rPr>
            </w:pPr>
            <w:r>
              <w:rPr>
                <w:rFonts w:ascii="Arial" w:hAnsi="Arial" w:cs="Arial"/>
                <w:sz w:val="24"/>
                <w:szCs w:val="24"/>
              </w:rPr>
              <w:t>0.013</w:t>
            </w:r>
          </w:p>
        </w:tc>
        <w:tc>
          <w:tcPr>
            <w:tcW w:w="888" w:type="dxa"/>
            <w:vAlign w:val="center"/>
          </w:tcPr>
          <w:p>
            <w:pPr>
              <w:jc w:val="center"/>
              <w:rPr>
                <w:rFonts w:ascii="Arial" w:hAnsi="Arial" w:cs="Arial"/>
                <w:sz w:val="24"/>
                <w:szCs w:val="24"/>
              </w:rPr>
            </w:pPr>
            <w:r>
              <w:rPr>
                <w:rFonts w:ascii="Arial" w:hAnsi="Arial" w:cs="Arial"/>
                <w:sz w:val="24"/>
                <w:szCs w:val="24"/>
              </w:rPr>
              <w:t>.947</w:t>
            </w:r>
          </w:p>
        </w:tc>
        <w:tc>
          <w:tcPr>
            <w:tcW w:w="1435" w:type="dxa"/>
          </w:tcPr>
          <w:p>
            <w:pPr>
              <w:jc w:val="center"/>
              <w:rPr>
                <w:rFonts w:ascii="Arial" w:hAnsi="Arial" w:cs="Arial"/>
                <w:sz w:val="24"/>
                <w:szCs w:val="24"/>
              </w:rPr>
            </w:pPr>
            <w:r>
              <w:rPr>
                <w:rFonts w:ascii="Arial" w:hAnsi="Arial" w:cs="Arial"/>
                <w:sz w:val="24"/>
                <w:szCs w:val="24"/>
              </w:rPr>
              <w:t>Not Significant</w:t>
            </w:r>
          </w:p>
        </w:tc>
      </w:tr>
      <w:tr>
        <w:tc>
          <w:tcPr>
            <w:tcW w:w="2863" w:type="dxa"/>
            <w:vMerge/>
          </w:tcPr>
          <w:p>
            <w:pPr>
              <w:pStyle w:val="NoSpacing"/>
              <w:rPr>
                <w:rFonts w:ascii="Arial" w:hAnsi="Arial" w:cs="Arial"/>
                <w:sz w:val="24"/>
                <w:szCs w:val="24"/>
              </w:rPr>
            </w:pPr>
          </w:p>
        </w:tc>
        <w:tc>
          <w:tcPr>
            <w:tcW w:w="2892" w:type="dxa"/>
          </w:tcPr>
          <w:p>
            <w:pPr>
              <w:pStyle w:val="NoSpacing"/>
              <w:rPr>
                <w:rFonts w:ascii="Arial" w:hAnsi="Arial" w:cs="Arial"/>
                <w:sz w:val="24"/>
                <w:szCs w:val="24"/>
              </w:rPr>
            </w:pPr>
            <w:r>
              <w:rPr>
                <w:rFonts w:ascii="Arial" w:hAnsi="Arial" w:cs="Arial"/>
                <w:sz w:val="24"/>
                <w:szCs w:val="24"/>
              </w:rPr>
              <w:t>Creative Engagement</w:t>
            </w:r>
          </w:p>
        </w:tc>
        <w:tc>
          <w:tcPr>
            <w:tcW w:w="1272" w:type="dxa"/>
            <w:vAlign w:val="center"/>
          </w:tcPr>
          <w:p>
            <w:pPr>
              <w:jc w:val="center"/>
              <w:rPr>
                <w:rFonts w:ascii="Arial" w:hAnsi="Arial" w:cs="Arial"/>
                <w:sz w:val="24"/>
                <w:szCs w:val="24"/>
              </w:rPr>
            </w:pPr>
            <w:r>
              <w:rPr>
                <w:rFonts w:ascii="Arial" w:hAnsi="Arial" w:cs="Arial"/>
                <w:sz w:val="24"/>
                <w:szCs w:val="24"/>
              </w:rPr>
              <w:t>0.825</w:t>
            </w:r>
          </w:p>
        </w:tc>
        <w:tc>
          <w:tcPr>
            <w:tcW w:w="888" w:type="dxa"/>
            <w:vAlign w:val="center"/>
          </w:tcPr>
          <w:p>
            <w:pPr>
              <w:jc w:val="center"/>
              <w:rPr>
                <w:rFonts w:ascii="Arial" w:hAnsi="Arial" w:cs="Arial"/>
                <w:sz w:val="24"/>
                <w:szCs w:val="24"/>
              </w:rPr>
            </w:pPr>
            <w:r>
              <w:rPr>
                <w:rFonts w:ascii="Arial" w:hAnsi="Arial" w:cs="Arial"/>
                <w:sz w:val="24"/>
                <w:szCs w:val="24"/>
              </w:rPr>
              <w:t>.042</w:t>
            </w:r>
          </w:p>
        </w:tc>
        <w:tc>
          <w:tcPr>
            <w:tcW w:w="1435" w:type="dxa"/>
          </w:tcPr>
          <w:p>
            <w:pPr>
              <w:jc w:val="center"/>
              <w:rPr>
                <w:rFonts w:ascii="Arial" w:hAnsi="Arial" w:cs="Arial"/>
                <w:sz w:val="24"/>
                <w:szCs w:val="24"/>
              </w:rPr>
            </w:pPr>
            <w:r>
              <w:rPr>
                <w:rFonts w:ascii="Arial" w:hAnsi="Arial" w:cs="Arial"/>
                <w:sz w:val="24"/>
                <w:szCs w:val="24"/>
              </w:rPr>
              <w:t>Significant</w:t>
            </w:r>
          </w:p>
        </w:tc>
      </w:tr>
      <w:tr>
        <w:tc>
          <w:tcPr>
            <w:tcW w:w="2863" w:type="dxa"/>
            <w:vMerge/>
          </w:tcPr>
          <w:p>
            <w:pPr>
              <w:pStyle w:val="NoSpacing"/>
              <w:rPr>
                <w:rFonts w:ascii="Arial" w:hAnsi="Arial" w:cs="Arial"/>
                <w:sz w:val="24"/>
                <w:szCs w:val="24"/>
              </w:rPr>
            </w:pPr>
          </w:p>
        </w:tc>
        <w:tc>
          <w:tcPr>
            <w:tcW w:w="2892" w:type="dxa"/>
          </w:tcPr>
          <w:p>
            <w:pPr>
              <w:pStyle w:val="NoSpacing"/>
              <w:rPr>
                <w:rFonts w:ascii="Arial" w:hAnsi="Arial" w:cs="Arial"/>
                <w:sz w:val="24"/>
                <w:szCs w:val="24"/>
              </w:rPr>
            </w:pPr>
            <w:r>
              <w:rPr>
                <w:rFonts w:ascii="Arial" w:hAnsi="Arial" w:cs="Arial"/>
                <w:sz w:val="24"/>
                <w:szCs w:val="24"/>
              </w:rPr>
              <w:t>Reflective / Metacognitive Engagement</w:t>
            </w:r>
          </w:p>
        </w:tc>
        <w:tc>
          <w:tcPr>
            <w:tcW w:w="1272" w:type="dxa"/>
            <w:vAlign w:val="center"/>
          </w:tcPr>
          <w:p>
            <w:pPr>
              <w:jc w:val="center"/>
              <w:rPr>
                <w:rFonts w:ascii="Arial" w:hAnsi="Arial" w:cs="Arial"/>
                <w:sz w:val="24"/>
                <w:szCs w:val="24"/>
              </w:rPr>
            </w:pPr>
            <w:r>
              <w:rPr>
                <w:rFonts w:ascii="Arial" w:hAnsi="Arial" w:cs="Arial"/>
                <w:sz w:val="24"/>
                <w:szCs w:val="24"/>
              </w:rPr>
              <w:t>-0.069</w:t>
            </w:r>
          </w:p>
        </w:tc>
        <w:tc>
          <w:tcPr>
            <w:tcW w:w="888" w:type="dxa"/>
            <w:vAlign w:val="center"/>
          </w:tcPr>
          <w:p>
            <w:pPr>
              <w:jc w:val="center"/>
              <w:rPr>
                <w:rFonts w:ascii="Arial" w:hAnsi="Arial" w:cs="Arial"/>
                <w:sz w:val="24"/>
                <w:szCs w:val="24"/>
              </w:rPr>
            </w:pPr>
            <w:r>
              <w:rPr>
                <w:rFonts w:ascii="Arial" w:hAnsi="Arial" w:cs="Arial"/>
                <w:sz w:val="24"/>
                <w:szCs w:val="24"/>
              </w:rPr>
              <w:t>.716</w:t>
            </w:r>
          </w:p>
        </w:tc>
        <w:tc>
          <w:tcPr>
            <w:tcW w:w="1435" w:type="dxa"/>
          </w:tcPr>
          <w:p>
            <w:pPr>
              <w:jc w:val="center"/>
              <w:rPr>
                <w:rFonts w:ascii="Arial" w:hAnsi="Arial" w:cs="Arial"/>
                <w:sz w:val="24"/>
                <w:szCs w:val="24"/>
              </w:rPr>
            </w:pPr>
            <w:r>
              <w:rPr>
                <w:rFonts w:ascii="Arial" w:hAnsi="Arial" w:cs="Arial"/>
                <w:sz w:val="24"/>
                <w:szCs w:val="24"/>
              </w:rPr>
              <w:t>Not Significant</w:t>
            </w:r>
          </w:p>
        </w:tc>
      </w:tr>
      <w:tr>
        <w:tc>
          <w:tcPr>
            <w:tcW w:w="2863" w:type="dxa"/>
            <w:vMerge w:val="restart"/>
            <w:vAlign w:val="center"/>
          </w:tcPr>
          <w:p>
            <w:pPr>
              <w:pStyle w:val="NoSpacing"/>
              <w:jc w:val="center"/>
              <w:rPr>
                <w:rFonts w:ascii="Arial" w:hAnsi="Arial" w:cs="Arial"/>
                <w:sz w:val="24"/>
                <w:szCs w:val="24"/>
              </w:rPr>
            </w:pPr>
            <w:r>
              <w:rPr>
                <w:rFonts w:ascii="Arial" w:hAnsi="Arial" w:cs="Arial"/>
                <w:sz w:val="24"/>
                <w:szCs w:val="24"/>
              </w:rPr>
              <w:t>Inquiry and problem-solving support</w:t>
            </w:r>
          </w:p>
        </w:tc>
        <w:tc>
          <w:tcPr>
            <w:tcW w:w="2892" w:type="dxa"/>
          </w:tcPr>
          <w:p>
            <w:pPr>
              <w:pStyle w:val="NoSpacing"/>
              <w:rPr>
                <w:rFonts w:ascii="Arial" w:hAnsi="Arial" w:cs="Arial"/>
                <w:sz w:val="24"/>
                <w:szCs w:val="24"/>
              </w:rPr>
            </w:pPr>
            <w:r>
              <w:rPr>
                <w:rFonts w:ascii="Arial" w:hAnsi="Arial" w:cs="Arial"/>
                <w:sz w:val="24"/>
                <w:szCs w:val="24"/>
              </w:rPr>
              <w:t>Passive Engagement</w:t>
            </w:r>
          </w:p>
        </w:tc>
        <w:tc>
          <w:tcPr>
            <w:tcW w:w="1272" w:type="dxa"/>
            <w:vAlign w:val="center"/>
          </w:tcPr>
          <w:p>
            <w:pPr>
              <w:jc w:val="center"/>
              <w:rPr>
                <w:rFonts w:ascii="Arial" w:hAnsi="Arial" w:cs="Arial"/>
                <w:sz w:val="24"/>
                <w:szCs w:val="24"/>
              </w:rPr>
            </w:pPr>
            <w:r>
              <w:rPr>
                <w:rFonts w:ascii="Arial" w:hAnsi="Arial" w:cs="Arial"/>
                <w:sz w:val="24"/>
                <w:szCs w:val="24"/>
              </w:rPr>
              <w:t>-0.034</w:t>
            </w:r>
          </w:p>
        </w:tc>
        <w:tc>
          <w:tcPr>
            <w:tcW w:w="888" w:type="dxa"/>
            <w:vAlign w:val="center"/>
          </w:tcPr>
          <w:p>
            <w:pPr>
              <w:jc w:val="center"/>
              <w:rPr>
                <w:rFonts w:ascii="Arial" w:hAnsi="Arial" w:cs="Arial"/>
                <w:sz w:val="24"/>
                <w:szCs w:val="24"/>
              </w:rPr>
            </w:pPr>
            <w:r>
              <w:rPr>
                <w:rFonts w:ascii="Arial" w:hAnsi="Arial" w:cs="Arial"/>
                <w:sz w:val="24"/>
                <w:szCs w:val="24"/>
              </w:rPr>
              <w:t>.858</w:t>
            </w:r>
          </w:p>
        </w:tc>
        <w:tc>
          <w:tcPr>
            <w:tcW w:w="1435" w:type="dxa"/>
          </w:tcPr>
          <w:p>
            <w:pPr>
              <w:jc w:val="center"/>
              <w:rPr>
                <w:rFonts w:ascii="Arial" w:hAnsi="Arial" w:cs="Arial"/>
                <w:sz w:val="24"/>
                <w:szCs w:val="24"/>
              </w:rPr>
            </w:pPr>
            <w:r>
              <w:rPr>
                <w:rFonts w:ascii="Arial" w:hAnsi="Arial" w:cs="Arial"/>
                <w:sz w:val="24"/>
                <w:szCs w:val="24"/>
              </w:rPr>
              <w:t>Not Significant</w:t>
            </w:r>
          </w:p>
        </w:tc>
      </w:tr>
      <w:tr>
        <w:tc>
          <w:tcPr>
            <w:tcW w:w="2863" w:type="dxa"/>
            <w:vMerge/>
          </w:tcPr>
          <w:p>
            <w:pPr>
              <w:pStyle w:val="NoSpacing"/>
              <w:rPr>
                <w:rFonts w:ascii="Arial" w:hAnsi="Arial" w:cs="Arial"/>
                <w:sz w:val="24"/>
                <w:szCs w:val="24"/>
              </w:rPr>
            </w:pPr>
          </w:p>
        </w:tc>
        <w:tc>
          <w:tcPr>
            <w:tcW w:w="2892" w:type="dxa"/>
          </w:tcPr>
          <w:p>
            <w:pPr>
              <w:pStyle w:val="NoSpacing"/>
              <w:rPr>
                <w:rFonts w:ascii="Arial" w:hAnsi="Arial" w:cs="Arial"/>
                <w:sz w:val="24"/>
                <w:szCs w:val="24"/>
              </w:rPr>
            </w:pPr>
            <w:r>
              <w:rPr>
                <w:rFonts w:ascii="Arial" w:hAnsi="Arial" w:cs="Arial"/>
                <w:sz w:val="24"/>
                <w:szCs w:val="24"/>
              </w:rPr>
              <w:t>Interactive Engagement</w:t>
            </w:r>
          </w:p>
        </w:tc>
        <w:tc>
          <w:tcPr>
            <w:tcW w:w="1272" w:type="dxa"/>
            <w:vAlign w:val="center"/>
          </w:tcPr>
          <w:p>
            <w:pPr>
              <w:jc w:val="center"/>
              <w:rPr>
                <w:rFonts w:ascii="Arial" w:hAnsi="Arial" w:cs="Arial"/>
                <w:sz w:val="24"/>
                <w:szCs w:val="24"/>
              </w:rPr>
            </w:pPr>
            <w:r>
              <w:rPr>
                <w:rFonts w:ascii="Arial" w:hAnsi="Arial" w:cs="Arial"/>
                <w:sz w:val="24"/>
                <w:szCs w:val="24"/>
              </w:rPr>
              <w:t>0.693</w:t>
            </w:r>
          </w:p>
        </w:tc>
        <w:tc>
          <w:tcPr>
            <w:tcW w:w="888" w:type="dxa"/>
            <w:vAlign w:val="center"/>
          </w:tcPr>
          <w:p>
            <w:pPr>
              <w:jc w:val="center"/>
              <w:rPr>
                <w:rFonts w:ascii="Arial" w:hAnsi="Arial" w:cs="Arial"/>
                <w:sz w:val="24"/>
                <w:szCs w:val="24"/>
              </w:rPr>
            </w:pPr>
            <w:r>
              <w:rPr>
                <w:rFonts w:ascii="Arial" w:hAnsi="Arial" w:cs="Arial"/>
                <w:sz w:val="24"/>
                <w:szCs w:val="24"/>
              </w:rPr>
              <w:t>.002</w:t>
            </w:r>
          </w:p>
        </w:tc>
        <w:tc>
          <w:tcPr>
            <w:tcW w:w="1435" w:type="dxa"/>
          </w:tcPr>
          <w:p>
            <w:pPr>
              <w:jc w:val="center"/>
              <w:rPr>
                <w:rFonts w:ascii="Arial" w:hAnsi="Arial" w:cs="Arial"/>
                <w:sz w:val="24"/>
                <w:szCs w:val="24"/>
              </w:rPr>
            </w:pPr>
            <w:r>
              <w:rPr>
                <w:rFonts w:ascii="Arial" w:hAnsi="Arial" w:cs="Arial"/>
                <w:sz w:val="24"/>
                <w:szCs w:val="24"/>
              </w:rPr>
              <w:t>Significant</w:t>
            </w:r>
          </w:p>
        </w:tc>
      </w:tr>
      <w:tr>
        <w:tc>
          <w:tcPr>
            <w:tcW w:w="2863" w:type="dxa"/>
            <w:vMerge/>
          </w:tcPr>
          <w:p>
            <w:pPr>
              <w:pStyle w:val="NoSpacing"/>
              <w:rPr>
                <w:rFonts w:ascii="Arial" w:hAnsi="Arial" w:cs="Arial"/>
                <w:sz w:val="24"/>
                <w:szCs w:val="24"/>
              </w:rPr>
            </w:pPr>
          </w:p>
        </w:tc>
        <w:tc>
          <w:tcPr>
            <w:tcW w:w="2892" w:type="dxa"/>
          </w:tcPr>
          <w:p>
            <w:pPr>
              <w:pStyle w:val="NoSpacing"/>
              <w:rPr>
                <w:rFonts w:ascii="Arial" w:hAnsi="Arial" w:cs="Arial"/>
                <w:sz w:val="24"/>
                <w:szCs w:val="24"/>
              </w:rPr>
            </w:pPr>
            <w:r>
              <w:rPr>
                <w:rFonts w:ascii="Arial" w:hAnsi="Arial" w:cs="Arial"/>
                <w:sz w:val="24"/>
                <w:szCs w:val="24"/>
              </w:rPr>
              <w:t>Collaborative Engagement</w:t>
            </w:r>
          </w:p>
        </w:tc>
        <w:tc>
          <w:tcPr>
            <w:tcW w:w="1272" w:type="dxa"/>
            <w:vAlign w:val="center"/>
          </w:tcPr>
          <w:p>
            <w:pPr>
              <w:jc w:val="center"/>
              <w:rPr>
                <w:rFonts w:ascii="Arial" w:hAnsi="Arial" w:cs="Arial"/>
                <w:sz w:val="24"/>
                <w:szCs w:val="24"/>
              </w:rPr>
            </w:pPr>
            <w:r>
              <w:rPr>
                <w:rFonts w:ascii="Arial" w:hAnsi="Arial" w:cs="Arial"/>
                <w:sz w:val="24"/>
                <w:szCs w:val="24"/>
              </w:rPr>
              <w:t>-0.307</w:t>
            </w:r>
          </w:p>
        </w:tc>
        <w:tc>
          <w:tcPr>
            <w:tcW w:w="888" w:type="dxa"/>
            <w:vAlign w:val="center"/>
          </w:tcPr>
          <w:p>
            <w:pPr>
              <w:jc w:val="center"/>
              <w:rPr>
                <w:rFonts w:ascii="Arial" w:hAnsi="Arial" w:cs="Arial"/>
                <w:sz w:val="24"/>
                <w:szCs w:val="24"/>
              </w:rPr>
            </w:pPr>
            <w:r>
              <w:rPr>
                <w:rFonts w:ascii="Arial" w:hAnsi="Arial" w:cs="Arial"/>
                <w:sz w:val="24"/>
                <w:szCs w:val="24"/>
              </w:rPr>
              <w:t>.099</w:t>
            </w:r>
          </w:p>
        </w:tc>
        <w:tc>
          <w:tcPr>
            <w:tcW w:w="1435" w:type="dxa"/>
          </w:tcPr>
          <w:p>
            <w:pPr>
              <w:jc w:val="center"/>
              <w:rPr>
                <w:rFonts w:ascii="Arial" w:hAnsi="Arial" w:cs="Arial"/>
                <w:sz w:val="24"/>
                <w:szCs w:val="24"/>
              </w:rPr>
            </w:pPr>
            <w:r>
              <w:rPr>
                <w:rFonts w:ascii="Arial" w:hAnsi="Arial" w:cs="Arial"/>
                <w:sz w:val="24"/>
                <w:szCs w:val="24"/>
              </w:rPr>
              <w:t>Not Significant</w:t>
            </w:r>
          </w:p>
        </w:tc>
      </w:tr>
      <w:tr>
        <w:tc>
          <w:tcPr>
            <w:tcW w:w="2863" w:type="dxa"/>
            <w:vMerge/>
          </w:tcPr>
          <w:p>
            <w:pPr>
              <w:pStyle w:val="NoSpacing"/>
              <w:rPr>
                <w:rFonts w:ascii="Arial" w:hAnsi="Arial" w:cs="Arial"/>
                <w:sz w:val="24"/>
                <w:szCs w:val="24"/>
              </w:rPr>
            </w:pPr>
          </w:p>
        </w:tc>
        <w:tc>
          <w:tcPr>
            <w:tcW w:w="2892" w:type="dxa"/>
          </w:tcPr>
          <w:p>
            <w:pPr>
              <w:pStyle w:val="NoSpacing"/>
              <w:rPr>
                <w:rFonts w:ascii="Arial" w:hAnsi="Arial" w:cs="Arial"/>
                <w:sz w:val="24"/>
                <w:szCs w:val="24"/>
              </w:rPr>
            </w:pPr>
            <w:r>
              <w:rPr>
                <w:rFonts w:ascii="Arial" w:hAnsi="Arial" w:cs="Arial"/>
                <w:sz w:val="24"/>
                <w:szCs w:val="24"/>
              </w:rPr>
              <w:t>Creative Engagement</w:t>
            </w:r>
          </w:p>
        </w:tc>
        <w:tc>
          <w:tcPr>
            <w:tcW w:w="1272" w:type="dxa"/>
            <w:vAlign w:val="center"/>
          </w:tcPr>
          <w:p>
            <w:pPr>
              <w:jc w:val="center"/>
              <w:rPr>
                <w:rFonts w:ascii="Arial" w:hAnsi="Arial" w:cs="Arial"/>
                <w:sz w:val="24"/>
                <w:szCs w:val="24"/>
              </w:rPr>
            </w:pPr>
            <w:r>
              <w:rPr>
                <w:rFonts w:ascii="Arial" w:hAnsi="Arial" w:cs="Arial"/>
                <w:sz w:val="24"/>
                <w:szCs w:val="24"/>
              </w:rPr>
              <w:t>0.673</w:t>
            </w:r>
          </w:p>
        </w:tc>
        <w:tc>
          <w:tcPr>
            <w:tcW w:w="888" w:type="dxa"/>
            <w:vAlign w:val="center"/>
          </w:tcPr>
          <w:p>
            <w:pPr>
              <w:jc w:val="center"/>
              <w:rPr>
                <w:rFonts w:ascii="Arial" w:hAnsi="Arial" w:cs="Arial"/>
                <w:sz w:val="24"/>
                <w:szCs w:val="24"/>
              </w:rPr>
            </w:pPr>
            <w:r>
              <w:rPr>
                <w:rFonts w:ascii="Arial" w:hAnsi="Arial" w:cs="Arial"/>
                <w:sz w:val="24"/>
                <w:szCs w:val="24"/>
              </w:rPr>
              <w:t>.000</w:t>
            </w:r>
          </w:p>
        </w:tc>
        <w:tc>
          <w:tcPr>
            <w:tcW w:w="1435" w:type="dxa"/>
            <w:vAlign w:val="center"/>
          </w:tcPr>
          <w:p>
            <w:pPr>
              <w:jc w:val="center"/>
              <w:rPr>
                <w:rFonts w:ascii="Arial" w:hAnsi="Arial" w:cs="Arial"/>
                <w:sz w:val="24"/>
                <w:szCs w:val="24"/>
              </w:rPr>
            </w:pPr>
            <w:r>
              <w:rPr>
                <w:rFonts w:ascii="Arial" w:hAnsi="Arial" w:cs="Arial"/>
                <w:sz w:val="24"/>
                <w:szCs w:val="24"/>
              </w:rPr>
              <w:t>Significant</w:t>
            </w:r>
          </w:p>
        </w:tc>
      </w:tr>
      <w:tr>
        <w:tc>
          <w:tcPr>
            <w:tcW w:w="2863" w:type="dxa"/>
            <w:vMerge/>
          </w:tcPr>
          <w:p>
            <w:pPr>
              <w:pStyle w:val="NoSpacing"/>
              <w:rPr>
                <w:rFonts w:ascii="Arial" w:hAnsi="Arial" w:cs="Arial"/>
                <w:sz w:val="24"/>
                <w:szCs w:val="24"/>
              </w:rPr>
            </w:pPr>
          </w:p>
        </w:tc>
        <w:tc>
          <w:tcPr>
            <w:tcW w:w="2892" w:type="dxa"/>
          </w:tcPr>
          <w:p>
            <w:pPr>
              <w:pStyle w:val="NoSpacing"/>
              <w:rPr>
                <w:rFonts w:ascii="Arial" w:hAnsi="Arial" w:cs="Arial"/>
                <w:sz w:val="24"/>
                <w:szCs w:val="24"/>
              </w:rPr>
            </w:pPr>
            <w:r>
              <w:rPr>
                <w:rFonts w:ascii="Arial" w:hAnsi="Arial" w:cs="Arial"/>
                <w:sz w:val="24"/>
                <w:szCs w:val="24"/>
              </w:rPr>
              <w:t>Reflective / Metacognitive Engagement</w:t>
            </w:r>
          </w:p>
        </w:tc>
        <w:tc>
          <w:tcPr>
            <w:tcW w:w="1272" w:type="dxa"/>
            <w:vAlign w:val="center"/>
          </w:tcPr>
          <w:p>
            <w:pPr>
              <w:jc w:val="center"/>
              <w:rPr>
                <w:rFonts w:ascii="Arial" w:hAnsi="Arial" w:cs="Arial"/>
                <w:sz w:val="24"/>
                <w:szCs w:val="24"/>
              </w:rPr>
            </w:pPr>
            <w:r>
              <w:rPr>
                <w:rFonts w:ascii="Arial" w:hAnsi="Arial" w:cs="Arial"/>
                <w:sz w:val="24"/>
                <w:szCs w:val="24"/>
              </w:rPr>
              <w:t>0.069</w:t>
            </w:r>
          </w:p>
        </w:tc>
        <w:tc>
          <w:tcPr>
            <w:tcW w:w="888" w:type="dxa"/>
            <w:vAlign w:val="center"/>
          </w:tcPr>
          <w:p>
            <w:pPr>
              <w:jc w:val="center"/>
              <w:rPr>
                <w:rFonts w:ascii="Arial" w:hAnsi="Arial" w:cs="Arial"/>
                <w:sz w:val="24"/>
                <w:szCs w:val="24"/>
              </w:rPr>
            </w:pPr>
            <w:r>
              <w:rPr>
                <w:rFonts w:ascii="Arial" w:hAnsi="Arial" w:cs="Arial"/>
                <w:sz w:val="24"/>
                <w:szCs w:val="24"/>
              </w:rPr>
              <w:t>.717</w:t>
            </w:r>
          </w:p>
        </w:tc>
        <w:tc>
          <w:tcPr>
            <w:tcW w:w="1435" w:type="dxa"/>
          </w:tcPr>
          <w:p>
            <w:pPr>
              <w:jc w:val="center"/>
              <w:rPr>
                <w:rFonts w:ascii="Arial" w:hAnsi="Arial" w:cs="Arial"/>
                <w:sz w:val="24"/>
                <w:szCs w:val="24"/>
              </w:rPr>
            </w:pPr>
            <w:r>
              <w:rPr>
                <w:rFonts w:ascii="Arial" w:hAnsi="Arial" w:cs="Arial"/>
                <w:sz w:val="24"/>
                <w:szCs w:val="24"/>
              </w:rPr>
              <w:t>Not Significant</w:t>
            </w:r>
          </w:p>
        </w:tc>
      </w:tr>
      <w:tr>
        <w:tc>
          <w:tcPr>
            <w:tcW w:w="2863" w:type="dxa"/>
            <w:vMerge w:val="restart"/>
            <w:vAlign w:val="center"/>
          </w:tcPr>
          <w:p>
            <w:pPr>
              <w:pStyle w:val="NoSpacing"/>
              <w:jc w:val="center"/>
              <w:rPr>
                <w:rFonts w:ascii="Arial" w:hAnsi="Arial" w:cs="Arial"/>
                <w:sz w:val="24"/>
                <w:szCs w:val="24"/>
              </w:rPr>
            </w:pPr>
            <w:r>
              <w:rPr>
                <w:rFonts w:ascii="Arial" w:hAnsi="Arial" w:cs="Arial"/>
                <w:sz w:val="24"/>
                <w:szCs w:val="24"/>
              </w:rPr>
              <w:t>Technology-mediated dialogue and collaboration</w:t>
            </w:r>
          </w:p>
        </w:tc>
        <w:tc>
          <w:tcPr>
            <w:tcW w:w="2892" w:type="dxa"/>
          </w:tcPr>
          <w:p>
            <w:pPr>
              <w:pStyle w:val="NoSpacing"/>
              <w:rPr>
                <w:rFonts w:ascii="Arial" w:hAnsi="Arial" w:cs="Arial"/>
                <w:sz w:val="24"/>
                <w:szCs w:val="24"/>
              </w:rPr>
            </w:pPr>
            <w:r>
              <w:rPr>
                <w:rFonts w:ascii="Arial" w:hAnsi="Arial" w:cs="Arial"/>
                <w:sz w:val="24"/>
                <w:szCs w:val="24"/>
              </w:rPr>
              <w:t>Passive Engagement</w:t>
            </w:r>
          </w:p>
        </w:tc>
        <w:tc>
          <w:tcPr>
            <w:tcW w:w="1272" w:type="dxa"/>
            <w:vAlign w:val="center"/>
          </w:tcPr>
          <w:p>
            <w:pPr>
              <w:jc w:val="center"/>
              <w:rPr>
                <w:rFonts w:ascii="Arial" w:hAnsi="Arial" w:cs="Arial"/>
                <w:sz w:val="24"/>
                <w:szCs w:val="24"/>
              </w:rPr>
            </w:pPr>
            <w:r>
              <w:rPr>
                <w:rFonts w:ascii="Arial" w:hAnsi="Arial" w:cs="Arial"/>
                <w:sz w:val="24"/>
                <w:szCs w:val="24"/>
              </w:rPr>
              <w:t>0.050</w:t>
            </w:r>
          </w:p>
        </w:tc>
        <w:tc>
          <w:tcPr>
            <w:tcW w:w="888" w:type="dxa"/>
            <w:vAlign w:val="center"/>
          </w:tcPr>
          <w:p>
            <w:pPr>
              <w:jc w:val="center"/>
              <w:rPr>
                <w:rFonts w:ascii="Arial" w:hAnsi="Arial" w:cs="Arial"/>
                <w:sz w:val="24"/>
                <w:szCs w:val="24"/>
              </w:rPr>
            </w:pPr>
            <w:r>
              <w:rPr>
                <w:rFonts w:ascii="Arial" w:hAnsi="Arial" w:cs="Arial"/>
                <w:sz w:val="24"/>
                <w:szCs w:val="24"/>
              </w:rPr>
              <w:t>.792</w:t>
            </w:r>
          </w:p>
        </w:tc>
        <w:tc>
          <w:tcPr>
            <w:tcW w:w="1435" w:type="dxa"/>
          </w:tcPr>
          <w:p>
            <w:pPr>
              <w:jc w:val="center"/>
              <w:rPr>
                <w:rFonts w:ascii="Arial" w:hAnsi="Arial" w:cs="Arial"/>
                <w:sz w:val="24"/>
                <w:szCs w:val="24"/>
              </w:rPr>
            </w:pPr>
            <w:r>
              <w:rPr>
                <w:rFonts w:ascii="Arial" w:hAnsi="Arial" w:cs="Arial"/>
                <w:sz w:val="24"/>
                <w:szCs w:val="24"/>
              </w:rPr>
              <w:t>Not Significant</w:t>
            </w:r>
          </w:p>
        </w:tc>
      </w:tr>
      <w:tr>
        <w:tc>
          <w:tcPr>
            <w:tcW w:w="2863" w:type="dxa"/>
            <w:vMerge/>
          </w:tcPr>
          <w:p>
            <w:pPr>
              <w:pStyle w:val="NoSpacing"/>
              <w:rPr>
                <w:rFonts w:ascii="Arial" w:hAnsi="Arial" w:cs="Arial"/>
                <w:sz w:val="24"/>
                <w:szCs w:val="24"/>
              </w:rPr>
            </w:pPr>
          </w:p>
        </w:tc>
        <w:tc>
          <w:tcPr>
            <w:tcW w:w="2892" w:type="dxa"/>
          </w:tcPr>
          <w:p>
            <w:pPr>
              <w:pStyle w:val="NoSpacing"/>
              <w:rPr>
                <w:rFonts w:ascii="Arial" w:hAnsi="Arial" w:cs="Arial"/>
                <w:sz w:val="24"/>
                <w:szCs w:val="24"/>
              </w:rPr>
            </w:pPr>
            <w:r>
              <w:rPr>
                <w:rFonts w:ascii="Arial" w:hAnsi="Arial" w:cs="Arial"/>
                <w:sz w:val="24"/>
                <w:szCs w:val="24"/>
              </w:rPr>
              <w:t>Interactive Engagement</w:t>
            </w:r>
          </w:p>
        </w:tc>
        <w:tc>
          <w:tcPr>
            <w:tcW w:w="1272" w:type="dxa"/>
            <w:vAlign w:val="center"/>
          </w:tcPr>
          <w:p>
            <w:pPr>
              <w:jc w:val="center"/>
              <w:rPr>
                <w:rFonts w:ascii="Arial" w:hAnsi="Arial" w:cs="Arial"/>
                <w:sz w:val="24"/>
                <w:szCs w:val="24"/>
              </w:rPr>
            </w:pPr>
            <w:r>
              <w:rPr>
                <w:rFonts w:ascii="Arial" w:hAnsi="Arial" w:cs="Arial"/>
                <w:sz w:val="24"/>
                <w:szCs w:val="24"/>
              </w:rPr>
              <w:t>-0.122</w:t>
            </w:r>
          </w:p>
        </w:tc>
        <w:tc>
          <w:tcPr>
            <w:tcW w:w="888" w:type="dxa"/>
            <w:vAlign w:val="center"/>
          </w:tcPr>
          <w:p>
            <w:pPr>
              <w:jc w:val="center"/>
              <w:rPr>
                <w:rFonts w:ascii="Arial" w:hAnsi="Arial" w:cs="Arial"/>
                <w:sz w:val="24"/>
                <w:szCs w:val="24"/>
              </w:rPr>
            </w:pPr>
            <w:r>
              <w:rPr>
                <w:rFonts w:ascii="Arial" w:hAnsi="Arial" w:cs="Arial"/>
                <w:sz w:val="24"/>
                <w:szCs w:val="24"/>
              </w:rPr>
              <w:t>.519</w:t>
            </w:r>
          </w:p>
        </w:tc>
        <w:tc>
          <w:tcPr>
            <w:tcW w:w="1435" w:type="dxa"/>
          </w:tcPr>
          <w:p>
            <w:pPr>
              <w:jc w:val="center"/>
              <w:rPr>
                <w:rFonts w:ascii="Arial" w:hAnsi="Arial" w:cs="Arial"/>
                <w:sz w:val="24"/>
                <w:szCs w:val="24"/>
              </w:rPr>
            </w:pPr>
            <w:r>
              <w:rPr>
                <w:rFonts w:ascii="Arial" w:hAnsi="Arial" w:cs="Arial"/>
                <w:sz w:val="24"/>
                <w:szCs w:val="24"/>
              </w:rPr>
              <w:t>Not Significant</w:t>
            </w:r>
          </w:p>
        </w:tc>
      </w:tr>
      <w:tr>
        <w:tc>
          <w:tcPr>
            <w:tcW w:w="2863" w:type="dxa"/>
            <w:vMerge/>
          </w:tcPr>
          <w:p>
            <w:pPr>
              <w:pStyle w:val="NoSpacing"/>
              <w:rPr>
                <w:rFonts w:ascii="Arial" w:hAnsi="Arial" w:cs="Arial"/>
                <w:sz w:val="24"/>
                <w:szCs w:val="24"/>
              </w:rPr>
            </w:pPr>
          </w:p>
        </w:tc>
        <w:tc>
          <w:tcPr>
            <w:tcW w:w="2892" w:type="dxa"/>
          </w:tcPr>
          <w:p>
            <w:pPr>
              <w:pStyle w:val="NoSpacing"/>
              <w:rPr>
                <w:rFonts w:ascii="Arial" w:hAnsi="Arial" w:cs="Arial"/>
                <w:sz w:val="24"/>
                <w:szCs w:val="24"/>
              </w:rPr>
            </w:pPr>
            <w:r>
              <w:rPr>
                <w:rFonts w:ascii="Arial" w:hAnsi="Arial" w:cs="Arial"/>
                <w:sz w:val="24"/>
                <w:szCs w:val="24"/>
              </w:rPr>
              <w:t>Collaborative Engagement</w:t>
            </w:r>
          </w:p>
        </w:tc>
        <w:tc>
          <w:tcPr>
            <w:tcW w:w="1272" w:type="dxa"/>
            <w:vAlign w:val="center"/>
          </w:tcPr>
          <w:p>
            <w:pPr>
              <w:jc w:val="center"/>
              <w:rPr>
                <w:rFonts w:ascii="Arial" w:hAnsi="Arial" w:cs="Arial"/>
                <w:sz w:val="24"/>
                <w:szCs w:val="24"/>
              </w:rPr>
            </w:pPr>
            <w:r>
              <w:rPr>
                <w:rFonts w:ascii="Arial" w:hAnsi="Arial" w:cs="Arial"/>
                <w:sz w:val="24"/>
                <w:szCs w:val="24"/>
              </w:rPr>
              <w:t>0.412</w:t>
            </w:r>
          </w:p>
        </w:tc>
        <w:tc>
          <w:tcPr>
            <w:tcW w:w="888" w:type="dxa"/>
            <w:vAlign w:val="center"/>
          </w:tcPr>
          <w:p>
            <w:pPr>
              <w:jc w:val="center"/>
              <w:rPr>
                <w:rFonts w:ascii="Arial" w:hAnsi="Arial" w:cs="Arial"/>
                <w:sz w:val="24"/>
                <w:szCs w:val="24"/>
              </w:rPr>
            </w:pPr>
            <w:r>
              <w:rPr>
                <w:rFonts w:ascii="Arial" w:hAnsi="Arial" w:cs="Arial"/>
                <w:sz w:val="24"/>
                <w:szCs w:val="24"/>
              </w:rPr>
              <w:t>.035</w:t>
            </w:r>
          </w:p>
        </w:tc>
        <w:tc>
          <w:tcPr>
            <w:tcW w:w="1435" w:type="dxa"/>
          </w:tcPr>
          <w:p>
            <w:pPr>
              <w:jc w:val="center"/>
              <w:rPr>
                <w:rFonts w:ascii="Arial" w:hAnsi="Arial" w:cs="Arial"/>
                <w:sz w:val="24"/>
                <w:szCs w:val="24"/>
              </w:rPr>
            </w:pPr>
            <w:r>
              <w:rPr>
                <w:rFonts w:ascii="Arial" w:hAnsi="Arial" w:cs="Arial"/>
                <w:sz w:val="24"/>
                <w:szCs w:val="24"/>
              </w:rPr>
              <w:t>Significant</w:t>
            </w:r>
          </w:p>
        </w:tc>
      </w:tr>
      <w:tr>
        <w:tc>
          <w:tcPr>
            <w:tcW w:w="2863" w:type="dxa"/>
            <w:vMerge/>
          </w:tcPr>
          <w:p>
            <w:pPr>
              <w:pStyle w:val="NoSpacing"/>
              <w:rPr>
                <w:rFonts w:ascii="Arial" w:hAnsi="Arial" w:cs="Arial"/>
                <w:sz w:val="24"/>
                <w:szCs w:val="24"/>
              </w:rPr>
            </w:pPr>
          </w:p>
        </w:tc>
        <w:tc>
          <w:tcPr>
            <w:tcW w:w="2892" w:type="dxa"/>
          </w:tcPr>
          <w:p>
            <w:pPr>
              <w:pStyle w:val="NoSpacing"/>
              <w:rPr>
                <w:rFonts w:ascii="Arial" w:hAnsi="Arial" w:cs="Arial"/>
                <w:sz w:val="24"/>
                <w:szCs w:val="24"/>
              </w:rPr>
            </w:pPr>
            <w:r>
              <w:rPr>
                <w:rFonts w:ascii="Arial" w:hAnsi="Arial" w:cs="Arial"/>
                <w:sz w:val="24"/>
                <w:szCs w:val="24"/>
              </w:rPr>
              <w:t>Creative Engagement</w:t>
            </w:r>
          </w:p>
        </w:tc>
        <w:tc>
          <w:tcPr>
            <w:tcW w:w="1272" w:type="dxa"/>
            <w:vAlign w:val="center"/>
          </w:tcPr>
          <w:p>
            <w:pPr>
              <w:jc w:val="center"/>
              <w:rPr>
                <w:rFonts w:ascii="Arial" w:hAnsi="Arial" w:cs="Arial"/>
                <w:sz w:val="24"/>
                <w:szCs w:val="24"/>
              </w:rPr>
            </w:pPr>
            <w:r>
              <w:rPr>
                <w:rFonts w:ascii="Arial" w:hAnsi="Arial" w:cs="Arial"/>
                <w:sz w:val="24"/>
                <w:szCs w:val="24"/>
              </w:rPr>
              <w:t>0.032</w:t>
            </w:r>
          </w:p>
        </w:tc>
        <w:tc>
          <w:tcPr>
            <w:tcW w:w="888" w:type="dxa"/>
            <w:vAlign w:val="center"/>
          </w:tcPr>
          <w:p>
            <w:pPr>
              <w:jc w:val="center"/>
              <w:rPr>
                <w:rFonts w:ascii="Arial" w:hAnsi="Arial" w:cs="Arial"/>
                <w:sz w:val="24"/>
                <w:szCs w:val="24"/>
              </w:rPr>
            </w:pPr>
            <w:r>
              <w:rPr>
                <w:rFonts w:ascii="Arial" w:hAnsi="Arial" w:cs="Arial"/>
                <w:sz w:val="24"/>
                <w:szCs w:val="24"/>
              </w:rPr>
              <w:t>.865</w:t>
            </w:r>
          </w:p>
        </w:tc>
        <w:tc>
          <w:tcPr>
            <w:tcW w:w="1435" w:type="dxa"/>
          </w:tcPr>
          <w:p>
            <w:pPr>
              <w:jc w:val="center"/>
              <w:rPr>
                <w:rFonts w:ascii="Arial" w:hAnsi="Arial" w:cs="Arial"/>
                <w:sz w:val="24"/>
                <w:szCs w:val="24"/>
              </w:rPr>
            </w:pPr>
            <w:r>
              <w:rPr>
                <w:rFonts w:ascii="Arial" w:hAnsi="Arial" w:cs="Arial"/>
                <w:sz w:val="24"/>
                <w:szCs w:val="24"/>
              </w:rPr>
              <w:t>Not Significant</w:t>
            </w:r>
          </w:p>
        </w:tc>
      </w:tr>
      <w:tr>
        <w:tc>
          <w:tcPr>
            <w:tcW w:w="2863" w:type="dxa"/>
            <w:vMerge/>
          </w:tcPr>
          <w:p>
            <w:pPr>
              <w:pStyle w:val="NoSpacing"/>
              <w:rPr>
                <w:rFonts w:ascii="Arial" w:hAnsi="Arial" w:cs="Arial"/>
                <w:sz w:val="24"/>
                <w:szCs w:val="24"/>
              </w:rPr>
            </w:pPr>
          </w:p>
        </w:tc>
        <w:tc>
          <w:tcPr>
            <w:tcW w:w="2892" w:type="dxa"/>
          </w:tcPr>
          <w:p>
            <w:pPr>
              <w:pStyle w:val="NoSpacing"/>
              <w:rPr>
                <w:rFonts w:ascii="Arial" w:hAnsi="Arial" w:cs="Arial"/>
                <w:sz w:val="24"/>
                <w:szCs w:val="24"/>
              </w:rPr>
            </w:pPr>
            <w:r>
              <w:rPr>
                <w:rFonts w:ascii="Arial" w:hAnsi="Arial" w:cs="Arial"/>
                <w:sz w:val="24"/>
                <w:szCs w:val="24"/>
              </w:rPr>
              <w:t>Reflective / Metacognitive Engagement</w:t>
            </w:r>
          </w:p>
        </w:tc>
        <w:tc>
          <w:tcPr>
            <w:tcW w:w="1272" w:type="dxa"/>
            <w:vAlign w:val="center"/>
          </w:tcPr>
          <w:p>
            <w:pPr>
              <w:jc w:val="center"/>
              <w:rPr>
                <w:rFonts w:ascii="Arial" w:hAnsi="Arial" w:cs="Arial"/>
                <w:sz w:val="24"/>
                <w:szCs w:val="24"/>
              </w:rPr>
            </w:pPr>
            <w:r>
              <w:rPr>
                <w:rFonts w:ascii="Arial" w:hAnsi="Arial" w:cs="Arial"/>
                <w:sz w:val="24"/>
                <w:szCs w:val="24"/>
              </w:rPr>
              <w:t>0.230</w:t>
            </w:r>
          </w:p>
        </w:tc>
        <w:tc>
          <w:tcPr>
            <w:tcW w:w="888" w:type="dxa"/>
            <w:vAlign w:val="center"/>
          </w:tcPr>
          <w:p>
            <w:pPr>
              <w:jc w:val="center"/>
              <w:rPr>
                <w:rFonts w:ascii="Arial" w:hAnsi="Arial" w:cs="Arial"/>
                <w:sz w:val="24"/>
                <w:szCs w:val="24"/>
              </w:rPr>
            </w:pPr>
            <w:r>
              <w:rPr>
                <w:rFonts w:ascii="Arial" w:hAnsi="Arial" w:cs="Arial"/>
                <w:sz w:val="24"/>
                <w:szCs w:val="24"/>
              </w:rPr>
              <w:t>.221</w:t>
            </w:r>
          </w:p>
        </w:tc>
        <w:tc>
          <w:tcPr>
            <w:tcW w:w="1435" w:type="dxa"/>
          </w:tcPr>
          <w:p>
            <w:pPr>
              <w:jc w:val="center"/>
              <w:rPr>
                <w:rFonts w:ascii="Arial" w:hAnsi="Arial" w:cs="Arial"/>
                <w:sz w:val="24"/>
                <w:szCs w:val="24"/>
              </w:rPr>
            </w:pPr>
            <w:r>
              <w:rPr>
                <w:rFonts w:ascii="Arial" w:hAnsi="Arial" w:cs="Arial"/>
                <w:sz w:val="24"/>
                <w:szCs w:val="24"/>
              </w:rPr>
              <w:t>Not Significant</w:t>
            </w:r>
          </w:p>
        </w:tc>
      </w:tr>
      <w:tr>
        <w:tc>
          <w:tcPr>
            <w:tcW w:w="2863" w:type="dxa"/>
            <w:vMerge w:val="restart"/>
            <w:vAlign w:val="center"/>
          </w:tcPr>
          <w:p>
            <w:pPr>
              <w:pStyle w:val="NoSpacing"/>
              <w:jc w:val="center"/>
              <w:rPr>
                <w:rFonts w:ascii="Arial" w:hAnsi="Arial" w:cs="Arial"/>
                <w:sz w:val="24"/>
                <w:szCs w:val="24"/>
              </w:rPr>
            </w:pPr>
            <w:r>
              <w:rPr>
                <w:rFonts w:ascii="Arial" w:hAnsi="Arial" w:cs="Arial"/>
                <w:sz w:val="24"/>
                <w:szCs w:val="24"/>
              </w:rPr>
              <w:t>Culturally responsive task design and scaffolding</w:t>
            </w:r>
          </w:p>
        </w:tc>
        <w:tc>
          <w:tcPr>
            <w:tcW w:w="2892" w:type="dxa"/>
          </w:tcPr>
          <w:p>
            <w:pPr>
              <w:pStyle w:val="NoSpacing"/>
              <w:rPr>
                <w:rFonts w:ascii="Arial" w:hAnsi="Arial" w:cs="Arial"/>
                <w:sz w:val="24"/>
                <w:szCs w:val="24"/>
              </w:rPr>
            </w:pPr>
            <w:r>
              <w:rPr>
                <w:rFonts w:ascii="Arial" w:hAnsi="Arial" w:cs="Arial"/>
                <w:sz w:val="24"/>
                <w:szCs w:val="24"/>
              </w:rPr>
              <w:t>Passive Engagement</w:t>
            </w:r>
          </w:p>
        </w:tc>
        <w:tc>
          <w:tcPr>
            <w:tcW w:w="1272" w:type="dxa"/>
            <w:vAlign w:val="center"/>
          </w:tcPr>
          <w:p>
            <w:pPr>
              <w:jc w:val="center"/>
              <w:rPr>
                <w:rFonts w:ascii="Arial" w:hAnsi="Arial" w:cs="Arial"/>
                <w:sz w:val="24"/>
                <w:szCs w:val="24"/>
              </w:rPr>
            </w:pPr>
            <w:r>
              <w:rPr>
                <w:rFonts w:ascii="Arial" w:hAnsi="Arial" w:cs="Arial"/>
                <w:sz w:val="24"/>
                <w:szCs w:val="24"/>
              </w:rPr>
              <w:t>-0.151</w:t>
            </w:r>
          </w:p>
        </w:tc>
        <w:tc>
          <w:tcPr>
            <w:tcW w:w="888" w:type="dxa"/>
            <w:vAlign w:val="center"/>
          </w:tcPr>
          <w:p>
            <w:pPr>
              <w:jc w:val="center"/>
              <w:rPr>
                <w:rFonts w:ascii="Arial" w:hAnsi="Arial" w:cs="Arial"/>
                <w:sz w:val="24"/>
                <w:szCs w:val="24"/>
              </w:rPr>
            </w:pPr>
            <w:r>
              <w:rPr>
                <w:rFonts w:ascii="Arial" w:hAnsi="Arial" w:cs="Arial"/>
                <w:sz w:val="24"/>
                <w:szCs w:val="24"/>
              </w:rPr>
              <w:t>.426</w:t>
            </w:r>
          </w:p>
        </w:tc>
        <w:tc>
          <w:tcPr>
            <w:tcW w:w="1435" w:type="dxa"/>
          </w:tcPr>
          <w:p>
            <w:pPr>
              <w:jc w:val="center"/>
              <w:rPr>
                <w:rFonts w:ascii="Arial" w:hAnsi="Arial" w:cs="Arial"/>
                <w:sz w:val="24"/>
                <w:szCs w:val="24"/>
              </w:rPr>
            </w:pPr>
            <w:r>
              <w:rPr>
                <w:rFonts w:ascii="Arial" w:hAnsi="Arial" w:cs="Arial"/>
                <w:sz w:val="24"/>
                <w:szCs w:val="24"/>
              </w:rPr>
              <w:t>Not Significant</w:t>
            </w:r>
          </w:p>
        </w:tc>
      </w:tr>
      <w:tr>
        <w:tc>
          <w:tcPr>
            <w:tcW w:w="2863" w:type="dxa"/>
            <w:vMerge/>
          </w:tcPr>
          <w:p>
            <w:pPr>
              <w:pStyle w:val="NoSpacing"/>
              <w:rPr>
                <w:rFonts w:ascii="Arial" w:hAnsi="Arial" w:cs="Arial"/>
                <w:sz w:val="24"/>
                <w:szCs w:val="24"/>
              </w:rPr>
            </w:pPr>
          </w:p>
        </w:tc>
        <w:tc>
          <w:tcPr>
            <w:tcW w:w="2892" w:type="dxa"/>
          </w:tcPr>
          <w:p>
            <w:pPr>
              <w:pStyle w:val="NoSpacing"/>
              <w:rPr>
                <w:rFonts w:ascii="Arial" w:hAnsi="Arial" w:cs="Arial"/>
                <w:sz w:val="24"/>
                <w:szCs w:val="24"/>
              </w:rPr>
            </w:pPr>
            <w:r>
              <w:rPr>
                <w:rFonts w:ascii="Arial" w:hAnsi="Arial" w:cs="Arial"/>
                <w:sz w:val="24"/>
                <w:szCs w:val="24"/>
              </w:rPr>
              <w:t>Interactive Engagement</w:t>
            </w:r>
          </w:p>
        </w:tc>
        <w:tc>
          <w:tcPr>
            <w:tcW w:w="1272" w:type="dxa"/>
            <w:vAlign w:val="center"/>
          </w:tcPr>
          <w:p>
            <w:pPr>
              <w:jc w:val="center"/>
              <w:rPr>
                <w:rFonts w:ascii="Arial" w:hAnsi="Arial" w:cs="Arial"/>
                <w:sz w:val="24"/>
                <w:szCs w:val="24"/>
              </w:rPr>
            </w:pPr>
            <w:r>
              <w:rPr>
                <w:rFonts w:ascii="Arial" w:hAnsi="Arial" w:cs="Arial"/>
                <w:sz w:val="24"/>
                <w:szCs w:val="24"/>
              </w:rPr>
              <w:t>-0.099</w:t>
            </w:r>
          </w:p>
        </w:tc>
        <w:tc>
          <w:tcPr>
            <w:tcW w:w="888" w:type="dxa"/>
            <w:vAlign w:val="center"/>
          </w:tcPr>
          <w:p>
            <w:pPr>
              <w:jc w:val="center"/>
              <w:rPr>
                <w:rFonts w:ascii="Arial" w:hAnsi="Arial" w:cs="Arial"/>
                <w:sz w:val="24"/>
                <w:szCs w:val="24"/>
              </w:rPr>
            </w:pPr>
            <w:r>
              <w:rPr>
                <w:rFonts w:ascii="Arial" w:hAnsi="Arial" w:cs="Arial"/>
                <w:sz w:val="24"/>
                <w:szCs w:val="24"/>
              </w:rPr>
              <w:t>.604</w:t>
            </w:r>
          </w:p>
        </w:tc>
        <w:tc>
          <w:tcPr>
            <w:tcW w:w="1435" w:type="dxa"/>
          </w:tcPr>
          <w:p>
            <w:pPr>
              <w:jc w:val="center"/>
              <w:rPr>
                <w:rFonts w:ascii="Arial" w:hAnsi="Arial" w:cs="Arial"/>
                <w:sz w:val="24"/>
                <w:szCs w:val="24"/>
              </w:rPr>
            </w:pPr>
            <w:r>
              <w:rPr>
                <w:rFonts w:ascii="Arial" w:hAnsi="Arial" w:cs="Arial"/>
                <w:sz w:val="24"/>
                <w:szCs w:val="24"/>
              </w:rPr>
              <w:t>Not Significant</w:t>
            </w:r>
          </w:p>
        </w:tc>
      </w:tr>
      <w:tr>
        <w:tc>
          <w:tcPr>
            <w:tcW w:w="2863" w:type="dxa"/>
            <w:vMerge/>
          </w:tcPr>
          <w:p>
            <w:pPr>
              <w:pStyle w:val="NoSpacing"/>
              <w:rPr>
                <w:rFonts w:ascii="Arial" w:hAnsi="Arial" w:cs="Arial"/>
                <w:sz w:val="24"/>
                <w:szCs w:val="24"/>
              </w:rPr>
            </w:pPr>
          </w:p>
        </w:tc>
        <w:tc>
          <w:tcPr>
            <w:tcW w:w="2892" w:type="dxa"/>
          </w:tcPr>
          <w:p>
            <w:pPr>
              <w:pStyle w:val="NoSpacing"/>
              <w:rPr>
                <w:rFonts w:ascii="Arial" w:hAnsi="Arial" w:cs="Arial"/>
                <w:sz w:val="24"/>
                <w:szCs w:val="24"/>
              </w:rPr>
            </w:pPr>
            <w:r>
              <w:rPr>
                <w:rFonts w:ascii="Arial" w:hAnsi="Arial" w:cs="Arial"/>
                <w:sz w:val="24"/>
                <w:szCs w:val="24"/>
              </w:rPr>
              <w:t>Collaborative Engagement</w:t>
            </w:r>
          </w:p>
        </w:tc>
        <w:tc>
          <w:tcPr>
            <w:tcW w:w="1272" w:type="dxa"/>
            <w:vAlign w:val="center"/>
          </w:tcPr>
          <w:p>
            <w:pPr>
              <w:jc w:val="center"/>
              <w:rPr>
                <w:rFonts w:ascii="Arial" w:hAnsi="Arial" w:cs="Arial"/>
                <w:sz w:val="24"/>
                <w:szCs w:val="24"/>
              </w:rPr>
            </w:pPr>
            <w:r>
              <w:rPr>
                <w:rFonts w:ascii="Arial" w:hAnsi="Arial" w:cs="Arial"/>
                <w:sz w:val="24"/>
                <w:szCs w:val="24"/>
              </w:rPr>
              <w:t>-0.344</w:t>
            </w:r>
          </w:p>
        </w:tc>
        <w:tc>
          <w:tcPr>
            <w:tcW w:w="888" w:type="dxa"/>
            <w:vAlign w:val="center"/>
          </w:tcPr>
          <w:p>
            <w:pPr>
              <w:jc w:val="center"/>
              <w:rPr>
                <w:rFonts w:ascii="Arial" w:hAnsi="Arial" w:cs="Arial"/>
                <w:sz w:val="24"/>
                <w:szCs w:val="24"/>
              </w:rPr>
            </w:pPr>
            <w:r>
              <w:rPr>
                <w:rFonts w:ascii="Arial" w:hAnsi="Arial" w:cs="Arial"/>
                <w:sz w:val="24"/>
                <w:szCs w:val="24"/>
              </w:rPr>
              <w:t>063</w:t>
            </w:r>
          </w:p>
        </w:tc>
        <w:tc>
          <w:tcPr>
            <w:tcW w:w="1435" w:type="dxa"/>
          </w:tcPr>
          <w:p>
            <w:pPr>
              <w:jc w:val="center"/>
              <w:rPr>
                <w:rFonts w:ascii="Arial" w:hAnsi="Arial" w:cs="Arial"/>
                <w:sz w:val="24"/>
                <w:szCs w:val="24"/>
              </w:rPr>
            </w:pPr>
            <w:r>
              <w:rPr>
                <w:rFonts w:ascii="Arial" w:hAnsi="Arial" w:cs="Arial"/>
                <w:sz w:val="24"/>
                <w:szCs w:val="24"/>
              </w:rPr>
              <w:t>Not Significant</w:t>
            </w:r>
          </w:p>
        </w:tc>
      </w:tr>
      <w:tr>
        <w:tc>
          <w:tcPr>
            <w:tcW w:w="2863" w:type="dxa"/>
            <w:vMerge/>
          </w:tcPr>
          <w:p>
            <w:pPr>
              <w:pStyle w:val="NoSpacing"/>
              <w:rPr>
                <w:rFonts w:ascii="Arial" w:hAnsi="Arial" w:cs="Arial"/>
                <w:sz w:val="24"/>
                <w:szCs w:val="24"/>
              </w:rPr>
            </w:pPr>
          </w:p>
        </w:tc>
        <w:tc>
          <w:tcPr>
            <w:tcW w:w="2892" w:type="dxa"/>
          </w:tcPr>
          <w:p>
            <w:pPr>
              <w:pStyle w:val="NoSpacing"/>
              <w:rPr>
                <w:rFonts w:ascii="Arial" w:hAnsi="Arial" w:cs="Arial"/>
                <w:sz w:val="24"/>
                <w:szCs w:val="24"/>
              </w:rPr>
            </w:pPr>
            <w:r>
              <w:rPr>
                <w:rFonts w:ascii="Arial" w:hAnsi="Arial" w:cs="Arial"/>
                <w:sz w:val="24"/>
                <w:szCs w:val="24"/>
              </w:rPr>
              <w:t>Creative Engagement</w:t>
            </w:r>
          </w:p>
        </w:tc>
        <w:tc>
          <w:tcPr>
            <w:tcW w:w="1272" w:type="dxa"/>
            <w:vAlign w:val="center"/>
          </w:tcPr>
          <w:p>
            <w:pPr>
              <w:jc w:val="center"/>
              <w:rPr>
                <w:rFonts w:ascii="Arial" w:hAnsi="Arial" w:cs="Arial"/>
                <w:sz w:val="24"/>
                <w:szCs w:val="24"/>
              </w:rPr>
            </w:pPr>
            <w:r>
              <w:rPr>
                <w:rFonts w:ascii="Arial" w:hAnsi="Arial" w:cs="Arial"/>
                <w:sz w:val="24"/>
                <w:szCs w:val="24"/>
              </w:rPr>
              <w:t>-0.259</w:t>
            </w:r>
          </w:p>
        </w:tc>
        <w:tc>
          <w:tcPr>
            <w:tcW w:w="888" w:type="dxa"/>
            <w:vAlign w:val="center"/>
          </w:tcPr>
          <w:p>
            <w:pPr>
              <w:jc w:val="center"/>
              <w:rPr>
                <w:rFonts w:ascii="Arial" w:hAnsi="Arial" w:cs="Arial"/>
                <w:sz w:val="24"/>
                <w:szCs w:val="24"/>
              </w:rPr>
            </w:pPr>
            <w:r>
              <w:rPr>
                <w:rFonts w:ascii="Arial" w:hAnsi="Arial" w:cs="Arial"/>
                <w:sz w:val="24"/>
                <w:szCs w:val="24"/>
              </w:rPr>
              <w:t>.166</w:t>
            </w:r>
          </w:p>
        </w:tc>
        <w:tc>
          <w:tcPr>
            <w:tcW w:w="1435" w:type="dxa"/>
          </w:tcPr>
          <w:p>
            <w:pPr>
              <w:jc w:val="center"/>
              <w:rPr>
                <w:rFonts w:ascii="Arial" w:hAnsi="Arial" w:cs="Arial"/>
                <w:sz w:val="24"/>
                <w:szCs w:val="24"/>
              </w:rPr>
            </w:pPr>
            <w:r>
              <w:rPr>
                <w:rFonts w:ascii="Arial" w:hAnsi="Arial" w:cs="Arial"/>
                <w:sz w:val="24"/>
                <w:szCs w:val="24"/>
              </w:rPr>
              <w:t>Not Significant</w:t>
            </w:r>
          </w:p>
        </w:tc>
      </w:tr>
      <w:tr>
        <w:tc>
          <w:tcPr>
            <w:tcW w:w="2863" w:type="dxa"/>
            <w:vMerge/>
          </w:tcPr>
          <w:p>
            <w:pPr>
              <w:pStyle w:val="NoSpacing"/>
              <w:rPr>
                <w:rFonts w:ascii="Arial" w:hAnsi="Arial" w:cs="Arial"/>
                <w:sz w:val="24"/>
                <w:szCs w:val="24"/>
              </w:rPr>
            </w:pPr>
          </w:p>
        </w:tc>
        <w:tc>
          <w:tcPr>
            <w:tcW w:w="2892" w:type="dxa"/>
          </w:tcPr>
          <w:p>
            <w:pPr>
              <w:pStyle w:val="NoSpacing"/>
              <w:rPr>
                <w:rFonts w:ascii="Arial" w:hAnsi="Arial" w:cs="Arial"/>
                <w:sz w:val="24"/>
                <w:szCs w:val="24"/>
              </w:rPr>
            </w:pPr>
            <w:r>
              <w:rPr>
                <w:rFonts w:ascii="Arial" w:hAnsi="Arial" w:cs="Arial"/>
                <w:sz w:val="24"/>
                <w:szCs w:val="24"/>
              </w:rPr>
              <w:t>Reflective / Metacognitive Engagement</w:t>
            </w:r>
          </w:p>
        </w:tc>
        <w:tc>
          <w:tcPr>
            <w:tcW w:w="1272" w:type="dxa"/>
            <w:vAlign w:val="center"/>
          </w:tcPr>
          <w:p>
            <w:pPr>
              <w:jc w:val="center"/>
              <w:rPr>
                <w:rFonts w:ascii="Arial" w:hAnsi="Arial" w:cs="Arial"/>
                <w:sz w:val="24"/>
                <w:szCs w:val="24"/>
              </w:rPr>
            </w:pPr>
            <w:r>
              <w:rPr>
                <w:rFonts w:ascii="Arial" w:hAnsi="Arial" w:cs="Arial"/>
                <w:sz w:val="24"/>
                <w:szCs w:val="24"/>
              </w:rPr>
              <w:t>-0.238</w:t>
            </w:r>
          </w:p>
        </w:tc>
        <w:tc>
          <w:tcPr>
            <w:tcW w:w="888" w:type="dxa"/>
            <w:vAlign w:val="center"/>
          </w:tcPr>
          <w:p>
            <w:pPr>
              <w:jc w:val="center"/>
              <w:rPr>
                <w:rFonts w:ascii="Arial" w:hAnsi="Arial" w:cs="Arial"/>
                <w:sz w:val="24"/>
                <w:szCs w:val="24"/>
              </w:rPr>
            </w:pPr>
            <w:r>
              <w:rPr>
                <w:rFonts w:ascii="Arial" w:hAnsi="Arial" w:cs="Arial"/>
                <w:sz w:val="24"/>
                <w:szCs w:val="24"/>
              </w:rPr>
              <w:t>.206</w:t>
            </w:r>
          </w:p>
        </w:tc>
        <w:tc>
          <w:tcPr>
            <w:tcW w:w="1435" w:type="dxa"/>
          </w:tcPr>
          <w:p>
            <w:pPr>
              <w:jc w:val="center"/>
              <w:rPr>
                <w:rFonts w:ascii="Arial" w:hAnsi="Arial" w:cs="Arial"/>
                <w:sz w:val="24"/>
                <w:szCs w:val="24"/>
              </w:rPr>
            </w:pPr>
            <w:r>
              <w:rPr>
                <w:rFonts w:ascii="Arial" w:hAnsi="Arial" w:cs="Arial"/>
                <w:sz w:val="24"/>
                <w:szCs w:val="24"/>
              </w:rPr>
              <w:t>Not Significant</w:t>
            </w:r>
          </w:p>
        </w:tc>
      </w:tr>
    </w:tbl>
    <w:p>
      <w:pPr>
        <w:rPr>
          <w:rFonts w:ascii="Arial" w:hAnsi="Arial" w:cs="Arial"/>
        </w:rPr>
      </w:pPr>
      <w:r>
        <w:rPr>
          <w:rFonts w:ascii="Arial" w:hAnsi="Arial" w:cs="Arial"/>
        </w:rPr>
        <w:t>*Significant if p-value is less than .05</w:t>
      </w:r>
    </w:p>
    <w:p>
      <w:pPr>
        <w:jc w:val="center"/>
        <w:rPr>
          <w:rFonts w:ascii="Arial" w:hAnsi="Arial" w:cs="Arial"/>
        </w:rPr>
      </w:pPr>
      <w:r>
        <w:rPr>
          <w:rFonts w:ascii="Arial" w:hAnsi="Arial" w:cs="Arial"/>
        </w:rPr>
        <w:t>Teacher competence, learner engagement, and teachers’ technology integration practices significantly predict teachers’ RAT-level technology use in English instruction</w:t>
      </w:r>
    </w:p>
    <w:tbl>
      <w:tblPr>
        <w:tblW w:w="84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592"/>
        <w:gridCol w:w="1114"/>
        <w:gridCol w:w="1083"/>
        <w:gridCol w:w="1079"/>
        <w:gridCol w:w="1189"/>
        <w:gridCol w:w="825"/>
        <w:gridCol w:w="825"/>
        <w:gridCol w:w="918"/>
        <w:gridCol w:w="764"/>
        <w:gridCol w:w="64"/>
      </w:tblGrid>
      <w:tr>
        <w:trPr>
          <w:gridAfter w:val="1"/>
          <w:wAfter w:w="64" w:type="dxa"/>
          <w:cantSplit/>
          <w:trHeight w:val="214"/>
          <w:tblHeader/>
        </w:trPr>
        <w:tc>
          <w:tcPr>
            <w:tcW w:w="8389" w:type="dxa"/>
            <w:gridSpan w:val="9"/>
            <w:tcBorders>
              <w:top w:val="nil"/>
              <w:left w:val="nil"/>
              <w:bottom w:val="nil"/>
              <w:right w:val="nil"/>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b/>
                <w:bCs/>
              </w:rPr>
              <w:t>Coefficients</w:t>
            </w:r>
            <w:r>
              <w:rPr>
                <w:rFonts w:ascii="Arial" w:hAnsi="Arial" w:cs="Arial"/>
                <w:b/>
                <w:bCs/>
                <w:vertAlign w:val="superscript"/>
              </w:rPr>
              <w:t>a</w:t>
            </w:r>
          </w:p>
        </w:tc>
      </w:tr>
      <w:tr>
        <w:trPr>
          <w:cantSplit/>
          <w:trHeight w:val="442"/>
          <w:tblHeader/>
        </w:trPr>
        <w:tc>
          <w:tcPr>
            <w:tcW w:w="1706"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pPr>
              <w:pStyle w:val="NoSpacing"/>
              <w:rPr>
                <w:rFonts w:ascii="Arial" w:hAnsi="Arial" w:cs="Arial"/>
              </w:rPr>
            </w:pPr>
            <w:r>
              <w:rPr>
                <w:rFonts w:ascii="Arial" w:hAnsi="Arial" w:cs="Arial"/>
              </w:rPr>
              <w:t>Model</w:t>
            </w:r>
          </w:p>
        </w:tc>
        <w:tc>
          <w:tcPr>
            <w:tcW w:w="2162"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pPr>
              <w:pStyle w:val="NoSpacing"/>
              <w:rPr>
                <w:rFonts w:ascii="Arial" w:hAnsi="Arial" w:cs="Arial"/>
              </w:rPr>
            </w:pPr>
            <w:r>
              <w:rPr>
                <w:rFonts w:ascii="Arial" w:hAnsi="Arial" w:cs="Arial"/>
              </w:rPr>
              <w:t>Unstandardized Coefficients</w:t>
            </w:r>
          </w:p>
        </w:tc>
        <w:tc>
          <w:tcPr>
            <w:tcW w:w="1189" w:type="dxa"/>
            <w:tcBorders>
              <w:top w:val="single" w:sz="16" w:space="0" w:color="000000"/>
            </w:tcBorders>
            <w:shd w:val="clear" w:color="auto" w:fill="FFFFFF"/>
            <w:tcMar>
              <w:top w:w="30" w:type="dxa"/>
              <w:left w:w="30" w:type="dxa"/>
              <w:bottom w:w="30" w:type="dxa"/>
              <w:right w:w="30" w:type="dxa"/>
            </w:tcMar>
            <w:vAlign w:val="bottom"/>
          </w:tcPr>
          <w:p>
            <w:pPr>
              <w:pStyle w:val="NoSpacing"/>
              <w:rPr>
                <w:rFonts w:ascii="Arial" w:hAnsi="Arial" w:cs="Arial"/>
              </w:rPr>
            </w:pPr>
            <w:r>
              <w:rPr>
                <w:rFonts w:ascii="Arial" w:hAnsi="Arial" w:cs="Arial"/>
              </w:rPr>
              <w:t>Standardized Coefficients</w:t>
            </w:r>
          </w:p>
        </w:tc>
        <w:tc>
          <w:tcPr>
            <w:tcW w:w="825"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pPr>
              <w:pStyle w:val="NoSpacing"/>
              <w:jc w:val="center"/>
              <w:rPr>
                <w:rFonts w:ascii="Arial" w:hAnsi="Arial" w:cs="Arial"/>
              </w:rPr>
            </w:pPr>
            <w:r>
              <w:rPr>
                <w:rFonts w:ascii="Arial" w:hAnsi="Arial" w:cs="Arial"/>
              </w:rPr>
              <w:t>t</w:t>
            </w:r>
          </w:p>
        </w:tc>
        <w:tc>
          <w:tcPr>
            <w:tcW w:w="825"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pPr>
              <w:pStyle w:val="NoSpacing"/>
              <w:jc w:val="center"/>
              <w:rPr>
                <w:rFonts w:ascii="Arial" w:hAnsi="Arial" w:cs="Arial"/>
              </w:rPr>
            </w:pPr>
            <w:r>
              <w:rPr>
                <w:rFonts w:ascii="Arial" w:hAnsi="Arial" w:cs="Arial"/>
              </w:rPr>
              <w:t>Sig.</w:t>
            </w:r>
          </w:p>
        </w:tc>
        <w:tc>
          <w:tcPr>
            <w:tcW w:w="1746"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pPr>
              <w:pStyle w:val="NoSpacing"/>
              <w:rPr>
                <w:rFonts w:ascii="Arial" w:hAnsi="Arial" w:cs="Arial"/>
              </w:rPr>
            </w:pPr>
            <w:r>
              <w:rPr>
                <w:rFonts w:ascii="Arial" w:hAnsi="Arial" w:cs="Arial"/>
              </w:rPr>
              <w:t>Collinearity Statistics</w:t>
            </w:r>
          </w:p>
        </w:tc>
      </w:tr>
      <w:tr>
        <w:trPr>
          <w:cantSplit/>
          <w:trHeight w:val="260"/>
          <w:tblHeader/>
        </w:trPr>
        <w:tc>
          <w:tcPr>
            <w:tcW w:w="1706"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pPr>
              <w:pStyle w:val="NoSpacing"/>
              <w:rPr>
                <w:rFonts w:ascii="Arial" w:hAnsi="Arial" w:cs="Arial"/>
              </w:rPr>
            </w:pPr>
          </w:p>
        </w:tc>
        <w:tc>
          <w:tcPr>
            <w:tcW w:w="108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pPr>
              <w:pStyle w:val="NoSpacing"/>
              <w:jc w:val="center"/>
              <w:rPr>
                <w:rFonts w:ascii="Arial" w:hAnsi="Arial" w:cs="Arial"/>
              </w:rPr>
            </w:pPr>
            <w:r>
              <w:rPr>
                <w:rFonts w:ascii="Arial" w:hAnsi="Arial" w:cs="Arial"/>
              </w:rPr>
              <w:t>B</w:t>
            </w:r>
          </w:p>
        </w:tc>
        <w:tc>
          <w:tcPr>
            <w:tcW w:w="1079" w:type="dxa"/>
            <w:tcBorders>
              <w:bottom w:val="single" w:sz="16" w:space="0" w:color="000000"/>
            </w:tcBorders>
            <w:shd w:val="clear" w:color="auto" w:fill="FFFFFF"/>
            <w:tcMar>
              <w:top w:w="30" w:type="dxa"/>
              <w:left w:w="30" w:type="dxa"/>
              <w:bottom w:w="30" w:type="dxa"/>
              <w:right w:w="30" w:type="dxa"/>
            </w:tcMar>
            <w:vAlign w:val="bottom"/>
          </w:tcPr>
          <w:p>
            <w:pPr>
              <w:pStyle w:val="NoSpacing"/>
              <w:jc w:val="center"/>
              <w:rPr>
                <w:rFonts w:ascii="Arial" w:hAnsi="Arial" w:cs="Arial"/>
              </w:rPr>
            </w:pPr>
            <w:r>
              <w:rPr>
                <w:rFonts w:ascii="Arial" w:hAnsi="Arial" w:cs="Arial"/>
              </w:rPr>
              <w:t>Std. Error</w:t>
            </w:r>
          </w:p>
        </w:tc>
        <w:tc>
          <w:tcPr>
            <w:tcW w:w="1189" w:type="dxa"/>
            <w:tcBorders>
              <w:bottom w:val="single" w:sz="16" w:space="0" w:color="000000"/>
            </w:tcBorders>
            <w:shd w:val="clear" w:color="auto" w:fill="FFFFFF"/>
            <w:tcMar>
              <w:top w:w="30" w:type="dxa"/>
              <w:left w:w="30" w:type="dxa"/>
              <w:bottom w:w="30" w:type="dxa"/>
              <w:right w:w="30" w:type="dxa"/>
            </w:tcMar>
            <w:vAlign w:val="bottom"/>
          </w:tcPr>
          <w:p>
            <w:pPr>
              <w:pStyle w:val="NoSpacing"/>
              <w:jc w:val="center"/>
              <w:rPr>
                <w:rFonts w:ascii="Arial" w:hAnsi="Arial" w:cs="Arial"/>
              </w:rPr>
            </w:pPr>
            <w:r>
              <w:rPr>
                <w:rFonts w:ascii="Arial" w:hAnsi="Arial" w:cs="Arial"/>
              </w:rPr>
              <w:t>Beta</w:t>
            </w:r>
          </w:p>
        </w:tc>
        <w:tc>
          <w:tcPr>
            <w:tcW w:w="825"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pPr>
              <w:pStyle w:val="NoSpacing"/>
              <w:jc w:val="center"/>
              <w:rPr>
                <w:rFonts w:ascii="Arial" w:hAnsi="Arial" w:cs="Arial"/>
              </w:rPr>
            </w:pPr>
          </w:p>
        </w:tc>
        <w:tc>
          <w:tcPr>
            <w:tcW w:w="825"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pPr>
              <w:pStyle w:val="NoSpacing"/>
              <w:jc w:val="center"/>
              <w:rPr>
                <w:rFonts w:ascii="Arial" w:hAnsi="Arial" w:cs="Arial"/>
              </w:rPr>
            </w:pPr>
          </w:p>
        </w:tc>
        <w:tc>
          <w:tcPr>
            <w:tcW w:w="918" w:type="dxa"/>
            <w:tcBorders>
              <w:bottom w:val="single" w:sz="16" w:space="0" w:color="000000"/>
            </w:tcBorders>
            <w:shd w:val="clear" w:color="auto" w:fill="FFFFFF"/>
            <w:tcMar>
              <w:top w:w="30" w:type="dxa"/>
              <w:left w:w="30" w:type="dxa"/>
              <w:bottom w:w="30" w:type="dxa"/>
              <w:right w:w="30" w:type="dxa"/>
            </w:tcMar>
            <w:vAlign w:val="bottom"/>
          </w:tcPr>
          <w:p>
            <w:pPr>
              <w:pStyle w:val="NoSpacing"/>
              <w:jc w:val="center"/>
              <w:rPr>
                <w:rFonts w:ascii="Arial" w:hAnsi="Arial" w:cs="Arial"/>
              </w:rPr>
            </w:pPr>
            <w:r>
              <w:rPr>
                <w:rFonts w:ascii="Arial" w:hAnsi="Arial" w:cs="Arial"/>
              </w:rPr>
              <w:t>Tolerance</w:t>
            </w:r>
          </w:p>
        </w:tc>
        <w:tc>
          <w:tcPr>
            <w:tcW w:w="827" w:type="dxa"/>
            <w:gridSpan w:val="2"/>
            <w:tcBorders>
              <w:bottom w:val="single" w:sz="16" w:space="0" w:color="000000"/>
              <w:right w:val="single" w:sz="16" w:space="0" w:color="000000"/>
            </w:tcBorders>
            <w:shd w:val="clear" w:color="auto" w:fill="FFFFFF"/>
            <w:tcMar>
              <w:top w:w="30" w:type="dxa"/>
              <w:left w:w="30" w:type="dxa"/>
              <w:bottom w:w="30" w:type="dxa"/>
              <w:right w:w="30" w:type="dxa"/>
            </w:tcMar>
            <w:vAlign w:val="bottom"/>
          </w:tcPr>
          <w:p>
            <w:pPr>
              <w:pStyle w:val="NoSpacing"/>
              <w:jc w:val="center"/>
              <w:rPr>
                <w:rFonts w:ascii="Arial" w:hAnsi="Arial" w:cs="Arial"/>
              </w:rPr>
            </w:pPr>
            <w:r>
              <w:rPr>
                <w:rFonts w:ascii="Arial" w:hAnsi="Arial" w:cs="Arial"/>
              </w:rPr>
              <w:t>VIF</w:t>
            </w:r>
          </w:p>
        </w:tc>
      </w:tr>
      <w:tr>
        <w:trPr>
          <w:cantSplit/>
          <w:trHeight w:val="226"/>
          <w:tblHeader/>
        </w:trPr>
        <w:tc>
          <w:tcPr>
            <w:tcW w:w="59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NoSpacing"/>
              <w:rPr>
                <w:rFonts w:ascii="Arial" w:hAnsi="Arial" w:cs="Arial"/>
              </w:rPr>
            </w:pPr>
            <w:r>
              <w:rPr>
                <w:rFonts w:ascii="Arial" w:hAnsi="Arial" w:cs="Arial"/>
              </w:rPr>
              <w:t>1</w:t>
            </w:r>
          </w:p>
        </w:tc>
        <w:tc>
          <w:tcPr>
            <w:tcW w:w="111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pPr>
              <w:pStyle w:val="NoSpacing"/>
              <w:rPr>
                <w:rFonts w:ascii="Arial" w:hAnsi="Arial" w:cs="Arial"/>
              </w:rPr>
            </w:pPr>
            <w:r>
              <w:rPr>
                <w:rFonts w:ascii="Arial" w:hAnsi="Arial" w:cs="Arial"/>
              </w:rPr>
              <w:t>(Constant)</w:t>
            </w:r>
          </w:p>
        </w:tc>
        <w:tc>
          <w:tcPr>
            <w:tcW w:w="108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-2.285</w:t>
            </w:r>
          </w:p>
        </w:tc>
        <w:tc>
          <w:tcPr>
            <w:tcW w:w="1079" w:type="dxa"/>
            <w:tcBorders>
              <w:top w:val="single" w:sz="16" w:space="0" w:color="000000"/>
              <w:bottom w:val="nil"/>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1.125</w:t>
            </w:r>
          </w:p>
        </w:tc>
        <w:tc>
          <w:tcPr>
            <w:tcW w:w="1189" w:type="dxa"/>
            <w:tcBorders>
              <w:top w:val="single" w:sz="16" w:space="0" w:color="000000"/>
              <w:bottom w:val="nil"/>
            </w:tcBorders>
            <w:shd w:val="clear" w:color="auto" w:fill="FFFFFF"/>
            <w:tcMar>
              <w:top w:w="30" w:type="dxa"/>
              <w:left w:w="30" w:type="dxa"/>
              <w:bottom w:w="30" w:type="dxa"/>
              <w:right w:w="30" w:type="dxa"/>
            </w:tcMar>
          </w:tcPr>
          <w:p>
            <w:pPr>
              <w:pStyle w:val="NoSpacing"/>
              <w:rPr>
                <w:rFonts w:ascii="Arial" w:hAnsi="Arial" w:cs="Arial"/>
              </w:rPr>
            </w:pPr>
          </w:p>
        </w:tc>
        <w:tc>
          <w:tcPr>
            <w:tcW w:w="825" w:type="dxa"/>
            <w:tcBorders>
              <w:top w:val="single" w:sz="16" w:space="0" w:color="000000"/>
              <w:bottom w:val="nil"/>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-2.031</w:t>
            </w:r>
          </w:p>
        </w:tc>
        <w:tc>
          <w:tcPr>
            <w:tcW w:w="825" w:type="dxa"/>
            <w:tcBorders>
              <w:top w:val="single" w:sz="16" w:space="0" w:color="000000"/>
              <w:bottom w:val="nil"/>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.053</w:t>
            </w:r>
          </w:p>
        </w:tc>
        <w:tc>
          <w:tcPr>
            <w:tcW w:w="918" w:type="dxa"/>
            <w:tcBorders>
              <w:top w:val="single" w:sz="16" w:space="0" w:color="000000"/>
              <w:bottom w:val="nil"/>
            </w:tcBorders>
            <w:shd w:val="clear" w:color="auto" w:fill="FFFFFF"/>
            <w:tcMar>
              <w:top w:w="30" w:type="dxa"/>
              <w:left w:w="30" w:type="dxa"/>
              <w:bottom w:w="30" w:type="dxa"/>
              <w:right w:w="30" w:type="dxa"/>
            </w:tcMar>
          </w:tcPr>
          <w:p>
            <w:pPr>
              <w:pStyle w:val="NoSpacing"/>
              <w:rPr>
                <w:rFonts w:ascii="Arial" w:hAnsi="Arial" w:cs="Arial"/>
              </w:rPr>
            </w:pPr>
          </w:p>
        </w:tc>
        <w:tc>
          <w:tcPr>
            <w:tcW w:w="827"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pPr>
              <w:pStyle w:val="NoSpacing"/>
              <w:rPr>
                <w:rFonts w:ascii="Arial" w:hAnsi="Arial" w:cs="Arial"/>
              </w:rPr>
            </w:pPr>
          </w:p>
        </w:tc>
      </w:tr>
      <w:tr>
        <w:trPr>
          <w:cantSplit/>
          <w:trHeight w:val="488"/>
          <w:tblHeader/>
        </w:trPr>
        <w:tc>
          <w:tcPr>
            <w:tcW w:w="59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NoSpacing"/>
              <w:rPr>
                <w:rFonts w:ascii="Arial" w:hAnsi="Arial" w:cs="Arial"/>
              </w:rPr>
            </w:pPr>
          </w:p>
        </w:tc>
        <w:tc>
          <w:tcPr>
            <w:tcW w:w="1114"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NoSpacing"/>
              <w:rPr>
                <w:rFonts w:ascii="Arial" w:hAnsi="Arial" w:cs="Arial"/>
              </w:rPr>
            </w:pPr>
            <w:r>
              <w:rPr>
                <w:rFonts w:ascii="Arial" w:hAnsi="Arial" w:cs="Arial"/>
              </w:rPr>
              <w:t>Competence</w:t>
            </w:r>
          </w:p>
        </w:tc>
        <w:tc>
          <w:tcPr>
            <w:tcW w:w="1082"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.588</w:t>
            </w:r>
          </w:p>
        </w:tc>
        <w:tc>
          <w:tcPr>
            <w:tcW w:w="1079" w:type="dxa"/>
            <w:tcBorders>
              <w:top w:val="nil"/>
              <w:bottom w:val="nil"/>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.168</w:t>
            </w:r>
          </w:p>
        </w:tc>
        <w:tc>
          <w:tcPr>
            <w:tcW w:w="1189" w:type="dxa"/>
            <w:tcBorders>
              <w:top w:val="nil"/>
              <w:bottom w:val="nil"/>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.492</w:t>
            </w:r>
          </w:p>
        </w:tc>
        <w:tc>
          <w:tcPr>
            <w:tcW w:w="825" w:type="dxa"/>
            <w:tcBorders>
              <w:top w:val="nil"/>
              <w:bottom w:val="nil"/>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3.491</w:t>
            </w:r>
          </w:p>
        </w:tc>
        <w:tc>
          <w:tcPr>
            <w:tcW w:w="825" w:type="dxa"/>
            <w:tcBorders>
              <w:top w:val="nil"/>
              <w:bottom w:val="nil"/>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.002</w:t>
            </w:r>
          </w:p>
        </w:tc>
        <w:tc>
          <w:tcPr>
            <w:tcW w:w="918" w:type="dxa"/>
            <w:tcBorders>
              <w:top w:val="nil"/>
              <w:bottom w:val="nil"/>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.262</w:t>
            </w:r>
          </w:p>
        </w:tc>
        <w:tc>
          <w:tcPr>
            <w:tcW w:w="827"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3.816</w:t>
            </w:r>
          </w:p>
        </w:tc>
      </w:tr>
      <w:tr>
        <w:trPr>
          <w:cantSplit/>
          <w:trHeight w:val="500"/>
          <w:tblHeader/>
        </w:trPr>
        <w:tc>
          <w:tcPr>
            <w:tcW w:w="59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NoSpacing"/>
              <w:rPr>
                <w:rFonts w:ascii="Arial" w:hAnsi="Arial" w:cs="Arial"/>
              </w:rPr>
            </w:pPr>
          </w:p>
        </w:tc>
        <w:tc>
          <w:tcPr>
            <w:tcW w:w="1114"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NoSpacing"/>
              <w:rPr>
                <w:rFonts w:ascii="Arial" w:hAnsi="Arial" w:cs="Arial"/>
              </w:rPr>
            </w:pPr>
            <w:r>
              <w:rPr>
                <w:rFonts w:ascii="Arial" w:hAnsi="Arial" w:cs="Arial"/>
              </w:rPr>
              <w:t>Engagement</w:t>
            </w:r>
          </w:p>
        </w:tc>
        <w:tc>
          <w:tcPr>
            <w:tcW w:w="1082"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.536</w:t>
            </w:r>
          </w:p>
        </w:tc>
        <w:tc>
          <w:tcPr>
            <w:tcW w:w="1079" w:type="dxa"/>
            <w:tcBorders>
              <w:top w:val="nil"/>
              <w:bottom w:val="nil"/>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.161</w:t>
            </w:r>
          </w:p>
        </w:tc>
        <w:tc>
          <w:tcPr>
            <w:tcW w:w="1189" w:type="dxa"/>
            <w:tcBorders>
              <w:top w:val="nil"/>
              <w:bottom w:val="nil"/>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.470</w:t>
            </w:r>
          </w:p>
        </w:tc>
        <w:tc>
          <w:tcPr>
            <w:tcW w:w="825" w:type="dxa"/>
            <w:tcBorders>
              <w:top w:val="nil"/>
              <w:bottom w:val="nil"/>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3.337</w:t>
            </w:r>
          </w:p>
        </w:tc>
        <w:tc>
          <w:tcPr>
            <w:tcW w:w="825" w:type="dxa"/>
            <w:tcBorders>
              <w:top w:val="nil"/>
              <w:bottom w:val="nil"/>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.003</w:t>
            </w:r>
          </w:p>
        </w:tc>
        <w:tc>
          <w:tcPr>
            <w:tcW w:w="918" w:type="dxa"/>
            <w:tcBorders>
              <w:top w:val="nil"/>
              <w:bottom w:val="nil"/>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.262</w:t>
            </w:r>
          </w:p>
        </w:tc>
        <w:tc>
          <w:tcPr>
            <w:tcW w:w="827"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3.816</w:t>
            </w:r>
          </w:p>
        </w:tc>
      </w:tr>
      <w:tr>
        <w:trPr>
          <w:cantSplit/>
          <w:trHeight w:val="260"/>
          <w:tblHeader/>
        </w:trPr>
        <w:tc>
          <w:tcPr>
            <w:tcW w:w="59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NoSpacing"/>
              <w:rPr>
                <w:rFonts w:ascii="Arial" w:hAnsi="Arial" w:cs="Arial"/>
              </w:rPr>
            </w:pPr>
          </w:p>
        </w:tc>
        <w:tc>
          <w:tcPr>
            <w:tcW w:w="111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pPr>
              <w:pStyle w:val="NoSpacing"/>
              <w:rPr>
                <w:rFonts w:ascii="Arial" w:hAnsi="Arial" w:cs="Arial"/>
              </w:rPr>
            </w:pPr>
            <w:r>
              <w:rPr>
                <w:rFonts w:ascii="Arial" w:hAnsi="Arial" w:cs="Arial"/>
              </w:rPr>
              <w:t>Practices</w:t>
            </w:r>
          </w:p>
        </w:tc>
        <w:tc>
          <w:tcPr>
            <w:tcW w:w="108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.560</w:t>
            </w:r>
          </w:p>
        </w:tc>
        <w:tc>
          <w:tcPr>
            <w:tcW w:w="1079" w:type="dxa"/>
            <w:tcBorders>
              <w:top w:val="nil"/>
              <w:bottom w:val="single" w:sz="16" w:space="0" w:color="000000"/>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.353</w:t>
            </w:r>
          </w:p>
        </w:tc>
        <w:tc>
          <w:tcPr>
            <w:tcW w:w="1189" w:type="dxa"/>
            <w:tcBorders>
              <w:top w:val="nil"/>
              <w:bottom w:val="single" w:sz="16" w:space="0" w:color="000000"/>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.114</w:t>
            </w:r>
          </w:p>
        </w:tc>
        <w:tc>
          <w:tcPr>
            <w:tcW w:w="825" w:type="dxa"/>
            <w:tcBorders>
              <w:top w:val="nil"/>
              <w:bottom w:val="single" w:sz="16" w:space="0" w:color="000000"/>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1.585</w:t>
            </w:r>
          </w:p>
        </w:tc>
        <w:tc>
          <w:tcPr>
            <w:tcW w:w="825" w:type="dxa"/>
            <w:tcBorders>
              <w:top w:val="nil"/>
              <w:bottom w:val="single" w:sz="16" w:space="0" w:color="000000"/>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.125</w:t>
            </w:r>
          </w:p>
        </w:tc>
        <w:tc>
          <w:tcPr>
            <w:tcW w:w="918" w:type="dxa"/>
            <w:tcBorders>
              <w:top w:val="nil"/>
              <w:bottom w:val="single" w:sz="16" w:space="0" w:color="000000"/>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.999</w:t>
            </w:r>
          </w:p>
        </w:tc>
        <w:tc>
          <w:tcPr>
            <w:tcW w:w="827"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1.001</w:t>
            </w:r>
          </w:p>
        </w:tc>
      </w:tr>
      <w:tr>
        <w:trPr>
          <w:cantSplit/>
          <w:trHeight w:val="204"/>
        </w:trPr>
        <w:tc>
          <w:tcPr>
            <w:tcW w:w="2789" w:type="dxa"/>
            <w:gridSpan w:val="3"/>
            <w:tcBorders>
              <w:top w:val="nil"/>
              <w:left w:val="nil"/>
              <w:bottom w:val="nil"/>
              <w:right w:val="nil"/>
            </w:tcBorders>
            <w:shd w:val="clear" w:color="auto" w:fill="FFFFFF"/>
            <w:tcMar>
              <w:top w:w="30" w:type="dxa"/>
              <w:left w:w="30" w:type="dxa"/>
              <w:bottom w:w="30" w:type="dxa"/>
              <w:right w:w="30" w:type="dxa"/>
            </w:tcMar>
          </w:tcPr>
          <w:p>
            <w:pPr>
              <w:pStyle w:val="NoSpacing"/>
              <w:rPr>
                <w:rFonts w:ascii="Arial" w:hAnsi="Arial" w:cs="Arial"/>
              </w:rPr>
            </w:pPr>
            <w:r>
              <w:rPr>
                <w:rFonts w:ascii="Arial" w:hAnsi="Arial" w:cs="Arial"/>
              </w:rPr>
              <w:t>a. Dependent Variable: Use</w:t>
            </w:r>
          </w:p>
        </w:tc>
        <w:tc>
          <w:tcPr>
            <w:tcW w:w="1079" w:type="dxa"/>
            <w:tcBorders>
              <w:top w:val="nil"/>
              <w:left w:val="nil"/>
              <w:bottom w:val="nil"/>
              <w:right w:val="nil"/>
            </w:tcBorders>
            <w:shd w:val="clear" w:color="auto" w:fill="FFFFFF"/>
            <w:tcMar>
              <w:top w:w="30" w:type="dxa"/>
              <w:left w:w="30" w:type="dxa"/>
              <w:bottom w:w="30" w:type="dxa"/>
              <w:right w:w="30" w:type="dxa"/>
            </w:tcMar>
          </w:tcPr>
          <w:p>
            <w:pPr>
              <w:pStyle w:val="NoSpacing"/>
              <w:rPr>
                <w:rFonts w:ascii="Arial" w:hAnsi="Arial" w:cs="Arial"/>
              </w:rPr>
            </w:pPr>
          </w:p>
        </w:tc>
        <w:tc>
          <w:tcPr>
            <w:tcW w:w="1189" w:type="dxa"/>
            <w:tcBorders>
              <w:top w:val="nil"/>
              <w:left w:val="nil"/>
              <w:bottom w:val="nil"/>
              <w:right w:val="nil"/>
            </w:tcBorders>
            <w:shd w:val="clear" w:color="auto" w:fill="FFFFFF"/>
            <w:tcMar>
              <w:top w:w="30" w:type="dxa"/>
              <w:left w:w="30" w:type="dxa"/>
              <w:bottom w:w="30" w:type="dxa"/>
              <w:right w:w="30" w:type="dxa"/>
            </w:tcMar>
          </w:tcPr>
          <w:p>
            <w:pPr>
              <w:pStyle w:val="NoSpacing"/>
              <w:rPr>
                <w:rFonts w:ascii="Arial" w:hAnsi="Arial" w:cs="Arial"/>
              </w:rPr>
            </w:pPr>
          </w:p>
        </w:tc>
        <w:tc>
          <w:tcPr>
            <w:tcW w:w="825" w:type="dxa"/>
            <w:tcBorders>
              <w:top w:val="nil"/>
              <w:left w:val="nil"/>
              <w:bottom w:val="nil"/>
              <w:right w:val="nil"/>
            </w:tcBorders>
            <w:shd w:val="clear" w:color="auto" w:fill="FFFFFF"/>
            <w:tcMar>
              <w:top w:w="30" w:type="dxa"/>
              <w:left w:w="30" w:type="dxa"/>
              <w:bottom w:w="30" w:type="dxa"/>
              <w:right w:w="30" w:type="dxa"/>
            </w:tcMar>
          </w:tcPr>
          <w:p>
            <w:pPr>
              <w:pStyle w:val="NoSpacing"/>
              <w:rPr>
                <w:rFonts w:ascii="Arial" w:hAnsi="Arial" w:cs="Arial"/>
              </w:rPr>
            </w:pPr>
          </w:p>
        </w:tc>
        <w:tc>
          <w:tcPr>
            <w:tcW w:w="825" w:type="dxa"/>
            <w:tcBorders>
              <w:top w:val="nil"/>
              <w:left w:val="nil"/>
              <w:bottom w:val="nil"/>
              <w:right w:val="nil"/>
            </w:tcBorders>
            <w:shd w:val="clear" w:color="auto" w:fill="FFFFFF"/>
            <w:tcMar>
              <w:top w:w="30" w:type="dxa"/>
              <w:left w:w="30" w:type="dxa"/>
              <w:bottom w:w="30" w:type="dxa"/>
              <w:right w:w="30" w:type="dxa"/>
            </w:tcMar>
          </w:tcPr>
          <w:p>
            <w:pPr>
              <w:pStyle w:val="NoSpacing"/>
              <w:rPr>
                <w:rFonts w:ascii="Arial" w:hAnsi="Arial" w:cs="Arial"/>
              </w:rPr>
            </w:pPr>
          </w:p>
        </w:tc>
        <w:tc>
          <w:tcPr>
            <w:tcW w:w="918" w:type="dxa"/>
            <w:tcBorders>
              <w:top w:val="nil"/>
              <w:left w:val="nil"/>
              <w:bottom w:val="nil"/>
              <w:right w:val="nil"/>
            </w:tcBorders>
            <w:shd w:val="clear" w:color="auto" w:fill="FFFFFF"/>
            <w:tcMar>
              <w:top w:w="30" w:type="dxa"/>
              <w:left w:w="30" w:type="dxa"/>
              <w:bottom w:w="30" w:type="dxa"/>
              <w:right w:w="30" w:type="dxa"/>
            </w:tcMar>
          </w:tcPr>
          <w:p>
            <w:pPr>
              <w:pStyle w:val="NoSpacing"/>
              <w:rPr>
                <w:rFonts w:ascii="Arial" w:hAnsi="Arial" w:cs="Arial"/>
              </w:rPr>
            </w:pPr>
          </w:p>
        </w:tc>
        <w:tc>
          <w:tcPr>
            <w:tcW w:w="827" w:type="dxa"/>
            <w:gridSpan w:val="2"/>
            <w:tcBorders>
              <w:top w:val="nil"/>
              <w:left w:val="nil"/>
              <w:bottom w:val="nil"/>
              <w:right w:val="nil"/>
            </w:tcBorders>
            <w:shd w:val="clear" w:color="auto" w:fill="FFFFFF"/>
            <w:tcMar>
              <w:top w:w="30" w:type="dxa"/>
              <w:left w:w="30" w:type="dxa"/>
              <w:bottom w:w="30" w:type="dxa"/>
              <w:right w:w="30" w:type="dxa"/>
            </w:tcMar>
          </w:tcPr>
          <w:p>
            <w:pPr>
              <w:pStyle w:val="NoSpacing"/>
              <w:rPr>
                <w:rFonts w:ascii="Arial" w:hAnsi="Arial" w:cs="Arial"/>
              </w:rPr>
            </w:pPr>
          </w:p>
        </w:tc>
      </w:tr>
    </w:tbl>
    <w:p>
      <w:pPr>
        <w:rPr>
          <w:rFonts w:ascii="Arial" w:hAnsi="Arial" w:cs="Arial"/>
        </w:rPr>
      </w:pPr>
    </w:p>
    <w:tbl>
      <w:tblPr>
        <w:tblW w:w="87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54"/>
        <w:gridCol w:w="542"/>
        <w:gridCol w:w="805"/>
        <w:gridCol w:w="1086"/>
        <w:gridCol w:w="1086"/>
        <w:gridCol w:w="1093"/>
        <w:gridCol w:w="828"/>
        <w:gridCol w:w="754"/>
        <w:gridCol w:w="754"/>
        <w:gridCol w:w="1091"/>
        <w:gridCol w:w="6"/>
      </w:tblGrid>
      <w:tr>
        <w:trPr>
          <w:cantSplit/>
          <w:trHeight w:val="231"/>
          <w:tblHeader/>
        </w:trPr>
        <w:tc>
          <w:tcPr>
            <w:tcW w:w="8799" w:type="dxa"/>
            <w:gridSpan w:val="11"/>
            <w:tcBorders>
              <w:top w:val="nil"/>
              <w:left w:val="nil"/>
              <w:bottom w:val="nil"/>
              <w:right w:val="nil"/>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lastRenderedPageBreak/>
              <w:t>Model Summary</w:t>
            </w:r>
          </w:p>
        </w:tc>
      </w:tr>
      <w:tr>
        <w:trPr>
          <w:gridAfter w:val="1"/>
          <w:wAfter w:w="6" w:type="dxa"/>
          <w:cantSplit/>
          <w:trHeight w:val="243"/>
          <w:tblHeader/>
        </w:trPr>
        <w:tc>
          <w:tcPr>
            <w:tcW w:w="754"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pPr>
              <w:pStyle w:val="NoSpacing"/>
              <w:rPr>
                <w:rFonts w:ascii="Arial" w:hAnsi="Arial" w:cs="Arial"/>
              </w:rPr>
            </w:pPr>
            <w:r>
              <w:rPr>
                <w:rFonts w:ascii="Arial" w:hAnsi="Arial" w:cs="Arial"/>
              </w:rPr>
              <w:t>Model</w:t>
            </w:r>
          </w:p>
        </w:tc>
        <w:tc>
          <w:tcPr>
            <w:tcW w:w="542"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pPr>
              <w:pStyle w:val="NoSpacing"/>
              <w:rPr>
                <w:rFonts w:ascii="Arial" w:hAnsi="Arial" w:cs="Arial"/>
              </w:rPr>
            </w:pPr>
            <w:r>
              <w:rPr>
                <w:rFonts w:ascii="Arial" w:hAnsi="Arial" w:cs="Arial"/>
              </w:rPr>
              <w:t>R</w:t>
            </w:r>
          </w:p>
        </w:tc>
        <w:tc>
          <w:tcPr>
            <w:tcW w:w="805"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pPr>
              <w:pStyle w:val="NoSpacing"/>
              <w:rPr>
                <w:rFonts w:ascii="Arial" w:hAnsi="Arial" w:cs="Arial"/>
              </w:rPr>
            </w:pPr>
            <w:r>
              <w:rPr>
                <w:rFonts w:ascii="Arial" w:hAnsi="Arial" w:cs="Arial"/>
              </w:rPr>
              <w:t>R Square</w:t>
            </w:r>
          </w:p>
        </w:tc>
        <w:tc>
          <w:tcPr>
            <w:tcW w:w="1086"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pPr>
              <w:pStyle w:val="NoSpacing"/>
              <w:rPr>
                <w:rFonts w:ascii="Arial" w:hAnsi="Arial" w:cs="Arial"/>
              </w:rPr>
            </w:pPr>
            <w:r>
              <w:rPr>
                <w:rFonts w:ascii="Arial" w:hAnsi="Arial" w:cs="Arial"/>
              </w:rPr>
              <w:t>Adjusted R Square</w:t>
            </w:r>
          </w:p>
        </w:tc>
        <w:tc>
          <w:tcPr>
            <w:tcW w:w="1086"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pPr>
              <w:pStyle w:val="NoSpacing"/>
              <w:rPr>
                <w:rFonts w:ascii="Arial" w:hAnsi="Arial" w:cs="Arial"/>
              </w:rPr>
            </w:pPr>
            <w:r>
              <w:rPr>
                <w:rFonts w:ascii="Arial" w:hAnsi="Arial" w:cs="Arial"/>
              </w:rPr>
              <w:t>Std. Error of the Estimate</w:t>
            </w:r>
          </w:p>
        </w:tc>
        <w:tc>
          <w:tcPr>
            <w:tcW w:w="4520" w:type="dxa"/>
            <w:gridSpan w:val="5"/>
            <w:tcBorders>
              <w:top w:val="single" w:sz="16" w:space="0" w:color="000000"/>
              <w:right w:val="single" w:sz="16" w:space="0" w:color="000000"/>
            </w:tcBorders>
            <w:shd w:val="clear" w:color="auto" w:fill="FFFFFF"/>
            <w:tcMar>
              <w:top w:w="30" w:type="dxa"/>
              <w:left w:w="30" w:type="dxa"/>
              <w:bottom w:w="30" w:type="dxa"/>
              <w:right w:w="30" w:type="dxa"/>
            </w:tcMar>
            <w:vAlign w:val="bottom"/>
          </w:tcPr>
          <w:p>
            <w:pPr>
              <w:pStyle w:val="NoSpacing"/>
              <w:rPr>
                <w:rFonts w:ascii="Arial" w:hAnsi="Arial" w:cs="Arial"/>
              </w:rPr>
            </w:pPr>
            <w:r>
              <w:rPr>
                <w:rFonts w:ascii="Arial" w:hAnsi="Arial" w:cs="Arial"/>
              </w:rPr>
              <w:t>Change Statistics</w:t>
            </w:r>
          </w:p>
        </w:tc>
      </w:tr>
      <w:tr>
        <w:trPr>
          <w:gridAfter w:val="1"/>
          <w:wAfter w:w="6" w:type="dxa"/>
          <w:cantSplit/>
          <w:trHeight w:val="110"/>
          <w:tblHeader/>
        </w:trPr>
        <w:tc>
          <w:tcPr>
            <w:tcW w:w="754"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pPr>
              <w:pStyle w:val="NoSpacing"/>
              <w:rPr>
                <w:rFonts w:ascii="Arial" w:hAnsi="Arial" w:cs="Arial"/>
              </w:rPr>
            </w:pPr>
          </w:p>
        </w:tc>
        <w:tc>
          <w:tcPr>
            <w:tcW w:w="542"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pPr>
              <w:pStyle w:val="NoSpacing"/>
              <w:rPr>
                <w:rFonts w:ascii="Arial" w:hAnsi="Arial" w:cs="Arial"/>
              </w:rPr>
            </w:pPr>
          </w:p>
        </w:tc>
        <w:tc>
          <w:tcPr>
            <w:tcW w:w="805"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pPr>
              <w:pStyle w:val="NoSpacing"/>
              <w:rPr>
                <w:rFonts w:ascii="Arial" w:hAnsi="Arial" w:cs="Arial"/>
              </w:rPr>
            </w:pPr>
          </w:p>
        </w:tc>
        <w:tc>
          <w:tcPr>
            <w:tcW w:w="1086"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pPr>
              <w:pStyle w:val="NoSpacing"/>
              <w:rPr>
                <w:rFonts w:ascii="Arial" w:hAnsi="Arial" w:cs="Arial"/>
              </w:rPr>
            </w:pPr>
          </w:p>
        </w:tc>
        <w:tc>
          <w:tcPr>
            <w:tcW w:w="1086"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pPr>
              <w:pStyle w:val="NoSpacing"/>
              <w:rPr>
                <w:rFonts w:ascii="Arial" w:hAnsi="Arial" w:cs="Arial"/>
              </w:rPr>
            </w:pPr>
          </w:p>
        </w:tc>
        <w:tc>
          <w:tcPr>
            <w:tcW w:w="1093" w:type="dxa"/>
            <w:tcBorders>
              <w:bottom w:val="single" w:sz="16" w:space="0" w:color="000000"/>
            </w:tcBorders>
            <w:shd w:val="clear" w:color="auto" w:fill="FFFFFF"/>
            <w:tcMar>
              <w:top w:w="30" w:type="dxa"/>
              <w:left w:w="30" w:type="dxa"/>
              <w:bottom w:w="30" w:type="dxa"/>
              <w:right w:w="30" w:type="dxa"/>
            </w:tcMar>
            <w:vAlign w:val="bottom"/>
          </w:tcPr>
          <w:p>
            <w:pPr>
              <w:pStyle w:val="NoSpacing"/>
              <w:rPr>
                <w:rFonts w:ascii="Arial" w:hAnsi="Arial" w:cs="Arial"/>
              </w:rPr>
            </w:pPr>
            <w:r>
              <w:rPr>
                <w:rFonts w:ascii="Arial" w:hAnsi="Arial" w:cs="Arial"/>
              </w:rPr>
              <w:t>R Square Change</w:t>
            </w:r>
          </w:p>
        </w:tc>
        <w:tc>
          <w:tcPr>
            <w:tcW w:w="828" w:type="dxa"/>
            <w:tcBorders>
              <w:bottom w:val="single" w:sz="16" w:space="0" w:color="000000"/>
            </w:tcBorders>
            <w:shd w:val="clear" w:color="auto" w:fill="FFFFFF"/>
            <w:tcMar>
              <w:top w:w="30" w:type="dxa"/>
              <w:left w:w="30" w:type="dxa"/>
              <w:bottom w:w="30" w:type="dxa"/>
              <w:right w:w="30" w:type="dxa"/>
            </w:tcMar>
            <w:vAlign w:val="bottom"/>
          </w:tcPr>
          <w:p>
            <w:pPr>
              <w:pStyle w:val="NoSpacing"/>
              <w:rPr>
                <w:rFonts w:ascii="Arial" w:hAnsi="Arial" w:cs="Arial"/>
              </w:rPr>
            </w:pPr>
            <w:r>
              <w:rPr>
                <w:rFonts w:ascii="Arial" w:hAnsi="Arial" w:cs="Arial"/>
              </w:rPr>
              <w:t>F Change</w:t>
            </w:r>
          </w:p>
        </w:tc>
        <w:tc>
          <w:tcPr>
            <w:tcW w:w="754" w:type="dxa"/>
            <w:tcBorders>
              <w:bottom w:val="single" w:sz="16" w:space="0" w:color="000000"/>
            </w:tcBorders>
            <w:shd w:val="clear" w:color="auto" w:fill="FFFFFF"/>
            <w:tcMar>
              <w:top w:w="30" w:type="dxa"/>
              <w:left w:w="30" w:type="dxa"/>
              <w:bottom w:w="30" w:type="dxa"/>
              <w:right w:w="30" w:type="dxa"/>
            </w:tcMar>
            <w:vAlign w:val="bottom"/>
          </w:tcPr>
          <w:p>
            <w:pPr>
              <w:pStyle w:val="NoSpacing"/>
              <w:rPr>
                <w:rFonts w:ascii="Arial" w:hAnsi="Arial" w:cs="Arial"/>
              </w:rPr>
            </w:pPr>
            <w:r>
              <w:rPr>
                <w:rFonts w:ascii="Arial" w:hAnsi="Arial" w:cs="Arial"/>
              </w:rPr>
              <w:t>df1</w:t>
            </w:r>
          </w:p>
        </w:tc>
        <w:tc>
          <w:tcPr>
            <w:tcW w:w="754" w:type="dxa"/>
            <w:tcBorders>
              <w:bottom w:val="single" w:sz="16" w:space="0" w:color="000000"/>
            </w:tcBorders>
            <w:shd w:val="clear" w:color="auto" w:fill="FFFFFF"/>
            <w:tcMar>
              <w:top w:w="30" w:type="dxa"/>
              <w:left w:w="30" w:type="dxa"/>
              <w:bottom w:w="30" w:type="dxa"/>
              <w:right w:w="30" w:type="dxa"/>
            </w:tcMar>
            <w:vAlign w:val="bottom"/>
          </w:tcPr>
          <w:p>
            <w:pPr>
              <w:pStyle w:val="NoSpacing"/>
              <w:rPr>
                <w:rFonts w:ascii="Arial" w:hAnsi="Arial" w:cs="Arial"/>
              </w:rPr>
            </w:pPr>
            <w:r>
              <w:rPr>
                <w:rFonts w:ascii="Arial" w:hAnsi="Arial" w:cs="Arial"/>
              </w:rPr>
              <w:t>df2</w:t>
            </w:r>
          </w:p>
        </w:tc>
        <w:tc>
          <w:tcPr>
            <w:tcW w:w="1091"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pPr>
              <w:pStyle w:val="NoSpacing"/>
              <w:rPr>
                <w:rFonts w:ascii="Arial" w:hAnsi="Arial" w:cs="Arial"/>
              </w:rPr>
            </w:pPr>
            <w:r>
              <w:rPr>
                <w:rFonts w:ascii="Arial" w:hAnsi="Arial" w:cs="Arial"/>
              </w:rPr>
              <w:t>Sig. F Change</w:t>
            </w:r>
          </w:p>
        </w:tc>
      </w:tr>
      <w:tr>
        <w:trPr>
          <w:gridAfter w:val="1"/>
          <w:wAfter w:w="6" w:type="dxa"/>
          <w:cantSplit/>
          <w:trHeight w:val="231"/>
          <w:tblHeader/>
        </w:trPr>
        <w:tc>
          <w:tcPr>
            <w:tcW w:w="75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pPr>
              <w:pStyle w:val="NoSpacing"/>
              <w:rPr>
                <w:rFonts w:ascii="Arial" w:hAnsi="Arial" w:cs="Arial"/>
              </w:rPr>
            </w:pPr>
            <w:r>
              <w:rPr>
                <w:rFonts w:ascii="Arial" w:hAnsi="Arial" w:cs="Arial"/>
              </w:rPr>
              <w:t>1</w:t>
            </w:r>
          </w:p>
        </w:tc>
        <w:tc>
          <w:tcPr>
            <w:tcW w:w="5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.930</w:t>
            </w:r>
            <w:r>
              <w:rPr>
                <w:rFonts w:ascii="Arial" w:hAnsi="Arial" w:cs="Arial"/>
                <w:vertAlign w:val="superscript"/>
              </w:rPr>
              <w:t>a</w:t>
            </w:r>
          </w:p>
        </w:tc>
        <w:tc>
          <w:tcPr>
            <w:tcW w:w="80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.865</w:t>
            </w:r>
          </w:p>
        </w:tc>
        <w:tc>
          <w:tcPr>
            <w:tcW w:w="108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.849</w:t>
            </w:r>
          </w:p>
        </w:tc>
        <w:tc>
          <w:tcPr>
            <w:tcW w:w="108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.38042</w:t>
            </w:r>
          </w:p>
        </w:tc>
        <w:tc>
          <w:tcPr>
            <w:tcW w:w="109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.865</w:t>
            </w:r>
          </w:p>
        </w:tc>
        <w:tc>
          <w:tcPr>
            <w:tcW w:w="82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55.465</w:t>
            </w:r>
          </w:p>
        </w:tc>
        <w:tc>
          <w:tcPr>
            <w:tcW w:w="754"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3</w:t>
            </w:r>
          </w:p>
        </w:tc>
        <w:tc>
          <w:tcPr>
            <w:tcW w:w="754"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26</w:t>
            </w:r>
          </w:p>
        </w:tc>
        <w:tc>
          <w:tcPr>
            <w:tcW w:w="109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.000</w:t>
            </w:r>
          </w:p>
        </w:tc>
      </w:tr>
      <w:tr>
        <w:trPr>
          <w:cantSplit/>
          <w:trHeight w:val="220"/>
        </w:trPr>
        <w:tc>
          <w:tcPr>
            <w:tcW w:w="5366" w:type="dxa"/>
            <w:gridSpan w:val="6"/>
            <w:tcBorders>
              <w:top w:val="nil"/>
              <w:left w:val="nil"/>
              <w:bottom w:val="nil"/>
              <w:right w:val="nil"/>
            </w:tcBorders>
            <w:shd w:val="clear" w:color="auto" w:fill="FFFFFF"/>
            <w:tcMar>
              <w:top w:w="30" w:type="dxa"/>
              <w:left w:w="30" w:type="dxa"/>
              <w:bottom w:w="30" w:type="dxa"/>
              <w:right w:w="30" w:type="dxa"/>
            </w:tcMar>
          </w:tcPr>
          <w:p>
            <w:pPr>
              <w:pStyle w:val="NoSpacing"/>
              <w:rPr>
                <w:rFonts w:ascii="Arial" w:hAnsi="Arial" w:cs="Arial"/>
              </w:rPr>
            </w:pPr>
            <w:r>
              <w:rPr>
                <w:rFonts w:ascii="Arial" w:hAnsi="Arial" w:cs="Arial"/>
              </w:rPr>
              <w:t>a. Predictors: (Constant), Practices, Engagement, Competence</w:t>
            </w:r>
          </w:p>
        </w:tc>
        <w:tc>
          <w:tcPr>
            <w:tcW w:w="828" w:type="dxa"/>
            <w:tcBorders>
              <w:top w:val="nil"/>
              <w:left w:val="nil"/>
              <w:bottom w:val="nil"/>
              <w:right w:val="nil"/>
            </w:tcBorders>
            <w:shd w:val="clear" w:color="auto" w:fill="FFFFFF"/>
            <w:tcMar>
              <w:top w:w="30" w:type="dxa"/>
              <w:left w:w="30" w:type="dxa"/>
              <w:bottom w:w="30" w:type="dxa"/>
              <w:right w:w="30" w:type="dxa"/>
            </w:tcMar>
          </w:tcPr>
          <w:p>
            <w:pPr>
              <w:pStyle w:val="NoSpacing"/>
              <w:rPr>
                <w:rFonts w:ascii="Arial" w:hAnsi="Arial" w:cs="Arial"/>
              </w:rPr>
            </w:pPr>
          </w:p>
        </w:tc>
        <w:tc>
          <w:tcPr>
            <w:tcW w:w="754" w:type="dxa"/>
            <w:tcBorders>
              <w:top w:val="nil"/>
              <w:left w:val="nil"/>
              <w:bottom w:val="nil"/>
              <w:right w:val="nil"/>
            </w:tcBorders>
            <w:shd w:val="clear" w:color="auto" w:fill="FFFFFF"/>
            <w:tcMar>
              <w:top w:w="30" w:type="dxa"/>
              <w:left w:w="30" w:type="dxa"/>
              <w:bottom w:w="30" w:type="dxa"/>
              <w:right w:w="30" w:type="dxa"/>
            </w:tcMar>
          </w:tcPr>
          <w:p>
            <w:pPr>
              <w:pStyle w:val="NoSpacing"/>
              <w:rPr>
                <w:rFonts w:ascii="Arial" w:hAnsi="Arial" w:cs="Arial"/>
              </w:rPr>
            </w:pPr>
          </w:p>
        </w:tc>
        <w:tc>
          <w:tcPr>
            <w:tcW w:w="754" w:type="dxa"/>
            <w:tcBorders>
              <w:top w:val="nil"/>
              <w:left w:val="nil"/>
              <w:bottom w:val="nil"/>
              <w:right w:val="nil"/>
            </w:tcBorders>
            <w:shd w:val="clear" w:color="auto" w:fill="FFFFFF"/>
            <w:tcMar>
              <w:top w:w="30" w:type="dxa"/>
              <w:left w:w="30" w:type="dxa"/>
              <w:bottom w:w="30" w:type="dxa"/>
              <w:right w:w="30" w:type="dxa"/>
            </w:tcMar>
          </w:tcPr>
          <w:p>
            <w:pPr>
              <w:pStyle w:val="NoSpacing"/>
              <w:rPr>
                <w:rFonts w:ascii="Arial" w:hAnsi="Arial" w:cs="Arial"/>
              </w:rPr>
            </w:pPr>
          </w:p>
        </w:tc>
        <w:tc>
          <w:tcPr>
            <w:tcW w:w="1097" w:type="dxa"/>
            <w:gridSpan w:val="2"/>
            <w:tcBorders>
              <w:top w:val="nil"/>
              <w:left w:val="nil"/>
              <w:bottom w:val="nil"/>
              <w:right w:val="nil"/>
            </w:tcBorders>
            <w:shd w:val="clear" w:color="auto" w:fill="FFFFFF"/>
            <w:tcMar>
              <w:top w:w="30" w:type="dxa"/>
              <w:left w:w="30" w:type="dxa"/>
              <w:bottom w:w="30" w:type="dxa"/>
              <w:right w:w="30" w:type="dxa"/>
            </w:tcMar>
          </w:tcPr>
          <w:p>
            <w:pPr>
              <w:pStyle w:val="NoSpacing"/>
              <w:rPr>
                <w:rFonts w:ascii="Arial" w:hAnsi="Arial" w:cs="Arial"/>
              </w:rPr>
            </w:pPr>
          </w:p>
        </w:tc>
      </w:tr>
    </w:tbl>
    <w:tbl>
      <w:tblPr>
        <w:tblpPr w:leftFromText="180" w:rightFromText="180" w:vertAnchor="text" w:horzAnchor="margin" w:tblpY="176"/>
        <w:tblW w:w="9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19"/>
        <w:gridCol w:w="1621"/>
        <w:gridCol w:w="2251"/>
        <w:gridCol w:w="6"/>
        <w:gridCol w:w="992"/>
        <w:gridCol w:w="6"/>
        <w:gridCol w:w="1426"/>
        <w:gridCol w:w="6"/>
        <w:gridCol w:w="986"/>
        <w:gridCol w:w="6"/>
        <w:gridCol w:w="1074"/>
        <w:gridCol w:w="6"/>
        <w:gridCol w:w="14"/>
      </w:tblGrid>
      <w:tr>
        <w:trPr>
          <w:cantSplit/>
          <w:tblHeader/>
        </w:trPr>
        <w:tc>
          <w:tcPr>
            <w:tcW w:w="9113" w:type="dxa"/>
            <w:gridSpan w:val="13"/>
            <w:tcBorders>
              <w:top w:val="nil"/>
              <w:left w:val="nil"/>
              <w:bottom w:val="nil"/>
              <w:right w:val="nil"/>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b/>
                <w:bCs/>
              </w:rPr>
              <w:t>ANOVA</w:t>
            </w:r>
            <w:r>
              <w:rPr>
                <w:rFonts w:ascii="Arial" w:hAnsi="Arial" w:cs="Arial"/>
                <w:b/>
                <w:bCs/>
                <w:vertAlign w:val="superscript"/>
              </w:rPr>
              <w:t>b</w:t>
            </w:r>
          </w:p>
        </w:tc>
      </w:tr>
      <w:tr>
        <w:trPr>
          <w:gridAfter w:val="2"/>
          <w:wAfter w:w="20" w:type="dxa"/>
          <w:cantSplit/>
        </w:trPr>
        <w:tc>
          <w:tcPr>
            <w:tcW w:w="2340"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pPr>
              <w:pStyle w:val="NoSpacing"/>
              <w:rPr>
                <w:rFonts w:ascii="Arial" w:hAnsi="Arial" w:cs="Arial"/>
              </w:rPr>
            </w:pPr>
            <w:r>
              <w:rPr>
                <w:rFonts w:ascii="Arial" w:hAnsi="Arial" w:cs="Arial"/>
              </w:rPr>
              <w:t>Model</w:t>
            </w:r>
          </w:p>
        </w:tc>
        <w:tc>
          <w:tcPr>
            <w:tcW w:w="225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pPr>
              <w:pStyle w:val="NoSpacing"/>
              <w:rPr>
                <w:rFonts w:ascii="Arial" w:hAnsi="Arial" w:cs="Arial"/>
              </w:rPr>
            </w:pPr>
            <w:r>
              <w:rPr>
                <w:rFonts w:ascii="Arial" w:hAnsi="Arial" w:cs="Arial"/>
              </w:rPr>
              <w:t>Sum of Squares</w:t>
            </w:r>
          </w:p>
        </w:tc>
        <w:tc>
          <w:tcPr>
            <w:tcW w:w="99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pPr>
              <w:pStyle w:val="NoSpacing"/>
              <w:rPr>
                <w:rFonts w:ascii="Arial" w:hAnsi="Arial" w:cs="Arial"/>
              </w:rPr>
            </w:pPr>
            <w:r>
              <w:rPr>
                <w:rFonts w:ascii="Arial" w:hAnsi="Arial" w:cs="Arial"/>
              </w:rPr>
              <w:t>df</w:t>
            </w:r>
          </w:p>
        </w:tc>
        <w:tc>
          <w:tcPr>
            <w:tcW w:w="1432"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pPr>
              <w:pStyle w:val="NoSpacing"/>
              <w:rPr>
                <w:rFonts w:ascii="Arial" w:hAnsi="Arial" w:cs="Arial"/>
              </w:rPr>
            </w:pPr>
            <w:r>
              <w:rPr>
                <w:rFonts w:ascii="Arial" w:hAnsi="Arial" w:cs="Arial"/>
              </w:rPr>
              <w:t>Mean Square</w:t>
            </w:r>
          </w:p>
        </w:tc>
        <w:tc>
          <w:tcPr>
            <w:tcW w:w="992"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pPr>
              <w:pStyle w:val="NoSpacing"/>
              <w:rPr>
                <w:rFonts w:ascii="Arial" w:hAnsi="Arial" w:cs="Arial"/>
              </w:rPr>
            </w:pPr>
            <w:r>
              <w:rPr>
                <w:rFonts w:ascii="Arial" w:hAnsi="Arial" w:cs="Arial"/>
              </w:rPr>
              <w:t>F</w:t>
            </w:r>
          </w:p>
        </w:tc>
        <w:tc>
          <w:tcPr>
            <w:tcW w:w="1080"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pPr>
              <w:pStyle w:val="NoSpacing"/>
              <w:rPr>
                <w:rFonts w:ascii="Arial" w:hAnsi="Arial" w:cs="Arial"/>
              </w:rPr>
            </w:pPr>
            <w:r>
              <w:rPr>
                <w:rFonts w:ascii="Arial" w:hAnsi="Arial" w:cs="Arial"/>
              </w:rPr>
              <w:t>Sig.</w:t>
            </w:r>
          </w:p>
        </w:tc>
      </w:tr>
      <w:tr>
        <w:trPr>
          <w:gridAfter w:val="2"/>
          <w:wAfter w:w="20" w:type="dxa"/>
          <w:cantSplit/>
        </w:trPr>
        <w:tc>
          <w:tcPr>
            <w:tcW w:w="71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NoSpacing"/>
              <w:rPr>
                <w:rFonts w:ascii="Arial" w:hAnsi="Arial" w:cs="Arial"/>
              </w:rPr>
            </w:pPr>
            <w:r>
              <w:rPr>
                <w:rFonts w:ascii="Arial" w:hAnsi="Arial" w:cs="Arial"/>
              </w:rPr>
              <w:t>1</w:t>
            </w:r>
          </w:p>
        </w:tc>
        <w:tc>
          <w:tcPr>
            <w:tcW w:w="162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pPr>
              <w:pStyle w:val="NoSpacing"/>
              <w:rPr>
                <w:rFonts w:ascii="Arial" w:hAnsi="Arial" w:cs="Arial"/>
              </w:rPr>
            </w:pPr>
            <w:r>
              <w:rPr>
                <w:rFonts w:ascii="Arial" w:hAnsi="Arial" w:cs="Arial"/>
              </w:rPr>
              <w:t>Regression</w:t>
            </w:r>
          </w:p>
        </w:tc>
        <w:tc>
          <w:tcPr>
            <w:tcW w:w="225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24.080</w:t>
            </w:r>
          </w:p>
        </w:tc>
        <w:tc>
          <w:tcPr>
            <w:tcW w:w="998" w:type="dxa"/>
            <w:gridSpan w:val="2"/>
            <w:tcBorders>
              <w:top w:val="single" w:sz="16" w:space="0" w:color="000000"/>
              <w:bottom w:val="nil"/>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3</w:t>
            </w:r>
          </w:p>
        </w:tc>
        <w:tc>
          <w:tcPr>
            <w:tcW w:w="1432" w:type="dxa"/>
            <w:gridSpan w:val="2"/>
            <w:tcBorders>
              <w:top w:val="single" w:sz="16" w:space="0" w:color="000000"/>
              <w:bottom w:val="nil"/>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8.027</w:t>
            </w:r>
          </w:p>
        </w:tc>
        <w:tc>
          <w:tcPr>
            <w:tcW w:w="992" w:type="dxa"/>
            <w:gridSpan w:val="2"/>
            <w:tcBorders>
              <w:top w:val="single" w:sz="16" w:space="0" w:color="000000"/>
              <w:bottom w:val="nil"/>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55.465</w:t>
            </w:r>
          </w:p>
        </w:tc>
        <w:tc>
          <w:tcPr>
            <w:tcW w:w="1080"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.000</w:t>
            </w:r>
            <w:r>
              <w:rPr>
                <w:rFonts w:ascii="Arial" w:hAnsi="Arial" w:cs="Arial"/>
                <w:vertAlign w:val="superscript"/>
              </w:rPr>
              <w:t>a</w:t>
            </w:r>
          </w:p>
        </w:tc>
      </w:tr>
      <w:tr>
        <w:trPr>
          <w:gridAfter w:val="2"/>
          <w:wAfter w:w="20" w:type="dxa"/>
          <w:cantSplit/>
        </w:trPr>
        <w:tc>
          <w:tcPr>
            <w:tcW w:w="71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NoSpacing"/>
              <w:rPr>
                <w:rFonts w:ascii="Arial" w:hAnsi="Arial" w:cs="Arial"/>
              </w:rPr>
            </w:pPr>
          </w:p>
        </w:tc>
        <w:tc>
          <w:tcPr>
            <w:tcW w:w="1621" w:type="dxa"/>
            <w:tcBorders>
              <w:top w:val="nil"/>
              <w:left w:val="nil"/>
              <w:bottom w:val="nil"/>
              <w:right w:val="single" w:sz="16" w:space="0" w:color="000000"/>
            </w:tcBorders>
            <w:shd w:val="clear" w:color="auto" w:fill="FFFFFF"/>
            <w:tcMar>
              <w:top w:w="30" w:type="dxa"/>
              <w:left w:w="30" w:type="dxa"/>
              <w:bottom w:w="30" w:type="dxa"/>
              <w:right w:w="30" w:type="dxa"/>
            </w:tcMar>
          </w:tcPr>
          <w:p>
            <w:pPr>
              <w:pStyle w:val="NoSpacing"/>
              <w:rPr>
                <w:rFonts w:ascii="Arial" w:hAnsi="Arial" w:cs="Arial"/>
              </w:rPr>
            </w:pPr>
            <w:r>
              <w:rPr>
                <w:rFonts w:ascii="Arial" w:hAnsi="Arial" w:cs="Arial"/>
              </w:rPr>
              <w:t>Residual</w:t>
            </w:r>
          </w:p>
        </w:tc>
        <w:tc>
          <w:tcPr>
            <w:tcW w:w="2251" w:type="dxa"/>
            <w:tcBorders>
              <w:top w:val="nil"/>
              <w:left w:val="single" w:sz="16" w:space="0" w:color="000000"/>
              <w:bottom w:val="nil"/>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3.763</w:t>
            </w:r>
          </w:p>
        </w:tc>
        <w:tc>
          <w:tcPr>
            <w:tcW w:w="998" w:type="dxa"/>
            <w:gridSpan w:val="2"/>
            <w:tcBorders>
              <w:top w:val="nil"/>
              <w:bottom w:val="nil"/>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26</w:t>
            </w:r>
          </w:p>
        </w:tc>
        <w:tc>
          <w:tcPr>
            <w:tcW w:w="1432" w:type="dxa"/>
            <w:gridSpan w:val="2"/>
            <w:tcBorders>
              <w:top w:val="nil"/>
              <w:bottom w:val="nil"/>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.145</w:t>
            </w:r>
          </w:p>
        </w:tc>
        <w:tc>
          <w:tcPr>
            <w:tcW w:w="992" w:type="dxa"/>
            <w:gridSpan w:val="2"/>
            <w:tcBorders>
              <w:top w:val="nil"/>
              <w:bottom w:val="nil"/>
            </w:tcBorders>
            <w:shd w:val="clear" w:color="auto" w:fill="FFFFFF"/>
            <w:tcMar>
              <w:top w:w="30" w:type="dxa"/>
              <w:left w:w="30" w:type="dxa"/>
              <w:bottom w:w="30" w:type="dxa"/>
              <w:right w:w="30" w:type="dxa"/>
            </w:tcMar>
          </w:tcPr>
          <w:p>
            <w:pPr>
              <w:pStyle w:val="NoSpacing"/>
              <w:rPr>
                <w:rFonts w:ascii="Arial" w:hAnsi="Arial" w:cs="Arial"/>
              </w:rPr>
            </w:pPr>
          </w:p>
        </w:tc>
        <w:tc>
          <w:tcPr>
            <w:tcW w:w="1080" w:type="dxa"/>
            <w:gridSpan w:val="2"/>
            <w:tcBorders>
              <w:top w:val="nil"/>
              <w:bottom w:val="nil"/>
              <w:right w:val="single" w:sz="16" w:space="0" w:color="000000"/>
            </w:tcBorders>
            <w:shd w:val="clear" w:color="auto" w:fill="FFFFFF"/>
            <w:tcMar>
              <w:top w:w="30" w:type="dxa"/>
              <w:left w:w="30" w:type="dxa"/>
              <w:bottom w:w="30" w:type="dxa"/>
              <w:right w:w="30" w:type="dxa"/>
            </w:tcMar>
          </w:tcPr>
          <w:p>
            <w:pPr>
              <w:pStyle w:val="NoSpacing"/>
              <w:rPr>
                <w:rFonts w:ascii="Arial" w:hAnsi="Arial" w:cs="Arial"/>
              </w:rPr>
            </w:pPr>
          </w:p>
        </w:tc>
      </w:tr>
      <w:tr>
        <w:trPr>
          <w:gridAfter w:val="2"/>
          <w:wAfter w:w="20" w:type="dxa"/>
          <w:cantSplit/>
        </w:trPr>
        <w:tc>
          <w:tcPr>
            <w:tcW w:w="71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pPr>
              <w:pStyle w:val="NoSpacing"/>
              <w:rPr>
                <w:rFonts w:ascii="Arial" w:hAnsi="Arial" w:cs="Arial"/>
              </w:rPr>
            </w:pPr>
          </w:p>
        </w:tc>
        <w:tc>
          <w:tcPr>
            <w:tcW w:w="162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pPr>
              <w:pStyle w:val="NoSpacing"/>
              <w:rPr>
                <w:rFonts w:ascii="Arial" w:hAnsi="Arial" w:cs="Arial"/>
              </w:rPr>
            </w:pPr>
            <w:r>
              <w:rPr>
                <w:rFonts w:ascii="Arial" w:hAnsi="Arial" w:cs="Arial"/>
              </w:rPr>
              <w:t>Total</w:t>
            </w:r>
          </w:p>
        </w:tc>
        <w:tc>
          <w:tcPr>
            <w:tcW w:w="225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27.843</w:t>
            </w:r>
          </w:p>
        </w:tc>
        <w:tc>
          <w:tcPr>
            <w:tcW w:w="998" w:type="dxa"/>
            <w:gridSpan w:val="2"/>
            <w:tcBorders>
              <w:top w:val="nil"/>
              <w:bottom w:val="single" w:sz="16" w:space="0" w:color="000000"/>
            </w:tcBorders>
            <w:shd w:val="clear" w:color="auto" w:fill="FFFFFF"/>
            <w:tcMar>
              <w:top w:w="30" w:type="dxa"/>
              <w:left w:w="30" w:type="dxa"/>
              <w:bottom w:w="30" w:type="dxa"/>
              <w:right w:w="30" w:type="dxa"/>
            </w:tcMar>
            <w:vAlign w:val="center"/>
          </w:tcPr>
          <w:p>
            <w:pPr>
              <w:pStyle w:val="NoSpacing"/>
              <w:rPr>
                <w:rFonts w:ascii="Arial" w:hAnsi="Arial" w:cs="Arial"/>
              </w:rPr>
            </w:pPr>
            <w:r>
              <w:rPr>
                <w:rFonts w:ascii="Arial" w:hAnsi="Arial" w:cs="Arial"/>
              </w:rPr>
              <w:t>29</w:t>
            </w:r>
          </w:p>
        </w:tc>
        <w:tc>
          <w:tcPr>
            <w:tcW w:w="1432" w:type="dxa"/>
            <w:gridSpan w:val="2"/>
            <w:tcBorders>
              <w:top w:val="nil"/>
              <w:bottom w:val="single" w:sz="16" w:space="0" w:color="000000"/>
            </w:tcBorders>
            <w:shd w:val="clear" w:color="auto" w:fill="FFFFFF"/>
            <w:tcMar>
              <w:top w:w="30" w:type="dxa"/>
              <w:left w:w="30" w:type="dxa"/>
              <w:bottom w:w="30" w:type="dxa"/>
              <w:right w:w="30" w:type="dxa"/>
            </w:tcMar>
          </w:tcPr>
          <w:p>
            <w:pPr>
              <w:pStyle w:val="NoSpacing"/>
              <w:rPr>
                <w:rFonts w:ascii="Arial" w:hAnsi="Arial" w:cs="Arial"/>
              </w:rPr>
            </w:pPr>
          </w:p>
        </w:tc>
        <w:tc>
          <w:tcPr>
            <w:tcW w:w="992" w:type="dxa"/>
            <w:gridSpan w:val="2"/>
            <w:tcBorders>
              <w:top w:val="nil"/>
              <w:bottom w:val="single" w:sz="16" w:space="0" w:color="000000"/>
            </w:tcBorders>
            <w:shd w:val="clear" w:color="auto" w:fill="FFFFFF"/>
            <w:tcMar>
              <w:top w:w="30" w:type="dxa"/>
              <w:left w:w="30" w:type="dxa"/>
              <w:bottom w:w="30" w:type="dxa"/>
              <w:right w:w="30" w:type="dxa"/>
            </w:tcMar>
          </w:tcPr>
          <w:p>
            <w:pPr>
              <w:pStyle w:val="NoSpacing"/>
              <w:rPr>
                <w:rFonts w:ascii="Arial" w:hAnsi="Arial" w:cs="Arial"/>
              </w:rPr>
            </w:pPr>
          </w:p>
        </w:tc>
        <w:tc>
          <w:tcPr>
            <w:tcW w:w="1080"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pPr>
              <w:pStyle w:val="NoSpacing"/>
              <w:rPr>
                <w:rFonts w:ascii="Arial" w:hAnsi="Arial" w:cs="Arial"/>
              </w:rPr>
            </w:pPr>
          </w:p>
        </w:tc>
      </w:tr>
      <w:tr>
        <w:trPr>
          <w:gridAfter w:val="1"/>
          <w:wAfter w:w="14" w:type="dxa"/>
          <w:cantSplit/>
        </w:trPr>
        <w:tc>
          <w:tcPr>
            <w:tcW w:w="8019" w:type="dxa"/>
            <w:gridSpan w:val="10"/>
            <w:tcBorders>
              <w:top w:val="nil"/>
              <w:left w:val="nil"/>
              <w:bottom w:val="nil"/>
              <w:right w:val="nil"/>
            </w:tcBorders>
            <w:shd w:val="clear" w:color="auto" w:fill="FFFFFF"/>
            <w:tcMar>
              <w:top w:w="30" w:type="dxa"/>
              <w:left w:w="30" w:type="dxa"/>
              <w:bottom w:w="30" w:type="dxa"/>
              <w:right w:w="30" w:type="dxa"/>
            </w:tcMar>
          </w:tcPr>
          <w:p>
            <w:pPr>
              <w:pStyle w:val="NoSpacing"/>
              <w:rPr>
                <w:rFonts w:ascii="Arial" w:hAnsi="Arial" w:cs="Arial"/>
              </w:rPr>
            </w:pPr>
            <w:r>
              <w:rPr>
                <w:rFonts w:ascii="Arial" w:hAnsi="Arial" w:cs="Arial"/>
              </w:rPr>
              <w:t>Predictors: (Constant), Practices, Engagement, Competence</w:t>
            </w:r>
          </w:p>
          <w:p>
            <w:pPr>
              <w:pStyle w:val="NoSpacing"/>
              <w:rPr>
                <w:rFonts w:ascii="Arial" w:hAnsi="Arial" w:cs="Arial"/>
              </w:rPr>
            </w:pPr>
            <w:r>
              <w:rPr>
                <w:rFonts w:ascii="Arial" w:hAnsi="Arial" w:cs="Arial"/>
              </w:rPr>
              <w:t>Dependent Variable: use</w:t>
            </w:r>
          </w:p>
        </w:tc>
        <w:tc>
          <w:tcPr>
            <w:tcW w:w="1080" w:type="dxa"/>
            <w:gridSpan w:val="2"/>
            <w:tcBorders>
              <w:top w:val="nil"/>
              <w:left w:val="nil"/>
              <w:bottom w:val="nil"/>
              <w:right w:val="nil"/>
            </w:tcBorders>
            <w:shd w:val="clear" w:color="auto" w:fill="FFFFFF"/>
            <w:tcMar>
              <w:top w:w="30" w:type="dxa"/>
              <w:left w:w="30" w:type="dxa"/>
              <w:bottom w:w="30" w:type="dxa"/>
              <w:right w:w="30" w:type="dxa"/>
            </w:tcMar>
          </w:tcPr>
          <w:p>
            <w:pPr>
              <w:pStyle w:val="NoSpacing"/>
              <w:rPr>
                <w:rFonts w:ascii="Arial" w:hAnsi="Arial" w:cs="Arial"/>
              </w:rPr>
            </w:pPr>
          </w:p>
        </w:tc>
      </w:tr>
      <w:tr>
        <w:trPr>
          <w:gridAfter w:val="1"/>
          <w:wAfter w:w="14" w:type="dxa"/>
          <w:cantSplit/>
        </w:trPr>
        <w:tc>
          <w:tcPr>
            <w:tcW w:w="4597" w:type="dxa"/>
            <w:gridSpan w:val="4"/>
            <w:tcBorders>
              <w:top w:val="nil"/>
              <w:left w:val="nil"/>
              <w:bottom w:val="nil"/>
              <w:right w:val="nil"/>
            </w:tcBorders>
            <w:shd w:val="clear" w:color="auto" w:fill="FFFFFF"/>
            <w:tcMar>
              <w:top w:w="30" w:type="dxa"/>
              <w:left w:w="30" w:type="dxa"/>
              <w:bottom w:w="30" w:type="dxa"/>
              <w:right w:w="30" w:type="dxa"/>
            </w:tcMar>
          </w:tcPr>
          <w:p>
            <w:pPr>
              <w:pStyle w:val="NoSpacing"/>
              <w:rPr>
                <w:rFonts w:ascii="Arial" w:hAnsi="Arial" w:cs="Arial"/>
              </w:rPr>
            </w:pPr>
          </w:p>
        </w:tc>
        <w:tc>
          <w:tcPr>
            <w:tcW w:w="998" w:type="dxa"/>
            <w:gridSpan w:val="2"/>
            <w:tcBorders>
              <w:top w:val="nil"/>
              <w:left w:val="nil"/>
              <w:bottom w:val="nil"/>
              <w:right w:val="nil"/>
            </w:tcBorders>
            <w:shd w:val="clear" w:color="auto" w:fill="FFFFFF"/>
            <w:tcMar>
              <w:top w:w="30" w:type="dxa"/>
              <w:left w:w="30" w:type="dxa"/>
              <w:bottom w:w="30" w:type="dxa"/>
              <w:right w:w="30" w:type="dxa"/>
            </w:tcMar>
          </w:tcPr>
          <w:p>
            <w:pPr>
              <w:pStyle w:val="NoSpacing"/>
              <w:rPr>
                <w:rFonts w:ascii="Arial" w:hAnsi="Arial" w:cs="Arial"/>
              </w:rPr>
            </w:pPr>
          </w:p>
        </w:tc>
        <w:tc>
          <w:tcPr>
            <w:tcW w:w="1432" w:type="dxa"/>
            <w:gridSpan w:val="2"/>
            <w:tcBorders>
              <w:top w:val="nil"/>
              <w:left w:val="nil"/>
              <w:bottom w:val="nil"/>
              <w:right w:val="nil"/>
            </w:tcBorders>
            <w:shd w:val="clear" w:color="auto" w:fill="FFFFFF"/>
            <w:tcMar>
              <w:top w:w="30" w:type="dxa"/>
              <w:left w:w="30" w:type="dxa"/>
              <w:bottom w:w="30" w:type="dxa"/>
              <w:right w:w="30" w:type="dxa"/>
            </w:tcMar>
          </w:tcPr>
          <w:p>
            <w:pPr>
              <w:pStyle w:val="NoSpacing"/>
              <w:rPr>
                <w:rFonts w:ascii="Arial" w:hAnsi="Arial" w:cs="Arial"/>
              </w:rPr>
            </w:pPr>
          </w:p>
        </w:tc>
        <w:tc>
          <w:tcPr>
            <w:tcW w:w="992" w:type="dxa"/>
            <w:gridSpan w:val="2"/>
            <w:tcBorders>
              <w:top w:val="nil"/>
              <w:left w:val="nil"/>
              <w:bottom w:val="nil"/>
              <w:right w:val="nil"/>
            </w:tcBorders>
            <w:shd w:val="clear" w:color="auto" w:fill="FFFFFF"/>
            <w:tcMar>
              <w:top w:w="30" w:type="dxa"/>
              <w:left w:w="30" w:type="dxa"/>
              <w:bottom w:w="30" w:type="dxa"/>
              <w:right w:w="30" w:type="dxa"/>
            </w:tcMar>
          </w:tcPr>
          <w:p>
            <w:pPr>
              <w:pStyle w:val="NoSpacing"/>
              <w:rPr>
                <w:rFonts w:ascii="Arial" w:hAnsi="Arial" w:cs="Arial"/>
              </w:rPr>
            </w:pPr>
          </w:p>
        </w:tc>
        <w:tc>
          <w:tcPr>
            <w:tcW w:w="1080" w:type="dxa"/>
            <w:gridSpan w:val="2"/>
            <w:tcBorders>
              <w:top w:val="nil"/>
              <w:left w:val="nil"/>
              <w:bottom w:val="nil"/>
              <w:right w:val="nil"/>
            </w:tcBorders>
            <w:shd w:val="clear" w:color="auto" w:fill="FFFFFF"/>
            <w:tcMar>
              <w:top w:w="30" w:type="dxa"/>
              <w:left w:w="30" w:type="dxa"/>
              <w:bottom w:w="30" w:type="dxa"/>
              <w:right w:w="30" w:type="dxa"/>
            </w:tcMar>
          </w:tcPr>
          <w:p>
            <w:pPr>
              <w:pStyle w:val="NoSpacing"/>
              <w:rPr>
                <w:rFonts w:ascii="Arial" w:hAnsi="Arial" w:cs="Arial"/>
              </w:rPr>
            </w:pPr>
          </w:p>
        </w:tc>
      </w:tr>
    </w:tbl>
    <w:p>
      <w:pPr>
        <w:rPr>
          <w:rFonts w:ascii="Arial" w:hAnsi="Arial" w:cs="Arial"/>
        </w:rPr>
      </w:pPr>
      <w:r>
        <w:rPr>
          <w:rFonts w:ascii="Arial" w:hAnsi="Arial" w:cs="Arial"/>
        </w:rPr>
        <w:t>Significant relationship between the extent of challenges encountered and the extent of teachers’ technology integration and learner engagement</w:t>
      </w:r>
    </w:p>
    <w:tbl>
      <w:tblPr>
        <w:tblStyle w:val="TableGrid"/>
        <w:tblW w:w="8457" w:type="dxa"/>
        <w:tblLook w:val="04A0" w:firstRow="1" w:lastRow="0" w:firstColumn="1" w:lastColumn="0" w:noHBand="0" w:noVBand="1"/>
      </w:tblPr>
      <w:tblGrid>
        <w:gridCol w:w="1814"/>
        <w:gridCol w:w="2848"/>
        <w:gridCol w:w="1344"/>
        <w:gridCol w:w="949"/>
        <w:gridCol w:w="1502"/>
      </w:tblGrid>
      <w:tr>
        <w:trPr>
          <w:trHeight w:val="311"/>
        </w:trPr>
        <w:tc>
          <w:tcPr>
            <w:tcW w:w="4662" w:type="dxa"/>
            <w:gridSpan w:val="2"/>
          </w:tcPr>
          <w:p>
            <w:pPr>
              <w:pStyle w:val="NoSpacing"/>
              <w:jc w:val="center"/>
              <w:rPr>
                <w:rFonts w:ascii="Arial" w:hAnsi="Arial" w:cs="Arial"/>
                <w:sz w:val="24"/>
                <w:szCs w:val="24"/>
              </w:rPr>
            </w:pPr>
            <w:r>
              <w:rPr>
                <w:rFonts w:ascii="Arial" w:hAnsi="Arial" w:cs="Arial"/>
                <w:sz w:val="24"/>
                <w:szCs w:val="24"/>
              </w:rPr>
              <w:t>Variable Tested</w:t>
            </w:r>
          </w:p>
        </w:tc>
        <w:tc>
          <w:tcPr>
            <w:tcW w:w="1344" w:type="dxa"/>
          </w:tcPr>
          <w:p>
            <w:pPr>
              <w:pStyle w:val="NoSpacing"/>
              <w:jc w:val="center"/>
              <w:rPr>
                <w:rFonts w:ascii="Arial" w:hAnsi="Arial" w:cs="Arial"/>
                <w:sz w:val="24"/>
                <w:szCs w:val="24"/>
              </w:rPr>
            </w:pPr>
            <w:r>
              <w:rPr>
                <w:rFonts w:ascii="Arial" w:hAnsi="Arial" w:cs="Arial"/>
                <w:sz w:val="24"/>
                <w:szCs w:val="24"/>
              </w:rPr>
              <w:t>Computed r</w:t>
            </w:r>
          </w:p>
        </w:tc>
        <w:tc>
          <w:tcPr>
            <w:tcW w:w="949" w:type="dxa"/>
          </w:tcPr>
          <w:p>
            <w:pPr>
              <w:pStyle w:val="NoSpacing"/>
              <w:jc w:val="center"/>
              <w:rPr>
                <w:rFonts w:ascii="Arial" w:hAnsi="Arial" w:cs="Arial"/>
                <w:sz w:val="24"/>
                <w:szCs w:val="24"/>
              </w:rPr>
            </w:pPr>
            <w:r>
              <w:rPr>
                <w:rFonts w:ascii="Arial" w:hAnsi="Arial" w:cs="Arial"/>
                <w:sz w:val="24"/>
                <w:szCs w:val="24"/>
              </w:rPr>
              <w:t>p-value</w:t>
            </w:r>
          </w:p>
        </w:tc>
        <w:tc>
          <w:tcPr>
            <w:tcW w:w="1502" w:type="dxa"/>
          </w:tcPr>
          <w:p>
            <w:pPr>
              <w:pStyle w:val="NoSpacing"/>
              <w:jc w:val="center"/>
              <w:rPr>
                <w:rFonts w:ascii="Arial" w:hAnsi="Arial" w:cs="Arial"/>
                <w:sz w:val="24"/>
                <w:szCs w:val="24"/>
              </w:rPr>
            </w:pPr>
            <w:r>
              <w:rPr>
                <w:rFonts w:ascii="Arial" w:hAnsi="Arial" w:cs="Arial"/>
                <w:sz w:val="24"/>
                <w:szCs w:val="24"/>
              </w:rPr>
              <w:t>Conclusion</w:t>
            </w:r>
          </w:p>
        </w:tc>
      </w:tr>
      <w:tr>
        <w:trPr>
          <w:trHeight w:val="569"/>
        </w:trPr>
        <w:tc>
          <w:tcPr>
            <w:tcW w:w="1814" w:type="dxa"/>
            <w:vMerge w:val="restart"/>
            <w:vAlign w:val="center"/>
          </w:tcPr>
          <w:p>
            <w:pPr>
              <w:pStyle w:val="NoSpacing"/>
              <w:jc w:val="center"/>
              <w:rPr>
                <w:rFonts w:ascii="Arial" w:hAnsi="Arial" w:cs="Arial"/>
                <w:sz w:val="24"/>
                <w:szCs w:val="24"/>
              </w:rPr>
            </w:pPr>
            <w:r>
              <w:rPr>
                <w:rFonts w:ascii="Arial" w:hAnsi="Arial" w:cs="Arial"/>
                <w:sz w:val="24"/>
                <w:szCs w:val="24"/>
              </w:rPr>
              <w:t>challenges encountered</w:t>
            </w:r>
          </w:p>
        </w:tc>
        <w:tc>
          <w:tcPr>
            <w:tcW w:w="2847" w:type="dxa"/>
          </w:tcPr>
          <w:p>
            <w:pPr>
              <w:pStyle w:val="NoSpacing"/>
              <w:rPr>
                <w:rFonts w:ascii="Arial" w:hAnsi="Arial" w:cs="Arial"/>
                <w:sz w:val="24"/>
                <w:szCs w:val="24"/>
              </w:rPr>
            </w:pPr>
            <w:r>
              <w:rPr>
                <w:rFonts w:ascii="Arial" w:hAnsi="Arial" w:cs="Arial"/>
                <w:sz w:val="24"/>
                <w:szCs w:val="24"/>
              </w:rPr>
              <w:t>Active knowledge-building facilitation</w:t>
            </w:r>
          </w:p>
        </w:tc>
        <w:tc>
          <w:tcPr>
            <w:tcW w:w="1344" w:type="dxa"/>
            <w:vAlign w:val="center"/>
          </w:tcPr>
          <w:p>
            <w:pPr>
              <w:pStyle w:val="NoSpacing"/>
              <w:jc w:val="center"/>
              <w:rPr>
                <w:rFonts w:ascii="Arial" w:hAnsi="Arial" w:cs="Arial"/>
                <w:sz w:val="24"/>
                <w:szCs w:val="24"/>
              </w:rPr>
            </w:pPr>
            <w:r>
              <w:rPr>
                <w:rFonts w:ascii="Arial" w:hAnsi="Arial" w:cs="Arial"/>
                <w:sz w:val="24"/>
                <w:szCs w:val="24"/>
              </w:rPr>
              <w:t>0.077</w:t>
            </w:r>
          </w:p>
        </w:tc>
        <w:tc>
          <w:tcPr>
            <w:tcW w:w="949" w:type="dxa"/>
            <w:vAlign w:val="center"/>
          </w:tcPr>
          <w:p>
            <w:pPr>
              <w:pStyle w:val="NoSpacing"/>
              <w:jc w:val="center"/>
              <w:rPr>
                <w:rFonts w:ascii="Arial" w:hAnsi="Arial" w:cs="Arial"/>
                <w:sz w:val="24"/>
                <w:szCs w:val="24"/>
              </w:rPr>
            </w:pPr>
            <w:r>
              <w:rPr>
                <w:rFonts w:ascii="Arial" w:hAnsi="Arial" w:cs="Arial"/>
                <w:sz w:val="24"/>
                <w:szCs w:val="24"/>
              </w:rPr>
              <w:t>.688</w:t>
            </w:r>
          </w:p>
        </w:tc>
        <w:tc>
          <w:tcPr>
            <w:tcW w:w="1502" w:type="dxa"/>
            <w:vAlign w:val="center"/>
          </w:tcPr>
          <w:p>
            <w:pPr>
              <w:pStyle w:val="NoSpacing"/>
              <w:jc w:val="center"/>
              <w:rPr>
                <w:rFonts w:ascii="Arial" w:hAnsi="Arial" w:cs="Arial"/>
                <w:sz w:val="24"/>
                <w:szCs w:val="24"/>
              </w:rPr>
            </w:pPr>
            <w:r>
              <w:rPr>
                <w:rFonts w:ascii="Arial" w:hAnsi="Arial" w:cs="Arial"/>
                <w:sz w:val="24"/>
                <w:szCs w:val="24"/>
              </w:rPr>
              <w:t>Not Significant</w:t>
            </w:r>
          </w:p>
        </w:tc>
      </w:tr>
      <w:tr>
        <w:trPr>
          <w:trHeight w:val="596"/>
        </w:trPr>
        <w:tc>
          <w:tcPr>
            <w:tcW w:w="1814" w:type="dxa"/>
            <w:vMerge/>
          </w:tcPr>
          <w:p>
            <w:pPr>
              <w:pStyle w:val="NoSpacing"/>
              <w:rPr>
                <w:rFonts w:ascii="Arial" w:hAnsi="Arial" w:cs="Arial"/>
                <w:sz w:val="24"/>
                <w:szCs w:val="24"/>
              </w:rPr>
            </w:pPr>
          </w:p>
        </w:tc>
        <w:tc>
          <w:tcPr>
            <w:tcW w:w="2847" w:type="dxa"/>
          </w:tcPr>
          <w:p>
            <w:pPr>
              <w:pStyle w:val="NoSpacing"/>
              <w:rPr>
                <w:rFonts w:ascii="Arial" w:hAnsi="Arial" w:cs="Arial"/>
                <w:sz w:val="24"/>
                <w:szCs w:val="24"/>
                <w:lang w:eastAsia="en-PH"/>
              </w:rPr>
            </w:pPr>
            <w:r>
              <w:rPr>
                <w:rFonts w:ascii="Arial" w:hAnsi="Arial" w:cs="Arial"/>
                <w:sz w:val="24"/>
                <w:szCs w:val="24"/>
              </w:rPr>
              <w:t>Activation and linking of prior knowledge;</w:t>
            </w:r>
          </w:p>
        </w:tc>
        <w:tc>
          <w:tcPr>
            <w:tcW w:w="1344" w:type="dxa"/>
            <w:vAlign w:val="center"/>
          </w:tcPr>
          <w:p>
            <w:pPr>
              <w:pStyle w:val="NoSpacing"/>
              <w:jc w:val="center"/>
              <w:rPr>
                <w:rFonts w:ascii="Arial" w:hAnsi="Arial" w:cs="Arial"/>
                <w:sz w:val="24"/>
                <w:szCs w:val="24"/>
              </w:rPr>
            </w:pPr>
            <w:r>
              <w:rPr>
                <w:rFonts w:ascii="Arial" w:hAnsi="Arial" w:cs="Arial"/>
                <w:sz w:val="24"/>
                <w:szCs w:val="24"/>
              </w:rPr>
              <w:t>-0.054</w:t>
            </w:r>
          </w:p>
        </w:tc>
        <w:tc>
          <w:tcPr>
            <w:tcW w:w="949" w:type="dxa"/>
            <w:vAlign w:val="center"/>
          </w:tcPr>
          <w:p>
            <w:pPr>
              <w:pStyle w:val="NoSpacing"/>
              <w:jc w:val="center"/>
              <w:rPr>
                <w:rFonts w:ascii="Arial" w:hAnsi="Arial" w:cs="Arial"/>
                <w:sz w:val="24"/>
                <w:szCs w:val="24"/>
              </w:rPr>
            </w:pPr>
            <w:r>
              <w:rPr>
                <w:rFonts w:ascii="Arial" w:hAnsi="Arial" w:cs="Arial"/>
                <w:sz w:val="24"/>
                <w:szCs w:val="24"/>
              </w:rPr>
              <w:t>.777</w:t>
            </w:r>
          </w:p>
        </w:tc>
        <w:tc>
          <w:tcPr>
            <w:tcW w:w="1502" w:type="dxa"/>
            <w:vAlign w:val="center"/>
          </w:tcPr>
          <w:p>
            <w:pPr>
              <w:pStyle w:val="NoSpacing"/>
              <w:jc w:val="center"/>
              <w:rPr>
                <w:rFonts w:ascii="Arial" w:hAnsi="Arial" w:cs="Arial"/>
                <w:sz w:val="24"/>
                <w:szCs w:val="24"/>
              </w:rPr>
            </w:pPr>
            <w:r>
              <w:rPr>
                <w:rFonts w:ascii="Arial" w:hAnsi="Arial" w:cs="Arial"/>
                <w:sz w:val="24"/>
                <w:szCs w:val="24"/>
              </w:rPr>
              <w:t>Not Significant</w:t>
            </w:r>
          </w:p>
        </w:tc>
      </w:tr>
      <w:tr>
        <w:trPr>
          <w:trHeight w:val="569"/>
        </w:trPr>
        <w:tc>
          <w:tcPr>
            <w:tcW w:w="1814" w:type="dxa"/>
            <w:vMerge/>
          </w:tcPr>
          <w:p>
            <w:pPr>
              <w:pStyle w:val="NoSpacing"/>
              <w:rPr>
                <w:rFonts w:ascii="Arial" w:hAnsi="Arial" w:cs="Arial"/>
                <w:sz w:val="24"/>
                <w:szCs w:val="24"/>
              </w:rPr>
            </w:pPr>
          </w:p>
        </w:tc>
        <w:tc>
          <w:tcPr>
            <w:tcW w:w="2847" w:type="dxa"/>
          </w:tcPr>
          <w:p>
            <w:pPr>
              <w:pStyle w:val="NoSpacing"/>
              <w:rPr>
                <w:rFonts w:ascii="Arial" w:hAnsi="Arial" w:cs="Arial"/>
                <w:sz w:val="24"/>
                <w:szCs w:val="24"/>
                <w:lang w:eastAsia="en-PH"/>
              </w:rPr>
            </w:pPr>
            <w:r>
              <w:rPr>
                <w:rFonts w:ascii="Arial" w:hAnsi="Arial" w:cs="Arial"/>
                <w:sz w:val="24"/>
                <w:szCs w:val="24"/>
              </w:rPr>
              <w:t>Inquiry and problem-solving support</w:t>
            </w:r>
          </w:p>
        </w:tc>
        <w:tc>
          <w:tcPr>
            <w:tcW w:w="1344" w:type="dxa"/>
            <w:vAlign w:val="center"/>
          </w:tcPr>
          <w:p>
            <w:pPr>
              <w:pStyle w:val="NoSpacing"/>
              <w:jc w:val="center"/>
              <w:rPr>
                <w:rFonts w:ascii="Arial" w:hAnsi="Arial" w:cs="Arial"/>
                <w:sz w:val="24"/>
                <w:szCs w:val="24"/>
              </w:rPr>
            </w:pPr>
            <w:r>
              <w:rPr>
                <w:rFonts w:ascii="Arial" w:hAnsi="Arial" w:cs="Arial"/>
                <w:sz w:val="24"/>
                <w:szCs w:val="24"/>
              </w:rPr>
              <w:t>0.103</w:t>
            </w:r>
          </w:p>
        </w:tc>
        <w:tc>
          <w:tcPr>
            <w:tcW w:w="949" w:type="dxa"/>
            <w:vAlign w:val="center"/>
          </w:tcPr>
          <w:p>
            <w:pPr>
              <w:pStyle w:val="NoSpacing"/>
              <w:jc w:val="center"/>
              <w:rPr>
                <w:rFonts w:ascii="Arial" w:hAnsi="Arial" w:cs="Arial"/>
                <w:sz w:val="24"/>
                <w:szCs w:val="24"/>
              </w:rPr>
            </w:pPr>
            <w:r>
              <w:rPr>
                <w:rFonts w:ascii="Arial" w:hAnsi="Arial" w:cs="Arial"/>
                <w:sz w:val="24"/>
                <w:szCs w:val="24"/>
              </w:rPr>
              <w:t>.589</w:t>
            </w:r>
          </w:p>
        </w:tc>
        <w:tc>
          <w:tcPr>
            <w:tcW w:w="1502" w:type="dxa"/>
            <w:vAlign w:val="center"/>
          </w:tcPr>
          <w:p>
            <w:pPr>
              <w:pStyle w:val="NoSpacing"/>
              <w:jc w:val="center"/>
              <w:rPr>
                <w:rFonts w:ascii="Arial" w:hAnsi="Arial" w:cs="Arial"/>
                <w:sz w:val="24"/>
                <w:szCs w:val="24"/>
              </w:rPr>
            </w:pPr>
            <w:r>
              <w:rPr>
                <w:rFonts w:ascii="Arial" w:hAnsi="Arial" w:cs="Arial"/>
                <w:sz w:val="24"/>
                <w:szCs w:val="24"/>
              </w:rPr>
              <w:t>Not Significant</w:t>
            </w:r>
          </w:p>
        </w:tc>
      </w:tr>
      <w:tr>
        <w:trPr>
          <w:trHeight w:val="596"/>
        </w:trPr>
        <w:tc>
          <w:tcPr>
            <w:tcW w:w="1814" w:type="dxa"/>
            <w:vMerge/>
          </w:tcPr>
          <w:p>
            <w:pPr>
              <w:pStyle w:val="NoSpacing"/>
              <w:rPr>
                <w:rFonts w:ascii="Arial" w:hAnsi="Arial" w:cs="Arial"/>
                <w:sz w:val="24"/>
                <w:szCs w:val="24"/>
              </w:rPr>
            </w:pPr>
          </w:p>
        </w:tc>
        <w:tc>
          <w:tcPr>
            <w:tcW w:w="2847" w:type="dxa"/>
          </w:tcPr>
          <w:p>
            <w:pPr>
              <w:pStyle w:val="NoSpacing"/>
              <w:rPr>
                <w:rFonts w:ascii="Arial" w:hAnsi="Arial" w:cs="Arial"/>
                <w:color w:val="000000" w:themeColor="text1"/>
                <w:sz w:val="24"/>
                <w:szCs w:val="24"/>
                <w:lang w:eastAsia="en-PH"/>
              </w:rPr>
            </w:pPr>
            <w:r>
              <w:rPr>
                <w:rFonts w:ascii="Arial" w:hAnsi="Arial" w:cs="Arial"/>
                <w:color w:val="000000" w:themeColor="text1"/>
                <w:sz w:val="24"/>
                <w:szCs w:val="24"/>
              </w:rPr>
              <w:t>Technology-mediated dialogue and collaboration</w:t>
            </w:r>
          </w:p>
        </w:tc>
        <w:tc>
          <w:tcPr>
            <w:tcW w:w="1344" w:type="dxa"/>
            <w:vAlign w:val="center"/>
          </w:tcPr>
          <w:p>
            <w:pPr>
              <w:pStyle w:val="NoSpacing"/>
              <w:jc w:val="center"/>
              <w:rPr>
                <w:rFonts w:ascii="Arial" w:hAnsi="Arial" w:cs="Arial"/>
                <w:color w:val="000000" w:themeColor="text1"/>
                <w:sz w:val="24"/>
                <w:szCs w:val="24"/>
              </w:rPr>
            </w:pPr>
            <w:r>
              <w:rPr>
                <w:rFonts w:ascii="Arial" w:hAnsi="Arial" w:cs="Arial"/>
                <w:color w:val="000000" w:themeColor="text1"/>
                <w:sz w:val="24"/>
                <w:szCs w:val="24"/>
              </w:rPr>
              <w:t>-0.450</w:t>
            </w:r>
          </w:p>
        </w:tc>
        <w:tc>
          <w:tcPr>
            <w:tcW w:w="949" w:type="dxa"/>
            <w:vAlign w:val="center"/>
          </w:tcPr>
          <w:p>
            <w:pPr>
              <w:pStyle w:val="NoSpacing"/>
              <w:jc w:val="center"/>
              <w:rPr>
                <w:rFonts w:ascii="Arial" w:hAnsi="Arial" w:cs="Arial"/>
                <w:color w:val="000000" w:themeColor="text1"/>
                <w:sz w:val="24"/>
                <w:szCs w:val="24"/>
              </w:rPr>
            </w:pPr>
            <w:r>
              <w:rPr>
                <w:rFonts w:ascii="Arial" w:hAnsi="Arial" w:cs="Arial"/>
                <w:color w:val="000000" w:themeColor="text1"/>
                <w:sz w:val="24"/>
                <w:szCs w:val="24"/>
              </w:rPr>
              <w:t>.013</w:t>
            </w:r>
          </w:p>
        </w:tc>
        <w:tc>
          <w:tcPr>
            <w:tcW w:w="1502" w:type="dxa"/>
            <w:vAlign w:val="center"/>
          </w:tcPr>
          <w:p>
            <w:pPr>
              <w:pStyle w:val="NoSpacing"/>
              <w:jc w:val="center"/>
              <w:rPr>
                <w:rFonts w:ascii="Arial" w:hAnsi="Arial" w:cs="Arial"/>
                <w:color w:val="000000" w:themeColor="text1"/>
                <w:sz w:val="24"/>
                <w:szCs w:val="24"/>
              </w:rPr>
            </w:pPr>
            <w:r>
              <w:rPr>
                <w:rFonts w:ascii="Arial" w:hAnsi="Arial" w:cs="Arial"/>
                <w:color w:val="000000" w:themeColor="text1"/>
                <w:sz w:val="24"/>
                <w:szCs w:val="24"/>
              </w:rPr>
              <w:t>Significant</w:t>
            </w:r>
          </w:p>
        </w:tc>
      </w:tr>
      <w:tr>
        <w:trPr>
          <w:trHeight w:val="618"/>
        </w:trPr>
        <w:tc>
          <w:tcPr>
            <w:tcW w:w="1814" w:type="dxa"/>
            <w:vMerge/>
          </w:tcPr>
          <w:p>
            <w:pPr>
              <w:pStyle w:val="NoSpacing"/>
              <w:rPr>
                <w:rFonts w:ascii="Arial" w:hAnsi="Arial" w:cs="Arial"/>
                <w:sz w:val="24"/>
                <w:szCs w:val="24"/>
              </w:rPr>
            </w:pPr>
          </w:p>
        </w:tc>
        <w:tc>
          <w:tcPr>
            <w:tcW w:w="2847" w:type="dxa"/>
          </w:tcPr>
          <w:p>
            <w:pPr>
              <w:pStyle w:val="NoSpacing"/>
              <w:rPr>
                <w:rFonts w:ascii="Arial" w:hAnsi="Arial" w:cs="Arial"/>
                <w:color w:val="000000" w:themeColor="text1"/>
                <w:sz w:val="24"/>
                <w:szCs w:val="24"/>
                <w:lang w:eastAsia="en-PH"/>
              </w:rPr>
            </w:pPr>
            <w:r>
              <w:rPr>
                <w:rFonts w:ascii="Arial" w:hAnsi="Arial" w:cs="Arial"/>
                <w:color w:val="000000" w:themeColor="text1"/>
                <w:sz w:val="24"/>
                <w:szCs w:val="24"/>
              </w:rPr>
              <w:t>Culturally responsive task design and scaffolding</w:t>
            </w:r>
          </w:p>
        </w:tc>
        <w:tc>
          <w:tcPr>
            <w:tcW w:w="1344" w:type="dxa"/>
            <w:vAlign w:val="center"/>
          </w:tcPr>
          <w:p>
            <w:pPr>
              <w:pStyle w:val="NoSpacing"/>
              <w:jc w:val="center"/>
              <w:rPr>
                <w:rFonts w:ascii="Arial" w:hAnsi="Arial" w:cs="Arial"/>
                <w:color w:val="000000" w:themeColor="text1"/>
                <w:sz w:val="24"/>
                <w:szCs w:val="24"/>
              </w:rPr>
            </w:pPr>
            <w:r>
              <w:rPr>
                <w:rFonts w:ascii="Arial" w:hAnsi="Arial" w:cs="Arial"/>
                <w:color w:val="000000" w:themeColor="text1"/>
                <w:sz w:val="24"/>
                <w:szCs w:val="24"/>
              </w:rPr>
              <w:t>-0.413</w:t>
            </w:r>
          </w:p>
        </w:tc>
        <w:tc>
          <w:tcPr>
            <w:tcW w:w="949" w:type="dxa"/>
            <w:vAlign w:val="center"/>
          </w:tcPr>
          <w:p>
            <w:pPr>
              <w:pStyle w:val="NoSpacing"/>
              <w:jc w:val="center"/>
              <w:rPr>
                <w:rFonts w:ascii="Arial" w:hAnsi="Arial" w:cs="Arial"/>
                <w:color w:val="000000" w:themeColor="text1"/>
                <w:sz w:val="24"/>
                <w:szCs w:val="24"/>
              </w:rPr>
            </w:pPr>
            <w:r>
              <w:rPr>
                <w:rFonts w:ascii="Arial" w:hAnsi="Arial" w:cs="Arial"/>
                <w:color w:val="000000" w:themeColor="text1"/>
                <w:sz w:val="24"/>
                <w:szCs w:val="24"/>
              </w:rPr>
              <w:t>.032</w:t>
            </w:r>
          </w:p>
        </w:tc>
        <w:tc>
          <w:tcPr>
            <w:tcW w:w="1502" w:type="dxa"/>
            <w:vAlign w:val="center"/>
          </w:tcPr>
          <w:p>
            <w:pPr>
              <w:pStyle w:val="NoSpacing"/>
              <w:jc w:val="center"/>
              <w:rPr>
                <w:rFonts w:ascii="Arial" w:hAnsi="Arial" w:cs="Arial"/>
                <w:color w:val="000000" w:themeColor="text1"/>
                <w:sz w:val="24"/>
                <w:szCs w:val="24"/>
              </w:rPr>
            </w:pPr>
            <w:r>
              <w:rPr>
                <w:rFonts w:ascii="Arial" w:hAnsi="Arial" w:cs="Arial"/>
                <w:color w:val="000000" w:themeColor="text1"/>
                <w:sz w:val="24"/>
                <w:szCs w:val="24"/>
              </w:rPr>
              <w:t>Significant</w:t>
            </w:r>
          </w:p>
        </w:tc>
      </w:tr>
      <w:tr>
        <w:trPr>
          <w:trHeight w:val="596"/>
        </w:trPr>
        <w:tc>
          <w:tcPr>
            <w:tcW w:w="1814" w:type="dxa"/>
            <w:vMerge/>
          </w:tcPr>
          <w:p>
            <w:pPr>
              <w:pStyle w:val="NoSpacing"/>
              <w:rPr>
                <w:rFonts w:ascii="Arial" w:hAnsi="Arial" w:cs="Arial"/>
                <w:sz w:val="24"/>
                <w:szCs w:val="24"/>
              </w:rPr>
            </w:pPr>
          </w:p>
        </w:tc>
        <w:tc>
          <w:tcPr>
            <w:tcW w:w="2847" w:type="dxa"/>
          </w:tcPr>
          <w:p>
            <w:pPr>
              <w:pStyle w:val="NoSpacing"/>
              <w:rPr>
                <w:rFonts w:ascii="Arial" w:hAnsi="Arial" w:cs="Arial"/>
                <w:sz w:val="24"/>
                <w:szCs w:val="24"/>
              </w:rPr>
            </w:pPr>
            <w:r>
              <w:rPr>
                <w:rFonts w:ascii="Arial" w:hAnsi="Arial" w:cs="Arial"/>
                <w:sz w:val="24"/>
                <w:szCs w:val="24"/>
              </w:rPr>
              <w:t>Passive Engagement</w:t>
            </w:r>
          </w:p>
        </w:tc>
        <w:tc>
          <w:tcPr>
            <w:tcW w:w="1344" w:type="dxa"/>
            <w:vAlign w:val="center"/>
          </w:tcPr>
          <w:p>
            <w:pPr>
              <w:pStyle w:val="NoSpacing"/>
              <w:jc w:val="center"/>
              <w:rPr>
                <w:rFonts w:ascii="Arial" w:hAnsi="Arial" w:cs="Arial"/>
                <w:i/>
                <w:iCs/>
                <w:sz w:val="24"/>
                <w:szCs w:val="24"/>
              </w:rPr>
            </w:pPr>
            <w:r>
              <w:rPr>
                <w:rFonts w:ascii="Arial" w:hAnsi="Arial" w:cs="Arial"/>
                <w:sz w:val="24"/>
                <w:szCs w:val="24"/>
              </w:rPr>
              <w:t>0.080</w:t>
            </w:r>
          </w:p>
        </w:tc>
        <w:tc>
          <w:tcPr>
            <w:tcW w:w="949" w:type="dxa"/>
            <w:vAlign w:val="center"/>
          </w:tcPr>
          <w:p>
            <w:pPr>
              <w:pStyle w:val="NoSpacing"/>
              <w:jc w:val="center"/>
              <w:rPr>
                <w:rFonts w:ascii="Arial" w:hAnsi="Arial" w:cs="Arial"/>
                <w:i/>
                <w:iCs/>
                <w:sz w:val="24"/>
                <w:szCs w:val="24"/>
              </w:rPr>
            </w:pPr>
            <w:r>
              <w:rPr>
                <w:rFonts w:ascii="Arial" w:hAnsi="Arial" w:cs="Arial"/>
                <w:sz w:val="24"/>
                <w:szCs w:val="24"/>
              </w:rPr>
              <w:t>.676</w:t>
            </w:r>
          </w:p>
        </w:tc>
        <w:tc>
          <w:tcPr>
            <w:tcW w:w="1502" w:type="dxa"/>
            <w:vAlign w:val="center"/>
          </w:tcPr>
          <w:p>
            <w:pPr>
              <w:pStyle w:val="NoSpacing"/>
              <w:jc w:val="center"/>
              <w:rPr>
                <w:rFonts w:ascii="Arial" w:hAnsi="Arial" w:cs="Arial"/>
                <w:sz w:val="24"/>
                <w:szCs w:val="24"/>
              </w:rPr>
            </w:pPr>
            <w:r>
              <w:rPr>
                <w:rFonts w:ascii="Arial" w:hAnsi="Arial" w:cs="Arial"/>
                <w:sz w:val="24"/>
                <w:szCs w:val="24"/>
              </w:rPr>
              <w:t>Not Significant</w:t>
            </w:r>
          </w:p>
        </w:tc>
      </w:tr>
      <w:tr>
        <w:trPr>
          <w:trHeight w:val="596"/>
        </w:trPr>
        <w:tc>
          <w:tcPr>
            <w:tcW w:w="1814" w:type="dxa"/>
            <w:vMerge/>
          </w:tcPr>
          <w:p>
            <w:pPr>
              <w:pStyle w:val="NoSpacing"/>
              <w:rPr>
                <w:rFonts w:ascii="Arial" w:hAnsi="Arial" w:cs="Arial"/>
                <w:sz w:val="24"/>
                <w:szCs w:val="24"/>
              </w:rPr>
            </w:pPr>
          </w:p>
        </w:tc>
        <w:tc>
          <w:tcPr>
            <w:tcW w:w="2847" w:type="dxa"/>
          </w:tcPr>
          <w:p>
            <w:pPr>
              <w:pStyle w:val="NoSpacing"/>
              <w:rPr>
                <w:rFonts w:ascii="Arial" w:hAnsi="Arial" w:cs="Arial"/>
                <w:sz w:val="24"/>
                <w:szCs w:val="24"/>
              </w:rPr>
            </w:pPr>
            <w:r>
              <w:rPr>
                <w:rFonts w:ascii="Arial" w:hAnsi="Arial" w:cs="Arial"/>
                <w:sz w:val="24"/>
                <w:szCs w:val="24"/>
              </w:rPr>
              <w:t>Interactive Engagement</w:t>
            </w:r>
          </w:p>
        </w:tc>
        <w:tc>
          <w:tcPr>
            <w:tcW w:w="1344" w:type="dxa"/>
            <w:vAlign w:val="center"/>
          </w:tcPr>
          <w:p>
            <w:pPr>
              <w:pStyle w:val="NoSpacing"/>
              <w:jc w:val="center"/>
              <w:rPr>
                <w:rFonts w:ascii="Arial" w:hAnsi="Arial" w:cs="Arial"/>
                <w:i/>
                <w:iCs/>
                <w:sz w:val="24"/>
                <w:szCs w:val="24"/>
              </w:rPr>
            </w:pPr>
            <w:r>
              <w:rPr>
                <w:rFonts w:ascii="Arial" w:hAnsi="Arial" w:cs="Arial"/>
                <w:sz w:val="24"/>
                <w:szCs w:val="24"/>
              </w:rPr>
              <w:t>0.181</w:t>
            </w:r>
          </w:p>
        </w:tc>
        <w:tc>
          <w:tcPr>
            <w:tcW w:w="949" w:type="dxa"/>
            <w:vAlign w:val="center"/>
          </w:tcPr>
          <w:p>
            <w:pPr>
              <w:pStyle w:val="NoSpacing"/>
              <w:jc w:val="center"/>
              <w:rPr>
                <w:rFonts w:ascii="Arial" w:hAnsi="Arial" w:cs="Arial"/>
                <w:i/>
                <w:iCs/>
                <w:sz w:val="24"/>
                <w:szCs w:val="24"/>
              </w:rPr>
            </w:pPr>
            <w:r>
              <w:rPr>
                <w:rFonts w:ascii="Arial" w:hAnsi="Arial" w:cs="Arial"/>
                <w:sz w:val="24"/>
                <w:szCs w:val="24"/>
              </w:rPr>
              <w:t>.337</w:t>
            </w:r>
          </w:p>
        </w:tc>
        <w:tc>
          <w:tcPr>
            <w:tcW w:w="1502" w:type="dxa"/>
            <w:vAlign w:val="center"/>
          </w:tcPr>
          <w:p>
            <w:pPr>
              <w:pStyle w:val="NoSpacing"/>
              <w:jc w:val="center"/>
              <w:rPr>
                <w:rFonts w:ascii="Arial" w:hAnsi="Arial" w:cs="Arial"/>
                <w:sz w:val="24"/>
                <w:szCs w:val="24"/>
              </w:rPr>
            </w:pPr>
            <w:r>
              <w:rPr>
                <w:rFonts w:ascii="Arial" w:hAnsi="Arial" w:cs="Arial"/>
                <w:sz w:val="24"/>
                <w:szCs w:val="24"/>
              </w:rPr>
              <w:t>Not Significant</w:t>
            </w:r>
          </w:p>
        </w:tc>
      </w:tr>
      <w:tr>
        <w:trPr>
          <w:trHeight w:val="284"/>
        </w:trPr>
        <w:tc>
          <w:tcPr>
            <w:tcW w:w="1814" w:type="dxa"/>
            <w:vMerge/>
          </w:tcPr>
          <w:p>
            <w:pPr>
              <w:pStyle w:val="NoSpacing"/>
              <w:rPr>
                <w:rFonts w:ascii="Arial" w:hAnsi="Arial" w:cs="Arial"/>
                <w:sz w:val="24"/>
                <w:szCs w:val="24"/>
              </w:rPr>
            </w:pPr>
          </w:p>
        </w:tc>
        <w:tc>
          <w:tcPr>
            <w:tcW w:w="2847" w:type="dxa"/>
          </w:tcPr>
          <w:p>
            <w:pPr>
              <w:pStyle w:val="NoSpacing"/>
              <w:rPr>
                <w:rFonts w:ascii="Arial" w:hAnsi="Arial" w:cs="Arial"/>
                <w:sz w:val="24"/>
                <w:szCs w:val="24"/>
              </w:rPr>
            </w:pPr>
            <w:r>
              <w:rPr>
                <w:rFonts w:ascii="Arial" w:hAnsi="Arial" w:cs="Arial"/>
                <w:sz w:val="24"/>
                <w:szCs w:val="24"/>
              </w:rPr>
              <w:t>Collaborative Engagement</w:t>
            </w:r>
          </w:p>
        </w:tc>
        <w:tc>
          <w:tcPr>
            <w:tcW w:w="1344" w:type="dxa"/>
            <w:vAlign w:val="center"/>
          </w:tcPr>
          <w:p>
            <w:pPr>
              <w:pStyle w:val="NoSpacing"/>
              <w:jc w:val="center"/>
              <w:rPr>
                <w:rFonts w:ascii="Arial" w:hAnsi="Arial" w:cs="Arial"/>
                <w:sz w:val="24"/>
                <w:szCs w:val="24"/>
              </w:rPr>
            </w:pPr>
            <w:r>
              <w:rPr>
                <w:rFonts w:ascii="Arial" w:hAnsi="Arial" w:cs="Arial"/>
                <w:sz w:val="24"/>
                <w:szCs w:val="24"/>
              </w:rPr>
              <w:t>-0.590</w:t>
            </w:r>
          </w:p>
        </w:tc>
        <w:tc>
          <w:tcPr>
            <w:tcW w:w="949" w:type="dxa"/>
            <w:vAlign w:val="center"/>
          </w:tcPr>
          <w:p>
            <w:pPr>
              <w:pStyle w:val="NoSpacing"/>
              <w:jc w:val="center"/>
              <w:rPr>
                <w:rFonts w:ascii="Arial" w:hAnsi="Arial" w:cs="Arial"/>
                <w:sz w:val="24"/>
                <w:szCs w:val="24"/>
              </w:rPr>
            </w:pPr>
            <w:r>
              <w:rPr>
                <w:rFonts w:ascii="Arial" w:hAnsi="Arial" w:cs="Arial"/>
                <w:sz w:val="24"/>
                <w:szCs w:val="24"/>
              </w:rPr>
              <w:t>.001</w:t>
            </w:r>
          </w:p>
        </w:tc>
        <w:tc>
          <w:tcPr>
            <w:tcW w:w="1502" w:type="dxa"/>
            <w:vAlign w:val="center"/>
          </w:tcPr>
          <w:p>
            <w:pPr>
              <w:pStyle w:val="NoSpacing"/>
              <w:jc w:val="center"/>
              <w:rPr>
                <w:rFonts w:ascii="Arial" w:hAnsi="Arial" w:cs="Arial"/>
                <w:sz w:val="24"/>
                <w:szCs w:val="24"/>
              </w:rPr>
            </w:pPr>
            <w:r>
              <w:rPr>
                <w:rFonts w:ascii="Arial" w:hAnsi="Arial" w:cs="Arial"/>
                <w:sz w:val="24"/>
                <w:szCs w:val="24"/>
              </w:rPr>
              <w:t>Significant</w:t>
            </w:r>
          </w:p>
        </w:tc>
      </w:tr>
      <w:tr>
        <w:trPr>
          <w:trHeight w:val="596"/>
        </w:trPr>
        <w:tc>
          <w:tcPr>
            <w:tcW w:w="1814" w:type="dxa"/>
            <w:vMerge/>
          </w:tcPr>
          <w:p>
            <w:pPr>
              <w:pStyle w:val="NoSpacing"/>
              <w:rPr>
                <w:rFonts w:ascii="Arial" w:hAnsi="Arial" w:cs="Arial"/>
                <w:sz w:val="24"/>
                <w:szCs w:val="24"/>
              </w:rPr>
            </w:pPr>
          </w:p>
        </w:tc>
        <w:tc>
          <w:tcPr>
            <w:tcW w:w="2847" w:type="dxa"/>
          </w:tcPr>
          <w:p>
            <w:pPr>
              <w:pStyle w:val="NoSpacing"/>
              <w:rPr>
                <w:rFonts w:ascii="Arial" w:hAnsi="Arial" w:cs="Arial"/>
                <w:sz w:val="24"/>
                <w:szCs w:val="24"/>
              </w:rPr>
            </w:pPr>
            <w:r>
              <w:rPr>
                <w:rFonts w:ascii="Arial" w:hAnsi="Arial" w:cs="Arial"/>
                <w:sz w:val="24"/>
                <w:szCs w:val="24"/>
              </w:rPr>
              <w:t>Creative Engagement</w:t>
            </w:r>
          </w:p>
        </w:tc>
        <w:tc>
          <w:tcPr>
            <w:tcW w:w="1344" w:type="dxa"/>
            <w:vAlign w:val="center"/>
          </w:tcPr>
          <w:p>
            <w:pPr>
              <w:pStyle w:val="NoSpacing"/>
              <w:jc w:val="center"/>
              <w:rPr>
                <w:rFonts w:ascii="Arial" w:hAnsi="Arial" w:cs="Arial"/>
                <w:sz w:val="24"/>
                <w:szCs w:val="24"/>
              </w:rPr>
            </w:pPr>
            <w:r>
              <w:rPr>
                <w:rFonts w:ascii="Arial" w:hAnsi="Arial" w:cs="Arial"/>
                <w:sz w:val="24"/>
                <w:szCs w:val="24"/>
              </w:rPr>
              <w:t>0.129</w:t>
            </w:r>
          </w:p>
        </w:tc>
        <w:tc>
          <w:tcPr>
            <w:tcW w:w="949" w:type="dxa"/>
            <w:vAlign w:val="center"/>
          </w:tcPr>
          <w:p>
            <w:pPr>
              <w:pStyle w:val="NoSpacing"/>
              <w:jc w:val="center"/>
              <w:rPr>
                <w:rFonts w:ascii="Arial" w:hAnsi="Arial" w:cs="Arial"/>
                <w:sz w:val="24"/>
                <w:szCs w:val="24"/>
              </w:rPr>
            </w:pPr>
            <w:r>
              <w:rPr>
                <w:rFonts w:ascii="Arial" w:hAnsi="Arial" w:cs="Arial"/>
                <w:sz w:val="24"/>
                <w:szCs w:val="24"/>
              </w:rPr>
              <w:t>.498</w:t>
            </w:r>
          </w:p>
        </w:tc>
        <w:tc>
          <w:tcPr>
            <w:tcW w:w="1502" w:type="dxa"/>
          </w:tcPr>
          <w:p>
            <w:pPr>
              <w:pStyle w:val="NoSpacing"/>
              <w:jc w:val="center"/>
              <w:rPr>
                <w:rFonts w:ascii="Arial" w:hAnsi="Arial" w:cs="Arial"/>
                <w:sz w:val="24"/>
                <w:szCs w:val="24"/>
              </w:rPr>
            </w:pPr>
            <w:r>
              <w:rPr>
                <w:rFonts w:ascii="Arial" w:hAnsi="Arial" w:cs="Arial"/>
                <w:sz w:val="24"/>
                <w:szCs w:val="24"/>
              </w:rPr>
              <w:t>Not Significant</w:t>
            </w:r>
          </w:p>
        </w:tc>
      </w:tr>
      <w:tr>
        <w:trPr>
          <w:trHeight w:val="596"/>
        </w:trPr>
        <w:tc>
          <w:tcPr>
            <w:tcW w:w="1814" w:type="dxa"/>
            <w:vMerge/>
          </w:tcPr>
          <w:p>
            <w:pPr>
              <w:pStyle w:val="NoSpacing"/>
              <w:rPr>
                <w:rFonts w:ascii="Arial" w:hAnsi="Arial" w:cs="Arial"/>
                <w:sz w:val="24"/>
                <w:szCs w:val="24"/>
              </w:rPr>
            </w:pPr>
          </w:p>
        </w:tc>
        <w:tc>
          <w:tcPr>
            <w:tcW w:w="2847" w:type="dxa"/>
          </w:tcPr>
          <w:p>
            <w:pPr>
              <w:pStyle w:val="NoSpacing"/>
              <w:rPr>
                <w:rFonts w:ascii="Arial" w:hAnsi="Arial" w:cs="Arial"/>
                <w:sz w:val="24"/>
                <w:szCs w:val="24"/>
              </w:rPr>
            </w:pPr>
            <w:r>
              <w:rPr>
                <w:rFonts w:ascii="Arial" w:hAnsi="Arial" w:cs="Arial"/>
                <w:sz w:val="24"/>
                <w:szCs w:val="24"/>
              </w:rPr>
              <w:t>Reflective / Metacognitive Engagement</w:t>
            </w:r>
          </w:p>
        </w:tc>
        <w:tc>
          <w:tcPr>
            <w:tcW w:w="1344" w:type="dxa"/>
            <w:vAlign w:val="center"/>
          </w:tcPr>
          <w:p>
            <w:pPr>
              <w:pStyle w:val="NoSpacing"/>
              <w:jc w:val="center"/>
              <w:rPr>
                <w:rFonts w:ascii="Arial" w:hAnsi="Arial" w:cs="Arial"/>
                <w:sz w:val="24"/>
                <w:szCs w:val="24"/>
              </w:rPr>
            </w:pPr>
            <w:r>
              <w:rPr>
                <w:rFonts w:ascii="Arial" w:hAnsi="Arial" w:cs="Arial"/>
                <w:sz w:val="24"/>
                <w:szCs w:val="24"/>
              </w:rPr>
              <w:t>0.077</w:t>
            </w:r>
          </w:p>
        </w:tc>
        <w:tc>
          <w:tcPr>
            <w:tcW w:w="949" w:type="dxa"/>
            <w:vAlign w:val="center"/>
          </w:tcPr>
          <w:p>
            <w:pPr>
              <w:pStyle w:val="NoSpacing"/>
              <w:jc w:val="center"/>
              <w:rPr>
                <w:rFonts w:ascii="Arial" w:hAnsi="Arial" w:cs="Arial"/>
                <w:sz w:val="24"/>
                <w:szCs w:val="24"/>
              </w:rPr>
            </w:pPr>
            <w:r>
              <w:rPr>
                <w:rFonts w:ascii="Arial" w:hAnsi="Arial" w:cs="Arial"/>
                <w:sz w:val="24"/>
                <w:szCs w:val="24"/>
              </w:rPr>
              <w:t>.688</w:t>
            </w:r>
          </w:p>
        </w:tc>
        <w:tc>
          <w:tcPr>
            <w:tcW w:w="1502" w:type="dxa"/>
          </w:tcPr>
          <w:p>
            <w:pPr>
              <w:pStyle w:val="NoSpacing"/>
              <w:jc w:val="center"/>
              <w:rPr>
                <w:rFonts w:ascii="Arial" w:hAnsi="Arial" w:cs="Arial"/>
                <w:sz w:val="24"/>
                <w:szCs w:val="24"/>
              </w:rPr>
            </w:pPr>
            <w:r>
              <w:rPr>
                <w:rFonts w:ascii="Arial" w:hAnsi="Arial" w:cs="Arial"/>
                <w:sz w:val="24"/>
                <w:szCs w:val="24"/>
              </w:rPr>
              <w:t>Not Significant</w:t>
            </w:r>
          </w:p>
        </w:tc>
      </w:tr>
    </w:tbl>
    <w:p>
      <w:pPr>
        <w:jc w:val="center"/>
        <w:rPr>
          <w:rFonts w:ascii="Arial" w:hAnsi="Arial" w:cs="Arial"/>
        </w:rPr>
      </w:pPr>
    </w:p>
    <w:p>
      <w:pPr>
        <w:rPr>
          <w:rFonts w:ascii="Arial" w:hAnsi="Arial" w:cs="Arial"/>
        </w:rPr>
      </w:pPr>
      <w:r>
        <w:rPr>
          <w:rFonts w:ascii="Arial" w:hAnsi="Arial" w:cs="Arial"/>
        </w:rPr>
        <w:t xml:space="preserve">Statistical tool </w:t>
      </w:r>
    </w:p>
    <w:p>
      <w:pPr>
        <w:jc w:val="both"/>
        <w:rPr>
          <w:rFonts w:ascii="Arial" w:hAnsi="Arial" w:cs="Arial"/>
        </w:rPr>
      </w:pPr>
      <w:r>
        <w:rPr>
          <w:rFonts w:ascii="Arial" w:hAnsi="Arial" w:cs="Arial"/>
        </w:rPr>
        <w:tab/>
        <w:t>Weighted mean and mean was used to determine the level of teachers’ competence in integrating technology, extent of technology-supported learner engagement, the level of teachers’ technology integration practices in teaching English in IPEd classrooms based on PICRAT-aligned instructional processes, extent do teachers’ uses of technology in English instruction reflect the RAT dimensions, challenges encountered by teachers in indigenizing English learning through technology-supported tasks that promote thinking, reflection, and culturally responsive engagement</w:t>
      </w:r>
    </w:p>
    <w:p>
      <w:pPr>
        <w:jc w:val="both"/>
        <w:rPr>
          <w:rFonts w:ascii="Arial" w:hAnsi="Arial" w:cs="Arial"/>
        </w:rPr>
      </w:pPr>
      <w:r>
        <w:rPr>
          <w:rFonts w:ascii="Arial" w:hAnsi="Arial" w:cs="Arial"/>
        </w:rPr>
        <w:tab/>
        <w:t>Pearson product moment correlation was used to determine the significant relationship between teachers’ competence in integrating technology and their level of technology integration practices in teaching English, significant relationship between teachers’ level of technology integration and learners’ level of technology-supported engagement, and significant relationship between the extent of challenges encountered and the extent of teachers’ technology integration and learner engagement</w:t>
      </w:r>
    </w:p>
    <w:p>
      <w:pPr>
        <w:jc w:val="both"/>
        <w:rPr>
          <w:rFonts w:ascii="Arial" w:hAnsi="Arial" w:cs="Arial"/>
        </w:rPr>
      </w:pPr>
      <w:r>
        <w:rPr>
          <w:rFonts w:ascii="Arial" w:hAnsi="Arial" w:cs="Arial"/>
        </w:rPr>
        <w:tab/>
        <w:t>Regression analysis was used to determine which among teacher competence, learner engagement, and teachers’ technology integration practices significantly predicts teachers’ RAT-level technology use in English instruction</w:t>
      </w:r>
    </w:p>
    <w:p>
      <w:pPr>
        <w:jc w:val="both"/>
        <w:rPr>
          <w:rFonts w:ascii="Arial" w:hAnsi="Arial" w:cs="Arial"/>
        </w:rPr>
      </w:pPr>
      <w:r>
        <w:rPr>
          <w:rFonts w:ascii="Arial" w:hAnsi="Arial" w:cs="Arial"/>
          <w:noProof/>
          <w:lang w:val="en-PH" w:eastAsia="en-PH"/>
        </w:rPr>
        <w:drawing>
          <wp:anchor distT="0" distB="0" distL="114300" distR="114300" simplePos="0" relativeHeight="251745280" behindDoc="0" locked="0" layoutInCell="1" allowOverlap="1">
            <wp:simplePos x="0" y="0"/>
            <wp:positionH relativeFrom="margin">
              <wp:align>left</wp:align>
            </wp:positionH>
            <wp:positionV relativeFrom="paragraph">
              <wp:posOffset>108585</wp:posOffset>
            </wp:positionV>
            <wp:extent cx="2348230" cy="712470"/>
            <wp:effectExtent l="0" t="0" r="0" b="0"/>
            <wp:wrapThrough wrapText="bothSides">
              <wp:wrapPolygon edited="0">
                <wp:start x="0" y="0"/>
                <wp:lineTo x="0" y="20791"/>
                <wp:lineTo x="21378" y="20791"/>
                <wp:lineTo x="21378" y="0"/>
                <wp:lineTo x="0" y="0"/>
              </wp:wrapPolygon>
            </wp:wrapThrough>
            <wp:docPr id="28" name="Picture 28" descr="C:\Users\USER\AppData\Local\Microsoft\Windows\INetCache\Content.Word\Reliability Result (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Reliability Result (2)_page-0002.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10966" t="33971" r="56786" b="58469"/>
                    <a:stretch/>
                  </pic:blipFill>
                  <pic:spPr bwMode="auto">
                    <a:xfrm>
                      <a:off x="0" y="0"/>
                      <a:ext cx="2348230" cy="712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jc w:val="center"/>
        <w:rPr>
          <w:rFonts w:ascii="Arial" w:hAnsi="Arial" w:cs="Arial"/>
        </w:rPr>
      </w:pPr>
    </w:p>
    <w:p>
      <w:pPr>
        <w:jc w:val="center"/>
        <w:rPr>
          <w:rFonts w:ascii="Arial" w:hAnsi="Arial" w:cs="Arial"/>
        </w:rPr>
      </w:pPr>
      <w:r>
        <w:rPr>
          <w:rFonts w:ascii="Arial" w:hAnsi="Arial" w:cs="Arial"/>
        </w:rPr>
        <w:t xml:space="preserve"> </w:t>
      </w:r>
    </w:p>
    <w:p>
      <w:pPr>
        <w:jc w:val="center"/>
        <w:rPr>
          <w:rFonts w:ascii="Arial" w:hAnsi="Arial" w:cs="Arial"/>
        </w:rPr>
      </w:pPr>
    </w:p>
    <w:p>
      <w:pPr>
        <w:jc w:val="center"/>
        <w:rPr>
          <w:rFonts w:ascii="Arial" w:hAnsi="Arial" w:cs="Arial"/>
        </w:rPr>
      </w:pPr>
    </w:p>
    <w:p>
      <w:pPr>
        <w:spacing w:before="100" w:beforeAutospacing="1" w:after="100" w:afterAutospacing="1" w:line="240" w:lineRule="auto"/>
        <w:jc w:val="center"/>
        <w:rPr>
          <w:rFonts w:ascii="Arial" w:eastAsia="Times New Roman" w:hAnsi="Arial" w:cs="Arial"/>
          <w:b/>
          <w:lang w:eastAsia="en-PH"/>
        </w:rPr>
      </w:pPr>
      <w:r>
        <w:rPr>
          <w:rFonts w:ascii="Arial" w:eastAsia="Times New Roman" w:hAnsi="Arial" w:cs="Arial"/>
          <w:b/>
          <w:noProof/>
          <w:lang w:val="en-PH" w:eastAsia="en-PH"/>
        </w:rPr>
        <w:lastRenderedPageBreak/>
        <w:drawing>
          <wp:anchor distT="0" distB="0" distL="114300" distR="114300" simplePos="0" relativeHeight="251744256" behindDoc="1" locked="0" layoutInCell="1" allowOverlap="1">
            <wp:simplePos x="0" y="0"/>
            <wp:positionH relativeFrom="margin">
              <wp:posOffset>3781425</wp:posOffset>
            </wp:positionH>
            <wp:positionV relativeFrom="paragraph">
              <wp:posOffset>216535</wp:posOffset>
            </wp:positionV>
            <wp:extent cx="1765260" cy="1748155"/>
            <wp:effectExtent l="0" t="0" r="6985"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USINESS PIC GALUPO.png"/>
                    <pic:cNvPicPr/>
                  </pic:nvPicPr>
                  <pic:blipFill rotWithShape="1">
                    <a:blip r:embed="rId52" cstate="print">
                      <a:extLst>
                        <a:ext uri="{28A0092B-C50C-407E-A947-70E740481C1C}">
                          <a14:useLocalDpi xmlns:a14="http://schemas.microsoft.com/office/drawing/2010/main" val="0"/>
                        </a:ext>
                      </a:extLst>
                    </a:blip>
                    <a:srcRect l="6441" t="3458" r="7386" b="23651"/>
                    <a:stretch/>
                  </pic:blipFill>
                  <pic:spPr bwMode="auto">
                    <a:xfrm>
                      <a:off x="0" y="0"/>
                      <a:ext cx="1765260" cy="1748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
          <w:lang w:eastAsia="en-PH"/>
        </w:rPr>
        <w:t>CURRICULUM VITAE</w:t>
      </w:r>
    </w:p>
    <w:p>
      <w:pPr>
        <w:spacing w:before="100" w:beforeAutospacing="1" w:after="100" w:afterAutospacing="1" w:line="240" w:lineRule="auto"/>
        <w:rPr>
          <w:rFonts w:ascii="Arial" w:eastAsia="Times New Roman" w:hAnsi="Arial" w:cs="Arial"/>
          <w:b/>
          <w:lang w:eastAsia="en-PH"/>
        </w:rPr>
      </w:pPr>
      <w:r>
        <w:rPr>
          <w:rFonts w:ascii="Arial" w:eastAsia="Times New Roman" w:hAnsi="Arial" w:cs="Arial"/>
          <w:b/>
          <w:lang w:eastAsia="en-PH"/>
        </w:rPr>
        <w:t>Name: JOLLIBERT L. GALUPO</w:t>
      </w:r>
      <w:r>
        <w:rPr>
          <w:rFonts w:ascii="Arial" w:eastAsia="Times New Roman" w:hAnsi="Arial" w:cs="Arial"/>
          <w:b/>
          <w:lang w:eastAsia="en-PH"/>
        </w:rPr>
        <w:tab/>
      </w:r>
      <w:r>
        <w:rPr>
          <w:rFonts w:ascii="Arial" w:eastAsia="Times New Roman" w:hAnsi="Arial" w:cs="Arial"/>
          <w:b/>
          <w:lang w:eastAsia="en-PH"/>
        </w:rPr>
        <w:tab/>
      </w:r>
      <w:r>
        <w:rPr>
          <w:rFonts w:ascii="Arial" w:eastAsia="Times New Roman" w:hAnsi="Arial" w:cs="Arial"/>
          <w:b/>
          <w:lang w:eastAsia="en-PH"/>
        </w:rPr>
        <w:tab/>
      </w:r>
      <w:r>
        <w:rPr>
          <w:rFonts w:ascii="Arial" w:eastAsia="Times New Roman" w:hAnsi="Arial" w:cs="Arial"/>
          <w:b/>
          <w:lang w:eastAsia="en-PH"/>
        </w:rPr>
        <w:tab/>
      </w:r>
      <w:r>
        <w:rPr>
          <w:rFonts w:ascii="Arial" w:eastAsia="Times New Roman" w:hAnsi="Arial" w:cs="Arial"/>
          <w:b/>
          <w:lang w:eastAsia="en-PH"/>
        </w:rPr>
        <w:tab/>
      </w:r>
    </w:p>
    <w:p>
      <w:pPr>
        <w:spacing w:before="100" w:beforeAutospacing="1" w:after="100" w:afterAutospacing="1" w:line="240" w:lineRule="auto"/>
        <w:rPr>
          <w:rFonts w:ascii="Arial" w:eastAsia="Times New Roman" w:hAnsi="Arial" w:cs="Arial"/>
          <w:b/>
          <w:lang w:eastAsia="en-PH"/>
        </w:rPr>
      </w:pPr>
      <w:r>
        <w:rPr>
          <w:rFonts w:ascii="Arial" w:eastAsia="Times New Roman" w:hAnsi="Arial" w:cs="Arial"/>
          <w:b/>
          <w:lang w:eastAsia="en-PH"/>
        </w:rPr>
        <w:t>Address:</w:t>
      </w:r>
      <w:r>
        <w:rPr>
          <w:rFonts w:ascii="Arial" w:eastAsia="Times New Roman" w:hAnsi="Arial" w:cs="Arial"/>
          <w:lang w:eastAsia="en-PH"/>
        </w:rPr>
        <w:t xml:space="preserve"> Buenavista,Tandag City, Surigao del Sur</w:t>
      </w:r>
    </w:p>
    <w:p>
      <w:pPr>
        <w:spacing w:before="100" w:beforeAutospacing="1" w:after="100" w:afterAutospacing="1" w:line="240" w:lineRule="auto"/>
        <w:rPr>
          <w:rFonts w:ascii="Arial" w:eastAsia="Times New Roman" w:hAnsi="Arial" w:cs="Arial"/>
          <w:lang w:eastAsia="en-PH"/>
        </w:rPr>
      </w:pPr>
      <w:r>
        <w:rPr>
          <w:rFonts w:ascii="Arial" w:eastAsia="Times New Roman" w:hAnsi="Arial" w:cs="Arial"/>
          <w:b/>
          <w:lang w:eastAsia="en-PH"/>
        </w:rPr>
        <w:t xml:space="preserve">Email: </w:t>
      </w:r>
      <w:hyperlink r:id="rId53" w:history="1">
        <w:r>
          <w:rPr>
            <w:rStyle w:val="Hyperlink"/>
            <w:rFonts w:ascii="Arial" w:eastAsia="Times New Roman" w:hAnsi="Arial" w:cs="Arial"/>
            <w:color w:val="auto"/>
            <w:u w:val="none"/>
            <w:lang w:eastAsia="en-PH"/>
          </w:rPr>
          <w:t>jollibert.galupo@deped.gov.ph</w:t>
        </w:r>
      </w:hyperlink>
    </w:p>
    <w:p>
      <w:pPr>
        <w:spacing w:before="100" w:beforeAutospacing="1" w:after="100" w:afterAutospacing="1" w:line="240" w:lineRule="auto"/>
        <w:rPr>
          <w:rFonts w:ascii="Arial" w:eastAsia="Times New Roman" w:hAnsi="Arial" w:cs="Arial"/>
          <w:lang w:eastAsia="en-PH"/>
        </w:rPr>
      </w:pPr>
    </w:p>
    <w:p>
      <w:pPr>
        <w:spacing w:before="100" w:beforeAutospacing="1" w:after="100" w:afterAutospacing="1" w:line="240" w:lineRule="auto"/>
        <w:rPr>
          <w:rFonts w:ascii="Arial" w:eastAsia="Times New Roman" w:hAnsi="Arial" w:cs="Arial"/>
          <w:b/>
          <w:lang w:eastAsia="en-PH"/>
        </w:rPr>
      </w:pPr>
      <w:r>
        <w:rPr>
          <w:rFonts w:ascii="Arial" w:eastAsia="Times New Roman" w:hAnsi="Arial" w:cs="Arial"/>
          <w:b/>
          <w:lang w:eastAsia="en-PH"/>
        </w:rPr>
        <w:t>CAREER OBJECTIVE</w:t>
      </w:r>
    </w:p>
    <w:p>
      <w:pPr>
        <w:spacing w:before="100" w:beforeAutospacing="1" w:after="100" w:afterAutospacing="1" w:line="276" w:lineRule="auto"/>
        <w:jc w:val="both"/>
        <w:rPr>
          <w:rFonts w:ascii="Arial" w:eastAsia="Times New Roman" w:hAnsi="Arial" w:cs="Arial"/>
          <w:lang w:eastAsia="en-PH"/>
        </w:rPr>
      </w:pPr>
      <w:r>
        <w:rPr>
          <w:rFonts w:ascii="Arial" w:eastAsia="Times New Roman" w:hAnsi="Arial" w:cs="Arial"/>
          <w:noProof/>
          <w:lang w:val="en-PH" w:eastAsia="en-PH"/>
        </w:rPr>
        <mc:AlternateContent>
          <mc:Choice Requires="wps">
            <w:drawing>
              <wp:anchor distT="0" distB="0" distL="114300" distR="114300" simplePos="0" relativeHeight="251737088" behindDoc="0" locked="0" layoutInCell="1" allowOverlap="1">
                <wp:simplePos x="0" y="0"/>
                <wp:positionH relativeFrom="margin">
                  <wp:align>right</wp:align>
                </wp:positionH>
                <wp:positionV relativeFrom="paragraph">
                  <wp:posOffset>815292</wp:posOffset>
                </wp:positionV>
                <wp:extent cx="5451894" cy="17252"/>
                <wp:effectExtent l="0" t="0" r="34925" b="20955"/>
                <wp:wrapThrough wrapText="bothSides">
                  <wp:wrapPolygon edited="0">
                    <wp:start x="4151" y="0"/>
                    <wp:lineTo x="0" y="0"/>
                    <wp:lineTo x="0" y="24000"/>
                    <wp:lineTo x="21663" y="24000"/>
                    <wp:lineTo x="21663" y="0"/>
                    <wp:lineTo x="4151" y="0"/>
                  </wp:wrapPolygon>
                </wp:wrapThrough>
                <wp:docPr id="15" name="Straight Connector 15"/>
                <wp:cNvGraphicFramePr/>
                <a:graphic xmlns:a="http://schemas.openxmlformats.org/drawingml/2006/main">
                  <a:graphicData uri="http://schemas.microsoft.com/office/word/2010/wordprocessingShape">
                    <wps:wsp>
                      <wps:cNvCnPr/>
                      <wps:spPr>
                        <a:xfrm flipV="1">
                          <a:off x="0" y="0"/>
                          <a:ext cx="5451894" cy="1725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id="Straight Connector 15" o:spid="_x0000_s1026" style="position:absolute;flip:y;z-index:251737088;visibility:visible;mso-wrap-style:square;mso-wrap-distance-left:9pt;mso-wrap-distance-top:0;mso-wrap-distance-right:9pt;mso-wrap-distance-bottom:0;mso-position-horizontal:right;mso-position-horizontal-relative:margin;mso-position-vertical:absolute;mso-position-vertical-relative:text" from="378.1pt,64.2pt" to="807.4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" strokecolor="black [3200]" strokeweight="1.5pt">
                <v:stroke joinstyle="miter"/>
                <w10:wrap type="through" anchorx="margin"/>
              </v:line>
            </w:pict>
          </mc:Fallback>
        </mc:AlternateContent>
      </w:r>
      <w:r>
        <w:rPr>
          <w:rFonts w:ascii="Arial" w:eastAsia="Times New Roman" w:hAnsi="Arial" w:cs="Arial"/>
          <w:lang w:eastAsia="en-PH"/>
        </w:rPr>
        <w:tab/>
        <w:t>Dedicated and passionate teacher committed to providing quality education, fostering meaningful learning experiences, and supporting the holistic development of learners. Committed to continuously enhancing professional skills while contributing effectively to the success of the institution and the community.</w:t>
      </w:r>
    </w:p>
    <w:p>
      <w:pPr>
        <w:spacing w:before="100" w:beforeAutospacing="1" w:after="100" w:afterAutospacing="1" w:line="240" w:lineRule="auto"/>
        <w:jc w:val="both"/>
        <w:rPr>
          <w:rFonts w:ascii="Arial" w:eastAsia="Times New Roman" w:hAnsi="Arial" w:cs="Arial"/>
          <w:b/>
          <w:lang w:eastAsia="en-PH"/>
        </w:rPr>
      </w:pPr>
      <w:r>
        <w:rPr>
          <w:rFonts w:ascii="Arial" w:eastAsia="Times New Roman" w:hAnsi="Arial" w:cs="Arial"/>
          <w:b/>
          <w:lang w:eastAsia="en-PH"/>
        </w:rPr>
        <w:t>EDUCATIONAL BACKGROUND</w:t>
      </w:r>
    </w:p>
    <w:p>
      <w:pPr>
        <w:spacing w:before="100" w:beforeAutospacing="1" w:after="100" w:afterAutospacing="1" w:line="240" w:lineRule="auto"/>
        <w:jc w:val="both"/>
        <w:rPr>
          <w:rFonts w:ascii="Arial" w:eastAsia="Times New Roman" w:hAnsi="Arial" w:cs="Arial"/>
          <w:b/>
          <w:lang w:eastAsia="en-PH"/>
        </w:rPr>
      </w:pPr>
      <w:r>
        <w:rPr>
          <w:rFonts w:ascii="Arial" w:eastAsia="Times New Roman" w:hAnsi="Arial" w:cs="Arial"/>
          <w:b/>
          <w:lang w:eastAsia="en-PH"/>
        </w:rPr>
        <w:t xml:space="preserve">Postgraduate </w:t>
      </w:r>
    </w:p>
    <w:p>
      <w:pPr>
        <w:spacing w:before="100" w:beforeAutospacing="1" w:after="100" w:afterAutospacing="1" w:line="240" w:lineRule="auto"/>
        <w:jc w:val="both"/>
        <w:rPr>
          <w:rFonts w:ascii="Arial" w:eastAsia="Times New Roman" w:hAnsi="Arial" w:cs="Arial"/>
          <w:lang w:eastAsia="en-PH"/>
        </w:rPr>
      </w:pPr>
      <w:r>
        <w:rPr>
          <w:rFonts w:ascii="Arial" w:eastAsia="Times New Roman" w:hAnsi="Arial" w:cs="Arial"/>
          <w:lang w:eastAsia="en-PH"/>
        </w:rPr>
        <w:t>North Eastern Mindanao State University</w:t>
      </w:r>
      <w:r>
        <w:rPr>
          <w:rFonts w:ascii="Arial" w:eastAsia="Times New Roman" w:hAnsi="Arial" w:cs="Arial"/>
          <w:lang w:eastAsia="en-PH"/>
        </w:rPr>
        <w:tab/>
      </w:r>
      <w:r>
        <w:rPr>
          <w:rFonts w:ascii="Arial" w:eastAsia="Times New Roman" w:hAnsi="Arial" w:cs="Arial"/>
          <w:lang w:eastAsia="en-PH"/>
        </w:rPr>
        <w:tab/>
      </w:r>
      <w:r>
        <w:rPr>
          <w:rFonts w:ascii="Arial" w:eastAsia="Times New Roman" w:hAnsi="Arial" w:cs="Arial"/>
          <w:lang w:eastAsia="en-PH"/>
        </w:rPr>
        <w:tab/>
        <w:t>2023-Ongoing</w:t>
      </w:r>
    </w:p>
    <w:p>
      <w:pPr>
        <w:spacing w:before="100" w:beforeAutospacing="1" w:after="100" w:afterAutospacing="1" w:line="240" w:lineRule="auto"/>
        <w:jc w:val="both"/>
        <w:rPr>
          <w:rFonts w:ascii="Arial" w:eastAsia="Times New Roman" w:hAnsi="Arial" w:cs="Arial"/>
          <w:b/>
          <w:lang w:eastAsia="en-PH"/>
        </w:rPr>
      </w:pPr>
      <w:r>
        <w:rPr>
          <w:rFonts w:ascii="Arial" w:eastAsia="Times New Roman" w:hAnsi="Arial" w:cs="Arial"/>
          <w:b/>
          <w:lang w:eastAsia="en-PH"/>
        </w:rPr>
        <w:t>College</w:t>
      </w:r>
    </w:p>
    <w:p>
      <w:pPr>
        <w:spacing w:before="100" w:beforeAutospacing="1" w:after="100" w:afterAutospacing="1" w:line="240" w:lineRule="auto"/>
        <w:jc w:val="both"/>
        <w:rPr>
          <w:rFonts w:ascii="Arial" w:eastAsia="Times New Roman" w:hAnsi="Arial" w:cs="Arial"/>
          <w:lang w:eastAsia="en-PH"/>
        </w:rPr>
      </w:pPr>
      <w:r>
        <w:rPr>
          <w:rFonts w:ascii="Arial" w:eastAsia="Times New Roman" w:hAnsi="Arial" w:cs="Arial"/>
          <w:lang w:eastAsia="en-PH"/>
        </w:rPr>
        <w:t>North Eastern Mindanao State University</w:t>
      </w:r>
      <w:r>
        <w:rPr>
          <w:rFonts w:ascii="Arial" w:eastAsia="Times New Roman" w:hAnsi="Arial" w:cs="Arial"/>
          <w:lang w:eastAsia="en-PH"/>
        </w:rPr>
        <w:tab/>
      </w:r>
      <w:r>
        <w:rPr>
          <w:rFonts w:ascii="Arial" w:eastAsia="Times New Roman" w:hAnsi="Arial" w:cs="Arial"/>
          <w:lang w:eastAsia="en-PH"/>
        </w:rPr>
        <w:tab/>
      </w:r>
      <w:r>
        <w:rPr>
          <w:rFonts w:ascii="Arial" w:eastAsia="Times New Roman" w:hAnsi="Arial" w:cs="Arial"/>
          <w:lang w:eastAsia="en-PH"/>
        </w:rPr>
        <w:tab/>
        <w:t>2021-2022</w:t>
      </w:r>
    </w:p>
    <w:p>
      <w:pPr>
        <w:spacing w:before="100" w:beforeAutospacing="1" w:after="100" w:afterAutospacing="1" w:line="240" w:lineRule="auto"/>
        <w:jc w:val="both"/>
        <w:rPr>
          <w:rFonts w:ascii="Arial" w:eastAsia="Times New Roman" w:hAnsi="Arial" w:cs="Arial"/>
          <w:b/>
          <w:lang w:eastAsia="en-PH"/>
        </w:rPr>
      </w:pPr>
      <w:r>
        <w:rPr>
          <w:rFonts w:ascii="Arial" w:eastAsia="Times New Roman" w:hAnsi="Arial" w:cs="Arial"/>
          <w:b/>
          <w:lang w:eastAsia="en-PH"/>
        </w:rPr>
        <w:t>Senior High School/ High School</w:t>
      </w:r>
    </w:p>
    <w:p>
      <w:pPr>
        <w:spacing w:before="100" w:beforeAutospacing="1" w:after="100" w:afterAutospacing="1" w:line="240" w:lineRule="auto"/>
        <w:jc w:val="both"/>
        <w:rPr>
          <w:rFonts w:ascii="Arial" w:eastAsia="Times New Roman" w:hAnsi="Arial" w:cs="Arial"/>
          <w:lang w:eastAsia="en-PH"/>
        </w:rPr>
      </w:pPr>
      <w:r>
        <w:rPr>
          <w:rFonts w:ascii="Arial" w:eastAsia="Times New Roman" w:hAnsi="Arial" w:cs="Arial"/>
          <w:lang w:eastAsia="en-PH"/>
        </w:rPr>
        <w:t>Buenavista National High School</w:t>
      </w:r>
      <w:r>
        <w:rPr>
          <w:rFonts w:ascii="Arial" w:eastAsia="Times New Roman" w:hAnsi="Arial" w:cs="Arial"/>
          <w:lang w:eastAsia="en-PH"/>
        </w:rPr>
        <w:tab/>
      </w:r>
      <w:r>
        <w:rPr>
          <w:rFonts w:ascii="Arial" w:eastAsia="Times New Roman" w:hAnsi="Arial" w:cs="Arial"/>
          <w:lang w:eastAsia="en-PH"/>
        </w:rPr>
        <w:tab/>
      </w:r>
      <w:r>
        <w:rPr>
          <w:rFonts w:ascii="Arial" w:eastAsia="Times New Roman" w:hAnsi="Arial" w:cs="Arial"/>
          <w:lang w:eastAsia="en-PH"/>
        </w:rPr>
        <w:tab/>
      </w:r>
      <w:r>
        <w:rPr>
          <w:rFonts w:ascii="Arial" w:eastAsia="Times New Roman" w:hAnsi="Arial" w:cs="Arial"/>
          <w:lang w:eastAsia="en-PH"/>
        </w:rPr>
        <w:tab/>
      </w:r>
      <w:r>
        <w:rPr>
          <w:rFonts w:ascii="Arial" w:eastAsia="Times New Roman" w:hAnsi="Arial" w:cs="Arial"/>
          <w:lang w:eastAsia="en-PH"/>
        </w:rPr>
        <w:tab/>
        <w:t>2017-2018</w:t>
      </w:r>
    </w:p>
    <w:p>
      <w:pPr>
        <w:spacing w:before="100" w:beforeAutospacing="1" w:after="100" w:afterAutospacing="1" w:line="240" w:lineRule="auto"/>
        <w:jc w:val="both"/>
        <w:rPr>
          <w:rFonts w:ascii="Arial" w:eastAsia="Times New Roman" w:hAnsi="Arial" w:cs="Arial"/>
          <w:b/>
          <w:lang w:eastAsia="en-PH"/>
        </w:rPr>
      </w:pPr>
      <w:r>
        <w:rPr>
          <w:rFonts w:ascii="Arial" w:eastAsia="Times New Roman" w:hAnsi="Arial" w:cs="Arial"/>
          <w:b/>
          <w:lang w:eastAsia="en-PH"/>
        </w:rPr>
        <w:t>Elementary</w:t>
      </w:r>
    </w:p>
    <w:p>
      <w:pPr>
        <w:spacing w:before="100" w:beforeAutospacing="1" w:after="100" w:afterAutospacing="1" w:line="240" w:lineRule="auto"/>
        <w:jc w:val="both"/>
        <w:rPr>
          <w:rFonts w:ascii="Arial" w:eastAsia="Times New Roman" w:hAnsi="Arial" w:cs="Arial"/>
          <w:lang w:eastAsia="en-PH"/>
        </w:rPr>
      </w:pPr>
      <w:r>
        <w:rPr>
          <w:rFonts w:ascii="Arial" w:eastAsia="Times New Roman" w:hAnsi="Arial" w:cs="Arial"/>
          <w:noProof/>
          <w:lang w:val="en-PH" w:eastAsia="en-PH"/>
        </w:rPr>
        <mc:AlternateContent>
          <mc:Choice Requires="wps">
            <w:drawing>
              <wp:anchor distT="0" distB="0" distL="114300" distR="114300" simplePos="0" relativeHeight="251739136" behindDoc="0" locked="0" layoutInCell="1" allowOverlap="1">
                <wp:simplePos x="0" y="0"/>
                <wp:positionH relativeFrom="margin">
                  <wp:align>right</wp:align>
                </wp:positionH>
                <wp:positionV relativeFrom="paragraph">
                  <wp:posOffset>256588</wp:posOffset>
                </wp:positionV>
                <wp:extent cx="5451894" cy="17252"/>
                <wp:effectExtent l="0" t="0" r="34925" b="20955"/>
                <wp:wrapThrough wrapText="bothSides">
                  <wp:wrapPolygon edited="0">
                    <wp:start x="4151" y="0"/>
                    <wp:lineTo x="0" y="0"/>
                    <wp:lineTo x="0" y="24000"/>
                    <wp:lineTo x="21663" y="24000"/>
                    <wp:lineTo x="21663" y="0"/>
                    <wp:lineTo x="4151" y="0"/>
                  </wp:wrapPolygon>
                </wp:wrapThrough>
                <wp:docPr id="16" name="Straight Connector 16"/>
                <wp:cNvGraphicFramePr/>
                <a:graphic xmlns:a="http://schemas.openxmlformats.org/drawingml/2006/main">
                  <a:graphicData uri="http://schemas.microsoft.com/office/word/2010/wordprocessingShape">
                    <wps:wsp>
                      <wps:cNvCnPr/>
                      <wps:spPr>
                        <a:xfrm flipV="1">
                          <a:off x="0" y="0"/>
                          <a:ext cx="5451894" cy="1725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id="Straight Connector 16" o:spid="_x0000_s1026" style="position:absolute;flip:y;z-index:251739136;visibility:visible;mso-wrap-style:square;mso-wrap-distance-left:9pt;mso-wrap-distance-top:0;mso-wrap-distance-right:9pt;mso-wrap-distance-bottom:0;mso-position-horizontal:right;mso-position-horizontal-relative:margin;mso-position-vertical:absolute;mso-position-vertical-relative:text" from="378.1pt,20.2pt" to="807.4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" strokecolor="black [3200]" strokeweight="1.5pt">
                <v:stroke joinstyle="miter"/>
                <w10:wrap type="through" anchorx="margin"/>
              </v:line>
            </w:pict>
          </mc:Fallback>
        </mc:AlternateContent>
      </w:r>
      <w:r>
        <w:rPr>
          <w:rFonts w:ascii="Arial" w:eastAsia="Times New Roman" w:hAnsi="Arial" w:cs="Arial"/>
          <w:lang w:eastAsia="en-PH"/>
        </w:rPr>
        <w:t>Buenavista Elementary School</w:t>
      </w:r>
      <w:r>
        <w:rPr>
          <w:rFonts w:ascii="Arial" w:eastAsia="Times New Roman" w:hAnsi="Arial" w:cs="Arial"/>
          <w:lang w:eastAsia="en-PH"/>
        </w:rPr>
        <w:tab/>
      </w:r>
      <w:r>
        <w:rPr>
          <w:rFonts w:ascii="Arial" w:eastAsia="Times New Roman" w:hAnsi="Arial" w:cs="Arial"/>
          <w:lang w:eastAsia="en-PH"/>
        </w:rPr>
        <w:tab/>
      </w:r>
      <w:r>
        <w:rPr>
          <w:rFonts w:ascii="Arial" w:eastAsia="Times New Roman" w:hAnsi="Arial" w:cs="Arial"/>
          <w:lang w:eastAsia="en-PH"/>
        </w:rPr>
        <w:tab/>
      </w:r>
      <w:r>
        <w:rPr>
          <w:rFonts w:ascii="Arial" w:eastAsia="Times New Roman" w:hAnsi="Arial" w:cs="Arial"/>
          <w:lang w:eastAsia="en-PH"/>
        </w:rPr>
        <w:tab/>
      </w:r>
      <w:r>
        <w:rPr>
          <w:rFonts w:ascii="Arial" w:eastAsia="Times New Roman" w:hAnsi="Arial" w:cs="Arial"/>
          <w:lang w:eastAsia="en-PH"/>
        </w:rPr>
        <w:tab/>
        <w:t>2011-2012</w:t>
      </w:r>
    </w:p>
    <w:p>
      <w:pPr>
        <w:spacing w:before="100" w:beforeAutospacing="1" w:after="100" w:afterAutospacing="1" w:line="240" w:lineRule="auto"/>
        <w:jc w:val="both"/>
        <w:rPr>
          <w:rFonts w:ascii="Arial" w:eastAsia="Times New Roman" w:hAnsi="Arial" w:cs="Arial"/>
          <w:b/>
          <w:lang w:eastAsia="en-PH"/>
        </w:rPr>
      </w:pPr>
      <w:r>
        <w:rPr>
          <w:rFonts w:ascii="Arial" w:eastAsia="Times New Roman" w:hAnsi="Arial" w:cs="Arial"/>
          <w:b/>
          <w:lang w:eastAsia="en-PH"/>
        </w:rPr>
        <w:t>WORK EXPERIENCE</w:t>
      </w:r>
    </w:p>
    <w:p>
      <w:pPr>
        <w:spacing w:before="100" w:beforeAutospacing="1" w:after="100" w:afterAutospacing="1" w:line="240" w:lineRule="auto"/>
        <w:jc w:val="both"/>
        <w:rPr>
          <w:rFonts w:ascii="Arial" w:eastAsia="Times New Roman" w:hAnsi="Arial" w:cs="Arial"/>
          <w:lang w:eastAsia="en-PH"/>
        </w:rPr>
      </w:pPr>
      <w:r>
        <w:rPr>
          <w:rFonts w:ascii="Arial" w:eastAsia="Times New Roman" w:hAnsi="Arial" w:cs="Arial"/>
          <w:lang w:eastAsia="en-PH"/>
        </w:rPr>
        <w:t>Banahao Integrated School</w:t>
      </w:r>
      <w:r>
        <w:rPr>
          <w:rFonts w:ascii="Arial" w:eastAsia="Times New Roman" w:hAnsi="Arial" w:cs="Arial"/>
          <w:lang w:eastAsia="en-PH"/>
        </w:rPr>
        <w:tab/>
      </w:r>
      <w:r>
        <w:rPr>
          <w:rFonts w:ascii="Arial" w:eastAsia="Times New Roman" w:hAnsi="Arial" w:cs="Arial"/>
          <w:lang w:eastAsia="en-PH"/>
        </w:rPr>
        <w:tab/>
      </w:r>
      <w:r>
        <w:rPr>
          <w:rFonts w:ascii="Arial" w:eastAsia="Times New Roman" w:hAnsi="Arial" w:cs="Arial"/>
          <w:lang w:eastAsia="en-PH"/>
        </w:rPr>
        <w:tab/>
      </w:r>
      <w:r>
        <w:rPr>
          <w:rFonts w:ascii="Arial" w:eastAsia="Times New Roman" w:hAnsi="Arial" w:cs="Arial"/>
          <w:lang w:eastAsia="en-PH"/>
        </w:rPr>
        <w:tab/>
      </w:r>
      <w:r>
        <w:rPr>
          <w:rFonts w:ascii="Arial" w:eastAsia="Times New Roman" w:hAnsi="Arial" w:cs="Arial"/>
          <w:lang w:eastAsia="en-PH"/>
        </w:rPr>
        <w:tab/>
        <w:t>2025-Present</w:t>
      </w:r>
    </w:p>
    <w:p>
      <w:pPr>
        <w:spacing w:before="100" w:beforeAutospacing="1" w:after="100" w:afterAutospacing="1" w:line="240" w:lineRule="auto"/>
        <w:jc w:val="both"/>
        <w:rPr>
          <w:rFonts w:ascii="Arial" w:eastAsia="Times New Roman" w:hAnsi="Arial" w:cs="Arial"/>
          <w:lang w:eastAsia="en-PH"/>
        </w:rPr>
      </w:pPr>
      <w:r>
        <w:rPr>
          <w:rFonts w:ascii="Arial" w:eastAsia="Times New Roman" w:hAnsi="Arial" w:cs="Arial"/>
          <w:lang w:eastAsia="en-PH"/>
        </w:rPr>
        <w:t>Tandag National Science High School</w:t>
      </w:r>
      <w:r>
        <w:rPr>
          <w:rFonts w:ascii="Arial" w:eastAsia="Times New Roman" w:hAnsi="Arial" w:cs="Arial"/>
          <w:lang w:eastAsia="en-PH"/>
        </w:rPr>
        <w:tab/>
      </w:r>
      <w:r>
        <w:rPr>
          <w:rFonts w:ascii="Arial" w:eastAsia="Times New Roman" w:hAnsi="Arial" w:cs="Arial"/>
          <w:lang w:eastAsia="en-PH"/>
        </w:rPr>
        <w:tab/>
      </w:r>
      <w:r>
        <w:rPr>
          <w:rFonts w:ascii="Arial" w:eastAsia="Times New Roman" w:hAnsi="Arial" w:cs="Arial"/>
          <w:lang w:eastAsia="en-PH"/>
        </w:rPr>
        <w:tab/>
      </w:r>
      <w:r>
        <w:rPr>
          <w:rFonts w:ascii="Arial" w:eastAsia="Times New Roman" w:hAnsi="Arial" w:cs="Arial"/>
          <w:lang w:eastAsia="en-PH"/>
        </w:rPr>
        <w:tab/>
        <w:t>2024-2025</w:t>
      </w:r>
    </w:p>
    <w:p>
      <w:pPr>
        <w:spacing w:before="100" w:beforeAutospacing="1" w:after="100" w:afterAutospacing="1" w:line="240" w:lineRule="auto"/>
        <w:jc w:val="both"/>
        <w:rPr>
          <w:rFonts w:ascii="Arial" w:eastAsia="Times New Roman" w:hAnsi="Arial" w:cs="Arial"/>
          <w:lang w:eastAsia="en-PH"/>
        </w:rPr>
      </w:pPr>
      <w:r>
        <w:rPr>
          <w:rFonts w:ascii="Arial" w:eastAsia="Times New Roman" w:hAnsi="Arial" w:cs="Arial"/>
          <w:noProof/>
          <w:lang w:val="en-PH" w:eastAsia="en-PH"/>
        </w:rPr>
        <w:lastRenderedPageBreak/>
        <mc:AlternateContent>
          <mc:Choice Requires="wps">
            <w:drawing>
              <wp:anchor distT="0" distB="0" distL="114300" distR="114300" simplePos="0" relativeHeight="251741184" behindDoc="0" locked="0" layoutInCell="1" allowOverlap="1">
                <wp:simplePos x="0" y="0"/>
                <wp:positionH relativeFrom="margin">
                  <wp:align>right</wp:align>
                </wp:positionH>
                <wp:positionV relativeFrom="paragraph">
                  <wp:posOffset>346602</wp:posOffset>
                </wp:positionV>
                <wp:extent cx="5451894" cy="17252"/>
                <wp:effectExtent l="0" t="0" r="34925" b="20955"/>
                <wp:wrapThrough wrapText="bothSides">
                  <wp:wrapPolygon edited="0">
                    <wp:start x="4151" y="0"/>
                    <wp:lineTo x="0" y="0"/>
                    <wp:lineTo x="0" y="24000"/>
                    <wp:lineTo x="21663" y="24000"/>
                    <wp:lineTo x="21663" y="0"/>
                    <wp:lineTo x="4151" y="0"/>
                  </wp:wrapPolygon>
                </wp:wrapThrough>
                <wp:docPr id="17" name="Straight Connector 17"/>
                <wp:cNvGraphicFramePr/>
                <a:graphic xmlns:a="http://schemas.openxmlformats.org/drawingml/2006/main">
                  <a:graphicData uri="http://schemas.microsoft.com/office/word/2010/wordprocessingShape">
                    <wps:wsp>
                      <wps:cNvCnPr/>
                      <wps:spPr>
                        <a:xfrm flipV="1">
                          <a:off x="0" y="0"/>
                          <a:ext cx="5451894" cy="1725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id="Straight Connector 17" o:spid="_x0000_s1026" style="position:absolute;flip:y;z-index:251741184;visibility:visible;mso-wrap-style:square;mso-wrap-distance-left:9pt;mso-wrap-distance-top:0;mso-wrap-distance-right:9pt;mso-wrap-distance-bottom:0;mso-position-horizontal:right;mso-position-horizontal-relative:margin;mso-position-vertical:absolute;mso-position-vertical-relative:text" from="378.1pt,27.3pt" to="807.4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" strokecolor="black [3200]" strokeweight="1.5pt">
                <v:stroke joinstyle="miter"/>
                <w10:wrap type="through" anchorx="margin"/>
              </v:line>
            </w:pict>
          </mc:Fallback>
        </mc:AlternateContent>
      </w:r>
      <w:r>
        <w:rPr>
          <w:rFonts w:ascii="Arial" w:eastAsia="Times New Roman" w:hAnsi="Arial" w:cs="Arial"/>
          <w:lang w:eastAsia="en-PH"/>
        </w:rPr>
        <w:t>Jacinto P. Elpa National High School</w:t>
      </w:r>
      <w:r>
        <w:rPr>
          <w:rFonts w:ascii="Arial" w:eastAsia="Times New Roman" w:hAnsi="Arial" w:cs="Arial"/>
          <w:lang w:eastAsia="en-PH"/>
        </w:rPr>
        <w:tab/>
      </w:r>
      <w:r>
        <w:rPr>
          <w:rFonts w:ascii="Arial" w:eastAsia="Times New Roman" w:hAnsi="Arial" w:cs="Arial"/>
          <w:lang w:eastAsia="en-PH"/>
        </w:rPr>
        <w:tab/>
      </w:r>
      <w:r>
        <w:rPr>
          <w:rFonts w:ascii="Arial" w:eastAsia="Times New Roman" w:hAnsi="Arial" w:cs="Arial"/>
          <w:lang w:eastAsia="en-PH"/>
        </w:rPr>
        <w:tab/>
      </w:r>
      <w:r>
        <w:rPr>
          <w:rFonts w:ascii="Arial" w:eastAsia="Times New Roman" w:hAnsi="Arial" w:cs="Arial"/>
          <w:lang w:eastAsia="en-PH"/>
        </w:rPr>
        <w:tab/>
        <w:t>2024</w:t>
      </w:r>
    </w:p>
    <w:p>
      <w:pPr>
        <w:spacing w:before="100" w:beforeAutospacing="1" w:after="100" w:afterAutospacing="1" w:line="240" w:lineRule="auto"/>
        <w:jc w:val="both"/>
        <w:rPr>
          <w:rFonts w:ascii="Arial" w:eastAsia="Times New Roman" w:hAnsi="Arial" w:cs="Arial"/>
          <w:b/>
          <w:lang w:eastAsia="en-PH"/>
        </w:rPr>
      </w:pPr>
      <w:r>
        <w:rPr>
          <w:rFonts w:ascii="Arial" w:eastAsia="Times New Roman" w:hAnsi="Arial" w:cs="Arial"/>
          <w:b/>
          <w:lang w:eastAsia="en-PH"/>
        </w:rPr>
        <w:t>SKILLS</w:t>
      </w:r>
    </w:p>
    <w:p>
      <w:pPr>
        <w:pStyle w:val="ListParagraph"/>
        <w:numPr>
          <w:ilvl w:val="0"/>
          <w:numId w:val="21"/>
        </w:numPr>
        <w:spacing w:before="100" w:beforeAutospacing="1" w:after="100" w:afterAutospacing="1" w:line="276" w:lineRule="auto"/>
        <w:jc w:val="both"/>
        <w:rPr>
          <w:rFonts w:ascii="Arial" w:eastAsia="Times New Roman" w:hAnsi="Arial" w:cs="Arial"/>
          <w:lang w:eastAsia="en-PH"/>
        </w:rPr>
      </w:pPr>
      <w:r>
        <w:rPr>
          <w:rFonts w:ascii="Arial" w:eastAsia="Times New Roman" w:hAnsi="Arial" w:cs="Arial"/>
          <w:lang w:eastAsia="en-PH"/>
        </w:rPr>
        <w:t>Classroom Management</w:t>
      </w:r>
    </w:p>
    <w:p>
      <w:pPr>
        <w:pStyle w:val="ListParagraph"/>
        <w:numPr>
          <w:ilvl w:val="0"/>
          <w:numId w:val="21"/>
        </w:numPr>
        <w:spacing w:before="100" w:beforeAutospacing="1" w:after="100" w:afterAutospacing="1" w:line="276" w:lineRule="auto"/>
        <w:jc w:val="both"/>
        <w:rPr>
          <w:rFonts w:ascii="Arial" w:eastAsia="Times New Roman" w:hAnsi="Arial" w:cs="Arial"/>
          <w:lang w:eastAsia="en-PH"/>
        </w:rPr>
      </w:pPr>
      <w:r>
        <w:rPr>
          <w:rFonts w:ascii="Arial" w:eastAsia="Times New Roman" w:hAnsi="Arial" w:cs="Arial"/>
          <w:lang w:eastAsia="en-PH"/>
        </w:rPr>
        <w:t>Leadership and Teamwork</w:t>
      </w:r>
    </w:p>
    <w:p>
      <w:pPr>
        <w:pStyle w:val="ListParagraph"/>
        <w:numPr>
          <w:ilvl w:val="0"/>
          <w:numId w:val="21"/>
        </w:numPr>
        <w:spacing w:before="100" w:beforeAutospacing="1" w:after="100" w:afterAutospacing="1" w:line="276" w:lineRule="auto"/>
        <w:jc w:val="both"/>
        <w:rPr>
          <w:rFonts w:ascii="Arial" w:eastAsia="Times New Roman" w:hAnsi="Arial" w:cs="Arial"/>
          <w:lang w:eastAsia="en-PH"/>
        </w:rPr>
      </w:pPr>
      <w:r>
        <w:rPr>
          <w:rFonts w:ascii="Arial" w:eastAsia="Times New Roman" w:hAnsi="Arial" w:cs="Arial"/>
          <w:lang w:eastAsia="en-PH"/>
        </w:rPr>
        <w:t>Microsoft Office Proficiency (Word, Excel, PowerPoint)</w:t>
      </w:r>
    </w:p>
    <w:p>
      <w:pPr>
        <w:pStyle w:val="ListParagraph"/>
        <w:numPr>
          <w:ilvl w:val="0"/>
          <w:numId w:val="21"/>
        </w:numPr>
        <w:spacing w:before="100" w:beforeAutospacing="1" w:after="100" w:afterAutospacing="1" w:line="276" w:lineRule="auto"/>
        <w:jc w:val="both"/>
        <w:rPr>
          <w:rFonts w:ascii="Arial" w:eastAsia="Times New Roman" w:hAnsi="Arial" w:cs="Arial"/>
          <w:lang w:eastAsia="en-PH"/>
        </w:rPr>
      </w:pPr>
      <w:r>
        <w:rPr>
          <w:rFonts w:ascii="Arial" w:eastAsia="Times New Roman" w:hAnsi="Arial" w:cs="Arial"/>
          <w:lang w:eastAsia="en-PH"/>
        </w:rPr>
        <w:t>Research and Academic Writing</w:t>
      </w:r>
    </w:p>
    <w:p>
      <w:pPr>
        <w:pStyle w:val="ListParagraph"/>
        <w:numPr>
          <w:ilvl w:val="0"/>
          <w:numId w:val="21"/>
        </w:numPr>
        <w:spacing w:before="100" w:beforeAutospacing="1" w:after="100" w:afterAutospacing="1" w:line="276" w:lineRule="auto"/>
        <w:jc w:val="both"/>
        <w:rPr>
          <w:rFonts w:ascii="Arial" w:eastAsia="Times New Roman" w:hAnsi="Arial" w:cs="Arial"/>
          <w:lang w:eastAsia="en-PH"/>
        </w:rPr>
      </w:pPr>
      <w:r>
        <w:rPr>
          <w:rFonts w:ascii="Arial" w:eastAsia="Times New Roman" w:hAnsi="Arial" w:cs="Arial"/>
          <w:lang w:eastAsia="en-PH"/>
        </w:rPr>
        <w:t>Campus Journalism and Editorial Writing</w:t>
      </w:r>
    </w:p>
    <w:p>
      <w:pPr>
        <w:pStyle w:val="ListParagraph"/>
        <w:numPr>
          <w:ilvl w:val="0"/>
          <w:numId w:val="21"/>
        </w:numPr>
        <w:spacing w:before="100" w:beforeAutospacing="1" w:after="100" w:afterAutospacing="1" w:line="276" w:lineRule="auto"/>
        <w:jc w:val="both"/>
        <w:rPr>
          <w:rFonts w:ascii="Arial" w:eastAsia="Times New Roman" w:hAnsi="Arial" w:cs="Arial"/>
          <w:lang w:eastAsia="en-PH"/>
        </w:rPr>
      </w:pPr>
      <w:r>
        <w:rPr>
          <w:rFonts w:ascii="Arial" w:eastAsia="Times New Roman" w:hAnsi="Arial" w:cs="Arial"/>
          <w:lang w:eastAsia="en-PH"/>
        </w:rPr>
        <w:t>Event Hosting and Public Speaking</w:t>
      </w:r>
    </w:p>
    <w:p>
      <w:pPr>
        <w:pStyle w:val="ListParagraph"/>
        <w:numPr>
          <w:ilvl w:val="0"/>
          <w:numId w:val="21"/>
        </w:numPr>
        <w:spacing w:before="100" w:beforeAutospacing="1" w:after="100" w:afterAutospacing="1" w:line="276" w:lineRule="auto"/>
        <w:jc w:val="both"/>
        <w:rPr>
          <w:rFonts w:ascii="Arial" w:eastAsia="Times New Roman" w:hAnsi="Arial" w:cs="Arial"/>
          <w:lang w:eastAsia="en-PH"/>
        </w:rPr>
      </w:pPr>
      <w:r>
        <w:rPr>
          <w:rFonts w:ascii="Arial" w:eastAsia="Times New Roman" w:hAnsi="Arial" w:cs="Arial"/>
          <w:lang w:eastAsia="en-PH"/>
        </w:rPr>
        <w:t>Time Management and Organization</w:t>
      </w:r>
    </w:p>
    <w:p>
      <w:pPr>
        <w:pStyle w:val="ListParagraph"/>
        <w:numPr>
          <w:ilvl w:val="0"/>
          <w:numId w:val="21"/>
        </w:numPr>
        <w:spacing w:before="100" w:beforeAutospacing="1" w:after="100" w:afterAutospacing="1" w:line="276" w:lineRule="auto"/>
        <w:jc w:val="both"/>
        <w:rPr>
          <w:rFonts w:ascii="Arial" w:eastAsia="Times New Roman" w:hAnsi="Arial" w:cs="Arial"/>
          <w:lang w:eastAsia="en-PH"/>
        </w:rPr>
      </w:pPr>
      <w:r>
        <w:rPr>
          <w:rFonts w:ascii="Arial" w:eastAsia="Times New Roman" w:hAnsi="Arial" w:cs="Arial"/>
          <w:lang w:eastAsia="en-PH"/>
        </w:rPr>
        <w:t>Adaptability and Problem-Solving</w:t>
      </w:r>
    </w:p>
    <w:p>
      <w:pPr>
        <w:pStyle w:val="ListParagraph"/>
        <w:numPr>
          <w:ilvl w:val="0"/>
          <w:numId w:val="21"/>
        </w:numPr>
        <w:spacing w:before="100" w:beforeAutospacing="1" w:after="100" w:afterAutospacing="1" w:line="276" w:lineRule="auto"/>
        <w:jc w:val="both"/>
        <w:rPr>
          <w:rFonts w:ascii="Arial" w:eastAsia="Times New Roman" w:hAnsi="Arial" w:cs="Arial"/>
          <w:lang w:eastAsia="en-PH"/>
        </w:rPr>
      </w:pPr>
      <w:r>
        <w:rPr>
          <w:rFonts w:ascii="Arial" w:eastAsia="Times New Roman" w:hAnsi="Arial" w:cs="Arial"/>
          <w:noProof/>
          <w:lang w:val="en-PH" w:eastAsia="en-PH"/>
        </w:rPr>
        <mc:AlternateContent>
          <mc:Choice Requires="wps">
            <w:drawing>
              <wp:anchor distT="0" distB="0" distL="114300" distR="114300" simplePos="0" relativeHeight="251743232" behindDoc="0" locked="0" layoutInCell="1" allowOverlap="1">
                <wp:simplePos x="0" y="0"/>
                <wp:positionH relativeFrom="margin">
                  <wp:align>right</wp:align>
                </wp:positionH>
                <wp:positionV relativeFrom="paragraph">
                  <wp:posOffset>277123</wp:posOffset>
                </wp:positionV>
                <wp:extent cx="5451894" cy="17252"/>
                <wp:effectExtent l="0" t="0" r="34925" b="20955"/>
                <wp:wrapThrough wrapText="bothSides">
                  <wp:wrapPolygon edited="0">
                    <wp:start x="4151" y="0"/>
                    <wp:lineTo x="0" y="0"/>
                    <wp:lineTo x="0" y="24000"/>
                    <wp:lineTo x="21663" y="24000"/>
                    <wp:lineTo x="21663" y="0"/>
                    <wp:lineTo x="4151" y="0"/>
                  </wp:wrapPolygon>
                </wp:wrapThrough>
                <wp:docPr id="19" name="Straight Connector 19"/>
                <wp:cNvGraphicFramePr/>
                <a:graphic xmlns:a="http://schemas.openxmlformats.org/drawingml/2006/main">
                  <a:graphicData uri="http://schemas.microsoft.com/office/word/2010/wordprocessingShape">
                    <wps:wsp>
                      <wps:cNvCnPr/>
                      <wps:spPr>
                        <a:xfrm flipV="1">
                          <a:off x="0" y="0"/>
                          <a:ext cx="5451894" cy="1725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id="Straight Connector 19" o:spid="_x0000_s1026" style="position:absolute;flip:y;z-index:251743232;visibility:visible;mso-wrap-style:square;mso-wrap-distance-left:9pt;mso-wrap-distance-top:0;mso-wrap-distance-right:9pt;mso-wrap-distance-bottom:0;mso-position-horizontal:right;mso-position-horizontal-relative:margin;mso-position-vertical:absolute;mso-position-vertical-relative:text" from="378.1pt,21.8pt" to="807.4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" strokecolor="black [3200]" strokeweight="1.5pt">
                <v:stroke joinstyle="miter"/>
                <w10:wrap type="through" anchorx="margin"/>
              </v:line>
            </w:pict>
          </mc:Fallback>
        </mc:AlternateContent>
      </w:r>
      <w:r>
        <w:rPr>
          <w:rFonts w:ascii="Arial" w:eastAsia="Times New Roman" w:hAnsi="Arial" w:cs="Arial"/>
          <w:lang w:eastAsia="en-PH"/>
        </w:rPr>
        <w:t>Community Engagement and Collaboration</w:t>
      </w:r>
    </w:p>
    <w:p>
      <w:pPr>
        <w:spacing w:before="100" w:beforeAutospacing="1" w:after="100" w:afterAutospacing="1" w:line="240" w:lineRule="auto"/>
        <w:jc w:val="both"/>
        <w:rPr>
          <w:rFonts w:ascii="Arial" w:eastAsia="Times New Roman" w:hAnsi="Arial" w:cs="Arial"/>
          <w:b/>
          <w:lang w:eastAsia="en-PH"/>
        </w:rPr>
      </w:pPr>
      <w:r>
        <w:rPr>
          <w:rFonts w:ascii="Arial" w:eastAsia="Times New Roman" w:hAnsi="Arial" w:cs="Arial"/>
          <w:b/>
          <w:lang w:eastAsia="en-PH"/>
        </w:rPr>
        <w:t>TRAININGS/CERTIFICATES</w:t>
      </w:r>
    </w:p>
    <w:p>
      <w:pPr>
        <w:pStyle w:val="ListParagraph"/>
        <w:numPr>
          <w:ilvl w:val="0"/>
          <w:numId w:val="22"/>
        </w:numPr>
        <w:spacing w:before="100" w:beforeAutospacing="1" w:after="100" w:afterAutospacing="1" w:line="276" w:lineRule="auto"/>
        <w:jc w:val="both"/>
        <w:rPr>
          <w:rFonts w:ascii="Arial" w:eastAsia="Times New Roman" w:hAnsi="Arial" w:cs="Arial"/>
          <w:bCs/>
          <w:kern w:val="0"/>
          <w:lang w:val="en-PH" w:eastAsia="en-PH"/>
          <w14:ligatures w14:val="none"/>
        </w:rPr>
      </w:pPr>
      <w:r>
        <w:rPr>
          <w:rFonts w:ascii="Arial" w:eastAsia="Times New Roman" w:hAnsi="Arial" w:cs="Arial"/>
          <w:bCs/>
          <w:kern w:val="0"/>
          <w:lang w:val="en-PH" w:eastAsia="en-PH"/>
          <w14:ligatures w14:val="none"/>
        </w:rPr>
        <w:t>Division Research Proposal Presentation</w:t>
      </w:r>
    </w:p>
    <w:p>
      <w:pPr>
        <w:pStyle w:val="ListParagraph"/>
        <w:numPr>
          <w:ilvl w:val="0"/>
          <w:numId w:val="22"/>
        </w:numPr>
        <w:spacing w:before="100" w:beforeAutospacing="1" w:after="100" w:afterAutospacing="1" w:line="276" w:lineRule="auto"/>
        <w:jc w:val="both"/>
        <w:rPr>
          <w:rFonts w:ascii="Arial" w:eastAsia="Times New Roman" w:hAnsi="Arial" w:cs="Arial"/>
          <w:bCs/>
          <w:kern w:val="0"/>
          <w:lang w:val="en-PH" w:eastAsia="en-PH"/>
          <w14:ligatures w14:val="none"/>
        </w:rPr>
      </w:pPr>
      <w:r>
        <w:rPr>
          <w:rFonts w:ascii="Arial" w:eastAsia="Times New Roman" w:hAnsi="Arial" w:cs="Arial"/>
          <w:bCs/>
          <w:kern w:val="0"/>
          <w:lang w:val="en-PH" w:eastAsia="en-PH"/>
          <w14:ligatures w14:val="none"/>
        </w:rPr>
        <w:t>Virtual workshop on the preparation of an individualized reading intervention Plan (IRIP)</w:t>
      </w:r>
    </w:p>
    <w:p>
      <w:pPr>
        <w:pStyle w:val="ListParagraph"/>
        <w:numPr>
          <w:ilvl w:val="0"/>
          <w:numId w:val="22"/>
        </w:numPr>
        <w:spacing w:after="0" w:line="276" w:lineRule="auto"/>
        <w:jc w:val="both"/>
        <w:rPr>
          <w:rFonts w:ascii="Arial" w:eastAsia="Times New Roman" w:hAnsi="Arial" w:cs="Arial"/>
          <w:bCs/>
          <w:kern w:val="0"/>
          <w:lang w:val="en-PH" w:eastAsia="en-PH"/>
          <w14:ligatures w14:val="none"/>
        </w:rPr>
      </w:pPr>
      <w:r>
        <w:rPr>
          <w:rFonts w:ascii="Arial" w:eastAsia="Times New Roman" w:hAnsi="Arial" w:cs="Arial"/>
          <w:bCs/>
          <w:kern w:val="0"/>
          <w:lang w:val="en-PH" w:eastAsia="en-PH"/>
          <w14:ligatures w14:val="none"/>
        </w:rPr>
        <w:t>Aral With Heart &amp; Mind: Integrating Socio-Emotional Learning (Sel) And Science Of Reading For Inclusive Literacy Recovery</w:t>
      </w:r>
    </w:p>
    <w:p>
      <w:pPr>
        <w:pStyle w:val="ListParagraph"/>
        <w:numPr>
          <w:ilvl w:val="0"/>
          <w:numId w:val="22"/>
        </w:numPr>
        <w:spacing w:before="100" w:beforeAutospacing="1" w:after="100" w:afterAutospacing="1" w:line="276" w:lineRule="auto"/>
        <w:jc w:val="both"/>
        <w:rPr>
          <w:rFonts w:ascii="Arial" w:eastAsia="Times New Roman" w:hAnsi="Arial" w:cs="Arial"/>
          <w:bCs/>
          <w:kern w:val="0"/>
          <w:lang w:val="en-PH" w:eastAsia="en-PH"/>
          <w14:ligatures w14:val="none"/>
        </w:rPr>
      </w:pPr>
      <w:r>
        <w:rPr>
          <w:rFonts w:ascii="Arial" w:eastAsia="Times New Roman" w:hAnsi="Arial" w:cs="Arial"/>
          <w:bCs/>
          <w:kern w:val="0"/>
          <w:lang w:val="en-PH" w:eastAsia="en-PH"/>
          <w14:ligatures w14:val="none"/>
        </w:rPr>
        <w:t>Division Training On Special Needs Education Content And Pedagogy For Select Elementary And Secondary School Teachers</w:t>
      </w:r>
    </w:p>
    <w:p>
      <w:pPr>
        <w:pStyle w:val="ListParagraph"/>
        <w:numPr>
          <w:ilvl w:val="0"/>
          <w:numId w:val="22"/>
        </w:numPr>
        <w:spacing w:before="100" w:beforeAutospacing="1" w:after="100" w:afterAutospacing="1" w:line="276" w:lineRule="auto"/>
        <w:jc w:val="both"/>
        <w:rPr>
          <w:rFonts w:ascii="Arial" w:eastAsia="Times New Roman" w:hAnsi="Arial" w:cs="Arial"/>
          <w:bCs/>
          <w:kern w:val="0"/>
          <w:lang w:val="en-PH" w:eastAsia="en-PH"/>
          <w14:ligatures w14:val="none"/>
        </w:rPr>
      </w:pPr>
      <w:r>
        <w:rPr>
          <w:rFonts w:ascii="Arial" w:eastAsia="Times New Roman" w:hAnsi="Arial" w:cs="Arial"/>
          <w:bCs/>
          <w:kern w:val="0"/>
          <w:lang w:val="en-PH" w:eastAsia="en-PH"/>
          <w14:ligatures w14:val="none"/>
        </w:rPr>
        <w:t>Division training of grades 2,3,5,8 teachers on the revised k-12curriculum implementation -Phase 2</w:t>
      </w:r>
    </w:p>
    <w:p>
      <w:pPr>
        <w:pStyle w:val="ListParagraph"/>
        <w:numPr>
          <w:ilvl w:val="0"/>
          <w:numId w:val="22"/>
        </w:numPr>
        <w:spacing w:before="100" w:beforeAutospacing="1" w:after="100" w:afterAutospacing="1" w:line="276" w:lineRule="auto"/>
        <w:jc w:val="both"/>
        <w:rPr>
          <w:rFonts w:ascii="Arial" w:eastAsia="Times New Roman" w:hAnsi="Arial" w:cs="Arial"/>
          <w:bCs/>
          <w:kern w:val="0"/>
          <w:lang w:val="en-PH" w:eastAsia="en-PH"/>
          <w14:ligatures w14:val="none"/>
        </w:rPr>
      </w:pPr>
      <w:r>
        <w:rPr>
          <w:rFonts w:ascii="Arial" w:eastAsia="Times New Roman" w:hAnsi="Arial" w:cs="Arial"/>
          <w:bCs/>
          <w:kern w:val="0"/>
          <w:lang w:val="en-PH" w:eastAsia="en-PH"/>
          <w14:ligatures w14:val="none"/>
        </w:rPr>
        <w:t>4-day Division Training on the Matatag Curriculum Implementation Phase 2 Iped component</w:t>
      </w:r>
    </w:p>
    <w:p>
      <w:pPr>
        <w:spacing w:before="100" w:beforeAutospacing="1" w:after="100" w:afterAutospacing="1" w:line="240" w:lineRule="auto"/>
        <w:jc w:val="both"/>
        <w:rPr>
          <w:rFonts w:ascii="Arial" w:eastAsia="Times New Roman" w:hAnsi="Arial" w:cs="Arial"/>
          <w:bCs/>
          <w:kern w:val="0"/>
          <w:lang w:val="en-PH" w:eastAsia="en-PH"/>
          <w14:ligatures w14:val="none"/>
        </w:rPr>
      </w:pPr>
    </w:p>
    <w:p>
      <w:pPr>
        <w:spacing w:before="100" w:beforeAutospacing="1" w:after="100" w:afterAutospacing="1" w:line="240" w:lineRule="auto"/>
        <w:jc w:val="both"/>
        <w:rPr>
          <w:rFonts w:ascii="Arial" w:eastAsia="Times New Roman" w:hAnsi="Arial" w:cs="Arial"/>
          <w:bCs/>
          <w:kern w:val="0"/>
          <w:lang w:val="en-PH" w:eastAsia="en-PH"/>
          <w14:ligatures w14:val="none"/>
        </w:rPr>
      </w:pPr>
    </w:p>
    <w:p>
      <w:pPr>
        <w:spacing w:before="100" w:beforeAutospacing="1" w:after="100" w:afterAutospacing="1" w:line="240" w:lineRule="auto"/>
        <w:jc w:val="both"/>
        <w:rPr>
          <w:rFonts w:ascii="Arial" w:eastAsia="Times New Roman" w:hAnsi="Arial" w:cs="Arial"/>
          <w:b/>
          <w:bCs/>
          <w:kern w:val="0"/>
          <w:lang w:val="en-PH" w:eastAsia="en-PH"/>
          <w14:ligatures w14:val="none"/>
        </w:rPr>
      </w:pPr>
    </w:p>
    <w:p>
      <w:pPr>
        <w:spacing w:before="100" w:beforeAutospacing="1" w:after="100" w:afterAutospacing="1" w:line="240" w:lineRule="auto"/>
        <w:jc w:val="both"/>
        <w:rPr>
          <w:rFonts w:ascii="Arial" w:eastAsia="Times New Roman" w:hAnsi="Arial" w:cs="Arial"/>
          <w:b/>
          <w:bCs/>
          <w:kern w:val="0"/>
          <w:lang w:val="en-PH" w:eastAsia="en-PH"/>
          <w14:ligatures w14:val="none"/>
        </w:rPr>
      </w:pPr>
    </w:p>
    <w:p>
      <w:pPr>
        <w:spacing w:before="100" w:beforeAutospacing="1" w:after="100" w:afterAutospacing="1" w:line="240" w:lineRule="auto"/>
        <w:jc w:val="both"/>
        <w:rPr>
          <w:rFonts w:ascii="Arial" w:eastAsia="Times New Roman" w:hAnsi="Arial" w:cs="Arial"/>
          <w:b/>
          <w:lang w:eastAsia="en-PH"/>
        </w:rPr>
      </w:pPr>
    </w:p>
    <w:sectPr>
      <w:headerReference w:type="default" r:id="rId54"/>
      <w:footerReference w:type="default" r:id="rId55"/>
      <w:headerReference w:type="first" r:id="rId56"/>
      <w:footerReference w:type="first" r:id="rId57"/>
      <w:pgSz w:w="12240" w:h="15840" w:code="1"/>
      <w:pgMar w:top="1440" w:right="1440" w:bottom="1440" w:left="216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6975912"/>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145</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5999420"/>
      <w:docPartObj>
        <w:docPartGallery w:val="Page Numbers (Bottom of Page)"/>
        <w:docPartUnique/>
      </w:docPartObj>
    </w:sdtPr>
    <w:sdtEndPr>
      <w:rPr>
        <w:noProof/>
      </w:rPr>
    </w:sdtEndPr>
    <w:sdtContent>
      <w:p>
        <w:pPr>
          <w:pStyle w:val="Footer"/>
          <w:jc w:val="right"/>
        </w:pPr>
        <w:r>
          <w:rPr>
            <w:noProof/>
            <w:lang w:val="en-PH" w:eastAsia="en-PH"/>
          </w:rPr>
          <mc:AlternateContent>
            <mc:Choice Requires="wps">
              <w:drawing>
                <wp:anchor distT="0" distB="0" distL="114300" distR="114300" simplePos="0" relativeHeight="251669504" behindDoc="0" locked="0" layoutInCell="1" allowOverlap="1">
                  <wp:simplePos x="0" y="0"/>
                  <wp:positionH relativeFrom="column">
                    <wp:posOffset>5305115</wp:posOffset>
                  </wp:positionH>
                  <wp:positionV relativeFrom="paragraph">
                    <wp:posOffset>-53162</wp:posOffset>
                  </wp:positionV>
                  <wp:extent cx="382772" cy="255181"/>
                  <wp:effectExtent l="0" t="0" r="17780" b="12065"/>
                  <wp:wrapNone/>
                  <wp:docPr id="22" name="Rectangle 22"/>
                  <wp:cNvGraphicFramePr/>
                  <a:graphic xmlns:a="http://schemas.openxmlformats.org/drawingml/2006/main">
                    <a:graphicData uri="http://schemas.microsoft.com/office/word/2010/wordprocessingShape">
                      <wps:wsp>
                        <wps:cNvSpPr/>
                        <wps:spPr>
                          <a:xfrm>
                            <a:off x="0" y="0"/>
                            <a:ext cx="382772" cy="25518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id="Rectangle 22" o:spid="_x0000_s1026" style="position:absolute;margin-left:417.75pt;margin-top:-4.2pt;width:30.15pt;height:20.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" fillcolor="white [3201]" strokecolor="white [3212]" strokeweight="1.5pt"/>
              </w:pict>
            </mc:Fallback>
          </mc:AlternateContent>
        </w:r>
        <w:r>
          <w:fldChar w:fldCharType="begin"/>
        </w:r>
        <w:r>
          <w:instrText xml:space="preserve"> PAGE   \* MERGEFORMAT </w:instrText>
        </w:r>
        <w:r>
          <w:fldChar w:fldCharType="separate"/>
        </w:r>
        <w:r>
          <w:rPr>
            <w:noProof/>
          </w:rPr>
          <w:t>0</w:t>
        </w:r>
        <w:r>
          <w:rPr>
            <w:noProof/>
          </w:rPr>
          <w:fldChar w:fldCharType="end"/>
        </w:r>
      </w:p>
    </w:sdtContent>
  </w:sdt>
  <w:p>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BodyText"/>
      <w:spacing w:line="14" w:lineRule="auto"/>
      <w:rPr>
        <w:sz w:val="20"/>
      </w:rPr>
    </w:pPr>
    <w:r>
      <w:rPr>
        <w:noProof/>
        <w:sz w:val="20"/>
        <w:lang w:val="en-PH" w:eastAsia="en-PH"/>
      </w:rPr>
      <mc:AlternateContent>
        <mc:Choice Requires="wps">
          <w:drawing>
            <wp:anchor distT="0" distB="0" distL="0" distR="0" simplePos="0" relativeHeight="251662336" behindDoc="1" locked="0" layoutInCell="1" allowOverlap="1">
              <wp:simplePos x="0" y="0"/>
              <wp:positionH relativeFrom="page">
                <wp:posOffset>2209800</wp:posOffset>
              </wp:positionH>
              <wp:positionV relativeFrom="page">
                <wp:posOffset>266700</wp:posOffset>
              </wp:positionV>
              <wp:extent cx="3811270" cy="126682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1270" cy="1266825"/>
                      </a:xfrm>
                      <a:prstGeom prst="rect">
                        <a:avLst/>
                      </a:prstGeom>
                    </wps:spPr>
                    <wps:txbx>
                      <w:txbxContent>
                        <w:p>
                          <w:pPr>
                            <w:pStyle w:val="NoSpacing"/>
                            <w:jc w:val="center"/>
                          </w:pPr>
                          <w:r>
                            <w:t>Republic</w:t>
                          </w:r>
                          <w:r>
                            <w:rPr>
                              <w:spacing w:val="-3"/>
                            </w:rPr>
                            <w:t xml:space="preserve"> </w:t>
                          </w:r>
                          <w:r>
                            <w:t>of</w:t>
                          </w:r>
                          <w:r>
                            <w:rPr>
                              <w:spacing w:val="-2"/>
                            </w:rPr>
                            <w:t xml:space="preserve"> </w:t>
                          </w:r>
                          <w:r>
                            <w:t>the</w:t>
                          </w:r>
                          <w:r>
                            <w:rPr>
                              <w:spacing w:val="-2"/>
                            </w:rPr>
                            <w:t xml:space="preserve"> Philippines</w:t>
                          </w:r>
                        </w:p>
                        <w:p>
                          <w:pPr>
                            <w:pStyle w:val="NoSpacing"/>
                            <w:jc w:val="center"/>
                            <w:rPr>
                              <w:rFonts w:ascii="Tahoma"/>
                              <w:b/>
                            </w:rPr>
                          </w:pPr>
                          <w:r>
                            <w:rPr>
                              <w:rFonts w:ascii="Tahoma"/>
                              <w:b/>
                            </w:rPr>
                            <w:t>NORTH</w:t>
                          </w:r>
                          <w:r>
                            <w:rPr>
                              <w:rFonts w:ascii="Tahoma"/>
                              <w:b/>
                              <w:spacing w:val="-7"/>
                            </w:rPr>
                            <w:t xml:space="preserve"> </w:t>
                          </w:r>
                          <w:r>
                            <w:rPr>
                              <w:rFonts w:ascii="Tahoma"/>
                              <w:b/>
                            </w:rPr>
                            <w:t>EASTERN</w:t>
                          </w:r>
                          <w:r>
                            <w:rPr>
                              <w:rFonts w:ascii="Tahoma"/>
                              <w:b/>
                              <w:spacing w:val="-3"/>
                            </w:rPr>
                            <w:t xml:space="preserve"> </w:t>
                          </w:r>
                          <w:r>
                            <w:rPr>
                              <w:rFonts w:ascii="Tahoma"/>
                              <w:b/>
                            </w:rPr>
                            <w:t>MINDANAO</w:t>
                          </w:r>
                          <w:r>
                            <w:rPr>
                              <w:rFonts w:ascii="Tahoma"/>
                              <w:b/>
                              <w:spacing w:val="-4"/>
                            </w:rPr>
                            <w:t xml:space="preserve"> </w:t>
                          </w:r>
                          <w:r>
                            <w:rPr>
                              <w:rFonts w:ascii="Tahoma"/>
                              <w:b/>
                            </w:rPr>
                            <w:t>STATE</w:t>
                          </w:r>
                          <w:r>
                            <w:rPr>
                              <w:rFonts w:ascii="Tahoma"/>
                              <w:b/>
                              <w:spacing w:val="-4"/>
                            </w:rPr>
                            <w:t xml:space="preserve"> </w:t>
                          </w:r>
                          <w:r>
                            <w:rPr>
                              <w:rFonts w:ascii="Tahoma"/>
                              <w:b/>
                              <w:spacing w:val="-2"/>
                            </w:rPr>
                            <w:t>UNIVERSITY</w:t>
                          </w:r>
                        </w:p>
                        <w:p>
                          <w:pPr>
                            <w:pStyle w:val="NoSpacing"/>
                            <w:jc w:val="center"/>
                            <w:rPr>
                              <w:rFonts w:ascii="Arial"/>
                              <w:b/>
                              <w:spacing w:val="-2"/>
                            </w:rPr>
                          </w:pPr>
                          <w:r>
                            <w:rPr>
                              <w:rFonts w:ascii="Arial"/>
                              <w:b/>
                            </w:rPr>
                            <w:t>Main</w:t>
                          </w:r>
                          <w:r>
                            <w:rPr>
                              <w:rFonts w:ascii="Arial"/>
                              <w:b/>
                              <w:spacing w:val="-1"/>
                            </w:rPr>
                            <w:t xml:space="preserve"> </w:t>
                          </w:r>
                          <w:r>
                            <w:rPr>
                              <w:rFonts w:ascii="Arial"/>
                              <w:b/>
                              <w:spacing w:val="-2"/>
                            </w:rPr>
                            <w:t>Campus</w:t>
                          </w:r>
                        </w:p>
                        <w:p>
                          <w:pPr>
                            <w:pStyle w:val="BodyText"/>
                            <w:ind w:right="3"/>
                            <w:jc w:val="center"/>
                            <w:rPr>
                              <w:spacing w:val="-5"/>
                            </w:rPr>
                          </w:pPr>
                          <w:r>
                            <w:t>Tandag</w:t>
                          </w:r>
                          <w:r>
                            <w:rPr>
                              <w:spacing w:val="-4"/>
                            </w:rPr>
                            <w:t xml:space="preserve"> </w:t>
                          </w:r>
                          <w:r>
                            <w:t>City,</w:t>
                          </w:r>
                          <w:r>
                            <w:rPr>
                              <w:spacing w:val="-5"/>
                            </w:rPr>
                            <w:t xml:space="preserve"> </w:t>
                          </w:r>
                          <w:r>
                            <w:t>Surigao</w:t>
                          </w:r>
                          <w:r>
                            <w:rPr>
                              <w:spacing w:val="-4"/>
                            </w:rPr>
                            <w:t xml:space="preserve"> </w:t>
                          </w:r>
                          <w:r>
                            <w:t>del</w:t>
                          </w:r>
                          <w:r>
                            <w:rPr>
                              <w:spacing w:val="-3"/>
                            </w:rPr>
                            <w:t xml:space="preserve"> </w:t>
                          </w:r>
                          <w:r>
                            <w:rPr>
                              <w:spacing w:val="-5"/>
                            </w:rPr>
                            <w:t>Sur</w:t>
                          </w:r>
                        </w:p>
                        <w:p>
                          <w:pPr>
                            <w:pStyle w:val="BodyText"/>
                            <w:ind w:right="3"/>
                            <w:jc w:val="center"/>
                            <w:rPr>
                              <w:spacing w:val="-5"/>
                            </w:rPr>
                          </w:pPr>
                        </w:p>
                        <w:p>
                          <w:pPr>
                            <w:pStyle w:val="BodyText"/>
                            <w:ind w:right="3"/>
                            <w:jc w:val="center"/>
                          </w:pPr>
                          <w:r>
                            <w:rPr>
                              <w:rFonts w:ascii="Arial"/>
                              <w:b/>
                              <w:spacing w:val="-2"/>
                            </w:rPr>
                            <w:t>GRADUATE SCHOOL</w:t>
                          </w:r>
                        </w:p>
                        <w:p>
                          <w:pPr>
                            <w:pStyle w:val="BodyText"/>
                            <w:ind w:left="3" w:right="3"/>
                            <w:jc w:val="center"/>
                          </w:pPr>
                        </w:p>
                      </w:txbxContent>
                    </wps:txbx>
                    <wps:bodyPr wrap="square" lIns="0" tIns="0" rIns="0" bIns="0" rtlCol="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4" o:spid="_x0000_s1031" type="#_x0000_t202" style="position:absolute;margin-left:174pt;margin-top:21pt;width:300.1pt;height:99.75pt;z-index:-25165414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" filled="f" stroked="f">
              <v:path arrowok="t"/>
              <v:textbox inset="0,0,0,0">
                <w:txbxContent>
                  <w:p>
                    <w:pPr>
                      <w:pStyle w:val="NoSpacing"/>
                      <w:jc w:val="center"/>
                    </w:pPr>
                    <w:r>
                      <w:t>Republic</w:t>
                    </w:r>
                    <w:r>
                      <w:rPr>
                        <w:spacing w:val="-3"/>
                      </w:rPr>
                      <w:t xml:space="preserve"> </w:t>
                    </w:r>
                    <w:r>
                      <w:t>of</w:t>
                    </w:r>
                    <w:r>
                      <w:rPr>
                        <w:spacing w:val="-2"/>
                      </w:rPr>
                      <w:t xml:space="preserve"> </w:t>
                    </w:r>
                    <w:r>
                      <w:t>the</w:t>
                    </w:r>
                    <w:r>
                      <w:rPr>
                        <w:spacing w:val="-2"/>
                      </w:rPr>
                      <w:t xml:space="preserve"> Philippines</w:t>
                    </w:r>
                  </w:p>
                  <w:p>
                    <w:pPr>
                      <w:pStyle w:val="NoSpacing"/>
                      <w:jc w:val="center"/>
                      <w:rPr>
                        <w:rFonts w:ascii="Tahoma"/>
                        <w:b/>
                      </w:rPr>
                    </w:pPr>
                    <w:r>
                      <w:rPr>
                        <w:rFonts w:ascii="Tahoma"/>
                        <w:b/>
                      </w:rPr>
                      <w:t>NORTH</w:t>
                    </w:r>
                    <w:r>
                      <w:rPr>
                        <w:rFonts w:ascii="Tahoma"/>
                        <w:b/>
                        <w:spacing w:val="-7"/>
                      </w:rPr>
                      <w:t xml:space="preserve"> </w:t>
                    </w:r>
                    <w:r>
                      <w:rPr>
                        <w:rFonts w:ascii="Tahoma"/>
                        <w:b/>
                      </w:rPr>
                      <w:t>EASTERN</w:t>
                    </w:r>
                    <w:r>
                      <w:rPr>
                        <w:rFonts w:ascii="Tahoma"/>
                        <w:b/>
                        <w:spacing w:val="-3"/>
                      </w:rPr>
                      <w:t xml:space="preserve"> </w:t>
                    </w:r>
                    <w:r>
                      <w:rPr>
                        <w:rFonts w:ascii="Tahoma"/>
                        <w:b/>
                      </w:rPr>
                      <w:t>MINDANAO</w:t>
                    </w:r>
                    <w:r>
                      <w:rPr>
                        <w:rFonts w:ascii="Tahoma"/>
                        <w:b/>
                        <w:spacing w:val="-4"/>
                      </w:rPr>
                      <w:t xml:space="preserve"> </w:t>
                    </w:r>
                    <w:r>
                      <w:rPr>
                        <w:rFonts w:ascii="Tahoma"/>
                        <w:b/>
                      </w:rPr>
                      <w:t>STATE</w:t>
                    </w:r>
                    <w:r>
                      <w:rPr>
                        <w:rFonts w:ascii="Tahoma"/>
                        <w:b/>
                        <w:spacing w:val="-4"/>
                      </w:rPr>
                      <w:t xml:space="preserve"> </w:t>
                    </w:r>
                    <w:r>
                      <w:rPr>
                        <w:rFonts w:ascii="Tahoma"/>
                        <w:b/>
                        <w:spacing w:val="-2"/>
                      </w:rPr>
                      <w:t>UNIVERSITY</w:t>
                    </w:r>
                  </w:p>
                  <w:p>
                    <w:pPr>
                      <w:pStyle w:val="NoSpacing"/>
                      <w:jc w:val="center"/>
                      <w:rPr>
                        <w:rFonts w:ascii="Arial"/>
                        <w:b/>
                        <w:spacing w:val="-2"/>
                      </w:rPr>
                    </w:pPr>
                    <w:r>
                      <w:rPr>
                        <w:rFonts w:ascii="Arial"/>
                        <w:b/>
                      </w:rPr>
                      <w:t>Main</w:t>
                    </w:r>
                    <w:r>
                      <w:rPr>
                        <w:rFonts w:ascii="Arial"/>
                        <w:b/>
                        <w:spacing w:val="-1"/>
                      </w:rPr>
                      <w:t xml:space="preserve"> </w:t>
                    </w:r>
                    <w:r>
                      <w:rPr>
                        <w:rFonts w:ascii="Arial"/>
                        <w:b/>
                        <w:spacing w:val="-2"/>
                      </w:rPr>
                      <w:t>Campus</w:t>
                    </w:r>
                  </w:p>
                  <w:p>
                    <w:pPr>
                      <w:pStyle w:val="BodyText"/>
                      <w:ind w:right="3"/>
                      <w:jc w:val="center"/>
                      <w:rPr>
                        <w:spacing w:val="-5"/>
                      </w:rPr>
                    </w:pPr>
                    <w:r>
                      <w:t>Tandag</w:t>
                    </w:r>
                    <w:r>
                      <w:rPr>
                        <w:spacing w:val="-4"/>
                      </w:rPr>
                      <w:t xml:space="preserve"> </w:t>
                    </w:r>
                    <w:r>
                      <w:t>City,</w:t>
                    </w:r>
                    <w:r>
                      <w:rPr>
                        <w:spacing w:val="-5"/>
                      </w:rPr>
                      <w:t xml:space="preserve"> </w:t>
                    </w:r>
                    <w:r>
                      <w:t>Surigao</w:t>
                    </w:r>
                    <w:r>
                      <w:rPr>
                        <w:spacing w:val="-4"/>
                      </w:rPr>
                      <w:t xml:space="preserve"> </w:t>
                    </w:r>
                    <w:r>
                      <w:t>del</w:t>
                    </w:r>
                    <w:r>
                      <w:rPr>
                        <w:spacing w:val="-3"/>
                      </w:rPr>
                      <w:t xml:space="preserve"> </w:t>
                    </w:r>
                    <w:r>
                      <w:rPr>
                        <w:spacing w:val="-5"/>
                      </w:rPr>
                      <w:t>Sur</w:t>
                    </w:r>
                  </w:p>
                  <w:p>
                    <w:pPr>
                      <w:pStyle w:val="BodyText"/>
                      <w:ind w:right="3"/>
                      <w:jc w:val="center"/>
                      <w:rPr>
                        <w:spacing w:val="-5"/>
                      </w:rPr>
                    </w:pPr>
                  </w:p>
                  <w:p>
                    <w:pPr>
                      <w:pStyle w:val="BodyText"/>
                      <w:ind w:right="3"/>
                      <w:jc w:val="center"/>
                    </w:pPr>
                    <w:r>
                      <w:rPr>
                        <w:rFonts w:ascii="Arial"/>
                        <w:b/>
                        <w:spacing w:val="-2"/>
                      </w:rPr>
                      <w:t>GRADUATE SCHOOL</w:t>
                    </w:r>
                  </w:p>
                  <w:p>
                    <w:pPr>
                      <w:pStyle w:val="BodyText"/>
                      <w:ind w:left="3" w:right="3"/>
                      <w:jc w:val="center"/>
                    </w:pPr>
                  </w:p>
                </w:txbxContent>
              </v:textbox>
              <w10:wrap anchorx="page" anchory="page"/>
            </v:shape>
          </w:pict>
        </mc:Fallback>
      </mc:AlternateContent>
    </w:r>
    <w:r>
      <w:rPr>
        <w:noProof/>
        <w:sz w:val="20"/>
        <w:lang w:val="en-PH" w:eastAsia="en-PH"/>
      </w:rPr>
      <w:drawing>
        <wp:anchor distT="0" distB="0" distL="0" distR="0" simplePos="0" relativeHeight="251659264" behindDoc="1" locked="0" layoutInCell="1" allowOverlap="1">
          <wp:simplePos x="0" y="0"/>
          <wp:positionH relativeFrom="page">
            <wp:posOffset>6075844</wp:posOffset>
          </wp:positionH>
          <wp:positionV relativeFrom="page">
            <wp:posOffset>337832</wp:posOffset>
          </wp:positionV>
          <wp:extent cx="914870" cy="88517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914870" cy="885177"/>
                  </a:xfrm>
                  <a:prstGeom prst="rect">
                    <a:avLst/>
                  </a:prstGeom>
                </pic:spPr>
              </pic:pic>
            </a:graphicData>
          </a:graphic>
        </wp:anchor>
      </w:drawing>
    </w:r>
    <w:r>
      <w:rPr>
        <w:noProof/>
        <w:sz w:val="20"/>
        <w:lang w:val="en-PH" w:eastAsia="en-PH"/>
      </w:rPr>
      <w:drawing>
        <wp:anchor distT="0" distB="0" distL="0" distR="0" simplePos="0" relativeHeight="251660288" behindDoc="1" locked="0" layoutInCell="1" allowOverlap="1">
          <wp:simplePos x="0" y="0"/>
          <wp:positionH relativeFrom="page">
            <wp:posOffset>1312837</wp:posOffset>
          </wp:positionH>
          <wp:positionV relativeFrom="page">
            <wp:posOffset>346927</wp:posOffset>
          </wp:positionV>
          <wp:extent cx="840155" cy="801391"/>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840155" cy="801391"/>
                  </a:xfrm>
                  <a:prstGeom prst="rect">
                    <a:avLst/>
                  </a:prstGeom>
                </pic:spPr>
              </pic:pic>
            </a:graphicData>
          </a:graphic>
        </wp:anchor>
      </w:drawing>
    </w:r>
    <w:r>
      <w:rPr>
        <w:noProof/>
        <w:sz w:val="20"/>
        <w:lang w:val="en-PH" w:eastAsia="en-PH"/>
      </w:rPr>
      <mc:AlternateContent>
        <mc:Choice Requires="wps">
          <w:drawing>
            <wp:anchor distT="0" distB="0" distL="0" distR="0" simplePos="0" relativeHeight="251661312" behindDoc="1" locked="0" layoutInCell="1" allowOverlap="1">
              <wp:simplePos x="0" y="0"/>
              <wp:positionH relativeFrom="page">
                <wp:posOffset>1352803</wp:posOffset>
              </wp:positionH>
              <wp:positionV relativeFrom="page">
                <wp:posOffset>1347724</wp:posOffset>
              </wp:positionV>
              <wp:extent cx="5525770" cy="1905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5770" cy="19050"/>
                      </a:xfrm>
                      <a:custGeom>
                        <a:avLst/>
                        <a:gdLst/>
                        <a:ahLst/>
                        <a:cxnLst/>
                        <a:rect l="l" t="t" r="r" b="b"/>
                        <a:pathLst>
                          <a:path w="5525770" h="19050">
                            <a:moveTo>
                              <a:pt x="5525516" y="0"/>
                            </a:moveTo>
                            <a:lnTo>
                              <a:pt x="0" y="0"/>
                            </a:lnTo>
                            <a:lnTo>
                              <a:pt x="0" y="19050"/>
                            </a:lnTo>
                            <a:lnTo>
                              <a:pt x="5525516" y="19050"/>
                            </a:lnTo>
                            <a:lnTo>
                              <a:pt x="55255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id="Graphic 3" o:spid="_x0000_s1026" style="position:absolute;margin-left:106.5pt;margin-top:106.1pt;width:435.1pt;height:1.5pt;z-index:-251655168;visibility:visible;mso-wrap-style:square;mso-wrap-distance-left:0;mso-wrap-distance-top:0;mso-wrap-distance-right:0;mso-wrap-distance-bottom:0;mso-position-horizontal:absolute;mso-position-horizontal-relative:page;mso-position-vertical:absolute;mso-position-vertical-relative:page;v-text-anchor:top" coordsize="552577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" path="m5525516,l,,,19050r5525516,l5525516,xe" fillcolor="black" stroked="f">
              <v:path arrowok="t"/>
              <w10:wrap anchorx="page" anchory="page"/>
            </v:shape>
          </w:pict>
        </mc:Fallback>
      </mc:AlternateContent>
    </w:r>
  </w:p>
  <w:p>
    <w:pPr>
      <w:pStyle w:val="Header"/>
    </w:pPr>
  </w:p>
  <w:p>
    <w:pPr>
      <w:pStyle w:val="Header"/>
    </w:pPr>
  </w:p>
  <w:p>
    <w:pPr>
      <w:pStyle w:val="Header"/>
    </w:pPr>
  </w:p>
  <w:p>
    <w:pPr>
      <w:pStyle w:val="Header"/>
    </w:pPr>
  </w:p>
  <w:p>
    <w:pPr>
      <w:pStyle w:val="Header"/>
    </w:pPr>
  </w:p>
  <w:p>
    <w:pPr>
      <w:pStyle w:val="Header"/>
      <w:tabs>
        <w:tab w:val="clear" w:pos="4680"/>
        <w:tab w:val="clear" w:pos="9360"/>
        <w:tab w:val="left" w:pos="5124"/>
      </w:tabs>
      <w:rPr>
        <w:sz w:val="18"/>
        <w:szCs w:val="1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BodyText"/>
      <w:spacing w:line="14" w:lineRule="auto"/>
      <w:rPr>
        <w:sz w:val="20"/>
      </w:rPr>
    </w:pPr>
    <w:r>
      <w:rPr>
        <w:noProof/>
        <w:sz w:val="20"/>
        <w:lang w:val="en-PH" w:eastAsia="en-PH"/>
      </w:rPr>
      <mc:AlternateContent>
        <mc:Choice Requires="wps">
          <w:drawing>
            <wp:anchor distT="0" distB="0" distL="0" distR="0" simplePos="0" relativeHeight="251668480" behindDoc="1" locked="0" layoutInCell="1" allowOverlap="1">
              <wp:simplePos x="0" y="0"/>
              <wp:positionH relativeFrom="page">
                <wp:posOffset>2209800</wp:posOffset>
              </wp:positionH>
              <wp:positionV relativeFrom="page">
                <wp:posOffset>266700</wp:posOffset>
              </wp:positionV>
              <wp:extent cx="3811270" cy="1343025"/>
              <wp:effectExtent l="0" t="0" r="0" b="0"/>
              <wp:wrapNone/>
              <wp:docPr id="6"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1270" cy="1343025"/>
                      </a:xfrm>
                      <a:prstGeom prst="rect">
                        <a:avLst/>
                      </a:prstGeom>
                    </wps:spPr>
                    <wps:txbx>
                      <w:txbxContent>
                        <w:p>
                          <w:pPr>
                            <w:pStyle w:val="NoSpacing"/>
                            <w:jc w:val="center"/>
                          </w:pPr>
                          <w:r>
                            <w:t>Republic</w:t>
                          </w:r>
                          <w:r>
                            <w:rPr>
                              <w:spacing w:val="-3"/>
                            </w:rPr>
                            <w:t xml:space="preserve"> </w:t>
                          </w:r>
                          <w:r>
                            <w:t>of</w:t>
                          </w:r>
                          <w:r>
                            <w:rPr>
                              <w:spacing w:val="-2"/>
                            </w:rPr>
                            <w:t xml:space="preserve"> </w:t>
                          </w:r>
                          <w:r>
                            <w:t>the</w:t>
                          </w:r>
                          <w:r>
                            <w:rPr>
                              <w:spacing w:val="-2"/>
                            </w:rPr>
                            <w:t xml:space="preserve"> Philippines</w:t>
                          </w:r>
                        </w:p>
                        <w:p>
                          <w:pPr>
                            <w:pStyle w:val="NoSpacing"/>
                            <w:jc w:val="center"/>
                            <w:rPr>
                              <w:rFonts w:ascii="Tahoma"/>
                              <w:b/>
                            </w:rPr>
                          </w:pPr>
                          <w:r>
                            <w:rPr>
                              <w:rFonts w:ascii="Tahoma"/>
                              <w:b/>
                            </w:rPr>
                            <w:t>NORTH</w:t>
                          </w:r>
                          <w:r>
                            <w:rPr>
                              <w:rFonts w:ascii="Tahoma"/>
                              <w:b/>
                              <w:spacing w:val="-7"/>
                            </w:rPr>
                            <w:t xml:space="preserve"> </w:t>
                          </w:r>
                          <w:r>
                            <w:rPr>
                              <w:rFonts w:ascii="Tahoma"/>
                              <w:b/>
                            </w:rPr>
                            <w:t>EASTERN</w:t>
                          </w:r>
                          <w:r>
                            <w:rPr>
                              <w:rFonts w:ascii="Tahoma"/>
                              <w:b/>
                              <w:spacing w:val="-3"/>
                            </w:rPr>
                            <w:t xml:space="preserve"> </w:t>
                          </w:r>
                          <w:r>
                            <w:rPr>
                              <w:rFonts w:ascii="Tahoma"/>
                              <w:b/>
                            </w:rPr>
                            <w:t>MINDANAO</w:t>
                          </w:r>
                          <w:r>
                            <w:rPr>
                              <w:rFonts w:ascii="Tahoma"/>
                              <w:b/>
                              <w:spacing w:val="-4"/>
                            </w:rPr>
                            <w:t xml:space="preserve"> </w:t>
                          </w:r>
                          <w:r>
                            <w:rPr>
                              <w:rFonts w:ascii="Tahoma"/>
                              <w:b/>
                            </w:rPr>
                            <w:t>STATE</w:t>
                          </w:r>
                          <w:r>
                            <w:rPr>
                              <w:rFonts w:ascii="Tahoma"/>
                              <w:b/>
                              <w:spacing w:val="-4"/>
                            </w:rPr>
                            <w:t xml:space="preserve"> </w:t>
                          </w:r>
                          <w:r>
                            <w:rPr>
                              <w:rFonts w:ascii="Tahoma"/>
                              <w:b/>
                              <w:spacing w:val="-2"/>
                            </w:rPr>
                            <w:t>UNIVERSITY</w:t>
                          </w:r>
                        </w:p>
                        <w:p>
                          <w:pPr>
                            <w:pStyle w:val="NoSpacing"/>
                            <w:jc w:val="center"/>
                            <w:rPr>
                              <w:rFonts w:ascii="Arial"/>
                              <w:b/>
                              <w:spacing w:val="-2"/>
                            </w:rPr>
                          </w:pPr>
                          <w:r>
                            <w:rPr>
                              <w:rFonts w:ascii="Arial"/>
                              <w:b/>
                            </w:rPr>
                            <w:t>Main</w:t>
                          </w:r>
                          <w:r>
                            <w:rPr>
                              <w:rFonts w:ascii="Arial"/>
                              <w:b/>
                              <w:spacing w:val="-1"/>
                            </w:rPr>
                            <w:t xml:space="preserve"> </w:t>
                          </w:r>
                          <w:r>
                            <w:rPr>
                              <w:rFonts w:ascii="Arial"/>
                              <w:b/>
                              <w:spacing w:val="-2"/>
                            </w:rPr>
                            <w:t>Campus</w:t>
                          </w:r>
                        </w:p>
                        <w:p>
                          <w:pPr>
                            <w:pStyle w:val="BodyText"/>
                            <w:ind w:right="3"/>
                            <w:jc w:val="center"/>
                            <w:rPr>
                              <w:spacing w:val="-5"/>
                            </w:rPr>
                          </w:pPr>
                          <w:r>
                            <w:t>Tandag</w:t>
                          </w:r>
                          <w:r>
                            <w:rPr>
                              <w:spacing w:val="-4"/>
                            </w:rPr>
                            <w:t xml:space="preserve"> </w:t>
                          </w:r>
                          <w:r>
                            <w:t>City,</w:t>
                          </w:r>
                          <w:r>
                            <w:rPr>
                              <w:spacing w:val="-5"/>
                            </w:rPr>
                            <w:t xml:space="preserve"> </w:t>
                          </w:r>
                          <w:r>
                            <w:t>Surigao</w:t>
                          </w:r>
                          <w:r>
                            <w:rPr>
                              <w:spacing w:val="-4"/>
                            </w:rPr>
                            <w:t xml:space="preserve"> </w:t>
                          </w:r>
                          <w:r>
                            <w:t>del</w:t>
                          </w:r>
                          <w:r>
                            <w:rPr>
                              <w:spacing w:val="-3"/>
                            </w:rPr>
                            <w:t xml:space="preserve"> </w:t>
                          </w:r>
                          <w:r>
                            <w:rPr>
                              <w:spacing w:val="-5"/>
                            </w:rPr>
                            <w:t>Sur</w:t>
                          </w:r>
                        </w:p>
                        <w:p>
                          <w:pPr>
                            <w:pStyle w:val="BodyText"/>
                            <w:ind w:right="3"/>
                            <w:jc w:val="center"/>
                            <w:rPr>
                              <w:spacing w:val="-5"/>
                            </w:rPr>
                          </w:pPr>
                        </w:p>
                        <w:p>
                          <w:pPr>
                            <w:pStyle w:val="BodyText"/>
                            <w:ind w:right="3"/>
                            <w:jc w:val="center"/>
                          </w:pPr>
                          <w:r>
                            <w:rPr>
                              <w:rFonts w:ascii="Arial"/>
                              <w:b/>
                              <w:spacing w:val="-2"/>
                            </w:rPr>
                            <w:t>GRADUATE SCHOOL</w:t>
                          </w:r>
                        </w:p>
                      </w:txbxContent>
                    </wps:txbx>
                    <wps:bodyPr wrap="square" lIns="0" tIns="0" rIns="0" bIns="0" rtlCol="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174pt;margin-top:21pt;width:300.1pt;height:105.75pt;z-index:-25164800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" filled="f" stroked="f">
              <v:path arrowok="t"/>
              <v:textbox inset="0,0,0,0">
                <w:txbxContent>
                  <w:p>
                    <w:pPr>
                      <w:pStyle w:val="NoSpacing"/>
                      <w:jc w:val="center"/>
                    </w:pPr>
                    <w:r>
                      <w:t>Republic</w:t>
                    </w:r>
                    <w:r>
                      <w:rPr>
                        <w:spacing w:val="-3"/>
                      </w:rPr>
                      <w:t xml:space="preserve"> </w:t>
                    </w:r>
                    <w:r>
                      <w:t>of</w:t>
                    </w:r>
                    <w:r>
                      <w:rPr>
                        <w:spacing w:val="-2"/>
                      </w:rPr>
                      <w:t xml:space="preserve"> </w:t>
                    </w:r>
                    <w:r>
                      <w:t>the</w:t>
                    </w:r>
                    <w:r>
                      <w:rPr>
                        <w:spacing w:val="-2"/>
                      </w:rPr>
                      <w:t xml:space="preserve"> Philippines</w:t>
                    </w:r>
                  </w:p>
                  <w:p>
                    <w:pPr>
                      <w:pStyle w:val="NoSpacing"/>
                      <w:jc w:val="center"/>
                      <w:rPr>
                        <w:rFonts w:ascii="Tahoma"/>
                        <w:b/>
                      </w:rPr>
                    </w:pPr>
                    <w:r>
                      <w:rPr>
                        <w:rFonts w:ascii="Tahoma"/>
                        <w:b/>
                      </w:rPr>
                      <w:t>NORTH</w:t>
                    </w:r>
                    <w:r>
                      <w:rPr>
                        <w:rFonts w:ascii="Tahoma"/>
                        <w:b/>
                        <w:spacing w:val="-7"/>
                      </w:rPr>
                      <w:t xml:space="preserve"> </w:t>
                    </w:r>
                    <w:r>
                      <w:rPr>
                        <w:rFonts w:ascii="Tahoma"/>
                        <w:b/>
                      </w:rPr>
                      <w:t>EASTERN</w:t>
                    </w:r>
                    <w:r>
                      <w:rPr>
                        <w:rFonts w:ascii="Tahoma"/>
                        <w:b/>
                        <w:spacing w:val="-3"/>
                      </w:rPr>
                      <w:t xml:space="preserve"> </w:t>
                    </w:r>
                    <w:r>
                      <w:rPr>
                        <w:rFonts w:ascii="Tahoma"/>
                        <w:b/>
                      </w:rPr>
                      <w:t>MINDANAO</w:t>
                    </w:r>
                    <w:r>
                      <w:rPr>
                        <w:rFonts w:ascii="Tahoma"/>
                        <w:b/>
                        <w:spacing w:val="-4"/>
                      </w:rPr>
                      <w:t xml:space="preserve"> </w:t>
                    </w:r>
                    <w:r>
                      <w:rPr>
                        <w:rFonts w:ascii="Tahoma"/>
                        <w:b/>
                      </w:rPr>
                      <w:t>STATE</w:t>
                    </w:r>
                    <w:r>
                      <w:rPr>
                        <w:rFonts w:ascii="Tahoma"/>
                        <w:b/>
                        <w:spacing w:val="-4"/>
                      </w:rPr>
                      <w:t xml:space="preserve"> </w:t>
                    </w:r>
                    <w:r>
                      <w:rPr>
                        <w:rFonts w:ascii="Tahoma"/>
                        <w:b/>
                        <w:spacing w:val="-2"/>
                      </w:rPr>
                      <w:t>UNIVERSITY</w:t>
                    </w:r>
                  </w:p>
                  <w:p>
                    <w:pPr>
                      <w:pStyle w:val="NoSpacing"/>
                      <w:jc w:val="center"/>
                      <w:rPr>
                        <w:rFonts w:ascii="Arial"/>
                        <w:b/>
                        <w:spacing w:val="-2"/>
                      </w:rPr>
                    </w:pPr>
                    <w:r>
                      <w:rPr>
                        <w:rFonts w:ascii="Arial"/>
                        <w:b/>
                      </w:rPr>
                      <w:t>Main</w:t>
                    </w:r>
                    <w:r>
                      <w:rPr>
                        <w:rFonts w:ascii="Arial"/>
                        <w:b/>
                        <w:spacing w:val="-1"/>
                      </w:rPr>
                      <w:t xml:space="preserve"> </w:t>
                    </w:r>
                    <w:r>
                      <w:rPr>
                        <w:rFonts w:ascii="Arial"/>
                        <w:b/>
                        <w:spacing w:val="-2"/>
                      </w:rPr>
                      <w:t>Campus</w:t>
                    </w:r>
                  </w:p>
                  <w:p>
                    <w:pPr>
                      <w:pStyle w:val="BodyText"/>
                      <w:ind w:right="3"/>
                      <w:jc w:val="center"/>
                      <w:rPr>
                        <w:spacing w:val="-5"/>
                      </w:rPr>
                    </w:pPr>
                    <w:r>
                      <w:t>Tandag</w:t>
                    </w:r>
                    <w:r>
                      <w:rPr>
                        <w:spacing w:val="-4"/>
                      </w:rPr>
                      <w:t xml:space="preserve"> </w:t>
                    </w:r>
                    <w:r>
                      <w:t>City,</w:t>
                    </w:r>
                    <w:r>
                      <w:rPr>
                        <w:spacing w:val="-5"/>
                      </w:rPr>
                      <w:t xml:space="preserve"> </w:t>
                    </w:r>
                    <w:r>
                      <w:t>Surigao</w:t>
                    </w:r>
                    <w:r>
                      <w:rPr>
                        <w:spacing w:val="-4"/>
                      </w:rPr>
                      <w:t xml:space="preserve"> </w:t>
                    </w:r>
                    <w:r>
                      <w:t>del</w:t>
                    </w:r>
                    <w:r>
                      <w:rPr>
                        <w:spacing w:val="-3"/>
                      </w:rPr>
                      <w:t xml:space="preserve"> </w:t>
                    </w:r>
                    <w:r>
                      <w:rPr>
                        <w:spacing w:val="-5"/>
                      </w:rPr>
                      <w:t>Sur</w:t>
                    </w:r>
                  </w:p>
                  <w:p>
                    <w:pPr>
                      <w:pStyle w:val="BodyText"/>
                      <w:ind w:right="3"/>
                      <w:jc w:val="center"/>
                      <w:rPr>
                        <w:spacing w:val="-5"/>
                      </w:rPr>
                    </w:pPr>
                  </w:p>
                  <w:p>
                    <w:pPr>
                      <w:pStyle w:val="BodyText"/>
                      <w:ind w:right="3"/>
                      <w:jc w:val="center"/>
                    </w:pPr>
                    <w:r>
                      <w:rPr>
                        <w:rFonts w:ascii="Arial"/>
                        <w:b/>
                        <w:spacing w:val="-2"/>
                      </w:rPr>
                      <w:t>GRADUATE SCHOOL</w:t>
                    </w:r>
                  </w:p>
                </w:txbxContent>
              </v:textbox>
              <w10:wrap anchorx="page" anchory="page"/>
            </v:shape>
          </w:pict>
        </mc:Fallback>
      </mc:AlternateContent>
    </w:r>
    <w:r>
      <w:rPr>
        <w:noProof/>
        <w:sz w:val="20"/>
        <w:lang w:val="en-PH" w:eastAsia="en-PH"/>
      </w:rPr>
      <w:drawing>
        <wp:anchor distT="0" distB="0" distL="0" distR="0" simplePos="0" relativeHeight="251665408" behindDoc="1" locked="0" layoutInCell="1" allowOverlap="1">
          <wp:simplePos x="0" y="0"/>
          <wp:positionH relativeFrom="page">
            <wp:posOffset>6075844</wp:posOffset>
          </wp:positionH>
          <wp:positionV relativeFrom="page">
            <wp:posOffset>337832</wp:posOffset>
          </wp:positionV>
          <wp:extent cx="914870" cy="885177"/>
          <wp:effectExtent l="0" t="0" r="0" b="0"/>
          <wp:wrapNone/>
          <wp:docPr id="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914870" cy="885177"/>
                  </a:xfrm>
                  <a:prstGeom prst="rect">
                    <a:avLst/>
                  </a:prstGeom>
                </pic:spPr>
              </pic:pic>
            </a:graphicData>
          </a:graphic>
        </wp:anchor>
      </w:drawing>
    </w:r>
    <w:r>
      <w:rPr>
        <w:noProof/>
        <w:sz w:val="20"/>
        <w:lang w:val="en-PH" w:eastAsia="en-PH"/>
      </w:rPr>
      <w:drawing>
        <wp:anchor distT="0" distB="0" distL="0" distR="0" simplePos="0" relativeHeight="251666432" behindDoc="1" locked="0" layoutInCell="1" allowOverlap="1">
          <wp:simplePos x="0" y="0"/>
          <wp:positionH relativeFrom="page">
            <wp:posOffset>1312837</wp:posOffset>
          </wp:positionH>
          <wp:positionV relativeFrom="page">
            <wp:posOffset>346927</wp:posOffset>
          </wp:positionV>
          <wp:extent cx="840155" cy="801391"/>
          <wp:effectExtent l="0" t="0" r="0" b="0"/>
          <wp:wrapNone/>
          <wp:docPr id="9"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840155" cy="801391"/>
                  </a:xfrm>
                  <a:prstGeom prst="rect">
                    <a:avLst/>
                  </a:prstGeom>
                </pic:spPr>
              </pic:pic>
            </a:graphicData>
          </a:graphic>
        </wp:anchor>
      </w:drawing>
    </w:r>
    <w:r>
      <w:rPr>
        <w:noProof/>
        <w:sz w:val="20"/>
        <w:lang w:val="en-PH" w:eastAsia="en-PH"/>
      </w:rPr>
      <mc:AlternateContent>
        <mc:Choice Requires="wps">
          <w:drawing>
            <wp:anchor distT="0" distB="0" distL="0" distR="0" simplePos="0" relativeHeight="251667456" behindDoc="1" locked="0" layoutInCell="1" allowOverlap="1">
              <wp:simplePos x="0" y="0"/>
              <wp:positionH relativeFrom="page">
                <wp:posOffset>1352803</wp:posOffset>
              </wp:positionH>
              <wp:positionV relativeFrom="page">
                <wp:posOffset>1347724</wp:posOffset>
              </wp:positionV>
              <wp:extent cx="5525770" cy="19050"/>
              <wp:effectExtent l="0" t="0" r="0" b="0"/>
              <wp:wrapNone/>
              <wp:docPr id="7"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5770" cy="19050"/>
                      </a:xfrm>
                      <a:custGeom>
                        <a:avLst/>
                        <a:gdLst/>
                        <a:ahLst/>
                        <a:cxnLst/>
                        <a:rect l="l" t="t" r="r" b="b"/>
                        <a:pathLst>
                          <a:path w="5525770" h="19050">
                            <a:moveTo>
                              <a:pt x="5525516" y="0"/>
                            </a:moveTo>
                            <a:lnTo>
                              <a:pt x="0" y="0"/>
                            </a:lnTo>
                            <a:lnTo>
                              <a:pt x="0" y="19050"/>
                            </a:lnTo>
                            <a:lnTo>
                              <a:pt x="5525516" y="19050"/>
                            </a:lnTo>
                            <a:lnTo>
                              <a:pt x="55255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id="Graphic 3" o:spid="_x0000_s1026" style="position:absolute;margin-left:106.5pt;margin-top:106.1pt;width:435.1pt;height:1.5pt;z-index:-251649024;visibility:visible;mso-wrap-style:square;mso-wrap-distance-left:0;mso-wrap-distance-top:0;mso-wrap-distance-right:0;mso-wrap-distance-bottom:0;mso-position-horizontal:absolute;mso-position-horizontal-relative:page;mso-position-vertical:absolute;mso-position-vertical-relative:page;v-text-anchor:top" coordsize="552577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" path="m5525516,l,,,19050r5525516,l5525516,xe" fillcolor="black" stroked="f">
              <v:path arrowok="t"/>
              <w10:wrap anchorx="page" anchory="page"/>
            </v:shape>
          </w:pict>
        </mc:Fallback>
      </mc:AlternateContent>
    </w:r>
  </w:p>
  <w:p>
    <w:pPr>
      <w:pStyle w:val="Header"/>
    </w:pPr>
  </w:p>
  <w:p>
    <w:pPr>
      <w:pStyle w:val="Header"/>
    </w:pPr>
  </w:p>
  <w:p>
    <w:pPr>
      <w:pStyle w:val="Header"/>
    </w:pPr>
  </w:p>
  <w:p>
    <w:pPr>
      <w:pStyle w:val="Header"/>
    </w:pPr>
  </w:p>
  <w:p>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86F2B"/>
    <w:multiLevelType w:val="hybridMultilevel"/>
    <w:tmpl w:val="4CDE3F84"/>
    <w:lvl w:ilvl="0" w:tplc="F75E7024">
      <w:start w:val="1"/>
      <w:numFmt w:val="decimal"/>
      <w:lvlText w:val="%1."/>
      <w:lvlJc w:val="left"/>
      <w:pPr>
        <w:ind w:left="1020" w:hanging="360"/>
      </w:pPr>
    </w:lvl>
    <w:lvl w:ilvl="1" w:tplc="92F4202C">
      <w:start w:val="1"/>
      <w:numFmt w:val="decimal"/>
      <w:lvlText w:val="%2."/>
      <w:lvlJc w:val="left"/>
      <w:pPr>
        <w:ind w:left="1020" w:hanging="360"/>
      </w:pPr>
    </w:lvl>
    <w:lvl w:ilvl="2" w:tplc="AFD4F2F4">
      <w:start w:val="1"/>
      <w:numFmt w:val="decimal"/>
      <w:lvlText w:val="%3."/>
      <w:lvlJc w:val="left"/>
      <w:pPr>
        <w:ind w:left="1020" w:hanging="360"/>
      </w:pPr>
    </w:lvl>
    <w:lvl w:ilvl="3" w:tplc="2B0499F2">
      <w:start w:val="1"/>
      <w:numFmt w:val="decimal"/>
      <w:lvlText w:val="%4."/>
      <w:lvlJc w:val="left"/>
      <w:pPr>
        <w:ind w:left="1020" w:hanging="360"/>
      </w:pPr>
    </w:lvl>
    <w:lvl w:ilvl="4" w:tplc="75605DA8">
      <w:start w:val="1"/>
      <w:numFmt w:val="decimal"/>
      <w:lvlText w:val="%5."/>
      <w:lvlJc w:val="left"/>
      <w:pPr>
        <w:ind w:left="1020" w:hanging="360"/>
      </w:pPr>
    </w:lvl>
    <w:lvl w:ilvl="5" w:tplc="508C8D62">
      <w:start w:val="1"/>
      <w:numFmt w:val="decimal"/>
      <w:lvlText w:val="%6."/>
      <w:lvlJc w:val="left"/>
      <w:pPr>
        <w:ind w:left="1020" w:hanging="360"/>
      </w:pPr>
    </w:lvl>
    <w:lvl w:ilvl="6" w:tplc="7744FCA8">
      <w:start w:val="1"/>
      <w:numFmt w:val="decimal"/>
      <w:lvlText w:val="%7."/>
      <w:lvlJc w:val="left"/>
      <w:pPr>
        <w:ind w:left="1020" w:hanging="360"/>
      </w:pPr>
    </w:lvl>
    <w:lvl w:ilvl="7" w:tplc="66E4D422">
      <w:start w:val="1"/>
      <w:numFmt w:val="decimal"/>
      <w:lvlText w:val="%8."/>
      <w:lvlJc w:val="left"/>
      <w:pPr>
        <w:ind w:left="1020" w:hanging="360"/>
      </w:pPr>
    </w:lvl>
    <w:lvl w:ilvl="8" w:tplc="ACF01EF8">
      <w:start w:val="1"/>
      <w:numFmt w:val="decimal"/>
      <w:lvlText w:val="%9."/>
      <w:lvlJc w:val="left"/>
      <w:pPr>
        <w:ind w:left="1020" w:hanging="360"/>
      </w:pPr>
    </w:lvl>
  </w:abstractNum>
  <w:abstractNum w:abstractNumId="1" w15:restartNumberingAfterBreak="0">
    <w:nsid w:val="0D6F16CF"/>
    <w:multiLevelType w:val="hybridMultilevel"/>
    <w:tmpl w:val="957AE37E"/>
    <w:lvl w:ilvl="0" w:tplc="D4D6BA72">
      <w:start w:val="1"/>
      <w:numFmt w:val="decimal"/>
      <w:lvlText w:val="%1."/>
      <w:lvlJc w:val="left"/>
      <w:pPr>
        <w:ind w:left="1020" w:hanging="360"/>
      </w:pPr>
    </w:lvl>
    <w:lvl w:ilvl="1" w:tplc="4DB20F70">
      <w:start w:val="1"/>
      <w:numFmt w:val="decimal"/>
      <w:lvlText w:val="%2."/>
      <w:lvlJc w:val="left"/>
      <w:pPr>
        <w:ind w:left="1020" w:hanging="360"/>
      </w:pPr>
    </w:lvl>
    <w:lvl w:ilvl="2" w:tplc="BF2A4EEE">
      <w:start w:val="1"/>
      <w:numFmt w:val="decimal"/>
      <w:lvlText w:val="%3."/>
      <w:lvlJc w:val="left"/>
      <w:pPr>
        <w:ind w:left="1020" w:hanging="360"/>
      </w:pPr>
    </w:lvl>
    <w:lvl w:ilvl="3" w:tplc="7674B93E">
      <w:start w:val="1"/>
      <w:numFmt w:val="decimal"/>
      <w:lvlText w:val="%4."/>
      <w:lvlJc w:val="left"/>
      <w:pPr>
        <w:ind w:left="1020" w:hanging="360"/>
      </w:pPr>
    </w:lvl>
    <w:lvl w:ilvl="4" w:tplc="2BD61266">
      <w:start w:val="1"/>
      <w:numFmt w:val="decimal"/>
      <w:lvlText w:val="%5."/>
      <w:lvlJc w:val="left"/>
      <w:pPr>
        <w:ind w:left="1020" w:hanging="360"/>
      </w:pPr>
    </w:lvl>
    <w:lvl w:ilvl="5" w:tplc="53CAEFF6">
      <w:start w:val="1"/>
      <w:numFmt w:val="decimal"/>
      <w:lvlText w:val="%6."/>
      <w:lvlJc w:val="left"/>
      <w:pPr>
        <w:ind w:left="1020" w:hanging="360"/>
      </w:pPr>
    </w:lvl>
    <w:lvl w:ilvl="6" w:tplc="5E46FDC0">
      <w:start w:val="1"/>
      <w:numFmt w:val="decimal"/>
      <w:lvlText w:val="%7."/>
      <w:lvlJc w:val="left"/>
      <w:pPr>
        <w:ind w:left="1020" w:hanging="360"/>
      </w:pPr>
    </w:lvl>
    <w:lvl w:ilvl="7" w:tplc="5A980F34">
      <w:start w:val="1"/>
      <w:numFmt w:val="decimal"/>
      <w:lvlText w:val="%8."/>
      <w:lvlJc w:val="left"/>
      <w:pPr>
        <w:ind w:left="1020" w:hanging="360"/>
      </w:pPr>
    </w:lvl>
    <w:lvl w:ilvl="8" w:tplc="A27CEC36">
      <w:start w:val="1"/>
      <w:numFmt w:val="decimal"/>
      <w:lvlText w:val="%9."/>
      <w:lvlJc w:val="left"/>
      <w:pPr>
        <w:ind w:left="1020" w:hanging="360"/>
      </w:pPr>
    </w:lvl>
  </w:abstractNum>
  <w:abstractNum w:abstractNumId="2" w15:restartNumberingAfterBreak="0">
    <w:nsid w:val="107A3B33"/>
    <w:multiLevelType w:val="hybridMultilevel"/>
    <w:tmpl w:val="BC26B6CC"/>
    <w:lvl w:ilvl="0" w:tplc="5C742AC8">
      <w:start w:val="1"/>
      <w:numFmt w:val="decimal"/>
      <w:lvlText w:val="%1."/>
      <w:lvlJc w:val="left"/>
      <w:pPr>
        <w:ind w:left="1020" w:hanging="360"/>
      </w:pPr>
    </w:lvl>
    <w:lvl w:ilvl="1" w:tplc="AEA47394">
      <w:start w:val="1"/>
      <w:numFmt w:val="decimal"/>
      <w:lvlText w:val="%2."/>
      <w:lvlJc w:val="left"/>
      <w:pPr>
        <w:ind w:left="1020" w:hanging="360"/>
      </w:pPr>
    </w:lvl>
    <w:lvl w:ilvl="2" w:tplc="82D6C476">
      <w:start w:val="1"/>
      <w:numFmt w:val="decimal"/>
      <w:lvlText w:val="%3."/>
      <w:lvlJc w:val="left"/>
      <w:pPr>
        <w:ind w:left="1020" w:hanging="360"/>
      </w:pPr>
    </w:lvl>
    <w:lvl w:ilvl="3" w:tplc="5E8C85CC">
      <w:start w:val="1"/>
      <w:numFmt w:val="decimal"/>
      <w:lvlText w:val="%4."/>
      <w:lvlJc w:val="left"/>
      <w:pPr>
        <w:ind w:left="1020" w:hanging="360"/>
      </w:pPr>
    </w:lvl>
    <w:lvl w:ilvl="4" w:tplc="6D34FA60">
      <w:start w:val="1"/>
      <w:numFmt w:val="decimal"/>
      <w:lvlText w:val="%5."/>
      <w:lvlJc w:val="left"/>
      <w:pPr>
        <w:ind w:left="1020" w:hanging="360"/>
      </w:pPr>
    </w:lvl>
    <w:lvl w:ilvl="5" w:tplc="CC520AA6">
      <w:start w:val="1"/>
      <w:numFmt w:val="decimal"/>
      <w:lvlText w:val="%6."/>
      <w:lvlJc w:val="left"/>
      <w:pPr>
        <w:ind w:left="1020" w:hanging="360"/>
      </w:pPr>
    </w:lvl>
    <w:lvl w:ilvl="6" w:tplc="02D05576">
      <w:start w:val="1"/>
      <w:numFmt w:val="decimal"/>
      <w:lvlText w:val="%7."/>
      <w:lvlJc w:val="left"/>
      <w:pPr>
        <w:ind w:left="1020" w:hanging="360"/>
      </w:pPr>
    </w:lvl>
    <w:lvl w:ilvl="7" w:tplc="03FADB48">
      <w:start w:val="1"/>
      <w:numFmt w:val="decimal"/>
      <w:lvlText w:val="%8."/>
      <w:lvlJc w:val="left"/>
      <w:pPr>
        <w:ind w:left="1020" w:hanging="360"/>
      </w:pPr>
    </w:lvl>
    <w:lvl w:ilvl="8" w:tplc="04D239C4">
      <w:start w:val="1"/>
      <w:numFmt w:val="decimal"/>
      <w:lvlText w:val="%9."/>
      <w:lvlJc w:val="left"/>
      <w:pPr>
        <w:ind w:left="1020" w:hanging="360"/>
      </w:pPr>
    </w:lvl>
  </w:abstractNum>
  <w:abstractNum w:abstractNumId="3" w15:restartNumberingAfterBreak="0">
    <w:nsid w:val="15B62B00"/>
    <w:multiLevelType w:val="multilevel"/>
    <w:tmpl w:val="37ECC03A"/>
    <w:lvl w:ilvl="0">
      <w:start w:val="1"/>
      <w:numFmt w:val="decimal"/>
      <w:lvlText w:val="%1"/>
      <w:lvlJc w:val="left"/>
      <w:pPr>
        <w:ind w:left="1440" w:hanging="72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280" w:hanging="1800"/>
      </w:pPr>
      <w:rPr>
        <w:rFonts w:hint="default"/>
      </w:rPr>
    </w:lvl>
  </w:abstractNum>
  <w:abstractNum w:abstractNumId="4" w15:restartNumberingAfterBreak="0">
    <w:nsid w:val="195D354D"/>
    <w:multiLevelType w:val="hybridMultilevel"/>
    <w:tmpl w:val="16089EF2"/>
    <w:lvl w:ilvl="0" w:tplc="4DA06DEE">
      <w:start w:val="1"/>
      <w:numFmt w:val="decimal"/>
      <w:lvlText w:val="%1."/>
      <w:lvlJc w:val="left"/>
      <w:pPr>
        <w:ind w:left="1020" w:hanging="360"/>
      </w:pPr>
    </w:lvl>
    <w:lvl w:ilvl="1" w:tplc="E15AE2E2">
      <w:start w:val="1"/>
      <w:numFmt w:val="decimal"/>
      <w:lvlText w:val="%2."/>
      <w:lvlJc w:val="left"/>
      <w:pPr>
        <w:ind w:left="1020" w:hanging="360"/>
      </w:pPr>
    </w:lvl>
    <w:lvl w:ilvl="2" w:tplc="75408816">
      <w:start w:val="1"/>
      <w:numFmt w:val="decimal"/>
      <w:lvlText w:val="%3."/>
      <w:lvlJc w:val="left"/>
      <w:pPr>
        <w:ind w:left="1020" w:hanging="360"/>
      </w:pPr>
    </w:lvl>
    <w:lvl w:ilvl="3" w:tplc="191EEC7C">
      <w:start w:val="1"/>
      <w:numFmt w:val="decimal"/>
      <w:lvlText w:val="%4."/>
      <w:lvlJc w:val="left"/>
      <w:pPr>
        <w:ind w:left="1020" w:hanging="360"/>
      </w:pPr>
    </w:lvl>
    <w:lvl w:ilvl="4" w:tplc="09463CFC">
      <w:start w:val="1"/>
      <w:numFmt w:val="decimal"/>
      <w:lvlText w:val="%5."/>
      <w:lvlJc w:val="left"/>
      <w:pPr>
        <w:ind w:left="1020" w:hanging="360"/>
      </w:pPr>
    </w:lvl>
    <w:lvl w:ilvl="5" w:tplc="DA5A5608">
      <w:start w:val="1"/>
      <w:numFmt w:val="decimal"/>
      <w:lvlText w:val="%6."/>
      <w:lvlJc w:val="left"/>
      <w:pPr>
        <w:ind w:left="1020" w:hanging="360"/>
      </w:pPr>
    </w:lvl>
    <w:lvl w:ilvl="6" w:tplc="0AF60524">
      <w:start w:val="1"/>
      <w:numFmt w:val="decimal"/>
      <w:lvlText w:val="%7."/>
      <w:lvlJc w:val="left"/>
      <w:pPr>
        <w:ind w:left="1020" w:hanging="360"/>
      </w:pPr>
    </w:lvl>
    <w:lvl w:ilvl="7" w:tplc="7A7C673C">
      <w:start w:val="1"/>
      <w:numFmt w:val="decimal"/>
      <w:lvlText w:val="%8."/>
      <w:lvlJc w:val="left"/>
      <w:pPr>
        <w:ind w:left="1020" w:hanging="360"/>
      </w:pPr>
    </w:lvl>
    <w:lvl w:ilvl="8" w:tplc="F70635C4">
      <w:start w:val="1"/>
      <w:numFmt w:val="decimal"/>
      <w:lvlText w:val="%9."/>
      <w:lvlJc w:val="left"/>
      <w:pPr>
        <w:ind w:left="1020" w:hanging="360"/>
      </w:pPr>
    </w:lvl>
  </w:abstractNum>
  <w:abstractNum w:abstractNumId="5" w15:restartNumberingAfterBreak="0">
    <w:nsid w:val="1C6C1765"/>
    <w:multiLevelType w:val="hybridMultilevel"/>
    <w:tmpl w:val="7DEC51C2"/>
    <w:lvl w:ilvl="0" w:tplc="FDA0ACBE">
      <w:start w:val="1"/>
      <w:numFmt w:val="decimal"/>
      <w:lvlText w:val="%1."/>
      <w:lvlJc w:val="left"/>
      <w:pPr>
        <w:ind w:left="1020" w:hanging="360"/>
      </w:pPr>
    </w:lvl>
    <w:lvl w:ilvl="1" w:tplc="8E20028E">
      <w:start w:val="1"/>
      <w:numFmt w:val="decimal"/>
      <w:lvlText w:val="%2."/>
      <w:lvlJc w:val="left"/>
      <w:pPr>
        <w:ind w:left="1020" w:hanging="360"/>
      </w:pPr>
    </w:lvl>
    <w:lvl w:ilvl="2" w:tplc="42F87E90">
      <w:start w:val="1"/>
      <w:numFmt w:val="decimal"/>
      <w:lvlText w:val="%3."/>
      <w:lvlJc w:val="left"/>
      <w:pPr>
        <w:ind w:left="1020" w:hanging="360"/>
      </w:pPr>
    </w:lvl>
    <w:lvl w:ilvl="3" w:tplc="D9DC7F7A">
      <w:start w:val="1"/>
      <w:numFmt w:val="decimal"/>
      <w:lvlText w:val="%4."/>
      <w:lvlJc w:val="left"/>
      <w:pPr>
        <w:ind w:left="1020" w:hanging="360"/>
      </w:pPr>
    </w:lvl>
    <w:lvl w:ilvl="4" w:tplc="04AEEF24">
      <w:start w:val="1"/>
      <w:numFmt w:val="decimal"/>
      <w:lvlText w:val="%5."/>
      <w:lvlJc w:val="left"/>
      <w:pPr>
        <w:ind w:left="1020" w:hanging="360"/>
      </w:pPr>
    </w:lvl>
    <w:lvl w:ilvl="5" w:tplc="CBE0E4FC">
      <w:start w:val="1"/>
      <w:numFmt w:val="decimal"/>
      <w:lvlText w:val="%6."/>
      <w:lvlJc w:val="left"/>
      <w:pPr>
        <w:ind w:left="1020" w:hanging="360"/>
      </w:pPr>
    </w:lvl>
    <w:lvl w:ilvl="6" w:tplc="17AA5DE6">
      <w:start w:val="1"/>
      <w:numFmt w:val="decimal"/>
      <w:lvlText w:val="%7."/>
      <w:lvlJc w:val="left"/>
      <w:pPr>
        <w:ind w:left="1020" w:hanging="360"/>
      </w:pPr>
    </w:lvl>
    <w:lvl w:ilvl="7" w:tplc="B350B84A">
      <w:start w:val="1"/>
      <w:numFmt w:val="decimal"/>
      <w:lvlText w:val="%8."/>
      <w:lvlJc w:val="left"/>
      <w:pPr>
        <w:ind w:left="1020" w:hanging="360"/>
      </w:pPr>
    </w:lvl>
    <w:lvl w:ilvl="8" w:tplc="60480B42">
      <w:start w:val="1"/>
      <w:numFmt w:val="decimal"/>
      <w:lvlText w:val="%9."/>
      <w:lvlJc w:val="left"/>
      <w:pPr>
        <w:ind w:left="1020" w:hanging="360"/>
      </w:pPr>
    </w:lvl>
  </w:abstractNum>
  <w:abstractNum w:abstractNumId="6" w15:restartNumberingAfterBreak="0">
    <w:nsid w:val="1F400C98"/>
    <w:multiLevelType w:val="hybridMultilevel"/>
    <w:tmpl w:val="CE6CBABC"/>
    <w:lvl w:ilvl="0" w:tplc="519C2718">
      <w:start w:val="1"/>
      <w:numFmt w:val="decimal"/>
      <w:lvlText w:val="%1."/>
      <w:lvlJc w:val="left"/>
      <w:pPr>
        <w:ind w:left="1020" w:hanging="360"/>
      </w:pPr>
    </w:lvl>
    <w:lvl w:ilvl="1" w:tplc="14264298">
      <w:start w:val="1"/>
      <w:numFmt w:val="decimal"/>
      <w:lvlText w:val="%2."/>
      <w:lvlJc w:val="left"/>
      <w:pPr>
        <w:ind w:left="1020" w:hanging="360"/>
      </w:pPr>
    </w:lvl>
    <w:lvl w:ilvl="2" w:tplc="27229F90">
      <w:start w:val="1"/>
      <w:numFmt w:val="decimal"/>
      <w:lvlText w:val="%3."/>
      <w:lvlJc w:val="left"/>
      <w:pPr>
        <w:ind w:left="1020" w:hanging="360"/>
      </w:pPr>
    </w:lvl>
    <w:lvl w:ilvl="3" w:tplc="037E592E">
      <w:start w:val="1"/>
      <w:numFmt w:val="decimal"/>
      <w:lvlText w:val="%4."/>
      <w:lvlJc w:val="left"/>
      <w:pPr>
        <w:ind w:left="1020" w:hanging="360"/>
      </w:pPr>
    </w:lvl>
    <w:lvl w:ilvl="4" w:tplc="9D4CF52C">
      <w:start w:val="1"/>
      <w:numFmt w:val="decimal"/>
      <w:lvlText w:val="%5."/>
      <w:lvlJc w:val="left"/>
      <w:pPr>
        <w:ind w:left="1020" w:hanging="360"/>
      </w:pPr>
    </w:lvl>
    <w:lvl w:ilvl="5" w:tplc="40788938">
      <w:start w:val="1"/>
      <w:numFmt w:val="decimal"/>
      <w:lvlText w:val="%6."/>
      <w:lvlJc w:val="left"/>
      <w:pPr>
        <w:ind w:left="1020" w:hanging="360"/>
      </w:pPr>
    </w:lvl>
    <w:lvl w:ilvl="6" w:tplc="A964CF3C">
      <w:start w:val="1"/>
      <w:numFmt w:val="decimal"/>
      <w:lvlText w:val="%7."/>
      <w:lvlJc w:val="left"/>
      <w:pPr>
        <w:ind w:left="1020" w:hanging="360"/>
      </w:pPr>
    </w:lvl>
    <w:lvl w:ilvl="7" w:tplc="C1F0AC80">
      <w:start w:val="1"/>
      <w:numFmt w:val="decimal"/>
      <w:lvlText w:val="%8."/>
      <w:lvlJc w:val="left"/>
      <w:pPr>
        <w:ind w:left="1020" w:hanging="360"/>
      </w:pPr>
    </w:lvl>
    <w:lvl w:ilvl="8" w:tplc="54105BA0">
      <w:start w:val="1"/>
      <w:numFmt w:val="decimal"/>
      <w:lvlText w:val="%9."/>
      <w:lvlJc w:val="left"/>
      <w:pPr>
        <w:ind w:left="1020" w:hanging="360"/>
      </w:pPr>
    </w:lvl>
  </w:abstractNum>
  <w:abstractNum w:abstractNumId="7" w15:restartNumberingAfterBreak="0">
    <w:nsid w:val="241B641F"/>
    <w:multiLevelType w:val="hybridMultilevel"/>
    <w:tmpl w:val="AAB6B120"/>
    <w:lvl w:ilvl="0" w:tplc="C9D8F21A">
      <w:start w:val="1"/>
      <w:numFmt w:val="decimal"/>
      <w:lvlText w:val="%1."/>
      <w:lvlJc w:val="left"/>
      <w:pPr>
        <w:ind w:left="1020" w:hanging="360"/>
      </w:pPr>
    </w:lvl>
    <w:lvl w:ilvl="1" w:tplc="7B62E01E">
      <w:start w:val="1"/>
      <w:numFmt w:val="decimal"/>
      <w:lvlText w:val="%2."/>
      <w:lvlJc w:val="left"/>
      <w:pPr>
        <w:ind w:left="1020" w:hanging="360"/>
      </w:pPr>
    </w:lvl>
    <w:lvl w:ilvl="2" w:tplc="7CEA8C10">
      <w:start w:val="1"/>
      <w:numFmt w:val="decimal"/>
      <w:lvlText w:val="%3."/>
      <w:lvlJc w:val="left"/>
      <w:pPr>
        <w:ind w:left="1020" w:hanging="360"/>
      </w:pPr>
    </w:lvl>
    <w:lvl w:ilvl="3" w:tplc="C420A08E">
      <w:start w:val="1"/>
      <w:numFmt w:val="decimal"/>
      <w:lvlText w:val="%4."/>
      <w:lvlJc w:val="left"/>
      <w:pPr>
        <w:ind w:left="1020" w:hanging="360"/>
      </w:pPr>
    </w:lvl>
    <w:lvl w:ilvl="4" w:tplc="D73E2656">
      <w:start w:val="1"/>
      <w:numFmt w:val="decimal"/>
      <w:lvlText w:val="%5."/>
      <w:lvlJc w:val="left"/>
      <w:pPr>
        <w:ind w:left="1020" w:hanging="360"/>
      </w:pPr>
    </w:lvl>
    <w:lvl w:ilvl="5" w:tplc="0AA233DA">
      <w:start w:val="1"/>
      <w:numFmt w:val="decimal"/>
      <w:lvlText w:val="%6."/>
      <w:lvlJc w:val="left"/>
      <w:pPr>
        <w:ind w:left="1020" w:hanging="360"/>
      </w:pPr>
    </w:lvl>
    <w:lvl w:ilvl="6" w:tplc="A7584D10">
      <w:start w:val="1"/>
      <w:numFmt w:val="decimal"/>
      <w:lvlText w:val="%7."/>
      <w:lvlJc w:val="left"/>
      <w:pPr>
        <w:ind w:left="1020" w:hanging="360"/>
      </w:pPr>
    </w:lvl>
    <w:lvl w:ilvl="7" w:tplc="F3584252">
      <w:start w:val="1"/>
      <w:numFmt w:val="decimal"/>
      <w:lvlText w:val="%8."/>
      <w:lvlJc w:val="left"/>
      <w:pPr>
        <w:ind w:left="1020" w:hanging="360"/>
      </w:pPr>
    </w:lvl>
    <w:lvl w:ilvl="8" w:tplc="ABC07714">
      <w:start w:val="1"/>
      <w:numFmt w:val="decimal"/>
      <w:lvlText w:val="%9."/>
      <w:lvlJc w:val="left"/>
      <w:pPr>
        <w:ind w:left="1020" w:hanging="360"/>
      </w:pPr>
    </w:lvl>
  </w:abstractNum>
  <w:abstractNum w:abstractNumId="8" w15:restartNumberingAfterBreak="0">
    <w:nsid w:val="2AD73FEB"/>
    <w:multiLevelType w:val="hybridMultilevel"/>
    <w:tmpl w:val="C3262ABC"/>
    <w:lvl w:ilvl="0" w:tplc="FBA0CF7A">
      <w:start w:val="1"/>
      <w:numFmt w:val="decimal"/>
      <w:lvlText w:val="%1."/>
      <w:lvlJc w:val="left"/>
      <w:pPr>
        <w:ind w:left="1020" w:hanging="360"/>
      </w:pPr>
    </w:lvl>
    <w:lvl w:ilvl="1" w:tplc="FC3652EC">
      <w:start w:val="1"/>
      <w:numFmt w:val="decimal"/>
      <w:lvlText w:val="%2."/>
      <w:lvlJc w:val="left"/>
      <w:pPr>
        <w:ind w:left="1020" w:hanging="360"/>
      </w:pPr>
    </w:lvl>
    <w:lvl w:ilvl="2" w:tplc="B8983D42">
      <w:start w:val="1"/>
      <w:numFmt w:val="decimal"/>
      <w:lvlText w:val="%3."/>
      <w:lvlJc w:val="left"/>
      <w:pPr>
        <w:ind w:left="1020" w:hanging="360"/>
      </w:pPr>
    </w:lvl>
    <w:lvl w:ilvl="3" w:tplc="60C6093C">
      <w:start w:val="1"/>
      <w:numFmt w:val="decimal"/>
      <w:lvlText w:val="%4."/>
      <w:lvlJc w:val="left"/>
      <w:pPr>
        <w:ind w:left="1020" w:hanging="360"/>
      </w:pPr>
    </w:lvl>
    <w:lvl w:ilvl="4" w:tplc="8C4CB564">
      <w:start w:val="1"/>
      <w:numFmt w:val="decimal"/>
      <w:lvlText w:val="%5."/>
      <w:lvlJc w:val="left"/>
      <w:pPr>
        <w:ind w:left="1020" w:hanging="360"/>
      </w:pPr>
    </w:lvl>
    <w:lvl w:ilvl="5" w:tplc="42C011E8">
      <w:start w:val="1"/>
      <w:numFmt w:val="decimal"/>
      <w:lvlText w:val="%6."/>
      <w:lvlJc w:val="left"/>
      <w:pPr>
        <w:ind w:left="1020" w:hanging="360"/>
      </w:pPr>
    </w:lvl>
    <w:lvl w:ilvl="6" w:tplc="36D2A01C">
      <w:start w:val="1"/>
      <w:numFmt w:val="decimal"/>
      <w:lvlText w:val="%7."/>
      <w:lvlJc w:val="left"/>
      <w:pPr>
        <w:ind w:left="1020" w:hanging="360"/>
      </w:pPr>
    </w:lvl>
    <w:lvl w:ilvl="7" w:tplc="E1785F1E">
      <w:start w:val="1"/>
      <w:numFmt w:val="decimal"/>
      <w:lvlText w:val="%8."/>
      <w:lvlJc w:val="left"/>
      <w:pPr>
        <w:ind w:left="1020" w:hanging="360"/>
      </w:pPr>
    </w:lvl>
    <w:lvl w:ilvl="8" w:tplc="8FDC690A">
      <w:start w:val="1"/>
      <w:numFmt w:val="decimal"/>
      <w:lvlText w:val="%9."/>
      <w:lvlJc w:val="left"/>
      <w:pPr>
        <w:ind w:left="1020" w:hanging="360"/>
      </w:pPr>
    </w:lvl>
  </w:abstractNum>
  <w:abstractNum w:abstractNumId="9" w15:restartNumberingAfterBreak="0">
    <w:nsid w:val="365E6F98"/>
    <w:multiLevelType w:val="hybridMultilevel"/>
    <w:tmpl w:val="B880971C"/>
    <w:lvl w:ilvl="0" w:tplc="B5F86478">
      <w:start w:val="1"/>
      <w:numFmt w:val="decimal"/>
      <w:lvlText w:val="%1."/>
      <w:lvlJc w:val="left"/>
      <w:pPr>
        <w:ind w:left="1020" w:hanging="360"/>
      </w:pPr>
    </w:lvl>
    <w:lvl w:ilvl="1" w:tplc="C9C089E0">
      <w:start w:val="1"/>
      <w:numFmt w:val="decimal"/>
      <w:lvlText w:val="%2."/>
      <w:lvlJc w:val="left"/>
      <w:pPr>
        <w:ind w:left="1020" w:hanging="360"/>
      </w:pPr>
    </w:lvl>
    <w:lvl w:ilvl="2" w:tplc="ED265D72">
      <w:start w:val="1"/>
      <w:numFmt w:val="decimal"/>
      <w:lvlText w:val="%3."/>
      <w:lvlJc w:val="left"/>
      <w:pPr>
        <w:ind w:left="1020" w:hanging="360"/>
      </w:pPr>
    </w:lvl>
    <w:lvl w:ilvl="3" w:tplc="4974575E">
      <w:start w:val="1"/>
      <w:numFmt w:val="decimal"/>
      <w:lvlText w:val="%4."/>
      <w:lvlJc w:val="left"/>
      <w:pPr>
        <w:ind w:left="1020" w:hanging="360"/>
      </w:pPr>
    </w:lvl>
    <w:lvl w:ilvl="4" w:tplc="4426E812">
      <w:start w:val="1"/>
      <w:numFmt w:val="decimal"/>
      <w:lvlText w:val="%5."/>
      <w:lvlJc w:val="left"/>
      <w:pPr>
        <w:ind w:left="1020" w:hanging="360"/>
      </w:pPr>
    </w:lvl>
    <w:lvl w:ilvl="5" w:tplc="8432D894">
      <w:start w:val="1"/>
      <w:numFmt w:val="decimal"/>
      <w:lvlText w:val="%6."/>
      <w:lvlJc w:val="left"/>
      <w:pPr>
        <w:ind w:left="1020" w:hanging="360"/>
      </w:pPr>
    </w:lvl>
    <w:lvl w:ilvl="6" w:tplc="629A4600">
      <w:start w:val="1"/>
      <w:numFmt w:val="decimal"/>
      <w:lvlText w:val="%7."/>
      <w:lvlJc w:val="left"/>
      <w:pPr>
        <w:ind w:left="1020" w:hanging="360"/>
      </w:pPr>
    </w:lvl>
    <w:lvl w:ilvl="7" w:tplc="DF185890">
      <w:start w:val="1"/>
      <w:numFmt w:val="decimal"/>
      <w:lvlText w:val="%8."/>
      <w:lvlJc w:val="left"/>
      <w:pPr>
        <w:ind w:left="1020" w:hanging="360"/>
      </w:pPr>
    </w:lvl>
    <w:lvl w:ilvl="8" w:tplc="1FB4C0FE">
      <w:start w:val="1"/>
      <w:numFmt w:val="decimal"/>
      <w:lvlText w:val="%9."/>
      <w:lvlJc w:val="left"/>
      <w:pPr>
        <w:ind w:left="1020" w:hanging="360"/>
      </w:pPr>
    </w:lvl>
  </w:abstractNum>
  <w:abstractNum w:abstractNumId="10" w15:restartNumberingAfterBreak="0">
    <w:nsid w:val="3BD05563"/>
    <w:multiLevelType w:val="hybridMultilevel"/>
    <w:tmpl w:val="0A84B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630412"/>
    <w:multiLevelType w:val="hybridMultilevel"/>
    <w:tmpl w:val="A442E1CE"/>
    <w:lvl w:ilvl="0" w:tplc="2EC46E90">
      <w:start w:val="1"/>
      <w:numFmt w:val="decimal"/>
      <w:lvlText w:val="%1."/>
      <w:lvlJc w:val="left"/>
      <w:pPr>
        <w:ind w:left="1020" w:hanging="360"/>
      </w:pPr>
    </w:lvl>
    <w:lvl w:ilvl="1" w:tplc="06DEB144">
      <w:start w:val="1"/>
      <w:numFmt w:val="decimal"/>
      <w:lvlText w:val="%2."/>
      <w:lvlJc w:val="left"/>
      <w:pPr>
        <w:ind w:left="1020" w:hanging="360"/>
      </w:pPr>
    </w:lvl>
    <w:lvl w:ilvl="2" w:tplc="287218DE">
      <w:start w:val="1"/>
      <w:numFmt w:val="decimal"/>
      <w:lvlText w:val="%3."/>
      <w:lvlJc w:val="left"/>
      <w:pPr>
        <w:ind w:left="1020" w:hanging="360"/>
      </w:pPr>
    </w:lvl>
    <w:lvl w:ilvl="3" w:tplc="717AB4F2">
      <w:start w:val="1"/>
      <w:numFmt w:val="decimal"/>
      <w:lvlText w:val="%4."/>
      <w:lvlJc w:val="left"/>
      <w:pPr>
        <w:ind w:left="1020" w:hanging="360"/>
      </w:pPr>
    </w:lvl>
    <w:lvl w:ilvl="4" w:tplc="40C6468E">
      <w:start w:val="1"/>
      <w:numFmt w:val="decimal"/>
      <w:lvlText w:val="%5."/>
      <w:lvlJc w:val="left"/>
      <w:pPr>
        <w:ind w:left="1020" w:hanging="360"/>
      </w:pPr>
    </w:lvl>
    <w:lvl w:ilvl="5" w:tplc="2D9E6AA6">
      <w:start w:val="1"/>
      <w:numFmt w:val="decimal"/>
      <w:lvlText w:val="%6."/>
      <w:lvlJc w:val="left"/>
      <w:pPr>
        <w:ind w:left="1020" w:hanging="360"/>
      </w:pPr>
    </w:lvl>
    <w:lvl w:ilvl="6" w:tplc="E70C6B3A">
      <w:start w:val="1"/>
      <w:numFmt w:val="decimal"/>
      <w:lvlText w:val="%7."/>
      <w:lvlJc w:val="left"/>
      <w:pPr>
        <w:ind w:left="1020" w:hanging="360"/>
      </w:pPr>
    </w:lvl>
    <w:lvl w:ilvl="7" w:tplc="02C45CEA">
      <w:start w:val="1"/>
      <w:numFmt w:val="decimal"/>
      <w:lvlText w:val="%8."/>
      <w:lvlJc w:val="left"/>
      <w:pPr>
        <w:ind w:left="1020" w:hanging="360"/>
      </w:pPr>
    </w:lvl>
    <w:lvl w:ilvl="8" w:tplc="FED25C04">
      <w:start w:val="1"/>
      <w:numFmt w:val="decimal"/>
      <w:lvlText w:val="%9."/>
      <w:lvlJc w:val="left"/>
      <w:pPr>
        <w:ind w:left="1020" w:hanging="360"/>
      </w:pPr>
    </w:lvl>
  </w:abstractNum>
  <w:abstractNum w:abstractNumId="12" w15:restartNumberingAfterBreak="0">
    <w:nsid w:val="4D5E5169"/>
    <w:multiLevelType w:val="hybridMultilevel"/>
    <w:tmpl w:val="97A8B502"/>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52BD5C9A"/>
    <w:multiLevelType w:val="hybridMultilevel"/>
    <w:tmpl w:val="ABF8F4E0"/>
    <w:lvl w:ilvl="0" w:tplc="EEACEEC8">
      <w:start w:val="1"/>
      <w:numFmt w:val="decimal"/>
      <w:lvlText w:val="%1."/>
      <w:lvlJc w:val="left"/>
      <w:pPr>
        <w:ind w:left="1020" w:hanging="360"/>
      </w:pPr>
    </w:lvl>
    <w:lvl w:ilvl="1" w:tplc="38D0D732">
      <w:start w:val="1"/>
      <w:numFmt w:val="decimal"/>
      <w:lvlText w:val="%2."/>
      <w:lvlJc w:val="left"/>
      <w:pPr>
        <w:ind w:left="1020" w:hanging="360"/>
      </w:pPr>
    </w:lvl>
    <w:lvl w:ilvl="2" w:tplc="37B8D72E">
      <w:start w:val="1"/>
      <w:numFmt w:val="decimal"/>
      <w:lvlText w:val="%3."/>
      <w:lvlJc w:val="left"/>
      <w:pPr>
        <w:ind w:left="1020" w:hanging="360"/>
      </w:pPr>
    </w:lvl>
    <w:lvl w:ilvl="3" w:tplc="A8B4B45E">
      <w:start w:val="1"/>
      <w:numFmt w:val="decimal"/>
      <w:lvlText w:val="%4."/>
      <w:lvlJc w:val="left"/>
      <w:pPr>
        <w:ind w:left="1020" w:hanging="360"/>
      </w:pPr>
    </w:lvl>
    <w:lvl w:ilvl="4" w:tplc="F886BD22">
      <w:start w:val="1"/>
      <w:numFmt w:val="decimal"/>
      <w:lvlText w:val="%5."/>
      <w:lvlJc w:val="left"/>
      <w:pPr>
        <w:ind w:left="1020" w:hanging="360"/>
      </w:pPr>
    </w:lvl>
    <w:lvl w:ilvl="5" w:tplc="6C42AA70">
      <w:start w:val="1"/>
      <w:numFmt w:val="decimal"/>
      <w:lvlText w:val="%6."/>
      <w:lvlJc w:val="left"/>
      <w:pPr>
        <w:ind w:left="1020" w:hanging="360"/>
      </w:pPr>
    </w:lvl>
    <w:lvl w:ilvl="6" w:tplc="15E0A408">
      <w:start w:val="1"/>
      <w:numFmt w:val="decimal"/>
      <w:lvlText w:val="%7."/>
      <w:lvlJc w:val="left"/>
      <w:pPr>
        <w:ind w:left="1020" w:hanging="360"/>
      </w:pPr>
    </w:lvl>
    <w:lvl w:ilvl="7" w:tplc="46825E64">
      <w:start w:val="1"/>
      <w:numFmt w:val="decimal"/>
      <w:lvlText w:val="%8."/>
      <w:lvlJc w:val="left"/>
      <w:pPr>
        <w:ind w:left="1020" w:hanging="360"/>
      </w:pPr>
    </w:lvl>
    <w:lvl w:ilvl="8" w:tplc="BAA4ABCA">
      <w:start w:val="1"/>
      <w:numFmt w:val="decimal"/>
      <w:lvlText w:val="%9."/>
      <w:lvlJc w:val="left"/>
      <w:pPr>
        <w:ind w:left="1020" w:hanging="360"/>
      </w:pPr>
    </w:lvl>
  </w:abstractNum>
  <w:abstractNum w:abstractNumId="14" w15:restartNumberingAfterBreak="0">
    <w:nsid w:val="56B7725E"/>
    <w:multiLevelType w:val="hybridMultilevel"/>
    <w:tmpl w:val="B630F014"/>
    <w:lvl w:ilvl="0" w:tplc="F4225296">
      <w:start w:val="1"/>
      <w:numFmt w:val="decimal"/>
      <w:lvlText w:val="%1."/>
      <w:lvlJc w:val="left"/>
      <w:pPr>
        <w:ind w:left="1020" w:hanging="360"/>
      </w:pPr>
    </w:lvl>
    <w:lvl w:ilvl="1" w:tplc="9FF05BBE">
      <w:start w:val="1"/>
      <w:numFmt w:val="decimal"/>
      <w:lvlText w:val="%2."/>
      <w:lvlJc w:val="left"/>
      <w:pPr>
        <w:ind w:left="1020" w:hanging="360"/>
      </w:pPr>
    </w:lvl>
    <w:lvl w:ilvl="2" w:tplc="DFB849F2">
      <w:start w:val="1"/>
      <w:numFmt w:val="decimal"/>
      <w:lvlText w:val="%3."/>
      <w:lvlJc w:val="left"/>
      <w:pPr>
        <w:ind w:left="1020" w:hanging="360"/>
      </w:pPr>
    </w:lvl>
    <w:lvl w:ilvl="3" w:tplc="5ECC1318">
      <w:start w:val="1"/>
      <w:numFmt w:val="decimal"/>
      <w:lvlText w:val="%4."/>
      <w:lvlJc w:val="left"/>
      <w:pPr>
        <w:ind w:left="1020" w:hanging="360"/>
      </w:pPr>
    </w:lvl>
    <w:lvl w:ilvl="4" w:tplc="BBFEB5E0">
      <w:start w:val="1"/>
      <w:numFmt w:val="decimal"/>
      <w:lvlText w:val="%5."/>
      <w:lvlJc w:val="left"/>
      <w:pPr>
        <w:ind w:left="1020" w:hanging="360"/>
      </w:pPr>
    </w:lvl>
    <w:lvl w:ilvl="5" w:tplc="D0445302">
      <w:start w:val="1"/>
      <w:numFmt w:val="decimal"/>
      <w:lvlText w:val="%6."/>
      <w:lvlJc w:val="left"/>
      <w:pPr>
        <w:ind w:left="1020" w:hanging="360"/>
      </w:pPr>
    </w:lvl>
    <w:lvl w:ilvl="6" w:tplc="EC643E80">
      <w:start w:val="1"/>
      <w:numFmt w:val="decimal"/>
      <w:lvlText w:val="%7."/>
      <w:lvlJc w:val="left"/>
      <w:pPr>
        <w:ind w:left="1020" w:hanging="360"/>
      </w:pPr>
    </w:lvl>
    <w:lvl w:ilvl="7" w:tplc="1736E2E2">
      <w:start w:val="1"/>
      <w:numFmt w:val="decimal"/>
      <w:lvlText w:val="%8."/>
      <w:lvlJc w:val="left"/>
      <w:pPr>
        <w:ind w:left="1020" w:hanging="360"/>
      </w:pPr>
    </w:lvl>
    <w:lvl w:ilvl="8" w:tplc="BDBEA2D2">
      <w:start w:val="1"/>
      <w:numFmt w:val="decimal"/>
      <w:lvlText w:val="%9."/>
      <w:lvlJc w:val="left"/>
      <w:pPr>
        <w:ind w:left="1020" w:hanging="360"/>
      </w:pPr>
    </w:lvl>
  </w:abstractNum>
  <w:abstractNum w:abstractNumId="15" w15:restartNumberingAfterBreak="0">
    <w:nsid w:val="593D3481"/>
    <w:multiLevelType w:val="hybridMultilevel"/>
    <w:tmpl w:val="52ECC124"/>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59BF402A"/>
    <w:multiLevelType w:val="multilevel"/>
    <w:tmpl w:val="2AD6DC6A"/>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5CE74AC8"/>
    <w:multiLevelType w:val="hybridMultilevel"/>
    <w:tmpl w:val="64BAACB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646244AB"/>
    <w:multiLevelType w:val="hybridMultilevel"/>
    <w:tmpl w:val="510211B8"/>
    <w:lvl w:ilvl="0" w:tplc="2920310C">
      <w:start w:val="1"/>
      <w:numFmt w:val="decimal"/>
      <w:lvlText w:val="%1."/>
      <w:lvlJc w:val="left"/>
      <w:pPr>
        <w:ind w:left="720" w:hanging="360"/>
      </w:pPr>
    </w:lvl>
    <w:lvl w:ilvl="1" w:tplc="18024B20">
      <w:start w:val="1"/>
      <w:numFmt w:val="decimal"/>
      <w:lvlText w:val="%2."/>
      <w:lvlJc w:val="left"/>
      <w:pPr>
        <w:ind w:left="720" w:hanging="360"/>
      </w:pPr>
    </w:lvl>
    <w:lvl w:ilvl="2" w:tplc="5FB2A81E">
      <w:start w:val="1"/>
      <w:numFmt w:val="decimal"/>
      <w:lvlText w:val="%3."/>
      <w:lvlJc w:val="left"/>
      <w:pPr>
        <w:ind w:left="720" w:hanging="360"/>
      </w:pPr>
    </w:lvl>
    <w:lvl w:ilvl="3" w:tplc="F86E3EE0">
      <w:start w:val="1"/>
      <w:numFmt w:val="decimal"/>
      <w:lvlText w:val="%4."/>
      <w:lvlJc w:val="left"/>
      <w:pPr>
        <w:ind w:left="720" w:hanging="360"/>
      </w:pPr>
    </w:lvl>
    <w:lvl w:ilvl="4" w:tplc="7AA23996">
      <w:start w:val="1"/>
      <w:numFmt w:val="decimal"/>
      <w:lvlText w:val="%5."/>
      <w:lvlJc w:val="left"/>
      <w:pPr>
        <w:ind w:left="720" w:hanging="360"/>
      </w:pPr>
    </w:lvl>
    <w:lvl w:ilvl="5" w:tplc="AF52839A">
      <w:start w:val="1"/>
      <w:numFmt w:val="decimal"/>
      <w:lvlText w:val="%6."/>
      <w:lvlJc w:val="left"/>
      <w:pPr>
        <w:ind w:left="720" w:hanging="360"/>
      </w:pPr>
    </w:lvl>
    <w:lvl w:ilvl="6" w:tplc="0FCED4C4">
      <w:start w:val="1"/>
      <w:numFmt w:val="decimal"/>
      <w:lvlText w:val="%7."/>
      <w:lvlJc w:val="left"/>
      <w:pPr>
        <w:ind w:left="720" w:hanging="360"/>
      </w:pPr>
    </w:lvl>
    <w:lvl w:ilvl="7" w:tplc="FD3A20E2">
      <w:start w:val="1"/>
      <w:numFmt w:val="decimal"/>
      <w:lvlText w:val="%8."/>
      <w:lvlJc w:val="left"/>
      <w:pPr>
        <w:ind w:left="720" w:hanging="360"/>
      </w:pPr>
    </w:lvl>
    <w:lvl w:ilvl="8" w:tplc="DFB49282">
      <w:start w:val="1"/>
      <w:numFmt w:val="decimal"/>
      <w:lvlText w:val="%9."/>
      <w:lvlJc w:val="left"/>
      <w:pPr>
        <w:ind w:left="720" w:hanging="360"/>
      </w:pPr>
    </w:lvl>
  </w:abstractNum>
  <w:abstractNum w:abstractNumId="19" w15:restartNumberingAfterBreak="0">
    <w:nsid w:val="6D3145EC"/>
    <w:multiLevelType w:val="multilevel"/>
    <w:tmpl w:val="3EE8A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A51181"/>
    <w:multiLevelType w:val="hybridMultilevel"/>
    <w:tmpl w:val="03E4A850"/>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72102781"/>
    <w:multiLevelType w:val="hybridMultilevel"/>
    <w:tmpl w:val="77BAB2D0"/>
    <w:lvl w:ilvl="0" w:tplc="890E847E">
      <w:start w:val="1"/>
      <w:numFmt w:val="decimal"/>
      <w:lvlText w:val="%1."/>
      <w:lvlJc w:val="left"/>
      <w:pPr>
        <w:ind w:left="1020" w:hanging="360"/>
      </w:pPr>
    </w:lvl>
    <w:lvl w:ilvl="1" w:tplc="3ACC13B8">
      <w:start w:val="1"/>
      <w:numFmt w:val="decimal"/>
      <w:lvlText w:val="%2."/>
      <w:lvlJc w:val="left"/>
      <w:pPr>
        <w:ind w:left="1020" w:hanging="360"/>
      </w:pPr>
    </w:lvl>
    <w:lvl w:ilvl="2" w:tplc="D5A21E48">
      <w:start w:val="1"/>
      <w:numFmt w:val="decimal"/>
      <w:lvlText w:val="%3."/>
      <w:lvlJc w:val="left"/>
      <w:pPr>
        <w:ind w:left="1020" w:hanging="360"/>
      </w:pPr>
    </w:lvl>
    <w:lvl w:ilvl="3" w:tplc="F6B2A264">
      <w:start w:val="1"/>
      <w:numFmt w:val="decimal"/>
      <w:lvlText w:val="%4."/>
      <w:lvlJc w:val="left"/>
      <w:pPr>
        <w:ind w:left="1020" w:hanging="360"/>
      </w:pPr>
    </w:lvl>
    <w:lvl w:ilvl="4" w:tplc="533456B2">
      <w:start w:val="1"/>
      <w:numFmt w:val="decimal"/>
      <w:lvlText w:val="%5."/>
      <w:lvlJc w:val="left"/>
      <w:pPr>
        <w:ind w:left="1020" w:hanging="360"/>
      </w:pPr>
    </w:lvl>
    <w:lvl w:ilvl="5" w:tplc="823EE46E">
      <w:start w:val="1"/>
      <w:numFmt w:val="decimal"/>
      <w:lvlText w:val="%6."/>
      <w:lvlJc w:val="left"/>
      <w:pPr>
        <w:ind w:left="1020" w:hanging="360"/>
      </w:pPr>
    </w:lvl>
    <w:lvl w:ilvl="6" w:tplc="06DA4BE0">
      <w:start w:val="1"/>
      <w:numFmt w:val="decimal"/>
      <w:lvlText w:val="%7."/>
      <w:lvlJc w:val="left"/>
      <w:pPr>
        <w:ind w:left="1020" w:hanging="360"/>
      </w:pPr>
    </w:lvl>
    <w:lvl w:ilvl="7" w:tplc="63E23C9A">
      <w:start w:val="1"/>
      <w:numFmt w:val="decimal"/>
      <w:lvlText w:val="%8."/>
      <w:lvlJc w:val="left"/>
      <w:pPr>
        <w:ind w:left="1020" w:hanging="360"/>
      </w:pPr>
    </w:lvl>
    <w:lvl w:ilvl="8" w:tplc="461E3B04">
      <w:start w:val="1"/>
      <w:numFmt w:val="decimal"/>
      <w:lvlText w:val="%9."/>
      <w:lvlJc w:val="left"/>
      <w:pPr>
        <w:ind w:left="1020" w:hanging="360"/>
      </w:pPr>
    </w:lvl>
  </w:abstractNum>
  <w:abstractNum w:abstractNumId="22" w15:restartNumberingAfterBreak="0">
    <w:nsid w:val="73E6191F"/>
    <w:multiLevelType w:val="hybridMultilevel"/>
    <w:tmpl w:val="270A339E"/>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9"/>
  </w:num>
  <w:num w:numId="4">
    <w:abstractNumId w:val="22"/>
  </w:num>
  <w:num w:numId="5">
    <w:abstractNumId w:val="17"/>
  </w:num>
  <w:num w:numId="6">
    <w:abstractNumId w:val="3"/>
  </w:num>
  <w:num w:numId="7">
    <w:abstractNumId w:val="1"/>
  </w:num>
  <w:num w:numId="8">
    <w:abstractNumId w:val="13"/>
  </w:num>
  <w:num w:numId="9">
    <w:abstractNumId w:val="6"/>
  </w:num>
  <w:num w:numId="10">
    <w:abstractNumId w:val="0"/>
  </w:num>
  <w:num w:numId="11">
    <w:abstractNumId w:val="14"/>
  </w:num>
  <w:num w:numId="12">
    <w:abstractNumId w:val="18"/>
  </w:num>
  <w:num w:numId="13">
    <w:abstractNumId w:val="11"/>
  </w:num>
  <w:num w:numId="14">
    <w:abstractNumId w:val="5"/>
  </w:num>
  <w:num w:numId="15">
    <w:abstractNumId w:val="4"/>
  </w:num>
  <w:num w:numId="16">
    <w:abstractNumId w:val="2"/>
  </w:num>
  <w:num w:numId="17">
    <w:abstractNumId w:val="8"/>
  </w:num>
  <w:num w:numId="18">
    <w:abstractNumId w:val="7"/>
  </w:num>
  <w:num w:numId="19">
    <w:abstractNumId w:val="9"/>
  </w:num>
  <w:num w:numId="20">
    <w:abstractNumId w:val="21"/>
  </w:num>
  <w:num w:numId="21">
    <w:abstractNumId w:val="15"/>
  </w:num>
  <w:num w:numId="22">
    <w:abstractNumId w:val="1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C2F7EEE-12D1-4BD2-B8F6-3BE598E99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Pr>
      <w:rFonts w:eastAsiaTheme="majorEastAsia" w:cstheme="majorBidi"/>
      <w:color w:val="272727" w:themeColor="text1" w:themeTint="D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odyText">
    <w:name w:val="Body Text"/>
    <w:basedOn w:val="Normal"/>
    <w:link w:val="BodyTextChar"/>
    <w:uiPriority w:val="1"/>
    <w:qFormat/>
    <w:pPr>
      <w:widowControl w:val="0"/>
      <w:autoSpaceDE w:val="0"/>
      <w:autoSpaceDN w:val="0"/>
      <w:spacing w:after="0" w:line="240" w:lineRule="auto"/>
    </w:pPr>
    <w:rPr>
      <w:rFonts w:ascii="Arial MT" w:eastAsia="Arial MT" w:hAnsi="Arial MT" w:cs="Arial MT"/>
      <w:kern w:val="0"/>
      <w14:ligatures w14:val="none"/>
    </w:rPr>
  </w:style>
  <w:style w:type="character" w:customStyle="1" w:styleId="BodyTextChar">
    <w:name w:val="Body Text Char"/>
    <w:basedOn w:val="DefaultParagraphFont"/>
    <w:link w:val="BodyText"/>
    <w:uiPriority w:val="1"/>
    <w:rPr>
      <w:rFonts w:ascii="Arial MT" w:eastAsia="Arial MT" w:hAnsi="Arial MT" w:cs="Arial MT"/>
      <w:kern w:val="0"/>
      <w14:ligatures w14:val="none"/>
    </w:rPr>
  </w:style>
  <w:style w:type="paragraph" w:styleId="NoSpacing">
    <w:name w:val="No Spacing"/>
    <w:link w:val="NoSpacingChar"/>
    <w:uiPriority w:val="1"/>
    <w:qFormat/>
    <w:pPr>
      <w:spacing w:after="0" w:line="240" w:lineRule="auto"/>
    </w:pPr>
  </w:style>
  <w:style w:type="character" w:styleId="Strong">
    <w:name w:val="Strong"/>
    <w:basedOn w:val="DefaultParagraphFont"/>
    <w:uiPriority w:val="22"/>
    <w:qFormat/>
    <w:rPr>
      <w:b/>
      <w:bCs/>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pPr>
      <w:spacing w:before="240" w:after="0" w:line="480" w:lineRule="auto"/>
      <w:ind w:firstLine="680"/>
      <w:jc w:val="both"/>
    </w:pPr>
    <w:rPr>
      <w:rFonts w:ascii="Arial Narrow" w:eastAsia="Times New Roman" w:hAnsi="Arial Narrow" w:cs="Times New Roman"/>
      <w:b/>
      <w:bCs/>
      <w:kern w:val="0"/>
      <w:sz w:val="20"/>
      <w:szCs w:val="20"/>
      <w14:ligatures w14:val="none"/>
    </w:rPr>
  </w:style>
  <w:style w:type="character" w:customStyle="1" w:styleId="citation-41">
    <w:name w:val="citation-41"/>
    <w:basedOn w:val="DefaultParagraphFont"/>
  </w:style>
  <w:style w:type="character" w:customStyle="1" w:styleId="citation-40">
    <w:name w:val="citation-40"/>
    <w:basedOn w:val="DefaultParagraphFont"/>
  </w:style>
  <w:style w:type="character" w:customStyle="1" w:styleId="citation-39">
    <w:name w:val="citation-39"/>
    <w:basedOn w:val="DefaultParagraphFont"/>
  </w:style>
  <w:style w:type="character" w:customStyle="1" w:styleId="citation-38">
    <w:name w:val="citation-38"/>
    <w:basedOn w:val="DefaultParagraphFont"/>
  </w:style>
  <w:style w:type="character" w:customStyle="1" w:styleId="citation-37">
    <w:name w:val="citation-37"/>
    <w:basedOn w:val="DefaultParagraphFont"/>
  </w:style>
  <w:style w:type="character" w:customStyle="1" w:styleId="citation-36">
    <w:name w:val="citation-36"/>
    <w:basedOn w:val="DefaultParagraphFont"/>
  </w:style>
  <w:style w:type="character" w:customStyle="1" w:styleId="citation-35">
    <w:name w:val="citation-35"/>
    <w:basedOn w:val="DefaultParagraphFont"/>
  </w:style>
  <w:style w:type="character" w:customStyle="1" w:styleId="citation-34">
    <w:name w:val="citation-34"/>
    <w:basedOn w:val="DefaultParagraphFont"/>
  </w:style>
  <w:style w:type="character" w:customStyle="1" w:styleId="citation-33">
    <w:name w:val="citation-33"/>
    <w:basedOn w:val="DefaultParagraphFont"/>
  </w:style>
  <w:style w:type="paragraph" w:customStyle="1" w:styleId="DecimalAligned">
    <w:name w:val="Decimal Aligned"/>
    <w:basedOn w:val="Normal"/>
    <w:uiPriority w:val="40"/>
    <w:qFormat/>
    <w:pPr>
      <w:tabs>
        <w:tab w:val="decimal" w:pos="360"/>
      </w:tabs>
      <w:spacing w:after="200" w:line="276" w:lineRule="auto"/>
    </w:pPr>
    <w:rPr>
      <w:rFonts w:eastAsiaTheme="minorEastAsia" w:cs="Times New Roman"/>
      <w:kern w:val="0"/>
      <w:sz w:val="22"/>
      <w:szCs w:val="22"/>
      <w14:ligatures w14:val="none"/>
    </w:rPr>
  </w:style>
  <w:style w:type="paragraph" w:styleId="FootnoteText">
    <w:name w:val="footnote text"/>
    <w:basedOn w:val="Normal"/>
    <w:link w:val="FootnoteTextChar"/>
    <w:uiPriority w:val="99"/>
    <w:unhideWhenUsed/>
    <w:pPr>
      <w:spacing w:after="0" w:line="240" w:lineRule="auto"/>
    </w:pPr>
    <w:rPr>
      <w:rFonts w:eastAsiaTheme="minorEastAsia" w:cs="Times New Roman"/>
      <w:kern w:val="0"/>
      <w:sz w:val="20"/>
      <w:szCs w:val="20"/>
      <w14:ligatures w14:val="none"/>
    </w:rPr>
  </w:style>
  <w:style w:type="character" w:customStyle="1" w:styleId="FootnoteTextChar">
    <w:name w:val="Footnote Text Char"/>
    <w:basedOn w:val="DefaultParagraphFont"/>
    <w:link w:val="FootnoteText"/>
    <w:uiPriority w:val="99"/>
    <w:rPr>
      <w:rFonts w:eastAsiaTheme="minorEastAsia" w:cs="Times New Roman"/>
      <w:kern w:val="0"/>
      <w:sz w:val="20"/>
      <w:szCs w:val="20"/>
      <w14:ligatures w14:val="none"/>
    </w:rPr>
  </w:style>
  <w:style w:type="character" w:styleId="SubtleEmphasis">
    <w:name w:val="Subtle Emphasis"/>
    <w:basedOn w:val="DefaultParagraphFont"/>
    <w:uiPriority w:val="19"/>
    <w:qFormat/>
    <w:rPr>
      <w:i/>
      <w:iCs/>
    </w:rPr>
  </w:style>
  <w:style w:type="table" w:styleId="LightShading-Accent1">
    <w:name w:val="Light Shading Accent 1"/>
    <w:basedOn w:val="TableNormal"/>
    <w:uiPriority w:val="60"/>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4" w:space="0" w:color="auto"/>
        <w:bottom w:val="single" w:sz="4" w:space="0" w:color="auto"/>
      </w:tblBorders>
    </w:tblPr>
    <w:tcPr>
      <w:shd w:val="clear" w:color="auto" w:fill="auto"/>
    </w:tc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character" w:styleId="Emphasis">
    <w:name w:val="Emphasis"/>
    <w:basedOn w:val="DefaultParagraphFont"/>
    <w:uiPriority w:val="20"/>
    <w:qFormat/>
    <w:rPr>
      <w:i/>
      <w:iCs/>
    </w:rPr>
  </w:style>
  <w:style w:type="character" w:customStyle="1" w:styleId="url">
    <w:name w:val="url"/>
    <w:basedOn w:val="DefaultParagraphFont"/>
  </w:style>
  <w:style w:type="character" w:styleId="Hyperlink">
    <w:name w:val="Hyperlink"/>
    <w:basedOn w:val="DefaultParagraphFont"/>
    <w:uiPriority w:val="99"/>
    <w:unhideWhenUsed/>
    <w:rPr>
      <w:color w:val="0000FF"/>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NoSpacingChar">
    <w:name w:val="No Spacing Char"/>
    <w:basedOn w:val="DefaultParagraphFont"/>
    <w:link w:val="NoSpacing"/>
    <w:uiPriority w:val="1"/>
  </w:style>
  <w:style w:type="character" w:customStyle="1" w:styleId="relative">
    <w:name w:val="relative"/>
    <w:basedOn w:val="DefaultParagraphFont"/>
  </w:style>
  <w:style w:type="paragraph" w:customStyle="1" w:styleId="not-prose">
    <w:name w:val="not-prose"/>
    <w:basedOn w:val="Normal"/>
    <w:pPr>
      <w:spacing w:before="100" w:beforeAutospacing="1" w:after="100" w:afterAutospacing="1" w:line="240" w:lineRule="auto"/>
    </w:pPr>
    <w:rPr>
      <w:rFonts w:ascii="Times New Roman" w:eastAsia="Times New Roman" w:hAnsi="Times New Roman" w:cs="Times New Roman"/>
      <w:kern w:val="0"/>
      <w:lang w:val="en-PH" w:eastAsia="en-PH"/>
      <w14:ligatures w14:val="none"/>
    </w:rPr>
  </w:style>
  <w:style w:type="paragraph" w:styleId="Revision">
    <w:name w:val="Revision"/>
    <w:hidden/>
    <w:uiPriority w:val="99"/>
    <w:semiHidden/>
    <w:pPr>
      <w:spacing w:after="0" w:line="240" w:lineRule="auto"/>
    </w:pPr>
  </w:style>
  <w:style w:type="table" w:styleId="ListTable7Colorful">
    <w:name w:val="List Table 7 Colorful"/>
    <w:basedOn w:val="TableNormal"/>
    <w:uiPriority w:val="5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6Colorful">
    <w:name w:val="List Table 6 Colorful"/>
    <w:basedOn w:val="TableNormal"/>
    <w:uiPriority w:val="5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9559">
      <w:bodyDiv w:val="1"/>
      <w:marLeft w:val="0"/>
      <w:marRight w:val="0"/>
      <w:marTop w:val="0"/>
      <w:marBottom w:val="0"/>
      <w:divBdr>
        <w:top w:val="none" w:sz="0" w:space="0" w:color="auto"/>
        <w:left w:val="none" w:sz="0" w:space="0" w:color="auto"/>
        <w:bottom w:val="none" w:sz="0" w:space="0" w:color="auto"/>
        <w:right w:val="none" w:sz="0" w:space="0" w:color="auto"/>
      </w:divBdr>
      <w:divsChild>
        <w:div w:id="157921">
          <w:blockQuote w:val="1"/>
          <w:marLeft w:val="720"/>
          <w:marRight w:val="720"/>
          <w:marTop w:val="100"/>
          <w:marBottom w:val="100"/>
          <w:divBdr>
            <w:top w:val="none" w:sz="0" w:space="0" w:color="auto"/>
            <w:left w:val="none" w:sz="0" w:space="0" w:color="auto"/>
            <w:bottom w:val="none" w:sz="0" w:space="0" w:color="auto"/>
            <w:right w:val="none" w:sz="0" w:space="0" w:color="auto"/>
          </w:divBdr>
        </w:div>
        <w:div w:id="5790981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23748">
      <w:bodyDiv w:val="1"/>
      <w:marLeft w:val="0"/>
      <w:marRight w:val="0"/>
      <w:marTop w:val="0"/>
      <w:marBottom w:val="0"/>
      <w:divBdr>
        <w:top w:val="none" w:sz="0" w:space="0" w:color="auto"/>
        <w:left w:val="none" w:sz="0" w:space="0" w:color="auto"/>
        <w:bottom w:val="none" w:sz="0" w:space="0" w:color="auto"/>
        <w:right w:val="none" w:sz="0" w:space="0" w:color="auto"/>
      </w:divBdr>
      <w:divsChild>
        <w:div w:id="1002506674">
          <w:marLeft w:val="0"/>
          <w:marRight w:val="0"/>
          <w:marTop w:val="0"/>
          <w:marBottom w:val="0"/>
          <w:divBdr>
            <w:top w:val="none" w:sz="0" w:space="0" w:color="auto"/>
            <w:left w:val="none" w:sz="0" w:space="0" w:color="auto"/>
            <w:bottom w:val="none" w:sz="0" w:space="0" w:color="auto"/>
            <w:right w:val="none" w:sz="0" w:space="0" w:color="auto"/>
          </w:divBdr>
          <w:divsChild>
            <w:div w:id="1902254630">
              <w:marLeft w:val="0"/>
              <w:marRight w:val="0"/>
              <w:marTop w:val="0"/>
              <w:marBottom w:val="0"/>
              <w:divBdr>
                <w:top w:val="none" w:sz="0" w:space="0" w:color="auto"/>
                <w:left w:val="none" w:sz="0" w:space="0" w:color="auto"/>
                <w:bottom w:val="none" w:sz="0" w:space="0" w:color="auto"/>
                <w:right w:val="none" w:sz="0" w:space="0" w:color="auto"/>
              </w:divBdr>
              <w:divsChild>
                <w:div w:id="361588179">
                  <w:marLeft w:val="0"/>
                  <w:marRight w:val="0"/>
                  <w:marTop w:val="0"/>
                  <w:marBottom w:val="0"/>
                  <w:divBdr>
                    <w:top w:val="none" w:sz="0" w:space="0" w:color="auto"/>
                    <w:left w:val="none" w:sz="0" w:space="0" w:color="auto"/>
                    <w:bottom w:val="none" w:sz="0" w:space="0" w:color="auto"/>
                    <w:right w:val="none" w:sz="0" w:space="0" w:color="auto"/>
                  </w:divBdr>
                  <w:divsChild>
                    <w:div w:id="1971277670">
                      <w:marLeft w:val="0"/>
                      <w:marRight w:val="0"/>
                      <w:marTop w:val="0"/>
                      <w:marBottom w:val="0"/>
                      <w:divBdr>
                        <w:top w:val="none" w:sz="0" w:space="0" w:color="auto"/>
                        <w:left w:val="none" w:sz="0" w:space="0" w:color="auto"/>
                        <w:bottom w:val="none" w:sz="0" w:space="0" w:color="auto"/>
                        <w:right w:val="none" w:sz="0" w:space="0" w:color="auto"/>
                      </w:divBdr>
                      <w:divsChild>
                        <w:div w:id="336419129">
                          <w:marLeft w:val="0"/>
                          <w:marRight w:val="0"/>
                          <w:marTop w:val="0"/>
                          <w:marBottom w:val="0"/>
                          <w:divBdr>
                            <w:top w:val="none" w:sz="0" w:space="0" w:color="auto"/>
                            <w:left w:val="none" w:sz="0" w:space="0" w:color="auto"/>
                            <w:bottom w:val="none" w:sz="0" w:space="0" w:color="auto"/>
                            <w:right w:val="none" w:sz="0" w:space="0" w:color="auto"/>
                          </w:divBdr>
                          <w:divsChild>
                            <w:div w:id="428160251">
                              <w:marLeft w:val="0"/>
                              <w:marRight w:val="0"/>
                              <w:marTop w:val="0"/>
                              <w:marBottom w:val="0"/>
                              <w:divBdr>
                                <w:top w:val="none" w:sz="0" w:space="0" w:color="auto"/>
                                <w:left w:val="none" w:sz="0" w:space="0" w:color="auto"/>
                                <w:bottom w:val="none" w:sz="0" w:space="0" w:color="auto"/>
                                <w:right w:val="none" w:sz="0" w:space="0" w:color="auto"/>
                              </w:divBdr>
                              <w:divsChild>
                                <w:div w:id="12905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9420">
      <w:bodyDiv w:val="1"/>
      <w:marLeft w:val="0"/>
      <w:marRight w:val="0"/>
      <w:marTop w:val="0"/>
      <w:marBottom w:val="0"/>
      <w:divBdr>
        <w:top w:val="none" w:sz="0" w:space="0" w:color="auto"/>
        <w:left w:val="none" w:sz="0" w:space="0" w:color="auto"/>
        <w:bottom w:val="none" w:sz="0" w:space="0" w:color="auto"/>
        <w:right w:val="none" w:sz="0" w:space="0" w:color="auto"/>
      </w:divBdr>
    </w:div>
    <w:div w:id="48849167">
      <w:bodyDiv w:val="1"/>
      <w:marLeft w:val="0"/>
      <w:marRight w:val="0"/>
      <w:marTop w:val="0"/>
      <w:marBottom w:val="0"/>
      <w:divBdr>
        <w:top w:val="none" w:sz="0" w:space="0" w:color="auto"/>
        <w:left w:val="none" w:sz="0" w:space="0" w:color="auto"/>
        <w:bottom w:val="none" w:sz="0" w:space="0" w:color="auto"/>
        <w:right w:val="none" w:sz="0" w:space="0" w:color="auto"/>
      </w:divBdr>
    </w:div>
    <w:div w:id="52779572">
      <w:bodyDiv w:val="1"/>
      <w:marLeft w:val="0"/>
      <w:marRight w:val="0"/>
      <w:marTop w:val="0"/>
      <w:marBottom w:val="0"/>
      <w:divBdr>
        <w:top w:val="none" w:sz="0" w:space="0" w:color="auto"/>
        <w:left w:val="none" w:sz="0" w:space="0" w:color="auto"/>
        <w:bottom w:val="none" w:sz="0" w:space="0" w:color="auto"/>
        <w:right w:val="none" w:sz="0" w:space="0" w:color="auto"/>
      </w:divBdr>
      <w:divsChild>
        <w:div w:id="1800342689">
          <w:marLeft w:val="0"/>
          <w:marRight w:val="0"/>
          <w:marTop w:val="0"/>
          <w:marBottom w:val="0"/>
          <w:divBdr>
            <w:top w:val="none" w:sz="0" w:space="0" w:color="auto"/>
            <w:left w:val="none" w:sz="0" w:space="0" w:color="auto"/>
            <w:bottom w:val="none" w:sz="0" w:space="0" w:color="auto"/>
            <w:right w:val="none" w:sz="0" w:space="0" w:color="auto"/>
          </w:divBdr>
          <w:divsChild>
            <w:div w:id="430861212">
              <w:marLeft w:val="0"/>
              <w:marRight w:val="0"/>
              <w:marTop w:val="0"/>
              <w:marBottom w:val="0"/>
              <w:divBdr>
                <w:top w:val="none" w:sz="0" w:space="0" w:color="auto"/>
                <w:left w:val="none" w:sz="0" w:space="0" w:color="auto"/>
                <w:bottom w:val="none" w:sz="0" w:space="0" w:color="auto"/>
                <w:right w:val="none" w:sz="0" w:space="0" w:color="auto"/>
              </w:divBdr>
              <w:divsChild>
                <w:div w:id="853228756">
                  <w:marLeft w:val="0"/>
                  <w:marRight w:val="0"/>
                  <w:marTop w:val="0"/>
                  <w:marBottom w:val="0"/>
                  <w:divBdr>
                    <w:top w:val="none" w:sz="0" w:space="0" w:color="auto"/>
                    <w:left w:val="none" w:sz="0" w:space="0" w:color="auto"/>
                    <w:bottom w:val="none" w:sz="0" w:space="0" w:color="auto"/>
                    <w:right w:val="none" w:sz="0" w:space="0" w:color="auto"/>
                  </w:divBdr>
                  <w:divsChild>
                    <w:div w:id="1576823179">
                      <w:marLeft w:val="0"/>
                      <w:marRight w:val="0"/>
                      <w:marTop w:val="0"/>
                      <w:marBottom w:val="0"/>
                      <w:divBdr>
                        <w:top w:val="none" w:sz="0" w:space="0" w:color="auto"/>
                        <w:left w:val="none" w:sz="0" w:space="0" w:color="auto"/>
                        <w:bottom w:val="none" w:sz="0" w:space="0" w:color="auto"/>
                        <w:right w:val="none" w:sz="0" w:space="0" w:color="auto"/>
                      </w:divBdr>
                      <w:divsChild>
                        <w:div w:id="1702902500">
                          <w:marLeft w:val="0"/>
                          <w:marRight w:val="0"/>
                          <w:marTop w:val="0"/>
                          <w:marBottom w:val="0"/>
                          <w:divBdr>
                            <w:top w:val="none" w:sz="0" w:space="0" w:color="auto"/>
                            <w:left w:val="none" w:sz="0" w:space="0" w:color="auto"/>
                            <w:bottom w:val="none" w:sz="0" w:space="0" w:color="auto"/>
                            <w:right w:val="none" w:sz="0" w:space="0" w:color="auto"/>
                          </w:divBdr>
                          <w:divsChild>
                            <w:div w:id="10409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78380">
      <w:bodyDiv w:val="1"/>
      <w:marLeft w:val="0"/>
      <w:marRight w:val="0"/>
      <w:marTop w:val="0"/>
      <w:marBottom w:val="0"/>
      <w:divBdr>
        <w:top w:val="none" w:sz="0" w:space="0" w:color="auto"/>
        <w:left w:val="none" w:sz="0" w:space="0" w:color="auto"/>
        <w:bottom w:val="none" w:sz="0" w:space="0" w:color="auto"/>
        <w:right w:val="none" w:sz="0" w:space="0" w:color="auto"/>
      </w:divBdr>
    </w:div>
    <w:div w:id="61874878">
      <w:bodyDiv w:val="1"/>
      <w:marLeft w:val="0"/>
      <w:marRight w:val="0"/>
      <w:marTop w:val="0"/>
      <w:marBottom w:val="0"/>
      <w:divBdr>
        <w:top w:val="none" w:sz="0" w:space="0" w:color="auto"/>
        <w:left w:val="none" w:sz="0" w:space="0" w:color="auto"/>
        <w:bottom w:val="none" w:sz="0" w:space="0" w:color="auto"/>
        <w:right w:val="none" w:sz="0" w:space="0" w:color="auto"/>
      </w:divBdr>
    </w:div>
    <w:div w:id="76172609">
      <w:bodyDiv w:val="1"/>
      <w:marLeft w:val="0"/>
      <w:marRight w:val="0"/>
      <w:marTop w:val="0"/>
      <w:marBottom w:val="0"/>
      <w:divBdr>
        <w:top w:val="none" w:sz="0" w:space="0" w:color="auto"/>
        <w:left w:val="none" w:sz="0" w:space="0" w:color="auto"/>
        <w:bottom w:val="none" w:sz="0" w:space="0" w:color="auto"/>
        <w:right w:val="none" w:sz="0" w:space="0" w:color="auto"/>
      </w:divBdr>
    </w:div>
    <w:div w:id="99883524">
      <w:bodyDiv w:val="1"/>
      <w:marLeft w:val="0"/>
      <w:marRight w:val="0"/>
      <w:marTop w:val="0"/>
      <w:marBottom w:val="0"/>
      <w:divBdr>
        <w:top w:val="none" w:sz="0" w:space="0" w:color="auto"/>
        <w:left w:val="none" w:sz="0" w:space="0" w:color="auto"/>
        <w:bottom w:val="none" w:sz="0" w:space="0" w:color="auto"/>
        <w:right w:val="none" w:sz="0" w:space="0" w:color="auto"/>
      </w:divBdr>
      <w:divsChild>
        <w:div w:id="693844252">
          <w:marLeft w:val="0"/>
          <w:marRight w:val="0"/>
          <w:marTop w:val="0"/>
          <w:marBottom w:val="0"/>
          <w:divBdr>
            <w:top w:val="none" w:sz="0" w:space="0" w:color="auto"/>
            <w:left w:val="none" w:sz="0" w:space="0" w:color="auto"/>
            <w:bottom w:val="none" w:sz="0" w:space="0" w:color="auto"/>
            <w:right w:val="none" w:sz="0" w:space="0" w:color="auto"/>
          </w:divBdr>
          <w:divsChild>
            <w:div w:id="2085838729">
              <w:marLeft w:val="0"/>
              <w:marRight w:val="0"/>
              <w:marTop w:val="0"/>
              <w:marBottom w:val="0"/>
              <w:divBdr>
                <w:top w:val="none" w:sz="0" w:space="0" w:color="auto"/>
                <w:left w:val="none" w:sz="0" w:space="0" w:color="auto"/>
                <w:bottom w:val="none" w:sz="0" w:space="0" w:color="auto"/>
                <w:right w:val="none" w:sz="0" w:space="0" w:color="auto"/>
              </w:divBdr>
              <w:divsChild>
                <w:div w:id="753211290">
                  <w:marLeft w:val="0"/>
                  <w:marRight w:val="0"/>
                  <w:marTop w:val="0"/>
                  <w:marBottom w:val="0"/>
                  <w:divBdr>
                    <w:top w:val="none" w:sz="0" w:space="0" w:color="auto"/>
                    <w:left w:val="none" w:sz="0" w:space="0" w:color="auto"/>
                    <w:bottom w:val="none" w:sz="0" w:space="0" w:color="auto"/>
                    <w:right w:val="none" w:sz="0" w:space="0" w:color="auto"/>
                  </w:divBdr>
                  <w:divsChild>
                    <w:div w:id="363673395">
                      <w:marLeft w:val="0"/>
                      <w:marRight w:val="0"/>
                      <w:marTop w:val="0"/>
                      <w:marBottom w:val="0"/>
                      <w:divBdr>
                        <w:top w:val="none" w:sz="0" w:space="0" w:color="auto"/>
                        <w:left w:val="none" w:sz="0" w:space="0" w:color="auto"/>
                        <w:bottom w:val="none" w:sz="0" w:space="0" w:color="auto"/>
                        <w:right w:val="none" w:sz="0" w:space="0" w:color="auto"/>
                      </w:divBdr>
                      <w:divsChild>
                        <w:div w:id="1644384169">
                          <w:marLeft w:val="0"/>
                          <w:marRight w:val="0"/>
                          <w:marTop w:val="0"/>
                          <w:marBottom w:val="0"/>
                          <w:divBdr>
                            <w:top w:val="none" w:sz="0" w:space="0" w:color="auto"/>
                            <w:left w:val="none" w:sz="0" w:space="0" w:color="auto"/>
                            <w:bottom w:val="none" w:sz="0" w:space="0" w:color="auto"/>
                            <w:right w:val="none" w:sz="0" w:space="0" w:color="auto"/>
                          </w:divBdr>
                          <w:divsChild>
                            <w:div w:id="1770346308">
                              <w:marLeft w:val="0"/>
                              <w:marRight w:val="0"/>
                              <w:marTop w:val="0"/>
                              <w:marBottom w:val="0"/>
                              <w:divBdr>
                                <w:top w:val="none" w:sz="0" w:space="0" w:color="auto"/>
                                <w:left w:val="none" w:sz="0" w:space="0" w:color="auto"/>
                                <w:bottom w:val="none" w:sz="0" w:space="0" w:color="auto"/>
                                <w:right w:val="none" w:sz="0" w:space="0" w:color="auto"/>
                              </w:divBdr>
                              <w:divsChild>
                                <w:div w:id="582883633">
                                  <w:marLeft w:val="0"/>
                                  <w:marRight w:val="0"/>
                                  <w:marTop w:val="0"/>
                                  <w:marBottom w:val="0"/>
                                  <w:divBdr>
                                    <w:top w:val="none" w:sz="0" w:space="0" w:color="auto"/>
                                    <w:left w:val="none" w:sz="0" w:space="0" w:color="auto"/>
                                    <w:bottom w:val="none" w:sz="0" w:space="0" w:color="auto"/>
                                    <w:right w:val="none" w:sz="0" w:space="0" w:color="auto"/>
                                  </w:divBdr>
                                  <w:divsChild>
                                    <w:div w:id="21302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99575">
      <w:bodyDiv w:val="1"/>
      <w:marLeft w:val="0"/>
      <w:marRight w:val="0"/>
      <w:marTop w:val="0"/>
      <w:marBottom w:val="0"/>
      <w:divBdr>
        <w:top w:val="none" w:sz="0" w:space="0" w:color="auto"/>
        <w:left w:val="none" w:sz="0" w:space="0" w:color="auto"/>
        <w:bottom w:val="none" w:sz="0" w:space="0" w:color="auto"/>
        <w:right w:val="none" w:sz="0" w:space="0" w:color="auto"/>
      </w:divBdr>
    </w:div>
    <w:div w:id="124861672">
      <w:bodyDiv w:val="1"/>
      <w:marLeft w:val="0"/>
      <w:marRight w:val="0"/>
      <w:marTop w:val="0"/>
      <w:marBottom w:val="0"/>
      <w:divBdr>
        <w:top w:val="none" w:sz="0" w:space="0" w:color="auto"/>
        <w:left w:val="none" w:sz="0" w:space="0" w:color="auto"/>
        <w:bottom w:val="none" w:sz="0" w:space="0" w:color="auto"/>
        <w:right w:val="none" w:sz="0" w:space="0" w:color="auto"/>
      </w:divBdr>
      <w:divsChild>
        <w:div w:id="1238706661">
          <w:marLeft w:val="0"/>
          <w:marRight w:val="0"/>
          <w:marTop w:val="120"/>
          <w:marBottom w:val="120"/>
          <w:divBdr>
            <w:top w:val="none" w:sz="0" w:space="0" w:color="auto"/>
            <w:left w:val="none" w:sz="0" w:space="0" w:color="auto"/>
            <w:bottom w:val="none" w:sz="0" w:space="0" w:color="auto"/>
            <w:right w:val="none" w:sz="0" w:space="0" w:color="auto"/>
          </w:divBdr>
        </w:div>
        <w:div w:id="1060520260">
          <w:marLeft w:val="0"/>
          <w:marRight w:val="0"/>
          <w:marTop w:val="120"/>
          <w:marBottom w:val="120"/>
          <w:divBdr>
            <w:top w:val="none" w:sz="0" w:space="0" w:color="auto"/>
            <w:left w:val="none" w:sz="0" w:space="0" w:color="auto"/>
            <w:bottom w:val="none" w:sz="0" w:space="0" w:color="auto"/>
            <w:right w:val="none" w:sz="0" w:space="0" w:color="auto"/>
          </w:divBdr>
        </w:div>
        <w:div w:id="1899507418">
          <w:marLeft w:val="0"/>
          <w:marRight w:val="0"/>
          <w:marTop w:val="120"/>
          <w:marBottom w:val="120"/>
          <w:divBdr>
            <w:top w:val="none" w:sz="0" w:space="0" w:color="auto"/>
            <w:left w:val="none" w:sz="0" w:space="0" w:color="auto"/>
            <w:bottom w:val="none" w:sz="0" w:space="0" w:color="auto"/>
            <w:right w:val="none" w:sz="0" w:space="0" w:color="auto"/>
          </w:divBdr>
        </w:div>
        <w:div w:id="2055932870">
          <w:marLeft w:val="0"/>
          <w:marRight w:val="0"/>
          <w:marTop w:val="120"/>
          <w:marBottom w:val="120"/>
          <w:divBdr>
            <w:top w:val="none" w:sz="0" w:space="0" w:color="auto"/>
            <w:left w:val="none" w:sz="0" w:space="0" w:color="auto"/>
            <w:bottom w:val="none" w:sz="0" w:space="0" w:color="auto"/>
            <w:right w:val="none" w:sz="0" w:space="0" w:color="auto"/>
          </w:divBdr>
        </w:div>
        <w:div w:id="889154295">
          <w:marLeft w:val="0"/>
          <w:marRight w:val="0"/>
          <w:marTop w:val="120"/>
          <w:marBottom w:val="120"/>
          <w:divBdr>
            <w:top w:val="none" w:sz="0" w:space="0" w:color="auto"/>
            <w:left w:val="none" w:sz="0" w:space="0" w:color="auto"/>
            <w:bottom w:val="none" w:sz="0" w:space="0" w:color="auto"/>
            <w:right w:val="none" w:sz="0" w:space="0" w:color="auto"/>
          </w:divBdr>
        </w:div>
        <w:div w:id="770979423">
          <w:marLeft w:val="0"/>
          <w:marRight w:val="0"/>
          <w:marTop w:val="120"/>
          <w:marBottom w:val="120"/>
          <w:divBdr>
            <w:top w:val="none" w:sz="0" w:space="0" w:color="auto"/>
            <w:left w:val="none" w:sz="0" w:space="0" w:color="auto"/>
            <w:bottom w:val="none" w:sz="0" w:space="0" w:color="auto"/>
            <w:right w:val="none" w:sz="0" w:space="0" w:color="auto"/>
          </w:divBdr>
        </w:div>
        <w:div w:id="1696804105">
          <w:marLeft w:val="0"/>
          <w:marRight w:val="0"/>
          <w:marTop w:val="120"/>
          <w:marBottom w:val="120"/>
          <w:divBdr>
            <w:top w:val="none" w:sz="0" w:space="0" w:color="auto"/>
            <w:left w:val="none" w:sz="0" w:space="0" w:color="auto"/>
            <w:bottom w:val="none" w:sz="0" w:space="0" w:color="auto"/>
            <w:right w:val="none" w:sz="0" w:space="0" w:color="auto"/>
          </w:divBdr>
        </w:div>
        <w:div w:id="1462116844">
          <w:marLeft w:val="0"/>
          <w:marRight w:val="0"/>
          <w:marTop w:val="120"/>
          <w:marBottom w:val="120"/>
          <w:divBdr>
            <w:top w:val="none" w:sz="0" w:space="0" w:color="auto"/>
            <w:left w:val="none" w:sz="0" w:space="0" w:color="auto"/>
            <w:bottom w:val="none" w:sz="0" w:space="0" w:color="auto"/>
            <w:right w:val="none" w:sz="0" w:space="0" w:color="auto"/>
          </w:divBdr>
        </w:div>
        <w:div w:id="1667905642">
          <w:marLeft w:val="0"/>
          <w:marRight w:val="0"/>
          <w:marTop w:val="120"/>
          <w:marBottom w:val="120"/>
          <w:divBdr>
            <w:top w:val="none" w:sz="0" w:space="0" w:color="auto"/>
            <w:left w:val="none" w:sz="0" w:space="0" w:color="auto"/>
            <w:bottom w:val="none" w:sz="0" w:space="0" w:color="auto"/>
            <w:right w:val="none" w:sz="0" w:space="0" w:color="auto"/>
          </w:divBdr>
        </w:div>
        <w:div w:id="1300913505">
          <w:marLeft w:val="0"/>
          <w:marRight w:val="0"/>
          <w:marTop w:val="120"/>
          <w:marBottom w:val="120"/>
          <w:divBdr>
            <w:top w:val="none" w:sz="0" w:space="0" w:color="auto"/>
            <w:left w:val="none" w:sz="0" w:space="0" w:color="auto"/>
            <w:bottom w:val="none" w:sz="0" w:space="0" w:color="auto"/>
            <w:right w:val="none" w:sz="0" w:space="0" w:color="auto"/>
          </w:divBdr>
        </w:div>
        <w:div w:id="2144150185">
          <w:marLeft w:val="0"/>
          <w:marRight w:val="0"/>
          <w:marTop w:val="120"/>
          <w:marBottom w:val="120"/>
          <w:divBdr>
            <w:top w:val="none" w:sz="0" w:space="0" w:color="auto"/>
            <w:left w:val="none" w:sz="0" w:space="0" w:color="auto"/>
            <w:bottom w:val="none" w:sz="0" w:space="0" w:color="auto"/>
            <w:right w:val="none" w:sz="0" w:space="0" w:color="auto"/>
          </w:divBdr>
        </w:div>
        <w:div w:id="900289381">
          <w:marLeft w:val="0"/>
          <w:marRight w:val="0"/>
          <w:marTop w:val="120"/>
          <w:marBottom w:val="120"/>
          <w:divBdr>
            <w:top w:val="none" w:sz="0" w:space="0" w:color="auto"/>
            <w:left w:val="none" w:sz="0" w:space="0" w:color="auto"/>
            <w:bottom w:val="none" w:sz="0" w:space="0" w:color="auto"/>
            <w:right w:val="none" w:sz="0" w:space="0" w:color="auto"/>
          </w:divBdr>
        </w:div>
        <w:div w:id="1887641939">
          <w:marLeft w:val="0"/>
          <w:marRight w:val="0"/>
          <w:marTop w:val="120"/>
          <w:marBottom w:val="120"/>
          <w:divBdr>
            <w:top w:val="none" w:sz="0" w:space="0" w:color="auto"/>
            <w:left w:val="none" w:sz="0" w:space="0" w:color="auto"/>
            <w:bottom w:val="none" w:sz="0" w:space="0" w:color="auto"/>
            <w:right w:val="none" w:sz="0" w:space="0" w:color="auto"/>
          </w:divBdr>
        </w:div>
        <w:div w:id="2007511653">
          <w:marLeft w:val="0"/>
          <w:marRight w:val="0"/>
          <w:marTop w:val="120"/>
          <w:marBottom w:val="120"/>
          <w:divBdr>
            <w:top w:val="none" w:sz="0" w:space="0" w:color="auto"/>
            <w:left w:val="none" w:sz="0" w:space="0" w:color="auto"/>
            <w:bottom w:val="none" w:sz="0" w:space="0" w:color="auto"/>
            <w:right w:val="none" w:sz="0" w:space="0" w:color="auto"/>
          </w:divBdr>
        </w:div>
        <w:div w:id="1933775207">
          <w:marLeft w:val="0"/>
          <w:marRight w:val="0"/>
          <w:marTop w:val="120"/>
          <w:marBottom w:val="120"/>
          <w:divBdr>
            <w:top w:val="none" w:sz="0" w:space="0" w:color="auto"/>
            <w:left w:val="none" w:sz="0" w:space="0" w:color="auto"/>
            <w:bottom w:val="none" w:sz="0" w:space="0" w:color="auto"/>
            <w:right w:val="none" w:sz="0" w:space="0" w:color="auto"/>
          </w:divBdr>
        </w:div>
        <w:div w:id="922563685">
          <w:marLeft w:val="0"/>
          <w:marRight w:val="0"/>
          <w:marTop w:val="120"/>
          <w:marBottom w:val="120"/>
          <w:divBdr>
            <w:top w:val="none" w:sz="0" w:space="0" w:color="auto"/>
            <w:left w:val="none" w:sz="0" w:space="0" w:color="auto"/>
            <w:bottom w:val="none" w:sz="0" w:space="0" w:color="auto"/>
            <w:right w:val="none" w:sz="0" w:space="0" w:color="auto"/>
          </w:divBdr>
        </w:div>
        <w:div w:id="325398261">
          <w:marLeft w:val="0"/>
          <w:marRight w:val="0"/>
          <w:marTop w:val="120"/>
          <w:marBottom w:val="120"/>
          <w:divBdr>
            <w:top w:val="none" w:sz="0" w:space="0" w:color="auto"/>
            <w:left w:val="none" w:sz="0" w:space="0" w:color="auto"/>
            <w:bottom w:val="none" w:sz="0" w:space="0" w:color="auto"/>
            <w:right w:val="none" w:sz="0" w:space="0" w:color="auto"/>
          </w:divBdr>
        </w:div>
      </w:divsChild>
    </w:div>
    <w:div w:id="137580545">
      <w:bodyDiv w:val="1"/>
      <w:marLeft w:val="0"/>
      <w:marRight w:val="0"/>
      <w:marTop w:val="0"/>
      <w:marBottom w:val="0"/>
      <w:divBdr>
        <w:top w:val="none" w:sz="0" w:space="0" w:color="auto"/>
        <w:left w:val="none" w:sz="0" w:space="0" w:color="auto"/>
        <w:bottom w:val="none" w:sz="0" w:space="0" w:color="auto"/>
        <w:right w:val="none" w:sz="0" w:space="0" w:color="auto"/>
      </w:divBdr>
    </w:div>
    <w:div w:id="142278657">
      <w:bodyDiv w:val="1"/>
      <w:marLeft w:val="0"/>
      <w:marRight w:val="0"/>
      <w:marTop w:val="0"/>
      <w:marBottom w:val="0"/>
      <w:divBdr>
        <w:top w:val="none" w:sz="0" w:space="0" w:color="auto"/>
        <w:left w:val="none" w:sz="0" w:space="0" w:color="auto"/>
        <w:bottom w:val="none" w:sz="0" w:space="0" w:color="auto"/>
        <w:right w:val="none" w:sz="0" w:space="0" w:color="auto"/>
      </w:divBdr>
    </w:div>
    <w:div w:id="142744730">
      <w:bodyDiv w:val="1"/>
      <w:marLeft w:val="0"/>
      <w:marRight w:val="0"/>
      <w:marTop w:val="0"/>
      <w:marBottom w:val="0"/>
      <w:divBdr>
        <w:top w:val="none" w:sz="0" w:space="0" w:color="auto"/>
        <w:left w:val="none" w:sz="0" w:space="0" w:color="auto"/>
        <w:bottom w:val="none" w:sz="0" w:space="0" w:color="auto"/>
        <w:right w:val="none" w:sz="0" w:space="0" w:color="auto"/>
      </w:divBdr>
    </w:div>
    <w:div w:id="168328771">
      <w:bodyDiv w:val="1"/>
      <w:marLeft w:val="0"/>
      <w:marRight w:val="0"/>
      <w:marTop w:val="0"/>
      <w:marBottom w:val="0"/>
      <w:divBdr>
        <w:top w:val="none" w:sz="0" w:space="0" w:color="auto"/>
        <w:left w:val="none" w:sz="0" w:space="0" w:color="auto"/>
        <w:bottom w:val="none" w:sz="0" w:space="0" w:color="auto"/>
        <w:right w:val="none" w:sz="0" w:space="0" w:color="auto"/>
      </w:divBdr>
    </w:div>
    <w:div w:id="180629619">
      <w:bodyDiv w:val="1"/>
      <w:marLeft w:val="0"/>
      <w:marRight w:val="0"/>
      <w:marTop w:val="0"/>
      <w:marBottom w:val="0"/>
      <w:divBdr>
        <w:top w:val="none" w:sz="0" w:space="0" w:color="auto"/>
        <w:left w:val="none" w:sz="0" w:space="0" w:color="auto"/>
        <w:bottom w:val="none" w:sz="0" w:space="0" w:color="auto"/>
        <w:right w:val="none" w:sz="0" w:space="0" w:color="auto"/>
      </w:divBdr>
    </w:div>
    <w:div w:id="186524526">
      <w:bodyDiv w:val="1"/>
      <w:marLeft w:val="0"/>
      <w:marRight w:val="0"/>
      <w:marTop w:val="0"/>
      <w:marBottom w:val="0"/>
      <w:divBdr>
        <w:top w:val="none" w:sz="0" w:space="0" w:color="auto"/>
        <w:left w:val="none" w:sz="0" w:space="0" w:color="auto"/>
        <w:bottom w:val="none" w:sz="0" w:space="0" w:color="auto"/>
        <w:right w:val="none" w:sz="0" w:space="0" w:color="auto"/>
      </w:divBdr>
      <w:divsChild>
        <w:div w:id="1373458785">
          <w:marLeft w:val="0"/>
          <w:marRight w:val="0"/>
          <w:marTop w:val="0"/>
          <w:marBottom w:val="0"/>
          <w:divBdr>
            <w:top w:val="none" w:sz="0" w:space="0" w:color="auto"/>
            <w:left w:val="none" w:sz="0" w:space="0" w:color="auto"/>
            <w:bottom w:val="none" w:sz="0" w:space="0" w:color="auto"/>
            <w:right w:val="none" w:sz="0" w:space="0" w:color="auto"/>
          </w:divBdr>
          <w:divsChild>
            <w:div w:id="1629554060">
              <w:marLeft w:val="0"/>
              <w:marRight w:val="0"/>
              <w:marTop w:val="0"/>
              <w:marBottom w:val="0"/>
              <w:divBdr>
                <w:top w:val="none" w:sz="0" w:space="0" w:color="auto"/>
                <w:left w:val="none" w:sz="0" w:space="0" w:color="auto"/>
                <w:bottom w:val="none" w:sz="0" w:space="0" w:color="auto"/>
                <w:right w:val="none" w:sz="0" w:space="0" w:color="auto"/>
              </w:divBdr>
              <w:divsChild>
                <w:div w:id="1737050910">
                  <w:marLeft w:val="0"/>
                  <w:marRight w:val="0"/>
                  <w:marTop w:val="0"/>
                  <w:marBottom w:val="0"/>
                  <w:divBdr>
                    <w:top w:val="none" w:sz="0" w:space="0" w:color="auto"/>
                    <w:left w:val="none" w:sz="0" w:space="0" w:color="auto"/>
                    <w:bottom w:val="none" w:sz="0" w:space="0" w:color="auto"/>
                    <w:right w:val="none" w:sz="0" w:space="0" w:color="auto"/>
                  </w:divBdr>
                  <w:divsChild>
                    <w:div w:id="3907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93908">
      <w:bodyDiv w:val="1"/>
      <w:marLeft w:val="0"/>
      <w:marRight w:val="0"/>
      <w:marTop w:val="0"/>
      <w:marBottom w:val="0"/>
      <w:divBdr>
        <w:top w:val="none" w:sz="0" w:space="0" w:color="auto"/>
        <w:left w:val="none" w:sz="0" w:space="0" w:color="auto"/>
        <w:bottom w:val="none" w:sz="0" w:space="0" w:color="auto"/>
        <w:right w:val="none" w:sz="0" w:space="0" w:color="auto"/>
      </w:divBdr>
    </w:div>
    <w:div w:id="210533800">
      <w:bodyDiv w:val="1"/>
      <w:marLeft w:val="0"/>
      <w:marRight w:val="0"/>
      <w:marTop w:val="0"/>
      <w:marBottom w:val="0"/>
      <w:divBdr>
        <w:top w:val="none" w:sz="0" w:space="0" w:color="auto"/>
        <w:left w:val="none" w:sz="0" w:space="0" w:color="auto"/>
        <w:bottom w:val="none" w:sz="0" w:space="0" w:color="auto"/>
        <w:right w:val="none" w:sz="0" w:space="0" w:color="auto"/>
      </w:divBdr>
    </w:div>
    <w:div w:id="214053544">
      <w:bodyDiv w:val="1"/>
      <w:marLeft w:val="0"/>
      <w:marRight w:val="0"/>
      <w:marTop w:val="0"/>
      <w:marBottom w:val="0"/>
      <w:divBdr>
        <w:top w:val="none" w:sz="0" w:space="0" w:color="auto"/>
        <w:left w:val="none" w:sz="0" w:space="0" w:color="auto"/>
        <w:bottom w:val="none" w:sz="0" w:space="0" w:color="auto"/>
        <w:right w:val="none" w:sz="0" w:space="0" w:color="auto"/>
      </w:divBdr>
    </w:div>
    <w:div w:id="237591416">
      <w:bodyDiv w:val="1"/>
      <w:marLeft w:val="0"/>
      <w:marRight w:val="0"/>
      <w:marTop w:val="0"/>
      <w:marBottom w:val="0"/>
      <w:divBdr>
        <w:top w:val="none" w:sz="0" w:space="0" w:color="auto"/>
        <w:left w:val="none" w:sz="0" w:space="0" w:color="auto"/>
        <w:bottom w:val="none" w:sz="0" w:space="0" w:color="auto"/>
        <w:right w:val="none" w:sz="0" w:space="0" w:color="auto"/>
      </w:divBdr>
    </w:div>
    <w:div w:id="240264177">
      <w:bodyDiv w:val="1"/>
      <w:marLeft w:val="0"/>
      <w:marRight w:val="0"/>
      <w:marTop w:val="0"/>
      <w:marBottom w:val="0"/>
      <w:divBdr>
        <w:top w:val="none" w:sz="0" w:space="0" w:color="auto"/>
        <w:left w:val="none" w:sz="0" w:space="0" w:color="auto"/>
        <w:bottom w:val="none" w:sz="0" w:space="0" w:color="auto"/>
        <w:right w:val="none" w:sz="0" w:space="0" w:color="auto"/>
      </w:divBdr>
    </w:div>
    <w:div w:id="248194233">
      <w:bodyDiv w:val="1"/>
      <w:marLeft w:val="0"/>
      <w:marRight w:val="0"/>
      <w:marTop w:val="0"/>
      <w:marBottom w:val="0"/>
      <w:divBdr>
        <w:top w:val="none" w:sz="0" w:space="0" w:color="auto"/>
        <w:left w:val="none" w:sz="0" w:space="0" w:color="auto"/>
        <w:bottom w:val="none" w:sz="0" w:space="0" w:color="auto"/>
        <w:right w:val="none" w:sz="0" w:space="0" w:color="auto"/>
      </w:divBdr>
    </w:div>
    <w:div w:id="259339989">
      <w:bodyDiv w:val="1"/>
      <w:marLeft w:val="0"/>
      <w:marRight w:val="0"/>
      <w:marTop w:val="0"/>
      <w:marBottom w:val="0"/>
      <w:divBdr>
        <w:top w:val="none" w:sz="0" w:space="0" w:color="auto"/>
        <w:left w:val="none" w:sz="0" w:space="0" w:color="auto"/>
        <w:bottom w:val="none" w:sz="0" w:space="0" w:color="auto"/>
        <w:right w:val="none" w:sz="0" w:space="0" w:color="auto"/>
      </w:divBdr>
    </w:div>
    <w:div w:id="262807629">
      <w:bodyDiv w:val="1"/>
      <w:marLeft w:val="0"/>
      <w:marRight w:val="0"/>
      <w:marTop w:val="0"/>
      <w:marBottom w:val="0"/>
      <w:divBdr>
        <w:top w:val="none" w:sz="0" w:space="0" w:color="auto"/>
        <w:left w:val="none" w:sz="0" w:space="0" w:color="auto"/>
        <w:bottom w:val="none" w:sz="0" w:space="0" w:color="auto"/>
        <w:right w:val="none" w:sz="0" w:space="0" w:color="auto"/>
      </w:divBdr>
      <w:divsChild>
        <w:div w:id="600378202">
          <w:marLeft w:val="0"/>
          <w:marRight w:val="0"/>
          <w:marTop w:val="120"/>
          <w:marBottom w:val="120"/>
          <w:divBdr>
            <w:top w:val="none" w:sz="0" w:space="0" w:color="auto"/>
            <w:left w:val="none" w:sz="0" w:space="0" w:color="auto"/>
            <w:bottom w:val="none" w:sz="0" w:space="0" w:color="auto"/>
            <w:right w:val="none" w:sz="0" w:space="0" w:color="auto"/>
          </w:divBdr>
        </w:div>
        <w:div w:id="255097038">
          <w:marLeft w:val="0"/>
          <w:marRight w:val="0"/>
          <w:marTop w:val="120"/>
          <w:marBottom w:val="120"/>
          <w:divBdr>
            <w:top w:val="none" w:sz="0" w:space="0" w:color="auto"/>
            <w:left w:val="none" w:sz="0" w:space="0" w:color="auto"/>
            <w:bottom w:val="none" w:sz="0" w:space="0" w:color="auto"/>
            <w:right w:val="none" w:sz="0" w:space="0" w:color="auto"/>
          </w:divBdr>
        </w:div>
        <w:div w:id="670912163">
          <w:marLeft w:val="0"/>
          <w:marRight w:val="0"/>
          <w:marTop w:val="120"/>
          <w:marBottom w:val="120"/>
          <w:divBdr>
            <w:top w:val="none" w:sz="0" w:space="0" w:color="auto"/>
            <w:left w:val="none" w:sz="0" w:space="0" w:color="auto"/>
            <w:bottom w:val="none" w:sz="0" w:space="0" w:color="auto"/>
            <w:right w:val="none" w:sz="0" w:space="0" w:color="auto"/>
          </w:divBdr>
        </w:div>
        <w:div w:id="1453748614">
          <w:marLeft w:val="0"/>
          <w:marRight w:val="0"/>
          <w:marTop w:val="120"/>
          <w:marBottom w:val="120"/>
          <w:divBdr>
            <w:top w:val="none" w:sz="0" w:space="0" w:color="auto"/>
            <w:left w:val="none" w:sz="0" w:space="0" w:color="auto"/>
            <w:bottom w:val="none" w:sz="0" w:space="0" w:color="auto"/>
            <w:right w:val="none" w:sz="0" w:space="0" w:color="auto"/>
          </w:divBdr>
        </w:div>
        <w:div w:id="1116482877">
          <w:marLeft w:val="0"/>
          <w:marRight w:val="0"/>
          <w:marTop w:val="120"/>
          <w:marBottom w:val="120"/>
          <w:divBdr>
            <w:top w:val="none" w:sz="0" w:space="0" w:color="auto"/>
            <w:left w:val="none" w:sz="0" w:space="0" w:color="auto"/>
            <w:bottom w:val="none" w:sz="0" w:space="0" w:color="auto"/>
            <w:right w:val="none" w:sz="0" w:space="0" w:color="auto"/>
          </w:divBdr>
        </w:div>
        <w:div w:id="27729796">
          <w:marLeft w:val="0"/>
          <w:marRight w:val="0"/>
          <w:marTop w:val="120"/>
          <w:marBottom w:val="120"/>
          <w:divBdr>
            <w:top w:val="none" w:sz="0" w:space="0" w:color="auto"/>
            <w:left w:val="none" w:sz="0" w:space="0" w:color="auto"/>
            <w:bottom w:val="none" w:sz="0" w:space="0" w:color="auto"/>
            <w:right w:val="none" w:sz="0" w:space="0" w:color="auto"/>
          </w:divBdr>
        </w:div>
        <w:div w:id="241960291">
          <w:marLeft w:val="0"/>
          <w:marRight w:val="0"/>
          <w:marTop w:val="120"/>
          <w:marBottom w:val="120"/>
          <w:divBdr>
            <w:top w:val="none" w:sz="0" w:space="0" w:color="auto"/>
            <w:left w:val="none" w:sz="0" w:space="0" w:color="auto"/>
            <w:bottom w:val="none" w:sz="0" w:space="0" w:color="auto"/>
            <w:right w:val="none" w:sz="0" w:space="0" w:color="auto"/>
          </w:divBdr>
        </w:div>
        <w:div w:id="591007463">
          <w:marLeft w:val="0"/>
          <w:marRight w:val="0"/>
          <w:marTop w:val="120"/>
          <w:marBottom w:val="120"/>
          <w:divBdr>
            <w:top w:val="none" w:sz="0" w:space="0" w:color="auto"/>
            <w:left w:val="none" w:sz="0" w:space="0" w:color="auto"/>
            <w:bottom w:val="none" w:sz="0" w:space="0" w:color="auto"/>
            <w:right w:val="none" w:sz="0" w:space="0" w:color="auto"/>
          </w:divBdr>
        </w:div>
        <w:div w:id="1045177408">
          <w:marLeft w:val="0"/>
          <w:marRight w:val="0"/>
          <w:marTop w:val="120"/>
          <w:marBottom w:val="120"/>
          <w:divBdr>
            <w:top w:val="none" w:sz="0" w:space="0" w:color="auto"/>
            <w:left w:val="none" w:sz="0" w:space="0" w:color="auto"/>
            <w:bottom w:val="none" w:sz="0" w:space="0" w:color="auto"/>
            <w:right w:val="none" w:sz="0" w:space="0" w:color="auto"/>
          </w:divBdr>
        </w:div>
        <w:div w:id="1293369289">
          <w:marLeft w:val="0"/>
          <w:marRight w:val="0"/>
          <w:marTop w:val="120"/>
          <w:marBottom w:val="120"/>
          <w:divBdr>
            <w:top w:val="none" w:sz="0" w:space="0" w:color="auto"/>
            <w:left w:val="none" w:sz="0" w:space="0" w:color="auto"/>
            <w:bottom w:val="none" w:sz="0" w:space="0" w:color="auto"/>
            <w:right w:val="none" w:sz="0" w:space="0" w:color="auto"/>
          </w:divBdr>
        </w:div>
        <w:div w:id="729964095">
          <w:marLeft w:val="0"/>
          <w:marRight w:val="0"/>
          <w:marTop w:val="120"/>
          <w:marBottom w:val="120"/>
          <w:divBdr>
            <w:top w:val="none" w:sz="0" w:space="0" w:color="auto"/>
            <w:left w:val="none" w:sz="0" w:space="0" w:color="auto"/>
            <w:bottom w:val="none" w:sz="0" w:space="0" w:color="auto"/>
            <w:right w:val="none" w:sz="0" w:space="0" w:color="auto"/>
          </w:divBdr>
        </w:div>
        <w:div w:id="1073310461">
          <w:marLeft w:val="0"/>
          <w:marRight w:val="0"/>
          <w:marTop w:val="120"/>
          <w:marBottom w:val="120"/>
          <w:divBdr>
            <w:top w:val="none" w:sz="0" w:space="0" w:color="auto"/>
            <w:left w:val="none" w:sz="0" w:space="0" w:color="auto"/>
            <w:bottom w:val="none" w:sz="0" w:space="0" w:color="auto"/>
            <w:right w:val="none" w:sz="0" w:space="0" w:color="auto"/>
          </w:divBdr>
        </w:div>
        <w:div w:id="409810405">
          <w:marLeft w:val="0"/>
          <w:marRight w:val="0"/>
          <w:marTop w:val="120"/>
          <w:marBottom w:val="120"/>
          <w:divBdr>
            <w:top w:val="none" w:sz="0" w:space="0" w:color="auto"/>
            <w:left w:val="none" w:sz="0" w:space="0" w:color="auto"/>
            <w:bottom w:val="none" w:sz="0" w:space="0" w:color="auto"/>
            <w:right w:val="none" w:sz="0" w:space="0" w:color="auto"/>
          </w:divBdr>
        </w:div>
        <w:div w:id="415909327">
          <w:marLeft w:val="0"/>
          <w:marRight w:val="0"/>
          <w:marTop w:val="120"/>
          <w:marBottom w:val="120"/>
          <w:divBdr>
            <w:top w:val="none" w:sz="0" w:space="0" w:color="auto"/>
            <w:left w:val="none" w:sz="0" w:space="0" w:color="auto"/>
            <w:bottom w:val="none" w:sz="0" w:space="0" w:color="auto"/>
            <w:right w:val="none" w:sz="0" w:space="0" w:color="auto"/>
          </w:divBdr>
        </w:div>
        <w:div w:id="831333288">
          <w:marLeft w:val="0"/>
          <w:marRight w:val="0"/>
          <w:marTop w:val="120"/>
          <w:marBottom w:val="120"/>
          <w:divBdr>
            <w:top w:val="none" w:sz="0" w:space="0" w:color="auto"/>
            <w:left w:val="none" w:sz="0" w:space="0" w:color="auto"/>
            <w:bottom w:val="none" w:sz="0" w:space="0" w:color="auto"/>
            <w:right w:val="none" w:sz="0" w:space="0" w:color="auto"/>
          </w:divBdr>
        </w:div>
        <w:div w:id="1745448273">
          <w:marLeft w:val="0"/>
          <w:marRight w:val="0"/>
          <w:marTop w:val="120"/>
          <w:marBottom w:val="120"/>
          <w:divBdr>
            <w:top w:val="none" w:sz="0" w:space="0" w:color="auto"/>
            <w:left w:val="none" w:sz="0" w:space="0" w:color="auto"/>
            <w:bottom w:val="none" w:sz="0" w:space="0" w:color="auto"/>
            <w:right w:val="none" w:sz="0" w:space="0" w:color="auto"/>
          </w:divBdr>
        </w:div>
        <w:div w:id="1728724826">
          <w:marLeft w:val="0"/>
          <w:marRight w:val="0"/>
          <w:marTop w:val="120"/>
          <w:marBottom w:val="120"/>
          <w:divBdr>
            <w:top w:val="none" w:sz="0" w:space="0" w:color="auto"/>
            <w:left w:val="none" w:sz="0" w:space="0" w:color="auto"/>
            <w:bottom w:val="none" w:sz="0" w:space="0" w:color="auto"/>
            <w:right w:val="none" w:sz="0" w:space="0" w:color="auto"/>
          </w:divBdr>
        </w:div>
        <w:div w:id="2077313497">
          <w:marLeft w:val="0"/>
          <w:marRight w:val="0"/>
          <w:marTop w:val="120"/>
          <w:marBottom w:val="120"/>
          <w:divBdr>
            <w:top w:val="none" w:sz="0" w:space="0" w:color="auto"/>
            <w:left w:val="none" w:sz="0" w:space="0" w:color="auto"/>
            <w:bottom w:val="none" w:sz="0" w:space="0" w:color="auto"/>
            <w:right w:val="none" w:sz="0" w:space="0" w:color="auto"/>
          </w:divBdr>
        </w:div>
        <w:div w:id="458767787">
          <w:marLeft w:val="0"/>
          <w:marRight w:val="0"/>
          <w:marTop w:val="120"/>
          <w:marBottom w:val="120"/>
          <w:divBdr>
            <w:top w:val="none" w:sz="0" w:space="0" w:color="auto"/>
            <w:left w:val="none" w:sz="0" w:space="0" w:color="auto"/>
            <w:bottom w:val="none" w:sz="0" w:space="0" w:color="auto"/>
            <w:right w:val="none" w:sz="0" w:space="0" w:color="auto"/>
          </w:divBdr>
        </w:div>
        <w:div w:id="1448621608">
          <w:marLeft w:val="0"/>
          <w:marRight w:val="0"/>
          <w:marTop w:val="120"/>
          <w:marBottom w:val="120"/>
          <w:divBdr>
            <w:top w:val="none" w:sz="0" w:space="0" w:color="auto"/>
            <w:left w:val="none" w:sz="0" w:space="0" w:color="auto"/>
            <w:bottom w:val="none" w:sz="0" w:space="0" w:color="auto"/>
            <w:right w:val="none" w:sz="0" w:space="0" w:color="auto"/>
          </w:divBdr>
        </w:div>
        <w:div w:id="1000424607">
          <w:marLeft w:val="0"/>
          <w:marRight w:val="0"/>
          <w:marTop w:val="120"/>
          <w:marBottom w:val="120"/>
          <w:divBdr>
            <w:top w:val="none" w:sz="0" w:space="0" w:color="auto"/>
            <w:left w:val="none" w:sz="0" w:space="0" w:color="auto"/>
            <w:bottom w:val="none" w:sz="0" w:space="0" w:color="auto"/>
            <w:right w:val="none" w:sz="0" w:space="0" w:color="auto"/>
          </w:divBdr>
        </w:div>
        <w:div w:id="299772570">
          <w:marLeft w:val="0"/>
          <w:marRight w:val="0"/>
          <w:marTop w:val="120"/>
          <w:marBottom w:val="120"/>
          <w:divBdr>
            <w:top w:val="none" w:sz="0" w:space="0" w:color="auto"/>
            <w:left w:val="none" w:sz="0" w:space="0" w:color="auto"/>
            <w:bottom w:val="none" w:sz="0" w:space="0" w:color="auto"/>
            <w:right w:val="none" w:sz="0" w:space="0" w:color="auto"/>
          </w:divBdr>
        </w:div>
        <w:div w:id="1660962491">
          <w:marLeft w:val="0"/>
          <w:marRight w:val="0"/>
          <w:marTop w:val="120"/>
          <w:marBottom w:val="120"/>
          <w:divBdr>
            <w:top w:val="none" w:sz="0" w:space="0" w:color="auto"/>
            <w:left w:val="none" w:sz="0" w:space="0" w:color="auto"/>
            <w:bottom w:val="none" w:sz="0" w:space="0" w:color="auto"/>
            <w:right w:val="none" w:sz="0" w:space="0" w:color="auto"/>
          </w:divBdr>
        </w:div>
        <w:div w:id="401951789">
          <w:marLeft w:val="0"/>
          <w:marRight w:val="0"/>
          <w:marTop w:val="120"/>
          <w:marBottom w:val="120"/>
          <w:divBdr>
            <w:top w:val="none" w:sz="0" w:space="0" w:color="auto"/>
            <w:left w:val="none" w:sz="0" w:space="0" w:color="auto"/>
            <w:bottom w:val="none" w:sz="0" w:space="0" w:color="auto"/>
            <w:right w:val="none" w:sz="0" w:space="0" w:color="auto"/>
          </w:divBdr>
        </w:div>
        <w:div w:id="2034842712">
          <w:marLeft w:val="0"/>
          <w:marRight w:val="0"/>
          <w:marTop w:val="120"/>
          <w:marBottom w:val="120"/>
          <w:divBdr>
            <w:top w:val="none" w:sz="0" w:space="0" w:color="auto"/>
            <w:left w:val="none" w:sz="0" w:space="0" w:color="auto"/>
            <w:bottom w:val="none" w:sz="0" w:space="0" w:color="auto"/>
            <w:right w:val="none" w:sz="0" w:space="0" w:color="auto"/>
          </w:divBdr>
        </w:div>
      </w:divsChild>
    </w:div>
    <w:div w:id="267273955">
      <w:bodyDiv w:val="1"/>
      <w:marLeft w:val="0"/>
      <w:marRight w:val="0"/>
      <w:marTop w:val="0"/>
      <w:marBottom w:val="0"/>
      <w:divBdr>
        <w:top w:val="none" w:sz="0" w:space="0" w:color="auto"/>
        <w:left w:val="none" w:sz="0" w:space="0" w:color="auto"/>
        <w:bottom w:val="none" w:sz="0" w:space="0" w:color="auto"/>
        <w:right w:val="none" w:sz="0" w:space="0" w:color="auto"/>
      </w:divBdr>
    </w:div>
    <w:div w:id="275216878">
      <w:bodyDiv w:val="1"/>
      <w:marLeft w:val="0"/>
      <w:marRight w:val="0"/>
      <w:marTop w:val="0"/>
      <w:marBottom w:val="0"/>
      <w:divBdr>
        <w:top w:val="none" w:sz="0" w:space="0" w:color="auto"/>
        <w:left w:val="none" w:sz="0" w:space="0" w:color="auto"/>
        <w:bottom w:val="none" w:sz="0" w:space="0" w:color="auto"/>
        <w:right w:val="none" w:sz="0" w:space="0" w:color="auto"/>
      </w:divBdr>
    </w:div>
    <w:div w:id="278341168">
      <w:bodyDiv w:val="1"/>
      <w:marLeft w:val="0"/>
      <w:marRight w:val="0"/>
      <w:marTop w:val="0"/>
      <w:marBottom w:val="0"/>
      <w:divBdr>
        <w:top w:val="none" w:sz="0" w:space="0" w:color="auto"/>
        <w:left w:val="none" w:sz="0" w:space="0" w:color="auto"/>
        <w:bottom w:val="none" w:sz="0" w:space="0" w:color="auto"/>
        <w:right w:val="none" w:sz="0" w:space="0" w:color="auto"/>
      </w:divBdr>
    </w:div>
    <w:div w:id="291404103">
      <w:bodyDiv w:val="1"/>
      <w:marLeft w:val="0"/>
      <w:marRight w:val="0"/>
      <w:marTop w:val="0"/>
      <w:marBottom w:val="0"/>
      <w:divBdr>
        <w:top w:val="none" w:sz="0" w:space="0" w:color="auto"/>
        <w:left w:val="none" w:sz="0" w:space="0" w:color="auto"/>
        <w:bottom w:val="none" w:sz="0" w:space="0" w:color="auto"/>
        <w:right w:val="none" w:sz="0" w:space="0" w:color="auto"/>
      </w:divBdr>
    </w:div>
    <w:div w:id="292058311">
      <w:bodyDiv w:val="1"/>
      <w:marLeft w:val="0"/>
      <w:marRight w:val="0"/>
      <w:marTop w:val="0"/>
      <w:marBottom w:val="0"/>
      <w:divBdr>
        <w:top w:val="none" w:sz="0" w:space="0" w:color="auto"/>
        <w:left w:val="none" w:sz="0" w:space="0" w:color="auto"/>
        <w:bottom w:val="none" w:sz="0" w:space="0" w:color="auto"/>
        <w:right w:val="none" w:sz="0" w:space="0" w:color="auto"/>
      </w:divBdr>
    </w:div>
    <w:div w:id="296958943">
      <w:bodyDiv w:val="1"/>
      <w:marLeft w:val="0"/>
      <w:marRight w:val="0"/>
      <w:marTop w:val="0"/>
      <w:marBottom w:val="0"/>
      <w:divBdr>
        <w:top w:val="none" w:sz="0" w:space="0" w:color="auto"/>
        <w:left w:val="none" w:sz="0" w:space="0" w:color="auto"/>
        <w:bottom w:val="none" w:sz="0" w:space="0" w:color="auto"/>
        <w:right w:val="none" w:sz="0" w:space="0" w:color="auto"/>
      </w:divBdr>
    </w:div>
    <w:div w:id="300498066">
      <w:bodyDiv w:val="1"/>
      <w:marLeft w:val="0"/>
      <w:marRight w:val="0"/>
      <w:marTop w:val="0"/>
      <w:marBottom w:val="0"/>
      <w:divBdr>
        <w:top w:val="none" w:sz="0" w:space="0" w:color="auto"/>
        <w:left w:val="none" w:sz="0" w:space="0" w:color="auto"/>
        <w:bottom w:val="none" w:sz="0" w:space="0" w:color="auto"/>
        <w:right w:val="none" w:sz="0" w:space="0" w:color="auto"/>
      </w:divBdr>
    </w:div>
    <w:div w:id="315302701">
      <w:bodyDiv w:val="1"/>
      <w:marLeft w:val="0"/>
      <w:marRight w:val="0"/>
      <w:marTop w:val="0"/>
      <w:marBottom w:val="0"/>
      <w:divBdr>
        <w:top w:val="none" w:sz="0" w:space="0" w:color="auto"/>
        <w:left w:val="none" w:sz="0" w:space="0" w:color="auto"/>
        <w:bottom w:val="none" w:sz="0" w:space="0" w:color="auto"/>
        <w:right w:val="none" w:sz="0" w:space="0" w:color="auto"/>
      </w:divBdr>
    </w:div>
    <w:div w:id="354383012">
      <w:bodyDiv w:val="1"/>
      <w:marLeft w:val="0"/>
      <w:marRight w:val="0"/>
      <w:marTop w:val="0"/>
      <w:marBottom w:val="0"/>
      <w:divBdr>
        <w:top w:val="none" w:sz="0" w:space="0" w:color="auto"/>
        <w:left w:val="none" w:sz="0" w:space="0" w:color="auto"/>
        <w:bottom w:val="none" w:sz="0" w:space="0" w:color="auto"/>
        <w:right w:val="none" w:sz="0" w:space="0" w:color="auto"/>
      </w:divBdr>
    </w:div>
    <w:div w:id="364062272">
      <w:bodyDiv w:val="1"/>
      <w:marLeft w:val="0"/>
      <w:marRight w:val="0"/>
      <w:marTop w:val="0"/>
      <w:marBottom w:val="0"/>
      <w:divBdr>
        <w:top w:val="none" w:sz="0" w:space="0" w:color="auto"/>
        <w:left w:val="none" w:sz="0" w:space="0" w:color="auto"/>
        <w:bottom w:val="none" w:sz="0" w:space="0" w:color="auto"/>
        <w:right w:val="none" w:sz="0" w:space="0" w:color="auto"/>
      </w:divBdr>
    </w:div>
    <w:div w:id="368801057">
      <w:bodyDiv w:val="1"/>
      <w:marLeft w:val="0"/>
      <w:marRight w:val="0"/>
      <w:marTop w:val="0"/>
      <w:marBottom w:val="0"/>
      <w:divBdr>
        <w:top w:val="none" w:sz="0" w:space="0" w:color="auto"/>
        <w:left w:val="none" w:sz="0" w:space="0" w:color="auto"/>
        <w:bottom w:val="none" w:sz="0" w:space="0" w:color="auto"/>
        <w:right w:val="none" w:sz="0" w:space="0" w:color="auto"/>
      </w:divBdr>
    </w:div>
    <w:div w:id="370492996">
      <w:bodyDiv w:val="1"/>
      <w:marLeft w:val="0"/>
      <w:marRight w:val="0"/>
      <w:marTop w:val="0"/>
      <w:marBottom w:val="0"/>
      <w:divBdr>
        <w:top w:val="none" w:sz="0" w:space="0" w:color="auto"/>
        <w:left w:val="none" w:sz="0" w:space="0" w:color="auto"/>
        <w:bottom w:val="none" w:sz="0" w:space="0" w:color="auto"/>
        <w:right w:val="none" w:sz="0" w:space="0" w:color="auto"/>
      </w:divBdr>
    </w:div>
    <w:div w:id="378238595">
      <w:bodyDiv w:val="1"/>
      <w:marLeft w:val="0"/>
      <w:marRight w:val="0"/>
      <w:marTop w:val="0"/>
      <w:marBottom w:val="0"/>
      <w:divBdr>
        <w:top w:val="none" w:sz="0" w:space="0" w:color="auto"/>
        <w:left w:val="none" w:sz="0" w:space="0" w:color="auto"/>
        <w:bottom w:val="none" w:sz="0" w:space="0" w:color="auto"/>
        <w:right w:val="none" w:sz="0" w:space="0" w:color="auto"/>
      </w:divBdr>
    </w:div>
    <w:div w:id="379742115">
      <w:bodyDiv w:val="1"/>
      <w:marLeft w:val="0"/>
      <w:marRight w:val="0"/>
      <w:marTop w:val="0"/>
      <w:marBottom w:val="0"/>
      <w:divBdr>
        <w:top w:val="none" w:sz="0" w:space="0" w:color="auto"/>
        <w:left w:val="none" w:sz="0" w:space="0" w:color="auto"/>
        <w:bottom w:val="none" w:sz="0" w:space="0" w:color="auto"/>
        <w:right w:val="none" w:sz="0" w:space="0" w:color="auto"/>
      </w:divBdr>
    </w:div>
    <w:div w:id="379986606">
      <w:bodyDiv w:val="1"/>
      <w:marLeft w:val="0"/>
      <w:marRight w:val="0"/>
      <w:marTop w:val="0"/>
      <w:marBottom w:val="0"/>
      <w:divBdr>
        <w:top w:val="none" w:sz="0" w:space="0" w:color="auto"/>
        <w:left w:val="none" w:sz="0" w:space="0" w:color="auto"/>
        <w:bottom w:val="none" w:sz="0" w:space="0" w:color="auto"/>
        <w:right w:val="none" w:sz="0" w:space="0" w:color="auto"/>
      </w:divBdr>
    </w:div>
    <w:div w:id="381634479">
      <w:bodyDiv w:val="1"/>
      <w:marLeft w:val="0"/>
      <w:marRight w:val="0"/>
      <w:marTop w:val="0"/>
      <w:marBottom w:val="0"/>
      <w:divBdr>
        <w:top w:val="none" w:sz="0" w:space="0" w:color="auto"/>
        <w:left w:val="none" w:sz="0" w:space="0" w:color="auto"/>
        <w:bottom w:val="none" w:sz="0" w:space="0" w:color="auto"/>
        <w:right w:val="none" w:sz="0" w:space="0" w:color="auto"/>
      </w:divBdr>
    </w:div>
    <w:div w:id="405419484">
      <w:bodyDiv w:val="1"/>
      <w:marLeft w:val="0"/>
      <w:marRight w:val="0"/>
      <w:marTop w:val="0"/>
      <w:marBottom w:val="0"/>
      <w:divBdr>
        <w:top w:val="none" w:sz="0" w:space="0" w:color="auto"/>
        <w:left w:val="none" w:sz="0" w:space="0" w:color="auto"/>
        <w:bottom w:val="none" w:sz="0" w:space="0" w:color="auto"/>
        <w:right w:val="none" w:sz="0" w:space="0" w:color="auto"/>
      </w:divBdr>
    </w:div>
    <w:div w:id="422341703">
      <w:bodyDiv w:val="1"/>
      <w:marLeft w:val="0"/>
      <w:marRight w:val="0"/>
      <w:marTop w:val="0"/>
      <w:marBottom w:val="0"/>
      <w:divBdr>
        <w:top w:val="none" w:sz="0" w:space="0" w:color="auto"/>
        <w:left w:val="none" w:sz="0" w:space="0" w:color="auto"/>
        <w:bottom w:val="none" w:sz="0" w:space="0" w:color="auto"/>
        <w:right w:val="none" w:sz="0" w:space="0" w:color="auto"/>
      </w:divBdr>
    </w:div>
    <w:div w:id="434132418">
      <w:bodyDiv w:val="1"/>
      <w:marLeft w:val="0"/>
      <w:marRight w:val="0"/>
      <w:marTop w:val="0"/>
      <w:marBottom w:val="0"/>
      <w:divBdr>
        <w:top w:val="none" w:sz="0" w:space="0" w:color="auto"/>
        <w:left w:val="none" w:sz="0" w:space="0" w:color="auto"/>
        <w:bottom w:val="none" w:sz="0" w:space="0" w:color="auto"/>
        <w:right w:val="none" w:sz="0" w:space="0" w:color="auto"/>
      </w:divBdr>
    </w:div>
    <w:div w:id="455025551">
      <w:bodyDiv w:val="1"/>
      <w:marLeft w:val="0"/>
      <w:marRight w:val="0"/>
      <w:marTop w:val="0"/>
      <w:marBottom w:val="0"/>
      <w:divBdr>
        <w:top w:val="none" w:sz="0" w:space="0" w:color="auto"/>
        <w:left w:val="none" w:sz="0" w:space="0" w:color="auto"/>
        <w:bottom w:val="none" w:sz="0" w:space="0" w:color="auto"/>
        <w:right w:val="none" w:sz="0" w:space="0" w:color="auto"/>
      </w:divBdr>
    </w:div>
    <w:div w:id="461462833">
      <w:bodyDiv w:val="1"/>
      <w:marLeft w:val="0"/>
      <w:marRight w:val="0"/>
      <w:marTop w:val="0"/>
      <w:marBottom w:val="0"/>
      <w:divBdr>
        <w:top w:val="none" w:sz="0" w:space="0" w:color="auto"/>
        <w:left w:val="none" w:sz="0" w:space="0" w:color="auto"/>
        <w:bottom w:val="none" w:sz="0" w:space="0" w:color="auto"/>
        <w:right w:val="none" w:sz="0" w:space="0" w:color="auto"/>
      </w:divBdr>
      <w:divsChild>
        <w:div w:id="1333994579">
          <w:marLeft w:val="0"/>
          <w:marRight w:val="0"/>
          <w:marTop w:val="120"/>
          <w:marBottom w:val="120"/>
          <w:divBdr>
            <w:top w:val="none" w:sz="0" w:space="0" w:color="auto"/>
            <w:left w:val="none" w:sz="0" w:space="0" w:color="auto"/>
            <w:bottom w:val="none" w:sz="0" w:space="0" w:color="auto"/>
            <w:right w:val="none" w:sz="0" w:space="0" w:color="auto"/>
          </w:divBdr>
        </w:div>
        <w:div w:id="560557244">
          <w:marLeft w:val="0"/>
          <w:marRight w:val="0"/>
          <w:marTop w:val="120"/>
          <w:marBottom w:val="120"/>
          <w:divBdr>
            <w:top w:val="none" w:sz="0" w:space="0" w:color="auto"/>
            <w:left w:val="none" w:sz="0" w:space="0" w:color="auto"/>
            <w:bottom w:val="none" w:sz="0" w:space="0" w:color="auto"/>
            <w:right w:val="none" w:sz="0" w:space="0" w:color="auto"/>
          </w:divBdr>
        </w:div>
        <w:div w:id="102187422">
          <w:marLeft w:val="0"/>
          <w:marRight w:val="0"/>
          <w:marTop w:val="120"/>
          <w:marBottom w:val="120"/>
          <w:divBdr>
            <w:top w:val="none" w:sz="0" w:space="0" w:color="auto"/>
            <w:left w:val="none" w:sz="0" w:space="0" w:color="auto"/>
            <w:bottom w:val="none" w:sz="0" w:space="0" w:color="auto"/>
            <w:right w:val="none" w:sz="0" w:space="0" w:color="auto"/>
          </w:divBdr>
        </w:div>
        <w:div w:id="1821069418">
          <w:marLeft w:val="0"/>
          <w:marRight w:val="0"/>
          <w:marTop w:val="120"/>
          <w:marBottom w:val="120"/>
          <w:divBdr>
            <w:top w:val="none" w:sz="0" w:space="0" w:color="auto"/>
            <w:left w:val="none" w:sz="0" w:space="0" w:color="auto"/>
            <w:bottom w:val="none" w:sz="0" w:space="0" w:color="auto"/>
            <w:right w:val="none" w:sz="0" w:space="0" w:color="auto"/>
          </w:divBdr>
        </w:div>
        <w:div w:id="337932086">
          <w:marLeft w:val="0"/>
          <w:marRight w:val="0"/>
          <w:marTop w:val="120"/>
          <w:marBottom w:val="120"/>
          <w:divBdr>
            <w:top w:val="none" w:sz="0" w:space="0" w:color="auto"/>
            <w:left w:val="none" w:sz="0" w:space="0" w:color="auto"/>
            <w:bottom w:val="none" w:sz="0" w:space="0" w:color="auto"/>
            <w:right w:val="none" w:sz="0" w:space="0" w:color="auto"/>
          </w:divBdr>
        </w:div>
        <w:div w:id="495650900">
          <w:marLeft w:val="0"/>
          <w:marRight w:val="0"/>
          <w:marTop w:val="120"/>
          <w:marBottom w:val="120"/>
          <w:divBdr>
            <w:top w:val="none" w:sz="0" w:space="0" w:color="auto"/>
            <w:left w:val="none" w:sz="0" w:space="0" w:color="auto"/>
            <w:bottom w:val="none" w:sz="0" w:space="0" w:color="auto"/>
            <w:right w:val="none" w:sz="0" w:space="0" w:color="auto"/>
          </w:divBdr>
        </w:div>
        <w:div w:id="184252141">
          <w:marLeft w:val="0"/>
          <w:marRight w:val="0"/>
          <w:marTop w:val="120"/>
          <w:marBottom w:val="120"/>
          <w:divBdr>
            <w:top w:val="none" w:sz="0" w:space="0" w:color="auto"/>
            <w:left w:val="none" w:sz="0" w:space="0" w:color="auto"/>
            <w:bottom w:val="none" w:sz="0" w:space="0" w:color="auto"/>
            <w:right w:val="none" w:sz="0" w:space="0" w:color="auto"/>
          </w:divBdr>
        </w:div>
        <w:div w:id="153885193">
          <w:marLeft w:val="0"/>
          <w:marRight w:val="0"/>
          <w:marTop w:val="120"/>
          <w:marBottom w:val="120"/>
          <w:divBdr>
            <w:top w:val="none" w:sz="0" w:space="0" w:color="auto"/>
            <w:left w:val="none" w:sz="0" w:space="0" w:color="auto"/>
            <w:bottom w:val="none" w:sz="0" w:space="0" w:color="auto"/>
            <w:right w:val="none" w:sz="0" w:space="0" w:color="auto"/>
          </w:divBdr>
        </w:div>
        <w:div w:id="1294865120">
          <w:marLeft w:val="0"/>
          <w:marRight w:val="0"/>
          <w:marTop w:val="120"/>
          <w:marBottom w:val="120"/>
          <w:divBdr>
            <w:top w:val="none" w:sz="0" w:space="0" w:color="auto"/>
            <w:left w:val="none" w:sz="0" w:space="0" w:color="auto"/>
            <w:bottom w:val="none" w:sz="0" w:space="0" w:color="auto"/>
            <w:right w:val="none" w:sz="0" w:space="0" w:color="auto"/>
          </w:divBdr>
        </w:div>
        <w:div w:id="635646026">
          <w:marLeft w:val="0"/>
          <w:marRight w:val="0"/>
          <w:marTop w:val="120"/>
          <w:marBottom w:val="120"/>
          <w:divBdr>
            <w:top w:val="none" w:sz="0" w:space="0" w:color="auto"/>
            <w:left w:val="none" w:sz="0" w:space="0" w:color="auto"/>
            <w:bottom w:val="none" w:sz="0" w:space="0" w:color="auto"/>
            <w:right w:val="none" w:sz="0" w:space="0" w:color="auto"/>
          </w:divBdr>
        </w:div>
        <w:div w:id="197669845">
          <w:marLeft w:val="0"/>
          <w:marRight w:val="0"/>
          <w:marTop w:val="120"/>
          <w:marBottom w:val="120"/>
          <w:divBdr>
            <w:top w:val="none" w:sz="0" w:space="0" w:color="auto"/>
            <w:left w:val="none" w:sz="0" w:space="0" w:color="auto"/>
            <w:bottom w:val="none" w:sz="0" w:space="0" w:color="auto"/>
            <w:right w:val="none" w:sz="0" w:space="0" w:color="auto"/>
          </w:divBdr>
        </w:div>
      </w:divsChild>
    </w:div>
    <w:div w:id="463502172">
      <w:bodyDiv w:val="1"/>
      <w:marLeft w:val="0"/>
      <w:marRight w:val="0"/>
      <w:marTop w:val="0"/>
      <w:marBottom w:val="0"/>
      <w:divBdr>
        <w:top w:val="none" w:sz="0" w:space="0" w:color="auto"/>
        <w:left w:val="none" w:sz="0" w:space="0" w:color="auto"/>
        <w:bottom w:val="none" w:sz="0" w:space="0" w:color="auto"/>
        <w:right w:val="none" w:sz="0" w:space="0" w:color="auto"/>
      </w:divBdr>
    </w:div>
    <w:div w:id="470829319">
      <w:bodyDiv w:val="1"/>
      <w:marLeft w:val="0"/>
      <w:marRight w:val="0"/>
      <w:marTop w:val="0"/>
      <w:marBottom w:val="0"/>
      <w:divBdr>
        <w:top w:val="none" w:sz="0" w:space="0" w:color="auto"/>
        <w:left w:val="none" w:sz="0" w:space="0" w:color="auto"/>
        <w:bottom w:val="none" w:sz="0" w:space="0" w:color="auto"/>
        <w:right w:val="none" w:sz="0" w:space="0" w:color="auto"/>
      </w:divBdr>
    </w:div>
    <w:div w:id="473180815">
      <w:bodyDiv w:val="1"/>
      <w:marLeft w:val="0"/>
      <w:marRight w:val="0"/>
      <w:marTop w:val="0"/>
      <w:marBottom w:val="0"/>
      <w:divBdr>
        <w:top w:val="none" w:sz="0" w:space="0" w:color="auto"/>
        <w:left w:val="none" w:sz="0" w:space="0" w:color="auto"/>
        <w:bottom w:val="none" w:sz="0" w:space="0" w:color="auto"/>
        <w:right w:val="none" w:sz="0" w:space="0" w:color="auto"/>
      </w:divBdr>
    </w:div>
    <w:div w:id="479621135">
      <w:bodyDiv w:val="1"/>
      <w:marLeft w:val="0"/>
      <w:marRight w:val="0"/>
      <w:marTop w:val="0"/>
      <w:marBottom w:val="0"/>
      <w:divBdr>
        <w:top w:val="none" w:sz="0" w:space="0" w:color="auto"/>
        <w:left w:val="none" w:sz="0" w:space="0" w:color="auto"/>
        <w:bottom w:val="none" w:sz="0" w:space="0" w:color="auto"/>
        <w:right w:val="none" w:sz="0" w:space="0" w:color="auto"/>
      </w:divBdr>
    </w:div>
    <w:div w:id="502816544">
      <w:bodyDiv w:val="1"/>
      <w:marLeft w:val="0"/>
      <w:marRight w:val="0"/>
      <w:marTop w:val="0"/>
      <w:marBottom w:val="0"/>
      <w:divBdr>
        <w:top w:val="none" w:sz="0" w:space="0" w:color="auto"/>
        <w:left w:val="none" w:sz="0" w:space="0" w:color="auto"/>
        <w:bottom w:val="none" w:sz="0" w:space="0" w:color="auto"/>
        <w:right w:val="none" w:sz="0" w:space="0" w:color="auto"/>
      </w:divBdr>
    </w:div>
    <w:div w:id="515461290">
      <w:bodyDiv w:val="1"/>
      <w:marLeft w:val="0"/>
      <w:marRight w:val="0"/>
      <w:marTop w:val="0"/>
      <w:marBottom w:val="0"/>
      <w:divBdr>
        <w:top w:val="none" w:sz="0" w:space="0" w:color="auto"/>
        <w:left w:val="none" w:sz="0" w:space="0" w:color="auto"/>
        <w:bottom w:val="none" w:sz="0" w:space="0" w:color="auto"/>
        <w:right w:val="none" w:sz="0" w:space="0" w:color="auto"/>
      </w:divBdr>
    </w:div>
    <w:div w:id="525220822">
      <w:bodyDiv w:val="1"/>
      <w:marLeft w:val="0"/>
      <w:marRight w:val="0"/>
      <w:marTop w:val="0"/>
      <w:marBottom w:val="0"/>
      <w:divBdr>
        <w:top w:val="none" w:sz="0" w:space="0" w:color="auto"/>
        <w:left w:val="none" w:sz="0" w:space="0" w:color="auto"/>
        <w:bottom w:val="none" w:sz="0" w:space="0" w:color="auto"/>
        <w:right w:val="none" w:sz="0" w:space="0" w:color="auto"/>
      </w:divBdr>
    </w:div>
    <w:div w:id="540095874">
      <w:bodyDiv w:val="1"/>
      <w:marLeft w:val="0"/>
      <w:marRight w:val="0"/>
      <w:marTop w:val="0"/>
      <w:marBottom w:val="0"/>
      <w:divBdr>
        <w:top w:val="none" w:sz="0" w:space="0" w:color="auto"/>
        <w:left w:val="none" w:sz="0" w:space="0" w:color="auto"/>
        <w:bottom w:val="none" w:sz="0" w:space="0" w:color="auto"/>
        <w:right w:val="none" w:sz="0" w:space="0" w:color="auto"/>
      </w:divBdr>
      <w:divsChild>
        <w:div w:id="1436899178">
          <w:marLeft w:val="0"/>
          <w:marRight w:val="0"/>
          <w:marTop w:val="0"/>
          <w:marBottom w:val="0"/>
          <w:divBdr>
            <w:top w:val="none" w:sz="0" w:space="0" w:color="auto"/>
            <w:left w:val="none" w:sz="0" w:space="0" w:color="auto"/>
            <w:bottom w:val="none" w:sz="0" w:space="0" w:color="auto"/>
            <w:right w:val="none" w:sz="0" w:space="0" w:color="auto"/>
          </w:divBdr>
          <w:divsChild>
            <w:div w:id="1556621530">
              <w:marLeft w:val="0"/>
              <w:marRight w:val="0"/>
              <w:marTop w:val="0"/>
              <w:marBottom w:val="0"/>
              <w:divBdr>
                <w:top w:val="none" w:sz="0" w:space="0" w:color="auto"/>
                <w:left w:val="none" w:sz="0" w:space="0" w:color="auto"/>
                <w:bottom w:val="none" w:sz="0" w:space="0" w:color="auto"/>
                <w:right w:val="none" w:sz="0" w:space="0" w:color="auto"/>
              </w:divBdr>
              <w:divsChild>
                <w:div w:id="638657978">
                  <w:marLeft w:val="0"/>
                  <w:marRight w:val="0"/>
                  <w:marTop w:val="0"/>
                  <w:marBottom w:val="0"/>
                  <w:divBdr>
                    <w:top w:val="none" w:sz="0" w:space="0" w:color="auto"/>
                    <w:left w:val="none" w:sz="0" w:space="0" w:color="auto"/>
                    <w:bottom w:val="none" w:sz="0" w:space="0" w:color="auto"/>
                    <w:right w:val="none" w:sz="0" w:space="0" w:color="auto"/>
                  </w:divBdr>
                  <w:divsChild>
                    <w:div w:id="1699308895">
                      <w:marLeft w:val="0"/>
                      <w:marRight w:val="0"/>
                      <w:marTop w:val="0"/>
                      <w:marBottom w:val="0"/>
                      <w:divBdr>
                        <w:top w:val="none" w:sz="0" w:space="0" w:color="auto"/>
                        <w:left w:val="none" w:sz="0" w:space="0" w:color="auto"/>
                        <w:bottom w:val="none" w:sz="0" w:space="0" w:color="auto"/>
                        <w:right w:val="none" w:sz="0" w:space="0" w:color="auto"/>
                      </w:divBdr>
                      <w:divsChild>
                        <w:div w:id="1270508637">
                          <w:marLeft w:val="0"/>
                          <w:marRight w:val="0"/>
                          <w:marTop w:val="0"/>
                          <w:marBottom w:val="0"/>
                          <w:divBdr>
                            <w:top w:val="none" w:sz="0" w:space="0" w:color="auto"/>
                            <w:left w:val="none" w:sz="0" w:space="0" w:color="auto"/>
                            <w:bottom w:val="none" w:sz="0" w:space="0" w:color="auto"/>
                            <w:right w:val="none" w:sz="0" w:space="0" w:color="auto"/>
                          </w:divBdr>
                          <w:divsChild>
                            <w:div w:id="487094456">
                              <w:marLeft w:val="0"/>
                              <w:marRight w:val="0"/>
                              <w:marTop w:val="0"/>
                              <w:marBottom w:val="0"/>
                              <w:divBdr>
                                <w:top w:val="none" w:sz="0" w:space="0" w:color="auto"/>
                                <w:left w:val="none" w:sz="0" w:space="0" w:color="auto"/>
                                <w:bottom w:val="none" w:sz="0" w:space="0" w:color="auto"/>
                                <w:right w:val="none" w:sz="0" w:space="0" w:color="auto"/>
                              </w:divBdr>
                              <w:divsChild>
                                <w:div w:id="120448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7113310">
      <w:bodyDiv w:val="1"/>
      <w:marLeft w:val="0"/>
      <w:marRight w:val="0"/>
      <w:marTop w:val="0"/>
      <w:marBottom w:val="0"/>
      <w:divBdr>
        <w:top w:val="none" w:sz="0" w:space="0" w:color="auto"/>
        <w:left w:val="none" w:sz="0" w:space="0" w:color="auto"/>
        <w:bottom w:val="none" w:sz="0" w:space="0" w:color="auto"/>
        <w:right w:val="none" w:sz="0" w:space="0" w:color="auto"/>
      </w:divBdr>
    </w:div>
    <w:div w:id="552741835">
      <w:bodyDiv w:val="1"/>
      <w:marLeft w:val="0"/>
      <w:marRight w:val="0"/>
      <w:marTop w:val="0"/>
      <w:marBottom w:val="0"/>
      <w:divBdr>
        <w:top w:val="none" w:sz="0" w:space="0" w:color="auto"/>
        <w:left w:val="none" w:sz="0" w:space="0" w:color="auto"/>
        <w:bottom w:val="none" w:sz="0" w:space="0" w:color="auto"/>
        <w:right w:val="none" w:sz="0" w:space="0" w:color="auto"/>
      </w:divBdr>
    </w:div>
    <w:div w:id="557057712">
      <w:bodyDiv w:val="1"/>
      <w:marLeft w:val="0"/>
      <w:marRight w:val="0"/>
      <w:marTop w:val="0"/>
      <w:marBottom w:val="0"/>
      <w:divBdr>
        <w:top w:val="none" w:sz="0" w:space="0" w:color="auto"/>
        <w:left w:val="none" w:sz="0" w:space="0" w:color="auto"/>
        <w:bottom w:val="none" w:sz="0" w:space="0" w:color="auto"/>
        <w:right w:val="none" w:sz="0" w:space="0" w:color="auto"/>
      </w:divBdr>
    </w:div>
    <w:div w:id="577787040">
      <w:bodyDiv w:val="1"/>
      <w:marLeft w:val="0"/>
      <w:marRight w:val="0"/>
      <w:marTop w:val="0"/>
      <w:marBottom w:val="0"/>
      <w:divBdr>
        <w:top w:val="none" w:sz="0" w:space="0" w:color="auto"/>
        <w:left w:val="none" w:sz="0" w:space="0" w:color="auto"/>
        <w:bottom w:val="none" w:sz="0" w:space="0" w:color="auto"/>
        <w:right w:val="none" w:sz="0" w:space="0" w:color="auto"/>
      </w:divBdr>
      <w:divsChild>
        <w:div w:id="11721821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7234930">
      <w:bodyDiv w:val="1"/>
      <w:marLeft w:val="0"/>
      <w:marRight w:val="0"/>
      <w:marTop w:val="0"/>
      <w:marBottom w:val="0"/>
      <w:divBdr>
        <w:top w:val="none" w:sz="0" w:space="0" w:color="auto"/>
        <w:left w:val="none" w:sz="0" w:space="0" w:color="auto"/>
        <w:bottom w:val="none" w:sz="0" w:space="0" w:color="auto"/>
        <w:right w:val="none" w:sz="0" w:space="0" w:color="auto"/>
      </w:divBdr>
    </w:div>
    <w:div w:id="592325477">
      <w:bodyDiv w:val="1"/>
      <w:marLeft w:val="0"/>
      <w:marRight w:val="0"/>
      <w:marTop w:val="0"/>
      <w:marBottom w:val="0"/>
      <w:divBdr>
        <w:top w:val="none" w:sz="0" w:space="0" w:color="auto"/>
        <w:left w:val="none" w:sz="0" w:space="0" w:color="auto"/>
        <w:bottom w:val="none" w:sz="0" w:space="0" w:color="auto"/>
        <w:right w:val="none" w:sz="0" w:space="0" w:color="auto"/>
      </w:divBdr>
    </w:div>
    <w:div w:id="600795624">
      <w:bodyDiv w:val="1"/>
      <w:marLeft w:val="0"/>
      <w:marRight w:val="0"/>
      <w:marTop w:val="0"/>
      <w:marBottom w:val="0"/>
      <w:divBdr>
        <w:top w:val="none" w:sz="0" w:space="0" w:color="auto"/>
        <w:left w:val="none" w:sz="0" w:space="0" w:color="auto"/>
        <w:bottom w:val="none" w:sz="0" w:space="0" w:color="auto"/>
        <w:right w:val="none" w:sz="0" w:space="0" w:color="auto"/>
      </w:divBdr>
    </w:div>
    <w:div w:id="604655329">
      <w:bodyDiv w:val="1"/>
      <w:marLeft w:val="0"/>
      <w:marRight w:val="0"/>
      <w:marTop w:val="0"/>
      <w:marBottom w:val="0"/>
      <w:divBdr>
        <w:top w:val="none" w:sz="0" w:space="0" w:color="auto"/>
        <w:left w:val="none" w:sz="0" w:space="0" w:color="auto"/>
        <w:bottom w:val="none" w:sz="0" w:space="0" w:color="auto"/>
        <w:right w:val="none" w:sz="0" w:space="0" w:color="auto"/>
      </w:divBdr>
    </w:div>
    <w:div w:id="624775414">
      <w:bodyDiv w:val="1"/>
      <w:marLeft w:val="0"/>
      <w:marRight w:val="0"/>
      <w:marTop w:val="0"/>
      <w:marBottom w:val="0"/>
      <w:divBdr>
        <w:top w:val="none" w:sz="0" w:space="0" w:color="auto"/>
        <w:left w:val="none" w:sz="0" w:space="0" w:color="auto"/>
        <w:bottom w:val="none" w:sz="0" w:space="0" w:color="auto"/>
        <w:right w:val="none" w:sz="0" w:space="0" w:color="auto"/>
      </w:divBdr>
    </w:div>
    <w:div w:id="628627661">
      <w:bodyDiv w:val="1"/>
      <w:marLeft w:val="0"/>
      <w:marRight w:val="0"/>
      <w:marTop w:val="0"/>
      <w:marBottom w:val="0"/>
      <w:divBdr>
        <w:top w:val="none" w:sz="0" w:space="0" w:color="auto"/>
        <w:left w:val="none" w:sz="0" w:space="0" w:color="auto"/>
        <w:bottom w:val="none" w:sz="0" w:space="0" w:color="auto"/>
        <w:right w:val="none" w:sz="0" w:space="0" w:color="auto"/>
      </w:divBdr>
    </w:div>
    <w:div w:id="632517013">
      <w:bodyDiv w:val="1"/>
      <w:marLeft w:val="0"/>
      <w:marRight w:val="0"/>
      <w:marTop w:val="0"/>
      <w:marBottom w:val="0"/>
      <w:divBdr>
        <w:top w:val="none" w:sz="0" w:space="0" w:color="auto"/>
        <w:left w:val="none" w:sz="0" w:space="0" w:color="auto"/>
        <w:bottom w:val="none" w:sz="0" w:space="0" w:color="auto"/>
        <w:right w:val="none" w:sz="0" w:space="0" w:color="auto"/>
      </w:divBdr>
    </w:div>
    <w:div w:id="639269638">
      <w:bodyDiv w:val="1"/>
      <w:marLeft w:val="0"/>
      <w:marRight w:val="0"/>
      <w:marTop w:val="0"/>
      <w:marBottom w:val="0"/>
      <w:divBdr>
        <w:top w:val="none" w:sz="0" w:space="0" w:color="auto"/>
        <w:left w:val="none" w:sz="0" w:space="0" w:color="auto"/>
        <w:bottom w:val="none" w:sz="0" w:space="0" w:color="auto"/>
        <w:right w:val="none" w:sz="0" w:space="0" w:color="auto"/>
      </w:divBdr>
    </w:div>
    <w:div w:id="668168785">
      <w:bodyDiv w:val="1"/>
      <w:marLeft w:val="0"/>
      <w:marRight w:val="0"/>
      <w:marTop w:val="0"/>
      <w:marBottom w:val="0"/>
      <w:divBdr>
        <w:top w:val="none" w:sz="0" w:space="0" w:color="auto"/>
        <w:left w:val="none" w:sz="0" w:space="0" w:color="auto"/>
        <w:bottom w:val="none" w:sz="0" w:space="0" w:color="auto"/>
        <w:right w:val="none" w:sz="0" w:space="0" w:color="auto"/>
      </w:divBdr>
    </w:div>
    <w:div w:id="677854262">
      <w:bodyDiv w:val="1"/>
      <w:marLeft w:val="0"/>
      <w:marRight w:val="0"/>
      <w:marTop w:val="0"/>
      <w:marBottom w:val="0"/>
      <w:divBdr>
        <w:top w:val="none" w:sz="0" w:space="0" w:color="auto"/>
        <w:left w:val="none" w:sz="0" w:space="0" w:color="auto"/>
        <w:bottom w:val="none" w:sz="0" w:space="0" w:color="auto"/>
        <w:right w:val="none" w:sz="0" w:space="0" w:color="auto"/>
      </w:divBdr>
    </w:div>
    <w:div w:id="701515747">
      <w:bodyDiv w:val="1"/>
      <w:marLeft w:val="0"/>
      <w:marRight w:val="0"/>
      <w:marTop w:val="0"/>
      <w:marBottom w:val="0"/>
      <w:divBdr>
        <w:top w:val="none" w:sz="0" w:space="0" w:color="auto"/>
        <w:left w:val="none" w:sz="0" w:space="0" w:color="auto"/>
        <w:bottom w:val="none" w:sz="0" w:space="0" w:color="auto"/>
        <w:right w:val="none" w:sz="0" w:space="0" w:color="auto"/>
      </w:divBdr>
    </w:div>
    <w:div w:id="702247678">
      <w:bodyDiv w:val="1"/>
      <w:marLeft w:val="0"/>
      <w:marRight w:val="0"/>
      <w:marTop w:val="0"/>
      <w:marBottom w:val="0"/>
      <w:divBdr>
        <w:top w:val="none" w:sz="0" w:space="0" w:color="auto"/>
        <w:left w:val="none" w:sz="0" w:space="0" w:color="auto"/>
        <w:bottom w:val="none" w:sz="0" w:space="0" w:color="auto"/>
        <w:right w:val="none" w:sz="0" w:space="0" w:color="auto"/>
      </w:divBdr>
    </w:div>
    <w:div w:id="711660528">
      <w:bodyDiv w:val="1"/>
      <w:marLeft w:val="0"/>
      <w:marRight w:val="0"/>
      <w:marTop w:val="0"/>
      <w:marBottom w:val="0"/>
      <w:divBdr>
        <w:top w:val="none" w:sz="0" w:space="0" w:color="auto"/>
        <w:left w:val="none" w:sz="0" w:space="0" w:color="auto"/>
        <w:bottom w:val="none" w:sz="0" w:space="0" w:color="auto"/>
        <w:right w:val="none" w:sz="0" w:space="0" w:color="auto"/>
      </w:divBdr>
      <w:divsChild>
        <w:div w:id="1861241909">
          <w:marLeft w:val="0"/>
          <w:marRight w:val="0"/>
          <w:marTop w:val="0"/>
          <w:marBottom w:val="0"/>
          <w:divBdr>
            <w:top w:val="none" w:sz="0" w:space="0" w:color="auto"/>
            <w:left w:val="none" w:sz="0" w:space="0" w:color="auto"/>
            <w:bottom w:val="none" w:sz="0" w:space="0" w:color="auto"/>
            <w:right w:val="none" w:sz="0" w:space="0" w:color="auto"/>
          </w:divBdr>
          <w:divsChild>
            <w:div w:id="85550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932693">
      <w:bodyDiv w:val="1"/>
      <w:marLeft w:val="0"/>
      <w:marRight w:val="0"/>
      <w:marTop w:val="0"/>
      <w:marBottom w:val="0"/>
      <w:divBdr>
        <w:top w:val="none" w:sz="0" w:space="0" w:color="auto"/>
        <w:left w:val="none" w:sz="0" w:space="0" w:color="auto"/>
        <w:bottom w:val="none" w:sz="0" w:space="0" w:color="auto"/>
        <w:right w:val="none" w:sz="0" w:space="0" w:color="auto"/>
      </w:divBdr>
      <w:divsChild>
        <w:div w:id="1957716550">
          <w:marLeft w:val="0"/>
          <w:marRight w:val="0"/>
          <w:marTop w:val="120"/>
          <w:marBottom w:val="120"/>
          <w:divBdr>
            <w:top w:val="none" w:sz="0" w:space="0" w:color="auto"/>
            <w:left w:val="none" w:sz="0" w:space="0" w:color="auto"/>
            <w:bottom w:val="none" w:sz="0" w:space="0" w:color="auto"/>
            <w:right w:val="none" w:sz="0" w:space="0" w:color="auto"/>
          </w:divBdr>
        </w:div>
      </w:divsChild>
    </w:div>
    <w:div w:id="731847828">
      <w:bodyDiv w:val="1"/>
      <w:marLeft w:val="0"/>
      <w:marRight w:val="0"/>
      <w:marTop w:val="0"/>
      <w:marBottom w:val="0"/>
      <w:divBdr>
        <w:top w:val="none" w:sz="0" w:space="0" w:color="auto"/>
        <w:left w:val="none" w:sz="0" w:space="0" w:color="auto"/>
        <w:bottom w:val="none" w:sz="0" w:space="0" w:color="auto"/>
        <w:right w:val="none" w:sz="0" w:space="0" w:color="auto"/>
      </w:divBdr>
    </w:div>
    <w:div w:id="735904628">
      <w:bodyDiv w:val="1"/>
      <w:marLeft w:val="0"/>
      <w:marRight w:val="0"/>
      <w:marTop w:val="0"/>
      <w:marBottom w:val="0"/>
      <w:divBdr>
        <w:top w:val="none" w:sz="0" w:space="0" w:color="auto"/>
        <w:left w:val="none" w:sz="0" w:space="0" w:color="auto"/>
        <w:bottom w:val="none" w:sz="0" w:space="0" w:color="auto"/>
        <w:right w:val="none" w:sz="0" w:space="0" w:color="auto"/>
      </w:divBdr>
    </w:div>
    <w:div w:id="746343505">
      <w:bodyDiv w:val="1"/>
      <w:marLeft w:val="0"/>
      <w:marRight w:val="0"/>
      <w:marTop w:val="0"/>
      <w:marBottom w:val="0"/>
      <w:divBdr>
        <w:top w:val="none" w:sz="0" w:space="0" w:color="auto"/>
        <w:left w:val="none" w:sz="0" w:space="0" w:color="auto"/>
        <w:bottom w:val="none" w:sz="0" w:space="0" w:color="auto"/>
        <w:right w:val="none" w:sz="0" w:space="0" w:color="auto"/>
      </w:divBdr>
    </w:div>
    <w:div w:id="789277360">
      <w:bodyDiv w:val="1"/>
      <w:marLeft w:val="0"/>
      <w:marRight w:val="0"/>
      <w:marTop w:val="0"/>
      <w:marBottom w:val="0"/>
      <w:divBdr>
        <w:top w:val="none" w:sz="0" w:space="0" w:color="auto"/>
        <w:left w:val="none" w:sz="0" w:space="0" w:color="auto"/>
        <w:bottom w:val="none" w:sz="0" w:space="0" w:color="auto"/>
        <w:right w:val="none" w:sz="0" w:space="0" w:color="auto"/>
      </w:divBdr>
    </w:div>
    <w:div w:id="790632994">
      <w:bodyDiv w:val="1"/>
      <w:marLeft w:val="0"/>
      <w:marRight w:val="0"/>
      <w:marTop w:val="0"/>
      <w:marBottom w:val="0"/>
      <w:divBdr>
        <w:top w:val="none" w:sz="0" w:space="0" w:color="auto"/>
        <w:left w:val="none" w:sz="0" w:space="0" w:color="auto"/>
        <w:bottom w:val="none" w:sz="0" w:space="0" w:color="auto"/>
        <w:right w:val="none" w:sz="0" w:space="0" w:color="auto"/>
      </w:divBdr>
    </w:div>
    <w:div w:id="790780087">
      <w:bodyDiv w:val="1"/>
      <w:marLeft w:val="0"/>
      <w:marRight w:val="0"/>
      <w:marTop w:val="0"/>
      <w:marBottom w:val="0"/>
      <w:divBdr>
        <w:top w:val="none" w:sz="0" w:space="0" w:color="auto"/>
        <w:left w:val="none" w:sz="0" w:space="0" w:color="auto"/>
        <w:bottom w:val="none" w:sz="0" w:space="0" w:color="auto"/>
        <w:right w:val="none" w:sz="0" w:space="0" w:color="auto"/>
      </w:divBdr>
    </w:div>
    <w:div w:id="793790294">
      <w:bodyDiv w:val="1"/>
      <w:marLeft w:val="0"/>
      <w:marRight w:val="0"/>
      <w:marTop w:val="0"/>
      <w:marBottom w:val="0"/>
      <w:divBdr>
        <w:top w:val="none" w:sz="0" w:space="0" w:color="auto"/>
        <w:left w:val="none" w:sz="0" w:space="0" w:color="auto"/>
        <w:bottom w:val="none" w:sz="0" w:space="0" w:color="auto"/>
        <w:right w:val="none" w:sz="0" w:space="0" w:color="auto"/>
      </w:divBdr>
    </w:div>
    <w:div w:id="794716681">
      <w:bodyDiv w:val="1"/>
      <w:marLeft w:val="0"/>
      <w:marRight w:val="0"/>
      <w:marTop w:val="0"/>
      <w:marBottom w:val="0"/>
      <w:divBdr>
        <w:top w:val="none" w:sz="0" w:space="0" w:color="auto"/>
        <w:left w:val="none" w:sz="0" w:space="0" w:color="auto"/>
        <w:bottom w:val="none" w:sz="0" w:space="0" w:color="auto"/>
        <w:right w:val="none" w:sz="0" w:space="0" w:color="auto"/>
      </w:divBdr>
    </w:div>
    <w:div w:id="804742062">
      <w:bodyDiv w:val="1"/>
      <w:marLeft w:val="0"/>
      <w:marRight w:val="0"/>
      <w:marTop w:val="0"/>
      <w:marBottom w:val="0"/>
      <w:divBdr>
        <w:top w:val="none" w:sz="0" w:space="0" w:color="auto"/>
        <w:left w:val="none" w:sz="0" w:space="0" w:color="auto"/>
        <w:bottom w:val="none" w:sz="0" w:space="0" w:color="auto"/>
        <w:right w:val="none" w:sz="0" w:space="0" w:color="auto"/>
      </w:divBdr>
    </w:div>
    <w:div w:id="852232623">
      <w:bodyDiv w:val="1"/>
      <w:marLeft w:val="0"/>
      <w:marRight w:val="0"/>
      <w:marTop w:val="0"/>
      <w:marBottom w:val="0"/>
      <w:divBdr>
        <w:top w:val="none" w:sz="0" w:space="0" w:color="auto"/>
        <w:left w:val="none" w:sz="0" w:space="0" w:color="auto"/>
        <w:bottom w:val="none" w:sz="0" w:space="0" w:color="auto"/>
        <w:right w:val="none" w:sz="0" w:space="0" w:color="auto"/>
      </w:divBdr>
    </w:div>
    <w:div w:id="855466683">
      <w:bodyDiv w:val="1"/>
      <w:marLeft w:val="0"/>
      <w:marRight w:val="0"/>
      <w:marTop w:val="0"/>
      <w:marBottom w:val="0"/>
      <w:divBdr>
        <w:top w:val="none" w:sz="0" w:space="0" w:color="auto"/>
        <w:left w:val="none" w:sz="0" w:space="0" w:color="auto"/>
        <w:bottom w:val="none" w:sz="0" w:space="0" w:color="auto"/>
        <w:right w:val="none" w:sz="0" w:space="0" w:color="auto"/>
      </w:divBdr>
    </w:div>
    <w:div w:id="856692805">
      <w:bodyDiv w:val="1"/>
      <w:marLeft w:val="0"/>
      <w:marRight w:val="0"/>
      <w:marTop w:val="0"/>
      <w:marBottom w:val="0"/>
      <w:divBdr>
        <w:top w:val="none" w:sz="0" w:space="0" w:color="auto"/>
        <w:left w:val="none" w:sz="0" w:space="0" w:color="auto"/>
        <w:bottom w:val="none" w:sz="0" w:space="0" w:color="auto"/>
        <w:right w:val="none" w:sz="0" w:space="0" w:color="auto"/>
      </w:divBdr>
    </w:div>
    <w:div w:id="864563136">
      <w:bodyDiv w:val="1"/>
      <w:marLeft w:val="0"/>
      <w:marRight w:val="0"/>
      <w:marTop w:val="0"/>
      <w:marBottom w:val="0"/>
      <w:divBdr>
        <w:top w:val="none" w:sz="0" w:space="0" w:color="auto"/>
        <w:left w:val="none" w:sz="0" w:space="0" w:color="auto"/>
        <w:bottom w:val="none" w:sz="0" w:space="0" w:color="auto"/>
        <w:right w:val="none" w:sz="0" w:space="0" w:color="auto"/>
      </w:divBdr>
    </w:div>
    <w:div w:id="885871843">
      <w:bodyDiv w:val="1"/>
      <w:marLeft w:val="0"/>
      <w:marRight w:val="0"/>
      <w:marTop w:val="0"/>
      <w:marBottom w:val="0"/>
      <w:divBdr>
        <w:top w:val="none" w:sz="0" w:space="0" w:color="auto"/>
        <w:left w:val="none" w:sz="0" w:space="0" w:color="auto"/>
        <w:bottom w:val="none" w:sz="0" w:space="0" w:color="auto"/>
        <w:right w:val="none" w:sz="0" w:space="0" w:color="auto"/>
      </w:divBdr>
      <w:divsChild>
        <w:div w:id="874927990">
          <w:marLeft w:val="0"/>
          <w:marRight w:val="0"/>
          <w:marTop w:val="120"/>
          <w:marBottom w:val="120"/>
          <w:divBdr>
            <w:top w:val="none" w:sz="0" w:space="0" w:color="auto"/>
            <w:left w:val="none" w:sz="0" w:space="0" w:color="auto"/>
            <w:bottom w:val="none" w:sz="0" w:space="0" w:color="auto"/>
            <w:right w:val="none" w:sz="0" w:space="0" w:color="auto"/>
          </w:divBdr>
        </w:div>
        <w:div w:id="1645308823">
          <w:marLeft w:val="0"/>
          <w:marRight w:val="0"/>
          <w:marTop w:val="120"/>
          <w:marBottom w:val="120"/>
          <w:divBdr>
            <w:top w:val="none" w:sz="0" w:space="0" w:color="auto"/>
            <w:left w:val="none" w:sz="0" w:space="0" w:color="auto"/>
            <w:bottom w:val="none" w:sz="0" w:space="0" w:color="auto"/>
            <w:right w:val="none" w:sz="0" w:space="0" w:color="auto"/>
          </w:divBdr>
        </w:div>
        <w:div w:id="569465866">
          <w:marLeft w:val="0"/>
          <w:marRight w:val="0"/>
          <w:marTop w:val="120"/>
          <w:marBottom w:val="120"/>
          <w:divBdr>
            <w:top w:val="none" w:sz="0" w:space="0" w:color="auto"/>
            <w:left w:val="none" w:sz="0" w:space="0" w:color="auto"/>
            <w:bottom w:val="none" w:sz="0" w:space="0" w:color="auto"/>
            <w:right w:val="none" w:sz="0" w:space="0" w:color="auto"/>
          </w:divBdr>
        </w:div>
        <w:div w:id="508714555">
          <w:marLeft w:val="0"/>
          <w:marRight w:val="0"/>
          <w:marTop w:val="120"/>
          <w:marBottom w:val="120"/>
          <w:divBdr>
            <w:top w:val="none" w:sz="0" w:space="0" w:color="auto"/>
            <w:left w:val="none" w:sz="0" w:space="0" w:color="auto"/>
            <w:bottom w:val="none" w:sz="0" w:space="0" w:color="auto"/>
            <w:right w:val="none" w:sz="0" w:space="0" w:color="auto"/>
          </w:divBdr>
        </w:div>
        <w:div w:id="486558990">
          <w:marLeft w:val="0"/>
          <w:marRight w:val="0"/>
          <w:marTop w:val="120"/>
          <w:marBottom w:val="120"/>
          <w:divBdr>
            <w:top w:val="none" w:sz="0" w:space="0" w:color="auto"/>
            <w:left w:val="none" w:sz="0" w:space="0" w:color="auto"/>
            <w:bottom w:val="none" w:sz="0" w:space="0" w:color="auto"/>
            <w:right w:val="none" w:sz="0" w:space="0" w:color="auto"/>
          </w:divBdr>
        </w:div>
        <w:div w:id="527181928">
          <w:marLeft w:val="0"/>
          <w:marRight w:val="0"/>
          <w:marTop w:val="120"/>
          <w:marBottom w:val="120"/>
          <w:divBdr>
            <w:top w:val="none" w:sz="0" w:space="0" w:color="auto"/>
            <w:left w:val="none" w:sz="0" w:space="0" w:color="auto"/>
            <w:bottom w:val="none" w:sz="0" w:space="0" w:color="auto"/>
            <w:right w:val="none" w:sz="0" w:space="0" w:color="auto"/>
          </w:divBdr>
        </w:div>
        <w:div w:id="1106147896">
          <w:marLeft w:val="0"/>
          <w:marRight w:val="0"/>
          <w:marTop w:val="120"/>
          <w:marBottom w:val="120"/>
          <w:divBdr>
            <w:top w:val="none" w:sz="0" w:space="0" w:color="auto"/>
            <w:left w:val="none" w:sz="0" w:space="0" w:color="auto"/>
            <w:bottom w:val="none" w:sz="0" w:space="0" w:color="auto"/>
            <w:right w:val="none" w:sz="0" w:space="0" w:color="auto"/>
          </w:divBdr>
        </w:div>
        <w:div w:id="1576672583">
          <w:marLeft w:val="0"/>
          <w:marRight w:val="0"/>
          <w:marTop w:val="120"/>
          <w:marBottom w:val="120"/>
          <w:divBdr>
            <w:top w:val="none" w:sz="0" w:space="0" w:color="auto"/>
            <w:left w:val="none" w:sz="0" w:space="0" w:color="auto"/>
            <w:bottom w:val="none" w:sz="0" w:space="0" w:color="auto"/>
            <w:right w:val="none" w:sz="0" w:space="0" w:color="auto"/>
          </w:divBdr>
        </w:div>
        <w:div w:id="928121790">
          <w:marLeft w:val="0"/>
          <w:marRight w:val="0"/>
          <w:marTop w:val="120"/>
          <w:marBottom w:val="120"/>
          <w:divBdr>
            <w:top w:val="none" w:sz="0" w:space="0" w:color="auto"/>
            <w:left w:val="none" w:sz="0" w:space="0" w:color="auto"/>
            <w:bottom w:val="none" w:sz="0" w:space="0" w:color="auto"/>
            <w:right w:val="none" w:sz="0" w:space="0" w:color="auto"/>
          </w:divBdr>
        </w:div>
        <w:div w:id="132411505">
          <w:marLeft w:val="0"/>
          <w:marRight w:val="0"/>
          <w:marTop w:val="120"/>
          <w:marBottom w:val="120"/>
          <w:divBdr>
            <w:top w:val="none" w:sz="0" w:space="0" w:color="auto"/>
            <w:left w:val="none" w:sz="0" w:space="0" w:color="auto"/>
            <w:bottom w:val="none" w:sz="0" w:space="0" w:color="auto"/>
            <w:right w:val="none" w:sz="0" w:space="0" w:color="auto"/>
          </w:divBdr>
        </w:div>
        <w:div w:id="1043990337">
          <w:marLeft w:val="0"/>
          <w:marRight w:val="0"/>
          <w:marTop w:val="120"/>
          <w:marBottom w:val="120"/>
          <w:divBdr>
            <w:top w:val="none" w:sz="0" w:space="0" w:color="auto"/>
            <w:left w:val="none" w:sz="0" w:space="0" w:color="auto"/>
            <w:bottom w:val="none" w:sz="0" w:space="0" w:color="auto"/>
            <w:right w:val="none" w:sz="0" w:space="0" w:color="auto"/>
          </w:divBdr>
        </w:div>
        <w:div w:id="1155226254">
          <w:marLeft w:val="0"/>
          <w:marRight w:val="0"/>
          <w:marTop w:val="120"/>
          <w:marBottom w:val="120"/>
          <w:divBdr>
            <w:top w:val="none" w:sz="0" w:space="0" w:color="auto"/>
            <w:left w:val="none" w:sz="0" w:space="0" w:color="auto"/>
            <w:bottom w:val="none" w:sz="0" w:space="0" w:color="auto"/>
            <w:right w:val="none" w:sz="0" w:space="0" w:color="auto"/>
          </w:divBdr>
        </w:div>
        <w:div w:id="382213941">
          <w:marLeft w:val="0"/>
          <w:marRight w:val="0"/>
          <w:marTop w:val="120"/>
          <w:marBottom w:val="120"/>
          <w:divBdr>
            <w:top w:val="none" w:sz="0" w:space="0" w:color="auto"/>
            <w:left w:val="none" w:sz="0" w:space="0" w:color="auto"/>
            <w:bottom w:val="none" w:sz="0" w:space="0" w:color="auto"/>
            <w:right w:val="none" w:sz="0" w:space="0" w:color="auto"/>
          </w:divBdr>
        </w:div>
      </w:divsChild>
    </w:div>
    <w:div w:id="892960372">
      <w:bodyDiv w:val="1"/>
      <w:marLeft w:val="0"/>
      <w:marRight w:val="0"/>
      <w:marTop w:val="0"/>
      <w:marBottom w:val="0"/>
      <w:divBdr>
        <w:top w:val="none" w:sz="0" w:space="0" w:color="auto"/>
        <w:left w:val="none" w:sz="0" w:space="0" w:color="auto"/>
        <w:bottom w:val="none" w:sz="0" w:space="0" w:color="auto"/>
        <w:right w:val="none" w:sz="0" w:space="0" w:color="auto"/>
      </w:divBdr>
    </w:div>
    <w:div w:id="902258097">
      <w:bodyDiv w:val="1"/>
      <w:marLeft w:val="0"/>
      <w:marRight w:val="0"/>
      <w:marTop w:val="0"/>
      <w:marBottom w:val="0"/>
      <w:divBdr>
        <w:top w:val="none" w:sz="0" w:space="0" w:color="auto"/>
        <w:left w:val="none" w:sz="0" w:space="0" w:color="auto"/>
        <w:bottom w:val="none" w:sz="0" w:space="0" w:color="auto"/>
        <w:right w:val="none" w:sz="0" w:space="0" w:color="auto"/>
      </w:divBdr>
    </w:div>
    <w:div w:id="918447437">
      <w:bodyDiv w:val="1"/>
      <w:marLeft w:val="0"/>
      <w:marRight w:val="0"/>
      <w:marTop w:val="0"/>
      <w:marBottom w:val="0"/>
      <w:divBdr>
        <w:top w:val="none" w:sz="0" w:space="0" w:color="auto"/>
        <w:left w:val="none" w:sz="0" w:space="0" w:color="auto"/>
        <w:bottom w:val="none" w:sz="0" w:space="0" w:color="auto"/>
        <w:right w:val="none" w:sz="0" w:space="0" w:color="auto"/>
      </w:divBdr>
    </w:div>
    <w:div w:id="920336576">
      <w:bodyDiv w:val="1"/>
      <w:marLeft w:val="0"/>
      <w:marRight w:val="0"/>
      <w:marTop w:val="0"/>
      <w:marBottom w:val="0"/>
      <w:divBdr>
        <w:top w:val="none" w:sz="0" w:space="0" w:color="auto"/>
        <w:left w:val="none" w:sz="0" w:space="0" w:color="auto"/>
        <w:bottom w:val="none" w:sz="0" w:space="0" w:color="auto"/>
        <w:right w:val="none" w:sz="0" w:space="0" w:color="auto"/>
      </w:divBdr>
      <w:divsChild>
        <w:div w:id="1949119229">
          <w:marLeft w:val="0"/>
          <w:marRight w:val="0"/>
          <w:marTop w:val="120"/>
          <w:marBottom w:val="120"/>
          <w:divBdr>
            <w:top w:val="none" w:sz="0" w:space="0" w:color="auto"/>
            <w:left w:val="none" w:sz="0" w:space="0" w:color="auto"/>
            <w:bottom w:val="none" w:sz="0" w:space="0" w:color="auto"/>
            <w:right w:val="none" w:sz="0" w:space="0" w:color="auto"/>
          </w:divBdr>
        </w:div>
      </w:divsChild>
    </w:div>
    <w:div w:id="927082578">
      <w:bodyDiv w:val="1"/>
      <w:marLeft w:val="0"/>
      <w:marRight w:val="0"/>
      <w:marTop w:val="0"/>
      <w:marBottom w:val="0"/>
      <w:divBdr>
        <w:top w:val="none" w:sz="0" w:space="0" w:color="auto"/>
        <w:left w:val="none" w:sz="0" w:space="0" w:color="auto"/>
        <w:bottom w:val="none" w:sz="0" w:space="0" w:color="auto"/>
        <w:right w:val="none" w:sz="0" w:space="0" w:color="auto"/>
      </w:divBdr>
    </w:div>
    <w:div w:id="960695771">
      <w:bodyDiv w:val="1"/>
      <w:marLeft w:val="0"/>
      <w:marRight w:val="0"/>
      <w:marTop w:val="0"/>
      <w:marBottom w:val="0"/>
      <w:divBdr>
        <w:top w:val="none" w:sz="0" w:space="0" w:color="auto"/>
        <w:left w:val="none" w:sz="0" w:space="0" w:color="auto"/>
        <w:bottom w:val="none" w:sz="0" w:space="0" w:color="auto"/>
        <w:right w:val="none" w:sz="0" w:space="0" w:color="auto"/>
      </w:divBdr>
    </w:div>
    <w:div w:id="979920242">
      <w:bodyDiv w:val="1"/>
      <w:marLeft w:val="0"/>
      <w:marRight w:val="0"/>
      <w:marTop w:val="0"/>
      <w:marBottom w:val="0"/>
      <w:divBdr>
        <w:top w:val="none" w:sz="0" w:space="0" w:color="auto"/>
        <w:left w:val="none" w:sz="0" w:space="0" w:color="auto"/>
        <w:bottom w:val="none" w:sz="0" w:space="0" w:color="auto"/>
        <w:right w:val="none" w:sz="0" w:space="0" w:color="auto"/>
      </w:divBdr>
    </w:div>
    <w:div w:id="998995775">
      <w:bodyDiv w:val="1"/>
      <w:marLeft w:val="0"/>
      <w:marRight w:val="0"/>
      <w:marTop w:val="0"/>
      <w:marBottom w:val="0"/>
      <w:divBdr>
        <w:top w:val="none" w:sz="0" w:space="0" w:color="auto"/>
        <w:left w:val="none" w:sz="0" w:space="0" w:color="auto"/>
        <w:bottom w:val="none" w:sz="0" w:space="0" w:color="auto"/>
        <w:right w:val="none" w:sz="0" w:space="0" w:color="auto"/>
      </w:divBdr>
    </w:div>
    <w:div w:id="1010182498">
      <w:bodyDiv w:val="1"/>
      <w:marLeft w:val="0"/>
      <w:marRight w:val="0"/>
      <w:marTop w:val="0"/>
      <w:marBottom w:val="0"/>
      <w:divBdr>
        <w:top w:val="none" w:sz="0" w:space="0" w:color="auto"/>
        <w:left w:val="none" w:sz="0" w:space="0" w:color="auto"/>
        <w:bottom w:val="none" w:sz="0" w:space="0" w:color="auto"/>
        <w:right w:val="none" w:sz="0" w:space="0" w:color="auto"/>
      </w:divBdr>
    </w:div>
    <w:div w:id="1010329946">
      <w:bodyDiv w:val="1"/>
      <w:marLeft w:val="0"/>
      <w:marRight w:val="0"/>
      <w:marTop w:val="0"/>
      <w:marBottom w:val="0"/>
      <w:divBdr>
        <w:top w:val="none" w:sz="0" w:space="0" w:color="auto"/>
        <w:left w:val="none" w:sz="0" w:space="0" w:color="auto"/>
        <w:bottom w:val="none" w:sz="0" w:space="0" w:color="auto"/>
        <w:right w:val="none" w:sz="0" w:space="0" w:color="auto"/>
      </w:divBdr>
    </w:div>
    <w:div w:id="1027222343">
      <w:bodyDiv w:val="1"/>
      <w:marLeft w:val="0"/>
      <w:marRight w:val="0"/>
      <w:marTop w:val="0"/>
      <w:marBottom w:val="0"/>
      <w:divBdr>
        <w:top w:val="none" w:sz="0" w:space="0" w:color="auto"/>
        <w:left w:val="none" w:sz="0" w:space="0" w:color="auto"/>
        <w:bottom w:val="none" w:sz="0" w:space="0" w:color="auto"/>
        <w:right w:val="none" w:sz="0" w:space="0" w:color="auto"/>
      </w:divBdr>
    </w:div>
    <w:div w:id="1027293088">
      <w:bodyDiv w:val="1"/>
      <w:marLeft w:val="0"/>
      <w:marRight w:val="0"/>
      <w:marTop w:val="0"/>
      <w:marBottom w:val="0"/>
      <w:divBdr>
        <w:top w:val="none" w:sz="0" w:space="0" w:color="auto"/>
        <w:left w:val="none" w:sz="0" w:space="0" w:color="auto"/>
        <w:bottom w:val="none" w:sz="0" w:space="0" w:color="auto"/>
        <w:right w:val="none" w:sz="0" w:space="0" w:color="auto"/>
      </w:divBdr>
    </w:div>
    <w:div w:id="1039550416">
      <w:bodyDiv w:val="1"/>
      <w:marLeft w:val="0"/>
      <w:marRight w:val="0"/>
      <w:marTop w:val="0"/>
      <w:marBottom w:val="0"/>
      <w:divBdr>
        <w:top w:val="none" w:sz="0" w:space="0" w:color="auto"/>
        <w:left w:val="none" w:sz="0" w:space="0" w:color="auto"/>
        <w:bottom w:val="none" w:sz="0" w:space="0" w:color="auto"/>
        <w:right w:val="none" w:sz="0" w:space="0" w:color="auto"/>
      </w:divBdr>
    </w:div>
    <w:div w:id="1048531471">
      <w:bodyDiv w:val="1"/>
      <w:marLeft w:val="0"/>
      <w:marRight w:val="0"/>
      <w:marTop w:val="0"/>
      <w:marBottom w:val="0"/>
      <w:divBdr>
        <w:top w:val="none" w:sz="0" w:space="0" w:color="auto"/>
        <w:left w:val="none" w:sz="0" w:space="0" w:color="auto"/>
        <w:bottom w:val="none" w:sz="0" w:space="0" w:color="auto"/>
        <w:right w:val="none" w:sz="0" w:space="0" w:color="auto"/>
      </w:divBdr>
      <w:divsChild>
        <w:div w:id="481165734">
          <w:marLeft w:val="0"/>
          <w:marRight w:val="0"/>
          <w:marTop w:val="0"/>
          <w:marBottom w:val="0"/>
          <w:divBdr>
            <w:top w:val="none" w:sz="0" w:space="0" w:color="auto"/>
            <w:left w:val="none" w:sz="0" w:space="0" w:color="auto"/>
            <w:bottom w:val="none" w:sz="0" w:space="0" w:color="auto"/>
            <w:right w:val="none" w:sz="0" w:space="0" w:color="auto"/>
          </w:divBdr>
          <w:divsChild>
            <w:div w:id="1656952284">
              <w:marLeft w:val="0"/>
              <w:marRight w:val="0"/>
              <w:marTop w:val="0"/>
              <w:marBottom w:val="0"/>
              <w:divBdr>
                <w:top w:val="none" w:sz="0" w:space="0" w:color="auto"/>
                <w:left w:val="none" w:sz="0" w:space="0" w:color="auto"/>
                <w:bottom w:val="none" w:sz="0" w:space="0" w:color="auto"/>
                <w:right w:val="none" w:sz="0" w:space="0" w:color="auto"/>
              </w:divBdr>
              <w:divsChild>
                <w:div w:id="380328762">
                  <w:marLeft w:val="0"/>
                  <w:marRight w:val="0"/>
                  <w:marTop w:val="0"/>
                  <w:marBottom w:val="0"/>
                  <w:divBdr>
                    <w:top w:val="none" w:sz="0" w:space="0" w:color="auto"/>
                    <w:left w:val="none" w:sz="0" w:space="0" w:color="auto"/>
                    <w:bottom w:val="none" w:sz="0" w:space="0" w:color="auto"/>
                    <w:right w:val="none" w:sz="0" w:space="0" w:color="auto"/>
                  </w:divBdr>
                  <w:divsChild>
                    <w:div w:id="407846733">
                      <w:marLeft w:val="0"/>
                      <w:marRight w:val="0"/>
                      <w:marTop w:val="0"/>
                      <w:marBottom w:val="0"/>
                      <w:divBdr>
                        <w:top w:val="none" w:sz="0" w:space="0" w:color="auto"/>
                        <w:left w:val="none" w:sz="0" w:space="0" w:color="auto"/>
                        <w:bottom w:val="none" w:sz="0" w:space="0" w:color="auto"/>
                        <w:right w:val="none" w:sz="0" w:space="0" w:color="auto"/>
                      </w:divBdr>
                      <w:divsChild>
                        <w:div w:id="1715616766">
                          <w:marLeft w:val="0"/>
                          <w:marRight w:val="0"/>
                          <w:marTop w:val="0"/>
                          <w:marBottom w:val="0"/>
                          <w:divBdr>
                            <w:top w:val="none" w:sz="0" w:space="0" w:color="auto"/>
                            <w:left w:val="none" w:sz="0" w:space="0" w:color="auto"/>
                            <w:bottom w:val="none" w:sz="0" w:space="0" w:color="auto"/>
                            <w:right w:val="none" w:sz="0" w:space="0" w:color="auto"/>
                          </w:divBdr>
                          <w:divsChild>
                            <w:div w:id="699278438">
                              <w:marLeft w:val="0"/>
                              <w:marRight w:val="0"/>
                              <w:marTop w:val="0"/>
                              <w:marBottom w:val="0"/>
                              <w:divBdr>
                                <w:top w:val="none" w:sz="0" w:space="0" w:color="auto"/>
                                <w:left w:val="none" w:sz="0" w:space="0" w:color="auto"/>
                                <w:bottom w:val="none" w:sz="0" w:space="0" w:color="auto"/>
                                <w:right w:val="none" w:sz="0" w:space="0" w:color="auto"/>
                              </w:divBdr>
                              <w:divsChild>
                                <w:div w:id="558133140">
                                  <w:marLeft w:val="0"/>
                                  <w:marRight w:val="0"/>
                                  <w:marTop w:val="0"/>
                                  <w:marBottom w:val="0"/>
                                  <w:divBdr>
                                    <w:top w:val="none" w:sz="0" w:space="0" w:color="auto"/>
                                    <w:left w:val="none" w:sz="0" w:space="0" w:color="auto"/>
                                    <w:bottom w:val="none" w:sz="0" w:space="0" w:color="auto"/>
                                    <w:right w:val="none" w:sz="0" w:space="0" w:color="auto"/>
                                  </w:divBdr>
                                  <w:divsChild>
                                    <w:div w:id="16338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2383845">
      <w:bodyDiv w:val="1"/>
      <w:marLeft w:val="0"/>
      <w:marRight w:val="0"/>
      <w:marTop w:val="0"/>
      <w:marBottom w:val="0"/>
      <w:divBdr>
        <w:top w:val="none" w:sz="0" w:space="0" w:color="auto"/>
        <w:left w:val="none" w:sz="0" w:space="0" w:color="auto"/>
        <w:bottom w:val="none" w:sz="0" w:space="0" w:color="auto"/>
        <w:right w:val="none" w:sz="0" w:space="0" w:color="auto"/>
      </w:divBdr>
      <w:divsChild>
        <w:div w:id="1146243400">
          <w:marLeft w:val="0"/>
          <w:marRight w:val="0"/>
          <w:marTop w:val="120"/>
          <w:marBottom w:val="120"/>
          <w:divBdr>
            <w:top w:val="none" w:sz="0" w:space="0" w:color="auto"/>
            <w:left w:val="none" w:sz="0" w:space="0" w:color="auto"/>
            <w:bottom w:val="none" w:sz="0" w:space="0" w:color="auto"/>
            <w:right w:val="none" w:sz="0" w:space="0" w:color="auto"/>
          </w:divBdr>
        </w:div>
        <w:div w:id="1925455649">
          <w:marLeft w:val="0"/>
          <w:marRight w:val="0"/>
          <w:marTop w:val="120"/>
          <w:marBottom w:val="120"/>
          <w:divBdr>
            <w:top w:val="none" w:sz="0" w:space="0" w:color="auto"/>
            <w:left w:val="none" w:sz="0" w:space="0" w:color="auto"/>
            <w:bottom w:val="none" w:sz="0" w:space="0" w:color="auto"/>
            <w:right w:val="none" w:sz="0" w:space="0" w:color="auto"/>
          </w:divBdr>
        </w:div>
        <w:div w:id="1219436011">
          <w:marLeft w:val="0"/>
          <w:marRight w:val="0"/>
          <w:marTop w:val="120"/>
          <w:marBottom w:val="120"/>
          <w:divBdr>
            <w:top w:val="none" w:sz="0" w:space="0" w:color="auto"/>
            <w:left w:val="none" w:sz="0" w:space="0" w:color="auto"/>
            <w:bottom w:val="none" w:sz="0" w:space="0" w:color="auto"/>
            <w:right w:val="none" w:sz="0" w:space="0" w:color="auto"/>
          </w:divBdr>
        </w:div>
        <w:div w:id="1639413316">
          <w:marLeft w:val="0"/>
          <w:marRight w:val="0"/>
          <w:marTop w:val="120"/>
          <w:marBottom w:val="120"/>
          <w:divBdr>
            <w:top w:val="none" w:sz="0" w:space="0" w:color="auto"/>
            <w:left w:val="none" w:sz="0" w:space="0" w:color="auto"/>
            <w:bottom w:val="none" w:sz="0" w:space="0" w:color="auto"/>
            <w:right w:val="none" w:sz="0" w:space="0" w:color="auto"/>
          </w:divBdr>
        </w:div>
      </w:divsChild>
    </w:div>
    <w:div w:id="1061176628">
      <w:bodyDiv w:val="1"/>
      <w:marLeft w:val="0"/>
      <w:marRight w:val="0"/>
      <w:marTop w:val="0"/>
      <w:marBottom w:val="0"/>
      <w:divBdr>
        <w:top w:val="none" w:sz="0" w:space="0" w:color="auto"/>
        <w:left w:val="none" w:sz="0" w:space="0" w:color="auto"/>
        <w:bottom w:val="none" w:sz="0" w:space="0" w:color="auto"/>
        <w:right w:val="none" w:sz="0" w:space="0" w:color="auto"/>
      </w:divBdr>
    </w:div>
    <w:div w:id="1070809135">
      <w:bodyDiv w:val="1"/>
      <w:marLeft w:val="0"/>
      <w:marRight w:val="0"/>
      <w:marTop w:val="0"/>
      <w:marBottom w:val="0"/>
      <w:divBdr>
        <w:top w:val="none" w:sz="0" w:space="0" w:color="auto"/>
        <w:left w:val="none" w:sz="0" w:space="0" w:color="auto"/>
        <w:bottom w:val="none" w:sz="0" w:space="0" w:color="auto"/>
        <w:right w:val="none" w:sz="0" w:space="0" w:color="auto"/>
      </w:divBdr>
    </w:div>
    <w:div w:id="1130779460">
      <w:bodyDiv w:val="1"/>
      <w:marLeft w:val="0"/>
      <w:marRight w:val="0"/>
      <w:marTop w:val="0"/>
      <w:marBottom w:val="0"/>
      <w:divBdr>
        <w:top w:val="none" w:sz="0" w:space="0" w:color="auto"/>
        <w:left w:val="none" w:sz="0" w:space="0" w:color="auto"/>
        <w:bottom w:val="none" w:sz="0" w:space="0" w:color="auto"/>
        <w:right w:val="none" w:sz="0" w:space="0" w:color="auto"/>
      </w:divBdr>
    </w:div>
    <w:div w:id="1136072309">
      <w:bodyDiv w:val="1"/>
      <w:marLeft w:val="0"/>
      <w:marRight w:val="0"/>
      <w:marTop w:val="0"/>
      <w:marBottom w:val="0"/>
      <w:divBdr>
        <w:top w:val="none" w:sz="0" w:space="0" w:color="auto"/>
        <w:left w:val="none" w:sz="0" w:space="0" w:color="auto"/>
        <w:bottom w:val="none" w:sz="0" w:space="0" w:color="auto"/>
        <w:right w:val="none" w:sz="0" w:space="0" w:color="auto"/>
      </w:divBdr>
    </w:div>
    <w:div w:id="1137719427">
      <w:bodyDiv w:val="1"/>
      <w:marLeft w:val="0"/>
      <w:marRight w:val="0"/>
      <w:marTop w:val="0"/>
      <w:marBottom w:val="0"/>
      <w:divBdr>
        <w:top w:val="none" w:sz="0" w:space="0" w:color="auto"/>
        <w:left w:val="none" w:sz="0" w:space="0" w:color="auto"/>
        <w:bottom w:val="none" w:sz="0" w:space="0" w:color="auto"/>
        <w:right w:val="none" w:sz="0" w:space="0" w:color="auto"/>
      </w:divBdr>
    </w:div>
    <w:div w:id="1140079850">
      <w:bodyDiv w:val="1"/>
      <w:marLeft w:val="0"/>
      <w:marRight w:val="0"/>
      <w:marTop w:val="0"/>
      <w:marBottom w:val="0"/>
      <w:divBdr>
        <w:top w:val="none" w:sz="0" w:space="0" w:color="auto"/>
        <w:left w:val="none" w:sz="0" w:space="0" w:color="auto"/>
        <w:bottom w:val="none" w:sz="0" w:space="0" w:color="auto"/>
        <w:right w:val="none" w:sz="0" w:space="0" w:color="auto"/>
      </w:divBdr>
    </w:div>
    <w:div w:id="1146162614">
      <w:bodyDiv w:val="1"/>
      <w:marLeft w:val="0"/>
      <w:marRight w:val="0"/>
      <w:marTop w:val="0"/>
      <w:marBottom w:val="0"/>
      <w:divBdr>
        <w:top w:val="none" w:sz="0" w:space="0" w:color="auto"/>
        <w:left w:val="none" w:sz="0" w:space="0" w:color="auto"/>
        <w:bottom w:val="none" w:sz="0" w:space="0" w:color="auto"/>
        <w:right w:val="none" w:sz="0" w:space="0" w:color="auto"/>
      </w:divBdr>
    </w:div>
    <w:div w:id="1158571503">
      <w:bodyDiv w:val="1"/>
      <w:marLeft w:val="0"/>
      <w:marRight w:val="0"/>
      <w:marTop w:val="0"/>
      <w:marBottom w:val="0"/>
      <w:divBdr>
        <w:top w:val="none" w:sz="0" w:space="0" w:color="auto"/>
        <w:left w:val="none" w:sz="0" w:space="0" w:color="auto"/>
        <w:bottom w:val="none" w:sz="0" w:space="0" w:color="auto"/>
        <w:right w:val="none" w:sz="0" w:space="0" w:color="auto"/>
      </w:divBdr>
    </w:div>
    <w:div w:id="1170490894">
      <w:bodyDiv w:val="1"/>
      <w:marLeft w:val="0"/>
      <w:marRight w:val="0"/>
      <w:marTop w:val="0"/>
      <w:marBottom w:val="0"/>
      <w:divBdr>
        <w:top w:val="none" w:sz="0" w:space="0" w:color="auto"/>
        <w:left w:val="none" w:sz="0" w:space="0" w:color="auto"/>
        <w:bottom w:val="none" w:sz="0" w:space="0" w:color="auto"/>
        <w:right w:val="none" w:sz="0" w:space="0" w:color="auto"/>
      </w:divBdr>
    </w:div>
    <w:div w:id="1173371005">
      <w:bodyDiv w:val="1"/>
      <w:marLeft w:val="0"/>
      <w:marRight w:val="0"/>
      <w:marTop w:val="0"/>
      <w:marBottom w:val="0"/>
      <w:divBdr>
        <w:top w:val="none" w:sz="0" w:space="0" w:color="auto"/>
        <w:left w:val="none" w:sz="0" w:space="0" w:color="auto"/>
        <w:bottom w:val="none" w:sz="0" w:space="0" w:color="auto"/>
        <w:right w:val="none" w:sz="0" w:space="0" w:color="auto"/>
      </w:divBdr>
    </w:div>
    <w:div w:id="1176073637">
      <w:bodyDiv w:val="1"/>
      <w:marLeft w:val="0"/>
      <w:marRight w:val="0"/>
      <w:marTop w:val="0"/>
      <w:marBottom w:val="0"/>
      <w:divBdr>
        <w:top w:val="none" w:sz="0" w:space="0" w:color="auto"/>
        <w:left w:val="none" w:sz="0" w:space="0" w:color="auto"/>
        <w:bottom w:val="none" w:sz="0" w:space="0" w:color="auto"/>
        <w:right w:val="none" w:sz="0" w:space="0" w:color="auto"/>
      </w:divBdr>
    </w:div>
    <w:div w:id="1187058816">
      <w:bodyDiv w:val="1"/>
      <w:marLeft w:val="0"/>
      <w:marRight w:val="0"/>
      <w:marTop w:val="0"/>
      <w:marBottom w:val="0"/>
      <w:divBdr>
        <w:top w:val="none" w:sz="0" w:space="0" w:color="auto"/>
        <w:left w:val="none" w:sz="0" w:space="0" w:color="auto"/>
        <w:bottom w:val="none" w:sz="0" w:space="0" w:color="auto"/>
        <w:right w:val="none" w:sz="0" w:space="0" w:color="auto"/>
      </w:divBdr>
    </w:div>
    <w:div w:id="1189636500">
      <w:bodyDiv w:val="1"/>
      <w:marLeft w:val="0"/>
      <w:marRight w:val="0"/>
      <w:marTop w:val="0"/>
      <w:marBottom w:val="0"/>
      <w:divBdr>
        <w:top w:val="none" w:sz="0" w:space="0" w:color="auto"/>
        <w:left w:val="none" w:sz="0" w:space="0" w:color="auto"/>
        <w:bottom w:val="none" w:sz="0" w:space="0" w:color="auto"/>
        <w:right w:val="none" w:sz="0" w:space="0" w:color="auto"/>
      </w:divBdr>
    </w:div>
    <w:div w:id="1191527326">
      <w:bodyDiv w:val="1"/>
      <w:marLeft w:val="0"/>
      <w:marRight w:val="0"/>
      <w:marTop w:val="0"/>
      <w:marBottom w:val="0"/>
      <w:divBdr>
        <w:top w:val="none" w:sz="0" w:space="0" w:color="auto"/>
        <w:left w:val="none" w:sz="0" w:space="0" w:color="auto"/>
        <w:bottom w:val="none" w:sz="0" w:space="0" w:color="auto"/>
        <w:right w:val="none" w:sz="0" w:space="0" w:color="auto"/>
      </w:divBdr>
    </w:div>
    <w:div w:id="1209026138">
      <w:bodyDiv w:val="1"/>
      <w:marLeft w:val="0"/>
      <w:marRight w:val="0"/>
      <w:marTop w:val="0"/>
      <w:marBottom w:val="0"/>
      <w:divBdr>
        <w:top w:val="none" w:sz="0" w:space="0" w:color="auto"/>
        <w:left w:val="none" w:sz="0" w:space="0" w:color="auto"/>
        <w:bottom w:val="none" w:sz="0" w:space="0" w:color="auto"/>
        <w:right w:val="none" w:sz="0" w:space="0" w:color="auto"/>
      </w:divBdr>
    </w:div>
    <w:div w:id="1221404067">
      <w:bodyDiv w:val="1"/>
      <w:marLeft w:val="0"/>
      <w:marRight w:val="0"/>
      <w:marTop w:val="0"/>
      <w:marBottom w:val="0"/>
      <w:divBdr>
        <w:top w:val="none" w:sz="0" w:space="0" w:color="auto"/>
        <w:left w:val="none" w:sz="0" w:space="0" w:color="auto"/>
        <w:bottom w:val="none" w:sz="0" w:space="0" w:color="auto"/>
        <w:right w:val="none" w:sz="0" w:space="0" w:color="auto"/>
      </w:divBdr>
    </w:div>
    <w:div w:id="1226793268">
      <w:bodyDiv w:val="1"/>
      <w:marLeft w:val="0"/>
      <w:marRight w:val="0"/>
      <w:marTop w:val="0"/>
      <w:marBottom w:val="0"/>
      <w:divBdr>
        <w:top w:val="none" w:sz="0" w:space="0" w:color="auto"/>
        <w:left w:val="none" w:sz="0" w:space="0" w:color="auto"/>
        <w:bottom w:val="none" w:sz="0" w:space="0" w:color="auto"/>
        <w:right w:val="none" w:sz="0" w:space="0" w:color="auto"/>
      </w:divBdr>
    </w:div>
    <w:div w:id="1229729604">
      <w:bodyDiv w:val="1"/>
      <w:marLeft w:val="0"/>
      <w:marRight w:val="0"/>
      <w:marTop w:val="0"/>
      <w:marBottom w:val="0"/>
      <w:divBdr>
        <w:top w:val="none" w:sz="0" w:space="0" w:color="auto"/>
        <w:left w:val="none" w:sz="0" w:space="0" w:color="auto"/>
        <w:bottom w:val="none" w:sz="0" w:space="0" w:color="auto"/>
        <w:right w:val="none" w:sz="0" w:space="0" w:color="auto"/>
      </w:divBdr>
    </w:div>
    <w:div w:id="1257249722">
      <w:bodyDiv w:val="1"/>
      <w:marLeft w:val="0"/>
      <w:marRight w:val="0"/>
      <w:marTop w:val="0"/>
      <w:marBottom w:val="0"/>
      <w:divBdr>
        <w:top w:val="none" w:sz="0" w:space="0" w:color="auto"/>
        <w:left w:val="none" w:sz="0" w:space="0" w:color="auto"/>
        <w:bottom w:val="none" w:sz="0" w:space="0" w:color="auto"/>
        <w:right w:val="none" w:sz="0" w:space="0" w:color="auto"/>
      </w:divBdr>
    </w:div>
    <w:div w:id="1274288671">
      <w:bodyDiv w:val="1"/>
      <w:marLeft w:val="0"/>
      <w:marRight w:val="0"/>
      <w:marTop w:val="0"/>
      <w:marBottom w:val="0"/>
      <w:divBdr>
        <w:top w:val="none" w:sz="0" w:space="0" w:color="auto"/>
        <w:left w:val="none" w:sz="0" w:space="0" w:color="auto"/>
        <w:bottom w:val="none" w:sz="0" w:space="0" w:color="auto"/>
        <w:right w:val="none" w:sz="0" w:space="0" w:color="auto"/>
      </w:divBdr>
    </w:div>
    <w:div w:id="1286421582">
      <w:bodyDiv w:val="1"/>
      <w:marLeft w:val="0"/>
      <w:marRight w:val="0"/>
      <w:marTop w:val="0"/>
      <w:marBottom w:val="0"/>
      <w:divBdr>
        <w:top w:val="none" w:sz="0" w:space="0" w:color="auto"/>
        <w:left w:val="none" w:sz="0" w:space="0" w:color="auto"/>
        <w:bottom w:val="none" w:sz="0" w:space="0" w:color="auto"/>
        <w:right w:val="none" w:sz="0" w:space="0" w:color="auto"/>
      </w:divBdr>
    </w:div>
    <w:div w:id="1295716086">
      <w:bodyDiv w:val="1"/>
      <w:marLeft w:val="0"/>
      <w:marRight w:val="0"/>
      <w:marTop w:val="0"/>
      <w:marBottom w:val="0"/>
      <w:divBdr>
        <w:top w:val="none" w:sz="0" w:space="0" w:color="auto"/>
        <w:left w:val="none" w:sz="0" w:space="0" w:color="auto"/>
        <w:bottom w:val="none" w:sz="0" w:space="0" w:color="auto"/>
        <w:right w:val="none" w:sz="0" w:space="0" w:color="auto"/>
      </w:divBdr>
    </w:div>
    <w:div w:id="1301879651">
      <w:bodyDiv w:val="1"/>
      <w:marLeft w:val="0"/>
      <w:marRight w:val="0"/>
      <w:marTop w:val="0"/>
      <w:marBottom w:val="0"/>
      <w:divBdr>
        <w:top w:val="none" w:sz="0" w:space="0" w:color="auto"/>
        <w:left w:val="none" w:sz="0" w:space="0" w:color="auto"/>
        <w:bottom w:val="none" w:sz="0" w:space="0" w:color="auto"/>
        <w:right w:val="none" w:sz="0" w:space="0" w:color="auto"/>
      </w:divBdr>
      <w:divsChild>
        <w:div w:id="248926132">
          <w:marLeft w:val="0"/>
          <w:marRight w:val="0"/>
          <w:marTop w:val="0"/>
          <w:marBottom w:val="0"/>
          <w:divBdr>
            <w:top w:val="none" w:sz="0" w:space="0" w:color="auto"/>
            <w:left w:val="none" w:sz="0" w:space="0" w:color="auto"/>
            <w:bottom w:val="none" w:sz="0" w:space="0" w:color="auto"/>
            <w:right w:val="none" w:sz="0" w:space="0" w:color="auto"/>
          </w:divBdr>
          <w:divsChild>
            <w:div w:id="3725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79312">
      <w:bodyDiv w:val="1"/>
      <w:marLeft w:val="0"/>
      <w:marRight w:val="0"/>
      <w:marTop w:val="0"/>
      <w:marBottom w:val="0"/>
      <w:divBdr>
        <w:top w:val="none" w:sz="0" w:space="0" w:color="auto"/>
        <w:left w:val="none" w:sz="0" w:space="0" w:color="auto"/>
        <w:bottom w:val="none" w:sz="0" w:space="0" w:color="auto"/>
        <w:right w:val="none" w:sz="0" w:space="0" w:color="auto"/>
      </w:divBdr>
    </w:div>
    <w:div w:id="1325429520">
      <w:bodyDiv w:val="1"/>
      <w:marLeft w:val="0"/>
      <w:marRight w:val="0"/>
      <w:marTop w:val="0"/>
      <w:marBottom w:val="0"/>
      <w:divBdr>
        <w:top w:val="none" w:sz="0" w:space="0" w:color="auto"/>
        <w:left w:val="none" w:sz="0" w:space="0" w:color="auto"/>
        <w:bottom w:val="none" w:sz="0" w:space="0" w:color="auto"/>
        <w:right w:val="none" w:sz="0" w:space="0" w:color="auto"/>
      </w:divBdr>
    </w:div>
    <w:div w:id="1334643431">
      <w:bodyDiv w:val="1"/>
      <w:marLeft w:val="0"/>
      <w:marRight w:val="0"/>
      <w:marTop w:val="0"/>
      <w:marBottom w:val="0"/>
      <w:divBdr>
        <w:top w:val="none" w:sz="0" w:space="0" w:color="auto"/>
        <w:left w:val="none" w:sz="0" w:space="0" w:color="auto"/>
        <w:bottom w:val="none" w:sz="0" w:space="0" w:color="auto"/>
        <w:right w:val="none" w:sz="0" w:space="0" w:color="auto"/>
      </w:divBdr>
    </w:div>
    <w:div w:id="1338730905">
      <w:bodyDiv w:val="1"/>
      <w:marLeft w:val="0"/>
      <w:marRight w:val="0"/>
      <w:marTop w:val="0"/>
      <w:marBottom w:val="0"/>
      <w:divBdr>
        <w:top w:val="none" w:sz="0" w:space="0" w:color="auto"/>
        <w:left w:val="none" w:sz="0" w:space="0" w:color="auto"/>
        <w:bottom w:val="none" w:sz="0" w:space="0" w:color="auto"/>
        <w:right w:val="none" w:sz="0" w:space="0" w:color="auto"/>
      </w:divBdr>
    </w:div>
    <w:div w:id="1339310377">
      <w:bodyDiv w:val="1"/>
      <w:marLeft w:val="0"/>
      <w:marRight w:val="0"/>
      <w:marTop w:val="0"/>
      <w:marBottom w:val="0"/>
      <w:divBdr>
        <w:top w:val="none" w:sz="0" w:space="0" w:color="auto"/>
        <w:left w:val="none" w:sz="0" w:space="0" w:color="auto"/>
        <w:bottom w:val="none" w:sz="0" w:space="0" w:color="auto"/>
        <w:right w:val="none" w:sz="0" w:space="0" w:color="auto"/>
      </w:divBdr>
    </w:div>
    <w:div w:id="1346903809">
      <w:bodyDiv w:val="1"/>
      <w:marLeft w:val="0"/>
      <w:marRight w:val="0"/>
      <w:marTop w:val="0"/>
      <w:marBottom w:val="0"/>
      <w:divBdr>
        <w:top w:val="none" w:sz="0" w:space="0" w:color="auto"/>
        <w:left w:val="none" w:sz="0" w:space="0" w:color="auto"/>
        <w:bottom w:val="none" w:sz="0" w:space="0" w:color="auto"/>
        <w:right w:val="none" w:sz="0" w:space="0" w:color="auto"/>
      </w:divBdr>
    </w:div>
    <w:div w:id="1379931945">
      <w:bodyDiv w:val="1"/>
      <w:marLeft w:val="0"/>
      <w:marRight w:val="0"/>
      <w:marTop w:val="0"/>
      <w:marBottom w:val="0"/>
      <w:divBdr>
        <w:top w:val="none" w:sz="0" w:space="0" w:color="auto"/>
        <w:left w:val="none" w:sz="0" w:space="0" w:color="auto"/>
        <w:bottom w:val="none" w:sz="0" w:space="0" w:color="auto"/>
        <w:right w:val="none" w:sz="0" w:space="0" w:color="auto"/>
      </w:divBdr>
    </w:div>
    <w:div w:id="1396318829">
      <w:bodyDiv w:val="1"/>
      <w:marLeft w:val="0"/>
      <w:marRight w:val="0"/>
      <w:marTop w:val="0"/>
      <w:marBottom w:val="0"/>
      <w:divBdr>
        <w:top w:val="none" w:sz="0" w:space="0" w:color="auto"/>
        <w:left w:val="none" w:sz="0" w:space="0" w:color="auto"/>
        <w:bottom w:val="none" w:sz="0" w:space="0" w:color="auto"/>
        <w:right w:val="none" w:sz="0" w:space="0" w:color="auto"/>
      </w:divBdr>
    </w:div>
    <w:div w:id="1398942908">
      <w:bodyDiv w:val="1"/>
      <w:marLeft w:val="0"/>
      <w:marRight w:val="0"/>
      <w:marTop w:val="0"/>
      <w:marBottom w:val="0"/>
      <w:divBdr>
        <w:top w:val="none" w:sz="0" w:space="0" w:color="auto"/>
        <w:left w:val="none" w:sz="0" w:space="0" w:color="auto"/>
        <w:bottom w:val="none" w:sz="0" w:space="0" w:color="auto"/>
        <w:right w:val="none" w:sz="0" w:space="0" w:color="auto"/>
      </w:divBdr>
    </w:div>
    <w:div w:id="1412236898">
      <w:bodyDiv w:val="1"/>
      <w:marLeft w:val="0"/>
      <w:marRight w:val="0"/>
      <w:marTop w:val="0"/>
      <w:marBottom w:val="0"/>
      <w:divBdr>
        <w:top w:val="none" w:sz="0" w:space="0" w:color="auto"/>
        <w:left w:val="none" w:sz="0" w:space="0" w:color="auto"/>
        <w:bottom w:val="none" w:sz="0" w:space="0" w:color="auto"/>
        <w:right w:val="none" w:sz="0" w:space="0" w:color="auto"/>
      </w:divBdr>
    </w:div>
    <w:div w:id="1414665086">
      <w:bodyDiv w:val="1"/>
      <w:marLeft w:val="0"/>
      <w:marRight w:val="0"/>
      <w:marTop w:val="0"/>
      <w:marBottom w:val="0"/>
      <w:divBdr>
        <w:top w:val="none" w:sz="0" w:space="0" w:color="auto"/>
        <w:left w:val="none" w:sz="0" w:space="0" w:color="auto"/>
        <w:bottom w:val="none" w:sz="0" w:space="0" w:color="auto"/>
        <w:right w:val="none" w:sz="0" w:space="0" w:color="auto"/>
      </w:divBdr>
    </w:div>
    <w:div w:id="1422264374">
      <w:bodyDiv w:val="1"/>
      <w:marLeft w:val="0"/>
      <w:marRight w:val="0"/>
      <w:marTop w:val="0"/>
      <w:marBottom w:val="0"/>
      <w:divBdr>
        <w:top w:val="none" w:sz="0" w:space="0" w:color="auto"/>
        <w:left w:val="none" w:sz="0" w:space="0" w:color="auto"/>
        <w:bottom w:val="none" w:sz="0" w:space="0" w:color="auto"/>
        <w:right w:val="none" w:sz="0" w:space="0" w:color="auto"/>
      </w:divBdr>
    </w:div>
    <w:div w:id="1430194265">
      <w:bodyDiv w:val="1"/>
      <w:marLeft w:val="0"/>
      <w:marRight w:val="0"/>
      <w:marTop w:val="0"/>
      <w:marBottom w:val="0"/>
      <w:divBdr>
        <w:top w:val="none" w:sz="0" w:space="0" w:color="auto"/>
        <w:left w:val="none" w:sz="0" w:space="0" w:color="auto"/>
        <w:bottom w:val="none" w:sz="0" w:space="0" w:color="auto"/>
        <w:right w:val="none" w:sz="0" w:space="0" w:color="auto"/>
      </w:divBdr>
    </w:div>
    <w:div w:id="1432385675">
      <w:bodyDiv w:val="1"/>
      <w:marLeft w:val="0"/>
      <w:marRight w:val="0"/>
      <w:marTop w:val="0"/>
      <w:marBottom w:val="0"/>
      <w:divBdr>
        <w:top w:val="none" w:sz="0" w:space="0" w:color="auto"/>
        <w:left w:val="none" w:sz="0" w:space="0" w:color="auto"/>
        <w:bottom w:val="none" w:sz="0" w:space="0" w:color="auto"/>
        <w:right w:val="none" w:sz="0" w:space="0" w:color="auto"/>
      </w:divBdr>
    </w:div>
    <w:div w:id="1452552809">
      <w:bodyDiv w:val="1"/>
      <w:marLeft w:val="0"/>
      <w:marRight w:val="0"/>
      <w:marTop w:val="0"/>
      <w:marBottom w:val="0"/>
      <w:divBdr>
        <w:top w:val="none" w:sz="0" w:space="0" w:color="auto"/>
        <w:left w:val="none" w:sz="0" w:space="0" w:color="auto"/>
        <w:bottom w:val="none" w:sz="0" w:space="0" w:color="auto"/>
        <w:right w:val="none" w:sz="0" w:space="0" w:color="auto"/>
      </w:divBdr>
    </w:div>
    <w:div w:id="1468624236">
      <w:bodyDiv w:val="1"/>
      <w:marLeft w:val="0"/>
      <w:marRight w:val="0"/>
      <w:marTop w:val="0"/>
      <w:marBottom w:val="0"/>
      <w:divBdr>
        <w:top w:val="none" w:sz="0" w:space="0" w:color="auto"/>
        <w:left w:val="none" w:sz="0" w:space="0" w:color="auto"/>
        <w:bottom w:val="none" w:sz="0" w:space="0" w:color="auto"/>
        <w:right w:val="none" w:sz="0" w:space="0" w:color="auto"/>
      </w:divBdr>
    </w:div>
    <w:div w:id="1487672803">
      <w:bodyDiv w:val="1"/>
      <w:marLeft w:val="0"/>
      <w:marRight w:val="0"/>
      <w:marTop w:val="0"/>
      <w:marBottom w:val="0"/>
      <w:divBdr>
        <w:top w:val="none" w:sz="0" w:space="0" w:color="auto"/>
        <w:left w:val="none" w:sz="0" w:space="0" w:color="auto"/>
        <w:bottom w:val="none" w:sz="0" w:space="0" w:color="auto"/>
        <w:right w:val="none" w:sz="0" w:space="0" w:color="auto"/>
      </w:divBdr>
    </w:div>
    <w:div w:id="1500733828">
      <w:bodyDiv w:val="1"/>
      <w:marLeft w:val="0"/>
      <w:marRight w:val="0"/>
      <w:marTop w:val="0"/>
      <w:marBottom w:val="0"/>
      <w:divBdr>
        <w:top w:val="none" w:sz="0" w:space="0" w:color="auto"/>
        <w:left w:val="none" w:sz="0" w:space="0" w:color="auto"/>
        <w:bottom w:val="none" w:sz="0" w:space="0" w:color="auto"/>
        <w:right w:val="none" w:sz="0" w:space="0" w:color="auto"/>
      </w:divBdr>
    </w:div>
    <w:div w:id="1502156324">
      <w:bodyDiv w:val="1"/>
      <w:marLeft w:val="0"/>
      <w:marRight w:val="0"/>
      <w:marTop w:val="0"/>
      <w:marBottom w:val="0"/>
      <w:divBdr>
        <w:top w:val="none" w:sz="0" w:space="0" w:color="auto"/>
        <w:left w:val="none" w:sz="0" w:space="0" w:color="auto"/>
        <w:bottom w:val="none" w:sz="0" w:space="0" w:color="auto"/>
        <w:right w:val="none" w:sz="0" w:space="0" w:color="auto"/>
      </w:divBdr>
    </w:div>
    <w:div w:id="1510172968">
      <w:bodyDiv w:val="1"/>
      <w:marLeft w:val="0"/>
      <w:marRight w:val="0"/>
      <w:marTop w:val="0"/>
      <w:marBottom w:val="0"/>
      <w:divBdr>
        <w:top w:val="none" w:sz="0" w:space="0" w:color="auto"/>
        <w:left w:val="none" w:sz="0" w:space="0" w:color="auto"/>
        <w:bottom w:val="none" w:sz="0" w:space="0" w:color="auto"/>
        <w:right w:val="none" w:sz="0" w:space="0" w:color="auto"/>
      </w:divBdr>
    </w:div>
    <w:div w:id="1518039180">
      <w:bodyDiv w:val="1"/>
      <w:marLeft w:val="0"/>
      <w:marRight w:val="0"/>
      <w:marTop w:val="0"/>
      <w:marBottom w:val="0"/>
      <w:divBdr>
        <w:top w:val="none" w:sz="0" w:space="0" w:color="auto"/>
        <w:left w:val="none" w:sz="0" w:space="0" w:color="auto"/>
        <w:bottom w:val="none" w:sz="0" w:space="0" w:color="auto"/>
        <w:right w:val="none" w:sz="0" w:space="0" w:color="auto"/>
      </w:divBdr>
    </w:div>
    <w:div w:id="1550803403">
      <w:bodyDiv w:val="1"/>
      <w:marLeft w:val="0"/>
      <w:marRight w:val="0"/>
      <w:marTop w:val="0"/>
      <w:marBottom w:val="0"/>
      <w:divBdr>
        <w:top w:val="none" w:sz="0" w:space="0" w:color="auto"/>
        <w:left w:val="none" w:sz="0" w:space="0" w:color="auto"/>
        <w:bottom w:val="none" w:sz="0" w:space="0" w:color="auto"/>
        <w:right w:val="none" w:sz="0" w:space="0" w:color="auto"/>
      </w:divBdr>
    </w:div>
    <w:div w:id="1560479986">
      <w:bodyDiv w:val="1"/>
      <w:marLeft w:val="0"/>
      <w:marRight w:val="0"/>
      <w:marTop w:val="0"/>
      <w:marBottom w:val="0"/>
      <w:divBdr>
        <w:top w:val="none" w:sz="0" w:space="0" w:color="auto"/>
        <w:left w:val="none" w:sz="0" w:space="0" w:color="auto"/>
        <w:bottom w:val="none" w:sz="0" w:space="0" w:color="auto"/>
        <w:right w:val="none" w:sz="0" w:space="0" w:color="auto"/>
      </w:divBdr>
    </w:div>
    <w:div w:id="1570143125">
      <w:bodyDiv w:val="1"/>
      <w:marLeft w:val="0"/>
      <w:marRight w:val="0"/>
      <w:marTop w:val="0"/>
      <w:marBottom w:val="0"/>
      <w:divBdr>
        <w:top w:val="none" w:sz="0" w:space="0" w:color="auto"/>
        <w:left w:val="none" w:sz="0" w:space="0" w:color="auto"/>
        <w:bottom w:val="none" w:sz="0" w:space="0" w:color="auto"/>
        <w:right w:val="none" w:sz="0" w:space="0" w:color="auto"/>
      </w:divBdr>
    </w:div>
    <w:div w:id="1575317101">
      <w:bodyDiv w:val="1"/>
      <w:marLeft w:val="0"/>
      <w:marRight w:val="0"/>
      <w:marTop w:val="0"/>
      <w:marBottom w:val="0"/>
      <w:divBdr>
        <w:top w:val="none" w:sz="0" w:space="0" w:color="auto"/>
        <w:left w:val="none" w:sz="0" w:space="0" w:color="auto"/>
        <w:bottom w:val="none" w:sz="0" w:space="0" w:color="auto"/>
        <w:right w:val="none" w:sz="0" w:space="0" w:color="auto"/>
      </w:divBdr>
    </w:div>
    <w:div w:id="1577276363">
      <w:bodyDiv w:val="1"/>
      <w:marLeft w:val="0"/>
      <w:marRight w:val="0"/>
      <w:marTop w:val="0"/>
      <w:marBottom w:val="0"/>
      <w:divBdr>
        <w:top w:val="none" w:sz="0" w:space="0" w:color="auto"/>
        <w:left w:val="none" w:sz="0" w:space="0" w:color="auto"/>
        <w:bottom w:val="none" w:sz="0" w:space="0" w:color="auto"/>
        <w:right w:val="none" w:sz="0" w:space="0" w:color="auto"/>
      </w:divBdr>
    </w:div>
    <w:div w:id="1588735235">
      <w:bodyDiv w:val="1"/>
      <w:marLeft w:val="0"/>
      <w:marRight w:val="0"/>
      <w:marTop w:val="0"/>
      <w:marBottom w:val="0"/>
      <w:divBdr>
        <w:top w:val="none" w:sz="0" w:space="0" w:color="auto"/>
        <w:left w:val="none" w:sz="0" w:space="0" w:color="auto"/>
        <w:bottom w:val="none" w:sz="0" w:space="0" w:color="auto"/>
        <w:right w:val="none" w:sz="0" w:space="0" w:color="auto"/>
      </w:divBdr>
    </w:div>
    <w:div w:id="1614630651">
      <w:bodyDiv w:val="1"/>
      <w:marLeft w:val="0"/>
      <w:marRight w:val="0"/>
      <w:marTop w:val="0"/>
      <w:marBottom w:val="0"/>
      <w:divBdr>
        <w:top w:val="none" w:sz="0" w:space="0" w:color="auto"/>
        <w:left w:val="none" w:sz="0" w:space="0" w:color="auto"/>
        <w:bottom w:val="none" w:sz="0" w:space="0" w:color="auto"/>
        <w:right w:val="none" w:sz="0" w:space="0" w:color="auto"/>
      </w:divBdr>
    </w:div>
    <w:div w:id="1639454196">
      <w:bodyDiv w:val="1"/>
      <w:marLeft w:val="0"/>
      <w:marRight w:val="0"/>
      <w:marTop w:val="0"/>
      <w:marBottom w:val="0"/>
      <w:divBdr>
        <w:top w:val="none" w:sz="0" w:space="0" w:color="auto"/>
        <w:left w:val="none" w:sz="0" w:space="0" w:color="auto"/>
        <w:bottom w:val="none" w:sz="0" w:space="0" w:color="auto"/>
        <w:right w:val="none" w:sz="0" w:space="0" w:color="auto"/>
      </w:divBdr>
    </w:div>
    <w:div w:id="1664430456">
      <w:bodyDiv w:val="1"/>
      <w:marLeft w:val="0"/>
      <w:marRight w:val="0"/>
      <w:marTop w:val="0"/>
      <w:marBottom w:val="0"/>
      <w:divBdr>
        <w:top w:val="none" w:sz="0" w:space="0" w:color="auto"/>
        <w:left w:val="none" w:sz="0" w:space="0" w:color="auto"/>
        <w:bottom w:val="none" w:sz="0" w:space="0" w:color="auto"/>
        <w:right w:val="none" w:sz="0" w:space="0" w:color="auto"/>
      </w:divBdr>
    </w:div>
    <w:div w:id="1679037677">
      <w:bodyDiv w:val="1"/>
      <w:marLeft w:val="0"/>
      <w:marRight w:val="0"/>
      <w:marTop w:val="0"/>
      <w:marBottom w:val="0"/>
      <w:divBdr>
        <w:top w:val="none" w:sz="0" w:space="0" w:color="auto"/>
        <w:left w:val="none" w:sz="0" w:space="0" w:color="auto"/>
        <w:bottom w:val="none" w:sz="0" w:space="0" w:color="auto"/>
        <w:right w:val="none" w:sz="0" w:space="0" w:color="auto"/>
      </w:divBdr>
    </w:div>
    <w:div w:id="1685015207">
      <w:bodyDiv w:val="1"/>
      <w:marLeft w:val="0"/>
      <w:marRight w:val="0"/>
      <w:marTop w:val="0"/>
      <w:marBottom w:val="0"/>
      <w:divBdr>
        <w:top w:val="none" w:sz="0" w:space="0" w:color="auto"/>
        <w:left w:val="none" w:sz="0" w:space="0" w:color="auto"/>
        <w:bottom w:val="none" w:sz="0" w:space="0" w:color="auto"/>
        <w:right w:val="none" w:sz="0" w:space="0" w:color="auto"/>
      </w:divBdr>
    </w:div>
    <w:div w:id="1725710881">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740057408">
      <w:bodyDiv w:val="1"/>
      <w:marLeft w:val="0"/>
      <w:marRight w:val="0"/>
      <w:marTop w:val="0"/>
      <w:marBottom w:val="0"/>
      <w:divBdr>
        <w:top w:val="none" w:sz="0" w:space="0" w:color="auto"/>
        <w:left w:val="none" w:sz="0" w:space="0" w:color="auto"/>
        <w:bottom w:val="none" w:sz="0" w:space="0" w:color="auto"/>
        <w:right w:val="none" w:sz="0" w:space="0" w:color="auto"/>
      </w:divBdr>
    </w:div>
    <w:div w:id="1753041252">
      <w:bodyDiv w:val="1"/>
      <w:marLeft w:val="0"/>
      <w:marRight w:val="0"/>
      <w:marTop w:val="0"/>
      <w:marBottom w:val="0"/>
      <w:divBdr>
        <w:top w:val="none" w:sz="0" w:space="0" w:color="auto"/>
        <w:left w:val="none" w:sz="0" w:space="0" w:color="auto"/>
        <w:bottom w:val="none" w:sz="0" w:space="0" w:color="auto"/>
        <w:right w:val="none" w:sz="0" w:space="0" w:color="auto"/>
      </w:divBdr>
      <w:divsChild>
        <w:div w:id="867134544">
          <w:marLeft w:val="0"/>
          <w:marRight w:val="0"/>
          <w:marTop w:val="0"/>
          <w:marBottom w:val="0"/>
          <w:divBdr>
            <w:top w:val="none" w:sz="0" w:space="0" w:color="auto"/>
            <w:left w:val="none" w:sz="0" w:space="0" w:color="auto"/>
            <w:bottom w:val="none" w:sz="0" w:space="0" w:color="auto"/>
            <w:right w:val="none" w:sz="0" w:space="0" w:color="auto"/>
          </w:divBdr>
          <w:divsChild>
            <w:div w:id="444275221">
              <w:marLeft w:val="0"/>
              <w:marRight w:val="0"/>
              <w:marTop w:val="0"/>
              <w:marBottom w:val="0"/>
              <w:divBdr>
                <w:top w:val="none" w:sz="0" w:space="0" w:color="auto"/>
                <w:left w:val="none" w:sz="0" w:space="0" w:color="auto"/>
                <w:bottom w:val="none" w:sz="0" w:space="0" w:color="auto"/>
                <w:right w:val="none" w:sz="0" w:space="0" w:color="auto"/>
              </w:divBdr>
              <w:divsChild>
                <w:div w:id="1509371454">
                  <w:marLeft w:val="0"/>
                  <w:marRight w:val="0"/>
                  <w:marTop w:val="0"/>
                  <w:marBottom w:val="0"/>
                  <w:divBdr>
                    <w:top w:val="none" w:sz="0" w:space="0" w:color="auto"/>
                    <w:left w:val="none" w:sz="0" w:space="0" w:color="auto"/>
                    <w:bottom w:val="none" w:sz="0" w:space="0" w:color="auto"/>
                    <w:right w:val="none" w:sz="0" w:space="0" w:color="auto"/>
                  </w:divBdr>
                  <w:divsChild>
                    <w:div w:id="346055652">
                      <w:marLeft w:val="0"/>
                      <w:marRight w:val="0"/>
                      <w:marTop w:val="0"/>
                      <w:marBottom w:val="0"/>
                      <w:divBdr>
                        <w:top w:val="none" w:sz="0" w:space="0" w:color="auto"/>
                        <w:left w:val="none" w:sz="0" w:space="0" w:color="auto"/>
                        <w:bottom w:val="none" w:sz="0" w:space="0" w:color="auto"/>
                        <w:right w:val="none" w:sz="0" w:space="0" w:color="auto"/>
                      </w:divBdr>
                      <w:divsChild>
                        <w:div w:id="1877084234">
                          <w:marLeft w:val="0"/>
                          <w:marRight w:val="0"/>
                          <w:marTop w:val="0"/>
                          <w:marBottom w:val="0"/>
                          <w:divBdr>
                            <w:top w:val="none" w:sz="0" w:space="0" w:color="auto"/>
                            <w:left w:val="none" w:sz="0" w:space="0" w:color="auto"/>
                            <w:bottom w:val="none" w:sz="0" w:space="0" w:color="auto"/>
                            <w:right w:val="none" w:sz="0" w:space="0" w:color="auto"/>
                          </w:divBdr>
                          <w:divsChild>
                            <w:div w:id="1847937599">
                              <w:marLeft w:val="0"/>
                              <w:marRight w:val="0"/>
                              <w:marTop w:val="0"/>
                              <w:marBottom w:val="0"/>
                              <w:divBdr>
                                <w:top w:val="none" w:sz="0" w:space="0" w:color="auto"/>
                                <w:left w:val="none" w:sz="0" w:space="0" w:color="auto"/>
                                <w:bottom w:val="none" w:sz="0" w:space="0" w:color="auto"/>
                                <w:right w:val="none" w:sz="0" w:space="0" w:color="auto"/>
                              </w:divBdr>
                              <w:divsChild>
                                <w:div w:id="1936405460">
                                  <w:marLeft w:val="0"/>
                                  <w:marRight w:val="0"/>
                                  <w:marTop w:val="0"/>
                                  <w:marBottom w:val="0"/>
                                  <w:divBdr>
                                    <w:top w:val="none" w:sz="0" w:space="0" w:color="auto"/>
                                    <w:left w:val="none" w:sz="0" w:space="0" w:color="auto"/>
                                    <w:bottom w:val="none" w:sz="0" w:space="0" w:color="auto"/>
                                    <w:right w:val="none" w:sz="0" w:space="0" w:color="auto"/>
                                  </w:divBdr>
                                  <w:divsChild>
                                    <w:div w:id="53446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7704962">
      <w:bodyDiv w:val="1"/>
      <w:marLeft w:val="0"/>
      <w:marRight w:val="0"/>
      <w:marTop w:val="0"/>
      <w:marBottom w:val="0"/>
      <w:divBdr>
        <w:top w:val="none" w:sz="0" w:space="0" w:color="auto"/>
        <w:left w:val="none" w:sz="0" w:space="0" w:color="auto"/>
        <w:bottom w:val="none" w:sz="0" w:space="0" w:color="auto"/>
        <w:right w:val="none" w:sz="0" w:space="0" w:color="auto"/>
      </w:divBdr>
    </w:div>
    <w:div w:id="1762674010">
      <w:bodyDiv w:val="1"/>
      <w:marLeft w:val="0"/>
      <w:marRight w:val="0"/>
      <w:marTop w:val="0"/>
      <w:marBottom w:val="0"/>
      <w:divBdr>
        <w:top w:val="none" w:sz="0" w:space="0" w:color="auto"/>
        <w:left w:val="none" w:sz="0" w:space="0" w:color="auto"/>
        <w:bottom w:val="none" w:sz="0" w:space="0" w:color="auto"/>
        <w:right w:val="none" w:sz="0" w:space="0" w:color="auto"/>
      </w:divBdr>
    </w:div>
    <w:div w:id="1778596362">
      <w:bodyDiv w:val="1"/>
      <w:marLeft w:val="0"/>
      <w:marRight w:val="0"/>
      <w:marTop w:val="0"/>
      <w:marBottom w:val="0"/>
      <w:divBdr>
        <w:top w:val="none" w:sz="0" w:space="0" w:color="auto"/>
        <w:left w:val="none" w:sz="0" w:space="0" w:color="auto"/>
        <w:bottom w:val="none" w:sz="0" w:space="0" w:color="auto"/>
        <w:right w:val="none" w:sz="0" w:space="0" w:color="auto"/>
      </w:divBdr>
    </w:div>
    <w:div w:id="1792095229">
      <w:bodyDiv w:val="1"/>
      <w:marLeft w:val="0"/>
      <w:marRight w:val="0"/>
      <w:marTop w:val="0"/>
      <w:marBottom w:val="0"/>
      <w:divBdr>
        <w:top w:val="none" w:sz="0" w:space="0" w:color="auto"/>
        <w:left w:val="none" w:sz="0" w:space="0" w:color="auto"/>
        <w:bottom w:val="none" w:sz="0" w:space="0" w:color="auto"/>
        <w:right w:val="none" w:sz="0" w:space="0" w:color="auto"/>
      </w:divBdr>
    </w:div>
    <w:div w:id="1798796397">
      <w:bodyDiv w:val="1"/>
      <w:marLeft w:val="0"/>
      <w:marRight w:val="0"/>
      <w:marTop w:val="0"/>
      <w:marBottom w:val="0"/>
      <w:divBdr>
        <w:top w:val="none" w:sz="0" w:space="0" w:color="auto"/>
        <w:left w:val="none" w:sz="0" w:space="0" w:color="auto"/>
        <w:bottom w:val="none" w:sz="0" w:space="0" w:color="auto"/>
        <w:right w:val="none" w:sz="0" w:space="0" w:color="auto"/>
      </w:divBdr>
    </w:div>
    <w:div w:id="1807964720">
      <w:bodyDiv w:val="1"/>
      <w:marLeft w:val="0"/>
      <w:marRight w:val="0"/>
      <w:marTop w:val="0"/>
      <w:marBottom w:val="0"/>
      <w:divBdr>
        <w:top w:val="none" w:sz="0" w:space="0" w:color="auto"/>
        <w:left w:val="none" w:sz="0" w:space="0" w:color="auto"/>
        <w:bottom w:val="none" w:sz="0" w:space="0" w:color="auto"/>
        <w:right w:val="none" w:sz="0" w:space="0" w:color="auto"/>
      </w:divBdr>
    </w:div>
    <w:div w:id="1813794294">
      <w:bodyDiv w:val="1"/>
      <w:marLeft w:val="0"/>
      <w:marRight w:val="0"/>
      <w:marTop w:val="0"/>
      <w:marBottom w:val="0"/>
      <w:divBdr>
        <w:top w:val="none" w:sz="0" w:space="0" w:color="auto"/>
        <w:left w:val="none" w:sz="0" w:space="0" w:color="auto"/>
        <w:bottom w:val="none" w:sz="0" w:space="0" w:color="auto"/>
        <w:right w:val="none" w:sz="0" w:space="0" w:color="auto"/>
      </w:divBdr>
    </w:div>
    <w:div w:id="1835954891">
      <w:bodyDiv w:val="1"/>
      <w:marLeft w:val="0"/>
      <w:marRight w:val="0"/>
      <w:marTop w:val="0"/>
      <w:marBottom w:val="0"/>
      <w:divBdr>
        <w:top w:val="none" w:sz="0" w:space="0" w:color="auto"/>
        <w:left w:val="none" w:sz="0" w:space="0" w:color="auto"/>
        <w:bottom w:val="none" w:sz="0" w:space="0" w:color="auto"/>
        <w:right w:val="none" w:sz="0" w:space="0" w:color="auto"/>
      </w:divBdr>
    </w:div>
    <w:div w:id="1836528646">
      <w:bodyDiv w:val="1"/>
      <w:marLeft w:val="0"/>
      <w:marRight w:val="0"/>
      <w:marTop w:val="0"/>
      <w:marBottom w:val="0"/>
      <w:divBdr>
        <w:top w:val="none" w:sz="0" w:space="0" w:color="auto"/>
        <w:left w:val="none" w:sz="0" w:space="0" w:color="auto"/>
        <w:bottom w:val="none" w:sz="0" w:space="0" w:color="auto"/>
        <w:right w:val="none" w:sz="0" w:space="0" w:color="auto"/>
      </w:divBdr>
    </w:div>
    <w:div w:id="1861771916">
      <w:bodyDiv w:val="1"/>
      <w:marLeft w:val="0"/>
      <w:marRight w:val="0"/>
      <w:marTop w:val="0"/>
      <w:marBottom w:val="0"/>
      <w:divBdr>
        <w:top w:val="none" w:sz="0" w:space="0" w:color="auto"/>
        <w:left w:val="none" w:sz="0" w:space="0" w:color="auto"/>
        <w:bottom w:val="none" w:sz="0" w:space="0" w:color="auto"/>
        <w:right w:val="none" w:sz="0" w:space="0" w:color="auto"/>
      </w:divBdr>
      <w:divsChild>
        <w:div w:id="756681371">
          <w:marLeft w:val="0"/>
          <w:marRight w:val="0"/>
          <w:marTop w:val="0"/>
          <w:marBottom w:val="0"/>
          <w:divBdr>
            <w:top w:val="none" w:sz="0" w:space="0" w:color="auto"/>
            <w:left w:val="none" w:sz="0" w:space="0" w:color="auto"/>
            <w:bottom w:val="none" w:sz="0" w:space="0" w:color="auto"/>
            <w:right w:val="none" w:sz="0" w:space="0" w:color="auto"/>
          </w:divBdr>
          <w:divsChild>
            <w:div w:id="662049067">
              <w:marLeft w:val="0"/>
              <w:marRight w:val="0"/>
              <w:marTop w:val="0"/>
              <w:marBottom w:val="0"/>
              <w:divBdr>
                <w:top w:val="none" w:sz="0" w:space="0" w:color="auto"/>
                <w:left w:val="none" w:sz="0" w:space="0" w:color="auto"/>
                <w:bottom w:val="none" w:sz="0" w:space="0" w:color="auto"/>
                <w:right w:val="none" w:sz="0" w:space="0" w:color="auto"/>
              </w:divBdr>
              <w:divsChild>
                <w:div w:id="185825813">
                  <w:marLeft w:val="0"/>
                  <w:marRight w:val="0"/>
                  <w:marTop w:val="0"/>
                  <w:marBottom w:val="0"/>
                  <w:divBdr>
                    <w:top w:val="none" w:sz="0" w:space="0" w:color="auto"/>
                    <w:left w:val="none" w:sz="0" w:space="0" w:color="auto"/>
                    <w:bottom w:val="none" w:sz="0" w:space="0" w:color="auto"/>
                    <w:right w:val="none" w:sz="0" w:space="0" w:color="auto"/>
                  </w:divBdr>
                  <w:divsChild>
                    <w:div w:id="619267621">
                      <w:marLeft w:val="0"/>
                      <w:marRight w:val="0"/>
                      <w:marTop w:val="0"/>
                      <w:marBottom w:val="0"/>
                      <w:divBdr>
                        <w:top w:val="none" w:sz="0" w:space="0" w:color="auto"/>
                        <w:left w:val="none" w:sz="0" w:space="0" w:color="auto"/>
                        <w:bottom w:val="none" w:sz="0" w:space="0" w:color="auto"/>
                        <w:right w:val="none" w:sz="0" w:space="0" w:color="auto"/>
                      </w:divBdr>
                      <w:divsChild>
                        <w:div w:id="918713520">
                          <w:marLeft w:val="0"/>
                          <w:marRight w:val="0"/>
                          <w:marTop w:val="0"/>
                          <w:marBottom w:val="0"/>
                          <w:divBdr>
                            <w:top w:val="none" w:sz="0" w:space="0" w:color="auto"/>
                            <w:left w:val="none" w:sz="0" w:space="0" w:color="auto"/>
                            <w:bottom w:val="none" w:sz="0" w:space="0" w:color="auto"/>
                            <w:right w:val="none" w:sz="0" w:space="0" w:color="auto"/>
                          </w:divBdr>
                          <w:divsChild>
                            <w:div w:id="2038774389">
                              <w:marLeft w:val="0"/>
                              <w:marRight w:val="0"/>
                              <w:marTop w:val="0"/>
                              <w:marBottom w:val="0"/>
                              <w:divBdr>
                                <w:top w:val="none" w:sz="0" w:space="0" w:color="auto"/>
                                <w:left w:val="none" w:sz="0" w:space="0" w:color="auto"/>
                                <w:bottom w:val="none" w:sz="0" w:space="0" w:color="auto"/>
                                <w:right w:val="none" w:sz="0" w:space="0" w:color="auto"/>
                              </w:divBdr>
                              <w:divsChild>
                                <w:div w:id="1484542795">
                                  <w:marLeft w:val="0"/>
                                  <w:marRight w:val="0"/>
                                  <w:marTop w:val="0"/>
                                  <w:marBottom w:val="0"/>
                                  <w:divBdr>
                                    <w:top w:val="none" w:sz="0" w:space="0" w:color="auto"/>
                                    <w:left w:val="none" w:sz="0" w:space="0" w:color="auto"/>
                                    <w:bottom w:val="none" w:sz="0" w:space="0" w:color="auto"/>
                                    <w:right w:val="none" w:sz="0" w:space="0" w:color="auto"/>
                                  </w:divBdr>
                                  <w:divsChild>
                                    <w:div w:id="14263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779537">
      <w:bodyDiv w:val="1"/>
      <w:marLeft w:val="0"/>
      <w:marRight w:val="0"/>
      <w:marTop w:val="0"/>
      <w:marBottom w:val="0"/>
      <w:divBdr>
        <w:top w:val="none" w:sz="0" w:space="0" w:color="auto"/>
        <w:left w:val="none" w:sz="0" w:space="0" w:color="auto"/>
        <w:bottom w:val="none" w:sz="0" w:space="0" w:color="auto"/>
        <w:right w:val="none" w:sz="0" w:space="0" w:color="auto"/>
      </w:divBdr>
    </w:div>
    <w:div w:id="1881739855">
      <w:bodyDiv w:val="1"/>
      <w:marLeft w:val="0"/>
      <w:marRight w:val="0"/>
      <w:marTop w:val="0"/>
      <w:marBottom w:val="0"/>
      <w:divBdr>
        <w:top w:val="none" w:sz="0" w:space="0" w:color="auto"/>
        <w:left w:val="none" w:sz="0" w:space="0" w:color="auto"/>
        <w:bottom w:val="none" w:sz="0" w:space="0" w:color="auto"/>
        <w:right w:val="none" w:sz="0" w:space="0" w:color="auto"/>
      </w:divBdr>
      <w:divsChild>
        <w:div w:id="1625844720">
          <w:marLeft w:val="0"/>
          <w:marRight w:val="0"/>
          <w:marTop w:val="0"/>
          <w:marBottom w:val="0"/>
          <w:divBdr>
            <w:top w:val="none" w:sz="0" w:space="0" w:color="auto"/>
            <w:left w:val="none" w:sz="0" w:space="0" w:color="auto"/>
            <w:bottom w:val="none" w:sz="0" w:space="0" w:color="auto"/>
            <w:right w:val="none" w:sz="0" w:space="0" w:color="auto"/>
          </w:divBdr>
          <w:divsChild>
            <w:div w:id="1629631140">
              <w:marLeft w:val="0"/>
              <w:marRight w:val="0"/>
              <w:marTop w:val="0"/>
              <w:marBottom w:val="0"/>
              <w:divBdr>
                <w:top w:val="none" w:sz="0" w:space="0" w:color="auto"/>
                <w:left w:val="none" w:sz="0" w:space="0" w:color="auto"/>
                <w:bottom w:val="none" w:sz="0" w:space="0" w:color="auto"/>
                <w:right w:val="none" w:sz="0" w:space="0" w:color="auto"/>
              </w:divBdr>
              <w:divsChild>
                <w:div w:id="1896089883">
                  <w:marLeft w:val="0"/>
                  <w:marRight w:val="0"/>
                  <w:marTop w:val="0"/>
                  <w:marBottom w:val="0"/>
                  <w:divBdr>
                    <w:top w:val="none" w:sz="0" w:space="0" w:color="auto"/>
                    <w:left w:val="none" w:sz="0" w:space="0" w:color="auto"/>
                    <w:bottom w:val="none" w:sz="0" w:space="0" w:color="auto"/>
                    <w:right w:val="none" w:sz="0" w:space="0" w:color="auto"/>
                  </w:divBdr>
                  <w:divsChild>
                    <w:div w:id="997004959">
                      <w:marLeft w:val="0"/>
                      <w:marRight w:val="0"/>
                      <w:marTop w:val="0"/>
                      <w:marBottom w:val="0"/>
                      <w:divBdr>
                        <w:top w:val="none" w:sz="0" w:space="0" w:color="auto"/>
                        <w:left w:val="none" w:sz="0" w:space="0" w:color="auto"/>
                        <w:bottom w:val="none" w:sz="0" w:space="0" w:color="auto"/>
                        <w:right w:val="none" w:sz="0" w:space="0" w:color="auto"/>
                      </w:divBdr>
                      <w:divsChild>
                        <w:div w:id="990059507">
                          <w:marLeft w:val="0"/>
                          <w:marRight w:val="0"/>
                          <w:marTop w:val="0"/>
                          <w:marBottom w:val="0"/>
                          <w:divBdr>
                            <w:top w:val="none" w:sz="0" w:space="0" w:color="auto"/>
                            <w:left w:val="none" w:sz="0" w:space="0" w:color="auto"/>
                            <w:bottom w:val="none" w:sz="0" w:space="0" w:color="auto"/>
                            <w:right w:val="none" w:sz="0" w:space="0" w:color="auto"/>
                          </w:divBdr>
                          <w:divsChild>
                            <w:div w:id="1685863686">
                              <w:marLeft w:val="0"/>
                              <w:marRight w:val="0"/>
                              <w:marTop w:val="0"/>
                              <w:marBottom w:val="0"/>
                              <w:divBdr>
                                <w:top w:val="none" w:sz="0" w:space="0" w:color="auto"/>
                                <w:left w:val="none" w:sz="0" w:space="0" w:color="auto"/>
                                <w:bottom w:val="none" w:sz="0" w:space="0" w:color="auto"/>
                                <w:right w:val="none" w:sz="0" w:space="0" w:color="auto"/>
                              </w:divBdr>
                              <w:divsChild>
                                <w:div w:id="123667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8951390">
      <w:bodyDiv w:val="1"/>
      <w:marLeft w:val="0"/>
      <w:marRight w:val="0"/>
      <w:marTop w:val="0"/>
      <w:marBottom w:val="0"/>
      <w:divBdr>
        <w:top w:val="none" w:sz="0" w:space="0" w:color="auto"/>
        <w:left w:val="none" w:sz="0" w:space="0" w:color="auto"/>
        <w:bottom w:val="none" w:sz="0" w:space="0" w:color="auto"/>
        <w:right w:val="none" w:sz="0" w:space="0" w:color="auto"/>
      </w:divBdr>
    </w:div>
    <w:div w:id="1907494275">
      <w:bodyDiv w:val="1"/>
      <w:marLeft w:val="0"/>
      <w:marRight w:val="0"/>
      <w:marTop w:val="0"/>
      <w:marBottom w:val="0"/>
      <w:divBdr>
        <w:top w:val="none" w:sz="0" w:space="0" w:color="auto"/>
        <w:left w:val="none" w:sz="0" w:space="0" w:color="auto"/>
        <w:bottom w:val="none" w:sz="0" w:space="0" w:color="auto"/>
        <w:right w:val="none" w:sz="0" w:space="0" w:color="auto"/>
      </w:divBdr>
      <w:divsChild>
        <w:div w:id="928076388">
          <w:marLeft w:val="0"/>
          <w:marRight w:val="0"/>
          <w:marTop w:val="0"/>
          <w:marBottom w:val="0"/>
          <w:divBdr>
            <w:top w:val="none" w:sz="0" w:space="0" w:color="auto"/>
            <w:left w:val="none" w:sz="0" w:space="0" w:color="auto"/>
            <w:bottom w:val="none" w:sz="0" w:space="0" w:color="auto"/>
            <w:right w:val="none" w:sz="0" w:space="0" w:color="auto"/>
          </w:divBdr>
          <w:divsChild>
            <w:div w:id="1706904202">
              <w:marLeft w:val="0"/>
              <w:marRight w:val="0"/>
              <w:marTop w:val="0"/>
              <w:marBottom w:val="0"/>
              <w:divBdr>
                <w:top w:val="none" w:sz="0" w:space="0" w:color="auto"/>
                <w:left w:val="none" w:sz="0" w:space="0" w:color="auto"/>
                <w:bottom w:val="none" w:sz="0" w:space="0" w:color="auto"/>
                <w:right w:val="none" w:sz="0" w:space="0" w:color="auto"/>
              </w:divBdr>
              <w:divsChild>
                <w:div w:id="1481384161">
                  <w:marLeft w:val="0"/>
                  <w:marRight w:val="0"/>
                  <w:marTop w:val="0"/>
                  <w:marBottom w:val="0"/>
                  <w:divBdr>
                    <w:top w:val="none" w:sz="0" w:space="0" w:color="auto"/>
                    <w:left w:val="none" w:sz="0" w:space="0" w:color="auto"/>
                    <w:bottom w:val="none" w:sz="0" w:space="0" w:color="auto"/>
                    <w:right w:val="none" w:sz="0" w:space="0" w:color="auto"/>
                  </w:divBdr>
                  <w:divsChild>
                    <w:div w:id="443186414">
                      <w:marLeft w:val="0"/>
                      <w:marRight w:val="0"/>
                      <w:marTop w:val="0"/>
                      <w:marBottom w:val="0"/>
                      <w:divBdr>
                        <w:top w:val="none" w:sz="0" w:space="0" w:color="auto"/>
                        <w:left w:val="none" w:sz="0" w:space="0" w:color="auto"/>
                        <w:bottom w:val="none" w:sz="0" w:space="0" w:color="auto"/>
                        <w:right w:val="none" w:sz="0" w:space="0" w:color="auto"/>
                      </w:divBdr>
                      <w:divsChild>
                        <w:div w:id="1750075280">
                          <w:marLeft w:val="0"/>
                          <w:marRight w:val="0"/>
                          <w:marTop w:val="0"/>
                          <w:marBottom w:val="0"/>
                          <w:divBdr>
                            <w:top w:val="none" w:sz="0" w:space="0" w:color="auto"/>
                            <w:left w:val="none" w:sz="0" w:space="0" w:color="auto"/>
                            <w:bottom w:val="none" w:sz="0" w:space="0" w:color="auto"/>
                            <w:right w:val="none" w:sz="0" w:space="0" w:color="auto"/>
                          </w:divBdr>
                          <w:divsChild>
                            <w:div w:id="1932858882">
                              <w:marLeft w:val="0"/>
                              <w:marRight w:val="0"/>
                              <w:marTop w:val="0"/>
                              <w:marBottom w:val="0"/>
                              <w:divBdr>
                                <w:top w:val="none" w:sz="0" w:space="0" w:color="auto"/>
                                <w:left w:val="none" w:sz="0" w:space="0" w:color="auto"/>
                                <w:bottom w:val="none" w:sz="0" w:space="0" w:color="auto"/>
                                <w:right w:val="none" w:sz="0" w:space="0" w:color="auto"/>
                              </w:divBdr>
                              <w:divsChild>
                                <w:div w:id="20170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064723">
      <w:bodyDiv w:val="1"/>
      <w:marLeft w:val="0"/>
      <w:marRight w:val="0"/>
      <w:marTop w:val="0"/>
      <w:marBottom w:val="0"/>
      <w:divBdr>
        <w:top w:val="none" w:sz="0" w:space="0" w:color="auto"/>
        <w:left w:val="none" w:sz="0" w:space="0" w:color="auto"/>
        <w:bottom w:val="none" w:sz="0" w:space="0" w:color="auto"/>
        <w:right w:val="none" w:sz="0" w:space="0" w:color="auto"/>
      </w:divBdr>
    </w:div>
    <w:div w:id="1928003794">
      <w:bodyDiv w:val="1"/>
      <w:marLeft w:val="0"/>
      <w:marRight w:val="0"/>
      <w:marTop w:val="0"/>
      <w:marBottom w:val="0"/>
      <w:divBdr>
        <w:top w:val="none" w:sz="0" w:space="0" w:color="auto"/>
        <w:left w:val="none" w:sz="0" w:space="0" w:color="auto"/>
        <w:bottom w:val="none" w:sz="0" w:space="0" w:color="auto"/>
        <w:right w:val="none" w:sz="0" w:space="0" w:color="auto"/>
      </w:divBdr>
    </w:div>
    <w:div w:id="1928344780">
      <w:bodyDiv w:val="1"/>
      <w:marLeft w:val="0"/>
      <w:marRight w:val="0"/>
      <w:marTop w:val="0"/>
      <w:marBottom w:val="0"/>
      <w:divBdr>
        <w:top w:val="none" w:sz="0" w:space="0" w:color="auto"/>
        <w:left w:val="none" w:sz="0" w:space="0" w:color="auto"/>
        <w:bottom w:val="none" w:sz="0" w:space="0" w:color="auto"/>
        <w:right w:val="none" w:sz="0" w:space="0" w:color="auto"/>
      </w:divBdr>
    </w:div>
    <w:div w:id="1932931486">
      <w:bodyDiv w:val="1"/>
      <w:marLeft w:val="0"/>
      <w:marRight w:val="0"/>
      <w:marTop w:val="0"/>
      <w:marBottom w:val="0"/>
      <w:divBdr>
        <w:top w:val="none" w:sz="0" w:space="0" w:color="auto"/>
        <w:left w:val="none" w:sz="0" w:space="0" w:color="auto"/>
        <w:bottom w:val="none" w:sz="0" w:space="0" w:color="auto"/>
        <w:right w:val="none" w:sz="0" w:space="0" w:color="auto"/>
      </w:divBdr>
      <w:divsChild>
        <w:div w:id="188107357">
          <w:marLeft w:val="0"/>
          <w:marRight w:val="0"/>
          <w:marTop w:val="0"/>
          <w:marBottom w:val="0"/>
          <w:divBdr>
            <w:top w:val="none" w:sz="0" w:space="0" w:color="auto"/>
            <w:left w:val="none" w:sz="0" w:space="0" w:color="auto"/>
            <w:bottom w:val="none" w:sz="0" w:space="0" w:color="auto"/>
            <w:right w:val="none" w:sz="0" w:space="0" w:color="auto"/>
          </w:divBdr>
          <w:divsChild>
            <w:div w:id="82730398">
              <w:marLeft w:val="0"/>
              <w:marRight w:val="0"/>
              <w:marTop w:val="0"/>
              <w:marBottom w:val="0"/>
              <w:divBdr>
                <w:top w:val="none" w:sz="0" w:space="0" w:color="auto"/>
                <w:left w:val="none" w:sz="0" w:space="0" w:color="auto"/>
                <w:bottom w:val="none" w:sz="0" w:space="0" w:color="auto"/>
                <w:right w:val="none" w:sz="0" w:space="0" w:color="auto"/>
              </w:divBdr>
              <w:divsChild>
                <w:div w:id="1079524333">
                  <w:marLeft w:val="0"/>
                  <w:marRight w:val="0"/>
                  <w:marTop w:val="0"/>
                  <w:marBottom w:val="0"/>
                  <w:divBdr>
                    <w:top w:val="none" w:sz="0" w:space="0" w:color="auto"/>
                    <w:left w:val="none" w:sz="0" w:space="0" w:color="auto"/>
                    <w:bottom w:val="none" w:sz="0" w:space="0" w:color="auto"/>
                    <w:right w:val="none" w:sz="0" w:space="0" w:color="auto"/>
                  </w:divBdr>
                  <w:divsChild>
                    <w:div w:id="300042083">
                      <w:marLeft w:val="0"/>
                      <w:marRight w:val="0"/>
                      <w:marTop w:val="0"/>
                      <w:marBottom w:val="0"/>
                      <w:divBdr>
                        <w:top w:val="none" w:sz="0" w:space="0" w:color="auto"/>
                        <w:left w:val="none" w:sz="0" w:space="0" w:color="auto"/>
                        <w:bottom w:val="none" w:sz="0" w:space="0" w:color="auto"/>
                        <w:right w:val="none" w:sz="0" w:space="0" w:color="auto"/>
                      </w:divBdr>
                      <w:divsChild>
                        <w:div w:id="949168898">
                          <w:marLeft w:val="0"/>
                          <w:marRight w:val="0"/>
                          <w:marTop w:val="0"/>
                          <w:marBottom w:val="0"/>
                          <w:divBdr>
                            <w:top w:val="none" w:sz="0" w:space="0" w:color="auto"/>
                            <w:left w:val="none" w:sz="0" w:space="0" w:color="auto"/>
                            <w:bottom w:val="none" w:sz="0" w:space="0" w:color="auto"/>
                            <w:right w:val="none" w:sz="0" w:space="0" w:color="auto"/>
                          </w:divBdr>
                          <w:divsChild>
                            <w:div w:id="271935960">
                              <w:marLeft w:val="0"/>
                              <w:marRight w:val="0"/>
                              <w:marTop w:val="0"/>
                              <w:marBottom w:val="0"/>
                              <w:divBdr>
                                <w:top w:val="none" w:sz="0" w:space="0" w:color="auto"/>
                                <w:left w:val="none" w:sz="0" w:space="0" w:color="auto"/>
                                <w:bottom w:val="none" w:sz="0" w:space="0" w:color="auto"/>
                                <w:right w:val="none" w:sz="0" w:space="0" w:color="auto"/>
                              </w:divBdr>
                              <w:divsChild>
                                <w:div w:id="270017095">
                                  <w:marLeft w:val="0"/>
                                  <w:marRight w:val="0"/>
                                  <w:marTop w:val="0"/>
                                  <w:marBottom w:val="0"/>
                                  <w:divBdr>
                                    <w:top w:val="none" w:sz="0" w:space="0" w:color="auto"/>
                                    <w:left w:val="none" w:sz="0" w:space="0" w:color="auto"/>
                                    <w:bottom w:val="none" w:sz="0" w:space="0" w:color="auto"/>
                                    <w:right w:val="none" w:sz="0" w:space="0" w:color="auto"/>
                                  </w:divBdr>
                                  <w:divsChild>
                                    <w:div w:id="96384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5306479">
      <w:bodyDiv w:val="1"/>
      <w:marLeft w:val="0"/>
      <w:marRight w:val="0"/>
      <w:marTop w:val="0"/>
      <w:marBottom w:val="0"/>
      <w:divBdr>
        <w:top w:val="none" w:sz="0" w:space="0" w:color="auto"/>
        <w:left w:val="none" w:sz="0" w:space="0" w:color="auto"/>
        <w:bottom w:val="none" w:sz="0" w:space="0" w:color="auto"/>
        <w:right w:val="none" w:sz="0" w:space="0" w:color="auto"/>
      </w:divBdr>
    </w:div>
    <w:div w:id="1995328089">
      <w:bodyDiv w:val="1"/>
      <w:marLeft w:val="0"/>
      <w:marRight w:val="0"/>
      <w:marTop w:val="0"/>
      <w:marBottom w:val="0"/>
      <w:divBdr>
        <w:top w:val="none" w:sz="0" w:space="0" w:color="auto"/>
        <w:left w:val="none" w:sz="0" w:space="0" w:color="auto"/>
        <w:bottom w:val="none" w:sz="0" w:space="0" w:color="auto"/>
        <w:right w:val="none" w:sz="0" w:space="0" w:color="auto"/>
      </w:divBdr>
    </w:div>
    <w:div w:id="2005207847">
      <w:bodyDiv w:val="1"/>
      <w:marLeft w:val="0"/>
      <w:marRight w:val="0"/>
      <w:marTop w:val="0"/>
      <w:marBottom w:val="0"/>
      <w:divBdr>
        <w:top w:val="none" w:sz="0" w:space="0" w:color="auto"/>
        <w:left w:val="none" w:sz="0" w:space="0" w:color="auto"/>
        <w:bottom w:val="none" w:sz="0" w:space="0" w:color="auto"/>
        <w:right w:val="none" w:sz="0" w:space="0" w:color="auto"/>
      </w:divBdr>
    </w:div>
    <w:div w:id="2013340094">
      <w:bodyDiv w:val="1"/>
      <w:marLeft w:val="0"/>
      <w:marRight w:val="0"/>
      <w:marTop w:val="0"/>
      <w:marBottom w:val="0"/>
      <w:divBdr>
        <w:top w:val="none" w:sz="0" w:space="0" w:color="auto"/>
        <w:left w:val="none" w:sz="0" w:space="0" w:color="auto"/>
        <w:bottom w:val="none" w:sz="0" w:space="0" w:color="auto"/>
        <w:right w:val="none" w:sz="0" w:space="0" w:color="auto"/>
      </w:divBdr>
    </w:div>
    <w:div w:id="2014334052">
      <w:bodyDiv w:val="1"/>
      <w:marLeft w:val="0"/>
      <w:marRight w:val="0"/>
      <w:marTop w:val="0"/>
      <w:marBottom w:val="0"/>
      <w:divBdr>
        <w:top w:val="none" w:sz="0" w:space="0" w:color="auto"/>
        <w:left w:val="none" w:sz="0" w:space="0" w:color="auto"/>
        <w:bottom w:val="none" w:sz="0" w:space="0" w:color="auto"/>
        <w:right w:val="none" w:sz="0" w:space="0" w:color="auto"/>
      </w:divBdr>
    </w:div>
    <w:div w:id="2029527191">
      <w:bodyDiv w:val="1"/>
      <w:marLeft w:val="0"/>
      <w:marRight w:val="0"/>
      <w:marTop w:val="0"/>
      <w:marBottom w:val="0"/>
      <w:divBdr>
        <w:top w:val="none" w:sz="0" w:space="0" w:color="auto"/>
        <w:left w:val="none" w:sz="0" w:space="0" w:color="auto"/>
        <w:bottom w:val="none" w:sz="0" w:space="0" w:color="auto"/>
        <w:right w:val="none" w:sz="0" w:space="0" w:color="auto"/>
      </w:divBdr>
    </w:div>
    <w:div w:id="2035883644">
      <w:bodyDiv w:val="1"/>
      <w:marLeft w:val="0"/>
      <w:marRight w:val="0"/>
      <w:marTop w:val="0"/>
      <w:marBottom w:val="0"/>
      <w:divBdr>
        <w:top w:val="none" w:sz="0" w:space="0" w:color="auto"/>
        <w:left w:val="none" w:sz="0" w:space="0" w:color="auto"/>
        <w:bottom w:val="none" w:sz="0" w:space="0" w:color="auto"/>
        <w:right w:val="none" w:sz="0" w:space="0" w:color="auto"/>
      </w:divBdr>
    </w:div>
    <w:div w:id="2049253863">
      <w:bodyDiv w:val="1"/>
      <w:marLeft w:val="0"/>
      <w:marRight w:val="0"/>
      <w:marTop w:val="0"/>
      <w:marBottom w:val="0"/>
      <w:divBdr>
        <w:top w:val="none" w:sz="0" w:space="0" w:color="auto"/>
        <w:left w:val="none" w:sz="0" w:space="0" w:color="auto"/>
        <w:bottom w:val="none" w:sz="0" w:space="0" w:color="auto"/>
        <w:right w:val="none" w:sz="0" w:space="0" w:color="auto"/>
      </w:divBdr>
    </w:div>
    <w:div w:id="2053725567">
      <w:bodyDiv w:val="1"/>
      <w:marLeft w:val="0"/>
      <w:marRight w:val="0"/>
      <w:marTop w:val="0"/>
      <w:marBottom w:val="0"/>
      <w:divBdr>
        <w:top w:val="none" w:sz="0" w:space="0" w:color="auto"/>
        <w:left w:val="none" w:sz="0" w:space="0" w:color="auto"/>
        <w:bottom w:val="none" w:sz="0" w:space="0" w:color="auto"/>
        <w:right w:val="none" w:sz="0" w:space="0" w:color="auto"/>
      </w:divBdr>
      <w:divsChild>
        <w:div w:id="463929457">
          <w:marLeft w:val="0"/>
          <w:marRight w:val="0"/>
          <w:marTop w:val="120"/>
          <w:marBottom w:val="120"/>
          <w:divBdr>
            <w:top w:val="none" w:sz="0" w:space="0" w:color="auto"/>
            <w:left w:val="none" w:sz="0" w:space="0" w:color="auto"/>
            <w:bottom w:val="none" w:sz="0" w:space="0" w:color="auto"/>
            <w:right w:val="none" w:sz="0" w:space="0" w:color="auto"/>
          </w:divBdr>
        </w:div>
        <w:div w:id="2129662249">
          <w:marLeft w:val="0"/>
          <w:marRight w:val="0"/>
          <w:marTop w:val="120"/>
          <w:marBottom w:val="120"/>
          <w:divBdr>
            <w:top w:val="none" w:sz="0" w:space="0" w:color="auto"/>
            <w:left w:val="none" w:sz="0" w:space="0" w:color="auto"/>
            <w:bottom w:val="none" w:sz="0" w:space="0" w:color="auto"/>
            <w:right w:val="none" w:sz="0" w:space="0" w:color="auto"/>
          </w:divBdr>
        </w:div>
        <w:div w:id="1873765447">
          <w:marLeft w:val="0"/>
          <w:marRight w:val="0"/>
          <w:marTop w:val="120"/>
          <w:marBottom w:val="120"/>
          <w:divBdr>
            <w:top w:val="none" w:sz="0" w:space="0" w:color="auto"/>
            <w:left w:val="none" w:sz="0" w:space="0" w:color="auto"/>
            <w:bottom w:val="none" w:sz="0" w:space="0" w:color="auto"/>
            <w:right w:val="none" w:sz="0" w:space="0" w:color="auto"/>
          </w:divBdr>
        </w:div>
        <w:div w:id="613051655">
          <w:marLeft w:val="0"/>
          <w:marRight w:val="0"/>
          <w:marTop w:val="120"/>
          <w:marBottom w:val="120"/>
          <w:divBdr>
            <w:top w:val="none" w:sz="0" w:space="0" w:color="auto"/>
            <w:left w:val="none" w:sz="0" w:space="0" w:color="auto"/>
            <w:bottom w:val="none" w:sz="0" w:space="0" w:color="auto"/>
            <w:right w:val="none" w:sz="0" w:space="0" w:color="auto"/>
          </w:divBdr>
        </w:div>
        <w:div w:id="1174538711">
          <w:marLeft w:val="0"/>
          <w:marRight w:val="0"/>
          <w:marTop w:val="120"/>
          <w:marBottom w:val="120"/>
          <w:divBdr>
            <w:top w:val="none" w:sz="0" w:space="0" w:color="auto"/>
            <w:left w:val="none" w:sz="0" w:space="0" w:color="auto"/>
            <w:bottom w:val="none" w:sz="0" w:space="0" w:color="auto"/>
            <w:right w:val="none" w:sz="0" w:space="0" w:color="auto"/>
          </w:divBdr>
        </w:div>
        <w:div w:id="271010114">
          <w:marLeft w:val="0"/>
          <w:marRight w:val="0"/>
          <w:marTop w:val="120"/>
          <w:marBottom w:val="120"/>
          <w:divBdr>
            <w:top w:val="none" w:sz="0" w:space="0" w:color="auto"/>
            <w:left w:val="none" w:sz="0" w:space="0" w:color="auto"/>
            <w:bottom w:val="none" w:sz="0" w:space="0" w:color="auto"/>
            <w:right w:val="none" w:sz="0" w:space="0" w:color="auto"/>
          </w:divBdr>
        </w:div>
        <w:div w:id="2073772505">
          <w:marLeft w:val="0"/>
          <w:marRight w:val="0"/>
          <w:marTop w:val="120"/>
          <w:marBottom w:val="120"/>
          <w:divBdr>
            <w:top w:val="none" w:sz="0" w:space="0" w:color="auto"/>
            <w:left w:val="none" w:sz="0" w:space="0" w:color="auto"/>
            <w:bottom w:val="none" w:sz="0" w:space="0" w:color="auto"/>
            <w:right w:val="none" w:sz="0" w:space="0" w:color="auto"/>
          </w:divBdr>
        </w:div>
        <w:div w:id="839543157">
          <w:marLeft w:val="0"/>
          <w:marRight w:val="0"/>
          <w:marTop w:val="120"/>
          <w:marBottom w:val="120"/>
          <w:divBdr>
            <w:top w:val="none" w:sz="0" w:space="0" w:color="auto"/>
            <w:left w:val="none" w:sz="0" w:space="0" w:color="auto"/>
            <w:bottom w:val="none" w:sz="0" w:space="0" w:color="auto"/>
            <w:right w:val="none" w:sz="0" w:space="0" w:color="auto"/>
          </w:divBdr>
        </w:div>
        <w:div w:id="1584947792">
          <w:marLeft w:val="0"/>
          <w:marRight w:val="0"/>
          <w:marTop w:val="120"/>
          <w:marBottom w:val="120"/>
          <w:divBdr>
            <w:top w:val="none" w:sz="0" w:space="0" w:color="auto"/>
            <w:left w:val="none" w:sz="0" w:space="0" w:color="auto"/>
            <w:bottom w:val="none" w:sz="0" w:space="0" w:color="auto"/>
            <w:right w:val="none" w:sz="0" w:space="0" w:color="auto"/>
          </w:divBdr>
        </w:div>
        <w:div w:id="895051007">
          <w:marLeft w:val="0"/>
          <w:marRight w:val="0"/>
          <w:marTop w:val="120"/>
          <w:marBottom w:val="120"/>
          <w:divBdr>
            <w:top w:val="none" w:sz="0" w:space="0" w:color="auto"/>
            <w:left w:val="none" w:sz="0" w:space="0" w:color="auto"/>
            <w:bottom w:val="none" w:sz="0" w:space="0" w:color="auto"/>
            <w:right w:val="none" w:sz="0" w:space="0" w:color="auto"/>
          </w:divBdr>
        </w:div>
        <w:div w:id="607615436">
          <w:marLeft w:val="0"/>
          <w:marRight w:val="0"/>
          <w:marTop w:val="120"/>
          <w:marBottom w:val="120"/>
          <w:divBdr>
            <w:top w:val="none" w:sz="0" w:space="0" w:color="auto"/>
            <w:left w:val="none" w:sz="0" w:space="0" w:color="auto"/>
            <w:bottom w:val="none" w:sz="0" w:space="0" w:color="auto"/>
            <w:right w:val="none" w:sz="0" w:space="0" w:color="auto"/>
          </w:divBdr>
        </w:div>
        <w:div w:id="726760226">
          <w:marLeft w:val="0"/>
          <w:marRight w:val="0"/>
          <w:marTop w:val="120"/>
          <w:marBottom w:val="120"/>
          <w:divBdr>
            <w:top w:val="none" w:sz="0" w:space="0" w:color="auto"/>
            <w:left w:val="none" w:sz="0" w:space="0" w:color="auto"/>
            <w:bottom w:val="none" w:sz="0" w:space="0" w:color="auto"/>
            <w:right w:val="none" w:sz="0" w:space="0" w:color="auto"/>
          </w:divBdr>
        </w:div>
        <w:div w:id="15617651">
          <w:marLeft w:val="0"/>
          <w:marRight w:val="0"/>
          <w:marTop w:val="120"/>
          <w:marBottom w:val="120"/>
          <w:divBdr>
            <w:top w:val="none" w:sz="0" w:space="0" w:color="auto"/>
            <w:left w:val="none" w:sz="0" w:space="0" w:color="auto"/>
            <w:bottom w:val="none" w:sz="0" w:space="0" w:color="auto"/>
            <w:right w:val="none" w:sz="0" w:space="0" w:color="auto"/>
          </w:divBdr>
        </w:div>
        <w:div w:id="708534448">
          <w:marLeft w:val="0"/>
          <w:marRight w:val="0"/>
          <w:marTop w:val="120"/>
          <w:marBottom w:val="120"/>
          <w:divBdr>
            <w:top w:val="none" w:sz="0" w:space="0" w:color="auto"/>
            <w:left w:val="none" w:sz="0" w:space="0" w:color="auto"/>
            <w:bottom w:val="none" w:sz="0" w:space="0" w:color="auto"/>
            <w:right w:val="none" w:sz="0" w:space="0" w:color="auto"/>
          </w:divBdr>
        </w:div>
        <w:div w:id="1900242700">
          <w:marLeft w:val="0"/>
          <w:marRight w:val="0"/>
          <w:marTop w:val="120"/>
          <w:marBottom w:val="120"/>
          <w:divBdr>
            <w:top w:val="none" w:sz="0" w:space="0" w:color="auto"/>
            <w:left w:val="none" w:sz="0" w:space="0" w:color="auto"/>
            <w:bottom w:val="none" w:sz="0" w:space="0" w:color="auto"/>
            <w:right w:val="none" w:sz="0" w:space="0" w:color="auto"/>
          </w:divBdr>
        </w:div>
        <w:div w:id="1297954208">
          <w:marLeft w:val="0"/>
          <w:marRight w:val="0"/>
          <w:marTop w:val="120"/>
          <w:marBottom w:val="120"/>
          <w:divBdr>
            <w:top w:val="none" w:sz="0" w:space="0" w:color="auto"/>
            <w:left w:val="none" w:sz="0" w:space="0" w:color="auto"/>
            <w:bottom w:val="none" w:sz="0" w:space="0" w:color="auto"/>
            <w:right w:val="none" w:sz="0" w:space="0" w:color="auto"/>
          </w:divBdr>
        </w:div>
        <w:div w:id="1676610663">
          <w:marLeft w:val="0"/>
          <w:marRight w:val="0"/>
          <w:marTop w:val="120"/>
          <w:marBottom w:val="120"/>
          <w:divBdr>
            <w:top w:val="none" w:sz="0" w:space="0" w:color="auto"/>
            <w:left w:val="none" w:sz="0" w:space="0" w:color="auto"/>
            <w:bottom w:val="none" w:sz="0" w:space="0" w:color="auto"/>
            <w:right w:val="none" w:sz="0" w:space="0" w:color="auto"/>
          </w:divBdr>
        </w:div>
        <w:div w:id="1422481911">
          <w:marLeft w:val="0"/>
          <w:marRight w:val="0"/>
          <w:marTop w:val="120"/>
          <w:marBottom w:val="120"/>
          <w:divBdr>
            <w:top w:val="none" w:sz="0" w:space="0" w:color="auto"/>
            <w:left w:val="none" w:sz="0" w:space="0" w:color="auto"/>
            <w:bottom w:val="none" w:sz="0" w:space="0" w:color="auto"/>
            <w:right w:val="none" w:sz="0" w:space="0" w:color="auto"/>
          </w:divBdr>
        </w:div>
        <w:div w:id="77292091">
          <w:marLeft w:val="0"/>
          <w:marRight w:val="0"/>
          <w:marTop w:val="120"/>
          <w:marBottom w:val="120"/>
          <w:divBdr>
            <w:top w:val="none" w:sz="0" w:space="0" w:color="auto"/>
            <w:left w:val="none" w:sz="0" w:space="0" w:color="auto"/>
            <w:bottom w:val="none" w:sz="0" w:space="0" w:color="auto"/>
            <w:right w:val="none" w:sz="0" w:space="0" w:color="auto"/>
          </w:divBdr>
        </w:div>
        <w:div w:id="133565985">
          <w:marLeft w:val="0"/>
          <w:marRight w:val="0"/>
          <w:marTop w:val="120"/>
          <w:marBottom w:val="120"/>
          <w:divBdr>
            <w:top w:val="none" w:sz="0" w:space="0" w:color="auto"/>
            <w:left w:val="none" w:sz="0" w:space="0" w:color="auto"/>
            <w:bottom w:val="none" w:sz="0" w:space="0" w:color="auto"/>
            <w:right w:val="none" w:sz="0" w:space="0" w:color="auto"/>
          </w:divBdr>
        </w:div>
        <w:div w:id="480734764">
          <w:marLeft w:val="0"/>
          <w:marRight w:val="0"/>
          <w:marTop w:val="120"/>
          <w:marBottom w:val="120"/>
          <w:divBdr>
            <w:top w:val="none" w:sz="0" w:space="0" w:color="auto"/>
            <w:left w:val="none" w:sz="0" w:space="0" w:color="auto"/>
            <w:bottom w:val="none" w:sz="0" w:space="0" w:color="auto"/>
            <w:right w:val="none" w:sz="0" w:space="0" w:color="auto"/>
          </w:divBdr>
        </w:div>
        <w:div w:id="627393815">
          <w:marLeft w:val="0"/>
          <w:marRight w:val="0"/>
          <w:marTop w:val="120"/>
          <w:marBottom w:val="120"/>
          <w:divBdr>
            <w:top w:val="none" w:sz="0" w:space="0" w:color="auto"/>
            <w:left w:val="none" w:sz="0" w:space="0" w:color="auto"/>
            <w:bottom w:val="none" w:sz="0" w:space="0" w:color="auto"/>
            <w:right w:val="none" w:sz="0" w:space="0" w:color="auto"/>
          </w:divBdr>
        </w:div>
        <w:div w:id="339817885">
          <w:marLeft w:val="0"/>
          <w:marRight w:val="0"/>
          <w:marTop w:val="120"/>
          <w:marBottom w:val="120"/>
          <w:divBdr>
            <w:top w:val="none" w:sz="0" w:space="0" w:color="auto"/>
            <w:left w:val="none" w:sz="0" w:space="0" w:color="auto"/>
            <w:bottom w:val="none" w:sz="0" w:space="0" w:color="auto"/>
            <w:right w:val="none" w:sz="0" w:space="0" w:color="auto"/>
          </w:divBdr>
        </w:div>
        <w:div w:id="1647664820">
          <w:marLeft w:val="0"/>
          <w:marRight w:val="0"/>
          <w:marTop w:val="120"/>
          <w:marBottom w:val="120"/>
          <w:divBdr>
            <w:top w:val="none" w:sz="0" w:space="0" w:color="auto"/>
            <w:left w:val="none" w:sz="0" w:space="0" w:color="auto"/>
            <w:bottom w:val="none" w:sz="0" w:space="0" w:color="auto"/>
            <w:right w:val="none" w:sz="0" w:space="0" w:color="auto"/>
          </w:divBdr>
        </w:div>
        <w:div w:id="851409178">
          <w:marLeft w:val="0"/>
          <w:marRight w:val="0"/>
          <w:marTop w:val="120"/>
          <w:marBottom w:val="120"/>
          <w:divBdr>
            <w:top w:val="none" w:sz="0" w:space="0" w:color="auto"/>
            <w:left w:val="none" w:sz="0" w:space="0" w:color="auto"/>
            <w:bottom w:val="none" w:sz="0" w:space="0" w:color="auto"/>
            <w:right w:val="none" w:sz="0" w:space="0" w:color="auto"/>
          </w:divBdr>
        </w:div>
        <w:div w:id="1983385559">
          <w:marLeft w:val="0"/>
          <w:marRight w:val="0"/>
          <w:marTop w:val="120"/>
          <w:marBottom w:val="120"/>
          <w:divBdr>
            <w:top w:val="none" w:sz="0" w:space="0" w:color="auto"/>
            <w:left w:val="none" w:sz="0" w:space="0" w:color="auto"/>
            <w:bottom w:val="none" w:sz="0" w:space="0" w:color="auto"/>
            <w:right w:val="none" w:sz="0" w:space="0" w:color="auto"/>
          </w:divBdr>
        </w:div>
        <w:div w:id="1118528961">
          <w:marLeft w:val="0"/>
          <w:marRight w:val="0"/>
          <w:marTop w:val="120"/>
          <w:marBottom w:val="120"/>
          <w:divBdr>
            <w:top w:val="none" w:sz="0" w:space="0" w:color="auto"/>
            <w:left w:val="none" w:sz="0" w:space="0" w:color="auto"/>
            <w:bottom w:val="none" w:sz="0" w:space="0" w:color="auto"/>
            <w:right w:val="none" w:sz="0" w:space="0" w:color="auto"/>
          </w:divBdr>
        </w:div>
        <w:div w:id="1097290335">
          <w:marLeft w:val="0"/>
          <w:marRight w:val="0"/>
          <w:marTop w:val="120"/>
          <w:marBottom w:val="120"/>
          <w:divBdr>
            <w:top w:val="none" w:sz="0" w:space="0" w:color="auto"/>
            <w:left w:val="none" w:sz="0" w:space="0" w:color="auto"/>
            <w:bottom w:val="none" w:sz="0" w:space="0" w:color="auto"/>
            <w:right w:val="none" w:sz="0" w:space="0" w:color="auto"/>
          </w:divBdr>
        </w:div>
        <w:div w:id="533275122">
          <w:marLeft w:val="0"/>
          <w:marRight w:val="0"/>
          <w:marTop w:val="120"/>
          <w:marBottom w:val="120"/>
          <w:divBdr>
            <w:top w:val="none" w:sz="0" w:space="0" w:color="auto"/>
            <w:left w:val="none" w:sz="0" w:space="0" w:color="auto"/>
            <w:bottom w:val="none" w:sz="0" w:space="0" w:color="auto"/>
            <w:right w:val="none" w:sz="0" w:space="0" w:color="auto"/>
          </w:divBdr>
        </w:div>
        <w:div w:id="1080639665">
          <w:marLeft w:val="0"/>
          <w:marRight w:val="0"/>
          <w:marTop w:val="120"/>
          <w:marBottom w:val="120"/>
          <w:divBdr>
            <w:top w:val="none" w:sz="0" w:space="0" w:color="auto"/>
            <w:left w:val="none" w:sz="0" w:space="0" w:color="auto"/>
            <w:bottom w:val="none" w:sz="0" w:space="0" w:color="auto"/>
            <w:right w:val="none" w:sz="0" w:space="0" w:color="auto"/>
          </w:divBdr>
        </w:div>
        <w:div w:id="1418867332">
          <w:marLeft w:val="0"/>
          <w:marRight w:val="0"/>
          <w:marTop w:val="120"/>
          <w:marBottom w:val="120"/>
          <w:divBdr>
            <w:top w:val="none" w:sz="0" w:space="0" w:color="auto"/>
            <w:left w:val="none" w:sz="0" w:space="0" w:color="auto"/>
            <w:bottom w:val="none" w:sz="0" w:space="0" w:color="auto"/>
            <w:right w:val="none" w:sz="0" w:space="0" w:color="auto"/>
          </w:divBdr>
        </w:div>
        <w:div w:id="411776202">
          <w:marLeft w:val="0"/>
          <w:marRight w:val="0"/>
          <w:marTop w:val="120"/>
          <w:marBottom w:val="120"/>
          <w:divBdr>
            <w:top w:val="none" w:sz="0" w:space="0" w:color="auto"/>
            <w:left w:val="none" w:sz="0" w:space="0" w:color="auto"/>
            <w:bottom w:val="none" w:sz="0" w:space="0" w:color="auto"/>
            <w:right w:val="none" w:sz="0" w:space="0" w:color="auto"/>
          </w:divBdr>
        </w:div>
        <w:div w:id="940185095">
          <w:marLeft w:val="0"/>
          <w:marRight w:val="0"/>
          <w:marTop w:val="120"/>
          <w:marBottom w:val="120"/>
          <w:divBdr>
            <w:top w:val="none" w:sz="0" w:space="0" w:color="auto"/>
            <w:left w:val="none" w:sz="0" w:space="0" w:color="auto"/>
            <w:bottom w:val="none" w:sz="0" w:space="0" w:color="auto"/>
            <w:right w:val="none" w:sz="0" w:space="0" w:color="auto"/>
          </w:divBdr>
        </w:div>
        <w:div w:id="377054638">
          <w:marLeft w:val="0"/>
          <w:marRight w:val="0"/>
          <w:marTop w:val="120"/>
          <w:marBottom w:val="120"/>
          <w:divBdr>
            <w:top w:val="none" w:sz="0" w:space="0" w:color="auto"/>
            <w:left w:val="none" w:sz="0" w:space="0" w:color="auto"/>
            <w:bottom w:val="none" w:sz="0" w:space="0" w:color="auto"/>
            <w:right w:val="none" w:sz="0" w:space="0" w:color="auto"/>
          </w:divBdr>
        </w:div>
        <w:div w:id="2094206466">
          <w:marLeft w:val="0"/>
          <w:marRight w:val="0"/>
          <w:marTop w:val="120"/>
          <w:marBottom w:val="120"/>
          <w:divBdr>
            <w:top w:val="none" w:sz="0" w:space="0" w:color="auto"/>
            <w:left w:val="none" w:sz="0" w:space="0" w:color="auto"/>
            <w:bottom w:val="none" w:sz="0" w:space="0" w:color="auto"/>
            <w:right w:val="none" w:sz="0" w:space="0" w:color="auto"/>
          </w:divBdr>
        </w:div>
        <w:div w:id="1805927067">
          <w:marLeft w:val="0"/>
          <w:marRight w:val="0"/>
          <w:marTop w:val="120"/>
          <w:marBottom w:val="120"/>
          <w:divBdr>
            <w:top w:val="none" w:sz="0" w:space="0" w:color="auto"/>
            <w:left w:val="none" w:sz="0" w:space="0" w:color="auto"/>
            <w:bottom w:val="none" w:sz="0" w:space="0" w:color="auto"/>
            <w:right w:val="none" w:sz="0" w:space="0" w:color="auto"/>
          </w:divBdr>
        </w:div>
        <w:div w:id="1347904625">
          <w:marLeft w:val="0"/>
          <w:marRight w:val="0"/>
          <w:marTop w:val="120"/>
          <w:marBottom w:val="120"/>
          <w:divBdr>
            <w:top w:val="none" w:sz="0" w:space="0" w:color="auto"/>
            <w:left w:val="none" w:sz="0" w:space="0" w:color="auto"/>
            <w:bottom w:val="none" w:sz="0" w:space="0" w:color="auto"/>
            <w:right w:val="none" w:sz="0" w:space="0" w:color="auto"/>
          </w:divBdr>
        </w:div>
      </w:divsChild>
    </w:div>
    <w:div w:id="2057578509">
      <w:bodyDiv w:val="1"/>
      <w:marLeft w:val="0"/>
      <w:marRight w:val="0"/>
      <w:marTop w:val="0"/>
      <w:marBottom w:val="0"/>
      <w:divBdr>
        <w:top w:val="none" w:sz="0" w:space="0" w:color="auto"/>
        <w:left w:val="none" w:sz="0" w:space="0" w:color="auto"/>
        <w:bottom w:val="none" w:sz="0" w:space="0" w:color="auto"/>
        <w:right w:val="none" w:sz="0" w:space="0" w:color="auto"/>
      </w:divBdr>
    </w:div>
    <w:div w:id="2066292834">
      <w:bodyDiv w:val="1"/>
      <w:marLeft w:val="0"/>
      <w:marRight w:val="0"/>
      <w:marTop w:val="0"/>
      <w:marBottom w:val="0"/>
      <w:divBdr>
        <w:top w:val="none" w:sz="0" w:space="0" w:color="auto"/>
        <w:left w:val="none" w:sz="0" w:space="0" w:color="auto"/>
        <w:bottom w:val="none" w:sz="0" w:space="0" w:color="auto"/>
        <w:right w:val="none" w:sz="0" w:space="0" w:color="auto"/>
      </w:divBdr>
    </w:div>
    <w:div w:id="2069109297">
      <w:bodyDiv w:val="1"/>
      <w:marLeft w:val="0"/>
      <w:marRight w:val="0"/>
      <w:marTop w:val="0"/>
      <w:marBottom w:val="0"/>
      <w:divBdr>
        <w:top w:val="none" w:sz="0" w:space="0" w:color="auto"/>
        <w:left w:val="none" w:sz="0" w:space="0" w:color="auto"/>
        <w:bottom w:val="none" w:sz="0" w:space="0" w:color="auto"/>
        <w:right w:val="none" w:sz="0" w:space="0" w:color="auto"/>
      </w:divBdr>
    </w:div>
    <w:div w:id="2077244861">
      <w:bodyDiv w:val="1"/>
      <w:marLeft w:val="0"/>
      <w:marRight w:val="0"/>
      <w:marTop w:val="0"/>
      <w:marBottom w:val="0"/>
      <w:divBdr>
        <w:top w:val="none" w:sz="0" w:space="0" w:color="auto"/>
        <w:left w:val="none" w:sz="0" w:space="0" w:color="auto"/>
        <w:bottom w:val="none" w:sz="0" w:space="0" w:color="auto"/>
        <w:right w:val="none" w:sz="0" w:space="0" w:color="auto"/>
      </w:divBdr>
    </w:div>
    <w:div w:id="2081245227">
      <w:bodyDiv w:val="1"/>
      <w:marLeft w:val="0"/>
      <w:marRight w:val="0"/>
      <w:marTop w:val="0"/>
      <w:marBottom w:val="0"/>
      <w:divBdr>
        <w:top w:val="none" w:sz="0" w:space="0" w:color="auto"/>
        <w:left w:val="none" w:sz="0" w:space="0" w:color="auto"/>
        <w:bottom w:val="none" w:sz="0" w:space="0" w:color="auto"/>
        <w:right w:val="none" w:sz="0" w:space="0" w:color="auto"/>
      </w:divBdr>
    </w:div>
    <w:div w:id="2086145168">
      <w:bodyDiv w:val="1"/>
      <w:marLeft w:val="0"/>
      <w:marRight w:val="0"/>
      <w:marTop w:val="0"/>
      <w:marBottom w:val="0"/>
      <w:divBdr>
        <w:top w:val="none" w:sz="0" w:space="0" w:color="auto"/>
        <w:left w:val="none" w:sz="0" w:space="0" w:color="auto"/>
        <w:bottom w:val="none" w:sz="0" w:space="0" w:color="auto"/>
        <w:right w:val="none" w:sz="0" w:space="0" w:color="auto"/>
      </w:divBdr>
    </w:div>
    <w:div w:id="2096121945">
      <w:bodyDiv w:val="1"/>
      <w:marLeft w:val="0"/>
      <w:marRight w:val="0"/>
      <w:marTop w:val="0"/>
      <w:marBottom w:val="0"/>
      <w:divBdr>
        <w:top w:val="none" w:sz="0" w:space="0" w:color="auto"/>
        <w:left w:val="none" w:sz="0" w:space="0" w:color="auto"/>
        <w:bottom w:val="none" w:sz="0" w:space="0" w:color="auto"/>
        <w:right w:val="none" w:sz="0" w:space="0" w:color="auto"/>
      </w:divBdr>
    </w:div>
    <w:div w:id="2110461780">
      <w:bodyDiv w:val="1"/>
      <w:marLeft w:val="0"/>
      <w:marRight w:val="0"/>
      <w:marTop w:val="0"/>
      <w:marBottom w:val="0"/>
      <w:divBdr>
        <w:top w:val="none" w:sz="0" w:space="0" w:color="auto"/>
        <w:left w:val="none" w:sz="0" w:space="0" w:color="auto"/>
        <w:bottom w:val="none" w:sz="0" w:space="0" w:color="auto"/>
        <w:right w:val="none" w:sz="0" w:space="0" w:color="auto"/>
      </w:divBdr>
    </w:div>
    <w:div w:id="2113043192">
      <w:bodyDiv w:val="1"/>
      <w:marLeft w:val="0"/>
      <w:marRight w:val="0"/>
      <w:marTop w:val="0"/>
      <w:marBottom w:val="0"/>
      <w:divBdr>
        <w:top w:val="none" w:sz="0" w:space="0" w:color="auto"/>
        <w:left w:val="none" w:sz="0" w:space="0" w:color="auto"/>
        <w:bottom w:val="none" w:sz="0" w:space="0" w:color="auto"/>
        <w:right w:val="none" w:sz="0" w:space="0" w:color="auto"/>
      </w:divBdr>
    </w:div>
    <w:div w:id="2118283807">
      <w:bodyDiv w:val="1"/>
      <w:marLeft w:val="0"/>
      <w:marRight w:val="0"/>
      <w:marTop w:val="0"/>
      <w:marBottom w:val="0"/>
      <w:divBdr>
        <w:top w:val="none" w:sz="0" w:space="0" w:color="auto"/>
        <w:left w:val="none" w:sz="0" w:space="0" w:color="auto"/>
        <w:bottom w:val="none" w:sz="0" w:space="0" w:color="auto"/>
        <w:right w:val="none" w:sz="0" w:space="0" w:color="auto"/>
      </w:divBdr>
    </w:div>
    <w:div w:id="2120296810">
      <w:bodyDiv w:val="1"/>
      <w:marLeft w:val="0"/>
      <w:marRight w:val="0"/>
      <w:marTop w:val="0"/>
      <w:marBottom w:val="0"/>
      <w:divBdr>
        <w:top w:val="none" w:sz="0" w:space="0" w:color="auto"/>
        <w:left w:val="none" w:sz="0" w:space="0" w:color="auto"/>
        <w:bottom w:val="none" w:sz="0" w:space="0" w:color="auto"/>
        <w:right w:val="none" w:sz="0" w:space="0" w:color="auto"/>
      </w:divBdr>
    </w:div>
    <w:div w:id="2130390003">
      <w:bodyDiv w:val="1"/>
      <w:marLeft w:val="0"/>
      <w:marRight w:val="0"/>
      <w:marTop w:val="0"/>
      <w:marBottom w:val="0"/>
      <w:divBdr>
        <w:top w:val="none" w:sz="0" w:space="0" w:color="auto"/>
        <w:left w:val="none" w:sz="0" w:space="0" w:color="auto"/>
        <w:bottom w:val="none" w:sz="0" w:space="0" w:color="auto"/>
        <w:right w:val="none" w:sz="0" w:space="0" w:color="auto"/>
      </w:divBdr>
    </w:div>
    <w:div w:id="21327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ped.gov.ph" TargetMode="External"/><Relationship Id="rId18" Type="http://schemas.openxmlformats.org/officeDocument/2006/relationships/hyperlink" Target="https://doi.org/10.1016/j.compedu.2022.104438" TargetMode="External"/><Relationship Id="rId26" Type="http://schemas.openxmlformats.org/officeDocument/2006/relationships/hyperlink" Target="https://doi.org/10.1016/j.compedu.2022.104545" TargetMode="External"/><Relationship Id="rId39" Type="http://schemas.openxmlformats.org/officeDocument/2006/relationships/image" Target="media/image7.jpeg"/><Relationship Id="rId21" Type="http://schemas.openxmlformats.org/officeDocument/2006/relationships/hyperlink" Target="https://doi.org/10.17763/1943-5045-91.1.1" TargetMode="External"/><Relationship Id="rId34" Type="http://schemas.openxmlformats.org/officeDocument/2006/relationships/image" Target="media/image2.jpeg"/><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77/13621688211001922" TargetMode="External"/><Relationship Id="rId29" Type="http://schemas.openxmlformats.org/officeDocument/2006/relationships/hyperlink" Target="https://doi.org/10.1080/09588221.2020.1839500" TargetMode="External"/><Relationship Id="rId11" Type="http://schemas.openxmlformats.org/officeDocument/2006/relationships/hyperlink" Target="https://doi.org/10.52462/jlls.239" TargetMode="External"/><Relationship Id="rId24" Type="http://schemas.openxmlformats.org/officeDocument/2006/relationships/hyperlink" Target="https://doi.org/10.3102/0013189X221094367" TargetMode="External"/><Relationship Id="rId32" Type="http://schemas.openxmlformats.org/officeDocument/2006/relationships/hyperlink" Target="https://doi.org/10.1080/10508406.2021.1883342"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hyperlink" Target="mailto:jollibert.galupo@deped.gov.ph"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edtechbooks.org/picrat" TargetMode="External"/><Relationship Id="rId4" Type="http://schemas.openxmlformats.org/officeDocument/2006/relationships/settings" Target="settings.xml"/><Relationship Id="rId9" Type="http://schemas.openxmlformats.org/officeDocument/2006/relationships/hyperlink" Target="https://doi.org/10.5281/zenodo.5044548" TargetMode="External"/><Relationship Id="rId14" Type="http://schemas.openxmlformats.org/officeDocument/2006/relationships/hyperlink" Target="https://doi.org/10.1080/15391523.2022.2030265" TargetMode="External"/><Relationship Id="rId22" Type="http://schemas.openxmlformats.org/officeDocument/2006/relationships/hyperlink" Target="https://doi.org/10.1016/j.compedu.2020.103861" TargetMode="External"/><Relationship Id="rId27" Type="http://schemas.openxmlformats.org/officeDocument/2006/relationships/hyperlink" Target="https://doi.org/10.1177/13621688211050655" TargetMode="External"/><Relationship Id="rId30" Type="http://schemas.openxmlformats.org/officeDocument/2006/relationships/hyperlink" Target="https://doi.org/10.1016/j.edurev.2020.100379" TargetMode="External"/><Relationship Id="rId35" Type="http://schemas.openxmlformats.org/officeDocument/2006/relationships/image" Target="media/image3.jpg"/><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yperlink" Target="https://www.bing.com/maps?cp=9.065074%7E126.194176&amp;lvl=11&amp;style=r" TargetMode="External"/><Relationship Id="rId17" Type="http://schemas.openxmlformats.org/officeDocument/2006/relationships/hyperlink" Target="https://doi.org/10.1080/09588221.2023.2174890" TargetMode="External"/><Relationship Id="rId25" Type="http://schemas.openxmlformats.org/officeDocument/2006/relationships/hyperlink" Target="https://doi.org/10.17763/1943-5045-91.3.364" TargetMode="External"/><Relationship Id="rId33" Type="http://schemas.openxmlformats.org/officeDocument/2006/relationships/hyperlink" Target="https://unesdoc.unesco.org/ark:/48223/pf0000385723" TargetMode="External"/><Relationship Id="rId38" Type="http://schemas.openxmlformats.org/officeDocument/2006/relationships/image" Target="media/image6.jpeg"/><Relationship Id="rId46" Type="http://schemas.openxmlformats.org/officeDocument/2006/relationships/image" Target="media/image14.jpeg"/><Relationship Id="rId59" Type="http://schemas.openxmlformats.org/officeDocument/2006/relationships/theme" Target="theme/theme1.xml"/><Relationship Id="rId20" Type="http://schemas.openxmlformats.org/officeDocument/2006/relationships/hyperlink" Target="https://doi.org/10.1017/jie.2021.24" TargetMode="External"/><Relationship Id="rId41" Type="http://schemas.openxmlformats.org/officeDocument/2006/relationships/image" Target="media/image9.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07/s11528-020-00530-5" TargetMode="External"/><Relationship Id="rId23" Type="http://schemas.openxmlformats.org/officeDocument/2006/relationships/hyperlink" Target="https://doi.org/10.1177/13621688221141056" TargetMode="External"/><Relationship Id="rId28" Type="http://schemas.openxmlformats.org/officeDocument/2006/relationships/hyperlink" Target="https://doi.org/10.1016/j.compedu.2020.103967" TargetMode="External"/><Relationship Id="rId36" Type="http://schemas.openxmlformats.org/officeDocument/2006/relationships/image" Target="media/image4.jpeg"/><Relationship Id="rId49" Type="http://schemas.openxmlformats.org/officeDocument/2006/relationships/image" Target="media/image17.jpeg"/><Relationship Id="rId57" Type="http://schemas.openxmlformats.org/officeDocument/2006/relationships/footer" Target="footer2.xml"/><Relationship Id="rId10" Type="http://schemas.openxmlformats.org/officeDocument/2006/relationships/hyperlink" Target="https://doi.org/10.3102/0013189X221145672" TargetMode="External"/><Relationship Id="rId31" Type="http://schemas.openxmlformats.org/officeDocument/2006/relationships/hyperlink" Target="https://doi.org/10.18488/journal.61.2021.93.577.589" TargetMode="External"/><Relationship Id="rId44" Type="http://schemas.openxmlformats.org/officeDocument/2006/relationships/image" Target="media/image12.jpeg"/><Relationship Id="rId52" Type="http://schemas.openxmlformats.org/officeDocument/2006/relationships/image" Target="media/image20.jpeg"/></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45EE9-7FC1-448E-A571-C71D67A65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146</Pages>
  <Words>27779</Words>
  <Characters>158346</Characters>
  <Application>Microsoft Office Word</Application>
  <DocSecurity>0</DocSecurity>
  <Lines>1319</Lines>
  <Paragraphs>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dc:creator>
  <cp:keywords/>
  <dc:description/>
  <cp:lastModifiedBy>USER</cp:lastModifiedBy>
  <cp:revision>2</cp:revision>
  <cp:lastPrinted>2026-06-10T05:29:00Z</cp:lastPrinted>
  <dcterms:created xsi:type="dcterms:W3CDTF">2026-06-13T12:46:00Z</dcterms:created>
  <dcterms:modified xsi:type="dcterms:W3CDTF">2026-06-13T12:46:00Z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4c092afc-34ec-4f50-a6f1-ea332f6892db</vt:lpwstr>
  </property>
</Properties>
</file>