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86507" w14:textId="77777777" w:rsidR="00663DB5" w:rsidRPr="004F1DF8" w:rsidRDefault="00663DB5" w:rsidP="004F1DF8">
      <w:pPr>
        <w:spacing w:before="240" w:after="240" w:line="240" w:lineRule="auto"/>
        <w:jc w:val="center"/>
        <w:rPr>
          <w:rFonts w:ascii="Times New Roman" w:hAnsi="Times New Roman" w:cs="Times New Roman"/>
          <w:b/>
          <w:bCs/>
          <w:sz w:val="36"/>
          <w:szCs w:val="36"/>
        </w:rPr>
      </w:pPr>
      <w:r w:rsidRPr="004F1DF8">
        <w:rPr>
          <w:rFonts w:ascii="Times New Roman" w:hAnsi="Times New Roman" w:cs="Times New Roman"/>
          <w:b/>
          <w:bCs/>
          <w:sz w:val="36"/>
          <w:szCs w:val="36"/>
        </w:rPr>
        <w:t>Protective potency of baicalin against methylparaben-induced sperm impairments and testicular toxicity in Wistar rats</w:t>
      </w:r>
    </w:p>
    <w:p w14:paraId="6EF6ED0F" w14:textId="0258F03D" w:rsidR="00306D8C" w:rsidRPr="004F1DF8" w:rsidRDefault="00306D8C" w:rsidP="004F1DF8">
      <w:pPr>
        <w:spacing w:before="240" w:after="240" w:line="240" w:lineRule="auto"/>
        <w:jc w:val="center"/>
        <w:rPr>
          <w:rFonts w:ascii="Times New Roman" w:eastAsia="Calibri" w:hAnsi="Times New Roman" w:cs="Times New Roman"/>
          <w:b/>
          <w:bCs/>
          <w:kern w:val="2"/>
          <w:sz w:val="24"/>
          <w:szCs w:val="24"/>
          <w:vertAlign w:val="superscript"/>
          <w14:ligatures w14:val="standardContextual"/>
        </w:rPr>
      </w:pPr>
      <w:r w:rsidRPr="004F1DF8">
        <w:rPr>
          <w:rFonts w:ascii="Times New Roman" w:eastAsia="Calibri" w:hAnsi="Times New Roman" w:cs="Times New Roman"/>
          <w:b/>
          <w:bCs/>
          <w:kern w:val="2"/>
          <w:sz w:val="24"/>
          <w:szCs w:val="24"/>
          <w14:ligatures w14:val="standardContextual"/>
        </w:rPr>
        <w:t/>
      </w:r>
      <w:r w:rsidRPr="004F1DF8">
        <w:rPr>
          <w:rFonts w:ascii="Times New Roman" w:eastAsia="Calibri" w:hAnsi="Times New Roman" w:cs="Times New Roman"/>
          <w:b/>
          <w:bCs/>
          <w:kern w:val="2"/>
          <w:sz w:val="24"/>
          <w:szCs w:val="24"/>
          <w14:ligatures w14:val="standardContextual"/>
        </w:rPr>
        <w:br/>
      </w:r>
      <w:r w:rsidR="00442953" w:rsidRPr="004F1DF8">
        <w:rPr>
          <w:rFonts w:ascii="Times New Roman" w:eastAsia="Calibri" w:hAnsi="Times New Roman" w:cs="Times New Roman"/>
          <w:b/>
          <w:bCs/>
          <w:kern w:val="2"/>
          <w:sz w:val="24"/>
          <w:szCs w:val="24"/>
          <w14:ligatures w14:val="standardContextual"/>
        </w:rPr>
        <w:t/>
      </w:r>
      <w:r w:rsidRPr="004F1DF8">
        <w:rPr>
          <w:rFonts w:ascii="Times New Roman" w:eastAsia="Calibri" w:hAnsi="Times New Roman" w:cs="Times New Roman"/>
          <w:b/>
          <w:bCs/>
          <w:kern w:val="2"/>
          <w:sz w:val="24"/>
          <w:szCs w:val="24"/>
          <w:vertAlign w:val="superscript"/>
          <w14:ligatures w14:val="standardContextual"/>
        </w:rPr>
        <w:t/>
      </w:r>
      <w:r w:rsidRPr="004F1DF8">
        <w:rPr>
          <w:rFonts w:ascii="Times New Roman" w:eastAsia="Calibri" w:hAnsi="Times New Roman" w:cs="Times New Roman"/>
          <w:b/>
          <w:bCs/>
          <w:kern w:val="2"/>
          <w:sz w:val="24"/>
          <w:szCs w:val="24"/>
          <w14:ligatures w14:val="standardContextual"/>
        </w:rPr>
        <w:t/>
      </w:r>
      <w:r w:rsidR="00442953" w:rsidRPr="004F1DF8">
        <w:rPr>
          <w:rFonts w:ascii="Times New Roman" w:eastAsia="Calibri" w:hAnsi="Times New Roman" w:cs="Times New Roman"/>
          <w:b/>
          <w:bCs/>
          <w:kern w:val="2"/>
          <w:sz w:val="24"/>
          <w:szCs w:val="24"/>
          <w:vertAlign w:val="superscript"/>
          <w14:ligatures w14:val="standardContextual"/>
        </w:rPr>
        <w:t/>
      </w:r>
      <w:r w:rsidRPr="004F1DF8">
        <w:rPr>
          <w:rFonts w:ascii="Times New Roman" w:eastAsia="Calibri" w:hAnsi="Times New Roman" w:cs="Times New Roman"/>
          <w:b/>
          <w:bCs/>
          <w:kern w:val="2"/>
          <w:sz w:val="24"/>
          <w:szCs w:val="24"/>
          <w14:ligatures w14:val="standardContextual"/>
        </w:rPr>
        <w:t xml:space="preserve"/>
      </w:r>
      <w:r w:rsidR="00442953" w:rsidRPr="004F1DF8">
        <w:rPr>
          <w:rFonts w:ascii="Times New Roman" w:eastAsia="Calibri" w:hAnsi="Times New Roman" w:cs="Times New Roman"/>
          <w:b/>
          <w:bCs/>
          <w:kern w:val="2"/>
          <w:sz w:val="24"/>
          <w:szCs w:val="24"/>
          <w14:ligatures w14:val="standardContextual"/>
        </w:rPr>
        <w:t xml:space="preserve"/>
      </w:r>
      <w:proofErr w:type="spellStart"/>
      <w:r w:rsidR="00442953" w:rsidRPr="004F1DF8">
        <w:rPr>
          <w:rFonts w:ascii="Times New Roman" w:eastAsia="Calibri" w:hAnsi="Times New Roman" w:cs="Times New Roman"/>
          <w:b/>
          <w:bCs/>
          <w:kern w:val="2"/>
          <w:sz w:val="24"/>
          <w:szCs w:val="24"/>
          <w14:ligatures w14:val="standardContextual"/>
        </w:rPr>
        <w:t/>
      </w:r>
      <w:r w:rsidR="00AB7754">
        <w:rPr>
          <w:rFonts w:ascii="Times New Roman" w:eastAsia="Calibri" w:hAnsi="Times New Roman" w:cs="Times New Roman"/>
          <w:b/>
          <w:bCs/>
          <w:kern w:val="2"/>
          <w:sz w:val="24"/>
          <w:szCs w:val="24"/>
          <w14:ligatures w14:val="standardContextual"/>
        </w:rPr>
        <w:t/>
      </w:r>
      <w:r w:rsidR="00442953" w:rsidRPr="004F1DF8">
        <w:rPr>
          <w:rFonts w:ascii="Times New Roman" w:eastAsia="Calibri" w:hAnsi="Times New Roman" w:cs="Times New Roman"/>
          <w:b/>
          <w:bCs/>
          <w:kern w:val="2"/>
          <w:sz w:val="24"/>
          <w:szCs w:val="24"/>
          <w14:ligatures w14:val="standardContextual"/>
        </w:rPr>
        <w:t/>
      </w:r>
      <w:proofErr w:type="spellEnd"/>
      <w:r w:rsidR="00442953" w:rsidRPr="004F1DF8">
        <w:rPr>
          <w:rFonts w:ascii="Times New Roman" w:eastAsia="Calibri" w:hAnsi="Times New Roman" w:cs="Times New Roman"/>
          <w:b/>
          <w:bCs/>
          <w:kern w:val="2"/>
          <w:sz w:val="24"/>
          <w:szCs w:val="24"/>
          <w14:ligatures w14:val="standardContextual"/>
        </w:rPr>
        <w:t xml:space="preserve"/>
      </w:r>
      <w:r w:rsidRPr="004F1DF8">
        <w:rPr>
          <w:rFonts w:ascii="Times New Roman" w:eastAsia="Calibri" w:hAnsi="Times New Roman" w:cs="Times New Roman"/>
          <w:b/>
          <w:bCs/>
          <w:kern w:val="2"/>
          <w:sz w:val="24"/>
          <w:szCs w:val="24"/>
          <w:vertAlign w:val="superscript"/>
          <w14:ligatures w14:val="standardContextual"/>
        </w:rPr>
        <w:t/>
      </w:r>
      <w:r w:rsidRPr="004F1DF8">
        <w:rPr>
          <w:rFonts w:ascii="Times New Roman" w:eastAsia="Calibri" w:hAnsi="Times New Roman" w:cs="Times New Roman"/>
          <w:b/>
          <w:bCs/>
          <w:kern w:val="2"/>
          <w:sz w:val="24"/>
          <w:szCs w:val="24"/>
          <w14:ligatures w14:val="standardContextual"/>
        </w:rPr>
        <w:t xml:space="preserve"/>
      </w:r>
      <w:proofErr w:type="spellStart"/>
      <w:r w:rsidR="00442953" w:rsidRPr="004F1DF8">
        <w:rPr>
          <w:rFonts w:ascii="Times New Roman" w:eastAsia="Calibri" w:hAnsi="Times New Roman" w:cs="Times New Roman"/>
          <w:b/>
          <w:bCs/>
          <w:kern w:val="2"/>
          <w:sz w:val="24"/>
          <w:szCs w:val="24"/>
          <w14:ligatures w14:val="standardContextual"/>
        </w:rPr>
        <w:t/>
      </w:r>
      <w:proofErr w:type="spellEnd"/>
      <w:r w:rsidR="00442953" w:rsidRPr="004F1DF8">
        <w:rPr>
          <w:rFonts w:ascii="Times New Roman" w:eastAsia="Calibri" w:hAnsi="Times New Roman" w:cs="Times New Roman"/>
          <w:b/>
          <w:bCs/>
          <w:kern w:val="2"/>
          <w:sz w:val="24"/>
          <w:szCs w:val="24"/>
          <w14:ligatures w14:val="standardContextual"/>
        </w:rPr>
        <w:t xml:space="preserve"/>
      </w:r>
      <w:r w:rsidR="00442953" w:rsidRPr="004F1DF8">
        <w:rPr>
          <w:rFonts w:ascii="Times New Roman" w:eastAsia="Calibri" w:hAnsi="Times New Roman" w:cs="Times New Roman"/>
          <w:b/>
          <w:bCs/>
          <w:kern w:val="2"/>
          <w:sz w:val="24"/>
          <w:szCs w:val="24"/>
          <w:vertAlign w:val="superscript"/>
          <w14:ligatures w14:val="standardContextual"/>
        </w:rPr>
        <w:t/>
      </w:r>
    </w:p>
    <w:p w14:paraId="11F141F4" w14:textId="7FD9B1F4" w:rsidR="00306D8C" w:rsidRPr="004F1DF8" w:rsidRDefault="00306D8C" w:rsidP="004F1DF8">
      <w:pPr>
        <w:spacing w:before="240" w:after="240" w:line="240" w:lineRule="auto"/>
        <w:jc w:val="center"/>
        <w:rPr>
          <w:rFonts w:ascii="Times New Roman" w:eastAsia="Calibri" w:hAnsi="Times New Roman" w:cs="Times New Roman"/>
          <w:b/>
          <w:bCs/>
          <w:kern w:val="2"/>
          <w:sz w:val="24"/>
          <w:szCs w:val="24"/>
          <w14:ligatures w14:val="standardContextual"/>
        </w:rPr>
      </w:pPr>
      <w:r w:rsidRPr="004F1DF8">
        <w:rPr>
          <w:rFonts w:ascii="Times New Roman" w:eastAsia="Calibri" w:hAnsi="Times New Roman" w:cs="Times New Roman"/>
          <w:b/>
          <w:bCs/>
          <w:kern w:val="2"/>
          <w:sz w:val="24"/>
          <w:szCs w:val="24"/>
          <w:vertAlign w:val="superscript"/>
          <w14:ligatures w14:val="standardContextual"/>
        </w:rPr>
        <w:t/>
      </w:r>
      <w:r w:rsidRPr="004F1DF8">
        <w:rPr>
          <w:rFonts w:ascii="Times New Roman" w:eastAsia="Calibri" w:hAnsi="Times New Roman" w:cs="Times New Roman"/>
          <w:b/>
          <w:bCs/>
          <w:kern w:val="2"/>
          <w:sz w:val="24"/>
          <w:szCs w:val="24"/>
          <w14:ligatures w14:val="standardContextual"/>
        </w:rPr>
        <w:t xml:space="preserve"/>
      </w:r>
      <w:r w:rsidR="00442953" w:rsidRPr="004F1DF8">
        <w:rPr>
          <w:rFonts w:ascii="Times New Roman" w:eastAsia="Calibri" w:hAnsi="Times New Roman" w:cs="Times New Roman"/>
          <w:b/>
          <w:bCs/>
          <w:kern w:val="2"/>
          <w:sz w:val="24"/>
          <w:szCs w:val="24"/>
          <w14:ligatures w14:val="standardContextual"/>
        </w:rPr>
        <w:t/>
      </w:r>
      <w:r w:rsidRPr="004F1DF8">
        <w:rPr>
          <w:rFonts w:ascii="Times New Roman" w:eastAsia="Calibri" w:hAnsi="Times New Roman" w:cs="Times New Roman"/>
          <w:b/>
          <w:bCs/>
          <w:kern w:val="2"/>
          <w:sz w:val="24"/>
          <w:szCs w:val="24"/>
          <w14:ligatures w14:val="standardContextual"/>
        </w:rPr>
        <w:t/>
      </w:r>
      <w:r w:rsidR="00442953" w:rsidRPr="004F1DF8">
        <w:rPr>
          <w:rFonts w:ascii="Times New Roman" w:eastAsia="Calibri" w:hAnsi="Times New Roman" w:cs="Times New Roman"/>
          <w:b/>
          <w:bCs/>
          <w:kern w:val="2"/>
          <w:sz w:val="24"/>
          <w:szCs w:val="24"/>
          <w14:ligatures w14:val="standardContextual"/>
        </w:rPr>
        <w:t/>
      </w:r>
      <w:r w:rsidRPr="004F1DF8">
        <w:rPr>
          <w:rFonts w:ascii="Times New Roman" w:eastAsia="Calibri" w:hAnsi="Times New Roman" w:cs="Times New Roman"/>
          <w:b/>
          <w:bCs/>
          <w:kern w:val="2"/>
          <w:sz w:val="24"/>
          <w:szCs w:val="24"/>
          <w14:ligatures w14:val="standardContextual"/>
        </w:rPr>
        <w:t/>
      </w:r>
      <w:r w:rsidR="00442953" w:rsidRPr="004F1DF8">
        <w:rPr>
          <w:rFonts w:ascii="Times New Roman" w:eastAsia="Calibri" w:hAnsi="Times New Roman" w:cs="Times New Roman"/>
          <w:b/>
          <w:bCs/>
          <w:kern w:val="2"/>
          <w:sz w:val="24"/>
          <w:szCs w:val="24"/>
          <w14:ligatures w14:val="standardContextual"/>
        </w:rPr>
        <w:t xml:space="preserve"/>
      </w:r>
      <w:r w:rsidRPr="004F1DF8">
        <w:rPr>
          <w:rFonts w:ascii="Times New Roman" w:eastAsia="Calibri" w:hAnsi="Times New Roman" w:cs="Times New Roman"/>
          <w:b/>
          <w:bCs/>
          <w:kern w:val="2"/>
          <w:sz w:val="24"/>
          <w:szCs w:val="24"/>
          <w14:ligatures w14:val="standardContextual"/>
        </w:rPr>
        <w:t xml:space="preserve"/>
      </w:r>
      <w:r w:rsidR="00442953" w:rsidRPr="004F1DF8">
        <w:rPr>
          <w:rFonts w:ascii="Times New Roman" w:eastAsia="Calibri" w:hAnsi="Times New Roman" w:cs="Times New Roman"/>
          <w:b/>
          <w:bCs/>
          <w:kern w:val="2"/>
          <w:sz w:val="24"/>
          <w:szCs w:val="24"/>
          <w14:ligatures w14:val="standardContextual"/>
        </w:rPr>
        <w:t/>
      </w:r>
      <w:r w:rsidRPr="004F1DF8">
        <w:rPr>
          <w:rFonts w:ascii="Times New Roman" w:eastAsia="Calibri" w:hAnsi="Times New Roman" w:cs="Times New Roman"/>
          <w:b/>
          <w:bCs/>
          <w:kern w:val="2"/>
          <w:sz w:val="24"/>
          <w:szCs w:val="24"/>
          <w14:ligatures w14:val="standardContextual"/>
        </w:rPr>
        <w:t xml:space="preserve"/>
      </w:r>
    </w:p>
    <w:p w14:paraId="6F7BD786" w14:textId="77777777" w:rsidR="00306D8C" w:rsidRPr="004F1DF8" w:rsidRDefault="00306D8C" w:rsidP="004F1DF8">
      <w:pPr>
        <w:spacing w:before="240" w:after="240" w:line="240" w:lineRule="auto"/>
        <w:jc w:val="center"/>
        <w:rPr>
          <w:rFonts w:ascii="Times New Roman" w:eastAsia="Calibri" w:hAnsi="Times New Roman" w:cs="Times New Roman"/>
          <w:b/>
          <w:bCs/>
          <w:kern w:val="2"/>
          <w:sz w:val="24"/>
          <w:szCs w:val="24"/>
          <w14:ligatures w14:val="standardContextual"/>
        </w:rPr>
      </w:pPr>
      <w:r w:rsidRPr="004F1DF8">
        <w:rPr>
          <w:rFonts w:ascii="Times New Roman" w:eastAsia="Calibri" w:hAnsi="Times New Roman" w:cs="Times New Roman"/>
          <w:b/>
          <w:bCs/>
          <w:kern w:val="2"/>
          <w:sz w:val="24"/>
          <w:szCs w:val="24"/>
          <w:vertAlign w:val="superscript"/>
          <w14:ligatures w14:val="standardContextual"/>
        </w:rPr>
        <w:t/>
      </w:r>
      <w:r w:rsidRPr="004F1DF8">
        <w:rPr>
          <w:rFonts w:ascii="Times New Roman" w:eastAsia="Calibri" w:hAnsi="Times New Roman" w:cs="Times New Roman"/>
          <w:b/>
          <w:bCs/>
          <w:kern w:val="2"/>
          <w:sz w:val="24"/>
          <w:szCs w:val="24"/>
          <w14:ligatures w14:val="standardContextual"/>
        </w:rPr>
        <w:t/>
      </w:r>
      <w:r w:rsidRPr="004F1DF8">
        <w:rPr>
          <w:rFonts w:ascii="Times New Roman" w:eastAsiaTheme="minorEastAsia" w:hAnsi="Times New Roman" w:cs="Times New Roman"/>
          <w:b/>
          <w:bCs/>
          <w:color w:val="000000" w:themeColor="text1"/>
          <w:kern w:val="24"/>
          <w:sz w:val="24"/>
          <w:szCs w:val="24"/>
        </w:rPr>
        <w:t xml:space="preserve"/>
      </w:r>
      <w:r w:rsidRPr="004F1DF8">
        <w:rPr>
          <w:rFonts w:ascii="Times New Roman" w:eastAsia="Calibri" w:hAnsi="Times New Roman" w:cs="Times New Roman"/>
          <w:b/>
          <w:bCs/>
          <w:kern w:val="2"/>
          <w:sz w:val="24"/>
          <w:szCs w:val="24"/>
          <w14:ligatures w14:val="standardContextual"/>
        </w:rPr>
        <w:t/>
      </w:r>
    </w:p>
    <w:p w14:paraId="7D081E1F" w14:textId="27197AFC" w:rsidR="00306D8C" w:rsidRPr="004F1DF8" w:rsidRDefault="00D75A7F" w:rsidP="004F1DF8">
      <w:pPr>
        <w:spacing w:before="240" w:after="240" w:line="240" w:lineRule="auto"/>
        <w:jc w:val="center"/>
        <w:rPr>
          <w:rFonts w:ascii="Times New Roman" w:eastAsia="Calibri" w:hAnsi="Times New Roman" w:cs="Times New Roman"/>
          <w:b/>
          <w:bCs/>
          <w:kern w:val="2"/>
          <w:sz w:val="24"/>
          <w:szCs w:val="24"/>
          <w14:ligatures w14:val="standardContextual"/>
        </w:rPr>
      </w:pPr>
      <w:r w:rsidRPr="004F1DF8">
        <w:rPr>
          <w:rFonts w:ascii="Times New Roman" w:eastAsia="Calibri" w:hAnsi="Times New Roman" w:cs="Times New Roman"/>
          <w:b/>
          <w:bCs/>
          <w:kern w:val="2"/>
          <w:sz w:val="24"/>
          <w:szCs w:val="24"/>
          <w:vertAlign w:val="superscript"/>
          <w14:ligatures w14:val="standardContextual"/>
        </w:rPr>
        <w:t/>
      </w:r>
      <w:r w:rsidR="00306D8C" w:rsidRPr="004F1DF8">
        <w:rPr>
          <w:rFonts w:ascii="Times New Roman" w:eastAsia="Calibri" w:hAnsi="Times New Roman" w:cs="Times New Roman"/>
          <w:b/>
          <w:bCs/>
          <w:kern w:val="2"/>
          <w:sz w:val="24"/>
          <w:szCs w:val="24"/>
          <w14:ligatures w14:val="standardContextual"/>
        </w:rPr>
        <w:t/>
      </w:r>
      <w:r w:rsidRPr="004F1DF8">
        <w:rPr>
          <w:rFonts w:ascii="Times New Roman" w:eastAsia="Calibri" w:hAnsi="Times New Roman" w:cs="Times New Roman"/>
          <w:b/>
          <w:bCs/>
          <w:kern w:val="2"/>
          <w:sz w:val="24"/>
          <w:szCs w:val="24"/>
          <w14:ligatures w14:val="standardContextual"/>
        </w:rPr>
        <w:t/>
      </w:r>
      <w:r w:rsidR="00306D8C" w:rsidRPr="004F1DF8">
        <w:rPr>
          <w:rFonts w:ascii="Times New Roman" w:eastAsia="Calibri" w:hAnsi="Times New Roman" w:cs="Times New Roman"/>
          <w:b/>
          <w:bCs/>
          <w:kern w:val="2"/>
          <w:sz w:val="24"/>
          <w:szCs w:val="24"/>
          <w14:ligatures w14:val="standardContextual"/>
        </w:rPr>
        <w:t xml:space="preserve"/>
      </w:r>
      <w:r w:rsidRPr="004F1DF8">
        <w:rPr>
          <w:rFonts w:ascii="Times New Roman" w:eastAsia="Calibri" w:hAnsi="Times New Roman" w:cs="Times New Roman"/>
          <w:b/>
          <w:bCs/>
          <w:kern w:val="2"/>
          <w:sz w:val="24"/>
          <w:szCs w:val="24"/>
          <w14:ligatures w14:val="standardContextual"/>
        </w:rPr>
        <w:t xml:space="preserve"/>
      </w:r>
      <w:r w:rsidR="00306D8C" w:rsidRPr="004F1DF8">
        <w:rPr>
          <w:rFonts w:ascii="Times New Roman" w:eastAsia="Calibri" w:hAnsi="Times New Roman" w:cs="Times New Roman"/>
          <w:b/>
          <w:bCs/>
          <w:kern w:val="2"/>
          <w:sz w:val="24"/>
          <w:szCs w:val="24"/>
          <w14:ligatures w14:val="standardContextual"/>
        </w:rPr>
        <w:t xml:space="preserve"/>
      </w:r>
      <w:r w:rsidRPr="004F1DF8">
        <w:rPr>
          <w:rFonts w:ascii="Times New Roman" w:eastAsia="Calibri" w:hAnsi="Times New Roman" w:cs="Times New Roman"/>
          <w:b/>
          <w:bCs/>
          <w:kern w:val="2"/>
          <w:sz w:val="24"/>
          <w:szCs w:val="24"/>
          <w14:ligatures w14:val="standardContextual"/>
        </w:rPr>
        <w:t xml:space="preserve"/>
      </w:r>
      <w:r w:rsidR="00306D8C" w:rsidRPr="004F1DF8">
        <w:rPr>
          <w:rFonts w:ascii="Times New Roman" w:eastAsia="Calibri" w:hAnsi="Times New Roman" w:cs="Times New Roman"/>
          <w:b/>
          <w:bCs/>
          <w:kern w:val="2"/>
          <w:sz w:val="24"/>
          <w:szCs w:val="24"/>
          <w14:ligatures w14:val="standardContextual"/>
        </w:rPr>
        <w:t/>
      </w:r>
      <w:r w:rsidRPr="004F1DF8">
        <w:rPr>
          <w:rFonts w:ascii="Times New Roman" w:eastAsia="Calibri" w:hAnsi="Times New Roman" w:cs="Times New Roman"/>
          <w:b/>
          <w:bCs/>
          <w:kern w:val="2"/>
          <w:sz w:val="24"/>
          <w:szCs w:val="24"/>
          <w14:ligatures w14:val="standardContextual"/>
        </w:rPr>
        <w:t xml:space="preserve"/>
      </w:r>
      <w:r w:rsidR="00306D8C" w:rsidRPr="004F1DF8">
        <w:rPr>
          <w:rFonts w:ascii="Times New Roman" w:eastAsia="Calibri" w:hAnsi="Times New Roman" w:cs="Times New Roman"/>
          <w:b/>
          <w:bCs/>
          <w:kern w:val="2"/>
          <w:sz w:val="24"/>
          <w:szCs w:val="24"/>
          <w14:ligatures w14:val="standardContextual"/>
        </w:rPr>
        <w:t/>
      </w:r>
      <w:r w:rsidRPr="004F1DF8">
        <w:rPr>
          <w:rFonts w:ascii="Times New Roman" w:eastAsia="Calibri" w:hAnsi="Times New Roman" w:cs="Times New Roman"/>
          <w:b/>
          <w:bCs/>
          <w:kern w:val="2"/>
          <w:sz w:val="24"/>
          <w:szCs w:val="24"/>
          <w14:ligatures w14:val="standardContextual"/>
        </w:rPr>
        <w:t/>
      </w:r>
      <w:r w:rsidR="00306D8C" w:rsidRPr="004F1DF8">
        <w:rPr>
          <w:rFonts w:ascii="Times New Roman" w:eastAsia="Calibri" w:hAnsi="Times New Roman" w:cs="Times New Roman"/>
          <w:b/>
          <w:bCs/>
          <w:kern w:val="2"/>
          <w:sz w:val="24"/>
          <w:szCs w:val="24"/>
          <w14:ligatures w14:val="standardContextual"/>
        </w:rPr>
        <w:t/>
      </w:r>
      <w:r w:rsidRPr="004F1DF8">
        <w:rPr>
          <w:rFonts w:ascii="Times New Roman" w:eastAsia="Calibri" w:hAnsi="Times New Roman" w:cs="Times New Roman"/>
          <w:b/>
          <w:bCs/>
          <w:kern w:val="2"/>
          <w:sz w:val="24"/>
          <w:szCs w:val="24"/>
          <w14:ligatures w14:val="standardContextual"/>
        </w:rPr>
        <w:t xml:space="preserve"/>
      </w:r>
      <w:r w:rsidR="00306D8C" w:rsidRPr="004F1DF8">
        <w:rPr>
          <w:rFonts w:ascii="Times New Roman" w:eastAsia="Calibri" w:hAnsi="Times New Roman" w:cs="Times New Roman"/>
          <w:b/>
          <w:bCs/>
          <w:kern w:val="2"/>
          <w:sz w:val="24"/>
          <w:szCs w:val="24"/>
          <w14:ligatures w14:val="standardContextual"/>
        </w:rPr>
        <w:t/>
      </w:r>
      <w:r w:rsidR="00306D8C" w:rsidRPr="004F1DF8">
        <w:rPr>
          <w:rFonts w:ascii="Times New Roman" w:eastAsia="Calibri" w:hAnsi="Times New Roman" w:cs="Times New Roman"/>
          <w:b/>
          <w:bCs/>
          <w:kern w:val="2"/>
          <w:sz w:val="24"/>
          <w:szCs w:val="24"/>
          <w14:ligatures w14:val="standardContextual"/>
        </w:rPr>
        <w:br/>
      </w:r>
      <w:r w:rsidR="004F1DF8">
        <w:rPr>
          <w:rFonts w:ascii="Times New Roman" w:eastAsia="Calibri" w:hAnsi="Times New Roman" w:cs="Times New Roman"/>
          <w:b/>
          <w:bCs/>
          <w:i/>
          <w:iCs/>
          <w:kern w:val="2"/>
          <w:sz w:val="24"/>
          <w:szCs w:val="24"/>
          <w14:ligatures w14:val="standardContextual"/>
        </w:rPr>
        <w:t/>
      </w:r>
      <w:r w:rsidR="00306D8C" w:rsidRPr="004F1DF8">
        <w:rPr>
          <w:rFonts w:ascii="Times New Roman" w:eastAsia="Calibri" w:hAnsi="Times New Roman" w:cs="Times New Roman"/>
          <w:b/>
          <w:bCs/>
          <w:i/>
          <w:iCs/>
          <w:kern w:val="2"/>
          <w:sz w:val="24"/>
          <w:szCs w:val="24"/>
          <w14:ligatures w14:val="standardContextual"/>
        </w:rPr>
        <w:t xml:space="preserve"/>
      </w:r>
      <w:r w:rsidR="00442953" w:rsidRPr="004F1DF8">
        <w:rPr>
          <w:rFonts w:ascii="Times New Roman" w:eastAsia="Calibri" w:hAnsi="Times New Roman" w:cs="Times New Roman"/>
          <w:b/>
          <w:bCs/>
          <w:i/>
          <w:iCs/>
          <w:kern w:val="2"/>
          <w:sz w:val="24"/>
          <w:szCs w:val="24"/>
          <w14:ligatures w14:val="standardContextual"/>
        </w:rPr>
        <w:t/>
      </w:r>
      <w:r w:rsidR="00306D8C" w:rsidRPr="004F1DF8">
        <w:rPr>
          <w:rFonts w:ascii="Times New Roman" w:eastAsia="Calibri" w:hAnsi="Times New Roman" w:cs="Times New Roman"/>
          <w:b/>
          <w:bCs/>
          <w:i/>
          <w:iCs/>
          <w:kern w:val="2"/>
          <w:sz w:val="24"/>
          <w:szCs w:val="24"/>
          <w:vertAlign w:val="superscript"/>
          <w14:ligatures w14:val="standardContextual"/>
        </w:rPr>
        <w:t xml:space="preserve"/>
      </w:r>
      <w:r w:rsidR="00306D8C" w:rsidRPr="004F1DF8">
        <w:rPr>
          <w:rFonts w:ascii="Times New Roman" w:eastAsia="Calibri" w:hAnsi="Times New Roman" w:cs="Times New Roman"/>
          <w:b/>
          <w:bCs/>
          <w:i/>
          <w:iCs/>
          <w:kern w:val="2"/>
          <w:sz w:val="24"/>
          <w:szCs w:val="24"/>
          <w14:ligatures w14:val="standardContextual"/>
        </w:rPr>
        <w:t/>
      </w:r>
      <w:r w:rsidR="00442953" w:rsidRPr="004F1DF8">
        <w:rPr>
          <w:rFonts w:ascii="Times New Roman" w:eastAsia="Calibri" w:hAnsi="Times New Roman" w:cs="Times New Roman"/>
          <w:b/>
          <w:bCs/>
          <w:i/>
          <w:iCs/>
          <w:kern w:val="2"/>
          <w:sz w:val="24"/>
          <w:szCs w:val="24"/>
          <w14:ligatures w14:val="standardContextual"/>
        </w:rPr>
        <w:t xml:space="preserve"/>
      </w:r>
      <w:r w:rsidR="00442953" w:rsidRPr="004F1DF8">
        <w:rPr>
          <w:rFonts w:ascii="Times New Roman" w:eastAsia="Calibri" w:hAnsi="Times New Roman" w:cs="Times New Roman"/>
          <w:b/>
          <w:bCs/>
          <w:i/>
          <w:iCs/>
          <w:color w:val="0563C1"/>
          <w:kern w:val="2"/>
          <w:sz w:val="24"/>
          <w:szCs w:val="24"/>
          <w:u w:val="single"/>
          <w14:ligatures w14:val="standardContextual"/>
        </w:rPr>
        <w:t/>
      </w:r>
      <w:r w:rsidR="00306D8C" w:rsidRPr="004F1DF8">
        <w:rPr>
          <w:rFonts w:ascii="Times New Roman" w:eastAsia="Calibri" w:hAnsi="Times New Roman" w:cs="Times New Roman"/>
          <w:b/>
          <w:bCs/>
          <w:i/>
          <w:iCs/>
          <w:color w:val="0563C1"/>
          <w:kern w:val="2"/>
          <w:sz w:val="24"/>
          <w:szCs w:val="24"/>
          <w:u w:val="single"/>
          <w14:ligatures w14:val="standardContextual"/>
        </w:rPr>
        <w:t/>
      </w:r>
    </w:p>
    <w:p w14:paraId="1BED0574" w14:textId="77777777" w:rsidR="00306D8C" w:rsidRPr="00064CDF" w:rsidRDefault="00306D8C" w:rsidP="00F95101">
      <w:pPr>
        <w:spacing w:before="240" w:after="240" w:line="240" w:lineRule="auto"/>
        <w:jc w:val="both"/>
        <w:rPr>
          <w:rFonts w:ascii="Times New Roman" w:hAnsi="Times New Roman" w:cs="Times New Roman"/>
          <w:sz w:val="24"/>
          <w:szCs w:val="24"/>
        </w:rPr>
      </w:pPr>
    </w:p>
    <w:p w14:paraId="438AEF39" w14:textId="77777777" w:rsidR="001B30A0" w:rsidRDefault="001B30A0" w:rsidP="00F95101">
      <w:pPr>
        <w:spacing w:before="240" w:after="240" w:line="240" w:lineRule="auto"/>
        <w:jc w:val="both"/>
        <w:rPr>
          <w:rFonts w:ascii="Times New Roman" w:hAnsi="Times New Roman" w:cs="Times New Roman"/>
          <w:b/>
          <w:bCs/>
          <w:sz w:val="24"/>
          <w:szCs w:val="24"/>
        </w:rPr>
      </w:pPr>
    </w:p>
    <w:p w14:paraId="096D515D" w14:textId="77777777" w:rsidR="001B30A0" w:rsidRDefault="001B30A0" w:rsidP="00F95101">
      <w:pPr>
        <w:spacing w:before="240" w:after="240" w:line="240" w:lineRule="auto"/>
        <w:jc w:val="both"/>
        <w:rPr>
          <w:rFonts w:ascii="Times New Roman" w:hAnsi="Times New Roman" w:cs="Times New Roman"/>
          <w:b/>
          <w:bCs/>
          <w:sz w:val="24"/>
          <w:szCs w:val="24"/>
        </w:rPr>
      </w:pPr>
    </w:p>
    <w:p w14:paraId="7377E1EC" w14:textId="77777777" w:rsidR="001B30A0" w:rsidRDefault="001B30A0" w:rsidP="00F95101">
      <w:pPr>
        <w:spacing w:before="240" w:after="240" w:line="240" w:lineRule="auto"/>
        <w:jc w:val="both"/>
        <w:rPr>
          <w:rFonts w:ascii="Times New Roman" w:hAnsi="Times New Roman" w:cs="Times New Roman"/>
          <w:b/>
          <w:bCs/>
          <w:sz w:val="24"/>
          <w:szCs w:val="24"/>
        </w:rPr>
      </w:pPr>
    </w:p>
    <w:p w14:paraId="308E54CD" w14:textId="77777777" w:rsidR="001B30A0" w:rsidRDefault="001B30A0" w:rsidP="00F95101">
      <w:pPr>
        <w:spacing w:before="240" w:after="240" w:line="240" w:lineRule="auto"/>
        <w:jc w:val="both"/>
        <w:rPr>
          <w:rFonts w:ascii="Times New Roman" w:hAnsi="Times New Roman" w:cs="Times New Roman"/>
          <w:b/>
          <w:bCs/>
          <w:sz w:val="24"/>
          <w:szCs w:val="24"/>
        </w:rPr>
      </w:pPr>
    </w:p>
    <w:p w14:paraId="4F6003A0" w14:textId="77777777" w:rsidR="001B30A0" w:rsidRDefault="001B30A0" w:rsidP="00F95101">
      <w:pPr>
        <w:spacing w:before="240" w:after="240" w:line="240" w:lineRule="auto"/>
        <w:jc w:val="both"/>
        <w:rPr>
          <w:rFonts w:ascii="Times New Roman" w:hAnsi="Times New Roman" w:cs="Times New Roman"/>
          <w:b/>
          <w:bCs/>
          <w:sz w:val="24"/>
          <w:szCs w:val="24"/>
        </w:rPr>
      </w:pPr>
    </w:p>
    <w:p w14:paraId="6080B745" w14:textId="77777777" w:rsidR="001B30A0" w:rsidRDefault="001B30A0" w:rsidP="00F95101">
      <w:pPr>
        <w:spacing w:before="240" w:after="240" w:line="240" w:lineRule="auto"/>
        <w:jc w:val="both"/>
        <w:rPr>
          <w:rFonts w:ascii="Times New Roman" w:hAnsi="Times New Roman" w:cs="Times New Roman"/>
          <w:b/>
          <w:bCs/>
          <w:sz w:val="24"/>
          <w:szCs w:val="24"/>
        </w:rPr>
      </w:pPr>
    </w:p>
    <w:p w14:paraId="3DF71AA1" w14:textId="77777777" w:rsidR="001B30A0" w:rsidRDefault="001B30A0" w:rsidP="00F95101">
      <w:pPr>
        <w:spacing w:before="240" w:after="240" w:line="240" w:lineRule="auto"/>
        <w:jc w:val="both"/>
        <w:rPr>
          <w:rFonts w:ascii="Times New Roman" w:hAnsi="Times New Roman" w:cs="Times New Roman"/>
          <w:b/>
          <w:bCs/>
          <w:sz w:val="24"/>
          <w:szCs w:val="24"/>
        </w:rPr>
      </w:pPr>
    </w:p>
    <w:p w14:paraId="6D362294" w14:textId="77777777" w:rsidR="001B30A0" w:rsidRDefault="001B30A0" w:rsidP="00F95101">
      <w:pPr>
        <w:spacing w:before="240" w:after="240" w:line="240" w:lineRule="auto"/>
        <w:jc w:val="both"/>
        <w:rPr>
          <w:rFonts w:ascii="Times New Roman" w:hAnsi="Times New Roman" w:cs="Times New Roman"/>
          <w:b/>
          <w:bCs/>
          <w:sz w:val="24"/>
          <w:szCs w:val="24"/>
        </w:rPr>
      </w:pPr>
    </w:p>
    <w:p w14:paraId="3FD859BE" w14:textId="77777777" w:rsidR="001B30A0" w:rsidRDefault="001B30A0" w:rsidP="00F95101">
      <w:pPr>
        <w:spacing w:before="240" w:after="240" w:line="240" w:lineRule="auto"/>
        <w:jc w:val="both"/>
        <w:rPr>
          <w:rFonts w:ascii="Times New Roman" w:hAnsi="Times New Roman" w:cs="Times New Roman"/>
          <w:b/>
          <w:bCs/>
          <w:sz w:val="24"/>
          <w:szCs w:val="24"/>
        </w:rPr>
      </w:pPr>
    </w:p>
    <w:p w14:paraId="5A745789" w14:textId="77777777" w:rsidR="001B30A0" w:rsidRDefault="001B30A0" w:rsidP="00F95101">
      <w:pPr>
        <w:spacing w:before="240" w:after="240" w:line="240" w:lineRule="auto"/>
        <w:jc w:val="both"/>
        <w:rPr>
          <w:rFonts w:ascii="Times New Roman" w:hAnsi="Times New Roman" w:cs="Times New Roman"/>
          <w:b/>
          <w:bCs/>
          <w:sz w:val="24"/>
          <w:szCs w:val="24"/>
        </w:rPr>
      </w:pPr>
    </w:p>
    <w:p w14:paraId="416DEE1B" w14:textId="77777777" w:rsidR="001B30A0" w:rsidRDefault="001B30A0" w:rsidP="00F95101">
      <w:pPr>
        <w:spacing w:before="240" w:after="240" w:line="240" w:lineRule="auto"/>
        <w:jc w:val="both"/>
        <w:rPr>
          <w:rFonts w:ascii="Times New Roman" w:hAnsi="Times New Roman" w:cs="Times New Roman"/>
          <w:b/>
          <w:bCs/>
          <w:sz w:val="24"/>
          <w:szCs w:val="24"/>
        </w:rPr>
      </w:pPr>
    </w:p>
    <w:p w14:paraId="0BD6E648" w14:textId="77777777" w:rsidR="001B30A0" w:rsidRDefault="001B30A0" w:rsidP="00F95101">
      <w:pPr>
        <w:spacing w:before="240" w:after="240" w:line="240" w:lineRule="auto"/>
        <w:jc w:val="both"/>
        <w:rPr>
          <w:rFonts w:ascii="Times New Roman" w:hAnsi="Times New Roman" w:cs="Times New Roman"/>
          <w:b/>
          <w:bCs/>
          <w:sz w:val="24"/>
          <w:szCs w:val="24"/>
        </w:rPr>
      </w:pPr>
    </w:p>
    <w:p w14:paraId="7F05DD86" w14:textId="77777777" w:rsidR="001B30A0" w:rsidRDefault="001B30A0" w:rsidP="00F95101">
      <w:pPr>
        <w:spacing w:before="240" w:after="240" w:line="240" w:lineRule="auto"/>
        <w:jc w:val="both"/>
        <w:rPr>
          <w:rFonts w:ascii="Times New Roman" w:hAnsi="Times New Roman" w:cs="Times New Roman"/>
          <w:b/>
          <w:bCs/>
          <w:sz w:val="24"/>
          <w:szCs w:val="24"/>
        </w:rPr>
      </w:pPr>
    </w:p>
    <w:p w14:paraId="5435FEAB" w14:textId="77777777" w:rsidR="001B30A0" w:rsidRDefault="001B30A0" w:rsidP="00F95101">
      <w:pPr>
        <w:spacing w:before="240" w:after="240" w:line="240" w:lineRule="auto"/>
        <w:jc w:val="both"/>
        <w:rPr>
          <w:rFonts w:ascii="Times New Roman" w:hAnsi="Times New Roman" w:cs="Times New Roman"/>
          <w:b/>
          <w:bCs/>
          <w:sz w:val="24"/>
          <w:szCs w:val="24"/>
        </w:rPr>
      </w:pPr>
    </w:p>
    <w:p w14:paraId="2E2E0DF5" w14:textId="77777777" w:rsidR="001B30A0" w:rsidRDefault="001B30A0" w:rsidP="00F95101">
      <w:pPr>
        <w:spacing w:before="240" w:after="240" w:line="240" w:lineRule="auto"/>
        <w:jc w:val="both"/>
        <w:rPr>
          <w:rFonts w:ascii="Times New Roman" w:hAnsi="Times New Roman" w:cs="Times New Roman"/>
          <w:b/>
          <w:bCs/>
          <w:sz w:val="24"/>
          <w:szCs w:val="24"/>
        </w:rPr>
      </w:pPr>
    </w:p>
    <w:p w14:paraId="4C6993FA" w14:textId="77777777" w:rsidR="001B30A0" w:rsidRDefault="001B30A0" w:rsidP="00F95101">
      <w:pPr>
        <w:spacing w:before="240" w:after="240" w:line="240" w:lineRule="auto"/>
        <w:jc w:val="both"/>
        <w:rPr>
          <w:rFonts w:ascii="Times New Roman" w:hAnsi="Times New Roman" w:cs="Times New Roman"/>
          <w:b/>
          <w:bCs/>
          <w:sz w:val="24"/>
          <w:szCs w:val="24"/>
        </w:rPr>
      </w:pPr>
    </w:p>
    <w:p w14:paraId="75154C21" w14:textId="77777777" w:rsidR="001B30A0" w:rsidRDefault="001B30A0" w:rsidP="00F95101">
      <w:pPr>
        <w:spacing w:before="240" w:after="240" w:line="240" w:lineRule="auto"/>
        <w:jc w:val="both"/>
        <w:rPr>
          <w:rFonts w:ascii="Times New Roman" w:hAnsi="Times New Roman" w:cs="Times New Roman"/>
          <w:b/>
          <w:bCs/>
          <w:sz w:val="24"/>
          <w:szCs w:val="24"/>
        </w:rPr>
      </w:pPr>
    </w:p>
    <w:p w14:paraId="3A550E8F" w14:textId="2FE8125D" w:rsidR="006D238F" w:rsidRPr="00064CDF" w:rsidRDefault="006D238F" w:rsidP="00F95101">
      <w:pPr>
        <w:spacing w:before="240" w:after="240" w:line="240" w:lineRule="auto"/>
        <w:jc w:val="both"/>
        <w:rPr>
          <w:rFonts w:ascii="Times New Roman" w:hAnsi="Times New Roman" w:cs="Times New Roman"/>
          <w:b/>
          <w:bCs/>
          <w:sz w:val="24"/>
          <w:szCs w:val="24"/>
        </w:rPr>
      </w:pPr>
      <w:r w:rsidRPr="006D238F">
        <w:rPr>
          <w:rFonts w:ascii="Times New Roman" w:hAnsi="Times New Roman" w:cs="Times New Roman"/>
          <w:b/>
          <w:bCs/>
          <w:sz w:val="24"/>
          <w:szCs w:val="24"/>
        </w:rPr>
        <w:lastRenderedPageBreak/>
        <w:t>Abstract</w:t>
      </w:r>
    </w:p>
    <w:p w14:paraId="57761116" w14:textId="511BAC47" w:rsidR="00B576BB" w:rsidRPr="00B576BB" w:rsidRDefault="00B576BB" w:rsidP="00F95101">
      <w:pPr>
        <w:spacing w:before="240" w:after="240" w:line="240" w:lineRule="auto"/>
        <w:jc w:val="both"/>
        <w:rPr>
          <w:rFonts w:ascii="Times New Roman" w:hAnsi="Times New Roman" w:cs="Times New Roman"/>
          <w:sz w:val="24"/>
          <w:szCs w:val="24"/>
        </w:rPr>
      </w:pPr>
      <w:r w:rsidRPr="00B576BB">
        <w:rPr>
          <w:rFonts w:ascii="Times New Roman" w:hAnsi="Times New Roman" w:cs="Times New Roman"/>
          <w:sz w:val="24"/>
          <w:szCs w:val="24"/>
        </w:rPr>
        <w:t>Methylparaben</w:t>
      </w:r>
      <w:r w:rsidR="00663DB5" w:rsidRPr="00064CDF">
        <w:rPr>
          <w:rFonts w:ascii="Times New Roman" w:hAnsi="Times New Roman" w:cs="Times New Roman"/>
          <w:sz w:val="24"/>
          <w:szCs w:val="24"/>
        </w:rPr>
        <w:t xml:space="preserve"> </w:t>
      </w:r>
      <w:r w:rsidR="00663DB5" w:rsidRPr="00F64FB4">
        <w:rPr>
          <w:rFonts w:ascii="Times New Roman" w:hAnsi="Times New Roman" w:cs="Times New Roman"/>
          <w:sz w:val="24"/>
          <w:szCs w:val="24"/>
        </w:rPr>
        <w:t>(MP)</w:t>
      </w:r>
      <w:r w:rsidRPr="00B576BB">
        <w:rPr>
          <w:rFonts w:ascii="Times New Roman" w:hAnsi="Times New Roman" w:cs="Times New Roman"/>
          <w:sz w:val="24"/>
          <w:szCs w:val="24"/>
        </w:rPr>
        <w:t xml:space="preserve"> is a ubiquitous antimicrobial preservative linked to male reproductive impairment. This study evaluated the protective efficacy of baicalin, a bioactive flavonoid from </w:t>
      </w:r>
      <w:proofErr w:type="spellStart"/>
      <w:r w:rsidRPr="00B576BB">
        <w:rPr>
          <w:rFonts w:ascii="Times New Roman" w:hAnsi="Times New Roman" w:cs="Times New Roman"/>
          <w:i/>
          <w:iCs/>
          <w:sz w:val="24"/>
          <w:szCs w:val="24"/>
        </w:rPr>
        <w:t>Scutellaria</w:t>
      </w:r>
      <w:proofErr w:type="spellEnd"/>
      <w:r w:rsidRPr="00B576BB">
        <w:rPr>
          <w:rFonts w:ascii="Times New Roman" w:hAnsi="Times New Roman" w:cs="Times New Roman"/>
          <w:i/>
          <w:iCs/>
          <w:sz w:val="24"/>
          <w:szCs w:val="24"/>
        </w:rPr>
        <w:t xml:space="preserve"> </w:t>
      </w:r>
      <w:proofErr w:type="spellStart"/>
      <w:r w:rsidRPr="00B576BB">
        <w:rPr>
          <w:rFonts w:ascii="Times New Roman" w:hAnsi="Times New Roman" w:cs="Times New Roman"/>
          <w:i/>
          <w:iCs/>
          <w:sz w:val="24"/>
          <w:szCs w:val="24"/>
        </w:rPr>
        <w:t>baicalensis</w:t>
      </w:r>
      <w:proofErr w:type="spellEnd"/>
      <w:r w:rsidRPr="00B576BB">
        <w:rPr>
          <w:rFonts w:ascii="Times New Roman" w:hAnsi="Times New Roman" w:cs="Times New Roman"/>
          <w:sz w:val="24"/>
          <w:szCs w:val="24"/>
        </w:rPr>
        <w:t>, against methylparaben-induced testicular toxicity in adult male Wistar rats. Forty-five rats were allocated into nine groups (n = 5): Normal Control; Vehicle Control; Methylparaben only (1000</w:t>
      </w:r>
      <w:r w:rsidRPr="00064CDF">
        <w:rPr>
          <w:rFonts w:ascii="Times New Roman" w:hAnsi="Times New Roman" w:cs="Times New Roman"/>
          <w:sz w:val="24"/>
          <w:szCs w:val="24"/>
        </w:rPr>
        <w:t xml:space="preserve"> </w:t>
      </w:r>
      <w:r w:rsidRPr="00B576BB">
        <w:rPr>
          <w:rFonts w:ascii="Times New Roman" w:hAnsi="Times New Roman" w:cs="Times New Roman"/>
          <w:sz w:val="24"/>
          <w:szCs w:val="24"/>
        </w:rPr>
        <w:t>mg/kg/</w:t>
      </w:r>
      <w:proofErr w:type="spellStart"/>
      <w:r w:rsidRPr="00B576BB">
        <w:rPr>
          <w:rFonts w:ascii="Times New Roman" w:hAnsi="Times New Roman" w:cs="Times New Roman"/>
          <w:sz w:val="24"/>
          <w:szCs w:val="24"/>
        </w:rPr>
        <w:t>bw</w:t>
      </w:r>
      <w:proofErr w:type="spellEnd"/>
      <w:r w:rsidRPr="00B576BB">
        <w:rPr>
          <w:rFonts w:ascii="Times New Roman" w:hAnsi="Times New Roman" w:cs="Times New Roman"/>
          <w:sz w:val="24"/>
          <w:szCs w:val="24"/>
        </w:rPr>
        <w:t>); Baicalin controls (50, 100, 200mg/kg/</w:t>
      </w:r>
      <w:proofErr w:type="spellStart"/>
      <w:r w:rsidRPr="00B576BB">
        <w:rPr>
          <w:rFonts w:ascii="Times New Roman" w:hAnsi="Times New Roman" w:cs="Times New Roman"/>
          <w:sz w:val="24"/>
          <w:szCs w:val="24"/>
        </w:rPr>
        <w:t>bw</w:t>
      </w:r>
      <w:proofErr w:type="spellEnd"/>
      <w:r w:rsidRPr="00B576BB">
        <w:rPr>
          <w:rFonts w:ascii="Times New Roman" w:hAnsi="Times New Roman" w:cs="Times New Roman"/>
          <w:sz w:val="24"/>
          <w:szCs w:val="24"/>
        </w:rPr>
        <w:t>); and concurrent Protective groups receiving Methylparaben and Baicalin at 50, 100, or 200mg/kg/</w:t>
      </w:r>
      <w:proofErr w:type="spellStart"/>
      <w:r w:rsidRPr="00B576BB">
        <w:rPr>
          <w:rFonts w:ascii="Times New Roman" w:hAnsi="Times New Roman" w:cs="Times New Roman"/>
          <w:sz w:val="24"/>
          <w:szCs w:val="24"/>
        </w:rPr>
        <w:t>bw</w:t>
      </w:r>
      <w:proofErr w:type="spellEnd"/>
      <w:r w:rsidRPr="00B576BB">
        <w:rPr>
          <w:rFonts w:ascii="Times New Roman" w:hAnsi="Times New Roman" w:cs="Times New Roman"/>
          <w:sz w:val="24"/>
          <w:szCs w:val="24"/>
        </w:rPr>
        <w:t xml:space="preserve">. Treatments were administered via oral gavage daily for 28 days before assessing epididymal sperm count, motility, and morphology. Results showed that methylparaben alone significantly degraded all sperm indices, reducing count (151.33 </w:t>
      </w:r>
      <w:r w:rsidRPr="00064CDF">
        <w:rPr>
          <w:rFonts w:ascii="Times New Roman" w:hAnsi="Times New Roman" w:cs="Times New Roman"/>
          <w:sz w:val="24"/>
          <w:szCs w:val="24"/>
        </w:rPr>
        <w:t>x</w:t>
      </w:r>
      <w:r w:rsidRPr="00B576BB">
        <w:rPr>
          <w:rFonts w:ascii="Times New Roman" w:hAnsi="Times New Roman" w:cs="Times New Roman"/>
          <w:sz w:val="24"/>
          <w:szCs w:val="24"/>
        </w:rPr>
        <w:t xml:space="preserve"> 10</w:t>
      </w:r>
      <w:r w:rsidRPr="00B576BB">
        <w:rPr>
          <w:rFonts w:ascii="Times New Roman" w:hAnsi="Times New Roman" w:cs="Times New Roman"/>
          <w:sz w:val="24"/>
          <w:szCs w:val="24"/>
          <w:vertAlign w:val="superscript"/>
        </w:rPr>
        <w:t>6</w:t>
      </w:r>
      <w:r w:rsidRPr="00B576BB">
        <w:rPr>
          <w:rFonts w:ascii="Times New Roman" w:hAnsi="Times New Roman" w:cs="Times New Roman"/>
          <w:sz w:val="24"/>
          <w:szCs w:val="24"/>
        </w:rPr>
        <w:t>/mL), progressive motility (31.67%), and normal morphology (33.33%) compared to controls (p&lt;0.002). Co-administration of baicalin demonstrated a parameter-specific threshold effect. The lowest baicalin dose (50mg/kg/</w:t>
      </w:r>
      <w:proofErr w:type="spellStart"/>
      <w:r w:rsidRPr="00B576BB">
        <w:rPr>
          <w:rFonts w:ascii="Times New Roman" w:hAnsi="Times New Roman" w:cs="Times New Roman"/>
          <w:sz w:val="24"/>
          <w:szCs w:val="24"/>
        </w:rPr>
        <w:t>bw</w:t>
      </w:r>
      <w:proofErr w:type="spellEnd"/>
      <w:r w:rsidRPr="00B576BB">
        <w:rPr>
          <w:rFonts w:ascii="Times New Roman" w:hAnsi="Times New Roman" w:cs="Times New Roman"/>
          <w:sz w:val="24"/>
          <w:szCs w:val="24"/>
        </w:rPr>
        <w:t xml:space="preserve">) fully rescued normal sperm morphology (80.00%, p&lt;0.001) but failed to restore sperm count (162.67 </w:t>
      </w:r>
      <w:r w:rsidRPr="00064CDF">
        <w:rPr>
          <w:rFonts w:ascii="Times New Roman" w:hAnsi="Times New Roman" w:cs="Times New Roman"/>
          <w:sz w:val="24"/>
          <w:szCs w:val="24"/>
        </w:rPr>
        <w:t>x</w:t>
      </w:r>
      <w:r w:rsidRPr="00B576BB">
        <w:rPr>
          <w:rFonts w:ascii="Times New Roman" w:hAnsi="Times New Roman" w:cs="Times New Roman"/>
          <w:sz w:val="24"/>
          <w:szCs w:val="24"/>
        </w:rPr>
        <w:t xml:space="preserve"> 10</w:t>
      </w:r>
      <w:r w:rsidRPr="00B576BB">
        <w:rPr>
          <w:rFonts w:ascii="Times New Roman" w:hAnsi="Times New Roman" w:cs="Times New Roman"/>
          <w:sz w:val="24"/>
          <w:szCs w:val="24"/>
          <w:vertAlign w:val="superscript"/>
        </w:rPr>
        <w:t>6</w:t>
      </w:r>
      <w:r w:rsidRPr="00B576BB">
        <w:rPr>
          <w:rFonts w:ascii="Times New Roman" w:hAnsi="Times New Roman" w:cs="Times New Roman"/>
          <w:sz w:val="24"/>
          <w:szCs w:val="24"/>
        </w:rPr>
        <w:t>/mL), remaining statistically similar to the toxic methylparaben group. Conversely, medium and high doses (100 and 200mg/kg/</w:t>
      </w:r>
      <w:proofErr w:type="spellStart"/>
      <w:r w:rsidRPr="00B576BB">
        <w:rPr>
          <w:rFonts w:ascii="Times New Roman" w:hAnsi="Times New Roman" w:cs="Times New Roman"/>
          <w:sz w:val="24"/>
          <w:szCs w:val="24"/>
        </w:rPr>
        <w:t>bw</w:t>
      </w:r>
      <w:proofErr w:type="spellEnd"/>
      <w:r w:rsidRPr="00B576BB">
        <w:rPr>
          <w:rFonts w:ascii="Times New Roman" w:hAnsi="Times New Roman" w:cs="Times New Roman"/>
          <w:sz w:val="24"/>
          <w:szCs w:val="24"/>
        </w:rPr>
        <w:t>) completely protected all parameters, maintaining count, progressive motility, and structural integrity at baseline control levels (p&gt; 0.05). In conclusion, methylparaben induces profound reproductive toxicity by disrupting sperm quantity, motility, and morphology. Co-treatment with baicalin exerts strong protective effects, though full rescue of spermatogenesis requires a therapeutic threshold of at least 100mg/kg/</w:t>
      </w:r>
      <w:proofErr w:type="spellStart"/>
      <w:r w:rsidRPr="00B576BB">
        <w:rPr>
          <w:rFonts w:ascii="Times New Roman" w:hAnsi="Times New Roman" w:cs="Times New Roman"/>
          <w:sz w:val="24"/>
          <w:szCs w:val="24"/>
        </w:rPr>
        <w:t>bw</w:t>
      </w:r>
      <w:proofErr w:type="spellEnd"/>
      <w:r w:rsidRPr="00B576BB">
        <w:rPr>
          <w:rFonts w:ascii="Times New Roman" w:hAnsi="Times New Roman" w:cs="Times New Roman"/>
          <w:sz w:val="24"/>
          <w:szCs w:val="24"/>
        </w:rPr>
        <w:t xml:space="preserve">}. </w:t>
      </w:r>
    </w:p>
    <w:p w14:paraId="34D2B376" w14:textId="79E4182A" w:rsidR="006D238F" w:rsidRPr="00064CDF" w:rsidRDefault="00663DB5" w:rsidP="00F95101">
      <w:pPr>
        <w:spacing w:before="240" w:after="240" w:line="240" w:lineRule="auto"/>
        <w:jc w:val="both"/>
        <w:rPr>
          <w:rFonts w:ascii="Times New Roman" w:hAnsi="Times New Roman" w:cs="Times New Roman"/>
          <w:sz w:val="24"/>
          <w:szCs w:val="24"/>
        </w:rPr>
      </w:pPr>
      <w:r w:rsidRPr="00064CDF">
        <w:rPr>
          <w:rStyle w:val="citation-158"/>
          <w:rFonts w:ascii="Times New Roman" w:hAnsi="Times New Roman" w:cs="Times New Roman"/>
          <w:b/>
          <w:bCs/>
          <w:sz w:val="24"/>
          <w:szCs w:val="24"/>
        </w:rPr>
        <w:t>Keywords:</w:t>
      </w:r>
      <w:r w:rsidRPr="00064CDF">
        <w:rPr>
          <w:rStyle w:val="citation-158"/>
          <w:rFonts w:ascii="Times New Roman" w:hAnsi="Times New Roman" w:cs="Times New Roman"/>
          <w:sz w:val="24"/>
          <w:szCs w:val="24"/>
        </w:rPr>
        <w:t xml:space="preserve"> Methylparaben, Baicalin, Sperm Concentration, Oxidative Stress, Testicular Toxicity</w:t>
      </w:r>
      <w:r w:rsidRPr="00064CDF">
        <w:rPr>
          <w:rFonts w:ascii="Times New Roman" w:hAnsi="Times New Roman" w:cs="Times New Roman"/>
          <w:sz w:val="24"/>
          <w:szCs w:val="24"/>
        </w:rPr>
        <w:t>.</w:t>
      </w:r>
    </w:p>
    <w:p w14:paraId="4D6018F0" w14:textId="56F48C74" w:rsidR="004F1DF8" w:rsidRPr="001B30A0" w:rsidRDefault="004F1DF8" w:rsidP="00F95101">
      <w:pPr>
        <w:spacing w:before="240" w:after="240" w:line="240" w:lineRule="auto"/>
        <w:jc w:val="both"/>
        <w:rPr>
          <w:rFonts w:ascii="Times New Roman" w:hAnsi="Times New Roman" w:cs="Times New Roman"/>
          <w:b/>
          <w:bCs/>
          <w:sz w:val="28"/>
          <w:szCs w:val="28"/>
        </w:rPr>
      </w:pPr>
      <w:r w:rsidRPr="001B30A0">
        <w:rPr>
          <w:rFonts w:ascii="Times New Roman" w:hAnsi="Times New Roman" w:cs="Times New Roman"/>
          <w:b/>
          <w:bCs/>
          <w:sz w:val="28"/>
          <w:szCs w:val="28"/>
        </w:rPr>
        <w:t>INTRODUCTION</w:t>
      </w:r>
    </w:p>
    <w:p w14:paraId="03E04F5C" w14:textId="41352AC5" w:rsidR="005C75F8" w:rsidRPr="00064CDF" w:rsidRDefault="005C75F8" w:rsidP="00F95101">
      <w:pPr>
        <w:spacing w:before="240" w:after="240" w:line="240" w:lineRule="auto"/>
        <w:jc w:val="both"/>
        <w:rPr>
          <w:rFonts w:ascii="Times New Roman" w:hAnsi="Times New Roman" w:cs="Times New Roman"/>
          <w:sz w:val="24"/>
          <w:szCs w:val="24"/>
          <w:lang w:val="en-US"/>
        </w:rPr>
      </w:pPr>
      <w:r w:rsidRPr="00064CDF">
        <w:rPr>
          <w:rFonts w:ascii="Times New Roman" w:hAnsi="Times New Roman" w:cs="Times New Roman"/>
          <w:sz w:val="24"/>
          <w:szCs w:val="24"/>
        </w:rPr>
        <w:t xml:space="preserve">Parabens or p-hydroxybenzoates are derivatives of p-hydroxybenzoic acid. They are used in industry, particularly in pharmaceuticals, cosmetics, and food, due to their appealing characteristic of acting as preservatives and antimicrobial compounds </w:t>
      </w:r>
      <w:r w:rsidR="00610750">
        <w:rPr>
          <w:rFonts w:ascii="Times New Roman" w:hAnsi="Times New Roman" w:cs="Times New Roman"/>
          <w:sz w:val="24"/>
          <w:szCs w:val="24"/>
        </w:rPr>
        <w:t>[1, 2, 3]</w:t>
      </w:r>
      <w:r w:rsidRPr="00064CDF">
        <w:rPr>
          <w:rFonts w:ascii="Times New Roman" w:hAnsi="Times New Roman" w:cs="Times New Roman"/>
          <w:color w:val="222222"/>
          <w:sz w:val="24"/>
          <w:szCs w:val="24"/>
          <w:shd w:val="clear" w:color="auto" w:fill="FFFFFF"/>
        </w:rPr>
        <w:t>.</w:t>
      </w:r>
      <w:r w:rsidRPr="00064CDF">
        <w:rPr>
          <w:rFonts w:ascii="Times New Roman" w:hAnsi="Times New Roman" w:cs="Times New Roman"/>
          <w:sz w:val="24"/>
          <w:szCs w:val="24"/>
          <w:lang w:val="en-US"/>
        </w:rPr>
        <w:t xml:space="preserve"> Parabens are easily absorbed or ingested daily into the body through the use of readily available consumables that contain them </w:t>
      </w:r>
      <w:r w:rsidR="00CC4DF4">
        <w:rPr>
          <w:rFonts w:ascii="Times New Roman" w:hAnsi="Times New Roman" w:cs="Times New Roman"/>
          <w:sz w:val="24"/>
          <w:szCs w:val="24"/>
          <w:lang w:val="en-US"/>
        </w:rPr>
        <w:t>[4, 5, 6].</w:t>
      </w:r>
      <w:r w:rsidRPr="00064CDF">
        <w:rPr>
          <w:rFonts w:ascii="Times New Roman" w:hAnsi="Times New Roman" w:cs="Times New Roman"/>
          <w:sz w:val="24"/>
          <w:szCs w:val="24"/>
          <w:lang w:val="en-US"/>
        </w:rPr>
        <w:t xml:space="preserve"> Upon entry into the body through dermal or gastrointestinal absorption, parabens are distributed systemically. Parabens have been detected in human tissues, blood, breast milk, placenta, and urine </w:t>
      </w:r>
      <w:r w:rsidR="00CC4DF4">
        <w:rPr>
          <w:rFonts w:ascii="Times New Roman" w:hAnsi="Times New Roman" w:cs="Times New Roman"/>
          <w:sz w:val="24"/>
          <w:szCs w:val="24"/>
          <w:lang w:val="en-US"/>
        </w:rPr>
        <w:t>[7, 8, 9]</w:t>
      </w:r>
      <w:r w:rsidRPr="00064CDF">
        <w:rPr>
          <w:rFonts w:ascii="Times New Roman" w:hAnsi="Times New Roman" w:cs="Times New Roman"/>
          <w:sz w:val="24"/>
          <w:szCs w:val="24"/>
          <w:lang w:val="en-US"/>
        </w:rPr>
        <w:t xml:space="preserve">, with methylparaben (MP), </w:t>
      </w:r>
      <w:proofErr w:type="spellStart"/>
      <w:r w:rsidRPr="00064CDF">
        <w:rPr>
          <w:rFonts w:ascii="Times New Roman" w:hAnsi="Times New Roman" w:cs="Times New Roman"/>
          <w:sz w:val="24"/>
          <w:szCs w:val="24"/>
          <w:lang w:val="en-US"/>
        </w:rPr>
        <w:t>ethylparaben</w:t>
      </w:r>
      <w:proofErr w:type="spellEnd"/>
      <w:r w:rsidRPr="00064CDF">
        <w:rPr>
          <w:rFonts w:ascii="Times New Roman" w:hAnsi="Times New Roman" w:cs="Times New Roman"/>
          <w:sz w:val="24"/>
          <w:szCs w:val="24"/>
          <w:lang w:val="en-US"/>
        </w:rPr>
        <w:t xml:space="preserve"> (EP), propylparaben (PP), and butylparaben (BP) being the most commonly detected ones </w:t>
      </w:r>
      <w:r w:rsidR="00CC4DF4">
        <w:rPr>
          <w:rFonts w:ascii="Times New Roman" w:hAnsi="Times New Roman" w:cs="Times New Roman"/>
          <w:sz w:val="24"/>
          <w:szCs w:val="24"/>
          <w:lang w:val="en-US"/>
        </w:rPr>
        <w:t>[4, 8</w:t>
      </w:r>
      <w:r w:rsidR="006B0021">
        <w:rPr>
          <w:rFonts w:ascii="Times New Roman" w:hAnsi="Times New Roman" w:cs="Times New Roman"/>
          <w:sz w:val="24"/>
          <w:szCs w:val="24"/>
          <w:lang w:val="en-US"/>
        </w:rPr>
        <w:t>, 10].</w:t>
      </w:r>
    </w:p>
    <w:p w14:paraId="4F5134B1" w14:textId="54A460F1" w:rsidR="005C75F8" w:rsidRPr="00064CDF" w:rsidRDefault="005C75F8" w:rsidP="00F95101">
      <w:pPr>
        <w:spacing w:before="240" w:after="240" w:line="240" w:lineRule="auto"/>
        <w:jc w:val="both"/>
        <w:rPr>
          <w:rFonts w:ascii="Times New Roman" w:hAnsi="Times New Roman" w:cs="Times New Roman"/>
          <w:sz w:val="24"/>
          <w:szCs w:val="24"/>
          <w:lang w:val="en-US"/>
        </w:rPr>
      </w:pPr>
      <w:r w:rsidRPr="00064CDF">
        <w:rPr>
          <w:rFonts w:ascii="Times New Roman" w:hAnsi="Times New Roman" w:cs="Times New Roman"/>
          <w:sz w:val="24"/>
          <w:szCs w:val="24"/>
          <w:lang w:val="en-US"/>
        </w:rPr>
        <w:t xml:space="preserve">Methylparaben, the most commonly and widely used paraben, is used as an antimicrobial preservative in cosmetics, food products and pharmaceutical formulations, either alone, in combination with other parabens </w:t>
      </w:r>
      <w:r w:rsidR="006B0021">
        <w:rPr>
          <w:rFonts w:ascii="Times New Roman" w:hAnsi="Times New Roman" w:cs="Times New Roman"/>
          <w:sz w:val="24"/>
          <w:szCs w:val="24"/>
          <w:lang w:val="en-US"/>
        </w:rPr>
        <w:t>[11].</w:t>
      </w:r>
      <w:r w:rsidRPr="00064CDF">
        <w:rPr>
          <w:rFonts w:ascii="Times New Roman" w:hAnsi="Times New Roman" w:cs="Times New Roman"/>
          <w:sz w:val="24"/>
          <w:szCs w:val="24"/>
          <w:lang w:val="en-US"/>
        </w:rPr>
        <w:t xml:space="preserve"> Recent evidence from studies suggests that methylparaben has quite adverse eﬀects on sperm count, testosterone levels, and other male reproductive indices after dietary exposure </w:t>
      </w:r>
      <w:r w:rsidR="006B0021">
        <w:rPr>
          <w:rFonts w:ascii="Times New Roman" w:hAnsi="Times New Roman" w:cs="Times New Roman"/>
          <w:sz w:val="24"/>
          <w:szCs w:val="24"/>
          <w:lang w:val="en-US"/>
        </w:rPr>
        <w:t>[12]</w:t>
      </w:r>
      <w:r w:rsidRPr="00064CDF">
        <w:rPr>
          <w:rFonts w:ascii="Times New Roman" w:hAnsi="Times New Roman" w:cs="Times New Roman"/>
          <w:sz w:val="24"/>
          <w:szCs w:val="24"/>
          <w:lang w:val="en-US"/>
        </w:rPr>
        <w:t>.</w:t>
      </w:r>
    </w:p>
    <w:p w14:paraId="795F53F2" w14:textId="08328A0F" w:rsidR="005C75F8" w:rsidRPr="00064CDF" w:rsidRDefault="005C75F8" w:rsidP="00F95101">
      <w:pPr>
        <w:spacing w:before="240" w:after="240" w:line="240" w:lineRule="auto"/>
        <w:jc w:val="both"/>
        <w:rPr>
          <w:rFonts w:ascii="Times New Roman" w:hAnsi="Times New Roman" w:cs="Times New Roman"/>
          <w:sz w:val="24"/>
          <w:szCs w:val="24"/>
          <w:lang w:val="en-US"/>
        </w:rPr>
      </w:pPr>
      <w:r w:rsidRPr="00064CDF">
        <w:rPr>
          <w:rFonts w:ascii="Times New Roman" w:hAnsi="Times New Roman" w:cs="Times New Roman"/>
          <w:sz w:val="24"/>
          <w:szCs w:val="24"/>
          <w:lang w:val="en-US"/>
        </w:rPr>
        <w:t xml:space="preserve">Baicalin is an active ingredient of Chinese herbal medicine </w:t>
      </w:r>
      <w:proofErr w:type="spellStart"/>
      <w:r w:rsidRPr="00064CDF">
        <w:rPr>
          <w:rFonts w:ascii="Times New Roman" w:hAnsi="Times New Roman" w:cs="Times New Roman"/>
          <w:i/>
          <w:iCs/>
          <w:sz w:val="24"/>
          <w:szCs w:val="24"/>
          <w:lang w:val="en-US"/>
        </w:rPr>
        <w:t>Scutellaria</w:t>
      </w:r>
      <w:proofErr w:type="spellEnd"/>
      <w:r w:rsidRPr="00064CDF">
        <w:rPr>
          <w:rFonts w:ascii="Times New Roman" w:hAnsi="Times New Roman" w:cs="Times New Roman"/>
          <w:i/>
          <w:iCs/>
          <w:sz w:val="24"/>
          <w:szCs w:val="24"/>
          <w:lang w:val="en-US"/>
        </w:rPr>
        <w:t xml:space="preserve"> </w:t>
      </w:r>
      <w:proofErr w:type="spellStart"/>
      <w:r w:rsidRPr="00064CDF">
        <w:rPr>
          <w:rFonts w:ascii="Times New Roman" w:hAnsi="Times New Roman" w:cs="Times New Roman"/>
          <w:i/>
          <w:iCs/>
          <w:sz w:val="24"/>
          <w:szCs w:val="24"/>
          <w:lang w:val="en-US"/>
        </w:rPr>
        <w:t>baicalensis</w:t>
      </w:r>
      <w:proofErr w:type="spellEnd"/>
      <w:r w:rsidRPr="00064CDF">
        <w:rPr>
          <w:rFonts w:ascii="Times New Roman" w:hAnsi="Times New Roman" w:cs="Times New Roman"/>
          <w:sz w:val="24"/>
          <w:szCs w:val="24"/>
          <w:lang w:val="en-US"/>
        </w:rPr>
        <w:t xml:space="preserve">. It is a </w:t>
      </w:r>
      <w:proofErr w:type="spellStart"/>
      <w:r w:rsidRPr="00064CDF">
        <w:rPr>
          <w:rFonts w:ascii="Times New Roman" w:hAnsi="Times New Roman" w:cs="Times New Roman"/>
          <w:sz w:val="24"/>
          <w:szCs w:val="24"/>
          <w:lang w:val="en-US"/>
        </w:rPr>
        <w:t>glucosiduronic</w:t>
      </w:r>
      <w:proofErr w:type="spellEnd"/>
      <w:r w:rsidRPr="00064CDF">
        <w:rPr>
          <w:rFonts w:ascii="Times New Roman" w:hAnsi="Times New Roman" w:cs="Times New Roman"/>
          <w:sz w:val="24"/>
          <w:szCs w:val="24"/>
          <w:lang w:val="en-US"/>
        </w:rPr>
        <w:t xml:space="preserve"> acid, a </w:t>
      </w:r>
      <w:proofErr w:type="spellStart"/>
      <w:r w:rsidRPr="00064CDF">
        <w:rPr>
          <w:rFonts w:ascii="Times New Roman" w:hAnsi="Times New Roman" w:cs="Times New Roman"/>
          <w:sz w:val="24"/>
          <w:szCs w:val="24"/>
          <w:lang w:val="en-US"/>
        </w:rPr>
        <w:t>glycosyloxyflavone</w:t>
      </w:r>
      <w:proofErr w:type="spellEnd"/>
      <w:r w:rsidRPr="00064CDF">
        <w:rPr>
          <w:rFonts w:ascii="Times New Roman" w:hAnsi="Times New Roman" w:cs="Times New Roman"/>
          <w:sz w:val="24"/>
          <w:szCs w:val="24"/>
          <w:lang w:val="en-US"/>
        </w:rPr>
        <w:t xml:space="preserve">, a dihydroxyflavone, a monosaccharide derivative and is functionally related to baicalein </w:t>
      </w:r>
      <w:r w:rsidR="001C2A53">
        <w:rPr>
          <w:rFonts w:ascii="Times New Roman" w:hAnsi="Times New Roman" w:cs="Times New Roman"/>
          <w:sz w:val="24"/>
          <w:szCs w:val="24"/>
          <w:lang w:val="en-US"/>
        </w:rPr>
        <w:t>[13]</w:t>
      </w:r>
      <w:r w:rsidRPr="00064CDF">
        <w:rPr>
          <w:rFonts w:ascii="Times New Roman" w:hAnsi="Times New Roman" w:cs="Times New Roman"/>
          <w:sz w:val="24"/>
          <w:szCs w:val="24"/>
          <w:lang w:val="en-US"/>
        </w:rPr>
        <w:t xml:space="preserve">. It has been widely used in recent years for the development of pharmaceutical formulations and the treatment of certain diseases. Baicalin, also known as </w:t>
      </w:r>
      <w:proofErr w:type="spellStart"/>
      <w:r w:rsidRPr="00064CDF">
        <w:rPr>
          <w:rFonts w:ascii="Times New Roman" w:hAnsi="Times New Roman" w:cs="Times New Roman"/>
          <w:sz w:val="24"/>
          <w:szCs w:val="24"/>
          <w:lang w:val="en-US"/>
        </w:rPr>
        <w:t>begalin</w:t>
      </w:r>
      <w:proofErr w:type="spellEnd"/>
      <w:r w:rsidRPr="00064CDF">
        <w:rPr>
          <w:rFonts w:ascii="Times New Roman" w:hAnsi="Times New Roman" w:cs="Times New Roman"/>
          <w:sz w:val="24"/>
          <w:szCs w:val="24"/>
          <w:lang w:val="en-US"/>
        </w:rPr>
        <w:t xml:space="preserve">, is formed by combining the C7 hydroxyl group of baicalein with glucuronic acid </w:t>
      </w:r>
      <w:r w:rsidR="001C2A53">
        <w:rPr>
          <w:rFonts w:ascii="Times New Roman" w:hAnsi="Times New Roman" w:cs="Times New Roman"/>
          <w:sz w:val="24"/>
          <w:szCs w:val="24"/>
          <w:lang w:val="en-US"/>
        </w:rPr>
        <w:t>[14]</w:t>
      </w:r>
      <w:r w:rsidRPr="00064CDF">
        <w:rPr>
          <w:rFonts w:ascii="Times New Roman" w:hAnsi="Times New Roman" w:cs="Times New Roman"/>
          <w:sz w:val="24"/>
          <w:szCs w:val="24"/>
          <w:lang w:val="en-US"/>
        </w:rPr>
        <w:t>. Baicalin has been shown to possess antioxidant, anti-inflammatory and anti-apoptotic properties</w:t>
      </w:r>
      <w:r w:rsidR="001C2A53">
        <w:rPr>
          <w:rFonts w:ascii="Times New Roman" w:hAnsi="Times New Roman" w:cs="Times New Roman"/>
          <w:sz w:val="24"/>
          <w:szCs w:val="24"/>
          <w:lang w:val="en-US"/>
        </w:rPr>
        <w:t xml:space="preserve"> [15, </w:t>
      </w:r>
      <w:r w:rsidR="0011010E">
        <w:rPr>
          <w:rFonts w:ascii="Times New Roman" w:hAnsi="Times New Roman" w:cs="Times New Roman"/>
          <w:sz w:val="24"/>
          <w:szCs w:val="24"/>
          <w:lang w:val="en-US"/>
        </w:rPr>
        <w:t>16].</w:t>
      </w:r>
    </w:p>
    <w:p w14:paraId="59246F76" w14:textId="77777777" w:rsidR="005C75F8" w:rsidRPr="00064CDF" w:rsidRDefault="005C75F8" w:rsidP="00F95101">
      <w:pPr>
        <w:spacing w:before="240" w:after="240" w:line="240" w:lineRule="auto"/>
        <w:jc w:val="both"/>
        <w:rPr>
          <w:rFonts w:ascii="Times New Roman" w:hAnsi="Times New Roman" w:cs="Times New Roman"/>
          <w:sz w:val="24"/>
          <w:szCs w:val="24"/>
          <w:lang w:val="en-US"/>
        </w:rPr>
      </w:pPr>
      <w:r w:rsidRPr="00064CDF">
        <w:rPr>
          <w:rFonts w:ascii="Times New Roman" w:hAnsi="Times New Roman" w:cs="Times New Roman"/>
          <w:sz w:val="24"/>
          <w:szCs w:val="24"/>
          <w:lang w:val="en-US"/>
        </w:rPr>
        <w:t>In view of the fact that methylparaben has been shown to induce testicular toxicity via the oxidative stress pathway and baicalin has been shown to possess potent antioxidative properties, we aimed to investigate the protective potency of baicalin on methylparaben-induced testicular toxicity in adult male Wistar rats based on some selected parameters.</w:t>
      </w:r>
    </w:p>
    <w:p w14:paraId="65D4E824" w14:textId="77777777" w:rsidR="005C75F8" w:rsidRPr="001B30A0" w:rsidRDefault="005C75F8" w:rsidP="00F95101">
      <w:pPr>
        <w:spacing w:before="240" w:after="240" w:line="240" w:lineRule="auto"/>
        <w:jc w:val="both"/>
        <w:rPr>
          <w:rFonts w:ascii="Times New Roman" w:hAnsi="Times New Roman" w:cs="Times New Roman"/>
          <w:b/>
          <w:bCs/>
          <w:sz w:val="28"/>
          <w:szCs w:val="28"/>
          <w:lang w:val="en-US"/>
        </w:rPr>
      </w:pPr>
      <w:r w:rsidRPr="001B30A0">
        <w:rPr>
          <w:rFonts w:ascii="Times New Roman" w:hAnsi="Times New Roman" w:cs="Times New Roman"/>
          <w:b/>
          <w:bCs/>
          <w:sz w:val="28"/>
          <w:szCs w:val="28"/>
          <w:lang w:val="en-US"/>
        </w:rPr>
        <w:t>MATERIALS AND METHODS</w:t>
      </w:r>
    </w:p>
    <w:p w14:paraId="33DAAAF5" w14:textId="77777777" w:rsidR="005C75F8" w:rsidRPr="00064CDF" w:rsidRDefault="005C75F8" w:rsidP="00F95101">
      <w:pPr>
        <w:spacing w:before="240" w:after="240" w:line="240" w:lineRule="auto"/>
        <w:jc w:val="both"/>
        <w:rPr>
          <w:rFonts w:ascii="Times New Roman" w:hAnsi="Times New Roman" w:cs="Times New Roman"/>
          <w:sz w:val="24"/>
          <w:szCs w:val="24"/>
        </w:rPr>
      </w:pPr>
      <w:r w:rsidRPr="00064CDF">
        <w:rPr>
          <w:rFonts w:ascii="Times New Roman" w:hAnsi="Times New Roman" w:cs="Times New Roman"/>
          <w:b/>
          <w:bCs/>
          <w:sz w:val="24"/>
          <w:szCs w:val="24"/>
        </w:rPr>
        <w:t>Animals</w:t>
      </w:r>
    </w:p>
    <w:p w14:paraId="5054F09E" w14:textId="1EDF1672" w:rsidR="003E6F47" w:rsidRPr="00F95101" w:rsidRDefault="003E6F47" w:rsidP="00F95101">
      <w:pPr>
        <w:spacing w:before="240" w:after="240" w:line="240" w:lineRule="auto"/>
        <w:jc w:val="both"/>
        <w:rPr>
          <w:rFonts w:ascii="Times New Roman" w:hAnsi="Times New Roman" w:cs="Times New Roman"/>
          <w:sz w:val="24"/>
          <w:szCs w:val="24"/>
        </w:rPr>
      </w:pPr>
      <w:r w:rsidRPr="00064CDF">
        <w:rPr>
          <w:rFonts w:ascii="Times New Roman" w:hAnsi="Times New Roman" w:cs="Times New Roman"/>
          <w:sz w:val="24"/>
          <w:szCs w:val="24"/>
        </w:rPr>
        <w:lastRenderedPageBreak/>
        <w:t>A total of f</w:t>
      </w:r>
      <w:r w:rsidR="005C75F8" w:rsidRPr="00064CDF">
        <w:rPr>
          <w:rFonts w:ascii="Times New Roman" w:hAnsi="Times New Roman" w:cs="Times New Roman"/>
          <w:sz w:val="24"/>
          <w:szCs w:val="24"/>
        </w:rPr>
        <w:t>orty</w:t>
      </w:r>
      <w:r w:rsidR="005E067E" w:rsidRPr="00064CDF">
        <w:rPr>
          <w:rFonts w:ascii="Times New Roman" w:hAnsi="Times New Roman" w:cs="Times New Roman"/>
          <w:sz w:val="24"/>
          <w:szCs w:val="24"/>
        </w:rPr>
        <w:t>-</w:t>
      </w:r>
      <w:r w:rsidR="005C75F8" w:rsidRPr="00064CDF">
        <w:rPr>
          <w:rFonts w:ascii="Times New Roman" w:hAnsi="Times New Roman" w:cs="Times New Roman"/>
          <w:sz w:val="24"/>
          <w:szCs w:val="24"/>
        </w:rPr>
        <w:t xml:space="preserve">five </w:t>
      </w:r>
      <w:r w:rsidRPr="00064CDF">
        <w:rPr>
          <w:rFonts w:ascii="Times New Roman" w:hAnsi="Times New Roman" w:cs="Times New Roman"/>
          <w:sz w:val="24"/>
          <w:szCs w:val="24"/>
        </w:rPr>
        <w:t xml:space="preserve">(45) </w:t>
      </w:r>
      <w:r w:rsidR="005C75F8" w:rsidRPr="00064CDF">
        <w:rPr>
          <w:rFonts w:ascii="Times New Roman" w:hAnsi="Times New Roman" w:cs="Times New Roman"/>
          <w:sz w:val="24"/>
          <w:szCs w:val="24"/>
        </w:rPr>
        <w:t xml:space="preserve">adult male Wistar rats were used as experimental animals in this study. They were obtained from the Animal House of Department of Anatomy, Faculty of Basic Medical Sciences, College of Medicine, University of Nigeria Enugu Campus. The animals were kept in the research section of the animal house of the Department of Anatomy University of Nigeria Enugu Campus and allowed to acclimatize in their new environment for a two-week period. They were housed in stainless steel cages at standard atmospheric temperature (25±5 °C) and had a 12/12- hour light-dark cycle (light on at 6.00-18. 00h). The animals had access to laboratory chow and drinking water </w:t>
      </w:r>
      <w:r w:rsidR="005C75F8" w:rsidRPr="00064CDF">
        <w:rPr>
          <w:rFonts w:ascii="Times New Roman" w:hAnsi="Times New Roman" w:cs="Times New Roman"/>
          <w:i/>
          <w:iCs/>
          <w:sz w:val="24"/>
          <w:szCs w:val="24"/>
        </w:rPr>
        <w:t>ad libitum</w:t>
      </w:r>
      <w:r w:rsidR="005C75F8" w:rsidRPr="00064CDF">
        <w:rPr>
          <w:rFonts w:ascii="Times New Roman" w:hAnsi="Times New Roman" w:cs="Times New Roman"/>
          <w:sz w:val="24"/>
          <w:szCs w:val="24"/>
        </w:rPr>
        <w:t>.</w:t>
      </w:r>
    </w:p>
    <w:p w14:paraId="54A5EFCB" w14:textId="09850D1E" w:rsidR="005C75F8" w:rsidRPr="00064CDF" w:rsidRDefault="005C75F8" w:rsidP="00F95101">
      <w:pPr>
        <w:spacing w:before="240" w:after="240" w:line="240" w:lineRule="auto"/>
        <w:jc w:val="both"/>
        <w:rPr>
          <w:rFonts w:ascii="Times New Roman" w:hAnsi="Times New Roman" w:cs="Times New Roman"/>
          <w:b/>
          <w:sz w:val="24"/>
          <w:szCs w:val="24"/>
        </w:rPr>
      </w:pPr>
      <w:r w:rsidRPr="00064CDF">
        <w:rPr>
          <w:rFonts w:ascii="Times New Roman" w:hAnsi="Times New Roman" w:cs="Times New Roman"/>
          <w:b/>
          <w:sz w:val="24"/>
          <w:szCs w:val="24"/>
        </w:rPr>
        <w:t>Methylparaben</w:t>
      </w:r>
    </w:p>
    <w:p w14:paraId="7CED27B8" w14:textId="77777777" w:rsidR="005C75F8" w:rsidRPr="00064CDF" w:rsidRDefault="005C75F8" w:rsidP="00F95101">
      <w:pPr>
        <w:spacing w:before="240" w:after="240" w:line="240" w:lineRule="auto"/>
        <w:jc w:val="both"/>
        <w:rPr>
          <w:rFonts w:ascii="Times New Roman" w:hAnsi="Times New Roman" w:cs="Times New Roman"/>
          <w:sz w:val="24"/>
          <w:szCs w:val="24"/>
        </w:rPr>
      </w:pPr>
      <w:r w:rsidRPr="00064CDF">
        <w:rPr>
          <w:rFonts w:ascii="Times New Roman" w:hAnsi="Times New Roman" w:cs="Times New Roman"/>
          <w:sz w:val="24"/>
          <w:szCs w:val="24"/>
        </w:rPr>
        <w:t xml:space="preserve">Methylparaben (CAS 99-76-3; EC 202-785-7), produced by Sharon Laboratories Limited, Israel, was obtained from </w:t>
      </w:r>
      <w:proofErr w:type="spellStart"/>
      <w:r w:rsidRPr="00064CDF">
        <w:rPr>
          <w:rFonts w:ascii="Times New Roman" w:hAnsi="Times New Roman" w:cs="Times New Roman"/>
          <w:sz w:val="24"/>
          <w:szCs w:val="24"/>
        </w:rPr>
        <w:t>Ejis</w:t>
      </w:r>
      <w:proofErr w:type="spellEnd"/>
      <w:r w:rsidRPr="00064CDF">
        <w:rPr>
          <w:rFonts w:ascii="Times New Roman" w:hAnsi="Times New Roman" w:cs="Times New Roman"/>
          <w:sz w:val="24"/>
          <w:szCs w:val="24"/>
        </w:rPr>
        <w:t xml:space="preserve"> Chemicals, number 3960, Ikorodu Road, </w:t>
      </w:r>
      <w:proofErr w:type="spellStart"/>
      <w:r w:rsidRPr="00064CDF">
        <w:rPr>
          <w:rFonts w:ascii="Times New Roman" w:hAnsi="Times New Roman" w:cs="Times New Roman"/>
          <w:sz w:val="24"/>
          <w:szCs w:val="24"/>
        </w:rPr>
        <w:t>Kosofe</w:t>
      </w:r>
      <w:proofErr w:type="spellEnd"/>
      <w:r w:rsidRPr="00064CDF">
        <w:rPr>
          <w:rFonts w:ascii="Times New Roman" w:hAnsi="Times New Roman" w:cs="Times New Roman"/>
          <w:sz w:val="24"/>
          <w:szCs w:val="24"/>
        </w:rPr>
        <w:t xml:space="preserve"> LGA, Lagos State, Nigeria.</w:t>
      </w:r>
    </w:p>
    <w:p w14:paraId="3119AA0B" w14:textId="77777777" w:rsidR="005C75F8" w:rsidRPr="00064CDF" w:rsidRDefault="005C75F8" w:rsidP="00F95101">
      <w:pPr>
        <w:spacing w:before="240" w:after="240" w:line="240" w:lineRule="auto"/>
        <w:jc w:val="both"/>
        <w:rPr>
          <w:rFonts w:ascii="Times New Roman" w:hAnsi="Times New Roman" w:cs="Times New Roman"/>
          <w:b/>
          <w:sz w:val="24"/>
          <w:szCs w:val="24"/>
        </w:rPr>
      </w:pPr>
      <w:r w:rsidRPr="00064CDF">
        <w:rPr>
          <w:rFonts w:ascii="Times New Roman" w:hAnsi="Times New Roman" w:cs="Times New Roman"/>
          <w:b/>
          <w:sz w:val="24"/>
          <w:szCs w:val="24"/>
        </w:rPr>
        <w:t>Baicalin</w:t>
      </w:r>
    </w:p>
    <w:p w14:paraId="409D2690" w14:textId="77777777" w:rsidR="005C75F8" w:rsidRPr="00064CDF" w:rsidRDefault="005C75F8" w:rsidP="00F95101">
      <w:pPr>
        <w:spacing w:before="240" w:after="240" w:line="240" w:lineRule="auto"/>
        <w:jc w:val="both"/>
        <w:rPr>
          <w:rFonts w:ascii="Times New Roman" w:hAnsi="Times New Roman" w:cs="Times New Roman"/>
          <w:sz w:val="24"/>
          <w:szCs w:val="24"/>
        </w:rPr>
      </w:pPr>
      <w:r w:rsidRPr="00064CDF">
        <w:rPr>
          <w:rFonts w:ascii="Times New Roman" w:hAnsi="Times New Roman" w:cs="Times New Roman"/>
          <w:sz w:val="24"/>
          <w:szCs w:val="24"/>
        </w:rPr>
        <w:t xml:space="preserve">Baicalin, produced by Botany Biosciences, USA, was obtained from </w:t>
      </w:r>
      <w:proofErr w:type="spellStart"/>
      <w:r w:rsidRPr="00064CDF">
        <w:rPr>
          <w:rFonts w:ascii="Times New Roman" w:hAnsi="Times New Roman" w:cs="Times New Roman"/>
          <w:sz w:val="24"/>
          <w:szCs w:val="24"/>
        </w:rPr>
        <w:t>Ossy</w:t>
      </w:r>
      <w:proofErr w:type="spellEnd"/>
      <w:r w:rsidRPr="00064CDF">
        <w:rPr>
          <w:rFonts w:ascii="Times New Roman" w:hAnsi="Times New Roman" w:cs="Times New Roman"/>
          <w:sz w:val="24"/>
          <w:szCs w:val="24"/>
        </w:rPr>
        <w:t xml:space="preserve"> Stores, Lagos State, Nigeria.</w:t>
      </w:r>
    </w:p>
    <w:p w14:paraId="67DD2F7D" w14:textId="77777777" w:rsidR="005C75F8" w:rsidRPr="00064CDF" w:rsidRDefault="005C75F8" w:rsidP="00F95101">
      <w:pPr>
        <w:spacing w:before="240" w:after="240" w:line="240" w:lineRule="auto"/>
        <w:jc w:val="both"/>
        <w:rPr>
          <w:rFonts w:ascii="Times New Roman" w:hAnsi="Times New Roman" w:cs="Times New Roman"/>
          <w:b/>
          <w:sz w:val="24"/>
          <w:szCs w:val="24"/>
        </w:rPr>
      </w:pPr>
      <w:r w:rsidRPr="00064CDF">
        <w:rPr>
          <w:rFonts w:ascii="Times New Roman" w:hAnsi="Times New Roman" w:cs="Times New Roman"/>
          <w:b/>
          <w:sz w:val="24"/>
          <w:szCs w:val="24"/>
        </w:rPr>
        <w:t>Animal Treatment</w:t>
      </w:r>
    </w:p>
    <w:p w14:paraId="2B73ABB3" w14:textId="77777777" w:rsidR="005C75F8" w:rsidRPr="00064CDF" w:rsidRDefault="005C75F8" w:rsidP="00F95101">
      <w:pPr>
        <w:pStyle w:val="ListParagraph"/>
        <w:numPr>
          <w:ilvl w:val="0"/>
          <w:numId w:val="1"/>
        </w:numPr>
        <w:spacing w:before="240"/>
        <w:ind w:left="0"/>
        <w:rPr>
          <w:rFonts w:ascii="Times New Roman" w:hAnsi="Times New Roman" w:cs="Times New Roman"/>
          <w:sz w:val="24"/>
          <w:szCs w:val="24"/>
        </w:rPr>
      </w:pPr>
      <w:r w:rsidRPr="00064CDF">
        <w:rPr>
          <w:rFonts w:ascii="Times New Roman" w:hAnsi="Times New Roman" w:cs="Times New Roman"/>
          <w:sz w:val="24"/>
          <w:szCs w:val="24"/>
        </w:rPr>
        <w:t xml:space="preserve">Group 1: (Normal control); 1ml/kg </w:t>
      </w:r>
      <w:proofErr w:type="spellStart"/>
      <w:r w:rsidRPr="00064CDF">
        <w:rPr>
          <w:rFonts w:ascii="Times New Roman" w:hAnsi="Times New Roman" w:cs="Times New Roman"/>
          <w:sz w:val="24"/>
          <w:szCs w:val="24"/>
        </w:rPr>
        <w:t>bw</w:t>
      </w:r>
      <w:proofErr w:type="spellEnd"/>
      <w:r w:rsidRPr="00064CDF">
        <w:rPr>
          <w:rFonts w:ascii="Times New Roman" w:hAnsi="Times New Roman" w:cs="Times New Roman"/>
          <w:sz w:val="24"/>
          <w:szCs w:val="24"/>
        </w:rPr>
        <w:t xml:space="preserve"> of distilled water</w:t>
      </w:r>
    </w:p>
    <w:p w14:paraId="0F8EAAFA" w14:textId="77777777" w:rsidR="005C75F8" w:rsidRPr="00064CDF" w:rsidRDefault="005C75F8" w:rsidP="00F95101">
      <w:pPr>
        <w:pStyle w:val="ListParagraph"/>
        <w:numPr>
          <w:ilvl w:val="0"/>
          <w:numId w:val="1"/>
        </w:numPr>
        <w:spacing w:before="240"/>
        <w:ind w:left="0"/>
        <w:rPr>
          <w:rFonts w:ascii="Times New Roman" w:hAnsi="Times New Roman" w:cs="Times New Roman"/>
          <w:sz w:val="24"/>
          <w:szCs w:val="24"/>
        </w:rPr>
      </w:pPr>
      <w:r w:rsidRPr="00064CDF">
        <w:rPr>
          <w:rFonts w:ascii="Times New Roman" w:hAnsi="Times New Roman" w:cs="Times New Roman"/>
          <w:sz w:val="24"/>
          <w:szCs w:val="24"/>
        </w:rPr>
        <w:t xml:space="preserve">Group 2: (Vehicle Control); 1ml/kg </w:t>
      </w:r>
      <w:proofErr w:type="spellStart"/>
      <w:r w:rsidRPr="00064CDF">
        <w:rPr>
          <w:rFonts w:ascii="Times New Roman" w:hAnsi="Times New Roman" w:cs="Times New Roman"/>
          <w:sz w:val="24"/>
          <w:szCs w:val="24"/>
        </w:rPr>
        <w:t>bw</w:t>
      </w:r>
      <w:proofErr w:type="spellEnd"/>
      <w:r w:rsidRPr="00064CDF">
        <w:rPr>
          <w:rFonts w:ascii="Times New Roman" w:hAnsi="Times New Roman" w:cs="Times New Roman"/>
          <w:sz w:val="24"/>
          <w:szCs w:val="24"/>
        </w:rPr>
        <w:t xml:space="preserve"> of peanut oil</w:t>
      </w:r>
    </w:p>
    <w:p w14:paraId="6F41EE17" w14:textId="77777777" w:rsidR="005C75F8" w:rsidRPr="00064CDF" w:rsidRDefault="005C75F8" w:rsidP="00F95101">
      <w:pPr>
        <w:pStyle w:val="ListParagraph"/>
        <w:numPr>
          <w:ilvl w:val="0"/>
          <w:numId w:val="1"/>
        </w:numPr>
        <w:spacing w:before="240"/>
        <w:ind w:left="0"/>
        <w:rPr>
          <w:rFonts w:ascii="Times New Roman" w:hAnsi="Times New Roman" w:cs="Times New Roman"/>
          <w:sz w:val="24"/>
          <w:szCs w:val="24"/>
        </w:rPr>
      </w:pPr>
      <w:r w:rsidRPr="00064CDF">
        <w:rPr>
          <w:rFonts w:ascii="Times New Roman" w:hAnsi="Times New Roman" w:cs="Times New Roman"/>
          <w:sz w:val="24"/>
          <w:szCs w:val="24"/>
        </w:rPr>
        <w:t>Group 3: 1000 mg/kg/</w:t>
      </w:r>
      <w:proofErr w:type="spellStart"/>
      <w:r w:rsidRPr="00064CDF">
        <w:rPr>
          <w:rFonts w:ascii="Times New Roman" w:hAnsi="Times New Roman" w:cs="Times New Roman"/>
          <w:sz w:val="24"/>
          <w:szCs w:val="24"/>
        </w:rPr>
        <w:t>bw</w:t>
      </w:r>
      <w:proofErr w:type="spellEnd"/>
      <w:r w:rsidRPr="00064CDF">
        <w:rPr>
          <w:rFonts w:ascii="Times New Roman" w:hAnsi="Times New Roman" w:cs="Times New Roman"/>
          <w:sz w:val="24"/>
          <w:szCs w:val="24"/>
        </w:rPr>
        <w:t xml:space="preserve"> of Methylparaben only (dissolved in peanut oil)</w:t>
      </w:r>
    </w:p>
    <w:p w14:paraId="4F57EE2D" w14:textId="77777777" w:rsidR="005C75F8" w:rsidRPr="00064CDF" w:rsidRDefault="005C75F8" w:rsidP="00F95101">
      <w:pPr>
        <w:pStyle w:val="ListParagraph"/>
        <w:numPr>
          <w:ilvl w:val="0"/>
          <w:numId w:val="1"/>
        </w:numPr>
        <w:spacing w:before="240"/>
        <w:ind w:left="0"/>
        <w:rPr>
          <w:rFonts w:ascii="Times New Roman" w:hAnsi="Times New Roman" w:cs="Times New Roman"/>
          <w:sz w:val="24"/>
          <w:szCs w:val="24"/>
        </w:rPr>
      </w:pPr>
      <w:r w:rsidRPr="00064CDF">
        <w:rPr>
          <w:rFonts w:ascii="Times New Roman" w:hAnsi="Times New Roman" w:cs="Times New Roman"/>
          <w:sz w:val="24"/>
          <w:szCs w:val="24"/>
        </w:rPr>
        <w:t>Group 4: (Low Dose Baicalin) Baicalin only 50mg/kg/</w:t>
      </w:r>
      <w:proofErr w:type="spellStart"/>
      <w:r w:rsidRPr="00064CDF">
        <w:rPr>
          <w:rFonts w:ascii="Times New Roman" w:hAnsi="Times New Roman" w:cs="Times New Roman"/>
          <w:sz w:val="24"/>
          <w:szCs w:val="24"/>
        </w:rPr>
        <w:t>bw</w:t>
      </w:r>
      <w:proofErr w:type="spellEnd"/>
    </w:p>
    <w:p w14:paraId="7B591E11" w14:textId="77777777" w:rsidR="005C75F8" w:rsidRPr="00064CDF" w:rsidRDefault="005C75F8" w:rsidP="00F95101">
      <w:pPr>
        <w:pStyle w:val="ListParagraph"/>
        <w:numPr>
          <w:ilvl w:val="0"/>
          <w:numId w:val="1"/>
        </w:numPr>
        <w:spacing w:before="240"/>
        <w:ind w:left="0"/>
        <w:rPr>
          <w:rFonts w:ascii="Times New Roman" w:hAnsi="Times New Roman" w:cs="Times New Roman"/>
          <w:sz w:val="24"/>
          <w:szCs w:val="24"/>
        </w:rPr>
      </w:pPr>
      <w:r w:rsidRPr="00064CDF">
        <w:rPr>
          <w:rFonts w:ascii="Times New Roman" w:hAnsi="Times New Roman" w:cs="Times New Roman"/>
          <w:sz w:val="24"/>
          <w:szCs w:val="24"/>
        </w:rPr>
        <w:t>Group 5: (Medium Dose Baicalin) Baicalin only100mg/kg/</w:t>
      </w:r>
      <w:proofErr w:type="spellStart"/>
      <w:r w:rsidRPr="00064CDF">
        <w:rPr>
          <w:rFonts w:ascii="Times New Roman" w:hAnsi="Times New Roman" w:cs="Times New Roman"/>
          <w:sz w:val="24"/>
          <w:szCs w:val="24"/>
        </w:rPr>
        <w:t>bw</w:t>
      </w:r>
      <w:proofErr w:type="spellEnd"/>
    </w:p>
    <w:p w14:paraId="24E37DB2" w14:textId="77777777" w:rsidR="005C75F8" w:rsidRPr="00064CDF" w:rsidRDefault="005C75F8" w:rsidP="00F95101">
      <w:pPr>
        <w:pStyle w:val="ListParagraph"/>
        <w:numPr>
          <w:ilvl w:val="0"/>
          <w:numId w:val="1"/>
        </w:numPr>
        <w:spacing w:before="240"/>
        <w:ind w:left="0"/>
        <w:rPr>
          <w:rFonts w:ascii="Times New Roman" w:hAnsi="Times New Roman" w:cs="Times New Roman"/>
          <w:sz w:val="24"/>
          <w:szCs w:val="24"/>
        </w:rPr>
      </w:pPr>
      <w:r w:rsidRPr="00064CDF">
        <w:rPr>
          <w:rFonts w:ascii="Times New Roman" w:hAnsi="Times New Roman" w:cs="Times New Roman"/>
          <w:sz w:val="24"/>
          <w:szCs w:val="24"/>
        </w:rPr>
        <w:t>Group 6: (High Dose Baicalin) Baicalin only 200mg/kg/</w:t>
      </w:r>
      <w:proofErr w:type="spellStart"/>
      <w:r w:rsidRPr="00064CDF">
        <w:rPr>
          <w:rFonts w:ascii="Times New Roman" w:hAnsi="Times New Roman" w:cs="Times New Roman"/>
          <w:sz w:val="24"/>
          <w:szCs w:val="24"/>
        </w:rPr>
        <w:t>bw</w:t>
      </w:r>
      <w:proofErr w:type="spellEnd"/>
    </w:p>
    <w:p w14:paraId="4659D188" w14:textId="77777777" w:rsidR="005C75F8" w:rsidRPr="00064CDF" w:rsidRDefault="005C75F8" w:rsidP="00F95101">
      <w:pPr>
        <w:pStyle w:val="ListParagraph"/>
        <w:numPr>
          <w:ilvl w:val="0"/>
          <w:numId w:val="1"/>
        </w:numPr>
        <w:spacing w:before="240"/>
        <w:ind w:left="0"/>
        <w:rPr>
          <w:rFonts w:ascii="Times New Roman" w:hAnsi="Times New Roman" w:cs="Times New Roman"/>
          <w:sz w:val="24"/>
          <w:szCs w:val="24"/>
        </w:rPr>
      </w:pPr>
      <w:r w:rsidRPr="00064CDF">
        <w:rPr>
          <w:rFonts w:ascii="Times New Roman" w:hAnsi="Times New Roman" w:cs="Times New Roman"/>
          <w:sz w:val="24"/>
          <w:szCs w:val="24"/>
        </w:rPr>
        <w:t>Group 7: Protective (Low Dose) Baicalin 50mg/kg/</w:t>
      </w:r>
      <w:proofErr w:type="spellStart"/>
      <w:r w:rsidRPr="00064CDF">
        <w:rPr>
          <w:rFonts w:ascii="Times New Roman" w:hAnsi="Times New Roman" w:cs="Times New Roman"/>
          <w:sz w:val="24"/>
          <w:szCs w:val="24"/>
        </w:rPr>
        <w:t>bw</w:t>
      </w:r>
      <w:proofErr w:type="spellEnd"/>
      <w:r w:rsidRPr="00064CDF">
        <w:rPr>
          <w:rFonts w:ascii="Times New Roman" w:hAnsi="Times New Roman" w:cs="Times New Roman"/>
          <w:sz w:val="24"/>
          <w:szCs w:val="24"/>
        </w:rPr>
        <w:t xml:space="preserve"> + Methylparaben 1000mg/kg/</w:t>
      </w:r>
      <w:proofErr w:type="spellStart"/>
      <w:r w:rsidRPr="00064CDF">
        <w:rPr>
          <w:rFonts w:ascii="Times New Roman" w:hAnsi="Times New Roman" w:cs="Times New Roman"/>
          <w:sz w:val="24"/>
          <w:szCs w:val="24"/>
        </w:rPr>
        <w:t>bw</w:t>
      </w:r>
      <w:proofErr w:type="spellEnd"/>
    </w:p>
    <w:p w14:paraId="7EC82D43" w14:textId="77777777" w:rsidR="005C75F8" w:rsidRPr="00064CDF" w:rsidRDefault="005C75F8" w:rsidP="00F95101">
      <w:pPr>
        <w:pStyle w:val="ListParagraph"/>
        <w:numPr>
          <w:ilvl w:val="0"/>
          <w:numId w:val="1"/>
        </w:numPr>
        <w:spacing w:before="240"/>
        <w:ind w:left="0"/>
        <w:rPr>
          <w:rFonts w:ascii="Times New Roman" w:hAnsi="Times New Roman" w:cs="Times New Roman"/>
          <w:sz w:val="24"/>
          <w:szCs w:val="24"/>
        </w:rPr>
      </w:pPr>
      <w:r w:rsidRPr="00064CDF">
        <w:rPr>
          <w:rFonts w:ascii="Times New Roman" w:hAnsi="Times New Roman" w:cs="Times New Roman"/>
          <w:sz w:val="24"/>
          <w:szCs w:val="24"/>
        </w:rPr>
        <w:t>Group 8: Protective (Medium Dose) Baicalin 100mg/kg/</w:t>
      </w:r>
      <w:proofErr w:type="spellStart"/>
      <w:r w:rsidRPr="00064CDF">
        <w:rPr>
          <w:rFonts w:ascii="Times New Roman" w:hAnsi="Times New Roman" w:cs="Times New Roman"/>
          <w:sz w:val="24"/>
          <w:szCs w:val="24"/>
        </w:rPr>
        <w:t>bw</w:t>
      </w:r>
      <w:proofErr w:type="spellEnd"/>
      <w:r w:rsidRPr="00064CDF">
        <w:rPr>
          <w:rFonts w:ascii="Times New Roman" w:hAnsi="Times New Roman" w:cs="Times New Roman"/>
          <w:sz w:val="24"/>
          <w:szCs w:val="24"/>
        </w:rPr>
        <w:t xml:space="preserve"> + Methylparaben 1000mg/kg/</w:t>
      </w:r>
      <w:proofErr w:type="spellStart"/>
      <w:r w:rsidRPr="00064CDF">
        <w:rPr>
          <w:rFonts w:ascii="Times New Roman" w:hAnsi="Times New Roman" w:cs="Times New Roman"/>
          <w:sz w:val="24"/>
          <w:szCs w:val="24"/>
        </w:rPr>
        <w:t>bw</w:t>
      </w:r>
      <w:proofErr w:type="spellEnd"/>
    </w:p>
    <w:p w14:paraId="607D61E4" w14:textId="77777777" w:rsidR="005C75F8" w:rsidRPr="00064CDF" w:rsidRDefault="005C75F8" w:rsidP="00F95101">
      <w:pPr>
        <w:pStyle w:val="ListParagraph"/>
        <w:numPr>
          <w:ilvl w:val="0"/>
          <w:numId w:val="1"/>
        </w:numPr>
        <w:spacing w:before="240"/>
        <w:ind w:left="0"/>
        <w:rPr>
          <w:rFonts w:ascii="Times New Roman" w:hAnsi="Times New Roman" w:cs="Times New Roman"/>
          <w:sz w:val="24"/>
          <w:szCs w:val="24"/>
        </w:rPr>
      </w:pPr>
      <w:r w:rsidRPr="00064CDF">
        <w:rPr>
          <w:rFonts w:ascii="Times New Roman" w:hAnsi="Times New Roman" w:cs="Times New Roman"/>
          <w:sz w:val="24"/>
          <w:szCs w:val="24"/>
        </w:rPr>
        <w:t>Group 9: Protective (High Dose) Baicalin 200mg/kg/</w:t>
      </w:r>
      <w:proofErr w:type="spellStart"/>
      <w:r w:rsidRPr="00064CDF">
        <w:rPr>
          <w:rFonts w:ascii="Times New Roman" w:hAnsi="Times New Roman" w:cs="Times New Roman"/>
          <w:sz w:val="24"/>
          <w:szCs w:val="24"/>
        </w:rPr>
        <w:t>bw</w:t>
      </w:r>
      <w:proofErr w:type="spellEnd"/>
      <w:r w:rsidRPr="00064CDF">
        <w:rPr>
          <w:rFonts w:ascii="Times New Roman" w:hAnsi="Times New Roman" w:cs="Times New Roman"/>
          <w:sz w:val="24"/>
          <w:szCs w:val="24"/>
        </w:rPr>
        <w:t xml:space="preserve"> + Methylparaben 1000mg/kg/</w:t>
      </w:r>
      <w:proofErr w:type="spellStart"/>
      <w:r w:rsidRPr="00064CDF">
        <w:rPr>
          <w:rFonts w:ascii="Times New Roman" w:hAnsi="Times New Roman" w:cs="Times New Roman"/>
          <w:sz w:val="24"/>
          <w:szCs w:val="24"/>
        </w:rPr>
        <w:t>bw</w:t>
      </w:r>
      <w:proofErr w:type="spellEnd"/>
    </w:p>
    <w:p w14:paraId="45216017" w14:textId="77777777" w:rsidR="005C75F8" w:rsidRPr="00064CDF" w:rsidRDefault="005C75F8" w:rsidP="00F95101">
      <w:pPr>
        <w:spacing w:before="240" w:after="240" w:line="240" w:lineRule="auto"/>
        <w:jc w:val="both"/>
        <w:rPr>
          <w:rFonts w:ascii="Times New Roman" w:hAnsi="Times New Roman" w:cs="Times New Roman"/>
          <w:sz w:val="24"/>
          <w:szCs w:val="24"/>
        </w:rPr>
      </w:pPr>
      <w:r w:rsidRPr="00064CDF">
        <w:rPr>
          <w:rFonts w:ascii="Times New Roman" w:hAnsi="Times New Roman" w:cs="Times New Roman"/>
          <w:sz w:val="24"/>
          <w:szCs w:val="24"/>
        </w:rPr>
        <w:t>All treatments were for twenty-eight days.</w:t>
      </w:r>
    </w:p>
    <w:p w14:paraId="2C701A4A" w14:textId="77777777" w:rsidR="005C75F8" w:rsidRPr="00064CDF" w:rsidRDefault="005C75F8" w:rsidP="00F95101">
      <w:pPr>
        <w:spacing w:before="240" w:after="240" w:line="240" w:lineRule="auto"/>
        <w:jc w:val="both"/>
        <w:rPr>
          <w:rFonts w:ascii="Times New Roman" w:hAnsi="Times New Roman" w:cs="Times New Roman"/>
          <w:sz w:val="24"/>
          <w:szCs w:val="24"/>
        </w:rPr>
      </w:pPr>
      <w:r w:rsidRPr="00064CDF">
        <w:rPr>
          <w:rFonts w:ascii="Times New Roman" w:hAnsi="Times New Roman" w:cs="Times New Roman"/>
          <w:sz w:val="24"/>
          <w:szCs w:val="24"/>
        </w:rPr>
        <w:t>All treatments were administered to the experimental animals via gastric gavage. Treatment was given once a day at 10.00 am.  At the conclusion of the experiment, the rats were sacrificed under ketamine anaesthetics. The abdominal cavity was opened up through a midline abdominal incision to expose the reproductive organs. The testis and epididymis were dissected out of each rat, cleared of fat, and weighed separately.</w:t>
      </w:r>
    </w:p>
    <w:p w14:paraId="36E8988B" w14:textId="77777777" w:rsidR="001B30A0" w:rsidRPr="001B30A0" w:rsidRDefault="001B30A0" w:rsidP="00F95101">
      <w:pPr>
        <w:spacing w:before="240" w:after="240" w:line="240" w:lineRule="auto"/>
        <w:jc w:val="both"/>
        <w:rPr>
          <w:rFonts w:ascii="Times New Roman" w:hAnsi="Times New Roman" w:cs="Times New Roman"/>
          <w:b/>
          <w:bCs/>
          <w:sz w:val="24"/>
          <w:szCs w:val="24"/>
        </w:rPr>
      </w:pPr>
      <w:r w:rsidRPr="001B30A0">
        <w:rPr>
          <w:rFonts w:ascii="Times New Roman" w:hAnsi="Times New Roman" w:cs="Times New Roman"/>
          <w:b/>
          <w:bCs/>
          <w:sz w:val="24"/>
          <w:szCs w:val="24"/>
        </w:rPr>
        <w:t>Ethical Approval</w:t>
      </w:r>
    </w:p>
    <w:p w14:paraId="63AD4ABE" w14:textId="313B1759" w:rsidR="005C75F8" w:rsidRPr="00064CDF" w:rsidRDefault="001B30A0" w:rsidP="00F95101">
      <w:pPr>
        <w:spacing w:before="240" w:after="240" w:line="240" w:lineRule="auto"/>
        <w:jc w:val="both"/>
        <w:rPr>
          <w:rFonts w:ascii="Times New Roman" w:hAnsi="Times New Roman" w:cs="Times New Roman"/>
          <w:sz w:val="24"/>
          <w:szCs w:val="24"/>
        </w:rPr>
      </w:pPr>
      <w:r w:rsidRPr="00064CDF">
        <w:rPr>
          <w:rFonts w:ascii="Times New Roman" w:hAnsi="Times New Roman" w:cs="Times New Roman"/>
          <w:sz w:val="24"/>
          <w:szCs w:val="24"/>
        </w:rPr>
        <w:t xml:space="preserve">Ethical approval for this study was obtained from the Research Ethical Committee of the College of Medicine, University of Nigeria, Enugu. The study was approved under protocol number NHREC/05/01/200BB-FWA000245B-1RB00002323. All experimental protocols were conducted in strict compliance with standard institutional and international guidelines for the care and use of laboratory animals. </w:t>
      </w:r>
    </w:p>
    <w:p w14:paraId="0A194E44" w14:textId="77777777" w:rsidR="005C75F8" w:rsidRPr="00064CDF" w:rsidRDefault="005C75F8" w:rsidP="00F95101">
      <w:pPr>
        <w:spacing w:before="240" w:after="240" w:line="240" w:lineRule="auto"/>
        <w:jc w:val="both"/>
        <w:rPr>
          <w:rFonts w:ascii="Times New Roman" w:hAnsi="Times New Roman" w:cs="Times New Roman"/>
          <w:b/>
          <w:sz w:val="24"/>
          <w:szCs w:val="24"/>
        </w:rPr>
      </w:pPr>
      <w:r w:rsidRPr="00064CDF">
        <w:rPr>
          <w:rFonts w:ascii="Times New Roman" w:hAnsi="Times New Roman" w:cs="Times New Roman"/>
          <w:b/>
          <w:sz w:val="24"/>
          <w:szCs w:val="24"/>
        </w:rPr>
        <w:t>Determination of Epididymal Sperm Parameters</w:t>
      </w:r>
    </w:p>
    <w:p w14:paraId="138B6745" w14:textId="5C9CD025" w:rsidR="00726687" w:rsidRPr="00064CDF" w:rsidRDefault="00726687" w:rsidP="00F95101">
      <w:pPr>
        <w:spacing w:before="240" w:after="240" w:line="240" w:lineRule="auto"/>
        <w:jc w:val="both"/>
        <w:rPr>
          <w:rFonts w:ascii="Times New Roman" w:hAnsi="Times New Roman" w:cs="Times New Roman"/>
          <w:bCs/>
          <w:sz w:val="24"/>
          <w:szCs w:val="24"/>
        </w:rPr>
      </w:pPr>
      <w:r w:rsidRPr="00064CDF">
        <w:rPr>
          <w:rFonts w:ascii="Times New Roman" w:hAnsi="Times New Roman" w:cs="Times New Roman"/>
          <w:bCs/>
          <w:sz w:val="24"/>
          <w:szCs w:val="24"/>
        </w:rPr>
        <w:t>To eliminate investigator bias, all microscopic evaluations – including sperm progressive motility, concentration counting, and morphological assessments – were performed in a blinded manner. Sliders and samples were coded by an independent individual so that the observer remained unaware of the specific experimental group treatment during evaluation.</w:t>
      </w:r>
    </w:p>
    <w:p w14:paraId="07DC481F" w14:textId="71062376" w:rsidR="005C75F8" w:rsidRPr="00064CDF" w:rsidRDefault="005C75F8" w:rsidP="00F95101">
      <w:pPr>
        <w:spacing w:before="240" w:after="240" w:line="240" w:lineRule="auto"/>
        <w:jc w:val="both"/>
        <w:rPr>
          <w:rFonts w:ascii="Times New Roman" w:hAnsi="Times New Roman" w:cs="Times New Roman"/>
          <w:b/>
          <w:sz w:val="24"/>
          <w:szCs w:val="24"/>
        </w:rPr>
      </w:pPr>
      <w:r w:rsidRPr="00064CDF">
        <w:rPr>
          <w:rFonts w:ascii="Times New Roman" w:hAnsi="Times New Roman" w:cs="Times New Roman"/>
          <w:b/>
          <w:sz w:val="24"/>
          <w:szCs w:val="24"/>
        </w:rPr>
        <w:t>Sperm Progressive Motility</w:t>
      </w:r>
    </w:p>
    <w:p w14:paraId="28C77054" w14:textId="2D65DDDC" w:rsidR="005C75F8" w:rsidRPr="00064CDF" w:rsidRDefault="005C75F8" w:rsidP="00F95101">
      <w:pPr>
        <w:spacing w:before="240" w:after="240" w:line="240" w:lineRule="auto"/>
        <w:jc w:val="both"/>
        <w:rPr>
          <w:rFonts w:ascii="Times New Roman" w:hAnsi="Times New Roman" w:cs="Times New Roman"/>
          <w:sz w:val="24"/>
          <w:szCs w:val="24"/>
        </w:rPr>
      </w:pPr>
      <w:r w:rsidRPr="00064CDF">
        <w:rPr>
          <w:rFonts w:ascii="Times New Roman" w:hAnsi="Times New Roman" w:cs="Times New Roman"/>
          <w:sz w:val="24"/>
          <w:szCs w:val="24"/>
        </w:rPr>
        <w:lastRenderedPageBreak/>
        <w:t xml:space="preserve">This was evaluated by an earlier method by </w:t>
      </w:r>
      <w:r w:rsidR="0011010E">
        <w:rPr>
          <w:rFonts w:ascii="Times New Roman" w:hAnsi="Times New Roman" w:cs="Times New Roman"/>
          <w:sz w:val="24"/>
          <w:szCs w:val="24"/>
        </w:rPr>
        <w:t>[17].</w:t>
      </w:r>
      <w:r w:rsidRPr="00064CDF">
        <w:rPr>
          <w:rFonts w:ascii="Times New Roman" w:hAnsi="Times New Roman" w:cs="Times New Roman"/>
          <w:sz w:val="24"/>
          <w:szCs w:val="24"/>
        </w:rPr>
        <w:t xml:space="preserve"> The left caudal epididymis was minced in 5ml of physiologic saline to liberate the spermatozoa. The fluid was taken with a pipette and diluted to 0.5mL with Tris buffer solution (pH 7.5). A slide was placed on a light microscope with heater table. The microscopic was scanned systematically and each spermatozoon encountered was assessed and for the purpose of the first part of the assessment, motility was classified as either motile or non-motile and percentage motility was evaluated visually at a magnification of x400. Motility estimates were performed from three different fields in each sample. The mean of the three estimations was used as the final motility score. Samples for motility estimation were incubated at 35</w:t>
      </w:r>
      <w:r w:rsidRPr="00064CDF">
        <w:rPr>
          <w:rFonts w:ascii="Times New Roman" w:hAnsi="Times New Roman" w:cs="Times New Roman"/>
          <w:sz w:val="24"/>
          <w:szCs w:val="24"/>
          <w:vertAlign w:val="superscript"/>
        </w:rPr>
        <w:t>o</w:t>
      </w:r>
      <w:r w:rsidRPr="00064CDF">
        <w:rPr>
          <w:rFonts w:ascii="Times New Roman" w:hAnsi="Times New Roman" w:cs="Times New Roman"/>
          <w:sz w:val="24"/>
          <w:szCs w:val="24"/>
        </w:rPr>
        <w:t>C. Furthermore, motile spermatozoa were classified as either rapid linear progressive or sluggish non-linear motile.</w:t>
      </w:r>
    </w:p>
    <w:p w14:paraId="062D20A9" w14:textId="77777777" w:rsidR="005C75F8" w:rsidRPr="00064CDF" w:rsidRDefault="005C75F8" w:rsidP="00F95101">
      <w:pPr>
        <w:spacing w:before="240" w:after="240" w:line="240" w:lineRule="auto"/>
        <w:jc w:val="both"/>
        <w:rPr>
          <w:rFonts w:ascii="Times New Roman" w:hAnsi="Times New Roman" w:cs="Times New Roman"/>
          <w:b/>
          <w:sz w:val="24"/>
          <w:szCs w:val="24"/>
        </w:rPr>
      </w:pPr>
      <w:r w:rsidRPr="00064CDF">
        <w:rPr>
          <w:rFonts w:ascii="Times New Roman" w:hAnsi="Times New Roman" w:cs="Times New Roman"/>
          <w:b/>
          <w:sz w:val="24"/>
          <w:szCs w:val="24"/>
        </w:rPr>
        <w:t>Epididymal Spermatozoa Concentration</w:t>
      </w:r>
    </w:p>
    <w:p w14:paraId="22F44CD8" w14:textId="4327FDC3" w:rsidR="009E4F61" w:rsidRPr="00064CDF" w:rsidRDefault="005C75F8" w:rsidP="00F95101">
      <w:pPr>
        <w:spacing w:before="240" w:after="240" w:line="240" w:lineRule="auto"/>
        <w:jc w:val="both"/>
        <w:rPr>
          <w:rFonts w:ascii="Times New Roman" w:hAnsi="Times New Roman" w:cs="Times New Roman"/>
          <w:sz w:val="24"/>
          <w:szCs w:val="24"/>
        </w:rPr>
      </w:pPr>
      <w:r w:rsidRPr="00064CDF">
        <w:rPr>
          <w:rFonts w:ascii="Times New Roman" w:hAnsi="Times New Roman" w:cs="Times New Roman"/>
          <w:sz w:val="24"/>
          <w:szCs w:val="24"/>
        </w:rPr>
        <w:t xml:space="preserve">Spermatozoa in the right epididymis were counted by a modified method of </w:t>
      </w:r>
      <w:r w:rsidR="0011010E">
        <w:rPr>
          <w:rFonts w:ascii="Times New Roman" w:hAnsi="Times New Roman" w:cs="Times New Roman"/>
          <w:sz w:val="24"/>
          <w:szCs w:val="24"/>
        </w:rPr>
        <w:t>[18]</w:t>
      </w:r>
      <w:r w:rsidRPr="00064CDF">
        <w:rPr>
          <w:rFonts w:ascii="Times New Roman" w:hAnsi="Times New Roman" w:cs="Times New Roman"/>
          <w:sz w:val="24"/>
          <w:szCs w:val="24"/>
        </w:rPr>
        <w:t>. Briefly, the epididymis was minced with anatomical scissors in 5</w:t>
      </w:r>
      <w:r w:rsidR="007E1054" w:rsidRPr="00064CDF">
        <w:rPr>
          <w:rFonts w:ascii="Times New Roman" w:hAnsi="Times New Roman" w:cs="Times New Roman"/>
          <w:sz w:val="24"/>
          <w:szCs w:val="24"/>
        </w:rPr>
        <w:t xml:space="preserve"> m</w:t>
      </w:r>
      <w:r w:rsidRPr="00064CDF">
        <w:rPr>
          <w:rFonts w:ascii="Times New Roman" w:hAnsi="Times New Roman" w:cs="Times New Roman"/>
          <w:sz w:val="24"/>
          <w:szCs w:val="24"/>
        </w:rPr>
        <w:t xml:space="preserve">L physiologic saline, placed in a rocker for 10 minutes, and allowed to incubate at room temperature for 2 minutes. After incubation, the supernatant fluid was diluted 1:100 with a solution containing 5g sodium bicarbonate and 1 mL formalin (35%). Total sperm number was determined by using the new improved </w:t>
      </w:r>
      <w:proofErr w:type="spellStart"/>
      <w:r w:rsidRPr="00064CDF">
        <w:rPr>
          <w:rFonts w:ascii="Times New Roman" w:hAnsi="Times New Roman" w:cs="Times New Roman"/>
          <w:sz w:val="24"/>
          <w:szCs w:val="24"/>
        </w:rPr>
        <w:t>Neubeur’s</w:t>
      </w:r>
      <w:proofErr w:type="spellEnd"/>
      <w:r w:rsidRPr="00064CDF">
        <w:rPr>
          <w:rFonts w:ascii="Times New Roman" w:hAnsi="Times New Roman" w:cs="Times New Roman"/>
          <w:sz w:val="24"/>
          <w:szCs w:val="24"/>
        </w:rPr>
        <w:t xml:space="preserve"> counting chamber (haemocytometer). Approximately 10 </w:t>
      </w:r>
      <w:proofErr w:type="spellStart"/>
      <w:r w:rsidRPr="00064CDF">
        <w:rPr>
          <w:rFonts w:ascii="Times New Roman" w:hAnsi="Times New Roman" w:cs="Times New Roman"/>
          <w:sz w:val="24"/>
          <w:szCs w:val="24"/>
        </w:rPr>
        <w:t>uL</w:t>
      </w:r>
      <w:proofErr w:type="spellEnd"/>
      <w:r w:rsidRPr="00064CDF">
        <w:rPr>
          <w:rFonts w:ascii="Times New Roman" w:hAnsi="Times New Roman" w:cs="Times New Roman"/>
          <w:sz w:val="24"/>
          <w:szCs w:val="24"/>
        </w:rPr>
        <w:t xml:space="preserve"> of the diluted sperm suspension was transferred to each counting chamber of the haemocytometer and was allowed to stand for 5 minutes. </w:t>
      </w:r>
      <w:r w:rsidR="009E4F61" w:rsidRPr="00064CDF">
        <w:rPr>
          <w:rFonts w:ascii="Times New Roman" w:hAnsi="Times New Roman" w:cs="Times New Roman"/>
          <w:sz w:val="24"/>
          <w:szCs w:val="24"/>
        </w:rPr>
        <w:t>The ruled part of the chamber was focused, and the number of spermatozoa was counted across five large 16-celled squares. The final epididymal sperm concentration (expressed as cells x 10</w:t>
      </w:r>
      <w:r w:rsidR="009E4F61" w:rsidRPr="00064CDF">
        <w:rPr>
          <w:rFonts w:ascii="Times New Roman" w:hAnsi="Times New Roman" w:cs="Times New Roman"/>
          <w:sz w:val="24"/>
          <w:szCs w:val="24"/>
          <w:vertAlign w:val="superscript"/>
        </w:rPr>
        <w:t>6</w:t>
      </w:r>
      <w:r w:rsidR="009E4F61" w:rsidRPr="00064CDF">
        <w:rPr>
          <w:rFonts w:ascii="Times New Roman" w:hAnsi="Times New Roman" w:cs="Times New Roman"/>
          <w:sz w:val="24"/>
          <w:szCs w:val="24"/>
        </w:rPr>
        <w:t>ml) was calculated using the standard h</w:t>
      </w:r>
      <w:r w:rsidR="00FE2BD3" w:rsidRPr="00064CDF">
        <w:rPr>
          <w:rFonts w:ascii="Times New Roman" w:hAnsi="Times New Roman" w:cs="Times New Roman"/>
          <w:sz w:val="24"/>
          <w:szCs w:val="24"/>
        </w:rPr>
        <w:t>a</w:t>
      </w:r>
      <w:r w:rsidR="009E4F61" w:rsidRPr="00064CDF">
        <w:rPr>
          <w:rFonts w:ascii="Times New Roman" w:hAnsi="Times New Roman" w:cs="Times New Roman"/>
          <w:sz w:val="24"/>
          <w:szCs w:val="24"/>
        </w:rPr>
        <w:t xml:space="preserve">emocytometer formula: </w:t>
      </w:r>
    </w:p>
    <w:p w14:paraId="12746794" w14:textId="0C492E04" w:rsidR="005F5D73" w:rsidRPr="00064CDF" w:rsidRDefault="005F5D73" w:rsidP="00F95101">
      <w:pPr>
        <w:spacing w:before="240" w:after="240" w:line="240" w:lineRule="auto"/>
        <w:jc w:val="both"/>
        <w:rPr>
          <w:rFonts w:ascii="Times New Roman" w:hAnsi="Times New Roman" w:cs="Times New Roman"/>
          <w:sz w:val="24"/>
          <w:szCs w:val="24"/>
        </w:rPr>
      </w:pPr>
      <w:r w:rsidRPr="00064CDF">
        <w:rPr>
          <w:rFonts w:ascii="Times New Roman" w:hAnsi="Times New Roman" w:cs="Times New Roman"/>
          <w:sz w:val="24"/>
          <w:szCs w:val="24"/>
        </w:rPr>
        <w:t>Sperm Concentration (cells/mL) = [Total Sperm Counted ([X]) / Number of Squares Counted] × [ 1 / (Volume of One Square × Dilution Factor) ]</w:t>
      </w:r>
    </w:p>
    <w:p w14:paraId="51D0A9BB" w14:textId="4F4580B8" w:rsidR="009E4F61" w:rsidRPr="00064CDF" w:rsidRDefault="009E4F61" w:rsidP="00F95101">
      <w:pPr>
        <w:spacing w:before="240" w:after="240" w:line="240" w:lineRule="auto"/>
        <w:jc w:val="both"/>
        <w:rPr>
          <w:rFonts w:ascii="Times New Roman" w:hAnsi="Times New Roman" w:cs="Times New Roman"/>
          <w:sz w:val="24"/>
          <w:szCs w:val="24"/>
        </w:rPr>
      </w:pPr>
      <w:r w:rsidRPr="009E4F61">
        <w:rPr>
          <w:rFonts w:ascii="Times New Roman" w:hAnsi="Times New Roman" w:cs="Times New Roman"/>
          <w:sz w:val="24"/>
          <w:szCs w:val="24"/>
        </w:rPr>
        <w:t>Where the number of squares counted was 5, the volume of one large square was 0.1 mm</w:t>
      </w:r>
      <w:r w:rsidRPr="009E4F61">
        <w:rPr>
          <w:rFonts w:ascii="Times New Roman" w:hAnsi="Times New Roman" w:cs="Times New Roman"/>
          <w:sz w:val="24"/>
          <w:szCs w:val="24"/>
          <w:vertAlign w:val="superscript"/>
        </w:rPr>
        <w:t>3</w:t>
      </w:r>
      <w:r w:rsidRPr="009E4F61">
        <w:rPr>
          <w:rFonts w:ascii="Times New Roman" w:hAnsi="Times New Roman" w:cs="Times New Roman"/>
          <w:sz w:val="24"/>
          <w:szCs w:val="24"/>
        </w:rPr>
        <w:t xml:space="preserve"> (equivalent to 10</w:t>
      </w:r>
      <w:r w:rsidRPr="009E4F61">
        <w:rPr>
          <w:rFonts w:ascii="Times New Roman" w:hAnsi="Times New Roman" w:cs="Times New Roman"/>
          <w:sz w:val="24"/>
          <w:szCs w:val="24"/>
          <w:vertAlign w:val="superscript"/>
        </w:rPr>
        <w:t>-4</w:t>
      </w:r>
      <w:r w:rsidRPr="009E4F61">
        <w:rPr>
          <w:rFonts w:ascii="Times New Roman" w:hAnsi="Times New Roman" w:cs="Times New Roman"/>
          <w:sz w:val="24"/>
          <w:szCs w:val="24"/>
        </w:rPr>
        <w:t>mL), and the sample dilution factor was 100. This simplifies mathematically to yield the final concentration value.</w:t>
      </w:r>
    </w:p>
    <w:p w14:paraId="538BD81C" w14:textId="0E59D792" w:rsidR="004F1DF8" w:rsidRPr="001B30A0" w:rsidRDefault="005C75F8" w:rsidP="00F95101">
      <w:pPr>
        <w:spacing w:before="240" w:after="240" w:line="240" w:lineRule="auto"/>
        <w:jc w:val="both"/>
        <w:rPr>
          <w:rFonts w:ascii="Times New Roman" w:hAnsi="Times New Roman" w:cs="Times New Roman"/>
          <w:sz w:val="24"/>
          <w:szCs w:val="24"/>
        </w:rPr>
      </w:pPr>
      <w:r w:rsidRPr="00064CDF">
        <w:rPr>
          <w:rFonts w:ascii="Times New Roman" w:hAnsi="Times New Roman" w:cs="Times New Roman"/>
          <w:sz w:val="24"/>
          <w:szCs w:val="24"/>
        </w:rPr>
        <w:t>This chamber was then placed under a binocular light microscope using an adjustable light source. The ruled part of the chamber was focused and the number of spermatozoa counted in five 16-celled squares. The sperm concentration was the calculated multiplied by 5 and expressed as [X] x 10</w:t>
      </w:r>
      <w:r w:rsidRPr="00064CDF">
        <w:rPr>
          <w:rFonts w:ascii="Times New Roman" w:hAnsi="Times New Roman" w:cs="Times New Roman"/>
          <w:sz w:val="24"/>
          <w:szCs w:val="24"/>
          <w:vertAlign w:val="superscript"/>
        </w:rPr>
        <w:t>6</w:t>
      </w:r>
      <w:r w:rsidRPr="00064CDF">
        <w:rPr>
          <w:rFonts w:ascii="Times New Roman" w:hAnsi="Times New Roman" w:cs="Times New Roman"/>
          <w:sz w:val="24"/>
          <w:szCs w:val="24"/>
        </w:rPr>
        <w:t>/ml, where [X] is the number of spermatozoa in a 16-celled square.</w:t>
      </w:r>
    </w:p>
    <w:p w14:paraId="2424CAE3" w14:textId="02A6C979" w:rsidR="005C75F8" w:rsidRPr="00064CDF" w:rsidRDefault="005C75F8" w:rsidP="00F95101">
      <w:pPr>
        <w:spacing w:before="240" w:after="240" w:line="240" w:lineRule="auto"/>
        <w:jc w:val="both"/>
        <w:rPr>
          <w:rFonts w:ascii="Times New Roman" w:hAnsi="Times New Roman" w:cs="Times New Roman"/>
          <w:b/>
          <w:sz w:val="24"/>
          <w:szCs w:val="24"/>
        </w:rPr>
      </w:pPr>
      <w:r w:rsidRPr="00064CDF">
        <w:rPr>
          <w:rFonts w:ascii="Times New Roman" w:hAnsi="Times New Roman" w:cs="Times New Roman"/>
          <w:b/>
          <w:sz w:val="24"/>
          <w:szCs w:val="24"/>
        </w:rPr>
        <w:t>Normal And Abnormal Sperm Morphology</w:t>
      </w:r>
    </w:p>
    <w:p w14:paraId="32883631" w14:textId="3B858D03" w:rsidR="005C75F8" w:rsidRPr="00064CDF" w:rsidRDefault="005C75F8" w:rsidP="00F95101">
      <w:pPr>
        <w:spacing w:before="240" w:after="240" w:line="240" w:lineRule="auto"/>
        <w:jc w:val="both"/>
        <w:rPr>
          <w:rFonts w:ascii="Times New Roman" w:hAnsi="Times New Roman" w:cs="Times New Roman"/>
          <w:sz w:val="24"/>
          <w:szCs w:val="24"/>
        </w:rPr>
      </w:pPr>
      <w:r w:rsidRPr="00064CDF">
        <w:rPr>
          <w:rFonts w:ascii="Times New Roman" w:hAnsi="Times New Roman" w:cs="Times New Roman"/>
          <w:sz w:val="24"/>
          <w:szCs w:val="24"/>
        </w:rPr>
        <w:t xml:space="preserve">The sperm cells were evaluated with the aid of a light microscope at x40 magnification. Caudal sperm was taken from the original dilution for motility and diluted 1:20 with 10% neutral buffered formalin (Sigma Aldrich, Oakville, ON, Canada). Five hundred sperm from each sample were scored for morphological abnormalities </w:t>
      </w:r>
      <w:r w:rsidR="006422F8">
        <w:rPr>
          <w:rFonts w:ascii="Times New Roman" w:hAnsi="Times New Roman" w:cs="Times New Roman"/>
          <w:sz w:val="24"/>
          <w:szCs w:val="24"/>
        </w:rPr>
        <w:t>[19].</w:t>
      </w:r>
      <w:r w:rsidRPr="00064CDF">
        <w:rPr>
          <w:rFonts w:ascii="Times New Roman" w:hAnsi="Times New Roman" w:cs="Times New Roman"/>
          <w:sz w:val="24"/>
          <w:szCs w:val="24"/>
        </w:rPr>
        <w:t xml:space="preserve"> Briefly, in wet preparations using phase-contrast optics, spermatozoa were categorized. In this study a spermatozoon was considered abnormal morphologically if it had one or more of the following features: rudimentary tail, round head and detached head and will be expressed as a percentage of morphologically normal sperm.</w:t>
      </w:r>
    </w:p>
    <w:p w14:paraId="6935AB6B" w14:textId="77777777" w:rsidR="005C75F8" w:rsidRPr="00064CDF" w:rsidRDefault="005C75F8" w:rsidP="00F95101">
      <w:pPr>
        <w:spacing w:before="240" w:after="240" w:line="240" w:lineRule="auto"/>
        <w:jc w:val="both"/>
        <w:rPr>
          <w:rFonts w:ascii="Times New Roman" w:hAnsi="Times New Roman" w:cs="Times New Roman"/>
          <w:b/>
          <w:sz w:val="24"/>
          <w:szCs w:val="24"/>
        </w:rPr>
      </w:pPr>
      <w:r w:rsidRPr="00064CDF">
        <w:rPr>
          <w:rFonts w:ascii="Times New Roman" w:hAnsi="Times New Roman" w:cs="Times New Roman"/>
          <w:b/>
          <w:sz w:val="24"/>
          <w:szCs w:val="24"/>
        </w:rPr>
        <w:t>Statistical Analysis</w:t>
      </w:r>
    </w:p>
    <w:p w14:paraId="4C56FBE7" w14:textId="36EE8A02" w:rsidR="003E6F47" w:rsidRPr="004F1DF8" w:rsidRDefault="005C75F8" w:rsidP="00F95101">
      <w:pPr>
        <w:spacing w:before="240" w:after="240" w:line="240" w:lineRule="auto"/>
        <w:jc w:val="both"/>
        <w:rPr>
          <w:rFonts w:ascii="Times New Roman" w:hAnsi="Times New Roman" w:cs="Times New Roman"/>
          <w:sz w:val="24"/>
          <w:szCs w:val="24"/>
        </w:rPr>
      </w:pPr>
      <w:r w:rsidRPr="00064CDF">
        <w:rPr>
          <w:rFonts w:ascii="Times New Roman" w:hAnsi="Times New Roman" w:cs="Times New Roman"/>
          <w:sz w:val="24"/>
          <w:szCs w:val="24"/>
        </w:rPr>
        <w:t xml:space="preserve">All quantitative data was </w:t>
      </w:r>
      <w:proofErr w:type="spellStart"/>
      <w:r w:rsidRPr="00064CDF">
        <w:rPr>
          <w:rFonts w:ascii="Times New Roman" w:hAnsi="Times New Roman" w:cs="Times New Roman"/>
          <w:sz w:val="24"/>
          <w:szCs w:val="24"/>
        </w:rPr>
        <w:t>analyzed</w:t>
      </w:r>
      <w:proofErr w:type="spellEnd"/>
      <w:r w:rsidRPr="00064CDF">
        <w:rPr>
          <w:rFonts w:ascii="Times New Roman" w:hAnsi="Times New Roman" w:cs="Times New Roman"/>
          <w:sz w:val="24"/>
          <w:szCs w:val="24"/>
        </w:rPr>
        <w:t xml:space="preserve"> using GenStat software for Windows (Release 17.1). One-way analysis of variance (ANOVA) was used to compare the mean differences. P-value less than 0.05 (p&lt;0.05) was considered to be statistically significant. Duncan’s New Multiple Range Test (DNMRT) was conducted for any of the tests that was found to be significantly different across the tables. </w:t>
      </w:r>
    </w:p>
    <w:p w14:paraId="0FD35AED" w14:textId="37CC442A" w:rsidR="005C75F8" w:rsidRPr="001B30A0" w:rsidRDefault="004F1DF8" w:rsidP="00F95101">
      <w:pPr>
        <w:spacing w:before="240" w:after="240" w:line="240" w:lineRule="auto"/>
        <w:jc w:val="both"/>
        <w:rPr>
          <w:rFonts w:ascii="Times New Roman" w:hAnsi="Times New Roman" w:cs="Times New Roman"/>
          <w:b/>
          <w:bCs/>
          <w:sz w:val="28"/>
          <w:szCs w:val="28"/>
          <w:lang w:val="en-US"/>
        </w:rPr>
      </w:pPr>
      <w:r w:rsidRPr="001B30A0">
        <w:rPr>
          <w:rFonts w:ascii="Times New Roman" w:hAnsi="Times New Roman" w:cs="Times New Roman"/>
          <w:b/>
          <w:bCs/>
          <w:sz w:val="28"/>
          <w:szCs w:val="28"/>
          <w:lang w:val="en-US"/>
        </w:rPr>
        <w:t>RESULTS</w:t>
      </w:r>
    </w:p>
    <w:p w14:paraId="3A53FCE8" w14:textId="77777777" w:rsidR="005C75F8" w:rsidRPr="00064CDF" w:rsidRDefault="005C75F8" w:rsidP="00F95101">
      <w:pPr>
        <w:spacing w:before="240" w:after="240" w:line="240" w:lineRule="auto"/>
        <w:jc w:val="both"/>
        <w:rPr>
          <w:rFonts w:ascii="Times New Roman" w:hAnsi="Times New Roman" w:cs="Times New Roman"/>
          <w:b/>
          <w:bCs/>
          <w:sz w:val="24"/>
          <w:szCs w:val="24"/>
          <w:lang w:val="en-US"/>
        </w:rPr>
      </w:pPr>
      <w:r w:rsidRPr="00064CDF">
        <w:rPr>
          <w:rFonts w:ascii="Times New Roman" w:hAnsi="Times New Roman" w:cs="Times New Roman"/>
          <w:b/>
          <w:bCs/>
          <w:sz w:val="24"/>
          <w:szCs w:val="24"/>
          <w:lang w:val="en-US"/>
        </w:rPr>
        <w:t>Sperm Parameters</w:t>
      </w:r>
    </w:p>
    <w:p w14:paraId="431A1CB5" w14:textId="77777777" w:rsidR="005C75F8" w:rsidRPr="00064CDF" w:rsidRDefault="005C75F8" w:rsidP="00F95101">
      <w:pPr>
        <w:spacing w:before="240" w:after="240" w:line="240" w:lineRule="auto"/>
        <w:jc w:val="both"/>
        <w:rPr>
          <w:rFonts w:ascii="Times New Roman" w:hAnsi="Times New Roman" w:cs="Times New Roman"/>
          <w:b/>
          <w:bCs/>
          <w:sz w:val="24"/>
          <w:szCs w:val="24"/>
          <w:lang w:val="en-US"/>
        </w:rPr>
      </w:pPr>
      <w:r w:rsidRPr="00064CDF">
        <w:rPr>
          <w:rFonts w:ascii="Times New Roman" w:hAnsi="Times New Roman" w:cs="Times New Roman"/>
          <w:b/>
          <w:bCs/>
          <w:sz w:val="24"/>
          <w:szCs w:val="24"/>
          <w:lang w:val="en-US"/>
        </w:rPr>
        <w:lastRenderedPageBreak/>
        <w:t>Sperm Count</w:t>
      </w:r>
    </w:p>
    <w:p w14:paraId="289288A3" w14:textId="3F485F46" w:rsidR="000B5A2C" w:rsidRPr="00064CDF" w:rsidRDefault="000B5A2C" w:rsidP="00F95101">
      <w:pPr>
        <w:spacing w:before="240" w:after="240" w:line="240" w:lineRule="auto"/>
        <w:jc w:val="both"/>
        <w:rPr>
          <w:rFonts w:ascii="Times New Roman" w:hAnsi="Times New Roman" w:cs="Times New Roman"/>
          <w:sz w:val="24"/>
          <w:szCs w:val="24"/>
        </w:rPr>
      </w:pPr>
      <w:r w:rsidRPr="00064CDF">
        <w:rPr>
          <w:rFonts w:ascii="Times New Roman" w:hAnsi="Times New Roman" w:cs="Times New Roman"/>
          <w:sz w:val="24"/>
          <w:szCs w:val="24"/>
        </w:rPr>
        <w:t>Shown in Table 1 is the ANOVA comparison of mean sperm count of adult male Wistar rats across the various groups of the experiment. It shows that the general comparison of the mean difference in the mean sperm cell count of adult male Wistar rats across the respective groups of the experiment was statistically significant (p&lt;0.002). Further analysis was done using the DNMRT post hoc analysis, which revealed that the mean value of sperm count of adult Wistar rats in group 3 was significantly lower than the mean sperm count of adult male Wistar rats in all the other experimental groups, except group 7. Notably, group 7 (the low-dose protective group) also exhibited a significantly lower sperm count compared to the control and higher-dose protective groups, remaining statistically similar to the methylparaben-only group (Group 3).</w:t>
      </w:r>
    </w:p>
    <w:p w14:paraId="435D77C9" w14:textId="77777777" w:rsidR="005C75F8" w:rsidRPr="00064CDF" w:rsidRDefault="005C75F8" w:rsidP="00F95101">
      <w:pPr>
        <w:spacing w:before="240" w:after="240" w:line="240" w:lineRule="auto"/>
        <w:jc w:val="both"/>
        <w:rPr>
          <w:rFonts w:ascii="Times New Roman" w:hAnsi="Times New Roman" w:cs="Times New Roman"/>
          <w:b/>
          <w:bCs/>
          <w:sz w:val="24"/>
          <w:szCs w:val="24"/>
          <w:lang w:val="en-US"/>
        </w:rPr>
      </w:pPr>
      <w:r w:rsidRPr="00064CDF">
        <w:rPr>
          <w:rFonts w:ascii="Times New Roman" w:hAnsi="Times New Roman" w:cs="Times New Roman"/>
          <w:b/>
          <w:bCs/>
          <w:sz w:val="24"/>
          <w:szCs w:val="24"/>
          <w:lang w:val="en-US"/>
        </w:rPr>
        <w:t>Sperm Motility</w:t>
      </w:r>
    </w:p>
    <w:p w14:paraId="652440C2" w14:textId="539025CB" w:rsidR="000B5A2C" w:rsidRPr="00064CDF" w:rsidRDefault="000B5A2C" w:rsidP="00F95101">
      <w:pPr>
        <w:spacing w:before="240" w:after="240" w:line="240" w:lineRule="auto"/>
        <w:jc w:val="both"/>
        <w:rPr>
          <w:rFonts w:ascii="Times New Roman" w:hAnsi="Times New Roman" w:cs="Times New Roman"/>
          <w:sz w:val="24"/>
          <w:szCs w:val="24"/>
        </w:rPr>
      </w:pPr>
      <w:r w:rsidRPr="00064CDF">
        <w:rPr>
          <w:rFonts w:ascii="Times New Roman" w:hAnsi="Times New Roman" w:cs="Times New Roman"/>
          <w:sz w:val="24"/>
          <w:szCs w:val="24"/>
        </w:rPr>
        <w:t>The ANOVA comparison of sperm motility analysis was analysed and presented in Table 1. The table shows that the general comparison of the differences in the mean values of the sperm motility was significantly (p&lt;0.002) different. Therefore, DNMRT post hoc analysis was further conducted for the details of the statistical significance.  The analysis shows that the mean value of the percentage of motile sperm of adult male Wistar rats in group 3 was significantly lower than the mean value of the percentage of motile sperm in all the other experimental groups. The values for groups 1, 2, 4, and 5 were not different from each other. For the percentage of non-motile sperm cells, the mean value of the animals in group 3 was significantly higher than the mean value of all the other experimental groups. In contrast, the protective groups demonstrated a clear response; the non-motile sperm values in groups 1, 2, 4, 5, 7, and 9 were not significantly different from each other, indicating a stabilization of baseline motility parameters.</w:t>
      </w:r>
    </w:p>
    <w:p w14:paraId="0232F9A1" w14:textId="77777777" w:rsidR="005C75F8" w:rsidRPr="00064CDF" w:rsidRDefault="005C75F8" w:rsidP="00F95101">
      <w:pPr>
        <w:spacing w:before="240" w:after="240" w:line="240" w:lineRule="auto"/>
        <w:jc w:val="both"/>
        <w:rPr>
          <w:rFonts w:ascii="Times New Roman" w:hAnsi="Times New Roman" w:cs="Times New Roman"/>
          <w:b/>
          <w:bCs/>
          <w:sz w:val="24"/>
          <w:szCs w:val="24"/>
          <w:lang w:val="en-US"/>
        </w:rPr>
      </w:pPr>
      <w:r w:rsidRPr="00064CDF">
        <w:rPr>
          <w:rFonts w:ascii="Times New Roman" w:hAnsi="Times New Roman" w:cs="Times New Roman"/>
          <w:b/>
          <w:bCs/>
          <w:sz w:val="24"/>
          <w:szCs w:val="24"/>
          <w:lang w:val="en-US"/>
        </w:rPr>
        <w:t>Sperm Morphology</w:t>
      </w:r>
    </w:p>
    <w:p w14:paraId="26224E64" w14:textId="2CF3842D" w:rsidR="00B71F04" w:rsidRPr="00B71F04" w:rsidRDefault="00B71F04" w:rsidP="00F95101">
      <w:pPr>
        <w:spacing w:before="240" w:after="240" w:line="240" w:lineRule="auto"/>
        <w:jc w:val="both"/>
        <w:rPr>
          <w:rFonts w:ascii="Times New Roman" w:hAnsi="Times New Roman" w:cs="Times New Roman"/>
          <w:sz w:val="24"/>
          <w:szCs w:val="24"/>
        </w:rPr>
      </w:pPr>
      <w:r w:rsidRPr="00B71F04">
        <w:rPr>
          <w:rFonts w:ascii="Times New Roman" w:hAnsi="Times New Roman" w:cs="Times New Roman"/>
          <w:sz w:val="24"/>
          <w:szCs w:val="24"/>
        </w:rPr>
        <w:t xml:space="preserve">ANOVA was carried out on the variable of sperm morphology and is shown in </w:t>
      </w:r>
      <w:r w:rsidRPr="00064CDF">
        <w:rPr>
          <w:rFonts w:ascii="Times New Roman" w:hAnsi="Times New Roman" w:cs="Times New Roman"/>
          <w:sz w:val="24"/>
          <w:szCs w:val="24"/>
        </w:rPr>
        <w:t>T</w:t>
      </w:r>
      <w:r w:rsidRPr="00B71F04">
        <w:rPr>
          <w:rFonts w:ascii="Times New Roman" w:hAnsi="Times New Roman" w:cs="Times New Roman"/>
          <w:sz w:val="24"/>
          <w:szCs w:val="24"/>
        </w:rPr>
        <w:t xml:space="preserve">able </w:t>
      </w:r>
      <w:r w:rsidRPr="00064CDF">
        <w:rPr>
          <w:rFonts w:ascii="Times New Roman" w:hAnsi="Times New Roman" w:cs="Times New Roman"/>
          <w:sz w:val="24"/>
          <w:szCs w:val="24"/>
        </w:rPr>
        <w:t>1</w:t>
      </w:r>
      <w:r w:rsidRPr="00B71F04">
        <w:rPr>
          <w:rFonts w:ascii="Times New Roman" w:hAnsi="Times New Roman" w:cs="Times New Roman"/>
          <w:sz w:val="24"/>
          <w:szCs w:val="24"/>
        </w:rPr>
        <w:t xml:space="preserve">. The table shows that the comparison of the mean normal morphology and mean abnormal morphology respectively across the experimental groups of the study was significantly different (p&lt;0.001). </w:t>
      </w:r>
    </w:p>
    <w:p w14:paraId="69A50682" w14:textId="7831456A" w:rsidR="004E1B5E" w:rsidRPr="004F1DF8" w:rsidRDefault="00B71F04" w:rsidP="00F95101">
      <w:pPr>
        <w:spacing w:before="240" w:after="240" w:line="240" w:lineRule="auto"/>
        <w:jc w:val="both"/>
        <w:rPr>
          <w:rFonts w:ascii="Times New Roman" w:hAnsi="Times New Roman" w:cs="Times New Roman"/>
          <w:sz w:val="24"/>
          <w:szCs w:val="24"/>
        </w:rPr>
      </w:pPr>
      <w:r w:rsidRPr="00B71F04">
        <w:rPr>
          <w:rFonts w:ascii="Times New Roman" w:hAnsi="Times New Roman" w:cs="Times New Roman"/>
          <w:sz w:val="24"/>
          <w:szCs w:val="24"/>
        </w:rPr>
        <w:t>Post hoc analysis shows that the mean normal morphology of sperm cells of adult male Wistar rats in group 3 was significantly lower when compared with the mean normal morphology of sperm cells of Wistar rats in all the other experimental groups. Conversely, the mean abnormal morphology of sperm cells of adult male Wistar rats in group 3 was significantly higher than the mean abnormal morphology of sperm cells of adult male Wistar rats in all the other experimental groups. Remarkably, the introduction of baicalin at all tested doses—including the lowest dose in group 7</w:t>
      </w:r>
      <w:r w:rsidRPr="00064CDF">
        <w:rPr>
          <w:rFonts w:ascii="Times New Roman" w:hAnsi="Times New Roman" w:cs="Times New Roman"/>
          <w:sz w:val="24"/>
          <w:szCs w:val="24"/>
        </w:rPr>
        <w:t xml:space="preserve"> – </w:t>
      </w:r>
      <w:r w:rsidRPr="00B71F04">
        <w:rPr>
          <w:rFonts w:ascii="Times New Roman" w:hAnsi="Times New Roman" w:cs="Times New Roman"/>
          <w:sz w:val="24"/>
          <w:szCs w:val="24"/>
        </w:rPr>
        <w:t>fully restored the percentages of normal and abnormal morphology to levels that were not statistically different from the normal control animals.</w:t>
      </w:r>
    </w:p>
    <w:p w14:paraId="7E501A9E" w14:textId="2FB90FEF" w:rsidR="005C75F8" w:rsidRPr="00064CDF" w:rsidRDefault="00726687" w:rsidP="00F95101">
      <w:pPr>
        <w:spacing w:before="240" w:after="240" w:line="240" w:lineRule="auto"/>
        <w:jc w:val="both"/>
        <w:rPr>
          <w:rFonts w:ascii="Times New Roman" w:hAnsi="Times New Roman" w:cs="Times New Roman"/>
          <w:sz w:val="24"/>
          <w:szCs w:val="24"/>
          <w:lang w:val="en-US"/>
        </w:rPr>
      </w:pPr>
      <w:r w:rsidRPr="00064CDF">
        <w:rPr>
          <w:rFonts w:ascii="Times New Roman" w:hAnsi="Times New Roman" w:cs="Times New Roman"/>
          <w:sz w:val="24"/>
          <w:szCs w:val="24"/>
          <w:lang w:val="en-US"/>
        </w:rPr>
        <w:t>Table 1</w:t>
      </w:r>
      <w:r w:rsidR="0039429B" w:rsidRPr="00064CDF">
        <w:rPr>
          <w:rFonts w:ascii="Times New Roman" w:hAnsi="Times New Roman" w:cs="Times New Roman"/>
          <w:sz w:val="24"/>
          <w:szCs w:val="24"/>
          <w:lang w:val="en-US"/>
        </w:rPr>
        <w:t>: Epididymal sperm parameters across experimental groups following methylparaben and baicalin administration.</w:t>
      </w:r>
    </w:p>
    <w:tbl>
      <w:tblPr>
        <w:tblW w:w="8895" w:type="dxa"/>
        <w:jc w:val="center"/>
        <w:tblBorders>
          <w:top w:val="single" w:sz="4" w:space="0" w:color="auto"/>
          <w:bottom w:val="single" w:sz="4" w:space="0" w:color="auto"/>
        </w:tblBorders>
        <w:tblLayout w:type="fixed"/>
        <w:tblLook w:val="04A0" w:firstRow="1" w:lastRow="0" w:firstColumn="1" w:lastColumn="0" w:noHBand="0" w:noVBand="1"/>
      </w:tblPr>
      <w:tblGrid>
        <w:gridCol w:w="1124"/>
        <w:gridCol w:w="1853"/>
        <w:gridCol w:w="1559"/>
        <w:gridCol w:w="1559"/>
        <w:gridCol w:w="1276"/>
        <w:gridCol w:w="1524"/>
      </w:tblGrid>
      <w:tr w:rsidR="005C75F8" w:rsidRPr="00064CDF" w14:paraId="3E277DB8" w14:textId="77777777" w:rsidTr="00384CCE">
        <w:trPr>
          <w:trHeight w:val="188"/>
          <w:jc w:val="center"/>
        </w:trPr>
        <w:tc>
          <w:tcPr>
            <w:tcW w:w="1124" w:type="dxa"/>
            <w:vAlign w:val="bottom"/>
          </w:tcPr>
          <w:p w14:paraId="621A115D" w14:textId="77777777" w:rsidR="005C75F8" w:rsidRPr="00064CDF" w:rsidRDefault="005C75F8" w:rsidP="00F95101">
            <w:pPr>
              <w:spacing w:before="240" w:after="240" w:line="240" w:lineRule="auto"/>
              <w:jc w:val="both"/>
              <w:rPr>
                <w:rFonts w:ascii="Times New Roman" w:eastAsia="Times New Roman" w:hAnsi="Times New Roman" w:cs="Times New Roman"/>
                <w:b/>
                <w:bCs/>
                <w:color w:val="000000"/>
                <w:sz w:val="24"/>
                <w:szCs w:val="24"/>
              </w:rPr>
            </w:pPr>
          </w:p>
        </w:tc>
        <w:tc>
          <w:tcPr>
            <w:tcW w:w="1853" w:type="dxa"/>
            <w:shd w:val="clear" w:color="auto" w:fill="auto"/>
            <w:noWrap/>
            <w:vAlign w:val="bottom"/>
          </w:tcPr>
          <w:p w14:paraId="1D190144" w14:textId="77777777" w:rsidR="005C75F8" w:rsidRPr="00064CDF" w:rsidRDefault="005C75F8" w:rsidP="00F95101">
            <w:pPr>
              <w:spacing w:before="240" w:after="240" w:line="240" w:lineRule="auto"/>
              <w:jc w:val="both"/>
              <w:rPr>
                <w:rFonts w:ascii="Times New Roman" w:eastAsia="Times New Roman" w:hAnsi="Times New Roman" w:cs="Times New Roman"/>
                <w:b/>
                <w:bCs/>
                <w:color w:val="000000"/>
                <w:sz w:val="24"/>
                <w:szCs w:val="24"/>
              </w:rPr>
            </w:pPr>
          </w:p>
        </w:tc>
        <w:tc>
          <w:tcPr>
            <w:tcW w:w="1559" w:type="dxa"/>
            <w:shd w:val="clear" w:color="auto" w:fill="auto"/>
            <w:noWrap/>
            <w:vAlign w:val="bottom"/>
          </w:tcPr>
          <w:p w14:paraId="6352576E" w14:textId="77777777" w:rsidR="005C75F8" w:rsidRPr="00064CDF" w:rsidRDefault="005C75F8" w:rsidP="00F95101">
            <w:pPr>
              <w:spacing w:before="240" w:after="240" w:line="240" w:lineRule="auto"/>
              <w:jc w:val="both"/>
              <w:rPr>
                <w:rFonts w:ascii="Times New Roman" w:eastAsia="Times New Roman" w:hAnsi="Times New Roman" w:cs="Times New Roman"/>
                <w:b/>
                <w:bCs/>
                <w:color w:val="000000"/>
                <w:sz w:val="24"/>
                <w:szCs w:val="24"/>
              </w:rPr>
            </w:pPr>
          </w:p>
        </w:tc>
        <w:tc>
          <w:tcPr>
            <w:tcW w:w="1559" w:type="dxa"/>
            <w:shd w:val="clear" w:color="auto" w:fill="auto"/>
            <w:noWrap/>
            <w:vAlign w:val="bottom"/>
          </w:tcPr>
          <w:p w14:paraId="68F10CF9" w14:textId="77777777" w:rsidR="005C75F8" w:rsidRPr="00064CDF" w:rsidRDefault="005C75F8" w:rsidP="00F95101">
            <w:pPr>
              <w:spacing w:before="240" w:after="240" w:line="240" w:lineRule="auto"/>
              <w:jc w:val="both"/>
              <w:rPr>
                <w:rFonts w:ascii="Times New Roman" w:eastAsia="Times New Roman" w:hAnsi="Times New Roman" w:cs="Times New Roman"/>
                <w:b/>
                <w:bCs/>
                <w:color w:val="000000"/>
                <w:sz w:val="24"/>
                <w:szCs w:val="24"/>
              </w:rPr>
            </w:pPr>
          </w:p>
        </w:tc>
        <w:tc>
          <w:tcPr>
            <w:tcW w:w="2800" w:type="dxa"/>
            <w:gridSpan w:val="2"/>
            <w:tcBorders>
              <w:bottom w:val="single" w:sz="4" w:space="0" w:color="auto"/>
            </w:tcBorders>
            <w:shd w:val="clear" w:color="auto" w:fill="auto"/>
            <w:noWrap/>
            <w:vAlign w:val="bottom"/>
            <w:hideMark/>
          </w:tcPr>
          <w:p w14:paraId="028B8986" w14:textId="77777777" w:rsidR="005C75F8" w:rsidRPr="00064CDF" w:rsidRDefault="005C75F8" w:rsidP="00F95101">
            <w:pPr>
              <w:spacing w:before="240" w:after="240" w:line="240" w:lineRule="auto"/>
              <w:jc w:val="both"/>
              <w:rPr>
                <w:rFonts w:ascii="Times New Roman" w:eastAsia="Times New Roman" w:hAnsi="Times New Roman" w:cs="Times New Roman"/>
                <w:b/>
                <w:bCs/>
                <w:color w:val="000000"/>
                <w:sz w:val="24"/>
                <w:szCs w:val="24"/>
              </w:rPr>
            </w:pPr>
            <w:r w:rsidRPr="00064CDF">
              <w:rPr>
                <w:rFonts w:ascii="Times New Roman" w:eastAsia="Times New Roman" w:hAnsi="Times New Roman" w:cs="Times New Roman"/>
                <w:b/>
                <w:bCs/>
                <w:color w:val="000000"/>
                <w:sz w:val="24"/>
                <w:szCs w:val="24"/>
              </w:rPr>
              <w:t>Sperm morphology (%)</w:t>
            </w:r>
          </w:p>
        </w:tc>
      </w:tr>
      <w:tr w:rsidR="005C75F8" w:rsidRPr="00064CDF" w14:paraId="4E0DCFB8" w14:textId="77777777" w:rsidTr="00384CCE">
        <w:trPr>
          <w:trHeight w:val="188"/>
          <w:jc w:val="center"/>
        </w:trPr>
        <w:tc>
          <w:tcPr>
            <w:tcW w:w="1124" w:type="dxa"/>
            <w:tcBorders>
              <w:bottom w:val="single" w:sz="4" w:space="0" w:color="auto"/>
            </w:tcBorders>
            <w:vAlign w:val="bottom"/>
          </w:tcPr>
          <w:p w14:paraId="0C0EE3DA" w14:textId="77777777" w:rsidR="005C75F8" w:rsidRPr="00064CDF" w:rsidRDefault="005C75F8" w:rsidP="00F95101">
            <w:pPr>
              <w:spacing w:before="240" w:after="240" w:line="240" w:lineRule="auto"/>
              <w:jc w:val="both"/>
              <w:rPr>
                <w:rFonts w:ascii="Times New Roman" w:eastAsia="Times New Roman" w:hAnsi="Times New Roman" w:cs="Times New Roman"/>
                <w:b/>
                <w:bCs/>
                <w:color w:val="000000"/>
                <w:sz w:val="24"/>
                <w:szCs w:val="24"/>
              </w:rPr>
            </w:pPr>
            <w:r w:rsidRPr="00064CDF">
              <w:rPr>
                <w:rFonts w:ascii="Times New Roman" w:eastAsia="Times New Roman" w:hAnsi="Times New Roman" w:cs="Times New Roman"/>
                <w:b/>
                <w:bCs/>
                <w:color w:val="000000"/>
                <w:sz w:val="24"/>
                <w:szCs w:val="24"/>
              </w:rPr>
              <w:t>Group</w:t>
            </w:r>
          </w:p>
        </w:tc>
        <w:tc>
          <w:tcPr>
            <w:tcW w:w="1853" w:type="dxa"/>
            <w:tcBorders>
              <w:bottom w:val="single" w:sz="4" w:space="0" w:color="auto"/>
            </w:tcBorders>
            <w:shd w:val="clear" w:color="auto" w:fill="auto"/>
            <w:noWrap/>
            <w:vAlign w:val="bottom"/>
          </w:tcPr>
          <w:p w14:paraId="3247CACF" w14:textId="77777777" w:rsidR="005C75F8" w:rsidRPr="00064CDF" w:rsidRDefault="005C75F8" w:rsidP="00F95101">
            <w:pPr>
              <w:spacing w:before="240" w:after="240" w:line="240" w:lineRule="auto"/>
              <w:jc w:val="both"/>
              <w:rPr>
                <w:rFonts w:ascii="Times New Roman" w:eastAsia="Times New Roman" w:hAnsi="Times New Roman" w:cs="Times New Roman"/>
                <w:b/>
                <w:bCs/>
                <w:color w:val="000000"/>
                <w:sz w:val="24"/>
                <w:szCs w:val="24"/>
              </w:rPr>
            </w:pPr>
            <w:r w:rsidRPr="00064CDF">
              <w:rPr>
                <w:rFonts w:ascii="Times New Roman" w:eastAsia="Times New Roman" w:hAnsi="Times New Roman" w:cs="Times New Roman"/>
                <w:b/>
                <w:bCs/>
                <w:color w:val="000000"/>
                <w:sz w:val="24"/>
                <w:szCs w:val="24"/>
              </w:rPr>
              <w:t>Sperm count</w:t>
            </w:r>
          </w:p>
          <w:p w14:paraId="073C2BEA" w14:textId="77777777" w:rsidR="005C75F8" w:rsidRPr="00064CDF" w:rsidRDefault="005C75F8" w:rsidP="00F95101">
            <w:pPr>
              <w:spacing w:before="240" w:after="240" w:line="240" w:lineRule="auto"/>
              <w:jc w:val="both"/>
              <w:rPr>
                <w:rFonts w:ascii="Times New Roman" w:eastAsia="Times New Roman" w:hAnsi="Times New Roman" w:cs="Times New Roman"/>
                <w:b/>
                <w:bCs/>
                <w:color w:val="000000"/>
                <w:sz w:val="24"/>
                <w:szCs w:val="24"/>
              </w:rPr>
            </w:pPr>
            <w:r w:rsidRPr="00064CDF">
              <w:rPr>
                <w:rFonts w:ascii="Times New Roman" w:eastAsia="Times New Roman" w:hAnsi="Times New Roman" w:cs="Times New Roman"/>
                <w:b/>
                <w:bCs/>
                <w:color w:val="000000"/>
                <w:sz w:val="24"/>
                <w:szCs w:val="24"/>
              </w:rPr>
              <w:t>(×10</w:t>
            </w:r>
            <w:r w:rsidRPr="00064CDF">
              <w:rPr>
                <w:rFonts w:ascii="Times New Roman" w:eastAsia="Times New Roman" w:hAnsi="Times New Roman" w:cs="Times New Roman"/>
                <w:b/>
                <w:bCs/>
                <w:color w:val="000000"/>
                <w:sz w:val="24"/>
                <w:szCs w:val="24"/>
                <w:vertAlign w:val="superscript"/>
              </w:rPr>
              <w:t>^</w:t>
            </w:r>
            <w:r w:rsidRPr="00064CDF">
              <w:rPr>
                <w:rFonts w:ascii="Times New Roman" w:eastAsia="Times New Roman" w:hAnsi="Times New Roman" w:cs="Times New Roman"/>
                <w:b/>
                <w:bCs/>
                <w:color w:val="000000"/>
                <w:sz w:val="24"/>
                <w:szCs w:val="24"/>
              </w:rPr>
              <w:t>)</w:t>
            </w:r>
          </w:p>
        </w:tc>
        <w:tc>
          <w:tcPr>
            <w:tcW w:w="1559" w:type="dxa"/>
            <w:tcBorders>
              <w:bottom w:val="single" w:sz="4" w:space="0" w:color="auto"/>
            </w:tcBorders>
            <w:shd w:val="clear" w:color="auto" w:fill="auto"/>
            <w:noWrap/>
            <w:vAlign w:val="bottom"/>
          </w:tcPr>
          <w:p w14:paraId="2A6D52C7" w14:textId="77777777" w:rsidR="005C75F8" w:rsidRPr="00064CDF" w:rsidRDefault="005C75F8" w:rsidP="00F95101">
            <w:pPr>
              <w:spacing w:before="240" w:after="240" w:line="240" w:lineRule="auto"/>
              <w:jc w:val="both"/>
              <w:rPr>
                <w:rFonts w:ascii="Times New Roman" w:eastAsia="Times New Roman" w:hAnsi="Times New Roman" w:cs="Times New Roman"/>
                <w:b/>
                <w:bCs/>
                <w:color w:val="000000"/>
                <w:sz w:val="24"/>
                <w:szCs w:val="24"/>
              </w:rPr>
            </w:pPr>
            <w:r w:rsidRPr="00064CDF">
              <w:rPr>
                <w:rFonts w:ascii="Times New Roman" w:eastAsia="Times New Roman" w:hAnsi="Times New Roman" w:cs="Times New Roman"/>
                <w:b/>
                <w:bCs/>
                <w:color w:val="000000"/>
                <w:sz w:val="24"/>
                <w:szCs w:val="24"/>
              </w:rPr>
              <w:t>Motile sperm (%)</w:t>
            </w:r>
          </w:p>
        </w:tc>
        <w:tc>
          <w:tcPr>
            <w:tcW w:w="1559" w:type="dxa"/>
            <w:tcBorders>
              <w:bottom w:val="single" w:sz="4" w:space="0" w:color="auto"/>
            </w:tcBorders>
            <w:shd w:val="clear" w:color="auto" w:fill="auto"/>
            <w:noWrap/>
            <w:vAlign w:val="bottom"/>
          </w:tcPr>
          <w:p w14:paraId="3F0D5A8F" w14:textId="77777777" w:rsidR="005C75F8" w:rsidRPr="00064CDF" w:rsidRDefault="005C75F8" w:rsidP="00F95101">
            <w:pPr>
              <w:spacing w:before="240" w:after="240" w:line="240" w:lineRule="auto"/>
              <w:jc w:val="both"/>
              <w:rPr>
                <w:rFonts w:ascii="Times New Roman" w:eastAsia="Times New Roman" w:hAnsi="Times New Roman" w:cs="Times New Roman"/>
                <w:b/>
                <w:bCs/>
                <w:color w:val="000000"/>
                <w:sz w:val="24"/>
                <w:szCs w:val="24"/>
              </w:rPr>
            </w:pPr>
            <w:r w:rsidRPr="00064CDF">
              <w:rPr>
                <w:rFonts w:ascii="Times New Roman" w:eastAsia="Times New Roman" w:hAnsi="Times New Roman" w:cs="Times New Roman"/>
                <w:b/>
                <w:bCs/>
                <w:color w:val="000000"/>
                <w:sz w:val="24"/>
                <w:szCs w:val="24"/>
              </w:rPr>
              <w:t>Non-motile sperm (%)</w:t>
            </w:r>
          </w:p>
        </w:tc>
        <w:tc>
          <w:tcPr>
            <w:tcW w:w="1276" w:type="dxa"/>
            <w:tcBorders>
              <w:top w:val="single" w:sz="4" w:space="0" w:color="auto"/>
              <w:bottom w:val="single" w:sz="4" w:space="0" w:color="auto"/>
            </w:tcBorders>
            <w:shd w:val="clear" w:color="auto" w:fill="auto"/>
            <w:noWrap/>
            <w:vAlign w:val="bottom"/>
          </w:tcPr>
          <w:p w14:paraId="7E57F79D" w14:textId="77777777" w:rsidR="005C75F8" w:rsidRPr="00064CDF" w:rsidRDefault="005C75F8" w:rsidP="00F95101">
            <w:pPr>
              <w:spacing w:before="240" w:after="240" w:line="240" w:lineRule="auto"/>
              <w:jc w:val="both"/>
              <w:rPr>
                <w:rFonts w:ascii="Times New Roman" w:eastAsia="Times New Roman" w:hAnsi="Times New Roman" w:cs="Times New Roman"/>
                <w:b/>
                <w:bCs/>
                <w:color w:val="000000"/>
                <w:sz w:val="24"/>
                <w:szCs w:val="24"/>
              </w:rPr>
            </w:pPr>
            <w:r w:rsidRPr="00064CDF">
              <w:rPr>
                <w:rFonts w:ascii="Times New Roman" w:eastAsia="Times New Roman" w:hAnsi="Times New Roman" w:cs="Times New Roman"/>
                <w:b/>
                <w:bCs/>
                <w:color w:val="000000"/>
                <w:sz w:val="24"/>
                <w:szCs w:val="24"/>
              </w:rPr>
              <w:t>Normal</w:t>
            </w:r>
          </w:p>
        </w:tc>
        <w:tc>
          <w:tcPr>
            <w:tcW w:w="1524" w:type="dxa"/>
            <w:tcBorders>
              <w:top w:val="single" w:sz="4" w:space="0" w:color="auto"/>
              <w:bottom w:val="single" w:sz="4" w:space="0" w:color="auto"/>
            </w:tcBorders>
            <w:shd w:val="clear" w:color="auto" w:fill="auto"/>
            <w:noWrap/>
            <w:vAlign w:val="bottom"/>
          </w:tcPr>
          <w:p w14:paraId="0FC32FCF" w14:textId="77777777" w:rsidR="005C75F8" w:rsidRPr="00064CDF" w:rsidRDefault="005C75F8" w:rsidP="00F95101">
            <w:pPr>
              <w:spacing w:before="240" w:after="240" w:line="240" w:lineRule="auto"/>
              <w:jc w:val="both"/>
              <w:rPr>
                <w:rFonts w:ascii="Times New Roman" w:eastAsia="Times New Roman" w:hAnsi="Times New Roman" w:cs="Times New Roman"/>
                <w:b/>
                <w:bCs/>
                <w:color w:val="000000"/>
                <w:sz w:val="24"/>
                <w:szCs w:val="24"/>
              </w:rPr>
            </w:pPr>
            <w:r w:rsidRPr="00064CDF">
              <w:rPr>
                <w:rFonts w:ascii="Times New Roman" w:eastAsia="Times New Roman" w:hAnsi="Times New Roman" w:cs="Times New Roman"/>
                <w:b/>
                <w:bCs/>
                <w:color w:val="000000"/>
                <w:sz w:val="24"/>
                <w:szCs w:val="24"/>
              </w:rPr>
              <w:t>Abnormal</w:t>
            </w:r>
          </w:p>
        </w:tc>
      </w:tr>
      <w:tr w:rsidR="005C75F8" w:rsidRPr="00064CDF" w14:paraId="583EEDB1" w14:textId="77777777" w:rsidTr="00384CCE">
        <w:trPr>
          <w:trHeight w:val="197"/>
          <w:jc w:val="center"/>
        </w:trPr>
        <w:tc>
          <w:tcPr>
            <w:tcW w:w="1124" w:type="dxa"/>
            <w:tcBorders>
              <w:top w:val="single" w:sz="4" w:space="0" w:color="auto"/>
              <w:bottom w:val="nil"/>
            </w:tcBorders>
            <w:vAlign w:val="bottom"/>
          </w:tcPr>
          <w:p w14:paraId="02E6B68A" w14:textId="77777777" w:rsidR="005C75F8" w:rsidRPr="00064CDF" w:rsidRDefault="005C75F8" w:rsidP="00F95101">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Group 1</w:t>
            </w:r>
          </w:p>
        </w:tc>
        <w:tc>
          <w:tcPr>
            <w:tcW w:w="1853" w:type="dxa"/>
            <w:tcBorders>
              <w:top w:val="single" w:sz="4" w:space="0" w:color="auto"/>
              <w:bottom w:val="nil"/>
            </w:tcBorders>
            <w:shd w:val="clear" w:color="auto" w:fill="auto"/>
            <w:noWrap/>
            <w:vAlign w:val="bottom"/>
            <w:hideMark/>
          </w:tcPr>
          <w:p w14:paraId="67F586CD" w14:textId="77777777" w:rsidR="005C75F8" w:rsidRPr="00064CDF" w:rsidRDefault="005C75F8" w:rsidP="00F95101">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232.33 a</w:t>
            </w:r>
          </w:p>
        </w:tc>
        <w:tc>
          <w:tcPr>
            <w:tcW w:w="1559" w:type="dxa"/>
            <w:tcBorders>
              <w:top w:val="single" w:sz="4" w:space="0" w:color="auto"/>
              <w:bottom w:val="nil"/>
            </w:tcBorders>
            <w:shd w:val="clear" w:color="auto" w:fill="auto"/>
            <w:noWrap/>
            <w:vAlign w:val="bottom"/>
            <w:hideMark/>
          </w:tcPr>
          <w:p w14:paraId="514148EE" w14:textId="77777777" w:rsidR="005C75F8" w:rsidRPr="00064CDF" w:rsidRDefault="005C75F8" w:rsidP="00F95101">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73.33 ab</w:t>
            </w:r>
          </w:p>
        </w:tc>
        <w:tc>
          <w:tcPr>
            <w:tcW w:w="1559" w:type="dxa"/>
            <w:tcBorders>
              <w:top w:val="single" w:sz="4" w:space="0" w:color="auto"/>
              <w:bottom w:val="nil"/>
            </w:tcBorders>
            <w:shd w:val="clear" w:color="auto" w:fill="auto"/>
            <w:noWrap/>
            <w:vAlign w:val="bottom"/>
            <w:hideMark/>
          </w:tcPr>
          <w:p w14:paraId="5097B6DD" w14:textId="77777777" w:rsidR="005C75F8" w:rsidRPr="00064CDF" w:rsidRDefault="005C75F8" w:rsidP="00F95101">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26.67 c</w:t>
            </w:r>
          </w:p>
        </w:tc>
        <w:tc>
          <w:tcPr>
            <w:tcW w:w="1276" w:type="dxa"/>
            <w:tcBorders>
              <w:top w:val="single" w:sz="4" w:space="0" w:color="auto"/>
              <w:bottom w:val="nil"/>
            </w:tcBorders>
            <w:shd w:val="clear" w:color="auto" w:fill="auto"/>
            <w:noWrap/>
            <w:vAlign w:val="bottom"/>
            <w:hideMark/>
          </w:tcPr>
          <w:p w14:paraId="674F2568" w14:textId="77777777" w:rsidR="005C75F8" w:rsidRPr="00064CDF" w:rsidRDefault="005C75F8" w:rsidP="00F95101">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80.00 a</w:t>
            </w:r>
          </w:p>
        </w:tc>
        <w:tc>
          <w:tcPr>
            <w:tcW w:w="1524" w:type="dxa"/>
            <w:tcBorders>
              <w:top w:val="single" w:sz="4" w:space="0" w:color="auto"/>
              <w:bottom w:val="nil"/>
            </w:tcBorders>
            <w:shd w:val="clear" w:color="auto" w:fill="auto"/>
            <w:noWrap/>
            <w:vAlign w:val="bottom"/>
            <w:hideMark/>
          </w:tcPr>
          <w:p w14:paraId="625B00EA" w14:textId="77777777" w:rsidR="005C75F8" w:rsidRPr="00064CDF" w:rsidRDefault="005C75F8" w:rsidP="00F95101">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20.00 b</w:t>
            </w:r>
          </w:p>
        </w:tc>
      </w:tr>
      <w:tr w:rsidR="005C75F8" w:rsidRPr="00064CDF" w14:paraId="288ED617" w14:textId="77777777" w:rsidTr="00384CCE">
        <w:trPr>
          <w:trHeight w:val="197"/>
          <w:jc w:val="center"/>
        </w:trPr>
        <w:tc>
          <w:tcPr>
            <w:tcW w:w="1124" w:type="dxa"/>
            <w:tcBorders>
              <w:top w:val="nil"/>
              <w:bottom w:val="nil"/>
            </w:tcBorders>
            <w:vAlign w:val="bottom"/>
          </w:tcPr>
          <w:p w14:paraId="01319398" w14:textId="77777777" w:rsidR="005C75F8" w:rsidRPr="00064CDF" w:rsidRDefault="005C75F8" w:rsidP="00F95101">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lastRenderedPageBreak/>
              <w:t>Group 2</w:t>
            </w:r>
          </w:p>
        </w:tc>
        <w:tc>
          <w:tcPr>
            <w:tcW w:w="1853" w:type="dxa"/>
            <w:tcBorders>
              <w:top w:val="nil"/>
              <w:bottom w:val="nil"/>
            </w:tcBorders>
            <w:shd w:val="clear" w:color="auto" w:fill="auto"/>
            <w:noWrap/>
            <w:vAlign w:val="bottom"/>
            <w:hideMark/>
          </w:tcPr>
          <w:p w14:paraId="65F7DE19" w14:textId="77777777" w:rsidR="005C75F8" w:rsidRPr="00064CDF" w:rsidRDefault="005C75F8" w:rsidP="00F95101">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224.33 a</w:t>
            </w:r>
          </w:p>
        </w:tc>
        <w:tc>
          <w:tcPr>
            <w:tcW w:w="1559" w:type="dxa"/>
            <w:tcBorders>
              <w:top w:val="nil"/>
              <w:bottom w:val="nil"/>
            </w:tcBorders>
            <w:shd w:val="clear" w:color="auto" w:fill="auto"/>
            <w:noWrap/>
            <w:vAlign w:val="bottom"/>
            <w:hideMark/>
          </w:tcPr>
          <w:p w14:paraId="7110418B" w14:textId="77777777" w:rsidR="005C75F8" w:rsidRPr="00064CDF" w:rsidRDefault="005C75F8" w:rsidP="00F95101">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73.33 ab</w:t>
            </w:r>
          </w:p>
        </w:tc>
        <w:tc>
          <w:tcPr>
            <w:tcW w:w="1559" w:type="dxa"/>
            <w:tcBorders>
              <w:top w:val="nil"/>
              <w:bottom w:val="nil"/>
            </w:tcBorders>
            <w:shd w:val="clear" w:color="auto" w:fill="auto"/>
            <w:noWrap/>
            <w:vAlign w:val="bottom"/>
            <w:hideMark/>
          </w:tcPr>
          <w:p w14:paraId="17AF5C59" w14:textId="77777777" w:rsidR="005C75F8" w:rsidRPr="00064CDF" w:rsidRDefault="005C75F8" w:rsidP="00F95101">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26.67 c</w:t>
            </w:r>
          </w:p>
        </w:tc>
        <w:tc>
          <w:tcPr>
            <w:tcW w:w="1276" w:type="dxa"/>
            <w:tcBorders>
              <w:top w:val="nil"/>
              <w:bottom w:val="nil"/>
            </w:tcBorders>
            <w:shd w:val="clear" w:color="auto" w:fill="auto"/>
            <w:noWrap/>
            <w:vAlign w:val="bottom"/>
            <w:hideMark/>
          </w:tcPr>
          <w:p w14:paraId="3D7676B5" w14:textId="77777777" w:rsidR="005C75F8" w:rsidRPr="00064CDF" w:rsidRDefault="005C75F8" w:rsidP="00F95101">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80.00 a</w:t>
            </w:r>
          </w:p>
        </w:tc>
        <w:tc>
          <w:tcPr>
            <w:tcW w:w="1524" w:type="dxa"/>
            <w:tcBorders>
              <w:top w:val="nil"/>
              <w:bottom w:val="nil"/>
            </w:tcBorders>
            <w:shd w:val="clear" w:color="auto" w:fill="auto"/>
            <w:noWrap/>
            <w:vAlign w:val="bottom"/>
            <w:hideMark/>
          </w:tcPr>
          <w:p w14:paraId="04B4D653" w14:textId="77777777" w:rsidR="005C75F8" w:rsidRPr="00064CDF" w:rsidRDefault="005C75F8" w:rsidP="00F95101">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20.00 b</w:t>
            </w:r>
          </w:p>
        </w:tc>
      </w:tr>
      <w:tr w:rsidR="005C75F8" w:rsidRPr="00064CDF" w14:paraId="375B5875" w14:textId="77777777" w:rsidTr="00384CCE">
        <w:trPr>
          <w:trHeight w:val="197"/>
          <w:jc w:val="center"/>
        </w:trPr>
        <w:tc>
          <w:tcPr>
            <w:tcW w:w="1124" w:type="dxa"/>
            <w:tcBorders>
              <w:top w:val="nil"/>
              <w:bottom w:val="nil"/>
            </w:tcBorders>
            <w:vAlign w:val="bottom"/>
          </w:tcPr>
          <w:p w14:paraId="0AB80314" w14:textId="77777777" w:rsidR="005C75F8" w:rsidRPr="00064CDF" w:rsidRDefault="005C75F8" w:rsidP="00F95101">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Group 3</w:t>
            </w:r>
          </w:p>
        </w:tc>
        <w:tc>
          <w:tcPr>
            <w:tcW w:w="1853" w:type="dxa"/>
            <w:tcBorders>
              <w:top w:val="nil"/>
              <w:bottom w:val="nil"/>
            </w:tcBorders>
            <w:shd w:val="clear" w:color="auto" w:fill="auto"/>
            <w:noWrap/>
            <w:vAlign w:val="bottom"/>
            <w:hideMark/>
          </w:tcPr>
          <w:p w14:paraId="505ADE1F" w14:textId="77777777" w:rsidR="005C75F8" w:rsidRPr="00064CDF" w:rsidRDefault="005C75F8" w:rsidP="00F95101">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151.33 b</w:t>
            </w:r>
          </w:p>
        </w:tc>
        <w:tc>
          <w:tcPr>
            <w:tcW w:w="1559" w:type="dxa"/>
            <w:tcBorders>
              <w:top w:val="nil"/>
              <w:bottom w:val="nil"/>
            </w:tcBorders>
            <w:shd w:val="clear" w:color="auto" w:fill="auto"/>
            <w:noWrap/>
            <w:vAlign w:val="bottom"/>
            <w:hideMark/>
          </w:tcPr>
          <w:p w14:paraId="49082C85" w14:textId="77777777" w:rsidR="005C75F8" w:rsidRPr="00064CDF" w:rsidRDefault="005C75F8" w:rsidP="00F95101">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31.67 d</w:t>
            </w:r>
          </w:p>
        </w:tc>
        <w:tc>
          <w:tcPr>
            <w:tcW w:w="1559" w:type="dxa"/>
            <w:tcBorders>
              <w:top w:val="nil"/>
              <w:bottom w:val="nil"/>
            </w:tcBorders>
            <w:shd w:val="clear" w:color="auto" w:fill="auto"/>
            <w:noWrap/>
            <w:vAlign w:val="bottom"/>
            <w:hideMark/>
          </w:tcPr>
          <w:p w14:paraId="59A0BB50" w14:textId="77777777" w:rsidR="005C75F8" w:rsidRPr="00064CDF" w:rsidRDefault="005C75F8" w:rsidP="00F95101">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68.33 a</w:t>
            </w:r>
          </w:p>
        </w:tc>
        <w:tc>
          <w:tcPr>
            <w:tcW w:w="1276" w:type="dxa"/>
            <w:tcBorders>
              <w:top w:val="nil"/>
              <w:bottom w:val="nil"/>
            </w:tcBorders>
            <w:shd w:val="clear" w:color="auto" w:fill="auto"/>
            <w:noWrap/>
            <w:vAlign w:val="bottom"/>
            <w:hideMark/>
          </w:tcPr>
          <w:p w14:paraId="063ED378" w14:textId="77777777" w:rsidR="005C75F8" w:rsidRPr="00064CDF" w:rsidRDefault="005C75F8" w:rsidP="00F95101">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33.33 b</w:t>
            </w:r>
          </w:p>
        </w:tc>
        <w:tc>
          <w:tcPr>
            <w:tcW w:w="1524" w:type="dxa"/>
            <w:tcBorders>
              <w:top w:val="nil"/>
              <w:bottom w:val="nil"/>
            </w:tcBorders>
            <w:shd w:val="clear" w:color="auto" w:fill="auto"/>
            <w:noWrap/>
            <w:vAlign w:val="bottom"/>
            <w:hideMark/>
          </w:tcPr>
          <w:p w14:paraId="3343492F" w14:textId="77777777" w:rsidR="005C75F8" w:rsidRPr="00064CDF" w:rsidRDefault="005C75F8" w:rsidP="00F95101">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66.67 a</w:t>
            </w:r>
          </w:p>
        </w:tc>
      </w:tr>
      <w:tr w:rsidR="005C75F8" w:rsidRPr="00064CDF" w14:paraId="764BACF3" w14:textId="77777777" w:rsidTr="00384CCE">
        <w:trPr>
          <w:trHeight w:val="197"/>
          <w:jc w:val="center"/>
        </w:trPr>
        <w:tc>
          <w:tcPr>
            <w:tcW w:w="1124" w:type="dxa"/>
            <w:tcBorders>
              <w:top w:val="nil"/>
            </w:tcBorders>
            <w:vAlign w:val="bottom"/>
          </w:tcPr>
          <w:p w14:paraId="465D45D0" w14:textId="77777777" w:rsidR="005C75F8" w:rsidRPr="00064CDF" w:rsidRDefault="005C75F8" w:rsidP="00F95101">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Group 4</w:t>
            </w:r>
          </w:p>
        </w:tc>
        <w:tc>
          <w:tcPr>
            <w:tcW w:w="1853" w:type="dxa"/>
            <w:tcBorders>
              <w:top w:val="nil"/>
            </w:tcBorders>
            <w:shd w:val="clear" w:color="auto" w:fill="auto"/>
            <w:noWrap/>
            <w:vAlign w:val="bottom"/>
            <w:hideMark/>
          </w:tcPr>
          <w:p w14:paraId="034C1714" w14:textId="77777777" w:rsidR="005C75F8" w:rsidRPr="00064CDF" w:rsidRDefault="005C75F8" w:rsidP="00F95101">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220.00 a</w:t>
            </w:r>
          </w:p>
        </w:tc>
        <w:tc>
          <w:tcPr>
            <w:tcW w:w="1559" w:type="dxa"/>
            <w:tcBorders>
              <w:top w:val="nil"/>
            </w:tcBorders>
            <w:shd w:val="clear" w:color="auto" w:fill="auto"/>
            <w:noWrap/>
            <w:vAlign w:val="bottom"/>
            <w:hideMark/>
          </w:tcPr>
          <w:p w14:paraId="191E1DEE" w14:textId="77777777" w:rsidR="005C75F8" w:rsidRPr="00064CDF" w:rsidRDefault="005C75F8" w:rsidP="00F95101">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73.33 ab</w:t>
            </w:r>
          </w:p>
        </w:tc>
        <w:tc>
          <w:tcPr>
            <w:tcW w:w="1559" w:type="dxa"/>
            <w:tcBorders>
              <w:top w:val="nil"/>
            </w:tcBorders>
            <w:shd w:val="clear" w:color="auto" w:fill="auto"/>
            <w:noWrap/>
            <w:vAlign w:val="bottom"/>
            <w:hideMark/>
          </w:tcPr>
          <w:p w14:paraId="336EE7C4" w14:textId="77777777" w:rsidR="005C75F8" w:rsidRPr="00064CDF" w:rsidRDefault="005C75F8" w:rsidP="00F95101">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26.67 c</w:t>
            </w:r>
          </w:p>
        </w:tc>
        <w:tc>
          <w:tcPr>
            <w:tcW w:w="1276" w:type="dxa"/>
            <w:tcBorders>
              <w:top w:val="nil"/>
            </w:tcBorders>
            <w:shd w:val="clear" w:color="auto" w:fill="auto"/>
            <w:noWrap/>
            <w:vAlign w:val="bottom"/>
            <w:hideMark/>
          </w:tcPr>
          <w:p w14:paraId="40BE0C71" w14:textId="77777777" w:rsidR="005C75F8" w:rsidRPr="00064CDF" w:rsidRDefault="005C75F8" w:rsidP="00F95101">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78.33 a</w:t>
            </w:r>
          </w:p>
        </w:tc>
        <w:tc>
          <w:tcPr>
            <w:tcW w:w="1524" w:type="dxa"/>
            <w:tcBorders>
              <w:top w:val="nil"/>
            </w:tcBorders>
            <w:shd w:val="clear" w:color="auto" w:fill="auto"/>
            <w:noWrap/>
            <w:vAlign w:val="bottom"/>
            <w:hideMark/>
          </w:tcPr>
          <w:p w14:paraId="55F01468" w14:textId="77777777" w:rsidR="005C75F8" w:rsidRPr="00064CDF" w:rsidRDefault="005C75F8" w:rsidP="00F95101">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21.67 b</w:t>
            </w:r>
          </w:p>
        </w:tc>
      </w:tr>
      <w:tr w:rsidR="005C75F8" w:rsidRPr="00064CDF" w14:paraId="610CDEF0" w14:textId="77777777" w:rsidTr="00384CCE">
        <w:trPr>
          <w:trHeight w:val="197"/>
          <w:jc w:val="center"/>
        </w:trPr>
        <w:tc>
          <w:tcPr>
            <w:tcW w:w="1124" w:type="dxa"/>
            <w:vAlign w:val="bottom"/>
          </w:tcPr>
          <w:p w14:paraId="5036D7F1" w14:textId="77777777" w:rsidR="005C75F8" w:rsidRPr="00064CDF" w:rsidRDefault="005C75F8" w:rsidP="00F95101">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Group 5</w:t>
            </w:r>
          </w:p>
        </w:tc>
        <w:tc>
          <w:tcPr>
            <w:tcW w:w="1853" w:type="dxa"/>
            <w:shd w:val="clear" w:color="auto" w:fill="auto"/>
            <w:noWrap/>
            <w:vAlign w:val="bottom"/>
            <w:hideMark/>
          </w:tcPr>
          <w:p w14:paraId="63072785" w14:textId="77777777" w:rsidR="005C75F8" w:rsidRPr="00064CDF" w:rsidRDefault="005C75F8" w:rsidP="00F95101">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245.33 a</w:t>
            </w:r>
          </w:p>
        </w:tc>
        <w:tc>
          <w:tcPr>
            <w:tcW w:w="1559" w:type="dxa"/>
            <w:shd w:val="clear" w:color="auto" w:fill="auto"/>
            <w:noWrap/>
            <w:vAlign w:val="bottom"/>
            <w:hideMark/>
          </w:tcPr>
          <w:p w14:paraId="2483F388" w14:textId="77777777" w:rsidR="005C75F8" w:rsidRPr="00064CDF" w:rsidRDefault="005C75F8" w:rsidP="00F95101">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 xml:space="preserve">68.33 </w:t>
            </w:r>
            <w:proofErr w:type="spellStart"/>
            <w:r w:rsidRPr="00064CDF">
              <w:rPr>
                <w:rFonts w:ascii="Times New Roman" w:eastAsia="Times New Roman" w:hAnsi="Times New Roman" w:cs="Times New Roman"/>
                <w:color w:val="000000"/>
                <w:sz w:val="24"/>
                <w:szCs w:val="24"/>
              </w:rPr>
              <w:t>bc</w:t>
            </w:r>
            <w:proofErr w:type="spellEnd"/>
          </w:p>
        </w:tc>
        <w:tc>
          <w:tcPr>
            <w:tcW w:w="1559" w:type="dxa"/>
            <w:shd w:val="clear" w:color="auto" w:fill="auto"/>
            <w:noWrap/>
            <w:vAlign w:val="bottom"/>
            <w:hideMark/>
          </w:tcPr>
          <w:p w14:paraId="7522768E" w14:textId="77777777" w:rsidR="005C75F8" w:rsidRPr="00064CDF" w:rsidRDefault="005C75F8" w:rsidP="00F95101">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28.33 c</w:t>
            </w:r>
          </w:p>
        </w:tc>
        <w:tc>
          <w:tcPr>
            <w:tcW w:w="1276" w:type="dxa"/>
            <w:shd w:val="clear" w:color="auto" w:fill="auto"/>
            <w:noWrap/>
            <w:vAlign w:val="bottom"/>
            <w:hideMark/>
          </w:tcPr>
          <w:p w14:paraId="462B10BC" w14:textId="77777777" w:rsidR="005C75F8" w:rsidRPr="00064CDF" w:rsidRDefault="005C75F8" w:rsidP="00F95101">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80.00 a</w:t>
            </w:r>
          </w:p>
        </w:tc>
        <w:tc>
          <w:tcPr>
            <w:tcW w:w="1524" w:type="dxa"/>
            <w:shd w:val="clear" w:color="auto" w:fill="auto"/>
            <w:noWrap/>
            <w:vAlign w:val="bottom"/>
            <w:hideMark/>
          </w:tcPr>
          <w:p w14:paraId="7D2DCC8B" w14:textId="77777777" w:rsidR="005C75F8" w:rsidRPr="00064CDF" w:rsidRDefault="005C75F8" w:rsidP="00F95101">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20.00 b</w:t>
            </w:r>
          </w:p>
        </w:tc>
      </w:tr>
      <w:tr w:rsidR="005C75F8" w:rsidRPr="00064CDF" w14:paraId="4B6D929F" w14:textId="77777777" w:rsidTr="00384CCE">
        <w:trPr>
          <w:trHeight w:val="197"/>
          <w:jc w:val="center"/>
        </w:trPr>
        <w:tc>
          <w:tcPr>
            <w:tcW w:w="1124" w:type="dxa"/>
            <w:vAlign w:val="bottom"/>
          </w:tcPr>
          <w:p w14:paraId="45D19380" w14:textId="77777777" w:rsidR="005C75F8" w:rsidRPr="00064CDF" w:rsidRDefault="005C75F8" w:rsidP="00F95101">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Group 6</w:t>
            </w:r>
          </w:p>
        </w:tc>
        <w:tc>
          <w:tcPr>
            <w:tcW w:w="1853" w:type="dxa"/>
            <w:shd w:val="clear" w:color="auto" w:fill="auto"/>
            <w:noWrap/>
            <w:vAlign w:val="bottom"/>
            <w:hideMark/>
          </w:tcPr>
          <w:p w14:paraId="14146813" w14:textId="77777777" w:rsidR="005C75F8" w:rsidRPr="00064CDF" w:rsidRDefault="005C75F8" w:rsidP="00F95101">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254.00 a</w:t>
            </w:r>
          </w:p>
        </w:tc>
        <w:tc>
          <w:tcPr>
            <w:tcW w:w="1559" w:type="dxa"/>
            <w:shd w:val="clear" w:color="auto" w:fill="auto"/>
            <w:noWrap/>
            <w:vAlign w:val="bottom"/>
            <w:hideMark/>
          </w:tcPr>
          <w:p w14:paraId="6DE95AD2" w14:textId="77777777" w:rsidR="005C75F8" w:rsidRPr="00064CDF" w:rsidRDefault="005C75F8" w:rsidP="00F95101">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 xml:space="preserve">70.00 </w:t>
            </w:r>
            <w:proofErr w:type="spellStart"/>
            <w:r w:rsidRPr="00064CDF">
              <w:rPr>
                <w:rFonts w:ascii="Times New Roman" w:eastAsia="Times New Roman" w:hAnsi="Times New Roman" w:cs="Times New Roman"/>
                <w:color w:val="000000"/>
                <w:sz w:val="24"/>
                <w:szCs w:val="24"/>
              </w:rPr>
              <w:t>abc</w:t>
            </w:r>
            <w:proofErr w:type="spellEnd"/>
          </w:p>
        </w:tc>
        <w:tc>
          <w:tcPr>
            <w:tcW w:w="1559" w:type="dxa"/>
            <w:shd w:val="clear" w:color="auto" w:fill="auto"/>
            <w:noWrap/>
            <w:vAlign w:val="bottom"/>
            <w:hideMark/>
          </w:tcPr>
          <w:p w14:paraId="2C4E13CA" w14:textId="77777777" w:rsidR="005C75F8" w:rsidRPr="00064CDF" w:rsidRDefault="005C75F8" w:rsidP="00F95101">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 xml:space="preserve">30.00 </w:t>
            </w:r>
            <w:proofErr w:type="spellStart"/>
            <w:r w:rsidRPr="00064CDF">
              <w:rPr>
                <w:rFonts w:ascii="Times New Roman" w:eastAsia="Times New Roman" w:hAnsi="Times New Roman" w:cs="Times New Roman"/>
                <w:color w:val="000000"/>
                <w:sz w:val="24"/>
                <w:szCs w:val="24"/>
              </w:rPr>
              <w:t>bc</w:t>
            </w:r>
            <w:proofErr w:type="spellEnd"/>
          </w:p>
        </w:tc>
        <w:tc>
          <w:tcPr>
            <w:tcW w:w="1276" w:type="dxa"/>
            <w:shd w:val="clear" w:color="auto" w:fill="auto"/>
            <w:noWrap/>
            <w:vAlign w:val="bottom"/>
            <w:hideMark/>
          </w:tcPr>
          <w:p w14:paraId="4A59FCA1" w14:textId="77777777" w:rsidR="005C75F8" w:rsidRPr="00064CDF" w:rsidRDefault="005C75F8" w:rsidP="00F95101">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80.00 a</w:t>
            </w:r>
          </w:p>
        </w:tc>
        <w:tc>
          <w:tcPr>
            <w:tcW w:w="1524" w:type="dxa"/>
            <w:shd w:val="clear" w:color="auto" w:fill="auto"/>
            <w:noWrap/>
            <w:vAlign w:val="bottom"/>
            <w:hideMark/>
          </w:tcPr>
          <w:p w14:paraId="793D9AEE" w14:textId="77777777" w:rsidR="005C75F8" w:rsidRPr="00064CDF" w:rsidRDefault="005C75F8" w:rsidP="00F95101">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20.00 b</w:t>
            </w:r>
          </w:p>
        </w:tc>
      </w:tr>
      <w:tr w:rsidR="005C75F8" w:rsidRPr="00064CDF" w14:paraId="20730A17" w14:textId="77777777" w:rsidTr="00384CCE">
        <w:trPr>
          <w:trHeight w:val="197"/>
          <w:jc w:val="center"/>
        </w:trPr>
        <w:tc>
          <w:tcPr>
            <w:tcW w:w="1124" w:type="dxa"/>
            <w:vAlign w:val="bottom"/>
          </w:tcPr>
          <w:p w14:paraId="459EC8D6" w14:textId="77777777" w:rsidR="005C75F8" w:rsidRPr="00064CDF" w:rsidRDefault="005C75F8" w:rsidP="00F95101">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Group 7</w:t>
            </w:r>
          </w:p>
        </w:tc>
        <w:tc>
          <w:tcPr>
            <w:tcW w:w="1853" w:type="dxa"/>
            <w:shd w:val="clear" w:color="auto" w:fill="auto"/>
            <w:noWrap/>
            <w:vAlign w:val="bottom"/>
            <w:hideMark/>
          </w:tcPr>
          <w:p w14:paraId="778B82DE" w14:textId="77777777" w:rsidR="005C75F8" w:rsidRPr="00064CDF" w:rsidRDefault="005C75F8" w:rsidP="00F95101">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162.67 b</w:t>
            </w:r>
          </w:p>
        </w:tc>
        <w:tc>
          <w:tcPr>
            <w:tcW w:w="1559" w:type="dxa"/>
            <w:shd w:val="clear" w:color="auto" w:fill="auto"/>
            <w:noWrap/>
            <w:vAlign w:val="bottom"/>
            <w:hideMark/>
          </w:tcPr>
          <w:p w14:paraId="3E2889A4" w14:textId="77777777" w:rsidR="005C75F8" w:rsidRPr="00064CDF" w:rsidRDefault="005C75F8" w:rsidP="00F95101">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61.67 c</w:t>
            </w:r>
          </w:p>
        </w:tc>
        <w:tc>
          <w:tcPr>
            <w:tcW w:w="1559" w:type="dxa"/>
            <w:shd w:val="clear" w:color="auto" w:fill="auto"/>
            <w:noWrap/>
            <w:vAlign w:val="bottom"/>
            <w:hideMark/>
          </w:tcPr>
          <w:p w14:paraId="34353052" w14:textId="77777777" w:rsidR="005C75F8" w:rsidRPr="00064CDF" w:rsidRDefault="005C75F8" w:rsidP="00F95101">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38.33 b</w:t>
            </w:r>
          </w:p>
        </w:tc>
        <w:tc>
          <w:tcPr>
            <w:tcW w:w="1276" w:type="dxa"/>
            <w:shd w:val="clear" w:color="auto" w:fill="auto"/>
            <w:noWrap/>
            <w:vAlign w:val="bottom"/>
            <w:hideMark/>
          </w:tcPr>
          <w:p w14:paraId="778B8829" w14:textId="77777777" w:rsidR="005C75F8" w:rsidRPr="00064CDF" w:rsidRDefault="005C75F8" w:rsidP="00F95101">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80.00 a</w:t>
            </w:r>
          </w:p>
        </w:tc>
        <w:tc>
          <w:tcPr>
            <w:tcW w:w="1524" w:type="dxa"/>
            <w:shd w:val="clear" w:color="auto" w:fill="auto"/>
            <w:noWrap/>
            <w:vAlign w:val="bottom"/>
            <w:hideMark/>
          </w:tcPr>
          <w:p w14:paraId="3EF38CF3" w14:textId="77777777" w:rsidR="005C75F8" w:rsidRPr="00064CDF" w:rsidRDefault="005C75F8" w:rsidP="00F95101">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20.00 b</w:t>
            </w:r>
          </w:p>
        </w:tc>
      </w:tr>
      <w:tr w:rsidR="005C75F8" w:rsidRPr="00064CDF" w14:paraId="3BA31E0F" w14:textId="77777777" w:rsidTr="00384CCE">
        <w:trPr>
          <w:trHeight w:val="197"/>
          <w:jc w:val="center"/>
        </w:trPr>
        <w:tc>
          <w:tcPr>
            <w:tcW w:w="1124" w:type="dxa"/>
            <w:vAlign w:val="bottom"/>
          </w:tcPr>
          <w:p w14:paraId="7856D697" w14:textId="77777777" w:rsidR="005C75F8" w:rsidRPr="00064CDF" w:rsidRDefault="005C75F8" w:rsidP="00F95101">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Group 8</w:t>
            </w:r>
          </w:p>
        </w:tc>
        <w:tc>
          <w:tcPr>
            <w:tcW w:w="1853" w:type="dxa"/>
            <w:shd w:val="clear" w:color="auto" w:fill="auto"/>
            <w:noWrap/>
            <w:vAlign w:val="bottom"/>
            <w:hideMark/>
          </w:tcPr>
          <w:p w14:paraId="36734E93" w14:textId="77777777" w:rsidR="005C75F8" w:rsidRPr="00064CDF" w:rsidRDefault="005C75F8" w:rsidP="00F95101">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228.67 a</w:t>
            </w:r>
          </w:p>
        </w:tc>
        <w:tc>
          <w:tcPr>
            <w:tcW w:w="1559" w:type="dxa"/>
            <w:shd w:val="clear" w:color="auto" w:fill="auto"/>
            <w:noWrap/>
            <w:vAlign w:val="bottom"/>
            <w:hideMark/>
          </w:tcPr>
          <w:p w14:paraId="009A30A7" w14:textId="77777777" w:rsidR="005C75F8" w:rsidRPr="00064CDF" w:rsidRDefault="005C75F8" w:rsidP="00F95101">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75.00 ab</w:t>
            </w:r>
          </w:p>
        </w:tc>
        <w:tc>
          <w:tcPr>
            <w:tcW w:w="1559" w:type="dxa"/>
            <w:shd w:val="clear" w:color="auto" w:fill="auto"/>
            <w:noWrap/>
            <w:vAlign w:val="bottom"/>
            <w:hideMark/>
          </w:tcPr>
          <w:p w14:paraId="36492294" w14:textId="77777777" w:rsidR="005C75F8" w:rsidRPr="00064CDF" w:rsidRDefault="005C75F8" w:rsidP="00F95101">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25.00 c</w:t>
            </w:r>
          </w:p>
        </w:tc>
        <w:tc>
          <w:tcPr>
            <w:tcW w:w="1276" w:type="dxa"/>
            <w:shd w:val="clear" w:color="auto" w:fill="auto"/>
            <w:noWrap/>
            <w:vAlign w:val="bottom"/>
            <w:hideMark/>
          </w:tcPr>
          <w:p w14:paraId="2EC04C2D" w14:textId="77777777" w:rsidR="005C75F8" w:rsidRPr="00064CDF" w:rsidRDefault="005C75F8" w:rsidP="00F95101">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80.00 a</w:t>
            </w:r>
          </w:p>
        </w:tc>
        <w:tc>
          <w:tcPr>
            <w:tcW w:w="1524" w:type="dxa"/>
            <w:shd w:val="clear" w:color="auto" w:fill="auto"/>
            <w:noWrap/>
            <w:vAlign w:val="bottom"/>
            <w:hideMark/>
          </w:tcPr>
          <w:p w14:paraId="2237396F" w14:textId="77777777" w:rsidR="005C75F8" w:rsidRPr="00064CDF" w:rsidRDefault="005C75F8" w:rsidP="00F95101">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20.00 b</w:t>
            </w:r>
          </w:p>
        </w:tc>
      </w:tr>
      <w:tr w:rsidR="005C75F8" w:rsidRPr="00064CDF" w14:paraId="32239B33" w14:textId="77777777" w:rsidTr="00384CCE">
        <w:trPr>
          <w:trHeight w:val="197"/>
          <w:jc w:val="center"/>
        </w:trPr>
        <w:tc>
          <w:tcPr>
            <w:tcW w:w="1124" w:type="dxa"/>
            <w:vAlign w:val="bottom"/>
          </w:tcPr>
          <w:p w14:paraId="7BC4EAE8" w14:textId="77777777" w:rsidR="005C75F8" w:rsidRPr="00064CDF" w:rsidRDefault="005C75F8" w:rsidP="00F95101">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Group 9</w:t>
            </w:r>
          </w:p>
        </w:tc>
        <w:tc>
          <w:tcPr>
            <w:tcW w:w="1853" w:type="dxa"/>
            <w:shd w:val="clear" w:color="auto" w:fill="auto"/>
            <w:noWrap/>
            <w:vAlign w:val="bottom"/>
            <w:hideMark/>
          </w:tcPr>
          <w:p w14:paraId="4C74AEBB" w14:textId="77777777" w:rsidR="005C75F8" w:rsidRPr="00064CDF" w:rsidRDefault="005C75F8" w:rsidP="00F95101">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248.00 a</w:t>
            </w:r>
          </w:p>
        </w:tc>
        <w:tc>
          <w:tcPr>
            <w:tcW w:w="1559" w:type="dxa"/>
            <w:shd w:val="clear" w:color="auto" w:fill="auto"/>
            <w:noWrap/>
            <w:vAlign w:val="bottom"/>
            <w:hideMark/>
          </w:tcPr>
          <w:p w14:paraId="33601DDE" w14:textId="77777777" w:rsidR="005C75F8" w:rsidRPr="00064CDF" w:rsidRDefault="005C75F8" w:rsidP="00F95101">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78.33 a</w:t>
            </w:r>
          </w:p>
        </w:tc>
        <w:tc>
          <w:tcPr>
            <w:tcW w:w="1559" w:type="dxa"/>
            <w:shd w:val="clear" w:color="auto" w:fill="auto"/>
            <w:noWrap/>
            <w:vAlign w:val="bottom"/>
            <w:hideMark/>
          </w:tcPr>
          <w:p w14:paraId="096690A3" w14:textId="77777777" w:rsidR="005C75F8" w:rsidRPr="00064CDF" w:rsidRDefault="005C75F8" w:rsidP="00F95101">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21.67 c</w:t>
            </w:r>
          </w:p>
        </w:tc>
        <w:tc>
          <w:tcPr>
            <w:tcW w:w="1276" w:type="dxa"/>
            <w:shd w:val="clear" w:color="auto" w:fill="auto"/>
            <w:noWrap/>
            <w:vAlign w:val="bottom"/>
            <w:hideMark/>
          </w:tcPr>
          <w:p w14:paraId="3EC77F87" w14:textId="77777777" w:rsidR="005C75F8" w:rsidRPr="00064CDF" w:rsidRDefault="005C75F8" w:rsidP="00F95101">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80.00 a</w:t>
            </w:r>
          </w:p>
        </w:tc>
        <w:tc>
          <w:tcPr>
            <w:tcW w:w="1524" w:type="dxa"/>
            <w:shd w:val="clear" w:color="auto" w:fill="auto"/>
            <w:noWrap/>
            <w:vAlign w:val="bottom"/>
            <w:hideMark/>
          </w:tcPr>
          <w:p w14:paraId="06742E5F" w14:textId="77777777" w:rsidR="005C75F8" w:rsidRPr="00064CDF" w:rsidRDefault="005C75F8" w:rsidP="00F95101">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20.00 b</w:t>
            </w:r>
          </w:p>
        </w:tc>
      </w:tr>
      <w:tr w:rsidR="005C75F8" w:rsidRPr="00064CDF" w14:paraId="300B0320" w14:textId="77777777" w:rsidTr="00384CCE">
        <w:trPr>
          <w:trHeight w:val="197"/>
          <w:jc w:val="center"/>
        </w:trPr>
        <w:tc>
          <w:tcPr>
            <w:tcW w:w="1124" w:type="dxa"/>
            <w:vAlign w:val="bottom"/>
          </w:tcPr>
          <w:p w14:paraId="1B05BF35" w14:textId="77777777" w:rsidR="005C75F8" w:rsidRPr="00064CDF" w:rsidRDefault="005C75F8" w:rsidP="00F95101">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P-value</w:t>
            </w:r>
          </w:p>
        </w:tc>
        <w:tc>
          <w:tcPr>
            <w:tcW w:w="1853" w:type="dxa"/>
            <w:shd w:val="clear" w:color="auto" w:fill="auto"/>
            <w:noWrap/>
          </w:tcPr>
          <w:p w14:paraId="46851943" w14:textId="77777777" w:rsidR="005C75F8" w:rsidRPr="00064CDF" w:rsidRDefault="005C75F8" w:rsidP="00F95101">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Calibri" w:hAnsi="Times New Roman" w:cs="Times New Roman"/>
                <w:color w:val="000000"/>
                <w:sz w:val="24"/>
                <w:szCs w:val="24"/>
              </w:rPr>
              <w:t>&lt;0.002</w:t>
            </w:r>
          </w:p>
        </w:tc>
        <w:tc>
          <w:tcPr>
            <w:tcW w:w="1559" w:type="dxa"/>
            <w:shd w:val="clear" w:color="auto" w:fill="auto"/>
            <w:noWrap/>
          </w:tcPr>
          <w:p w14:paraId="7B270457" w14:textId="77777777" w:rsidR="005C75F8" w:rsidRPr="00064CDF" w:rsidRDefault="005C75F8" w:rsidP="00F95101">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Calibri" w:hAnsi="Times New Roman" w:cs="Times New Roman"/>
                <w:color w:val="000000"/>
                <w:sz w:val="24"/>
                <w:szCs w:val="24"/>
              </w:rPr>
              <w:t>&lt;0.001</w:t>
            </w:r>
          </w:p>
        </w:tc>
        <w:tc>
          <w:tcPr>
            <w:tcW w:w="1559" w:type="dxa"/>
            <w:shd w:val="clear" w:color="auto" w:fill="auto"/>
            <w:noWrap/>
          </w:tcPr>
          <w:p w14:paraId="22DE781E" w14:textId="77777777" w:rsidR="005C75F8" w:rsidRPr="00064CDF" w:rsidRDefault="005C75F8" w:rsidP="00F95101">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Calibri" w:hAnsi="Times New Roman" w:cs="Times New Roman"/>
                <w:color w:val="000000"/>
                <w:sz w:val="24"/>
                <w:szCs w:val="24"/>
              </w:rPr>
              <w:t>&lt;0.001</w:t>
            </w:r>
          </w:p>
        </w:tc>
        <w:tc>
          <w:tcPr>
            <w:tcW w:w="1276" w:type="dxa"/>
            <w:shd w:val="clear" w:color="auto" w:fill="auto"/>
            <w:noWrap/>
          </w:tcPr>
          <w:p w14:paraId="4BB2C9C6" w14:textId="77777777" w:rsidR="005C75F8" w:rsidRPr="00064CDF" w:rsidRDefault="005C75F8" w:rsidP="00F95101">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Calibri" w:hAnsi="Times New Roman" w:cs="Times New Roman"/>
                <w:color w:val="000000"/>
                <w:sz w:val="24"/>
                <w:szCs w:val="24"/>
              </w:rPr>
              <w:t>&lt;0.001</w:t>
            </w:r>
          </w:p>
        </w:tc>
        <w:tc>
          <w:tcPr>
            <w:tcW w:w="1524" w:type="dxa"/>
            <w:shd w:val="clear" w:color="auto" w:fill="auto"/>
            <w:noWrap/>
          </w:tcPr>
          <w:p w14:paraId="24F39795" w14:textId="77777777" w:rsidR="005C75F8" w:rsidRPr="00064CDF" w:rsidRDefault="005C75F8" w:rsidP="00F95101">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Calibri" w:hAnsi="Times New Roman" w:cs="Times New Roman"/>
                <w:color w:val="000000"/>
                <w:sz w:val="24"/>
                <w:szCs w:val="24"/>
              </w:rPr>
              <w:t>&lt;0.001</w:t>
            </w:r>
          </w:p>
        </w:tc>
      </w:tr>
      <w:tr w:rsidR="005C75F8" w:rsidRPr="00064CDF" w14:paraId="07D5C1D4" w14:textId="77777777" w:rsidTr="00384CCE">
        <w:trPr>
          <w:trHeight w:val="197"/>
          <w:jc w:val="center"/>
        </w:trPr>
        <w:tc>
          <w:tcPr>
            <w:tcW w:w="1124" w:type="dxa"/>
            <w:vAlign w:val="bottom"/>
          </w:tcPr>
          <w:p w14:paraId="3183ADDB" w14:textId="77777777" w:rsidR="005C75F8" w:rsidRPr="00064CDF" w:rsidRDefault="005C75F8" w:rsidP="00F95101">
            <w:pPr>
              <w:spacing w:before="240" w:after="240" w:line="240" w:lineRule="auto"/>
              <w:jc w:val="both"/>
              <w:rPr>
                <w:rFonts w:ascii="Times New Roman" w:eastAsia="Times New Roman" w:hAnsi="Times New Roman" w:cs="Times New Roman"/>
                <w:color w:val="000000"/>
                <w:sz w:val="24"/>
                <w:szCs w:val="24"/>
              </w:rPr>
            </w:pPr>
            <w:proofErr w:type="spellStart"/>
            <w:r w:rsidRPr="00064CDF">
              <w:rPr>
                <w:rFonts w:ascii="Times New Roman" w:eastAsia="Times New Roman" w:hAnsi="Times New Roman" w:cs="Times New Roman"/>
                <w:color w:val="000000"/>
                <w:sz w:val="24"/>
                <w:szCs w:val="24"/>
              </w:rPr>
              <w:t>Cv</w:t>
            </w:r>
            <w:proofErr w:type="spellEnd"/>
            <w:r w:rsidRPr="00064CDF">
              <w:rPr>
                <w:rFonts w:ascii="Times New Roman" w:eastAsia="Times New Roman" w:hAnsi="Times New Roman" w:cs="Times New Roman"/>
                <w:color w:val="000000"/>
                <w:sz w:val="24"/>
                <w:szCs w:val="24"/>
              </w:rPr>
              <w:t xml:space="preserve"> (%)</w:t>
            </w:r>
          </w:p>
        </w:tc>
        <w:tc>
          <w:tcPr>
            <w:tcW w:w="1853" w:type="dxa"/>
            <w:shd w:val="clear" w:color="auto" w:fill="auto"/>
            <w:noWrap/>
            <w:vAlign w:val="bottom"/>
          </w:tcPr>
          <w:p w14:paraId="23B16C1F" w14:textId="77777777" w:rsidR="005C75F8" w:rsidRPr="00064CDF" w:rsidRDefault="005C75F8" w:rsidP="00F95101">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12.90</w:t>
            </w:r>
          </w:p>
        </w:tc>
        <w:tc>
          <w:tcPr>
            <w:tcW w:w="1559" w:type="dxa"/>
            <w:shd w:val="clear" w:color="auto" w:fill="auto"/>
            <w:noWrap/>
            <w:vAlign w:val="bottom"/>
          </w:tcPr>
          <w:p w14:paraId="688DB8A0" w14:textId="77777777" w:rsidR="005C75F8" w:rsidRPr="00064CDF" w:rsidRDefault="005C75F8" w:rsidP="00F95101">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7.20</w:t>
            </w:r>
          </w:p>
        </w:tc>
        <w:tc>
          <w:tcPr>
            <w:tcW w:w="1559" w:type="dxa"/>
            <w:shd w:val="clear" w:color="auto" w:fill="auto"/>
            <w:noWrap/>
            <w:vAlign w:val="bottom"/>
          </w:tcPr>
          <w:p w14:paraId="1FF0CA63" w14:textId="77777777" w:rsidR="005C75F8" w:rsidRPr="00064CDF" w:rsidRDefault="005C75F8" w:rsidP="00F95101">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16.50</w:t>
            </w:r>
          </w:p>
        </w:tc>
        <w:tc>
          <w:tcPr>
            <w:tcW w:w="1276" w:type="dxa"/>
            <w:shd w:val="clear" w:color="auto" w:fill="auto"/>
            <w:noWrap/>
            <w:vAlign w:val="bottom"/>
          </w:tcPr>
          <w:p w14:paraId="7390FFE5" w14:textId="77777777" w:rsidR="005C75F8" w:rsidRPr="00064CDF" w:rsidRDefault="005C75F8" w:rsidP="00F95101">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4.30</w:t>
            </w:r>
          </w:p>
        </w:tc>
        <w:tc>
          <w:tcPr>
            <w:tcW w:w="1524" w:type="dxa"/>
            <w:shd w:val="clear" w:color="auto" w:fill="auto"/>
            <w:noWrap/>
            <w:vAlign w:val="bottom"/>
          </w:tcPr>
          <w:p w14:paraId="1CB5DC6B" w14:textId="77777777" w:rsidR="005C75F8" w:rsidRPr="00064CDF" w:rsidRDefault="005C75F8" w:rsidP="00F95101">
            <w:pPr>
              <w:spacing w:before="240" w:after="240" w:line="240" w:lineRule="auto"/>
              <w:jc w:val="both"/>
              <w:rPr>
                <w:rFonts w:ascii="Times New Roman" w:eastAsia="Times New Roman" w:hAnsi="Times New Roman" w:cs="Times New Roman"/>
                <w:color w:val="000000"/>
                <w:sz w:val="24"/>
                <w:szCs w:val="24"/>
              </w:rPr>
            </w:pPr>
            <w:r w:rsidRPr="00064CDF">
              <w:rPr>
                <w:rFonts w:ascii="Times New Roman" w:eastAsia="Times New Roman" w:hAnsi="Times New Roman" w:cs="Times New Roman"/>
                <w:color w:val="000000"/>
                <w:sz w:val="24"/>
                <w:szCs w:val="24"/>
              </w:rPr>
              <w:t>12.60</w:t>
            </w:r>
          </w:p>
        </w:tc>
      </w:tr>
    </w:tbl>
    <w:p w14:paraId="2E798409" w14:textId="77777777" w:rsidR="005C75F8" w:rsidRPr="00064CDF" w:rsidRDefault="005C75F8" w:rsidP="00F95101">
      <w:pPr>
        <w:spacing w:before="240" w:after="240" w:line="240" w:lineRule="auto"/>
        <w:jc w:val="both"/>
        <w:rPr>
          <w:rFonts w:ascii="Times New Roman" w:eastAsia="Yu Mincho" w:hAnsi="Times New Roman" w:cs="Times New Roman"/>
          <w:sz w:val="24"/>
          <w:szCs w:val="24"/>
          <w:lang w:val="en-US" w:eastAsia="ja-JP"/>
        </w:rPr>
      </w:pPr>
      <w:r w:rsidRPr="00064CDF">
        <w:rPr>
          <w:rFonts w:ascii="Times New Roman" w:eastAsia="Yu Mincho" w:hAnsi="Times New Roman" w:cs="Times New Roman"/>
          <w:sz w:val="24"/>
          <w:szCs w:val="24"/>
          <w:lang w:val="en-US" w:eastAsia="ja-JP"/>
        </w:rPr>
        <w:t>Bars (means) with the same alphabet are not significantly different from each other (DNMRT, P &gt; 0.05)</w:t>
      </w:r>
    </w:p>
    <w:p w14:paraId="06CB1295" w14:textId="77777777" w:rsidR="005C75F8" w:rsidRPr="00064CDF" w:rsidRDefault="005C75F8" w:rsidP="00F95101">
      <w:pPr>
        <w:spacing w:before="240" w:after="240" w:line="240" w:lineRule="auto"/>
        <w:jc w:val="both"/>
        <w:rPr>
          <w:rFonts w:ascii="Times New Roman" w:eastAsia="Yu Mincho" w:hAnsi="Times New Roman" w:cs="Times New Roman"/>
          <w:sz w:val="24"/>
          <w:szCs w:val="24"/>
          <w:lang w:val="en-US" w:eastAsia="ja-JP"/>
        </w:rPr>
      </w:pPr>
    </w:p>
    <w:p w14:paraId="37949248" w14:textId="77777777" w:rsidR="005C75F8" w:rsidRPr="00064CDF" w:rsidRDefault="005C75F8" w:rsidP="00F95101">
      <w:pPr>
        <w:spacing w:before="240" w:after="240" w:line="240" w:lineRule="auto"/>
        <w:jc w:val="both"/>
        <w:rPr>
          <w:rFonts w:ascii="Times New Roman" w:eastAsia="Yu Mincho" w:hAnsi="Times New Roman" w:cs="Times New Roman"/>
          <w:sz w:val="24"/>
          <w:szCs w:val="24"/>
          <w:lang w:val="en-US" w:eastAsia="ja-JP"/>
        </w:rPr>
      </w:pPr>
      <w:r w:rsidRPr="00064CDF">
        <w:rPr>
          <w:rFonts w:ascii="Times New Roman" w:eastAsia="Yu Mincho" w:hAnsi="Times New Roman" w:cs="Times New Roman"/>
          <w:sz w:val="24"/>
          <w:szCs w:val="24"/>
          <w:lang w:val="en-US" w:eastAsia="ja-JP"/>
        </w:rPr>
        <w:t xml:space="preserve">Group 1 = (Normal control) Distilled Water at 1 ml/kg </w:t>
      </w:r>
      <w:proofErr w:type="spellStart"/>
      <w:r w:rsidRPr="00064CDF">
        <w:rPr>
          <w:rFonts w:ascii="Times New Roman" w:eastAsia="Yu Mincho" w:hAnsi="Times New Roman" w:cs="Times New Roman"/>
          <w:sz w:val="24"/>
          <w:szCs w:val="24"/>
          <w:lang w:val="en-US" w:eastAsia="ja-JP"/>
        </w:rPr>
        <w:t>bw</w:t>
      </w:r>
      <w:proofErr w:type="spellEnd"/>
    </w:p>
    <w:p w14:paraId="59BC97D1" w14:textId="77777777" w:rsidR="005C75F8" w:rsidRPr="00064CDF" w:rsidRDefault="005C75F8" w:rsidP="00F95101">
      <w:pPr>
        <w:spacing w:before="240" w:after="240" w:line="240" w:lineRule="auto"/>
        <w:jc w:val="both"/>
        <w:rPr>
          <w:rFonts w:ascii="Times New Roman" w:eastAsia="Yu Mincho" w:hAnsi="Times New Roman" w:cs="Times New Roman"/>
          <w:sz w:val="24"/>
          <w:szCs w:val="24"/>
          <w:lang w:val="en-US" w:eastAsia="ja-JP"/>
        </w:rPr>
      </w:pPr>
      <w:r w:rsidRPr="00064CDF">
        <w:rPr>
          <w:rFonts w:ascii="Times New Roman" w:eastAsia="Yu Mincho" w:hAnsi="Times New Roman" w:cs="Times New Roman"/>
          <w:sz w:val="24"/>
          <w:szCs w:val="24"/>
          <w:lang w:val="en-US" w:eastAsia="ja-JP"/>
        </w:rPr>
        <w:t xml:space="preserve">Group 2 = (Vehicle Control) Peanut oil at 1 ml/kg </w:t>
      </w:r>
      <w:proofErr w:type="spellStart"/>
      <w:r w:rsidRPr="00064CDF">
        <w:rPr>
          <w:rFonts w:ascii="Times New Roman" w:eastAsia="Yu Mincho" w:hAnsi="Times New Roman" w:cs="Times New Roman"/>
          <w:sz w:val="24"/>
          <w:szCs w:val="24"/>
          <w:lang w:val="en-US" w:eastAsia="ja-JP"/>
        </w:rPr>
        <w:t>bw</w:t>
      </w:r>
      <w:proofErr w:type="spellEnd"/>
    </w:p>
    <w:p w14:paraId="33190797" w14:textId="77777777" w:rsidR="005C75F8" w:rsidRPr="00064CDF" w:rsidRDefault="005C75F8" w:rsidP="00F95101">
      <w:pPr>
        <w:spacing w:before="240" w:after="240" w:line="240" w:lineRule="auto"/>
        <w:jc w:val="both"/>
        <w:rPr>
          <w:rFonts w:ascii="Times New Roman" w:eastAsia="Yu Mincho" w:hAnsi="Times New Roman" w:cs="Times New Roman"/>
          <w:sz w:val="24"/>
          <w:szCs w:val="24"/>
          <w:lang w:val="en-US" w:eastAsia="ja-JP"/>
        </w:rPr>
      </w:pPr>
      <w:r w:rsidRPr="00064CDF">
        <w:rPr>
          <w:rFonts w:ascii="Times New Roman" w:eastAsia="Yu Mincho" w:hAnsi="Times New Roman" w:cs="Times New Roman"/>
          <w:sz w:val="24"/>
          <w:szCs w:val="24"/>
          <w:lang w:val="en-US" w:eastAsia="ja-JP"/>
        </w:rPr>
        <w:t>Group 3 = Methylparaben only (Dissolved in Peanut Oil) at 1000 mg/kg/</w:t>
      </w:r>
      <w:proofErr w:type="spellStart"/>
      <w:r w:rsidRPr="00064CDF">
        <w:rPr>
          <w:rFonts w:ascii="Times New Roman" w:eastAsia="Yu Mincho" w:hAnsi="Times New Roman" w:cs="Times New Roman"/>
          <w:sz w:val="24"/>
          <w:szCs w:val="24"/>
          <w:lang w:val="en-US" w:eastAsia="ja-JP"/>
        </w:rPr>
        <w:t>bw</w:t>
      </w:r>
      <w:proofErr w:type="spellEnd"/>
      <w:r w:rsidRPr="00064CDF">
        <w:rPr>
          <w:rFonts w:ascii="Times New Roman" w:eastAsia="Yu Mincho" w:hAnsi="Times New Roman" w:cs="Times New Roman"/>
          <w:sz w:val="24"/>
          <w:szCs w:val="24"/>
          <w:lang w:val="en-US" w:eastAsia="ja-JP"/>
        </w:rPr>
        <w:t xml:space="preserve"> </w:t>
      </w:r>
    </w:p>
    <w:p w14:paraId="6244FD73" w14:textId="77777777" w:rsidR="005C75F8" w:rsidRPr="00064CDF" w:rsidRDefault="005C75F8" w:rsidP="00F95101">
      <w:pPr>
        <w:spacing w:before="240" w:after="240" w:line="240" w:lineRule="auto"/>
        <w:jc w:val="both"/>
        <w:rPr>
          <w:rFonts w:ascii="Times New Roman" w:eastAsia="Yu Mincho" w:hAnsi="Times New Roman" w:cs="Times New Roman"/>
          <w:sz w:val="24"/>
          <w:szCs w:val="24"/>
          <w:lang w:val="en-US" w:eastAsia="ja-JP"/>
        </w:rPr>
      </w:pPr>
      <w:r w:rsidRPr="00064CDF">
        <w:rPr>
          <w:rFonts w:ascii="Times New Roman" w:eastAsia="Yu Mincho" w:hAnsi="Times New Roman" w:cs="Times New Roman"/>
          <w:sz w:val="24"/>
          <w:szCs w:val="24"/>
          <w:lang w:val="en-US" w:eastAsia="ja-JP"/>
        </w:rPr>
        <w:t>Group 4 = (Low Dose Baicalin) Baicalin only at 50 mg/kg/</w:t>
      </w:r>
      <w:proofErr w:type="spellStart"/>
      <w:r w:rsidRPr="00064CDF">
        <w:rPr>
          <w:rFonts w:ascii="Times New Roman" w:eastAsia="Yu Mincho" w:hAnsi="Times New Roman" w:cs="Times New Roman"/>
          <w:sz w:val="24"/>
          <w:szCs w:val="24"/>
          <w:lang w:val="en-US" w:eastAsia="ja-JP"/>
        </w:rPr>
        <w:t>bw</w:t>
      </w:r>
      <w:proofErr w:type="spellEnd"/>
    </w:p>
    <w:p w14:paraId="0BBC1D91" w14:textId="77777777" w:rsidR="005C75F8" w:rsidRPr="00064CDF" w:rsidRDefault="005C75F8" w:rsidP="00F95101">
      <w:pPr>
        <w:spacing w:before="240" w:after="240" w:line="240" w:lineRule="auto"/>
        <w:jc w:val="both"/>
        <w:rPr>
          <w:rFonts w:ascii="Times New Roman" w:eastAsia="Yu Mincho" w:hAnsi="Times New Roman" w:cs="Times New Roman"/>
          <w:sz w:val="24"/>
          <w:szCs w:val="24"/>
          <w:lang w:val="en-US" w:eastAsia="ja-JP"/>
        </w:rPr>
      </w:pPr>
      <w:r w:rsidRPr="00064CDF">
        <w:rPr>
          <w:rFonts w:ascii="Times New Roman" w:eastAsia="Yu Mincho" w:hAnsi="Times New Roman" w:cs="Times New Roman"/>
          <w:sz w:val="24"/>
          <w:szCs w:val="24"/>
          <w:lang w:val="en-US" w:eastAsia="ja-JP"/>
        </w:rPr>
        <w:t>Group 5 = (Medium Dose Baicalin) Baicalin only at 100 mg/kg/</w:t>
      </w:r>
      <w:proofErr w:type="spellStart"/>
      <w:r w:rsidRPr="00064CDF">
        <w:rPr>
          <w:rFonts w:ascii="Times New Roman" w:eastAsia="Yu Mincho" w:hAnsi="Times New Roman" w:cs="Times New Roman"/>
          <w:sz w:val="24"/>
          <w:szCs w:val="24"/>
          <w:lang w:val="en-US" w:eastAsia="ja-JP"/>
        </w:rPr>
        <w:t>bw</w:t>
      </w:r>
      <w:proofErr w:type="spellEnd"/>
      <w:r w:rsidRPr="00064CDF">
        <w:rPr>
          <w:rFonts w:ascii="Times New Roman" w:eastAsia="Yu Mincho" w:hAnsi="Times New Roman" w:cs="Times New Roman"/>
          <w:sz w:val="24"/>
          <w:szCs w:val="24"/>
          <w:lang w:val="en-US" w:eastAsia="ja-JP"/>
        </w:rPr>
        <w:t xml:space="preserve"> </w:t>
      </w:r>
    </w:p>
    <w:p w14:paraId="4AC6EFA9" w14:textId="77777777" w:rsidR="005C75F8" w:rsidRPr="00064CDF" w:rsidRDefault="005C75F8" w:rsidP="00F95101">
      <w:pPr>
        <w:spacing w:before="240" w:after="240" w:line="240" w:lineRule="auto"/>
        <w:jc w:val="both"/>
        <w:rPr>
          <w:rFonts w:ascii="Times New Roman" w:eastAsia="Yu Mincho" w:hAnsi="Times New Roman" w:cs="Times New Roman"/>
          <w:sz w:val="24"/>
          <w:szCs w:val="24"/>
          <w:lang w:val="en-US" w:eastAsia="ja-JP"/>
        </w:rPr>
      </w:pPr>
      <w:r w:rsidRPr="00064CDF">
        <w:rPr>
          <w:rFonts w:ascii="Times New Roman" w:eastAsia="Yu Mincho" w:hAnsi="Times New Roman" w:cs="Times New Roman"/>
          <w:sz w:val="24"/>
          <w:szCs w:val="24"/>
          <w:lang w:val="en-US" w:eastAsia="ja-JP"/>
        </w:rPr>
        <w:t>Group 6 = (High Dose Baicalin) Baicalin only at 200 mg/kg/</w:t>
      </w:r>
      <w:proofErr w:type="spellStart"/>
      <w:r w:rsidRPr="00064CDF">
        <w:rPr>
          <w:rFonts w:ascii="Times New Roman" w:eastAsia="Yu Mincho" w:hAnsi="Times New Roman" w:cs="Times New Roman"/>
          <w:sz w:val="24"/>
          <w:szCs w:val="24"/>
          <w:lang w:val="en-US" w:eastAsia="ja-JP"/>
        </w:rPr>
        <w:t>bw</w:t>
      </w:r>
      <w:proofErr w:type="spellEnd"/>
      <w:r w:rsidRPr="00064CDF">
        <w:rPr>
          <w:rFonts w:ascii="Times New Roman" w:eastAsia="Yu Mincho" w:hAnsi="Times New Roman" w:cs="Times New Roman"/>
          <w:sz w:val="24"/>
          <w:szCs w:val="24"/>
          <w:lang w:val="en-US" w:eastAsia="ja-JP"/>
        </w:rPr>
        <w:t xml:space="preserve"> </w:t>
      </w:r>
    </w:p>
    <w:p w14:paraId="4CE4F1C6" w14:textId="77777777" w:rsidR="005C75F8" w:rsidRPr="00064CDF" w:rsidRDefault="005C75F8" w:rsidP="00F95101">
      <w:pPr>
        <w:spacing w:before="240" w:after="240" w:line="240" w:lineRule="auto"/>
        <w:jc w:val="both"/>
        <w:rPr>
          <w:rFonts w:ascii="Times New Roman" w:eastAsia="Yu Mincho" w:hAnsi="Times New Roman" w:cs="Times New Roman"/>
          <w:sz w:val="24"/>
          <w:szCs w:val="24"/>
          <w:lang w:val="en-US" w:eastAsia="ja-JP"/>
        </w:rPr>
      </w:pPr>
      <w:r w:rsidRPr="00064CDF">
        <w:rPr>
          <w:rFonts w:ascii="Times New Roman" w:eastAsia="Yu Mincho" w:hAnsi="Times New Roman" w:cs="Times New Roman"/>
          <w:sz w:val="24"/>
          <w:szCs w:val="24"/>
          <w:lang w:val="en-US" w:eastAsia="ja-JP"/>
        </w:rPr>
        <w:t>Group 7 = Protective (Low Dose) Baicalin + Methylparaben at 50 mg/kg/</w:t>
      </w:r>
      <w:proofErr w:type="spellStart"/>
      <w:r w:rsidRPr="00064CDF">
        <w:rPr>
          <w:rFonts w:ascii="Times New Roman" w:eastAsia="Yu Mincho" w:hAnsi="Times New Roman" w:cs="Times New Roman"/>
          <w:sz w:val="24"/>
          <w:szCs w:val="24"/>
          <w:lang w:val="en-US" w:eastAsia="ja-JP"/>
        </w:rPr>
        <w:t>bw</w:t>
      </w:r>
      <w:proofErr w:type="spellEnd"/>
      <w:r w:rsidRPr="00064CDF">
        <w:rPr>
          <w:rFonts w:ascii="Times New Roman" w:eastAsia="Yu Mincho" w:hAnsi="Times New Roman" w:cs="Times New Roman"/>
          <w:sz w:val="24"/>
          <w:szCs w:val="24"/>
          <w:lang w:val="en-US" w:eastAsia="ja-JP"/>
        </w:rPr>
        <w:t xml:space="preserve"> + 1000mg/kg/</w:t>
      </w:r>
      <w:proofErr w:type="spellStart"/>
      <w:r w:rsidRPr="00064CDF">
        <w:rPr>
          <w:rFonts w:ascii="Times New Roman" w:eastAsia="Yu Mincho" w:hAnsi="Times New Roman" w:cs="Times New Roman"/>
          <w:sz w:val="24"/>
          <w:szCs w:val="24"/>
          <w:lang w:val="en-US" w:eastAsia="ja-JP"/>
        </w:rPr>
        <w:t>bw</w:t>
      </w:r>
      <w:proofErr w:type="spellEnd"/>
    </w:p>
    <w:p w14:paraId="061C086F" w14:textId="77777777" w:rsidR="005C75F8" w:rsidRPr="00064CDF" w:rsidRDefault="005C75F8" w:rsidP="00F95101">
      <w:pPr>
        <w:spacing w:before="240" w:after="240" w:line="240" w:lineRule="auto"/>
        <w:jc w:val="both"/>
        <w:rPr>
          <w:rFonts w:ascii="Times New Roman" w:eastAsia="Yu Mincho" w:hAnsi="Times New Roman" w:cs="Times New Roman"/>
          <w:sz w:val="24"/>
          <w:szCs w:val="24"/>
          <w:lang w:val="en-US" w:eastAsia="ja-JP"/>
        </w:rPr>
      </w:pPr>
      <w:r w:rsidRPr="00064CDF">
        <w:rPr>
          <w:rFonts w:ascii="Times New Roman" w:eastAsia="Yu Mincho" w:hAnsi="Times New Roman" w:cs="Times New Roman"/>
          <w:sz w:val="24"/>
          <w:szCs w:val="24"/>
          <w:lang w:val="en-US" w:eastAsia="ja-JP"/>
        </w:rPr>
        <w:t>Group 8 = Protective (Medium Dose) Baicalin + Methylparaben at 100 mg/kg/</w:t>
      </w:r>
      <w:proofErr w:type="spellStart"/>
      <w:r w:rsidRPr="00064CDF">
        <w:rPr>
          <w:rFonts w:ascii="Times New Roman" w:eastAsia="Yu Mincho" w:hAnsi="Times New Roman" w:cs="Times New Roman"/>
          <w:sz w:val="24"/>
          <w:szCs w:val="24"/>
          <w:lang w:val="en-US" w:eastAsia="ja-JP"/>
        </w:rPr>
        <w:t>bw</w:t>
      </w:r>
      <w:proofErr w:type="spellEnd"/>
      <w:r w:rsidRPr="00064CDF">
        <w:rPr>
          <w:rFonts w:ascii="Times New Roman" w:eastAsia="Yu Mincho" w:hAnsi="Times New Roman" w:cs="Times New Roman"/>
          <w:sz w:val="24"/>
          <w:szCs w:val="24"/>
          <w:lang w:val="en-US" w:eastAsia="ja-JP"/>
        </w:rPr>
        <w:t xml:space="preserve"> + 1000mg/kg/</w:t>
      </w:r>
      <w:proofErr w:type="spellStart"/>
      <w:r w:rsidRPr="00064CDF">
        <w:rPr>
          <w:rFonts w:ascii="Times New Roman" w:eastAsia="Yu Mincho" w:hAnsi="Times New Roman" w:cs="Times New Roman"/>
          <w:sz w:val="24"/>
          <w:szCs w:val="24"/>
          <w:lang w:val="en-US" w:eastAsia="ja-JP"/>
        </w:rPr>
        <w:t>bw</w:t>
      </w:r>
      <w:proofErr w:type="spellEnd"/>
    </w:p>
    <w:p w14:paraId="7C7C3315" w14:textId="77777777" w:rsidR="005C75F8" w:rsidRPr="00064CDF" w:rsidRDefault="005C75F8" w:rsidP="001B30A0">
      <w:pPr>
        <w:spacing w:before="240" w:after="240" w:line="240" w:lineRule="auto"/>
        <w:jc w:val="both"/>
        <w:rPr>
          <w:rFonts w:ascii="Times New Roman" w:eastAsia="Calibri" w:hAnsi="Times New Roman" w:cs="Times New Roman"/>
          <w:sz w:val="24"/>
          <w:szCs w:val="24"/>
        </w:rPr>
      </w:pPr>
      <w:r w:rsidRPr="00064CDF">
        <w:rPr>
          <w:rFonts w:ascii="Times New Roman" w:eastAsia="Yu Mincho" w:hAnsi="Times New Roman" w:cs="Times New Roman"/>
          <w:sz w:val="24"/>
          <w:szCs w:val="24"/>
          <w:lang w:val="en-US" w:eastAsia="ja-JP"/>
        </w:rPr>
        <w:t>Group 9 = Protective (High Dose) Baicalin + Methylparaben at 200 mg/kg/</w:t>
      </w:r>
      <w:proofErr w:type="spellStart"/>
      <w:r w:rsidRPr="00064CDF">
        <w:rPr>
          <w:rFonts w:ascii="Times New Roman" w:eastAsia="Yu Mincho" w:hAnsi="Times New Roman" w:cs="Times New Roman"/>
          <w:sz w:val="24"/>
          <w:szCs w:val="24"/>
          <w:lang w:val="en-US" w:eastAsia="ja-JP"/>
        </w:rPr>
        <w:t>bw</w:t>
      </w:r>
      <w:proofErr w:type="spellEnd"/>
      <w:r w:rsidRPr="00064CDF">
        <w:rPr>
          <w:rFonts w:ascii="Times New Roman" w:eastAsia="Yu Mincho" w:hAnsi="Times New Roman" w:cs="Times New Roman"/>
          <w:sz w:val="24"/>
          <w:szCs w:val="24"/>
          <w:lang w:val="en-US" w:eastAsia="ja-JP"/>
        </w:rPr>
        <w:t xml:space="preserve"> + 1000mg/kg/</w:t>
      </w:r>
      <w:proofErr w:type="spellStart"/>
      <w:r w:rsidRPr="00064CDF">
        <w:rPr>
          <w:rFonts w:ascii="Times New Roman" w:eastAsia="Yu Mincho" w:hAnsi="Times New Roman" w:cs="Times New Roman"/>
          <w:sz w:val="24"/>
          <w:szCs w:val="24"/>
          <w:lang w:val="en-US" w:eastAsia="ja-JP"/>
        </w:rPr>
        <w:t>bw</w:t>
      </w:r>
      <w:proofErr w:type="spellEnd"/>
    </w:p>
    <w:p w14:paraId="512E5A2F" w14:textId="239F542B" w:rsidR="005C75F8" w:rsidRPr="001B30A0" w:rsidRDefault="004F1DF8" w:rsidP="00F95101">
      <w:pPr>
        <w:spacing w:before="240" w:after="240" w:line="240" w:lineRule="auto"/>
        <w:jc w:val="both"/>
        <w:rPr>
          <w:rFonts w:ascii="Times New Roman" w:hAnsi="Times New Roman" w:cs="Times New Roman"/>
          <w:b/>
          <w:bCs/>
          <w:sz w:val="28"/>
          <w:szCs w:val="28"/>
          <w:lang w:val="en-US"/>
        </w:rPr>
      </w:pPr>
      <w:r w:rsidRPr="001B30A0">
        <w:rPr>
          <w:rFonts w:ascii="Times New Roman" w:hAnsi="Times New Roman" w:cs="Times New Roman"/>
          <w:b/>
          <w:bCs/>
          <w:sz w:val="28"/>
          <w:szCs w:val="28"/>
          <w:lang w:val="en-US"/>
        </w:rPr>
        <w:t>DISCUSSION</w:t>
      </w:r>
    </w:p>
    <w:p w14:paraId="7A46A85E" w14:textId="304887F4" w:rsidR="005C75F8" w:rsidRPr="00064CDF" w:rsidRDefault="005C75F8" w:rsidP="00F95101">
      <w:pPr>
        <w:spacing w:before="240" w:after="240" w:line="240" w:lineRule="auto"/>
        <w:jc w:val="both"/>
        <w:rPr>
          <w:rFonts w:ascii="Times New Roman" w:hAnsi="Times New Roman" w:cs="Times New Roman"/>
          <w:sz w:val="24"/>
          <w:szCs w:val="24"/>
        </w:rPr>
      </w:pPr>
      <w:r w:rsidRPr="00064CDF">
        <w:rPr>
          <w:rFonts w:ascii="Times New Roman" w:hAnsi="Times New Roman" w:cs="Times New Roman"/>
          <w:sz w:val="24"/>
          <w:szCs w:val="24"/>
        </w:rPr>
        <w:lastRenderedPageBreak/>
        <w:t xml:space="preserve">Methylparaben is one of the most commonly used preservatives in the products we use daily and as a result it has been detected in several biological systems </w:t>
      </w:r>
      <w:r w:rsidR="00215866">
        <w:rPr>
          <w:rFonts w:ascii="Times New Roman" w:hAnsi="Times New Roman" w:cs="Times New Roman"/>
          <w:sz w:val="24"/>
          <w:szCs w:val="24"/>
        </w:rPr>
        <w:t>[20].</w:t>
      </w:r>
      <w:r w:rsidRPr="00064CDF">
        <w:rPr>
          <w:rFonts w:ascii="Times New Roman" w:hAnsi="Times New Roman" w:cs="Times New Roman"/>
          <w:sz w:val="24"/>
          <w:szCs w:val="24"/>
        </w:rPr>
        <w:t xml:space="preserve"> Previously, its distribution and effects in biological systems has attracted little attention but recent evidence suggests that it may cause reproductive impairments</w:t>
      </w:r>
      <w:r w:rsidR="00215866">
        <w:rPr>
          <w:rFonts w:ascii="Times New Roman" w:hAnsi="Times New Roman" w:cs="Times New Roman"/>
          <w:sz w:val="24"/>
          <w:szCs w:val="24"/>
        </w:rPr>
        <w:t xml:space="preserve"> [</w:t>
      </w:r>
      <w:r w:rsidRPr="00064CDF">
        <w:rPr>
          <w:rFonts w:ascii="Times New Roman" w:hAnsi="Times New Roman" w:cs="Times New Roman"/>
          <w:sz w:val="24"/>
          <w:szCs w:val="24"/>
        </w:rPr>
        <w:t xml:space="preserve"> </w:t>
      </w:r>
      <w:r w:rsidR="00020E0B">
        <w:rPr>
          <w:rFonts w:ascii="Times New Roman" w:hAnsi="Times New Roman" w:cs="Times New Roman"/>
          <w:sz w:val="24"/>
          <w:szCs w:val="24"/>
        </w:rPr>
        <w:t>20. 21, 22, 23].</w:t>
      </w:r>
    </w:p>
    <w:p w14:paraId="57A578B3" w14:textId="31289CE5" w:rsidR="00BB27C8" w:rsidRPr="00064CDF" w:rsidRDefault="005C75F8" w:rsidP="00F95101">
      <w:pPr>
        <w:spacing w:before="240" w:after="240" w:line="240" w:lineRule="auto"/>
        <w:jc w:val="both"/>
        <w:rPr>
          <w:rFonts w:ascii="Times New Roman" w:hAnsi="Times New Roman" w:cs="Times New Roman"/>
          <w:sz w:val="24"/>
          <w:szCs w:val="24"/>
        </w:rPr>
      </w:pPr>
      <w:r w:rsidRPr="00064CDF">
        <w:rPr>
          <w:rFonts w:ascii="Times New Roman" w:hAnsi="Times New Roman" w:cs="Times New Roman"/>
          <w:sz w:val="24"/>
          <w:szCs w:val="24"/>
        </w:rPr>
        <w:t xml:space="preserve">Administration of methylparaben negatively affected sperm parameters namely sperm count, sperm motility and sperm morphology. The mean values of these sperm parameters in the group treated with methylparaben (Group 3) were significantly lower when compared to the mean values of the same parameters in the control groups. </w:t>
      </w:r>
      <w:r w:rsidR="00E46E0C">
        <w:rPr>
          <w:rFonts w:ascii="Times New Roman" w:hAnsi="Times New Roman" w:cs="Times New Roman"/>
          <w:sz w:val="24"/>
          <w:szCs w:val="24"/>
        </w:rPr>
        <w:t>H</w:t>
      </w:r>
      <w:r w:rsidRPr="00064CDF">
        <w:rPr>
          <w:rFonts w:ascii="Times New Roman" w:hAnsi="Times New Roman" w:cs="Times New Roman"/>
          <w:sz w:val="24"/>
          <w:szCs w:val="24"/>
        </w:rPr>
        <w:t xml:space="preserve">uman spermatozoa </w:t>
      </w:r>
      <w:r w:rsidR="00E46E0C">
        <w:rPr>
          <w:rFonts w:ascii="Times New Roman" w:hAnsi="Times New Roman" w:cs="Times New Roman"/>
          <w:sz w:val="24"/>
          <w:szCs w:val="24"/>
        </w:rPr>
        <w:t xml:space="preserve">were exposed </w:t>
      </w:r>
      <w:r w:rsidRPr="00064CDF">
        <w:rPr>
          <w:rFonts w:ascii="Times New Roman" w:hAnsi="Times New Roman" w:cs="Times New Roman"/>
          <w:sz w:val="24"/>
          <w:szCs w:val="24"/>
        </w:rPr>
        <w:t>to different concentrations of an equimolar paraben mixture containing methyl, ethyl, propyl and butylparaben as well as to methylparaben alone at a concentration that is typical of commercially available vaginal lubricants. The induction of oxidative stress and DNA damage was then assessed at different time points</w:t>
      </w:r>
      <w:r w:rsidR="00E46E0C">
        <w:rPr>
          <w:rFonts w:ascii="Times New Roman" w:hAnsi="Times New Roman" w:cs="Times New Roman"/>
          <w:sz w:val="24"/>
          <w:szCs w:val="24"/>
        </w:rPr>
        <w:t xml:space="preserve"> [24]</w:t>
      </w:r>
      <w:r w:rsidRPr="00064CDF">
        <w:rPr>
          <w:rFonts w:ascii="Times New Roman" w:hAnsi="Times New Roman" w:cs="Times New Roman"/>
          <w:sz w:val="24"/>
          <w:szCs w:val="24"/>
        </w:rPr>
        <w:t>.</w:t>
      </w:r>
      <w:r w:rsidR="00BB27C8" w:rsidRPr="00064CDF">
        <w:rPr>
          <w:rFonts w:ascii="Times New Roman" w:hAnsi="Times New Roman" w:cs="Times New Roman"/>
          <w:sz w:val="24"/>
          <w:szCs w:val="24"/>
        </w:rPr>
        <w:t xml:space="preserve"> The pronounced reduction in sperm concentration, motility, and normal morphology observed in the methylparaben-only group (Group 3) highlights the severe impact of this preservative on the male reproductive architecture. Biochemically, methylparaben-induced toxicity operates primarily via the activation of oxidative stress pathways. When the generation of intracellular ROS outpaces the baseline cellular antioxidant capacity, these highly reactive molecules target the vulnerable, polyunsaturated fatty acid-rich plasma membranes of developing spermatozoa. This triggers a destructive cascade of lipid peroxidation, which severely compromises membrane fluidity and permeability. Structurally, this membrane disruption manifests as the detached heads and coiled, rudimentary tails documented in our morphological assessments. Furthermore, excess ROS disrupts the mitochondrial electron transport chain within the sperm midpiece, depleting adenosine triphosphate (ATP) production and directly crippling the flagellar beat required for progressive linear motility.</w:t>
      </w:r>
      <w:r w:rsidRPr="00064CDF">
        <w:rPr>
          <w:rFonts w:ascii="Times New Roman" w:hAnsi="Times New Roman" w:cs="Times New Roman"/>
          <w:sz w:val="24"/>
          <w:szCs w:val="24"/>
        </w:rPr>
        <w:t xml:space="preserve"> Their results demonstrated that the paraben mixture was capable of stimulating the generation of mitochondrial and cytosolic reactive oxygen species (ROS), inhibiting sperm motility and viability in a dose-dependent manner. Methylparaben inhibited sperm motility after both 2 and 5 h exposure (p &lt; 0.05) and affected cell viability (p &lt; 0.01) while augmenting ROS production and oxidative DNA damage. Exposure to parabens was significantly associated with declining sperm concentration, total sperm count, and progressive motility among reproductive-aged men</w:t>
      </w:r>
      <w:r w:rsidR="00E46E0C">
        <w:rPr>
          <w:rFonts w:ascii="Times New Roman" w:hAnsi="Times New Roman" w:cs="Times New Roman"/>
          <w:sz w:val="24"/>
          <w:szCs w:val="24"/>
        </w:rPr>
        <w:t xml:space="preserve"> [23].</w:t>
      </w:r>
      <w:r w:rsidRPr="00064CDF">
        <w:rPr>
          <w:rFonts w:ascii="Times New Roman" w:hAnsi="Times New Roman" w:cs="Times New Roman"/>
          <w:sz w:val="24"/>
          <w:szCs w:val="24"/>
        </w:rPr>
        <w:t xml:space="preserve"> In the groups exposed to baicalin only and both methylparaben and baicalin, the mean values of these sperm parameters were found to be significantly higher than those of the group exposed to methylparaben only. These mean values were also not significantly different from the control values. This indicates that baicalin had a positive effect on these sperm parameters and also mitigated against the negative effects that methylparaben administration had as seen in the group 3 where it was administered alone. Where sperm count, motility and viability had been suppressed by drug administration, baicalin administration was found to significantly enhance these parameters in a rat experimental model</w:t>
      </w:r>
      <w:r w:rsidR="00E46E0C">
        <w:rPr>
          <w:rFonts w:ascii="Times New Roman" w:hAnsi="Times New Roman" w:cs="Times New Roman"/>
          <w:sz w:val="24"/>
          <w:szCs w:val="24"/>
        </w:rPr>
        <w:t xml:space="preserve"> [25].</w:t>
      </w:r>
      <w:r w:rsidRPr="00064CDF">
        <w:rPr>
          <w:rFonts w:ascii="Times New Roman" w:hAnsi="Times New Roman" w:cs="Times New Roman"/>
          <w:sz w:val="24"/>
          <w:szCs w:val="24"/>
        </w:rPr>
        <w:t xml:space="preserve"> A study by </w:t>
      </w:r>
      <w:r w:rsidR="00E46E0C">
        <w:rPr>
          <w:rFonts w:ascii="Times New Roman" w:hAnsi="Times New Roman" w:cs="Times New Roman"/>
          <w:sz w:val="24"/>
          <w:szCs w:val="24"/>
        </w:rPr>
        <w:t>[26]</w:t>
      </w:r>
      <w:r w:rsidRPr="00064CDF">
        <w:rPr>
          <w:rFonts w:ascii="Times New Roman" w:hAnsi="Times New Roman" w:cs="Times New Roman"/>
          <w:sz w:val="24"/>
          <w:szCs w:val="24"/>
        </w:rPr>
        <w:t xml:space="preserve"> suggested that the in vitro </w:t>
      </w:r>
      <w:proofErr w:type="spellStart"/>
      <w:r w:rsidRPr="00064CDF">
        <w:rPr>
          <w:rFonts w:ascii="Times New Roman" w:hAnsi="Times New Roman" w:cs="Times New Roman"/>
          <w:sz w:val="24"/>
          <w:szCs w:val="24"/>
        </w:rPr>
        <w:t>spermatological</w:t>
      </w:r>
      <w:proofErr w:type="spellEnd"/>
      <w:r w:rsidRPr="00064CDF">
        <w:rPr>
          <w:rFonts w:ascii="Times New Roman" w:hAnsi="Times New Roman" w:cs="Times New Roman"/>
          <w:sz w:val="24"/>
          <w:szCs w:val="24"/>
        </w:rPr>
        <w:t xml:space="preserve"> characteristics of ram spermatozoa such as progressive motility can be protected from the freeze-thawing process by using the 0.5 mM dose of the baicalin aglycone, baicalein as a semen extender. </w:t>
      </w:r>
      <w:r w:rsidR="00BB27C8" w:rsidRPr="00064CDF">
        <w:rPr>
          <w:rFonts w:ascii="Times New Roman" w:hAnsi="Times New Roman" w:cs="Times New Roman"/>
          <w:sz w:val="24"/>
          <w:szCs w:val="24"/>
        </w:rPr>
        <w:t>The remarkable recovery of sperm parameters in the co-administered groups can be attributed to the potent, multifaceted biochemical properties of baicalin. From a structural standpoint, baicalin acts as an efficient free radical scavenger, utilizing its hydroxyl groups to donate electrons to circulating ROS, thereby neutralizing them before they can initiate lipid peroxidation on the sperm membrane. Beyond direct scavenging, baicalin is known to upregulate the expression of vital endogenous antioxidant enzymes, including superoxide dismutase (SOD), catalase, and glutathione (GSH). By bolstering this internal defence system, baicalin effectively preserves the mitochondrial membrane potential of the spermatozoa. This mechanism directly explains why the rapid linear progressive motility and structural integrity in the medium and high-dose protective groups (Groups 8 and 9) were successfully maintained at levels statistically indistinguishable from the baseline control animals.</w:t>
      </w:r>
    </w:p>
    <w:p w14:paraId="03B6228D" w14:textId="2E8321D3" w:rsidR="005C75F8" w:rsidRPr="00064CDF" w:rsidRDefault="005C75F8" w:rsidP="00F95101">
      <w:pPr>
        <w:spacing w:before="240" w:after="240" w:line="240" w:lineRule="auto"/>
        <w:jc w:val="both"/>
        <w:rPr>
          <w:rFonts w:ascii="Times New Roman" w:hAnsi="Times New Roman" w:cs="Times New Roman"/>
          <w:sz w:val="24"/>
          <w:szCs w:val="24"/>
        </w:rPr>
      </w:pPr>
      <w:r w:rsidRPr="00064CDF">
        <w:rPr>
          <w:rFonts w:ascii="Times New Roman" w:hAnsi="Times New Roman" w:cs="Times New Roman"/>
          <w:sz w:val="24"/>
          <w:szCs w:val="24"/>
        </w:rPr>
        <w:t>The findings in this study also suggest that baicalin protects sperm cell parameters of count, motility and morphology from the adverse effects of methylparaben administration in adult male Wistar rats.</w:t>
      </w:r>
    </w:p>
    <w:p w14:paraId="77B56F92" w14:textId="7C20C4F4" w:rsidR="00BB27C8" w:rsidRPr="00064CDF" w:rsidRDefault="00BB27C8" w:rsidP="00F95101">
      <w:pPr>
        <w:spacing w:before="240" w:after="240" w:line="240" w:lineRule="auto"/>
        <w:jc w:val="both"/>
        <w:rPr>
          <w:rFonts w:ascii="Times New Roman" w:hAnsi="Times New Roman" w:cs="Times New Roman"/>
          <w:sz w:val="24"/>
          <w:szCs w:val="24"/>
        </w:rPr>
      </w:pPr>
      <w:r w:rsidRPr="00064CDF">
        <w:rPr>
          <w:rFonts w:ascii="Times New Roman" w:hAnsi="Times New Roman" w:cs="Times New Roman"/>
          <w:sz w:val="24"/>
          <w:szCs w:val="24"/>
        </w:rPr>
        <w:t>It is highly noteworthy, however, that the protective capacity of baicalin exhibits a clear dose-dependent threshold effect when looking at individual parameters. In Group 7 (the low-dose protective group), a daily administration of 50 mg/kg/</w:t>
      </w:r>
      <w:proofErr w:type="spellStart"/>
      <w:r w:rsidRPr="00064CDF">
        <w:rPr>
          <w:rFonts w:ascii="Times New Roman" w:hAnsi="Times New Roman" w:cs="Times New Roman"/>
          <w:sz w:val="24"/>
          <w:szCs w:val="24"/>
        </w:rPr>
        <w:t>bw</w:t>
      </w:r>
      <w:proofErr w:type="spellEnd"/>
      <w:r w:rsidRPr="00064CDF">
        <w:rPr>
          <w:rFonts w:ascii="Times New Roman" w:hAnsi="Times New Roman" w:cs="Times New Roman"/>
          <w:sz w:val="24"/>
          <w:szCs w:val="24"/>
        </w:rPr>
        <w:t xml:space="preserve"> of baicalin was fully sufficient to rescue sperm morphology back to a standard 80.00%, matching the control groups. Yet, this same low dose was fundamentally insufficient to fully rescue total sperm count, which </w:t>
      </w:r>
      <w:r w:rsidRPr="00064CDF">
        <w:rPr>
          <w:rFonts w:ascii="Times New Roman" w:hAnsi="Times New Roman" w:cs="Times New Roman"/>
          <w:sz w:val="24"/>
          <w:szCs w:val="24"/>
        </w:rPr>
        <w:lastRenderedPageBreak/>
        <w:t>remained significantly depressed at 162.67 × 10</w:t>
      </w:r>
      <w:r w:rsidRPr="00064CDF">
        <w:rPr>
          <w:rFonts w:ascii="Times New Roman" w:hAnsi="Times New Roman" w:cs="Times New Roman"/>
          <w:sz w:val="24"/>
          <w:szCs w:val="24"/>
          <w:vertAlign w:val="superscript"/>
        </w:rPr>
        <w:t>6</w:t>
      </w:r>
      <w:r w:rsidRPr="00064CDF">
        <w:rPr>
          <w:rFonts w:ascii="Times New Roman" w:hAnsi="Times New Roman" w:cs="Times New Roman"/>
          <w:sz w:val="24"/>
          <w:szCs w:val="24"/>
        </w:rPr>
        <w:t>/ml – a value statistically similar to the methylparaben-only group. This divergence suggests a physiological hierarchy in tissue recovery. Low-dose antioxidant intervention appears capable of protecting existing cell membranes and preventing structural deformities during late-stage spermiogenesis, but lacks the biochemical potency required to completely override the suppression of cellular proliferation or early-stage spermatogenesis caused by heavy methylparaben exposure. This underscores the necessity of a medium to high-dose regimen (100 mg/kg/</w:t>
      </w:r>
      <w:proofErr w:type="spellStart"/>
      <w:r w:rsidRPr="00064CDF">
        <w:rPr>
          <w:rFonts w:ascii="Times New Roman" w:hAnsi="Times New Roman" w:cs="Times New Roman"/>
          <w:sz w:val="24"/>
          <w:szCs w:val="24"/>
        </w:rPr>
        <w:t>bw</w:t>
      </w:r>
      <w:proofErr w:type="spellEnd"/>
      <w:r w:rsidRPr="00064CDF">
        <w:rPr>
          <w:rFonts w:ascii="Times New Roman" w:hAnsi="Times New Roman" w:cs="Times New Roman"/>
          <w:sz w:val="24"/>
          <w:szCs w:val="24"/>
        </w:rPr>
        <w:t xml:space="preserve"> to 200 mg/kg/</w:t>
      </w:r>
      <w:proofErr w:type="spellStart"/>
      <w:r w:rsidRPr="00064CDF">
        <w:rPr>
          <w:rFonts w:ascii="Times New Roman" w:hAnsi="Times New Roman" w:cs="Times New Roman"/>
          <w:sz w:val="24"/>
          <w:szCs w:val="24"/>
        </w:rPr>
        <w:t>bw</w:t>
      </w:r>
      <w:proofErr w:type="spellEnd"/>
      <w:r w:rsidRPr="00064CDF">
        <w:rPr>
          <w:rFonts w:ascii="Times New Roman" w:hAnsi="Times New Roman" w:cs="Times New Roman"/>
          <w:sz w:val="24"/>
          <w:szCs w:val="24"/>
        </w:rPr>
        <w:t>) to achieve comprehensive cellular protection.</w:t>
      </w:r>
    </w:p>
    <w:p w14:paraId="3FF8743C" w14:textId="77777777" w:rsidR="005C75F8" w:rsidRPr="00064CDF" w:rsidRDefault="005C75F8" w:rsidP="00F95101">
      <w:pPr>
        <w:spacing w:before="240" w:after="240" w:line="240" w:lineRule="auto"/>
        <w:jc w:val="both"/>
        <w:rPr>
          <w:rFonts w:ascii="Times New Roman" w:hAnsi="Times New Roman" w:cs="Times New Roman"/>
          <w:b/>
          <w:bCs/>
          <w:sz w:val="24"/>
          <w:szCs w:val="24"/>
          <w:lang w:val="en-US"/>
        </w:rPr>
      </w:pPr>
      <w:r w:rsidRPr="00064CDF">
        <w:rPr>
          <w:rFonts w:ascii="Times New Roman" w:hAnsi="Times New Roman" w:cs="Times New Roman"/>
          <w:b/>
          <w:bCs/>
          <w:sz w:val="24"/>
          <w:szCs w:val="24"/>
          <w:lang w:val="en-US"/>
        </w:rPr>
        <w:t>Conclusion</w:t>
      </w:r>
    </w:p>
    <w:p w14:paraId="47A91513" w14:textId="77777777" w:rsidR="005F5D73" w:rsidRPr="005F5D73" w:rsidRDefault="005F5D73" w:rsidP="00F95101">
      <w:pPr>
        <w:spacing w:before="240" w:after="240" w:line="240" w:lineRule="auto"/>
        <w:jc w:val="both"/>
        <w:rPr>
          <w:rFonts w:ascii="Times New Roman" w:hAnsi="Times New Roman" w:cs="Times New Roman"/>
          <w:sz w:val="24"/>
          <w:szCs w:val="24"/>
        </w:rPr>
      </w:pPr>
      <w:r w:rsidRPr="005F5D73">
        <w:rPr>
          <w:rFonts w:ascii="Times New Roman" w:hAnsi="Times New Roman" w:cs="Times New Roman"/>
          <w:sz w:val="24"/>
          <w:szCs w:val="24"/>
        </w:rPr>
        <w:t xml:space="preserve">The findings of this study demonstrate that sub-acute exposure to methylparaben induces significant male reproductive impairment by disrupting sperm count, suppressing progressive motility, and inducing severe structural abnormalities in sperm morphology. These adverse effects are primarily driven by the induction of oxidative stress pathways and subsequent lipid peroxidation of the sperm membrane. </w:t>
      </w:r>
    </w:p>
    <w:p w14:paraId="3C9A431C" w14:textId="2E30FEAD" w:rsidR="005F5D73" w:rsidRPr="005F5D73" w:rsidRDefault="005F5D73" w:rsidP="00F95101">
      <w:pPr>
        <w:spacing w:before="240" w:after="240" w:line="240" w:lineRule="auto"/>
        <w:jc w:val="both"/>
        <w:rPr>
          <w:rFonts w:ascii="Times New Roman" w:hAnsi="Times New Roman" w:cs="Times New Roman"/>
          <w:sz w:val="24"/>
          <w:szCs w:val="24"/>
        </w:rPr>
      </w:pPr>
      <w:r w:rsidRPr="005F5D73">
        <w:rPr>
          <w:rFonts w:ascii="Times New Roman" w:hAnsi="Times New Roman" w:cs="Times New Roman"/>
          <w:sz w:val="24"/>
          <w:szCs w:val="24"/>
        </w:rPr>
        <w:t>Crucially, the co-administration of the nutraceutical baicalin successfully mitigates these toxic effects, though it exhibits a distinct dose-dependent threshold response across individual parameters. While a low dose of baicalin (50 mg/kg/</w:t>
      </w:r>
      <w:proofErr w:type="spellStart"/>
      <w:r w:rsidRPr="005F5D73">
        <w:rPr>
          <w:rFonts w:ascii="Times New Roman" w:hAnsi="Times New Roman" w:cs="Times New Roman"/>
          <w:sz w:val="24"/>
          <w:szCs w:val="24"/>
        </w:rPr>
        <w:t>bw</w:t>
      </w:r>
      <w:proofErr w:type="spellEnd"/>
      <w:r w:rsidRPr="005F5D73">
        <w:rPr>
          <w:rFonts w:ascii="Times New Roman" w:hAnsi="Times New Roman" w:cs="Times New Roman"/>
          <w:sz w:val="24"/>
          <w:szCs w:val="24"/>
        </w:rPr>
        <w:t>) is fully sufficient to preserve sperm morphological integrity, a higher therapeutic dose (100 mg/kg/</w:t>
      </w:r>
      <w:proofErr w:type="spellStart"/>
      <w:r w:rsidRPr="005F5D73">
        <w:rPr>
          <w:rFonts w:ascii="Times New Roman" w:hAnsi="Times New Roman" w:cs="Times New Roman"/>
          <w:sz w:val="24"/>
          <w:szCs w:val="24"/>
        </w:rPr>
        <w:t>bw</w:t>
      </w:r>
      <w:proofErr w:type="spellEnd"/>
      <w:r w:rsidRPr="005F5D73">
        <w:rPr>
          <w:rFonts w:ascii="Times New Roman" w:hAnsi="Times New Roman" w:cs="Times New Roman"/>
          <w:sz w:val="24"/>
          <w:szCs w:val="24"/>
        </w:rPr>
        <w:t xml:space="preserve"> to 200 mg/kg/</w:t>
      </w:r>
      <w:proofErr w:type="spellStart"/>
      <w:r w:rsidRPr="005F5D73">
        <w:rPr>
          <w:rFonts w:ascii="Times New Roman" w:hAnsi="Times New Roman" w:cs="Times New Roman"/>
          <w:sz w:val="24"/>
          <w:szCs w:val="24"/>
        </w:rPr>
        <w:t>bw</w:t>
      </w:r>
      <w:proofErr w:type="spellEnd"/>
      <w:r w:rsidRPr="005F5D73">
        <w:rPr>
          <w:rFonts w:ascii="Times New Roman" w:hAnsi="Times New Roman" w:cs="Times New Roman"/>
          <w:sz w:val="24"/>
          <w:szCs w:val="24"/>
        </w:rPr>
        <w:t xml:space="preserve">) is required to fully rescue sperm concentration and progressive motility to baseline control levels. </w:t>
      </w:r>
    </w:p>
    <w:p w14:paraId="050D4E69" w14:textId="6985F3B9" w:rsidR="005F5D73" w:rsidRDefault="005F5D73" w:rsidP="00F95101">
      <w:pPr>
        <w:spacing w:before="240" w:after="240" w:line="240" w:lineRule="auto"/>
        <w:jc w:val="both"/>
        <w:rPr>
          <w:rFonts w:ascii="Times New Roman" w:hAnsi="Times New Roman" w:cs="Times New Roman"/>
          <w:sz w:val="24"/>
          <w:szCs w:val="24"/>
        </w:rPr>
      </w:pPr>
      <w:r w:rsidRPr="005F5D73">
        <w:rPr>
          <w:rFonts w:ascii="Times New Roman" w:hAnsi="Times New Roman" w:cs="Times New Roman"/>
          <w:sz w:val="24"/>
          <w:szCs w:val="24"/>
        </w:rPr>
        <w:t xml:space="preserve">Therefore, considerable caution should be applied regarding the ubiquitous use of methylparaben as an antimicrobial preservative in daily consumables. Concurrently, the use of targeted antioxidant nutraceuticals like baicalin should be encouraged as a viable protective strategy against environmental and chemical reproductive toxicities. To firmly establish comprehensive safety guidelines and fully elucidate the downstream molecular mechanisms, additional long-term studies are highly recommended. </w:t>
      </w:r>
    </w:p>
    <w:p w14:paraId="3579436C" w14:textId="3051FAE7" w:rsidR="00DD35CE" w:rsidRPr="00DD35CE" w:rsidRDefault="00DD35CE" w:rsidP="00DD35CE">
      <w:pPr>
        <w:spacing w:before="240" w:after="240" w:line="240" w:lineRule="auto"/>
        <w:jc w:val="both"/>
        <w:rPr>
          <w:rFonts w:ascii="Times New Roman" w:hAnsi="Times New Roman" w:cs="Times New Roman"/>
          <w:sz w:val="24"/>
          <w:szCs w:val="24"/>
        </w:rPr>
      </w:pPr>
      <w:r w:rsidRPr="00DD35CE">
        <w:rPr>
          <w:rFonts w:ascii="Times New Roman" w:hAnsi="Times New Roman" w:cs="Times New Roman"/>
          <w:sz w:val="24"/>
          <w:szCs w:val="24"/>
        </w:rPr>
        <w:t>Declaration of Co</w:t>
      </w:r>
      <w:r>
        <w:rPr>
          <w:rFonts w:ascii="Times New Roman" w:hAnsi="Times New Roman" w:cs="Times New Roman"/>
          <w:sz w:val="24"/>
          <w:szCs w:val="24"/>
        </w:rPr>
        <w:t>nflict of</w:t>
      </w:r>
      <w:r w:rsidRPr="00DD35CE">
        <w:rPr>
          <w:rFonts w:ascii="Times New Roman" w:hAnsi="Times New Roman" w:cs="Times New Roman"/>
          <w:sz w:val="24"/>
          <w:szCs w:val="24"/>
        </w:rPr>
        <w:t xml:space="preserve"> Interest</w:t>
      </w:r>
    </w:p>
    <w:p w14:paraId="52E3E9A1" w14:textId="429BD637" w:rsidR="00DD35CE" w:rsidRDefault="00DD35CE" w:rsidP="00DD35CE">
      <w:pPr>
        <w:spacing w:before="240" w:after="240" w:line="240" w:lineRule="auto"/>
        <w:jc w:val="both"/>
        <w:rPr>
          <w:rFonts w:ascii="Times New Roman" w:hAnsi="Times New Roman" w:cs="Times New Roman"/>
          <w:sz w:val="24"/>
          <w:szCs w:val="24"/>
        </w:rPr>
      </w:pPr>
      <w:r w:rsidRPr="00DD35CE">
        <w:rPr>
          <w:rFonts w:ascii="Times New Roman" w:hAnsi="Times New Roman" w:cs="Times New Roman"/>
          <w:sz w:val="24"/>
          <w:szCs w:val="24"/>
        </w:rPr>
        <w:t>The authors declare that they have no known competing financial interests or personal relationships that could have appeared to influence the work reported in this paper.</w:t>
      </w:r>
    </w:p>
    <w:p w14:paraId="15E3C82A" w14:textId="77777777" w:rsidR="00DD35CE" w:rsidRPr="00DD35CE" w:rsidRDefault="00DD35CE" w:rsidP="00DD35CE">
      <w:pPr>
        <w:spacing w:before="240" w:after="240" w:line="240" w:lineRule="auto"/>
        <w:jc w:val="both"/>
        <w:rPr>
          <w:rFonts w:ascii="Times New Roman" w:hAnsi="Times New Roman" w:cs="Times New Roman"/>
          <w:sz w:val="24"/>
          <w:szCs w:val="24"/>
        </w:rPr>
      </w:pPr>
      <w:r w:rsidRPr="00DD35CE">
        <w:rPr>
          <w:rFonts w:ascii="Times New Roman" w:hAnsi="Times New Roman" w:cs="Times New Roman"/>
          <w:sz w:val="24"/>
          <w:szCs w:val="24"/>
        </w:rPr>
        <w:t>Data availability</w:t>
      </w:r>
    </w:p>
    <w:p w14:paraId="6F75C8A1" w14:textId="5E829FEA" w:rsidR="00DD35CE" w:rsidRPr="005F5D73" w:rsidRDefault="00DD35CE" w:rsidP="00DD35CE">
      <w:pPr>
        <w:spacing w:before="240" w:after="240" w:line="240" w:lineRule="auto"/>
        <w:jc w:val="both"/>
        <w:rPr>
          <w:rFonts w:ascii="Times New Roman" w:hAnsi="Times New Roman" w:cs="Times New Roman"/>
          <w:sz w:val="24"/>
          <w:szCs w:val="24"/>
        </w:rPr>
      </w:pPr>
      <w:r w:rsidRPr="00DD35CE">
        <w:rPr>
          <w:rFonts w:ascii="Times New Roman" w:hAnsi="Times New Roman" w:cs="Times New Roman"/>
          <w:sz w:val="24"/>
          <w:szCs w:val="24"/>
        </w:rPr>
        <w:t>Data will be made available on request.</w:t>
      </w:r>
    </w:p>
    <w:p w14:paraId="64B0934B" w14:textId="0FCD9CAB" w:rsidR="00F97256" w:rsidRPr="00F97256" w:rsidRDefault="004F1DF8" w:rsidP="00F95101">
      <w:pPr>
        <w:spacing w:before="240" w:after="240" w:line="240" w:lineRule="auto"/>
        <w:rPr>
          <w:rFonts w:ascii="Times New Roman" w:hAnsi="Times New Roman" w:cs="Times New Roman"/>
          <w:b/>
          <w:bCs/>
          <w:sz w:val="24"/>
          <w:szCs w:val="24"/>
        </w:rPr>
      </w:pPr>
      <w:r w:rsidRPr="00F97256">
        <w:rPr>
          <w:rFonts w:ascii="Times New Roman" w:hAnsi="Times New Roman" w:cs="Times New Roman"/>
          <w:b/>
          <w:bCs/>
          <w:sz w:val="24"/>
          <w:szCs w:val="24"/>
        </w:rPr>
        <w:t>REFERENCES</w:t>
      </w:r>
    </w:p>
    <w:p w14:paraId="6F57A6CE" w14:textId="77777777" w:rsidR="00610750" w:rsidRPr="00610750" w:rsidRDefault="00610750" w:rsidP="00610750">
      <w:pPr>
        <w:pStyle w:val="ListParagraph"/>
        <w:numPr>
          <w:ilvl w:val="0"/>
          <w:numId w:val="2"/>
        </w:numPr>
        <w:spacing w:before="240"/>
        <w:rPr>
          <w:rFonts w:ascii="Times New Roman" w:hAnsi="Times New Roman" w:cs="Times New Roman"/>
          <w:sz w:val="24"/>
          <w:szCs w:val="24"/>
        </w:rPr>
      </w:pPr>
      <w:r w:rsidRPr="00610750">
        <w:rPr>
          <w:rFonts w:ascii="Times New Roman" w:hAnsi="Times New Roman" w:cs="Times New Roman"/>
          <w:sz w:val="24"/>
          <w:szCs w:val="24"/>
        </w:rPr>
        <w:t xml:space="preserve">Li, W., Wang, Y., &amp; Zhang, J. (2016). Review on the life cycle of parabens: Synthesis, degradation, characterization, and safety analysis in consumer products. </w:t>
      </w:r>
      <w:r w:rsidRPr="00610750">
        <w:rPr>
          <w:rFonts w:ascii="Times New Roman" w:hAnsi="Times New Roman" w:cs="Times New Roman"/>
          <w:i/>
          <w:iCs/>
          <w:sz w:val="24"/>
          <w:szCs w:val="24"/>
        </w:rPr>
        <w:t>Environmental Science and Pollution Research</w:t>
      </w:r>
      <w:r w:rsidRPr="00610750">
        <w:rPr>
          <w:rFonts w:ascii="Times New Roman" w:hAnsi="Times New Roman" w:cs="Times New Roman"/>
          <w:sz w:val="24"/>
          <w:szCs w:val="24"/>
        </w:rPr>
        <w:t>, 23(18), 17981–17996.</w:t>
      </w:r>
    </w:p>
    <w:p w14:paraId="10A71BF5" w14:textId="77777777" w:rsidR="00610750" w:rsidRPr="00610750" w:rsidRDefault="00610750" w:rsidP="00610750">
      <w:pPr>
        <w:pStyle w:val="ListParagraph"/>
        <w:numPr>
          <w:ilvl w:val="0"/>
          <w:numId w:val="2"/>
        </w:numPr>
        <w:spacing w:before="240"/>
        <w:rPr>
          <w:rFonts w:ascii="Times New Roman" w:hAnsi="Times New Roman" w:cs="Times New Roman"/>
          <w:sz w:val="24"/>
          <w:szCs w:val="24"/>
        </w:rPr>
      </w:pPr>
      <w:r w:rsidRPr="00610750">
        <w:rPr>
          <w:rFonts w:ascii="Times New Roman" w:hAnsi="Times New Roman" w:cs="Times New Roman"/>
          <w:sz w:val="24"/>
          <w:szCs w:val="24"/>
        </w:rPr>
        <w:t xml:space="preserve">Lin, C. H., Tsai, S. W., &amp; Chen, B. H. (2019). Safety assessment of esters of p-hydroxybenzoic acid (parabens) and their occurrence across commercial pharmaceutical and cosmetic matrices. </w:t>
      </w:r>
      <w:r w:rsidRPr="00610750">
        <w:rPr>
          <w:rFonts w:ascii="Times New Roman" w:hAnsi="Times New Roman" w:cs="Times New Roman"/>
          <w:i/>
          <w:iCs/>
          <w:sz w:val="24"/>
          <w:szCs w:val="24"/>
        </w:rPr>
        <w:t>Food and Chemical Toxicology</w:t>
      </w:r>
      <w:r w:rsidRPr="00610750">
        <w:rPr>
          <w:rFonts w:ascii="Times New Roman" w:hAnsi="Times New Roman" w:cs="Times New Roman"/>
          <w:sz w:val="24"/>
          <w:szCs w:val="24"/>
        </w:rPr>
        <w:t>, 131, 110543.</w:t>
      </w:r>
    </w:p>
    <w:p w14:paraId="17C6D8FD" w14:textId="77777777" w:rsidR="00610750" w:rsidRPr="00610750" w:rsidRDefault="00610750" w:rsidP="00610750">
      <w:pPr>
        <w:pStyle w:val="ListParagraph"/>
        <w:numPr>
          <w:ilvl w:val="0"/>
          <w:numId w:val="2"/>
        </w:numPr>
        <w:spacing w:before="240"/>
        <w:rPr>
          <w:rFonts w:ascii="Times New Roman" w:hAnsi="Times New Roman" w:cs="Times New Roman"/>
          <w:sz w:val="24"/>
          <w:szCs w:val="24"/>
        </w:rPr>
      </w:pPr>
      <w:proofErr w:type="spellStart"/>
      <w:r w:rsidRPr="00610750">
        <w:rPr>
          <w:rFonts w:ascii="Times New Roman" w:hAnsi="Times New Roman" w:cs="Times New Roman"/>
          <w:sz w:val="24"/>
          <w:szCs w:val="24"/>
        </w:rPr>
        <w:t>Lincho</w:t>
      </w:r>
      <w:proofErr w:type="spellEnd"/>
      <w:r w:rsidRPr="00610750">
        <w:rPr>
          <w:rFonts w:ascii="Times New Roman" w:hAnsi="Times New Roman" w:cs="Times New Roman"/>
          <w:sz w:val="24"/>
          <w:szCs w:val="24"/>
        </w:rPr>
        <w:t xml:space="preserve">, J., Martins, R. C., &amp; Gomes, J. (2021). Paraben compounds—Part I: An overview of their characteristics, detection, regulatory frameworks, and environmental impacts. </w:t>
      </w:r>
      <w:r w:rsidRPr="00610750">
        <w:rPr>
          <w:rFonts w:ascii="Times New Roman" w:hAnsi="Times New Roman" w:cs="Times New Roman"/>
          <w:i/>
          <w:iCs/>
          <w:sz w:val="24"/>
          <w:szCs w:val="24"/>
        </w:rPr>
        <w:t>Applied Sciences</w:t>
      </w:r>
      <w:r w:rsidRPr="00610750">
        <w:rPr>
          <w:rFonts w:ascii="Times New Roman" w:hAnsi="Times New Roman" w:cs="Times New Roman"/>
          <w:sz w:val="24"/>
          <w:szCs w:val="24"/>
        </w:rPr>
        <w:t>, 11(5), 2307.</w:t>
      </w:r>
    </w:p>
    <w:p w14:paraId="4F9B641C" w14:textId="77777777" w:rsidR="00CC4DF4" w:rsidRPr="00610750" w:rsidRDefault="00CC4DF4" w:rsidP="00CC4DF4">
      <w:pPr>
        <w:pStyle w:val="ListParagraph"/>
        <w:numPr>
          <w:ilvl w:val="0"/>
          <w:numId w:val="2"/>
        </w:numPr>
        <w:spacing w:before="240"/>
        <w:rPr>
          <w:rFonts w:ascii="Times New Roman" w:hAnsi="Times New Roman" w:cs="Times New Roman"/>
          <w:sz w:val="24"/>
          <w:szCs w:val="24"/>
        </w:rPr>
      </w:pPr>
      <w:proofErr w:type="spellStart"/>
      <w:r w:rsidRPr="00610750">
        <w:rPr>
          <w:rFonts w:ascii="Times New Roman" w:hAnsi="Times New Roman" w:cs="Times New Roman"/>
          <w:sz w:val="24"/>
          <w:szCs w:val="24"/>
        </w:rPr>
        <w:t>Darbre</w:t>
      </w:r>
      <w:proofErr w:type="spellEnd"/>
      <w:r w:rsidRPr="00610750">
        <w:rPr>
          <w:rFonts w:ascii="Times New Roman" w:hAnsi="Times New Roman" w:cs="Times New Roman"/>
          <w:sz w:val="24"/>
          <w:szCs w:val="24"/>
        </w:rPr>
        <w:t xml:space="preserve">, P. D., &amp; Harvey, P. W. (2014). Paraben esters: Review of recent studies of endocrine toxicity, absorption, esterase and human exposure, and discussion of potential human health risks. </w:t>
      </w:r>
      <w:r w:rsidRPr="00610750">
        <w:rPr>
          <w:rFonts w:ascii="Times New Roman" w:hAnsi="Times New Roman" w:cs="Times New Roman"/>
          <w:i/>
          <w:iCs/>
          <w:sz w:val="24"/>
          <w:szCs w:val="24"/>
        </w:rPr>
        <w:t>Journal of Applied Toxicology</w:t>
      </w:r>
      <w:r w:rsidRPr="00610750">
        <w:rPr>
          <w:rFonts w:ascii="Times New Roman" w:hAnsi="Times New Roman" w:cs="Times New Roman"/>
          <w:sz w:val="24"/>
          <w:szCs w:val="24"/>
        </w:rPr>
        <w:t>, 34(5), 461–478.</w:t>
      </w:r>
    </w:p>
    <w:p w14:paraId="1A1D28E9" w14:textId="77777777" w:rsidR="00CC4DF4" w:rsidRPr="00610750" w:rsidRDefault="00CC4DF4" w:rsidP="00CC4DF4">
      <w:pPr>
        <w:pStyle w:val="ListParagraph"/>
        <w:numPr>
          <w:ilvl w:val="0"/>
          <w:numId w:val="2"/>
        </w:numPr>
        <w:spacing w:before="240"/>
        <w:rPr>
          <w:rFonts w:ascii="Times New Roman" w:hAnsi="Times New Roman" w:cs="Times New Roman"/>
          <w:sz w:val="24"/>
          <w:szCs w:val="24"/>
        </w:rPr>
      </w:pPr>
      <w:r w:rsidRPr="00610750">
        <w:rPr>
          <w:rFonts w:ascii="Times New Roman" w:hAnsi="Times New Roman" w:cs="Times New Roman"/>
          <w:sz w:val="24"/>
          <w:szCs w:val="24"/>
        </w:rPr>
        <w:t xml:space="preserve">Lange, C., Schmidt, S., &amp; Bauer, K. (2014). Daily human intake pathways of parabens through dermal application and gastrointestinal absorption. </w:t>
      </w:r>
      <w:r w:rsidRPr="00610750">
        <w:rPr>
          <w:rFonts w:ascii="Times New Roman" w:hAnsi="Times New Roman" w:cs="Times New Roman"/>
          <w:i/>
          <w:iCs/>
          <w:sz w:val="24"/>
          <w:szCs w:val="24"/>
        </w:rPr>
        <w:t>Toxicology Letters</w:t>
      </w:r>
      <w:r w:rsidRPr="00610750">
        <w:rPr>
          <w:rFonts w:ascii="Times New Roman" w:hAnsi="Times New Roman" w:cs="Times New Roman"/>
          <w:sz w:val="24"/>
          <w:szCs w:val="24"/>
        </w:rPr>
        <w:t>, 229, S142.</w:t>
      </w:r>
    </w:p>
    <w:p w14:paraId="7C16D9D0" w14:textId="77777777" w:rsidR="00CC4DF4" w:rsidRPr="00610750" w:rsidRDefault="00CC4DF4" w:rsidP="00CC4DF4">
      <w:pPr>
        <w:pStyle w:val="ListParagraph"/>
        <w:numPr>
          <w:ilvl w:val="0"/>
          <w:numId w:val="2"/>
        </w:numPr>
        <w:spacing w:before="240"/>
        <w:rPr>
          <w:rFonts w:ascii="Times New Roman" w:hAnsi="Times New Roman" w:cs="Times New Roman"/>
          <w:sz w:val="24"/>
          <w:szCs w:val="24"/>
        </w:rPr>
      </w:pPr>
      <w:r w:rsidRPr="00610750">
        <w:rPr>
          <w:rFonts w:ascii="Times New Roman" w:hAnsi="Times New Roman" w:cs="Times New Roman"/>
          <w:sz w:val="24"/>
          <w:szCs w:val="24"/>
        </w:rPr>
        <w:lastRenderedPageBreak/>
        <w:t xml:space="preserve">Freire, C., </w:t>
      </w:r>
      <w:proofErr w:type="spellStart"/>
      <w:r w:rsidRPr="00610750">
        <w:rPr>
          <w:rFonts w:ascii="Times New Roman" w:hAnsi="Times New Roman" w:cs="Times New Roman"/>
          <w:sz w:val="24"/>
          <w:szCs w:val="24"/>
        </w:rPr>
        <w:t>Mustieles</w:t>
      </w:r>
      <w:proofErr w:type="spellEnd"/>
      <w:r w:rsidRPr="00610750">
        <w:rPr>
          <w:rFonts w:ascii="Times New Roman" w:hAnsi="Times New Roman" w:cs="Times New Roman"/>
          <w:sz w:val="24"/>
          <w:szCs w:val="24"/>
        </w:rPr>
        <w:t xml:space="preserve">, V., &amp; Fernández, M. F. (2019). Presence of bisphenol A and parabens in daily consumables and personal care products: Assessment of dermal and dietary exposure routes. </w:t>
      </w:r>
      <w:r w:rsidRPr="00610750">
        <w:rPr>
          <w:rFonts w:ascii="Times New Roman" w:hAnsi="Times New Roman" w:cs="Times New Roman"/>
          <w:i/>
          <w:iCs/>
          <w:sz w:val="24"/>
          <w:szCs w:val="24"/>
        </w:rPr>
        <w:t>Science of the Total Environment</w:t>
      </w:r>
      <w:r w:rsidRPr="00610750">
        <w:rPr>
          <w:rFonts w:ascii="Times New Roman" w:hAnsi="Times New Roman" w:cs="Times New Roman"/>
          <w:sz w:val="24"/>
          <w:szCs w:val="24"/>
        </w:rPr>
        <w:t>, 655, 415–426.</w:t>
      </w:r>
    </w:p>
    <w:p w14:paraId="689EF30A" w14:textId="77777777" w:rsidR="00CC4DF4" w:rsidRPr="00610750" w:rsidRDefault="00CC4DF4" w:rsidP="00CC4DF4">
      <w:pPr>
        <w:pStyle w:val="ListParagraph"/>
        <w:numPr>
          <w:ilvl w:val="0"/>
          <w:numId w:val="2"/>
        </w:numPr>
        <w:spacing w:before="240"/>
        <w:rPr>
          <w:rFonts w:ascii="Times New Roman" w:hAnsi="Times New Roman" w:cs="Times New Roman"/>
          <w:sz w:val="24"/>
          <w:szCs w:val="24"/>
        </w:rPr>
      </w:pPr>
      <w:proofErr w:type="spellStart"/>
      <w:r w:rsidRPr="00610750">
        <w:rPr>
          <w:rFonts w:ascii="Times New Roman" w:hAnsi="Times New Roman" w:cs="Times New Roman"/>
          <w:sz w:val="24"/>
          <w:szCs w:val="24"/>
        </w:rPr>
        <w:t>Kolatorova</w:t>
      </w:r>
      <w:proofErr w:type="spellEnd"/>
      <w:r w:rsidRPr="00610750">
        <w:rPr>
          <w:rFonts w:ascii="Times New Roman" w:hAnsi="Times New Roman" w:cs="Times New Roman"/>
          <w:sz w:val="24"/>
          <w:szCs w:val="24"/>
        </w:rPr>
        <w:t xml:space="preserve">, L., </w:t>
      </w:r>
      <w:proofErr w:type="spellStart"/>
      <w:r w:rsidRPr="00610750">
        <w:rPr>
          <w:rFonts w:ascii="Times New Roman" w:hAnsi="Times New Roman" w:cs="Times New Roman"/>
          <w:sz w:val="24"/>
          <w:szCs w:val="24"/>
        </w:rPr>
        <w:t>Sosvorova</w:t>
      </w:r>
      <w:proofErr w:type="spellEnd"/>
      <w:r w:rsidRPr="00610750">
        <w:rPr>
          <w:rFonts w:ascii="Times New Roman" w:hAnsi="Times New Roman" w:cs="Times New Roman"/>
          <w:sz w:val="24"/>
          <w:szCs w:val="24"/>
        </w:rPr>
        <w:t xml:space="preserve">, L., </w:t>
      </w:r>
      <w:proofErr w:type="spellStart"/>
      <w:r w:rsidRPr="00610750">
        <w:rPr>
          <w:rFonts w:ascii="Times New Roman" w:hAnsi="Times New Roman" w:cs="Times New Roman"/>
          <w:sz w:val="24"/>
          <w:szCs w:val="24"/>
        </w:rPr>
        <w:t>Vitku</w:t>
      </w:r>
      <w:proofErr w:type="spellEnd"/>
      <w:r w:rsidRPr="00610750">
        <w:rPr>
          <w:rFonts w:ascii="Times New Roman" w:hAnsi="Times New Roman" w:cs="Times New Roman"/>
          <w:sz w:val="24"/>
          <w:szCs w:val="24"/>
        </w:rPr>
        <w:t xml:space="preserve">, J., Starka, L., &amp; Hampl, R. (2017). Determination of parabens and their metabolites in human tissues, blood, breast milk, placenta, and urine. </w:t>
      </w:r>
      <w:r w:rsidRPr="00610750">
        <w:rPr>
          <w:rFonts w:ascii="Times New Roman" w:hAnsi="Times New Roman" w:cs="Times New Roman"/>
          <w:i/>
          <w:iCs/>
          <w:sz w:val="24"/>
          <w:szCs w:val="24"/>
        </w:rPr>
        <w:t>Chemical Papers</w:t>
      </w:r>
      <w:r w:rsidRPr="00610750">
        <w:rPr>
          <w:rFonts w:ascii="Times New Roman" w:hAnsi="Times New Roman" w:cs="Times New Roman"/>
          <w:sz w:val="24"/>
          <w:szCs w:val="24"/>
        </w:rPr>
        <w:t>, 71(12), 2455–2467.</w:t>
      </w:r>
    </w:p>
    <w:p w14:paraId="2A384550" w14:textId="77777777" w:rsidR="00CC4DF4" w:rsidRPr="00610750" w:rsidRDefault="00CC4DF4" w:rsidP="00CC4DF4">
      <w:pPr>
        <w:pStyle w:val="ListParagraph"/>
        <w:numPr>
          <w:ilvl w:val="0"/>
          <w:numId w:val="2"/>
        </w:numPr>
        <w:spacing w:before="240"/>
        <w:rPr>
          <w:rFonts w:ascii="Times New Roman" w:hAnsi="Times New Roman" w:cs="Times New Roman"/>
          <w:sz w:val="24"/>
          <w:szCs w:val="24"/>
        </w:rPr>
      </w:pPr>
      <w:r w:rsidRPr="00610750">
        <w:rPr>
          <w:rFonts w:ascii="Times New Roman" w:hAnsi="Times New Roman" w:cs="Times New Roman"/>
          <w:sz w:val="24"/>
          <w:szCs w:val="24"/>
        </w:rPr>
        <w:t xml:space="preserve">Sandanger, T. M., Poston, L., &amp; Nowac, G. (2011). Plasma concentrations of parabens in postmenopausal women and self-reported use of personal care products—The NOWAC </w:t>
      </w:r>
      <w:proofErr w:type="spellStart"/>
      <w:r w:rsidRPr="00610750">
        <w:rPr>
          <w:rFonts w:ascii="Times New Roman" w:hAnsi="Times New Roman" w:cs="Times New Roman"/>
          <w:sz w:val="24"/>
          <w:szCs w:val="24"/>
        </w:rPr>
        <w:t>postgenome</w:t>
      </w:r>
      <w:proofErr w:type="spellEnd"/>
      <w:r w:rsidRPr="00610750">
        <w:rPr>
          <w:rFonts w:ascii="Times New Roman" w:hAnsi="Times New Roman" w:cs="Times New Roman"/>
          <w:sz w:val="24"/>
          <w:szCs w:val="24"/>
        </w:rPr>
        <w:t xml:space="preserve"> study. </w:t>
      </w:r>
      <w:r w:rsidRPr="00610750">
        <w:rPr>
          <w:rFonts w:ascii="Times New Roman" w:hAnsi="Times New Roman" w:cs="Times New Roman"/>
          <w:i/>
          <w:iCs/>
          <w:sz w:val="24"/>
          <w:szCs w:val="24"/>
        </w:rPr>
        <w:t>Journal of Exposure Science &amp; Environmental Epidemiology</w:t>
      </w:r>
      <w:r w:rsidRPr="00610750">
        <w:rPr>
          <w:rFonts w:ascii="Times New Roman" w:hAnsi="Times New Roman" w:cs="Times New Roman"/>
          <w:sz w:val="24"/>
          <w:szCs w:val="24"/>
        </w:rPr>
        <w:t>, 21(3), 262–271.</w:t>
      </w:r>
    </w:p>
    <w:p w14:paraId="4BC7CF06" w14:textId="77777777" w:rsidR="00CC4DF4" w:rsidRPr="00610750" w:rsidRDefault="00CC4DF4" w:rsidP="00CC4DF4">
      <w:pPr>
        <w:pStyle w:val="ListParagraph"/>
        <w:numPr>
          <w:ilvl w:val="0"/>
          <w:numId w:val="2"/>
        </w:numPr>
        <w:spacing w:before="240"/>
        <w:rPr>
          <w:rFonts w:ascii="Times New Roman" w:hAnsi="Times New Roman" w:cs="Times New Roman"/>
          <w:sz w:val="24"/>
          <w:szCs w:val="24"/>
        </w:rPr>
      </w:pPr>
      <w:r w:rsidRPr="00610750">
        <w:rPr>
          <w:rFonts w:ascii="Times New Roman" w:hAnsi="Times New Roman" w:cs="Times New Roman"/>
          <w:sz w:val="24"/>
          <w:szCs w:val="24"/>
        </w:rPr>
        <w:t xml:space="preserve">Shen, O., Du, G., Sun, H., Wu, W., Jiang, Y., Song, L., &amp; Wang, X. (2017). Comparison of the in vitro and in vivo estrogenic and androgenic activities of commonly used paraben combinations. </w:t>
      </w:r>
      <w:r w:rsidRPr="00610750">
        <w:rPr>
          <w:rFonts w:ascii="Times New Roman" w:hAnsi="Times New Roman" w:cs="Times New Roman"/>
          <w:i/>
          <w:iCs/>
          <w:sz w:val="24"/>
          <w:szCs w:val="24"/>
        </w:rPr>
        <w:t>Toxicology</w:t>
      </w:r>
      <w:r w:rsidRPr="00610750">
        <w:rPr>
          <w:rFonts w:ascii="Times New Roman" w:hAnsi="Times New Roman" w:cs="Times New Roman"/>
          <w:sz w:val="24"/>
          <w:szCs w:val="24"/>
        </w:rPr>
        <w:t>, 387, 56–64.</w:t>
      </w:r>
    </w:p>
    <w:p w14:paraId="01BB1019" w14:textId="77777777" w:rsidR="00CC4DF4" w:rsidRPr="00610750" w:rsidRDefault="00CC4DF4" w:rsidP="00CC4DF4">
      <w:pPr>
        <w:pStyle w:val="ListParagraph"/>
        <w:numPr>
          <w:ilvl w:val="0"/>
          <w:numId w:val="2"/>
        </w:numPr>
        <w:spacing w:before="240"/>
        <w:rPr>
          <w:rFonts w:ascii="Times New Roman" w:hAnsi="Times New Roman" w:cs="Times New Roman"/>
          <w:sz w:val="24"/>
          <w:szCs w:val="24"/>
        </w:rPr>
      </w:pPr>
      <w:r w:rsidRPr="00610750">
        <w:rPr>
          <w:rFonts w:ascii="Times New Roman" w:hAnsi="Times New Roman" w:cs="Times New Roman"/>
          <w:sz w:val="24"/>
          <w:szCs w:val="24"/>
        </w:rPr>
        <w:t xml:space="preserve">Zhou, X., Kramer, J. P., &amp; Calafat, A. M. (2018). Automated solid-phase extraction coupled with high-performance liquid chromatography-tandem mass spectrometry for the quantification of four major parabens in human biofluids. </w:t>
      </w:r>
      <w:r w:rsidRPr="00610750">
        <w:rPr>
          <w:rFonts w:ascii="Times New Roman" w:hAnsi="Times New Roman" w:cs="Times New Roman"/>
          <w:i/>
          <w:iCs/>
          <w:sz w:val="24"/>
          <w:szCs w:val="24"/>
        </w:rPr>
        <w:t>Journal of Chromatography B</w:t>
      </w:r>
      <w:r w:rsidRPr="00610750">
        <w:rPr>
          <w:rFonts w:ascii="Times New Roman" w:hAnsi="Times New Roman" w:cs="Times New Roman"/>
          <w:sz w:val="24"/>
          <w:szCs w:val="24"/>
        </w:rPr>
        <w:t>, 1092, 410–417.</w:t>
      </w:r>
    </w:p>
    <w:p w14:paraId="76C4CE2C" w14:textId="77777777" w:rsidR="006B0021" w:rsidRPr="00610750" w:rsidRDefault="006B0021" w:rsidP="006B0021">
      <w:pPr>
        <w:pStyle w:val="ListParagraph"/>
        <w:numPr>
          <w:ilvl w:val="0"/>
          <w:numId w:val="2"/>
        </w:numPr>
        <w:spacing w:before="240"/>
        <w:rPr>
          <w:rFonts w:ascii="Times New Roman" w:hAnsi="Times New Roman" w:cs="Times New Roman"/>
          <w:sz w:val="24"/>
          <w:szCs w:val="24"/>
        </w:rPr>
      </w:pPr>
      <w:r w:rsidRPr="00610750">
        <w:rPr>
          <w:rFonts w:ascii="Times New Roman" w:hAnsi="Times New Roman" w:cs="Times New Roman"/>
          <w:sz w:val="24"/>
          <w:szCs w:val="24"/>
        </w:rPr>
        <w:t xml:space="preserve">Soni, M. G., Carabin, I. G., &amp; Burdock, G. A. (2002). Safety assessment of esters of p-hydroxybenzoic acid (parabens) with specific reference to historical cosmetic and pharmaceutical formulation reviews. </w:t>
      </w:r>
      <w:r w:rsidRPr="00610750">
        <w:rPr>
          <w:rFonts w:ascii="Times New Roman" w:hAnsi="Times New Roman" w:cs="Times New Roman"/>
          <w:i/>
          <w:iCs/>
          <w:sz w:val="24"/>
          <w:szCs w:val="24"/>
        </w:rPr>
        <w:t>Food and Chemical Toxicology</w:t>
      </w:r>
      <w:r w:rsidRPr="00610750">
        <w:rPr>
          <w:rFonts w:ascii="Times New Roman" w:hAnsi="Times New Roman" w:cs="Times New Roman"/>
          <w:sz w:val="24"/>
          <w:szCs w:val="24"/>
        </w:rPr>
        <w:t>, 40(10), 1335–1373.</w:t>
      </w:r>
    </w:p>
    <w:p w14:paraId="26A80178" w14:textId="6CFD861A" w:rsidR="006B0021" w:rsidRDefault="006B0021" w:rsidP="00610750">
      <w:pPr>
        <w:pStyle w:val="ListParagraph"/>
        <w:numPr>
          <w:ilvl w:val="0"/>
          <w:numId w:val="2"/>
        </w:numPr>
        <w:spacing w:before="240"/>
        <w:rPr>
          <w:rFonts w:ascii="Times New Roman" w:hAnsi="Times New Roman" w:cs="Times New Roman"/>
          <w:sz w:val="24"/>
          <w:szCs w:val="24"/>
        </w:rPr>
      </w:pPr>
      <w:r w:rsidRPr="006B0021">
        <w:rPr>
          <w:rFonts w:ascii="Times New Roman" w:hAnsi="Times New Roman" w:cs="Times New Roman"/>
          <w:sz w:val="24"/>
          <w:szCs w:val="24"/>
        </w:rPr>
        <w:t xml:space="preserve">Oliveira, M. M., Martins, F., Silva, M. G., Correia, E., </w:t>
      </w:r>
      <w:proofErr w:type="spellStart"/>
      <w:r w:rsidRPr="006B0021">
        <w:rPr>
          <w:rFonts w:ascii="Times New Roman" w:hAnsi="Times New Roman" w:cs="Times New Roman"/>
          <w:sz w:val="24"/>
          <w:szCs w:val="24"/>
        </w:rPr>
        <w:t>Videira</w:t>
      </w:r>
      <w:proofErr w:type="spellEnd"/>
      <w:r w:rsidRPr="006B0021">
        <w:rPr>
          <w:rFonts w:ascii="Times New Roman" w:hAnsi="Times New Roman" w:cs="Times New Roman"/>
          <w:sz w:val="24"/>
          <w:szCs w:val="24"/>
        </w:rPr>
        <w:t xml:space="preserve">, R. A., &amp; Peixoto, F. (2020). Use of Parabens (Methyl and Butyl) during the Gestation Period: Mitochondrial Bioenergetics of the Testes and Antioxidant Capacity Alterations in Testes and Other Vital Organs of the F1 Generation. Antioxidants, 9(12), 1302. </w:t>
      </w:r>
      <w:hyperlink r:id="rId8" w:history="1">
        <w:r w:rsidRPr="006B0021">
          <w:rPr>
            <w:rStyle w:val="Hyperlink"/>
            <w:rFonts w:ascii="Times New Roman" w:hAnsi="Times New Roman" w:cs="Times New Roman"/>
            <w:color w:val="auto"/>
            <w:sz w:val="24"/>
            <w:szCs w:val="24"/>
            <w:u w:val="none"/>
          </w:rPr>
          <w:t>https://doi.org/10.3390/antiox9121302</w:t>
        </w:r>
      </w:hyperlink>
    </w:p>
    <w:p w14:paraId="166F87CF" w14:textId="4D81E7A2" w:rsidR="006B0021" w:rsidRPr="006B0021" w:rsidRDefault="006B0021" w:rsidP="00610750">
      <w:pPr>
        <w:pStyle w:val="ListParagraph"/>
        <w:numPr>
          <w:ilvl w:val="0"/>
          <w:numId w:val="2"/>
        </w:numPr>
        <w:spacing w:before="240"/>
        <w:rPr>
          <w:rFonts w:ascii="Times New Roman" w:hAnsi="Times New Roman" w:cs="Times New Roman"/>
          <w:sz w:val="24"/>
          <w:szCs w:val="24"/>
        </w:rPr>
      </w:pPr>
      <w:r w:rsidRPr="006B0021">
        <w:rPr>
          <w:rFonts w:ascii="Times New Roman" w:hAnsi="Times New Roman" w:cs="Times New Roman"/>
          <w:sz w:val="24"/>
          <w:szCs w:val="24"/>
        </w:rPr>
        <w:t xml:space="preserve">Xin, L., Gao, J., Lin, H., Qu, Y., Shang, C., Wang, Y., Lu, Y., &amp; Cui, X. (2020). Regulatory Mechanisms of Baicalin in cardiovascular diseases: a review. Frontiers in Pharmacology, 11. </w:t>
      </w:r>
      <w:hyperlink r:id="rId9" w:history="1">
        <w:r w:rsidRPr="006B0021">
          <w:rPr>
            <w:rStyle w:val="Hyperlink"/>
            <w:rFonts w:ascii="Times New Roman" w:hAnsi="Times New Roman" w:cs="Times New Roman"/>
            <w:color w:val="auto"/>
            <w:sz w:val="24"/>
            <w:szCs w:val="24"/>
            <w:u w:val="none"/>
          </w:rPr>
          <w:t>https://doi.org/10.3389/fphar.2020.583200</w:t>
        </w:r>
      </w:hyperlink>
    </w:p>
    <w:p w14:paraId="3FB8E197" w14:textId="5A6E0379" w:rsidR="001C2A53" w:rsidRPr="001C2A53" w:rsidRDefault="001C2A53" w:rsidP="00610750">
      <w:pPr>
        <w:pStyle w:val="ListParagraph"/>
        <w:numPr>
          <w:ilvl w:val="0"/>
          <w:numId w:val="2"/>
        </w:numPr>
        <w:spacing w:before="240"/>
        <w:rPr>
          <w:rFonts w:ascii="Times New Roman" w:hAnsi="Times New Roman" w:cs="Times New Roman"/>
          <w:sz w:val="24"/>
          <w:szCs w:val="24"/>
        </w:rPr>
      </w:pPr>
      <w:r w:rsidRPr="001C2A53">
        <w:rPr>
          <w:rFonts w:ascii="Times New Roman" w:hAnsi="Times New Roman" w:cs="Times New Roman"/>
          <w:sz w:val="24"/>
          <w:szCs w:val="24"/>
        </w:rPr>
        <w:t xml:space="preserve">Dai, J., Liang, K., Zhao, S. J., Jia, W., Yuan, L., Wu, H., Jia, L., Cao, C., Chen, T., Zhuang, S., Hou, X., Zhou, S., Zhang, X., Chen, X., Huang, Y., Xiao, R., Wang, Y., Luo, T., Xiao, J., &amp; Chu, W. (2018). </w:t>
      </w:r>
      <w:proofErr w:type="spellStart"/>
      <w:r w:rsidRPr="001C2A53">
        <w:rPr>
          <w:rFonts w:ascii="Times New Roman" w:hAnsi="Times New Roman" w:cs="Times New Roman"/>
          <w:sz w:val="24"/>
          <w:szCs w:val="24"/>
        </w:rPr>
        <w:t>Chemoproteomics</w:t>
      </w:r>
      <w:proofErr w:type="spellEnd"/>
      <w:r w:rsidRPr="001C2A53">
        <w:rPr>
          <w:rFonts w:ascii="Times New Roman" w:hAnsi="Times New Roman" w:cs="Times New Roman"/>
          <w:sz w:val="24"/>
          <w:szCs w:val="24"/>
        </w:rPr>
        <w:t xml:space="preserve"> reveals baicalin activates hepatic CPT1 to ameliorate diet-induced obesity and hepatic steatosis. Proceedings of the National Academy of Sciences of the United States of America, 115(26). </w:t>
      </w:r>
      <w:hyperlink r:id="rId10" w:history="1">
        <w:r w:rsidRPr="001C2A53">
          <w:rPr>
            <w:rStyle w:val="Hyperlink"/>
            <w:rFonts w:ascii="Times New Roman" w:hAnsi="Times New Roman" w:cs="Times New Roman"/>
            <w:color w:val="auto"/>
            <w:sz w:val="24"/>
            <w:szCs w:val="24"/>
            <w:u w:val="none"/>
          </w:rPr>
          <w:t>https://doi.org/10.1073/pnas.1801745115</w:t>
        </w:r>
      </w:hyperlink>
    </w:p>
    <w:p w14:paraId="3187753C" w14:textId="1FDBEB37" w:rsidR="001C2A53" w:rsidRPr="001C2A53" w:rsidRDefault="001C2A53" w:rsidP="00610750">
      <w:pPr>
        <w:pStyle w:val="ListParagraph"/>
        <w:numPr>
          <w:ilvl w:val="0"/>
          <w:numId w:val="2"/>
        </w:numPr>
        <w:spacing w:before="240"/>
        <w:rPr>
          <w:rFonts w:ascii="Times New Roman" w:hAnsi="Times New Roman" w:cs="Times New Roman"/>
          <w:sz w:val="24"/>
          <w:szCs w:val="24"/>
        </w:rPr>
      </w:pPr>
      <w:r w:rsidRPr="001C2A53">
        <w:rPr>
          <w:rFonts w:ascii="Times New Roman" w:hAnsi="Times New Roman" w:cs="Times New Roman"/>
          <w:sz w:val="24"/>
          <w:szCs w:val="24"/>
        </w:rPr>
        <w:t xml:space="preserve">Huang, X., He, Y., Chen, Y., Wu, P., </w:t>
      </w:r>
      <w:proofErr w:type="spellStart"/>
      <w:r w:rsidRPr="001C2A53">
        <w:rPr>
          <w:rFonts w:ascii="Times New Roman" w:hAnsi="Times New Roman" w:cs="Times New Roman"/>
          <w:sz w:val="24"/>
          <w:szCs w:val="24"/>
        </w:rPr>
        <w:t>Gui</w:t>
      </w:r>
      <w:proofErr w:type="spellEnd"/>
      <w:r w:rsidRPr="001C2A53">
        <w:rPr>
          <w:rFonts w:ascii="Times New Roman" w:hAnsi="Times New Roman" w:cs="Times New Roman"/>
          <w:sz w:val="24"/>
          <w:szCs w:val="24"/>
        </w:rPr>
        <w:t xml:space="preserve">, D., Cai, H., Chen, A., Chen, M., Dai, C., Yao, D., &amp; Wang, L. (2016). Baicalin attenuates bleomycin-induced pulmonary fibrosis via adenosine A2a receptor related TGF-β1-induced ERK1/2 signaling pathway. BMC Pulmonary Medicine, 16(1). </w:t>
      </w:r>
      <w:hyperlink r:id="rId11" w:history="1">
        <w:r w:rsidRPr="001C2A53">
          <w:rPr>
            <w:rStyle w:val="Hyperlink"/>
            <w:rFonts w:ascii="Times New Roman" w:hAnsi="Times New Roman" w:cs="Times New Roman"/>
            <w:color w:val="auto"/>
            <w:sz w:val="24"/>
            <w:szCs w:val="24"/>
            <w:u w:val="none"/>
          </w:rPr>
          <w:t>https://doi.org/10.1186/s12890-016-0294-1</w:t>
        </w:r>
      </w:hyperlink>
    </w:p>
    <w:p w14:paraId="63B8AF42" w14:textId="3F2851F1" w:rsidR="0011010E" w:rsidRDefault="0011010E" w:rsidP="00610750">
      <w:pPr>
        <w:pStyle w:val="ListParagraph"/>
        <w:numPr>
          <w:ilvl w:val="0"/>
          <w:numId w:val="2"/>
        </w:numPr>
        <w:spacing w:before="240"/>
        <w:rPr>
          <w:rFonts w:ascii="Times New Roman" w:hAnsi="Times New Roman" w:cs="Times New Roman"/>
          <w:sz w:val="24"/>
          <w:szCs w:val="24"/>
        </w:rPr>
      </w:pPr>
      <w:r w:rsidRPr="0011010E">
        <w:rPr>
          <w:rFonts w:ascii="Times New Roman" w:hAnsi="Times New Roman" w:cs="Times New Roman"/>
          <w:sz w:val="24"/>
          <w:szCs w:val="24"/>
        </w:rPr>
        <w:t>Li, Y. D., Guan, J. P., Tang, R. C., &amp; Qiao, Y. F. (2019). Application of natural flavonoids to impart antioxidant and antibacterial activities to polyamide fiber for health care applications. Antioxidants, 8(8), 301.</w:t>
      </w:r>
    </w:p>
    <w:p w14:paraId="4484ACCC" w14:textId="77777777" w:rsidR="0011010E" w:rsidRDefault="0011010E" w:rsidP="00610750">
      <w:pPr>
        <w:pStyle w:val="ListParagraph"/>
        <w:numPr>
          <w:ilvl w:val="0"/>
          <w:numId w:val="2"/>
        </w:numPr>
        <w:spacing w:before="240"/>
        <w:rPr>
          <w:rFonts w:ascii="Times New Roman" w:hAnsi="Times New Roman" w:cs="Times New Roman"/>
          <w:sz w:val="24"/>
          <w:szCs w:val="24"/>
        </w:rPr>
      </w:pPr>
      <w:r w:rsidRPr="0011010E">
        <w:rPr>
          <w:rFonts w:ascii="Times New Roman" w:hAnsi="Times New Roman" w:cs="Times New Roman"/>
          <w:sz w:val="24"/>
          <w:szCs w:val="24"/>
        </w:rPr>
        <w:t>Sönmez, M., Türk, G., &amp; Yüce, A. (2005). The effect of ascorbic acid supplementation on sperm quality, lipid peroxidation and testosterone levels of male Wistar rats. Theriogenology, 63(7), 2063-2072.</w:t>
      </w:r>
    </w:p>
    <w:p w14:paraId="708F88A8" w14:textId="77777777" w:rsidR="0011010E" w:rsidRDefault="0011010E" w:rsidP="00610750">
      <w:pPr>
        <w:pStyle w:val="ListParagraph"/>
        <w:numPr>
          <w:ilvl w:val="0"/>
          <w:numId w:val="2"/>
        </w:numPr>
        <w:spacing w:before="240"/>
        <w:rPr>
          <w:rFonts w:ascii="Times New Roman" w:hAnsi="Times New Roman" w:cs="Times New Roman"/>
          <w:sz w:val="24"/>
          <w:szCs w:val="24"/>
        </w:rPr>
      </w:pPr>
      <w:r w:rsidRPr="0011010E">
        <w:rPr>
          <w:rFonts w:ascii="Times New Roman" w:hAnsi="Times New Roman" w:cs="Times New Roman"/>
          <w:sz w:val="24"/>
          <w:szCs w:val="24"/>
        </w:rPr>
        <w:t>Yokoi, K., &amp; Mayi, Z. K. (2004). Organ apoptosis with cytotoxic drugs. Toxicology, 290, 78-85.</w:t>
      </w:r>
    </w:p>
    <w:p w14:paraId="3F29A401" w14:textId="77777777" w:rsidR="006422F8" w:rsidRDefault="006422F8" w:rsidP="00610750">
      <w:pPr>
        <w:pStyle w:val="ListParagraph"/>
        <w:numPr>
          <w:ilvl w:val="0"/>
          <w:numId w:val="2"/>
        </w:numPr>
        <w:spacing w:before="240"/>
        <w:rPr>
          <w:rFonts w:ascii="Times New Roman" w:hAnsi="Times New Roman" w:cs="Times New Roman"/>
          <w:sz w:val="24"/>
          <w:szCs w:val="24"/>
        </w:rPr>
      </w:pPr>
      <w:proofErr w:type="spellStart"/>
      <w:r w:rsidRPr="006422F8">
        <w:rPr>
          <w:rFonts w:ascii="Times New Roman" w:hAnsi="Times New Roman" w:cs="Times New Roman"/>
          <w:sz w:val="24"/>
          <w:szCs w:val="24"/>
        </w:rPr>
        <w:t>Ateşşahin</w:t>
      </w:r>
      <w:proofErr w:type="spellEnd"/>
      <w:r w:rsidRPr="006422F8">
        <w:rPr>
          <w:rFonts w:ascii="Times New Roman" w:hAnsi="Times New Roman" w:cs="Times New Roman"/>
          <w:sz w:val="24"/>
          <w:szCs w:val="24"/>
        </w:rPr>
        <w:t xml:space="preserve">, A., Karahan, İ., Türk, G., Gür, S., Yılmaz, S., &amp; </w:t>
      </w:r>
      <w:proofErr w:type="spellStart"/>
      <w:r w:rsidRPr="006422F8">
        <w:rPr>
          <w:rFonts w:ascii="Times New Roman" w:hAnsi="Times New Roman" w:cs="Times New Roman"/>
          <w:sz w:val="24"/>
          <w:szCs w:val="24"/>
        </w:rPr>
        <w:t>Çeribaşı</w:t>
      </w:r>
      <w:proofErr w:type="spellEnd"/>
      <w:r w:rsidRPr="006422F8">
        <w:rPr>
          <w:rFonts w:ascii="Times New Roman" w:hAnsi="Times New Roman" w:cs="Times New Roman"/>
          <w:sz w:val="24"/>
          <w:szCs w:val="24"/>
        </w:rPr>
        <w:t>, A. O. (2006). Protective role of lycopene on cisplatin-induced changes in sperm characteristics, testicular damage and oxidative stress in rats. Reproductive Toxicology, 21(1), 42-47.</w:t>
      </w:r>
    </w:p>
    <w:p w14:paraId="1A480C54" w14:textId="51507B64" w:rsidR="00215866" w:rsidRDefault="00215866" w:rsidP="00610750">
      <w:pPr>
        <w:pStyle w:val="ListParagraph"/>
        <w:numPr>
          <w:ilvl w:val="0"/>
          <w:numId w:val="2"/>
        </w:numPr>
        <w:spacing w:before="240"/>
        <w:rPr>
          <w:rFonts w:ascii="Times New Roman" w:hAnsi="Times New Roman" w:cs="Times New Roman"/>
          <w:sz w:val="24"/>
          <w:szCs w:val="24"/>
        </w:rPr>
      </w:pPr>
      <w:r w:rsidRPr="00215866">
        <w:rPr>
          <w:rFonts w:ascii="Times New Roman" w:hAnsi="Times New Roman" w:cs="Times New Roman"/>
          <w:sz w:val="24"/>
          <w:szCs w:val="24"/>
        </w:rPr>
        <w:t xml:space="preserve">Hu, Z., Guan, Y., Hu, W., Xu, Z., &amp; Ishfaq, M. (2022). An overview of pharmacological activities of baicalin and its aglycone baicalein: New insights into molecular mechanisms and signaling pathways. Iranian journal of basic medical sciences, 25(1), 14–26. </w:t>
      </w:r>
      <w:hyperlink r:id="rId12" w:history="1">
        <w:r w:rsidRPr="00215866">
          <w:rPr>
            <w:rStyle w:val="Hyperlink"/>
            <w:rFonts w:ascii="Times New Roman" w:hAnsi="Times New Roman" w:cs="Times New Roman"/>
            <w:color w:val="auto"/>
            <w:sz w:val="24"/>
            <w:szCs w:val="24"/>
            <w:u w:val="none"/>
          </w:rPr>
          <w:t>https://doi.org/10.22038/IJBMS.2022.60380.13381</w:t>
        </w:r>
      </w:hyperlink>
    </w:p>
    <w:p w14:paraId="13F9F7C0" w14:textId="2DDAB081" w:rsidR="00020E0B" w:rsidRPr="00020E0B" w:rsidRDefault="00020E0B" w:rsidP="00610750">
      <w:pPr>
        <w:pStyle w:val="ListParagraph"/>
        <w:numPr>
          <w:ilvl w:val="0"/>
          <w:numId w:val="2"/>
        </w:numPr>
        <w:spacing w:before="240"/>
        <w:rPr>
          <w:rFonts w:ascii="Times New Roman" w:hAnsi="Times New Roman" w:cs="Times New Roman"/>
          <w:sz w:val="24"/>
          <w:szCs w:val="24"/>
        </w:rPr>
      </w:pPr>
      <w:r w:rsidRPr="00020E0B">
        <w:rPr>
          <w:rFonts w:ascii="Times New Roman" w:hAnsi="Times New Roman" w:cs="Times New Roman"/>
          <w:sz w:val="24"/>
          <w:szCs w:val="24"/>
        </w:rPr>
        <w:t xml:space="preserve">Hu, C., Bai, Y., Li, J., Sun, B., &amp; Chen, L. (2023a). Endocrine disruption and reproductive impairment of methylparaben in adult zebrafish. Food and Chemical Toxicology, 171, 113545. </w:t>
      </w:r>
      <w:hyperlink r:id="rId13" w:history="1">
        <w:r w:rsidRPr="00020E0B">
          <w:rPr>
            <w:rStyle w:val="Hyperlink"/>
            <w:rFonts w:ascii="Times New Roman" w:hAnsi="Times New Roman" w:cs="Times New Roman"/>
            <w:color w:val="auto"/>
            <w:sz w:val="24"/>
            <w:szCs w:val="24"/>
            <w:u w:val="none"/>
          </w:rPr>
          <w:t>https://doi.org/10.1016/j.fct.2022.113545</w:t>
        </w:r>
      </w:hyperlink>
    </w:p>
    <w:p w14:paraId="469B5731" w14:textId="30F02F86" w:rsidR="00020E0B" w:rsidRPr="00020E0B" w:rsidRDefault="00020E0B" w:rsidP="00610750">
      <w:pPr>
        <w:pStyle w:val="ListParagraph"/>
        <w:numPr>
          <w:ilvl w:val="0"/>
          <w:numId w:val="2"/>
        </w:numPr>
        <w:spacing w:before="240"/>
        <w:rPr>
          <w:rFonts w:ascii="Times New Roman" w:hAnsi="Times New Roman" w:cs="Times New Roman"/>
          <w:sz w:val="24"/>
          <w:szCs w:val="24"/>
        </w:rPr>
      </w:pPr>
      <w:r w:rsidRPr="00020E0B">
        <w:rPr>
          <w:rFonts w:ascii="Times New Roman" w:hAnsi="Times New Roman" w:cs="Times New Roman"/>
          <w:sz w:val="24"/>
          <w:szCs w:val="24"/>
        </w:rPr>
        <w:t xml:space="preserve">Jurewicz, J., Radwan, M., </w:t>
      </w:r>
      <w:proofErr w:type="spellStart"/>
      <w:r w:rsidRPr="00020E0B">
        <w:rPr>
          <w:rFonts w:ascii="Times New Roman" w:hAnsi="Times New Roman" w:cs="Times New Roman"/>
          <w:sz w:val="24"/>
          <w:szCs w:val="24"/>
        </w:rPr>
        <w:t>Wielgomas</w:t>
      </w:r>
      <w:proofErr w:type="spellEnd"/>
      <w:r w:rsidRPr="00020E0B">
        <w:rPr>
          <w:rFonts w:ascii="Times New Roman" w:hAnsi="Times New Roman" w:cs="Times New Roman"/>
          <w:sz w:val="24"/>
          <w:szCs w:val="24"/>
        </w:rPr>
        <w:t xml:space="preserve">, B., </w:t>
      </w:r>
      <w:proofErr w:type="spellStart"/>
      <w:r w:rsidRPr="00020E0B">
        <w:rPr>
          <w:rFonts w:ascii="Times New Roman" w:hAnsi="Times New Roman" w:cs="Times New Roman"/>
          <w:sz w:val="24"/>
          <w:szCs w:val="24"/>
        </w:rPr>
        <w:t>Dziewirska</w:t>
      </w:r>
      <w:proofErr w:type="spellEnd"/>
      <w:r w:rsidRPr="00020E0B">
        <w:rPr>
          <w:rFonts w:ascii="Times New Roman" w:hAnsi="Times New Roman" w:cs="Times New Roman"/>
          <w:sz w:val="24"/>
          <w:szCs w:val="24"/>
        </w:rPr>
        <w:t xml:space="preserve">, E., Karwacka, A., </w:t>
      </w:r>
      <w:proofErr w:type="spellStart"/>
      <w:r w:rsidRPr="00020E0B">
        <w:rPr>
          <w:rFonts w:ascii="Times New Roman" w:hAnsi="Times New Roman" w:cs="Times New Roman"/>
          <w:sz w:val="24"/>
          <w:szCs w:val="24"/>
        </w:rPr>
        <w:t>Klimowska</w:t>
      </w:r>
      <w:proofErr w:type="spellEnd"/>
      <w:r w:rsidRPr="00020E0B">
        <w:rPr>
          <w:rFonts w:ascii="Times New Roman" w:hAnsi="Times New Roman" w:cs="Times New Roman"/>
          <w:sz w:val="24"/>
          <w:szCs w:val="24"/>
        </w:rPr>
        <w:t xml:space="preserve">, A., </w:t>
      </w:r>
      <w:proofErr w:type="spellStart"/>
      <w:r w:rsidRPr="00020E0B">
        <w:rPr>
          <w:rFonts w:ascii="Times New Roman" w:hAnsi="Times New Roman" w:cs="Times New Roman"/>
          <w:sz w:val="24"/>
          <w:szCs w:val="24"/>
        </w:rPr>
        <w:t>Kałużny</w:t>
      </w:r>
      <w:proofErr w:type="spellEnd"/>
      <w:r w:rsidRPr="00020E0B">
        <w:rPr>
          <w:rFonts w:ascii="Times New Roman" w:hAnsi="Times New Roman" w:cs="Times New Roman"/>
          <w:sz w:val="24"/>
          <w:szCs w:val="24"/>
        </w:rPr>
        <w:t xml:space="preserve">, P., Radwan, P., Bochenek, M., &amp; Hanke, W. (2017). Human semen quality, sperm DNA damage, and the level </w:t>
      </w:r>
      <w:r w:rsidRPr="00020E0B">
        <w:rPr>
          <w:rFonts w:ascii="Times New Roman" w:hAnsi="Times New Roman" w:cs="Times New Roman"/>
          <w:sz w:val="24"/>
          <w:szCs w:val="24"/>
        </w:rPr>
        <w:lastRenderedPageBreak/>
        <w:t xml:space="preserve">of reproductive hormones in relation to urinary concentrations of parabens. Journal of Occupational and Environmental Medicine, 59(11), 1034–1040. </w:t>
      </w:r>
      <w:hyperlink r:id="rId14" w:history="1">
        <w:r w:rsidRPr="00020E0B">
          <w:rPr>
            <w:rStyle w:val="Hyperlink"/>
            <w:rFonts w:ascii="Times New Roman" w:hAnsi="Times New Roman" w:cs="Times New Roman"/>
            <w:color w:val="auto"/>
            <w:sz w:val="24"/>
            <w:szCs w:val="24"/>
            <w:u w:val="none"/>
          </w:rPr>
          <w:t>https://doi.org/10.1097/jom.0000000000001106</w:t>
        </w:r>
      </w:hyperlink>
    </w:p>
    <w:p w14:paraId="232EC88F" w14:textId="01E64FA7" w:rsidR="00020E0B" w:rsidRPr="00020E0B" w:rsidRDefault="00020E0B" w:rsidP="00610750">
      <w:pPr>
        <w:pStyle w:val="ListParagraph"/>
        <w:numPr>
          <w:ilvl w:val="0"/>
          <w:numId w:val="2"/>
        </w:numPr>
        <w:spacing w:before="240"/>
        <w:rPr>
          <w:rFonts w:ascii="Times New Roman" w:hAnsi="Times New Roman" w:cs="Times New Roman"/>
          <w:sz w:val="24"/>
          <w:szCs w:val="24"/>
        </w:rPr>
      </w:pPr>
      <w:r w:rsidRPr="00020E0B">
        <w:rPr>
          <w:rFonts w:ascii="Times New Roman" w:hAnsi="Times New Roman" w:cs="Times New Roman"/>
          <w:sz w:val="24"/>
          <w:szCs w:val="24"/>
        </w:rPr>
        <w:t xml:space="preserve">Shen, X., Zhan, M., Wang, Y., Tang, W., Zhang, Q., &amp; Zhang, J. (2023). Exposure to parabens and semen quality in reproductive-aged men. Ecotoxicology and Environmental Safety, 264, 115453. </w:t>
      </w:r>
      <w:hyperlink r:id="rId15" w:history="1">
        <w:r w:rsidRPr="00020E0B">
          <w:rPr>
            <w:rStyle w:val="Hyperlink"/>
            <w:rFonts w:ascii="Times New Roman" w:hAnsi="Times New Roman" w:cs="Times New Roman"/>
            <w:color w:val="auto"/>
            <w:sz w:val="24"/>
            <w:szCs w:val="24"/>
            <w:u w:val="none"/>
          </w:rPr>
          <w:t>https://doi.org/10.1016/j.ecoenv.2023.115453</w:t>
        </w:r>
      </w:hyperlink>
    </w:p>
    <w:p w14:paraId="0486D161" w14:textId="77777777" w:rsidR="00020E0B" w:rsidRPr="00610750" w:rsidRDefault="00020E0B" w:rsidP="00020E0B">
      <w:pPr>
        <w:pStyle w:val="ListParagraph"/>
        <w:numPr>
          <w:ilvl w:val="0"/>
          <w:numId w:val="2"/>
        </w:numPr>
        <w:spacing w:before="240"/>
        <w:rPr>
          <w:rFonts w:ascii="Times New Roman" w:hAnsi="Times New Roman" w:cs="Times New Roman"/>
          <w:sz w:val="24"/>
          <w:szCs w:val="24"/>
        </w:rPr>
      </w:pPr>
      <w:r w:rsidRPr="00610750">
        <w:rPr>
          <w:rFonts w:ascii="Times New Roman" w:hAnsi="Times New Roman" w:cs="Times New Roman"/>
          <w:sz w:val="24"/>
          <w:szCs w:val="24"/>
        </w:rPr>
        <w:t xml:space="preserve">Samarasinghe, S. V. A. C., Krishnan, K., &amp; Naidu, R. (2018). The importance of oxidative stress in determining methylparaben-induced sperm motility inhibition and mitochondrial dysfunction in spermatozoa. </w:t>
      </w:r>
      <w:r w:rsidRPr="00610750">
        <w:rPr>
          <w:rFonts w:ascii="Times New Roman" w:hAnsi="Times New Roman" w:cs="Times New Roman"/>
          <w:i/>
          <w:iCs/>
          <w:sz w:val="24"/>
          <w:szCs w:val="24"/>
        </w:rPr>
        <w:t>Reproductive Toxicology</w:t>
      </w:r>
      <w:r w:rsidRPr="00610750">
        <w:rPr>
          <w:rFonts w:ascii="Times New Roman" w:hAnsi="Times New Roman" w:cs="Times New Roman"/>
          <w:sz w:val="24"/>
          <w:szCs w:val="24"/>
        </w:rPr>
        <w:t>, 81, 115–124.</w:t>
      </w:r>
    </w:p>
    <w:p w14:paraId="650FA007" w14:textId="16AA6D46" w:rsidR="00F97256" w:rsidRPr="00610750" w:rsidRDefault="00F97256" w:rsidP="00610750">
      <w:pPr>
        <w:pStyle w:val="ListParagraph"/>
        <w:numPr>
          <w:ilvl w:val="0"/>
          <w:numId w:val="2"/>
        </w:numPr>
        <w:spacing w:before="240"/>
        <w:rPr>
          <w:rFonts w:ascii="Times New Roman" w:hAnsi="Times New Roman" w:cs="Times New Roman"/>
          <w:sz w:val="24"/>
          <w:szCs w:val="24"/>
        </w:rPr>
      </w:pPr>
      <w:r w:rsidRPr="00610750">
        <w:rPr>
          <w:rFonts w:ascii="Times New Roman" w:hAnsi="Times New Roman" w:cs="Times New Roman"/>
          <w:sz w:val="24"/>
          <w:szCs w:val="24"/>
        </w:rPr>
        <w:t xml:space="preserve">Akilah, A. M., Ibrahim, M. A., &amp; Al-Amran, F. G. (2018). Baicalin administration enhances sperm parameters and mitigates reproductive suppression in a rat experimental model. </w:t>
      </w:r>
      <w:r w:rsidRPr="00610750">
        <w:rPr>
          <w:rFonts w:ascii="Times New Roman" w:hAnsi="Times New Roman" w:cs="Times New Roman"/>
          <w:i/>
          <w:iCs/>
          <w:sz w:val="24"/>
          <w:szCs w:val="24"/>
        </w:rPr>
        <w:t>Journal of Dietary Supplements</w:t>
      </w:r>
      <w:r w:rsidRPr="00610750">
        <w:rPr>
          <w:rFonts w:ascii="Times New Roman" w:hAnsi="Times New Roman" w:cs="Times New Roman"/>
          <w:sz w:val="24"/>
          <w:szCs w:val="24"/>
        </w:rPr>
        <w:t>, 15(4), 412–423.</w:t>
      </w:r>
    </w:p>
    <w:p w14:paraId="237B0915" w14:textId="77777777" w:rsidR="00F97256" w:rsidRPr="00610750" w:rsidRDefault="00F97256" w:rsidP="00610750">
      <w:pPr>
        <w:pStyle w:val="ListParagraph"/>
        <w:numPr>
          <w:ilvl w:val="0"/>
          <w:numId w:val="2"/>
        </w:numPr>
        <w:spacing w:before="240"/>
        <w:rPr>
          <w:rFonts w:ascii="Times New Roman" w:hAnsi="Times New Roman" w:cs="Times New Roman"/>
          <w:sz w:val="24"/>
          <w:szCs w:val="24"/>
        </w:rPr>
      </w:pPr>
      <w:proofErr w:type="spellStart"/>
      <w:r w:rsidRPr="00610750">
        <w:rPr>
          <w:rFonts w:ascii="Times New Roman" w:hAnsi="Times New Roman" w:cs="Times New Roman"/>
          <w:sz w:val="24"/>
          <w:szCs w:val="24"/>
        </w:rPr>
        <w:t>Avdatek</w:t>
      </w:r>
      <w:proofErr w:type="spellEnd"/>
      <w:r w:rsidRPr="00610750">
        <w:rPr>
          <w:rFonts w:ascii="Times New Roman" w:hAnsi="Times New Roman" w:cs="Times New Roman"/>
          <w:sz w:val="24"/>
          <w:szCs w:val="24"/>
        </w:rPr>
        <w:t xml:space="preserve">, F., </w:t>
      </w:r>
      <w:proofErr w:type="spellStart"/>
      <w:r w:rsidRPr="00610750">
        <w:rPr>
          <w:rFonts w:ascii="Times New Roman" w:hAnsi="Times New Roman" w:cs="Times New Roman"/>
          <w:sz w:val="24"/>
          <w:szCs w:val="24"/>
        </w:rPr>
        <w:t>Fedakar</w:t>
      </w:r>
      <w:proofErr w:type="spellEnd"/>
      <w:r w:rsidRPr="00610750">
        <w:rPr>
          <w:rFonts w:ascii="Times New Roman" w:hAnsi="Times New Roman" w:cs="Times New Roman"/>
          <w:sz w:val="24"/>
          <w:szCs w:val="24"/>
        </w:rPr>
        <w:t xml:space="preserve">, E., &amp; Gundogan, M. (2024). Protective effects of baicalein as a semen extender on the in vitro </w:t>
      </w:r>
      <w:proofErr w:type="spellStart"/>
      <w:r w:rsidRPr="00610750">
        <w:rPr>
          <w:rFonts w:ascii="Times New Roman" w:hAnsi="Times New Roman" w:cs="Times New Roman"/>
          <w:sz w:val="24"/>
          <w:szCs w:val="24"/>
        </w:rPr>
        <w:t>spermatological</w:t>
      </w:r>
      <w:proofErr w:type="spellEnd"/>
      <w:r w:rsidRPr="00610750">
        <w:rPr>
          <w:rFonts w:ascii="Times New Roman" w:hAnsi="Times New Roman" w:cs="Times New Roman"/>
          <w:sz w:val="24"/>
          <w:szCs w:val="24"/>
        </w:rPr>
        <w:t xml:space="preserve"> characteristics and progressive motility of ram spermatozoa during freeze-thawing processes. </w:t>
      </w:r>
      <w:r w:rsidRPr="00610750">
        <w:rPr>
          <w:rFonts w:ascii="Times New Roman" w:hAnsi="Times New Roman" w:cs="Times New Roman"/>
          <w:i/>
          <w:iCs/>
          <w:sz w:val="24"/>
          <w:szCs w:val="24"/>
        </w:rPr>
        <w:t>Cryobiology</w:t>
      </w:r>
      <w:r w:rsidRPr="00610750">
        <w:rPr>
          <w:rFonts w:ascii="Times New Roman" w:hAnsi="Times New Roman" w:cs="Times New Roman"/>
          <w:sz w:val="24"/>
          <w:szCs w:val="24"/>
        </w:rPr>
        <w:t>, 116, 104–112.</w:t>
      </w:r>
    </w:p>
    <w:p w14:paraId="64F728FA" w14:textId="77777777" w:rsidR="00D51B9E" w:rsidRPr="00064CDF" w:rsidRDefault="00D51B9E" w:rsidP="00F95101">
      <w:pPr>
        <w:spacing w:before="240" w:after="240" w:line="240" w:lineRule="auto"/>
        <w:rPr>
          <w:rFonts w:ascii="Times New Roman" w:hAnsi="Times New Roman" w:cs="Times New Roman"/>
          <w:sz w:val="24"/>
          <w:szCs w:val="24"/>
        </w:rPr>
      </w:pPr>
    </w:p>
    <w:sectPr w:rsidR="00D51B9E" w:rsidRPr="00064CDF" w:rsidSect="00F95101">
      <w:pgSz w:w="12240" w:h="15840"/>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AFF92" w14:textId="77777777" w:rsidR="001321BD" w:rsidRDefault="001321BD" w:rsidP="00F95101">
      <w:pPr>
        <w:spacing w:after="0" w:line="240" w:lineRule="auto"/>
      </w:pPr>
      <w:r>
        <w:separator/>
      </w:r>
    </w:p>
  </w:endnote>
  <w:endnote w:type="continuationSeparator" w:id="0">
    <w:p w14:paraId="6D107CFF" w14:textId="77777777" w:rsidR="001321BD" w:rsidRDefault="001321BD" w:rsidP="00F95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667A4" w14:textId="77777777" w:rsidR="001321BD" w:rsidRDefault="001321BD" w:rsidP="00F95101">
      <w:pPr>
        <w:spacing w:after="0" w:line="240" w:lineRule="auto"/>
      </w:pPr>
      <w:r>
        <w:separator/>
      </w:r>
    </w:p>
  </w:footnote>
  <w:footnote w:type="continuationSeparator" w:id="0">
    <w:p w14:paraId="2E8E2C78" w14:textId="77777777" w:rsidR="001321BD" w:rsidRDefault="001321BD" w:rsidP="00F951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216A0"/>
    <w:multiLevelType w:val="hybridMultilevel"/>
    <w:tmpl w:val="39804650"/>
    <w:lvl w:ilvl="0" w:tplc="6408FA00">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22161B7"/>
    <w:multiLevelType w:val="hybridMultilevel"/>
    <w:tmpl w:val="C83E93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5F8"/>
    <w:rsid w:val="00020E0B"/>
    <w:rsid w:val="00064CDF"/>
    <w:rsid w:val="000B5A2C"/>
    <w:rsid w:val="0011010E"/>
    <w:rsid w:val="001321BD"/>
    <w:rsid w:val="001B30A0"/>
    <w:rsid w:val="001C2A53"/>
    <w:rsid w:val="00212A53"/>
    <w:rsid w:val="00215866"/>
    <w:rsid w:val="00235D5D"/>
    <w:rsid w:val="0026307B"/>
    <w:rsid w:val="00306D8C"/>
    <w:rsid w:val="0039429B"/>
    <w:rsid w:val="003E6F47"/>
    <w:rsid w:val="00426456"/>
    <w:rsid w:val="00442953"/>
    <w:rsid w:val="00475EEF"/>
    <w:rsid w:val="004A6A39"/>
    <w:rsid w:val="004E1B5E"/>
    <w:rsid w:val="004E4503"/>
    <w:rsid w:val="004F1DF8"/>
    <w:rsid w:val="005C75F8"/>
    <w:rsid w:val="005E067E"/>
    <w:rsid w:val="005F5D73"/>
    <w:rsid w:val="00610750"/>
    <w:rsid w:val="006422F8"/>
    <w:rsid w:val="00663DB5"/>
    <w:rsid w:val="006B0021"/>
    <w:rsid w:val="006D238F"/>
    <w:rsid w:val="00726687"/>
    <w:rsid w:val="00732578"/>
    <w:rsid w:val="007E1054"/>
    <w:rsid w:val="008601A0"/>
    <w:rsid w:val="0091100D"/>
    <w:rsid w:val="00946A19"/>
    <w:rsid w:val="009E4F61"/>
    <w:rsid w:val="00A31998"/>
    <w:rsid w:val="00AB7754"/>
    <w:rsid w:val="00B00789"/>
    <w:rsid w:val="00B51558"/>
    <w:rsid w:val="00B576BB"/>
    <w:rsid w:val="00B71F04"/>
    <w:rsid w:val="00BB27C8"/>
    <w:rsid w:val="00BE5396"/>
    <w:rsid w:val="00C00DD9"/>
    <w:rsid w:val="00CC4DF4"/>
    <w:rsid w:val="00D14F16"/>
    <w:rsid w:val="00D15C81"/>
    <w:rsid w:val="00D51B9E"/>
    <w:rsid w:val="00D75A7F"/>
    <w:rsid w:val="00DD070A"/>
    <w:rsid w:val="00DD35CE"/>
    <w:rsid w:val="00E46E0C"/>
    <w:rsid w:val="00E56742"/>
    <w:rsid w:val="00E6167F"/>
    <w:rsid w:val="00E7454F"/>
    <w:rsid w:val="00F64FB4"/>
    <w:rsid w:val="00F95101"/>
    <w:rsid w:val="00F97256"/>
    <w:rsid w:val="00FE2B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76525"/>
  <w15:chartTrackingRefBased/>
  <w15:docId w15:val="{E8CF0FC9-F375-4FBE-8598-914997EDB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5F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5C75F8"/>
    <w:pPr>
      <w:spacing w:after="240" w:line="240" w:lineRule="auto"/>
      <w:ind w:left="720"/>
      <w:contextualSpacing/>
      <w:jc w:val="both"/>
    </w:pPr>
    <w:rPr>
      <w:rFonts w:ascii="Cambria" w:eastAsiaTheme="minorEastAsia" w:hAnsi="Cambria"/>
      <w:sz w:val="20"/>
      <w:lang w:val="en-US"/>
    </w:rPr>
  </w:style>
  <w:style w:type="paragraph" w:styleId="NormalWeb">
    <w:name w:val="Normal (Web)"/>
    <w:basedOn w:val="Normal"/>
    <w:uiPriority w:val="99"/>
    <w:semiHidden/>
    <w:unhideWhenUsed/>
    <w:rsid w:val="009E4F61"/>
    <w:rPr>
      <w:rFonts w:ascii="Times New Roman" w:hAnsi="Times New Roman" w:cs="Times New Roman"/>
      <w:sz w:val="24"/>
      <w:szCs w:val="24"/>
    </w:rPr>
  </w:style>
  <w:style w:type="character" w:styleId="PlaceholderText">
    <w:name w:val="Placeholder Text"/>
    <w:basedOn w:val="DefaultParagraphFont"/>
    <w:uiPriority w:val="99"/>
    <w:semiHidden/>
    <w:rsid w:val="00DD070A"/>
    <w:rPr>
      <w:color w:val="808080"/>
    </w:rPr>
  </w:style>
  <w:style w:type="character" w:customStyle="1" w:styleId="citation-158">
    <w:name w:val="citation-158"/>
    <w:basedOn w:val="DefaultParagraphFont"/>
    <w:rsid w:val="00663DB5"/>
  </w:style>
  <w:style w:type="paragraph" w:styleId="Header">
    <w:name w:val="header"/>
    <w:basedOn w:val="Normal"/>
    <w:link w:val="HeaderChar"/>
    <w:uiPriority w:val="99"/>
    <w:unhideWhenUsed/>
    <w:rsid w:val="00F951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101"/>
    <w:rPr>
      <w:kern w:val="0"/>
      <w14:ligatures w14:val="none"/>
    </w:rPr>
  </w:style>
  <w:style w:type="paragraph" w:styleId="Footer">
    <w:name w:val="footer"/>
    <w:basedOn w:val="Normal"/>
    <w:link w:val="FooterChar"/>
    <w:uiPriority w:val="99"/>
    <w:unhideWhenUsed/>
    <w:rsid w:val="00F951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101"/>
    <w:rPr>
      <w:kern w:val="0"/>
      <w14:ligatures w14:val="none"/>
    </w:rPr>
  </w:style>
  <w:style w:type="character" w:styleId="Hyperlink">
    <w:name w:val="Hyperlink"/>
    <w:basedOn w:val="DefaultParagraphFont"/>
    <w:uiPriority w:val="99"/>
    <w:unhideWhenUsed/>
    <w:rsid w:val="006B0021"/>
    <w:rPr>
      <w:color w:val="0563C1" w:themeColor="hyperlink"/>
      <w:u w:val="single"/>
    </w:rPr>
  </w:style>
  <w:style w:type="character" w:styleId="UnresolvedMention">
    <w:name w:val="Unresolved Mention"/>
    <w:basedOn w:val="DefaultParagraphFont"/>
    <w:uiPriority w:val="99"/>
    <w:semiHidden/>
    <w:unhideWhenUsed/>
    <w:rsid w:val="006B00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9832">
      <w:bodyDiv w:val="1"/>
      <w:marLeft w:val="0"/>
      <w:marRight w:val="0"/>
      <w:marTop w:val="0"/>
      <w:marBottom w:val="0"/>
      <w:divBdr>
        <w:top w:val="none" w:sz="0" w:space="0" w:color="auto"/>
        <w:left w:val="none" w:sz="0" w:space="0" w:color="auto"/>
        <w:bottom w:val="none" w:sz="0" w:space="0" w:color="auto"/>
        <w:right w:val="none" w:sz="0" w:space="0" w:color="auto"/>
      </w:divBdr>
      <w:divsChild>
        <w:div w:id="1826505539">
          <w:marLeft w:val="0"/>
          <w:marRight w:val="0"/>
          <w:marTop w:val="0"/>
          <w:marBottom w:val="240"/>
          <w:divBdr>
            <w:top w:val="none" w:sz="0" w:space="0" w:color="auto"/>
            <w:left w:val="none" w:sz="0" w:space="0" w:color="auto"/>
            <w:bottom w:val="none" w:sz="0" w:space="0" w:color="auto"/>
            <w:right w:val="none" w:sz="0" w:space="0" w:color="auto"/>
          </w:divBdr>
        </w:div>
      </w:divsChild>
    </w:div>
    <w:div w:id="41830079">
      <w:bodyDiv w:val="1"/>
      <w:marLeft w:val="0"/>
      <w:marRight w:val="0"/>
      <w:marTop w:val="0"/>
      <w:marBottom w:val="0"/>
      <w:divBdr>
        <w:top w:val="none" w:sz="0" w:space="0" w:color="auto"/>
        <w:left w:val="none" w:sz="0" w:space="0" w:color="auto"/>
        <w:bottom w:val="none" w:sz="0" w:space="0" w:color="auto"/>
        <w:right w:val="none" w:sz="0" w:space="0" w:color="auto"/>
      </w:divBdr>
    </w:div>
    <w:div w:id="494423458">
      <w:bodyDiv w:val="1"/>
      <w:marLeft w:val="0"/>
      <w:marRight w:val="0"/>
      <w:marTop w:val="0"/>
      <w:marBottom w:val="0"/>
      <w:divBdr>
        <w:top w:val="none" w:sz="0" w:space="0" w:color="auto"/>
        <w:left w:val="none" w:sz="0" w:space="0" w:color="auto"/>
        <w:bottom w:val="none" w:sz="0" w:space="0" w:color="auto"/>
        <w:right w:val="none" w:sz="0" w:space="0" w:color="auto"/>
      </w:divBdr>
      <w:divsChild>
        <w:div w:id="81924775">
          <w:marLeft w:val="0"/>
          <w:marRight w:val="0"/>
          <w:marTop w:val="0"/>
          <w:marBottom w:val="0"/>
          <w:divBdr>
            <w:top w:val="none" w:sz="0" w:space="0" w:color="auto"/>
            <w:left w:val="none" w:sz="0" w:space="0" w:color="auto"/>
            <w:bottom w:val="none" w:sz="0" w:space="0" w:color="auto"/>
            <w:right w:val="none" w:sz="0" w:space="0" w:color="auto"/>
          </w:divBdr>
        </w:div>
      </w:divsChild>
    </w:div>
    <w:div w:id="520898247">
      <w:bodyDiv w:val="1"/>
      <w:marLeft w:val="0"/>
      <w:marRight w:val="0"/>
      <w:marTop w:val="0"/>
      <w:marBottom w:val="0"/>
      <w:divBdr>
        <w:top w:val="none" w:sz="0" w:space="0" w:color="auto"/>
        <w:left w:val="none" w:sz="0" w:space="0" w:color="auto"/>
        <w:bottom w:val="none" w:sz="0" w:space="0" w:color="auto"/>
        <w:right w:val="none" w:sz="0" w:space="0" w:color="auto"/>
      </w:divBdr>
    </w:div>
    <w:div w:id="609821012">
      <w:bodyDiv w:val="1"/>
      <w:marLeft w:val="0"/>
      <w:marRight w:val="0"/>
      <w:marTop w:val="0"/>
      <w:marBottom w:val="0"/>
      <w:divBdr>
        <w:top w:val="none" w:sz="0" w:space="0" w:color="auto"/>
        <w:left w:val="none" w:sz="0" w:space="0" w:color="auto"/>
        <w:bottom w:val="none" w:sz="0" w:space="0" w:color="auto"/>
        <w:right w:val="none" w:sz="0" w:space="0" w:color="auto"/>
      </w:divBdr>
    </w:div>
    <w:div w:id="618420254">
      <w:bodyDiv w:val="1"/>
      <w:marLeft w:val="0"/>
      <w:marRight w:val="0"/>
      <w:marTop w:val="0"/>
      <w:marBottom w:val="0"/>
      <w:divBdr>
        <w:top w:val="none" w:sz="0" w:space="0" w:color="auto"/>
        <w:left w:val="none" w:sz="0" w:space="0" w:color="auto"/>
        <w:bottom w:val="none" w:sz="0" w:space="0" w:color="auto"/>
        <w:right w:val="none" w:sz="0" w:space="0" w:color="auto"/>
      </w:divBdr>
    </w:div>
    <w:div w:id="668797336">
      <w:bodyDiv w:val="1"/>
      <w:marLeft w:val="0"/>
      <w:marRight w:val="0"/>
      <w:marTop w:val="0"/>
      <w:marBottom w:val="0"/>
      <w:divBdr>
        <w:top w:val="none" w:sz="0" w:space="0" w:color="auto"/>
        <w:left w:val="none" w:sz="0" w:space="0" w:color="auto"/>
        <w:bottom w:val="none" w:sz="0" w:space="0" w:color="auto"/>
        <w:right w:val="none" w:sz="0" w:space="0" w:color="auto"/>
      </w:divBdr>
    </w:div>
    <w:div w:id="690231009">
      <w:bodyDiv w:val="1"/>
      <w:marLeft w:val="0"/>
      <w:marRight w:val="0"/>
      <w:marTop w:val="0"/>
      <w:marBottom w:val="0"/>
      <w:divBdr>
        <w:top w:val="none" w:sz="0" w:space="0" w:color="auto"/>
        <w:left w:val="none" w:sz="0" w:space="0" w:color="auto"/>
        <w:bottom w:val="none" w:sz="0" w:space="0" w:color="auto"/>
        <w:right w:val="none" w:sz="0" w:space="0" w:color="auto"/>
      </w:divBdr>
      <w:divsChild>
        <w:div w:id="111948898">
          <w:marLeft w:val="0"/>
          <w:marRight w:val="0"/>
          <w:marTop w:val="0"/>
          <w:marBottom w:val="0"/>
          <w:divBdr>
            <w:top w:val="none" w:sz="0" w:space="0" w:color="auto"/>
            <w:left w:val="none" w:sz="0" w:space="0" w:color="auto"/>
            <w:bottom w:val="none" w:sz="0" w:space="0" w:color="auto"/>
            <w:right w:val="none" w:sz="0" w:space="0" w:color="auto"/>
          </w:divBdr>
        </w:div>
      </w:divsChild>
    </w:div>
    <w:div w:id="1538619816">
      <w:bodyDiv w:val="1"/>
      <w:marLeft w:val="0"/>
      <w:marRight w:val="0"/>
      <w:marTop w:val="0"/>
      <w:marBottom w:val="0"/>
      <w:divBdr>
        <w:top w:val="none" w:sz="0" w:space="0" w:color="auto"/>
        <w:left w:val="none" w:sz="0" w:space="0" w:color="auto"/>
        <w:bottom w:val="none" w:sz="0" w:space="0" w:color="auto"/>
        <w:right w:val="none" w:sz="0" w:space="0" w:color="auto"/>
      </w:divBdr>
    </w:div>
    <w:div w:id="1654066340">
      <w:bodyDiv w:val="1"/>
      <w:marLeft w:val="0"/>
      <w:marRight w:val="0"/>
      <w:marTop w:val="0"/>
      <w:marBottom w:val="0"/>
      <w:divBdr>
        <w:top w:val="none" w:sz="0" w:space="0" w:color="auto"/>
        <w:left w:val="none" w:sz="0" w:space="0" w:color="auto"/>
        <w:bottom w:val="none" w:sz="0" w:space="0" w:color="auto"/>
        <w:right w:val="none" w:sz="0" w:space="0" w:color="auto"/>
      </w:divBdr>
      <w:divsChild>
        <w:div w:id="1647079941">
          <w:marLeft w:val="0"/>
          <w:marRight w:val="0"/>
          <w:marTop w:val="0"/>
          <w:marBottom w:val="0"/>
          <w:divBdr>
            <w:top w:val="none" w:sz="0" w:space="0" w:color="auto"/>
            <w:left w:val="none" w:sz="0" w:space="0" w:color="auto"/>
            <w:bottom w:val="none" w:sz="0" w:space="0" w:color="auto"/>
            <w:right w:val="none" w:sz="0" w:space="0" w:color="auto"/>
          </w:divBdr>
        </w:div>
      </w:divsChild>
    </w:div>
    <w:div w:id="1735078293">
      <w:bodyDiv w:val="1"/>
      <w:marLeft w:val="0"/>
      <w:marRight w:val="0"/>
      <w:marTop w:val="0"/>
      <w:marBottom w:val="0"/>
      <w:divBdr>
        <w:top w:val="none" w:sz="0" w:space="0" w:color="auto"/>
        <w:left w:val="none" w:sz="0" w:space="0" w:color="auto"/>
        <w:bottom w:val="none" w:sz="0" w:space="0" w:color="auto"/>
        <w:right w:val="none" w:sz="0" w:space="0" w:color="auto"/>
      </w:divBdr>
      <w:divsChild>
        <w:div w:id="1611278191">
          <w:marLeft w:val="0"/>
          <w:marRight w:val="0"/>
          <w:marTop w:val="0"/>
          <w:marBottom w:val="0"/>
          <w:divBdr>
            <w:top w:val="none" w:sz="0" w:space="0" w:color="auto"/>
            <w:left w:val="none" w:sz="0" w:space="0" w:color="auto"/>
            <w:bottom w:val="none" w:sz="0" w:space="0" w:color="auto"/>
            <w:right w:val="none" w:sz="0" w:space="0" w:color="auto"/>
          </w:divBdr>
        </w:div>
      </w:divsChild>
    </w:div>
    <w:div w:id="1956865124">
      <w:bodyDiv w:val="1"/>
      <w:marLeft w:val="0"/>
      <w:marRight w:val="0"/>
      <w:marTop w:val="0"/>
      <w:marBottom w:val="0"/>
      <w:divBdr>
        <w:top w:val="none" w:sz="0" w:space="0" w:color="auto"/>
        <w:left w:val="none" w:sz="0" w:space="0" w:color="auto"/>
        <w:bottom w:val="none" w:sz="0" w:space="0" w:color="auto"/>
        <w:right w:val="none" w:sz="0" w:space="0" w:color="auto"/>
      </w:divBdr>
      <w:divsChild>
        <w:div w:id="1685787659">
          <w:marLeft w:val="0"/>
          <w:marRight w:val="0"/>
          <w:marTop w:val="0"/>
          <w:marBottom w:val="0"/>
          <w:divBdr>
            <w:top w:val="none" w:sz="0" w:space="0" w:color="auto"/>
            <w:left w:val="none" w:sz="0" w:space="0" w:color="auto"/>
            <w:bottom w:val="none" w:sz="0" w:space="0" w:color="auto"/>
            <w:right w:val="none" w:sz="0" w:space="0" w:color="auto"/>
          </w:divBdr>
          <w:divsChild>
            <w:div w:id="211119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antiox9121302" TargetMode="External"/><Relationship Id="rId13" Type="http://schemas.openxmlformats.org/officeDocument/2006/relationships/hyperlink" Target="https://doi.org/10.1016/j.fct.2022.11354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2038/IJBMS.2022.60380.1338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86/s12890-016-0294-1" TargetMode="External"/><Relationship Id="rId5" Type="http://schemas.openxmlformats.org/officeDocument/2006/relationships/webSettings" Target="webSettings.xml"/><Relationship Id="rId15" Type="http://schemas.openxmlformats.org/officeDocument/2006/relationships/hyperlink" Target="https://doi.org/10.1016/j.ecoenv.2023.115453" TargetMode="External"/><Relationship Id="rId10" Type="http://schemas.openxmlformats.org/officeDocument/2006/relationships/hyperlink" Target="https://doi.org/10.1073/pnas.1801745115" TargetMode="External"/><Relationship Id="rId4" Type="http://schemas.openxmlformats.org/officeDocument/2006/relationships/settings" Target="settings.xml"/><Relationship Id="rId9" Type="http://schemas.openxmlformats.org/officeDocument/2006/relationships/hyperlink" Target="https://doi.org/10.3389/fphar.2020.583200" TargetMode="External"/><Relationship Id="rId14" Type="http://schemas.openxmlformats.org/officeDocument/2006/relationships/hyperlink" Target="https://doi.org/10.1097/jom.00000000000011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80254-4FD5-4CAB-BBC0-60B2F95D9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10</Pages>
  <Words>4508</Words>
  <Characters>25700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cp:lastModifiedBy>
  <cp:revision>58</cp:revision>
  <dcterms:created xsi:type="dcterms:W3CDTF">2026-06-09T11:27:00Z</dcterms:created>
  <dcterms:modified xsi:type="dcterms:W3CDTF">2026-06-09T17:39:00Z</dcterms:modified>
</cp:coreProperties>
</file>