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C0BE" w14:textId="03A293BA" w:rsidR="002B7630" w:rsidRDefault="002B7630" w:rsidP="002B7630">
      <w:pPr>
        <w:spacing w:line="360" w:lineRule="auto"/>
        <w:jc w:val="center"/>
        <w:rPr>
          <w:rFonts w:ascii="Times New Roman" w:hAnsi="Times New Roman" w:cs="Times New Roman"/>
          <w:b/>
          <w:bCs/>
          <w:sz w:val="28"/>
          <w:szCs w:val="28"/>
        </w:rPr>
      </w:pPr>
      <w:r w:rsidRPr="009C2176">
        <w:rPr>
          <w:rFonts w:ascii="Times New Roman" w:hAnsi="Times New Roman" w:cs="Times New Roman"/>
          <w:b/>
          <w:bCs/>
          <w:sz w:val="28"/>
          <w:szCs w:val="28"/>
        </w:rPr>
        <w:t>Water and Petrol splitting up into Hydrogenation fuel cell using</w:t>
      </w:r>
      <w:r>
        <w:rPr>
          <w:rFonts w:ascii="Times New Roman" w:hAnsi="Times New Roman" w:cs="Times New Roman"/>
          <w:b/>
          <w:bCs/>
          <w:sz w:val="28"/>
          <w:szCs w:val="28"/>
        </w:rPr>
        <w:t xml:space="preserve"> an</w:t>
      </w:r>
      <w:r w:rsidRPr="009C2176">
        <w:rPr>
          <w:rFonts w:ascii="Times New Roman" w:hAnsi="Times New Roman" w:cs="Times New Roman"/>
          <w:b/>
          <w:bCs/>
          <w:sz w:val="28"/>
          <w:szCs w:val="28"/>
        </w:rPr>
        <w:t xml:space="preserve"> </w:t>
      </w:r>
      <w:r>
        <w:rPr>
          <w:rFonts w:ascii="Times New Roman" w:hAnsi="Times New Roman" w:cs="Times New Roman"/>
          <w:b/>
          <w:bCs/>
          <w:sz w:val="28"/>
          <w:szCs w:val="28"/>
        </w:rPr>
        <w:t xml:space="preserve">air </w:t>
      </w:r>
      <w:r w:rsidR="0066518A" w:rsidRPr="009C2176">
        <w:rPr>
          <w:rFonts w:ascii="Times New Roman" w:hAnsi="Times New Roman" w:cs="Times New Roman"/>
          <w:b/>
          <w:bCs/>
          <w:sz w:val="28"/>
          <w:szCs w:val="28"/>
        </w:rPr>
        <w:t>molecule</w:t>
      </w:r>
    </w:p>
    <w:p w14:paraId="3020375B" w14:textId="773C140A" w:rsidR="009957F3" w:rsidRDefault="00955DEB" w:rsidP="009957F3">
      <w:pPr>
        <w:autoSpaceDE w:val="0"/>
        <w:autoSpaceDN w:val="0"/>
        <w:adjustRightInd w:val="0"/>
        <w:spacing w:after="0" w:line="360" w:lineRule="auto"/>
        <w:jc w:val="center"/>
        <w:rPr>
          <w:rFonts w:ascii="Times New Roman" w:hAnsi="Times New Roman" w:cs="Times New Roman"/>
          <w:sz w:val="20"/>
          <w:szCs w:val="20"/>
        </w:rPr>
      </w:pPr>
      <w:r w:rsidRPr="000C1818">
        <w:rPr>
          <w:rFonts w:ascii="Times New Roman" w:hAnsi="Times New Roman" w:cs="Times New Roman"/>
          <w:sz w:val="20"/>
          <w:szCs w:val="20"/>
        </w:rPr>
        <w:t>M. Shakila</w:t>
      </w:r>
      <w:r>
        <w:rPr>
          <w:rFonts w:ascii="Times New Roman" w:hAnsi="Times New Roman" w:cs="Times New Roman"/>
          <w:sz w:val="20"/>
          <w:szCs w:val="20"/>
          <w:vertAlign w:val="superscript"/>
        </w:rPr>
        <w:t xml:space="preserve">1 </w:t>
      </w:r>
      <w:r w:rsidRPr="000C1818">
        <w:rPr>
          <w:rFonts w:ascii="Times New Roman" w:hAnsi="Times New Roman" w:cs="Times New Roman"/>
          <w:sz w:val="20"/>
          <w:szCs w:val="20"/>
        </w:rPr>
        <w:t>K</w:t>
      </w:r>
      <w:r>
        <w:rPr>
          <w:rFonts w:ascii="Times New Roman" w:hAnsi="Times New Roman" w:cs="Times New Roman"/>
          <w:sz w:val="20"/>
          <w:szCs w:val="20"/>
        </w:rPr>
        <w:t>.</w:t>
      </w:r>
      <w:r w:rsidRPr="000C1818">
        <w:rPr>
          <w:rFonts w:ascii="Times New Roman" w:hAnsi="Times New Roman" w:cs="Times New Roman"/>
          <w:sz w:val="20"/>
          <w:szCs w:val="20"/>
        </w:rPr>
        <w:t xml:space="preserve"> Samuvel</w:t>
      </w:r>
      <w:r>
        <w:rPr>
          <w:rFonts w:ascii="Times New Roman" w:hAnsi="Times New Roman" w:cs="Times New Roman"/>
          <w:sz w:val="20"/>
          <w:szCs w:val="20"/>
          <w:vertAlign w:val="superscript"/>
        </w:rPr>
        <w:t>2</w:t>
      </w:r>
      <w:r w:rsidRPr="000C1818">
        <w:rPr>
          <w:rFonts w:ascii="Times New Roman" w:hAnsi="Times New Roman" w:cs="Times New Roman"/>
          <w:sz w:val="20"/>
          <w:szCs w:val="20"/>
        </w:rPr>
        <w:t>,</w:t>
      </w:r>
      <w:r w:rsidR="00CD623E">
        <w:rPr>
          <w:rFonts w:ascii="Times New Roman" w:hAnsi="Times New Roman" w:cs="Times New Roman"/>
          <w:sz w:val="20"/>
          <w:szCs w:val="20"/>
        </w:rPr>
        <w:t xml:space="preserve"> K. Oudayakumar </w:t>
      </w:r>
      <w:r w:rsidR="00CD623E" w:rsidRPr="00CD623E">
        <w:rPr>
          <w:rFonts w:ascii="Times New Roman" w:hAnsi="Times New Roman" w:cs="Times New Roman"/>
          <w:sz w:val="20"/>
          <w:szCs w:val="20"/>
          <w:vertAlign w:val="superscript"/>
        </w:rPr>
        <w:t>3</w:t>
      </w:r>
      <w:r w:rsidR="00CD623E">
        <w:rPr>
          <w:rFonts w:ascii="Times New Roman" w:hAnsi="Times New Roman" w:cs="Times New Roman"/>
          <w:sz w:val="20"/>
          <w:szCs w:val="20"/>
          <w:vertAlign w:val="superscript"/>
        </w:rPr>
        <w:t xml:space="preserve"> </w:t>
      </w:r>
      <w:r w:rsidR="009957F3" w:rsidRPr="009957F3">
        <w:rPr>
          <w:rFonts w:ascii="Times New Roman" w:hAnsi="Times New Roman" w:cs="Times New Roman"/>
          <w:sz w:val="20"/>
          <w:szCs w:val="20"/>
        </w:rPr>
        <w:t>K. Ramachandran</w:t>
      </w:r>
      <w:r w:rsidR="00CD623E">
        <w:rPr>
          <w:rFonts w:ascii="Times New Roman" w:hAnsi="Times New Roman" w:cs="Times New Roman"/>
          <w:sz w:val="20"/>
          <w:szCs w:val="20"/>
          <w:vertAlign w:val="superscript"/>
        </w:rPr>
        <w:t>4</w:t>
      </w:r>
      <w:r w:rsidR="009957F3" w:rsidRPr="009957F3">
        <w:rPr>
          <w:rFonts w:ascii="Times New Roman" w:hAnsi="Times New Roman" w:cs="Times New Roman"/>
          <w:sz w:val="20"/>
          <w:szCs w:val="20"/>
        </w:rPr>
        <w:t xml:space="preserve"> </w:t>
      </w:r>
      <w:r w:rsidR="00ED03F2">
        <w:rPr>
          <w:rFonts w:ascii="Times New Roman" w:hAnsi="Times New Roman" w:cs="Times New Roman"/>
          <w:sz w:val="20"/>
          <w:szCs w:val="20"/>
        </w:rPr>
        <w:t xml:space="preserve">P. </w:t>
      </w:r>
      <w:r w:rsidRPr="000C1818">
        <w:rPr>
          <w:rFonts w:ascii="Times New Roman" w:hAnsi="Times New Roman" w:cs="Times New Roman"/>
          <w:sz w:val="20"/>
          <w:szCs w:val="20"/>
        </w:rPr>
        <w:t>V</w:t>
      </w:r>
      <w:r w:rsidR="00ED03F2">
        <w:rPr>
          <w:rFonts w:ascii="Times New Roman" w:hAnsi="Times New Roman" w:cs="Times New Roman"/>
          <w:sz w:val="20"/>
          <w:szCs w:val="20"/>
        </w:rPr>
        <w:t xml:space="preserve">. </w:t>
      </w:r>
      <w:r w:rsidRPr="000C1818">
        <w:rPr>
          <w:rFonts w:ascii="Times New Roman" w:hAnsi="Times New Roman" w:cs="Times New Roman"/>
          <w:sz w:val="20"/>
          <w:szCs w:val="20"/>
        </w:rPr>
        <w:t>Swetha</w:t>
      </w:r>
      <w:r w:rsidR="00CD623E">
        <w:rPr>
          <w:rFonts w:ascii="Times New Roman" w:hAnsi="Times New Roman" w:cs="Times New Roman"/>
          <w:sz w:val="20"/>
          <w:szCs w:val="20"/>
          <w:vertAlign w:val="superscript"/>
        </w:rPr>
        <w:t>5</w:t>
      </w:r>
      <w:r w:rsidRPr="000C1818">
        <w:rPr>
          <w:rFonts w:ascii="Times New Roman" w:hAnsi="Times New Roman" w:cs="Times New Roman"/>
          <w:sz w:val="20"/>
          <w:szCs w:val="20"/>
        </w:rPr>
        <w:t xml:space="preserve"> </w:t>
      </w:r>
    </w:p>
    <w:p w14:paraId="46B3506D" w14:textId="3BF72F78" w:rsidR="00955DEB" w:rsidRDefault="00955DEB" w:rsidP="00955DEB">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1,2</w:t>
      </w:r>
      <w:r w:rsidR="00CD623E">
        <w:rPr>
          <w:rFonts w:ascii="Times New Roman" w:hAnsi="Times New Roman" w:cs="Times New Roman"/>
          <w:sz w:val="20"/>
          <w:szCs w:val="20"/>
        </w:rPr>
        <w:t>,3</w:t>
      </w:r>
      <w:r>
        <w:rPr>
          <w:rFonts w:ascii="Times New Roman" w:hAnsi="Times New Roman" w:cs="Times New Roman"/>
          <w:sz w:val="20"/>
          <w:szCs w:val="20"/>
        </w:rPr>
        <w:t xml:space="preserve">, Department Physics and Computer </w:t>
      </w:r>
      <w:r w:rsidR="0066518A">
        <w:rPr>
          <w:rFonts w:ascii="Times New Roman" w:hAnsi="Times New Roman" w:cs="Times New Roman"/>
          <w:sz w:val="20"/>
          <w:szCs w:val="20"/>
        </w:rPr>
        <w:t>Application</w:t>
      </w:r>
      <w:r>
        <w:rPr>
          <w:rFonts w:ascii="Times New Roman" w:hAnsi="Times New Roman" w:cs="Times New Roman"/>
          <w:sz w:val="20"/>
          <w:szCs w:val="20"/>
        </w:rPr>
        <w:t xml:space="preserve">, Sri Manakula Vinayagar Engineering College, </w:t>
      </w:r>
    </w:p>
    <w:p w14:paraId="769B8111" w14:textId="711E9134" w:rsidR="00955DEB" w:rsidRDefault="00955DEB" w:rsidP="00955DEB">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Madagadipet -605107,</w:t>
      </w:r>
      <w:r w:rsidRPr="00ED0B14">
        <w:rPr>
          <w:rFonts w:ascii="Times New Roman" w:hAnsi="Times New Roman" w:cs="Times New Roman"/>
          <w:sz w:val="20"/>
          <w:szCs w:val="20"/>
        </w:rPr>
        <w:t xml:space="preserve"> </w:t>
      </w:r>
      <w:r>
        <w:rPr>
          <w:rFonts w:ascii="Times New Roman" w:hAnsi="Times New Roman" w:cs="Times New Roman"/>
          <w:sz w:val="20"/>
          <w:szCs w:val="20"/>
        </w:rPr>
        <w:t>Pondicherry</w:t>
      </w:r>
      <w:r w:rsidRPr="00AE7F52">
        <w:rPr>
          <w:rFonts w:ascii="Times New Roman" w:hAnsi="Times New Roman" w:cs="Times New Roman"/>
          <w:sz w:val="20"/>
          <w:szCs w:val="20"/>
        </w:rPr>
        <w:t>, India</w:t>
      </w:r>
    </w:p>
    <w:p w14:paraId="055898DE" w14:textId="610B7648" w:rsidR="009957F3" w:rsidRPr="00955DEB" w:rsidRDefault="00386872" w:rsidP="0066518A">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4</w:t>
      </w:r>
      <w:r w:rsidR="009957F3">
        <w:rPr>
          <w:rFonts w:ascii="Times New Roman" w:hAnsi="Times New Roman" w:cs="Times New Roman"/>
          <w:sz w:val="20"/>
          <w:szCs w:val="20"/>
        </w:rPr>
        <w:t xml:space="preserve">, </w:t>
      </w:r>
      <w:r w:rsidR="009957F3" w:rsidRPr="009957F3">
        <w:rPr>
          <w:rFonts w:ascii="Times New Roman" w:hAnsi="Times New Roman" w:cs="Times New Roman"/>
          <w:sz w:val="20"/>
          <w:szCs w:val="20"/>
        </w:rPr>
        <w:t>Department of Physics, Faculty of Engineering and Technology,</w:t>
      </w:r>
      <w:r w:rsidR="00435415">
        <w:rPr>
          <w:rFonts w:ascii="Times New Roman" w:hAnsi="Times New Roman" w:cs="Times New Roman"/>
          <w:sz w:val="20"/>
          <w:szCs w:val="20"/>
        </w:rPr>
        <w:t xml:space="preserve"> </w:t>
      </w:r>
      <w:r w:rsidR="00435415" w:rsidRPr="00435415">
        <w:rPr>
          <w:rFonts w:ascii="Times New Roman" w:hAnsi="Times New Roman" w:cs="Times New Roman"/>
          <w:sz w:val="20"/>
          <w:szCs w:val="20"/>
        </w:rPr>
        <w:t xml:space="preserve">SRM Institute of Science and Technology, Vadapalani </w:t>
      </w:r>
      <w:r w:rsidR="00435415">
        <w:rPr>
          <w:rFonts w:ascii="Times New Roman" w:hAnsi="Times New Roman" w:cs="Times New Roman"/>
          <w:sz w:val="20"/>
          <w:szCs w:val="20"/>
        </w:rPr>
        <w:t>C</w:t>
      </w:r>
      <w:r w:rsidR="00435415" w:rsidRPr="00435415">
        <w:rPr>
          <w:rFonts w:ascii="Times New Roman" w:hAnsi="Times New Roman" w:cs="Times New Roman"/>
          <w:sz w:val="20"/>
          <w:szCs w:val="20"/>
        </w:rPr>
        <w:t>ampus.</w:t>
      </w:r>
      <w:r w:rsidR="0066518A">
        <w:rPr>
          <w:rFonts w:ascii="Times New Roman" w:hAnsi="Times New Roman" w:cs="Times New Roman"/>
          <w:sz w:val="20"/>
          <w:szCs w:val="20"/>
        </w:rPr>
        <w:t xml:space="preserve"> </w:t>
      </w:r>
      <w:r w:rsidR="009957F3" w:rsidRPr="009957F3">
        <w:rPr>
          <w:rFonts w:ascii="Times New Roman" w:hAnsi="Times New Roman" w:cs="Times New Roman"/>
          <w:sz w:val="20"/>
          <w:szCs w:val="20"/>
        </w:rPr>
        <w:t>Chennai 600026, Tamilnadu, India</w:t>
      </w:r>
    </w:p>
    <w:p w14:paraId="42E968D7" w14:textId="0A82E136" w:rsidR="00955DEB" w:rsidRDefault="00386872" w:rsidP="00955DEB">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5</w:t>
      </w:r>
      <w:r w:rsidR="00294938">
        <w:rPr>
          <w:rFonts w:ascii="Times New Roman" w:hAnsi="Times New Roman" w:cs="Times New Roman"/>
          <w:sz w:val="20"/>
          <w:szCs w:val="20"/>
        </w:rPr>
        <w:t>,</w:t>
      </w:r>
      <w:r w:rsidR="00955DEB">
        <w:rPr>
          <w:rFonts w:ascii="Times New Roman" w:hAnsi="Times New Roman" w:cs="Times New Roman"/>
          <w:sz w:val="20"/>
          <w:szCs w:val="20"/>
        </w:rPr>
        <w:t xml:space="preserve"> </w:t>
      </w:r>
      <w:r w:rsidR="00955DEB" w:rsidRPr="00AE7F52">
        <w:rPr>
          <w:rFonts w:ascii="Times New Roman" w:hAnsi="Times New Roman" w:cs="Times New Roman"/>
          <w:sz w:val="20"/>
          <w:szCs w:val="20"/>
        </w:rPr>
        <w:t xml:space="preserve">Department of </w:t>
      </w:r>
      <w:r>
        <w:rPr>
          <w:rFonts w:ascii="Times New Roman" w:hAnsi="Times New Roman" w:cs="Times New Roman"/>
          <w:sz w:val="20"/>
          <w:szCs w:val="20"/>
        </w:rPr>
        <w:t>Basic Science and Humanities</w:t>
      </w:r>
      <w:r w:rsidR="00955DEB" w:rsidRPr="00AE7F52">
        <w:rPr>
          <w:rFonts w:ascii="Times New Roman" w:hAnsi="Times New Roman" w:cs="Times New Roman"/>
          <w:sz w:val="20"/>
          <w:szCs w:val="20"/>
        </w:rPr>
        <w:t>,</w:t>
      </w:r>
      <w:r w:rsidR="00955DEB">
        <w:rPr>
          <w:rFonts w:ascii="Times New Roman" w:hAnsi="Times New Roman" w:cs="Times New Roman"/>
          <w:sz w:val="20"/>
          <w:szCs w:val="20"/>
        </w:rPr>
        <w:t xml:space="preserve"> </w:t>
      </w:r>
      <w:r>
        <w:rPr>
          <w:rFonts w:ascii="Times New Roman" w:hAnsi="Times New Roman" w:cs="Times New Roman"/>
          <w:sz w:val="20"/>
          <w:szCs w:val="20"/>
        </w:rPr>
        <w:t xml:space="preserve">Sreerama Engineering </w:t>
      </w:r>
      <w:r w:rsidR="00F26630">
        <w:rPr>
          <w:rFonts w:ascii="Times New Roman" w:hAnsi="Times New Roman" w:cs="Times New Roman"/>
          <w:sz w:val="20"/>
          <w:szCs w:val="20"/>
        </w:rPr>
        <w:t>C</w:t>
      </w:r>
      <w:r>
        <w:rPr>
          <w:rFonts w:ascii="Times New Roman" w:hAnsi="Times New Roman" w:cs="Times New Roman"/>
          <w:sz w:val="20"/>
          <w:szCs w:val="20"/>
        </w:rPr>
        <w:t xml:space="preserve">ollege, </w:t>
      </w:r>
      <w:r w:rsidR="00955DEB">
        <w:rPr>
          <w:rFonts w:ascii="Times New Roman" w:hAnsi="Times New Roman" w:cs="Times New Roman"/>
          <w:sz w:val="20"/>
          <w:szCs w:val="20"/>
        </w:rPr>
        <w:t>Tirupati</w:t>
      </w:r>
      <w:r w:rsidR="00955DEB" w:rsidRPr="00AE7F52">
        <w:rPr>
          <w:rFonts w:ascii="Times New Roman" w:hAnsi="Times New Roman" w:cs="Times New Roman"/>
          <w:sz w:val="20"/>
          <w:szCs w:val="20"/>
        </w:rPr>
        <w:t>,</w:t>
      </w:r>
    </w:p>
    <w:p w14:paraId="44CD868E" w14:textId="22446500" w:rsidR="002B7630" w:rsidRPr="00955DEB" w:rsidRDefault="00955DEB" w:rsidP="00955DEB">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Andrapradesh</w:t>
      </w:r>
      <w:r w:rsidRPr="00AE7F52">
        <w:rPr>
          <w:rFonts w:ascii="Times New Roman" w:hAnsi="Times New Roman" w:cs="Times New Roman"/>
          <w:sz w:val="20"/>
          <w:szCs w:val="20"/>
        </w:rPr>
        <w:t>-</w:t>
      </w:r>
      <w:r w:rsidR="009957F3">
        <w:rPr>
          <w:rFonts w:ascii="Times New Roman" w:hAnsi="Times New Roman" w:cs="Times New Roman"/>
          <w:sz w:val="20"/>
          <w:szCs w:val="20"/>
        </w:rPr>
        <w:t xml:space="preserve">517520, </w:t>
      </w:r>
      <w:r w:rsidR="009957F3" w:rsidRPr="00AE7F52">
        <w:rPr>
          <w:rFonts w:ascii="Times New Roman" w:hAnsi="Times New Roman" w:cs="Times New Roman"/>
          <w:sz w:val="20"/>
          <w:szCs w:val="20"/>
        </w:rPr>
        <w:t>India</w:t>
      </w:r>
      <w:r>
        <w:rPr>
          <w:rFonts w:ascii="Times New Roman" w:hAnsi="Times New Roman" w:cs="Times New Roman"/>
          <w:sz w:val="20"/>
          <w:szCs w:val="20"/>
        </w:rPr>
        <w:t>.</w:t>
      </w:r>
    </w:p>
    <w:p w14:paraId="500096E9" w14:textId="57653F99" w:rsidR="002B7630" w:rsidRPr="00294938" w:rsidRDefault="002B7630" w:rsidP="002B7630">
      <w:pPr>
        <w:pStyle w:val="Heading3"/>
        <w:spacing w:before="0" w:line="360" w:lineRule="auto"/>
        <w:jc w:val="both"/>
        <w:rPr>
          <w:rFonts w:ascii="Times New Roman" w:hAnsi="Times New Roman" w:cs="Times New Roman"/>
          <w:color w:val="1F1F1F"/>
        </w:rPr>
      </w:pPr>
      <w:r w:rsidRPr="00294938">
        <w:rPr>
          <w:rFonts w:ascii="Times New Roman" w:hAnsi="Times New Roman" w:cs="Times New Roman"/>
          <w:b/>
          <w:bCs/>
          <w:color w:val="1F1F1F"/>
        </w:rPr>
        <w:t>Abstract</w:t>
      </w:r>
      <w:r w:rsidR="004C563D" w:rsidRPr="00294938">
        <w:rPr>
          <w:rFonts w:ascii="Times New Roman" w:hAnsi="Times New Roman" w:cs="Times New Roman"/>
          <w:b/>
          <w:bCs/>
          <w:color w:val="1F1F1F"/>
        </w:rPr>
        <w:t>:</w:t>
      </w:r>
    </w:p>
    <w:p w14:paraId="57263441" w14:textId="7C5D8719" w:rsidR="003F25EE" w:rsidRPr="00294938" w:rsidRDefault="002B7630" w:rsidP="00435415">
      <w:pPr>
        <w:pStyle w:val="NormalWeb"/>
        <w:spacing w:before="0" w:beforeAutospacing="0" w:after="0" w:afterAutospacing="0" w:line="360" w:lineRule="auto"/>
        <w:ind w:firstLine="720"/>
        <w:jc w:val="both"/>
        <w:rPr>
          <w:color w:val="232323"/>
        </w:rPr>
      </w:pPr>
      <w:r w:rsidRPr="00294938">
        <w:rPr>
          <w:rStyle w:val="topic-highlight"/>
          <w:color w:val="1F1F1F"/>
        </w:rPr>
        <w:t>Fuel cell technology</w:t>
      </w:r>
      <w:r w:rsidRPr="00294938">
        <w:rPr>
          <w:color w:val="1F1F1F"/>
        </w:rPr>
        <w:t xml:space="preserve"> is one of the alternative energy sources for the next generation. Although this technology has proven to be one of the main methods for producing new energy sources, fuel cell technology still has some problems that hinder fuel cell commercialization.  </w:t>
      </w:r>
      <w:r w:rsidRPr="00294938">
        <w:rPr>
          <w:color w:val="232323"/>
        </w:rPr>
        <w:t xml:space="preserve">A fuel cell is a device that generates electricity through </w:t>
      </w:r>
      <w:r w:rsidR="00D328DE">
        <w:rPr>
          <w:color w:val="232323"/>
        </w:rPr>
        <w:t>Hydrocarbons</w:t>
      </w:r>
      <w:r w:rsidRPr="00294938">
        <w:rPr>
          <w:color w:val="232323"/>
        </w:rPr>
        <w:t xml:space="preserve"> reaction and combustion. In a fuel cell, </w:t>
      </w:r>
      <w:hyperlink r:id="rId4" w:history="1">
        <w:r w:rsidRPr="00294938">
          <w:t>hydrogen</w:t>
        </w:r>
      </w:hyperlink>
      <w:r w:rsidRPr="00294938">
        <w:rPr>
          <w:color w:val="232323"/>
        </w:rPr>
        <w:t xml:space="preserve"> and oxygen are combined to generate electricity, heat, and water. </w:t>
      </w:r>
    </w:p>
    <w:p w14:paraId="3BEBCE1F" w14:textId="604F4D9B" w:rsidR="003F25EE" w:rsidRPr="00294938" w:rsidRDefault="003F25EE" w:rsidP="003F25EE">
      <w:pPr>
        <w:pStyle w:val="NormalWeb"/>
        <w:spacing w:before="0" w:beforeAutospacing="0" w:after="0" w:afterAutospacing="0" w:line="360" w:lineRule="auto"/>
        <w:jc w:val="center"/>
        <w:rPr>
          <w:color w:val="232323"/>
        </w:rPr>
      </w:pPr>
      <w:r w:rsidRPr="00294938">
        <w:rPr>
          <w:noProof/>
        </w:rPr>
        <w:drawing>
          <wp:inline distT="0" distB="0" distL="0" distR="0" wp14:anchorId="5D61250C" wp14:editId="2BDABC90">
            <wp:extent cx="3581400" cy="2609850"/>
            <wp:effectExtent l="0" t="0" r="0" b="0"/>
            <wp:docPr id="696210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1400" cy="2609850"/>
                    </a:xfrm>
                    <a:prstGeom prst="rect">
                      <a:avLst/>
                    </a:prstGeom>
                    <a:noFill/>
                    <a:ln>
                      <a:noFill/>
                    </a:ln>
                  </pic:spPr>
                </pic:pic>
              </a:graphicData>
            </a:graphic>
          </wp:inline>
        </w:drawing>
      </w:r>
    </w:p>
    <w:p w14:paraId="5C177FAA" w14:textId="36042C31" w:rsidR="003F25EE" w:rsidRPr="00294938" w:rsidRDefault="003F25EE" w:rsidP="003F25EE">
      <w:pPr>
        <w:spacing w:line="360" w:lineRule="auto"/>
        <w:jc w:val="center"/>
        <w:rPr>
          <w:rFonts w:ascii="Times New Roman" w:hAnsi="Times New Roman" w:cs="Times New Roman"/>
          <w:b/>
          <w:bCs/>
          <w:sz w:val="24"/>
          <w:szCs w:val="24"/>
        </w:rPr>
      </w:pPr>
      <w:r w:rsidRPr="00294938">
        <w:rPr>
          <w:rFonts w:ascii="Times New Roman" w:hAnsi="Times New Roman" w:cs="Times New Roman"/>
          <w:b/>
          <w:bCs/>
          <w:color w:val="202122"/>
          <w:sz w:val="24"/>
          <w:szCs w:val="24"/>
          <w:shd w:val="clear" w:color="auto" w:fill="F8F9FA"/>
        </w:rPr>
        <w:t xml:space="preserve">Scheme of a </w:t>
      </w:r>
      <w:r w:rsidR="00D328DE">
        <w:rPr>
          <w:rFonts w:ascii="Times New Roman" w:hAnsi="Times New Roman" w:cs="Times New Roman"/>
          <w:b/>
          <w:bCs/>
          <w:color w:val="202122"/>
          <w:sz w:val="24"/>
          <w:szCs w:val="24"/>
          <w:shd w:val="clear" w:color="auto" w:fill="F8F9FA"/>
        </w:rPr>
        <w:t xml:space="preserve">water and petrol </w:t>
      </w:r>
      <w:r w:rsidRPr="00294938">
        <w:rPr>
          <w:rFonts w:ascii="Times New Roman" w:hAnsi="Times New Roman" w:cs="Times New Roman"/>
          <w:b/>
          <w:bCs/>
          <w:color w:val="202122"/>
          <w:sz w:val="24"/>
          <w:szCs w:val="24"/>
          <w:shd w:val="clear" w:color="auto" w:fill="F8F9FA"/>
        </w:rPr>
        <w:t>conducting fuel cell</w:t>
      </w:r>
    </w:p>
    <w:p w14:paraId="41AA3F7D" w14:textId="6FAF8770" w:rsidR="002B7630" w:rsidRDefault="002B7630" w:rsidP="002B7630">
      <w:pPr>
        <w:pStyle w:val="NormalWeb"/>
        <w:spacing w:before="0" w:beforeAutospacing="0" w:after="0" w:afterAutospacing="0" w:line="360" w:lineRule="auto"/>
        <w:jc w:val="both"/>
        <w:rPr>
          <w:color w:val="232323"/>
        </w:rPr>
      </w:pPr>
      <w:r w:rsidRPr="00294938">
        <w:rPr>
          <w:color w:val="232323"/>
        </w:rPr>
        <w:t xml:space="preserve">Fuel cells are used today in a range of applications, from providing power to homes and businesses, keeping critical facilities like hospitals, grocery stores, and data canters up and running, and moving a variety of vehicles including cars, buses, trucks, forklifts, trains, and more. </w:t>
      </w:r>
    </w:p>
    <w:p w14:paraId="0797DA96" w14:textId="6C12661C" w:rsidR="000744D2" w:rsidRDefault="000744D2" w:rsidP="002B7630">
      <w:pPr>
        <w:pStyle w:val="NormalWeb"/>
        <w:spacing w:before="0" w:beforeAutospacing="0" w:after="0" w:afterAutospacing="0" w:line="360" w:lineRule="auto"/>
        <w:jc w:val="both"/>
        <w:rPr>
          <w:color w:val="232323"/>
        </w:rPr>
      </w:pPr>
      <w:r>
        <w:rPr>
          <w:color w:val="232323"/>
        </w:rPr>
        <w:t xml:space="preserve">Keywords: </w:t>
      </w:r>
      <w:r w:rsidRPr="00045BD4">
        <w:rPr>
          <w:color w:val="1D1F1D"/>
        </w:rPr>
        <w:t>PEM</w:t>
      </w:r>
      <w:r>
        <w:rPr>
          <w:color w:val="1D1F1D"/>
        </w:rPr>
        <w:t xml:space="preserve">, </w:t>
      </w:r>
      <w:r w:rsidRPr="00045BD4">
        <w:rPr>
          <w:color w:val="1D1F1D"/>
        </w:rPr>
        <w:t>FCEV fuel</w:t>
      </w:r>
      <w:r>
        <w:rPr>
          <w:color w:val="1D1F1D"/>
        </w:rPr>
        <w:t xml:space="preserve">, </w:t>
      </w:r>
      <w:r w:rsidRPr="00045BD4">
        <w:rPr>
          <w:color w:val="1D1F1D"/>
        </w:rPr>
        <w:t>heavy-duty vehicles</w:t>
      </w:r>
      <w:r>
        <w:rPr>
          <w:color w:val="1D1F1D"/>
        </w:rPr>
        <w:t xml:space="preserve"> and </w:t>
      </w:r>
      <w:r w:rsidRPr="008C4156">
        <w:rPr>
          <w:lang w:val="en-GB"/>
        </w:rPr>
        <w:t>cleaner energy sources</w:t>
      </w:r>
    </w:p>
    <w:p w14:paraId="21477460" w14:textId="6A5BA6A7" w:rsidR="001015A8" w:rsidRPr="001015A8" w:rsidRDefault="001015A8" w:rsidP="002B7630">
      <w:pPr>
        <w:pStyle w:val="NormalWeb"/>
        <w:spacing w:before="0" w:beforeAutospacing="0" w:after="0" w:afterAutospacing="0" w:line="360" w:lineRule="auto"/>
        <w:jc w:val="both"/>
        <w:rPr>
          <w:b/>
          <w:bCs/>
          <w:color w:val="232323"/>
        </w:rPr>
      </w:pPr>
      <w:r w:rsidRPr="001015A8">
        <w:rPr>
          <w:b/>
          <w:bCs/>
          <w:color w:val="232323"/>
        </w:rPr>
        <w:t>Introduction:</w:t>
      </w:r>
    </w:p>
    <w:p w14:paraId="4DBE5FF3" w14:textId="6D2F7853" w:rsidR="001015A8" w:rsidRPr="00045BD4" w:rsidRDefault="005012C0" w:rsidP="00CB0C3D">
      <w:pPr>
        <w:pStyle w:val="NormalWeb"/>
        <w:shd w:val="clear" w:color="auto" w:fill="FFFFFF"/>
        <w:spacing w:before="0" w:beforeAutospacing="0" w:after="360" w:afterAutospacing="0" w:line="360" w:lineRule="auto"/>
        <w:ind w:firstLine="720"/>
        <w:jc w:val="both"/>
        <w:rPr>
          <w:color w:val="1D1F1D"/>
        </w:rPr>
      </w:pPr>
      <w:r w:rsidRPr="005012C0">
        <w:rPr>
          <w:color w:val="1D1F1D"/>
        </w:rPr>
        <w:t>Heavy oil is characterized by high viscosity and low mobility, which poses great difficulties and detrimental hazards to its transportation [1]</w:t>
      </w:r>
      <w:r>
        <w:rPr>
          <w:color w:val="1D1F1D"/>
        </w:rPr>
        <w:t xml:space="preserve">. </w:t>
      </w:r>
      <w:r w:rsidR="001015A8" w:rsidRPr="00045BD4">
        <w:rPr>
          <w:color w:val="1D1F1D"/>
        </w:rPr>
        <w:t xml:space="preserve">Hydrogen fuel cell vehicles, known as FCEVs or fuel cell electric vehicles, utilize hydrogen within a PEM fuel cell stack webbed </w:t>
      </w:r>
      <w:r w:rsidR="001015A8" w:rsidRPr="00045BD4">
        <w:rPr>
          <w:color w:val="1D1F1D"/>
        </w:rPr>
        <w:lastRenderedPageBreak/>
        <w:t>into electric vehicles, supplanting standard internal combustion engines or the aforementioned battery-powered engines currently powering electric vehicles. Unlike the internal combustion engine and analogous with electric vehicles, hydrogen fuel cell vehicles do not emit pollutants or greenhouse gasses into the atmosphere and instead only emit water vapor and heat, making them beneficial for combating climate change.</w:t>
      </w:r>
      <w:r w:rsidR="001015A8">
        <w:rPr>
          <w:color w:val="1D1F1D"/>
        </w:rPr>
        <w:t xml:space="preserve"> </w:t>
      </w:r>
      <w:r w:rsidR="001015A8" w:rsidRPr="00045BD4">
        <w:rPr>
          <w:color w:val="1D1F1D"/>
        </w:rPr>
        <w:t>Unlike a battery-powered vehicle, which takes an overnight or whole workday to fully charge, fuel cell vehicles can be fuel</w:t>
      </w:r>
      <w:r w:rsidR="001015A8">
        <w:rPr>
          <w:color w:val="1D1F1D"/>
        </w:rPr>
        <w:t>l</w:t>
      </w:r>
      <w:r w:rsidR="001015A8" w:rsidRPr="00045BD4">
        <w:rPr>
          <w:color w:val="1D1F1D"/>
        </w:rPr>
        <w:t>ed up within a matter of minutes at fuel</w:t>
      </w:r>
      <w:r w:rsidR="001015A8">
        <w:rPr>
          <w:color w:val="1D1F1D"/>
        </w:rPr>
        <w:t>l</w:t>
      </w:r>
      <w:r w:rsidR="001015A8" w:rsidRPr="00045BD4">
        <w:rPr>
          <w:color w:val="1D1F1D"/>
        </w:rPr>
        <w:t>ing station.</w:t>
      </w:r>
    </w:p>
    <w:p w14:paraId="20A274FD" w14:textId="020D5A8D" w:rsidR="001015A8" w:rsidRPr="00971B05" w:rsidRDefault="001015A8" w:rsidP="001015A8">
      <w:pPr>
        <w:pStyle w:val="NormalWeb"/>
        <w:shd w:val="clear" w:color="auto" w:fill="FFFFFF"/>
        <w:spacing w:before="0" w:beforeAutospacing="0" w:after="360" w:afterAutospacing="0" w:line="360" w:lineRule="auto"/>
        <w:jc w:val="both"/>
        <w:rPr>
          <w:b/>
          <w:bCs/>
        </w:rPr>
      </w:pPr>
      <w:r w:rsidRPr="001015A8">
        <w:rPr>
          <w:b/>
          <w:bCs/>
          <w:color w:val="1D1F1D"/>
        </w:rPr>
        <w:t xml:space="preserve">Experimental </w:t>
      </w:r>
      <w:r>
        <w:rPr>
          <w:b/>
          <w:bCs/>
          <w:color w:val="1D1F1D"/>
        </w:rPr>
        <w:t>:</w:t>
      </w:r>
    </w:p>
    <w:p w14:paraId="538293D2" w14:textId="2B5D1105" w:rsidR="001862A3" w:rsidRDefault="00FE58CB" w:rsidP="00FE58CB">
      <w:pPr>
        <w:pStyle w:val="NormalWeb"/>
        <w:shd w:val="clear" w:color="auto" w:fill="FFFFFF"/>
        <w:spacing w:before="0" w:beforeAutospacing="0" w:after="360" w:afterAutospacing="0" w:line="360" w:lineRule="auto"/>
        <w:jc w:val="both"/>
        <w:rPr>
          <w:color w:val="1D1F1D"/>
        </w:rPr>
      </w:pPr>
      <w:r w:rsidRPr="00971B05">
        <w:t xml:space="preserve">They operate at a temperature of 60-80°C (140-176°F). Hydrogen </w:t>
      </w:r>
      <w:r w:rsidRPr="00045BD4">
        <w:rPr>
          <w:color w:val="1D1F1D"/>
        </w:rPr>
        <w:t>fuel cell vehicles, known as FCEVs or fuel cell electric vehicles, utilize hydrogen within a PEM fuel cell stack webbed into electric vehicles, supplanting standard internal combustion engines or the aforementioned battery-powered engines currently powering electric vehicles</w:t>
      </w:r>
      <w:r w:rsidR="001862A3">
        <w:rPr>
          <w:color w:val="1D1F1D"/>
        </w:rPr>
        <w:t xml:space="preserve"> as </w:t>
      </w:r>
      <w:r w:rsidR="004126F5">
        <w:rPr>
          <w:color w:val="1D1F1D"/>
        </w:rPr>
        <w:t>shown fig 1.</w:t>
      </w:r>
      <w:r w:rsidR="001862A3">
        <w:rPr>
          <w:color w:val="1D1F1D"/>
        </w:rPr>
        <w:t xml:space="preserve"> below.</w:t>
      </w:r>
    </w:p>
    <w:p w14:paraId="36F32FAA" w14:textId="28996DF3" w:rsidR="001862A3" w:rsidRDefault="00F35ACB" w:rsidP="004126F5">
      <w:pPr>
        <w:pStyle w:val="NormalWeb"/>
        <w:shd w:val="clear" w:color="auto" w:fill="FFFFFF"/>
        <w:spacing w:before="0" w:beforeAutospacing="0" w:after="360" w:afterAutospacing="0" w:line="360" w:lineRule="auto"/>
        <w:jc w:val="center"/>
        <w:rPr>
          <w:color w:val="1D1F1D"/>
        </w:rPr>
      </w:pPr>
      <w:r>
        <w:rPr>
          <w:noProof/>
        </w:rPr>
        <w:drawing>
          <wp:inline distT="0" distB="0" distL="0" distR="0" wp14:anchorId="211BBB67" wp14:editId="58D1A00D">
            <wp:extent cx="4019550" cy="2019300"/>
            <wp:effectExtent l="0" t="0" r="0" b="0"/>
            <wp:docPr id="85273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9550" cy="2019300"/>
                    </a:xfrm>
                    <a:prstGeom prst="rect">
                      <a:avLst/>
                    </a:prstGeom>
                    <a:noFill/>
                    <a:ln>
                      <a:noFill/>
                    </a:ln>
                  </pic:spPr>
                </pic:pic>
              </a:graphicData>
            </a:graphic>
          </wp:inline>
        </w:drawing>
      </w:r>
    </w:p>
    <w:p w14:paraId="051EB858" w14:textId="46444997" w:rsidR="00F35ACB" w:rsidRPr="00CB0C3D" w:rsidRDefault="004126F5" w:rsidP="00CB0C3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w:t>
      </w:r>
      <w:r w:rsidR="00386872">
        <w:rPr>
          <w:rFonts w:ascii="Times New Roman" w:hAnsi="Times New Roman" w:cs="Times New Roman"/>
          <w:b/>
          <w:bCs/>
          <w:sz w:val="24"/>
          <w:szCs w:val="24"/>
        </w:rPr>
        <w:t>ig</w:t>
      </w:r>
      <w:r>
        <w:rPr>
          <w:rFonts w:ascii="Times New Roman" w:hAnsi="Times New Roman" w:cs="Times New Roman"/>
          <w:b/>
          <w:bCs/>
          <w:sz w:val="24"/>
          <w:szCs w:val="24"/>
        </w:rPr>
        <w:t>.1.</w:t>
      </w:r>
      <w:r w:rsidRPr="004126F5">
        <w:rPr>
          <w:rFonts w:ascii="Times New Roman" w:hAnsi="Times New Roman" w:cs="Times New Roman"/>
          <w:b/>
          <w:bCs/>
          <w:sz w:val="24"/>
          <w:szCs w:val="24"/>
        </w:rPr>
        <w:t>Hydrogenation is a chemical reaction between molecular hydrogen and another compound or element</w:t>
      </w:r>
    </w:p>
    <w:p w14:paraId="50AE1CCB" w14:textId="55675EDE" w:rsidR="00E34634" w:rsidRPr="004126F5" w:rsidRDefault="00FE58CB" w:rsidP="004126F5">
      <w:pPr>
        <w:pStyle w:val="NormalWeb"/>
        <w:shd w:val="clear" w:color="auto" w:fill="FFFFFF"/>
        <w:spacing w:before="0" w:beforeAutospacing="0" w:after="360" w:afterAutospacing="0" w:line="360" w:lineRule="auto"/>
        <w:jc w:val="both"/>
        <w:rPr>
          <w:color w:val="1D1F1D"/>
        </w:rPr>
      </w:pPr>
      <w:r w:rsidRPr="00045BD4">
        <w:rPr>
          <w:color w:val="1D1F1D"/>
        </w:rPr>
        <w:t xml:space="preserve"> Unlike the internal combustion engine and analogous with electric vehicles, hydrogen fuel cell vehicles do not emit pollutants or greenhouse gasses into the atmosphere and instead only emit water vapor and heat, making them beneficial for combating climate change.</w:t>
      </w:r>
      <w:r w:rsidR="004126F5">
        <w:rPr>
          <w:color w:val="1D1F1D"/>
        </w:rPr>
        <w:t xml:space="preserve"> </w:t>
      </w:r>
      <w:r w:rsidRPr="00045BD4">
        <w:rPr>
          <w:color w:val="1D1F1D"/>
        </w:rPr>
        <w:t>Unlike a battery-powered vehicle, which takes an overnight or whole workday to fully charge, fuel cell vehicles can be fuelled up within a matter of minutes at fuelling station.</w:t>
      </w:r>
      <w:r>
        <w:rPr>
          <w:color w:val="1D1F1D"/>
        </w:rPr>
        <w:t xml:space="preserve"> </w:t>
      </w:r>
      <w:r w:rsidRPr="00045BD4">
        <w:rPr>
          <w:color w:val="1D1F1D"/>
        </w:rPr>
        <w:t>Among its other advantages, a hydrogen fuel cell’s light weight also plays an auspicious role within heavy-duty vehicles compared to their battery-powered competitors traveling a similar number of miles.</w:t>
      </w:r>
      <w:r w:rsidR="00CB0C3D">
        <w:rPr>
          <w:color w:val="1D1F1D"/>
        </w:rPr>
        <w:t xml:space="preserve"> </w:t>
      </w:r>
      <w:r w:rsidR="00E34634" w:rsidRPr="00045BD4">
        <w:rPr>
          <w:color w:val="1D1F1D"/>
        </w:rPr>
        <w:t xml:space="preserve">Among its other advantages, a hydrogen fuel cell’s light weight also plays an auspicious role within heavy-duty vehicles compared to their battery-powered competitors traveling a similar number of </w:t>
      </w:r>
      <w:r w:rsidR="00E34634" w:rsidRPr="00045BD4">
        <w:rPr>
          <w:color w:val="1D1F1D"/>
        </w:rPr>
        <w:lastRenderedPageBreak/>
        <w:t>miles.</w:t>
      </w:r>
      <w:r w:rsidR="00E34634">
        <w:rPr>
          <w:color w:val="1D1F1D"/>
        </w:rPr>
        <w:t xml:space="preserve"> </w:t>
      </w:r>
      <w:r w:rsidR="00E34634" w:rsidRPr="00045BD4">
        <w:rPr>
          <w:color w:val="1D1F1D"/>
        </w:rPr>
        <w:t>As green hydrogen fuel cells become both increasingly viable and vital as an energy choice in the age of climate change, those in sectors ranging from automobile, retail, electric utilities, and agriculture among others have all shown increased efforts to green their portfolios and play a part in catapulting climate solutions.</w:t>
      </w:r>
      <w:r w:rsidR="00E34634">
        <w:rPr>
          <w:color w:val="1D1F1D"/>
        </w:rPr>
        <w:t xml:space="preserve"> </w:t>
      </w:r>
      <w:r w:rsidR="00E34634" w:rsidRPr="00045BD4">
        <w:rPr>
          <w:color w:val="1D1F1D"/>
        </w:rPr>
        <w:t xml:space="preserve">Further, they touch upon the inherent advantages in our proton exchange membrane (PEM) fuel cells technology, offering us a sector-wide advantage due to their wide utility in both </w:t>
      </w:r>
      <w:r w:rsidR="00A801A8" w:rsidRPr="00045BD4">
        <w:rPr>
          <w:color w:val="1D1F1D"/>
        </w:rPr>
        <w:t>stationery</w:t>
      </w:r>
      <w:r w:rsidR="00E34634" w:rsidRPr="00045BD4">
        <w:rPr>
          <w:color w:val="1D1F1D"/>
        </w:rPr>
        <w:t xml:space="preserve"> and mobility power generation.</w:t>
      </w:r>
    </w:p>
    <w:p w14:paraId="2BBBAB0B" w14:textId="2A8259DB" w:rsidR="008C4156" w:rsidRPr="004126F5" w:rsidRDefault="008C4156" w:rsidP="008C4156">
      <w:pPr>
        <w:spacing w:line="360" w:lineRule="auto"/>
        <w:jc w:val="both"/>
        <w:rPr>
          <w:rFonts w:ascii="Times New Roman" w:hAnsi="Times New Roman" w:cs="Times New Roman"/>
          <w:b/>
          <w:bCs/>
          <w:sz w:val="24"/>
          <w:szCs w:val="24"/>
        </w:rPr>
      </w:pPr>
      <w:r w:rsidRPr="004126F5">
        <w:rPr>
          <w:rFonts w:ascii="Times New Roman" w:hAnsi="Times New Roman" w:cs="Times New Roman"/>
          <w:b/>
          <w:bCs/>
          <w:sz w:val="24"/>
          <w:szCs w:val="24"/>
          <w:lang w:val="en-GB"/>
        </w:rPr>
        <w:t>Conclusion</w:t>
      </w:r>
    </w:p>
    <w:p w14:paraId="599D8535" w14:textId="77777777" w:rsidR="008C4156" w:rsidRPr="00F07AD7" w:rsidRDefault="008C4156" w:rsidP="00A801A8">
      <w:pPr>
        <w:spacing w:line="360" w:lineRule="auto"/>
        <w:ind w:firstLine="720"/>
        <w:jc w:val="both"/>
        <w:rPr>
          <w:rFonts w:ascii="Times New Roman" w:hAnsi="Times New Roman" w:cs="Times New Roman"/>
          <w:sz w:val="24"/>
          <w:szCs w:val="24"/>
          <w:lang w:val="en-GB"/>
        </w:rPr>
      </w:pPr>
      <w:r w:rsidRPr="008C4156">
        <w:rPr>
          <w:rFonts w:ascii="Times New Roman" w:hAnsi="Times New Roman" w:cs="Times New Roman"/>
          <w:sz w:val="24"/>
          <w:szCs w:val="24"/>
          <w:lang w:val="en-GB"/>
        </w:rPr>
        <w:t xml:space="preserve">The hydrogenation process stands as a cornerstone of sustainable fuel production, playing a crucial role in the global transition to cleaner energy sources. Through its contribution to the creation of renewable fuels and the facilitation of green hydrogen utilization, hydrogenation represents a pivotal technology in the journey toward a more sustainable and carbon-neutral future. Embracing the potential of hydrogenation, HyFive recognizes its essential role in addressing environmental challenges and realizing the promise of clean energy </w:t>
      </w:r>
      <w:r w:rsidRPr="00F07AD7">
        <w:rPr>
          <w:rFonts w:ascii="Times New Roman" w:hAnsi="Times New Roman" w:cs="Times New Roman"/>
          <w:sz w:val="24"/>
          <w:szCs w:val="24"/>
          <w:lang w:val="en-GB"/>
        </w:rPr>
        <w:t>innovation on a global scale.</w:t>
      </w:r>
    </w:p>
    <w:p w14:paraId="7E195512" w14:textId="7B5886CC" w:rsidR="00F07AD7" w:rsidRPr="00F07AD7" w:rsidRDefault="00F07AD7" w:rsidP="00F07AD7">
      <w:pPr>
        <w:autoSpaceDE w:val="0"/>
        <w:autoSpaceDN w:val="0"/>
        <w:adjustRightInd w:val="0"/>
        <w:rPr>
          <w:rFonts w:ascii="Times New Roman" w:hAnsi="Times New Roman" w:cs="Times New Roman"/>
          <w:b/>
          <w:sz w:val="24"/>
          <w:szCs w:val="24"/>
        </w:rPr>
      </w:pPr>
      <w:r w:rsidRPr="00F07AD7">
        <w:rPr>
          <w:rFonts w:ascii="Times New Roman" w:hAnsi="Times New Roman" w:cs="Times New Roman"/>
          <w:b/>
          <w:sz w:val="24"/>
          <w:szCs w:val="24"/>
        </w:rPr>
        <w:t>Acknowledgment:</w:t>
      </w:r>
    </w:p>
    <w:p w14:paraId="51F0C175" w14:textId="70E8AB9B" w:rsidR="00F07AD7" w:rsidRPr="00F07AD7" w:rsidRDefault="00F07AD7" w:rsidP="00F07AD7">
      <w:pPr>
        <w:autoSpaceDE w:val="0"/>
        <w:autoSpaceDN w:val="0"/>
        <w:adjustRightInd w:val="0"/>
        <w:ind w:firstLine="720"/>
        <w:jc w:val="both"/>
        <w:rPr>
          <w:rFonts w:ascii="Times New Roman" w:hAnsi="Times New Roman" w:cs="Times New Roman"/>
          <w:sz w:val="24"/>
          <w:szCs w:val="24"/>
        </w:rPr>
      </w:pPr>
      <w:r w:rsidRPr="00F07AD7">
        <w:rPr>
          <w:rFonts w:ascii="Times New Roman" w:hAnsi="Times New Roman" w:cs="Times New Roman"/>
          <w:color w:val="FF0000"/>
          <w:sz w:val="24"/>
          <w:szCs w:val="24"/>
        </w:rPr>
        <w:tab/>
      </w:r>
      <w:r w:rsidRPr="00F07AD7">
        <w:rPr>
          <w:rFonts w:ascii="Times New Roman" w:hAnsi="Times New Roman" w:cs="Times New Roman"/>
          <w:sz w:val="24"/>
          <w:szCs w:val="24"/>
        </w:rPr>
        <w:t xml:space="preserve">The authors convey the heart full gratitude to the Nanotechnology research centre in SRM University. The authors would like to express their sincere thanks to the                       </w:t>
      </w:r>
      <w:r w:rsidRPr="00F07AD7">
        <w:rPr>
          <w:rFonts w:ascii="Times New Roman" w:hAnsi="Times New Roman" w:cs="Times New Roman"/>
          <w:b/>
          <w:sz w:val="24"/>
          <w:szCs w:val="24"/>
        </w:rPr>
        <w:t>Dr. K. KUMARAVEL</w:t>
      </w:r>
      <w:r w:rsidRPr="00F07AD7">
        <w:rPr>
          <w:rFonts w:ascii="Times New Roman" w:hAnsi="Times New Roman" w:cs="Times New Roman"/>
          <w:sz w:val="24"/>
          <w:szCs w:val="24"/>
        </w:rPr>
        <w:t xml:space="preserve"> for the support. Authors also thank to the work has been permitted for instrumentation facility in Broad band dielectric/Impedance spectrometer (Novo control technology) and VSM, Pondicherry University (CIF).</w:t>
      </w:r>
    </w:p>
    <w:p w14:paraId="084E1761" w14:textId="2993E9F0" w:rsidR="005012C0" w:rsidRDefault="005012C0" w:rsidP="005012C0">
      <w:pPr>
        <w:spacing w:line="360" w:lineRule="auto"/>
        <w:jc w:val="both"/>
        <w:rPr>
          <w:rFonts w:ascii="Times New Roman" w:hAnsi="Times New Roman" w:cs="Times New Roman"/>
          <w:b/>
          <w:bCs/>
          <w:sz w:val="24"/>
          <w:szCs w:val="24"/>
          <w:lang w:val="en-GB"/>
        </w:rPr>
      </w:pPr>
      <w:r w:rsidRPr="005012C0">
        <w:rPr>
          <w:rFonts w:ascii="Times New Roman" w:hAnsi="Times New Roman" w:cs="Times New Roman"/>
          <w:b/>
          <w:bCs/>
          <w:sz w:val="24"/>
          <w:szCs w:val="24"/>
          <w:lang w:val="en-GB"/>
        </w:rPr>
        <w:t>Reference</w:t>
      </w:r>
    </w:p>
    <w:p w14:paraId="28F510E8" w14:textId="59203056" w:rsidR="005012C0" w:rsidRDefault="00D328DE" w:rsidP="002B7630">
      <w:pPr>
        <w:pStyle w:val="NormalWeb"/>
        <w:spacing w:before="0" w:beforeAutospacing="0" w:after="0" w:afterAutospacing="0" w:line="360" w:lineRule="auto"/>
        <w:jc w:val="both"/>
        <w:rPr>
          <w:rFonts w:eastAsiaTheme="minorHAnsi"/>
          <w:kern w:val="2"/>
          <w:lang w:eastAsia="en-US"/>
          <w14:ligatures w14:val="standardContextual"/>
        </w:rPr>
      </w:pPr>
      <w:r>
        <w:rPr>
          <w:rFonts w:eastAsiaTheme="minorHAnsi"/>
          <w:kern w:val="2"/>
          <w:lang w:eastAsia="en-US"/>
          <w14:ligatures w14:val="standardContextual"/>
        </w:rPr>
        <w:t>1</w:t>
      </w:r>
      <w:r w:rsidR="005012C0" w:rsidRPr="005012C0">
        <w:rPr>
          <w:rFonts w:eastAsiaTheme="minorHAnsi"/>
          <w:kern w:val="2"/>
          <w:lang w:eastAsia="en-US"/>
          <w14:ligatures w14:val="standardContextual"/>
        </w:rPr>
        <w:t xml:space="preserve">. Borden, K. The challenges of processing and transporting heavy crude. Oil Gas Facil. 2015, 2, 22–26. </w:t>
      </w:r>
    </w:p>
    <w:p w14:paraId="0EBB7317" w14:textId="4F12E9A0"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2. Muñoz, J.A.D.; Ancheyta, J.; Castañeda, L.C. Required viscosity values to assure proper transportation of crude oil by pipeline. Energy Fuels 2016, 30, 8850–8854. </w:t>
      </w:r>
    </w:p>
    <w:p w14:paraId="15C22E64" w14:textId="620A016F"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 3. Zhang, N.; Zhao, S.; Sun, X.; Xu, Z.; Xu, C. Storage stability of the visbreaking product from Venezuela heavy oil. Energy Fuels 2010, 24, 3970–3976.  </w:t>
      </w:r>
    </w:p>
    <w:p w14:paraId="57B9924D" w14:textId="77777777"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4. Wang, Q.; Wang, Z.; Zhuang, S.; Li, F.; Guo, L.; Guo, A. Thermal upgrading of inferior residue without or with hydrogen donor. Acta Petrol. Sin. (Pet. Process. Sect.) 2014, 30, 439–445. </w:t>
      </w:r>
    </w:p>
    <w:p w14:paraId="65B282A2" w14:textId="0CDD7B63"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5. Joshi, J.B.; Pandit, A.B.; Kataria, K.L.; Kulkarni, R.P.; Sawarkar, A.N.; Tandon, D.; Ram, Y.; Kumar, M.M. Petroleum residue upgradation via visbreaking: A review. Ind. Eng. Chem. Res. 2008, 47, 8960–8988. </w:t>
      </w:r>
    </w:p>
    <w:p w14:paraId="1C40E192" w14:textId="5C0D503A"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lastRenderedPageBreak/>
        <w:t xml:space="preserve">6. Gray, M.R.G.; Mccaffrey, W.C. Role of chain reactions and olefin formation in cracking, hydroconversion, and coking of petroleum and bitumen fractions. Energy Fuels 2002, 16, 756–766.  </w:t>
      </w:r>
    </w:p>
    <w:p w14:paraId="0CBEA63E" w14:textId="77777777"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7. Fischer, F.; Schrader, H. The production of oils by hydrogenation of coal. I. The hydrogenation of coal and other solid fuels by means of sodium formate. Brennst. Chem. 1921, 2, 161–173.</w:t>
      </w:r>
    </w:p>
    <w:p w14:paraId="5010F22A" w14:textId="66BDF98B"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 8. Ng, F.T.T.; Tsakiri, S.K. Activation of water in emulsion for catalytic desulphurization of benzothiophene. Fuel 1992, 71, 1309–1314. </w:t>
      </w:r>
    </w:p>
    <w:p w14:paraId="3587C2B5" w14:textId="77777777"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9. Ng, F.T.T. Upgrading heavy oil/bitumen emulsions via in situ hydrogen generation. Prepr. Symp. Am. Chem. Soc. Div. Fuel Chem. 1998, 43, 456–460. </w:t>
      </w:r>
    </w:p>
    <w:p w14:paraId="6805D92A" w14:textId="77777777"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10. Ng, F.T.T.; Moll, J. Hydrogen production from bitumen emulsion for desulfurization and upgrading. Prepr. Symp. Am. Chem. Soc. Div. Fuel Chem. 2012, 57, 853. </w:t>
      </w:r>
    </w:p>
    <w:p w14:paraId="2F9F881D" w14:textId="77777777" w:rsidR="005012C0" w:rsidRDefault="005012C0" w:rsidP="002B7630">
      <w:pPr>
        <w:pStyle w:val="NormalWeb"/>
        <w:spacing w:before="0" w:beforeAutospacing="0" w:after="0" w:afterAutospacing="0" w:line="360" w:lineRule="auto"/>
        <w:jc w:val="both"/>
        <w:rPr>
          <w:rFonts w:eastAsiaTheme="minorHAnsi"/>
          <w:kern w:val="2"/>
          <w:lang w:eastAsia="en-US"/>
          <w14:ligatures w14:val="standardContextual"/>
        </w:rPr>
      </w:pPr>
      <w:r w:rsidRPr="005012C0">
        <w:rPr>
          <w:rFonts w:eastAsiaTheme="minorHAnsi"/>
          <w:kern w:val="2"/>
          <w:lang w:eastAsia="en-US"/>
          <w14:ligatures w14:val="standardContextual"/>
        </w:rPr>
        <w:t xml:space="preserve">11. Jia, L. Oil Sands bitumen emulsion upgrading by using in situ hydrogen generated through the water gas shift reaction. Ph.D. Thesis, University of Waterloo, Waterloo, ON, Canada, December 2014. </w:t>
      </w:r>
    </w:p>
    <w:p w14:paraId="1B6FD143" w14:textId="45DBE5AB" w:rsidR="008C4156" w:rsidRPr="00294938" w:rsidRDefault="005012C0" w:rsidP="002B7630">
      <w:pPr>
        <w:pStyle w:val="NormalWeb"/>
        <w:spacing w:before="0" w:beforeAutospacing="0" w:after="0" w:afterAutospacing="0" w:line="360" w:lineRule="auto"/>
        <w:jc w:val="both"/>
        <w:rPr>
          <w:color w:val="1F1F1F"/>
        </w:rPr>
      </w:pPr>
      <w:r w:rsidRPr="005012C0">
        <w:rPr>
          <w:rFonts w:eastAsiaTheme="minorHAnsi"/>
          <w:kern w:val="2"/>
          <w:lang w:eastAsia="en-US"/>
          <w14:ligatures w14:val="standardContextual"/>
        </w:rPr>
        <w:t>12. Liu, H.; Wang, Z.; Zhao, X.; Li, Y.; Chen, K.; Guo, A. Partial upgrading of vacuum residue from Canadian oil sand bitumen under CO/H</w:t>
      </w:r>
      <w:r w:rsidRPr="005012C0">
        <w:rPr>
          <w:rFonts w:eastAsiaTheme="minorHAnsi"/>
          <w:kern w:val="2"/>
          <w:vertAlign w:val="subscript"/>
          <w:lang w:eastAsia="en-US"/>
          <w14:ligatures w14:val="standardContextual"/>
        </w:rPr>
        <w:t>2</w:t>
      </w:r>
      <w:r w:rsidRPr="005012C0">
        <w:rPr>
          <w:rFonts w:eastAsiaTheme="minorHAnsi"/>
          <w:kern w:val="2"/>
          <w:lang w:eastAsia="en-US"/>
          <w14:ligatures w14:val="standardContextual"/>
        </w:rPr>
        <w:t xml:space="preserve"> -H</w:t>
      </w:r>
      <w:r w:rsidRPr="005012C0">
        <w:rPr>
          <w:rFonts w:eastAsiaTheme="minorHAnsi"/>
          <w:kern w:val="2"/>
          <w:vertAlign w:val="subscript"/>
          <w:lang w:eastAsia="en-US"/>
          <w14:ligatures w14:val="standardContextual"/>
        </w:rPr>
        <w:t>2</w:t>
      </w:r>
      <w:r w:rsidRPr="005012C0">
        <w:rPr>
          <w:rFonts w:eastAsiaTheme="minorHAnsi"/>
          <w:kern w:val="2"/>
          <w:lang w:eastAsia="en-US"/>
          <w14:ligatures w14:val="standardContextual"/>
        </w:rPr>
        <w:t>O. J. Fuel Chem. Technol. 2018, 46, 45–53. 13. Ng, F.T.T.; Milad, I.K. Catalytic desulphurization of benzothiophene in an emulsion via in situ generated H</w:t>
      </w:r>
      <w:r w:rsidRPr="005012C0">
        <w:rPr>
          <w:rFonts w:eastAsiaTheme="minorHAnsi"/>
          <w:kern w:val="2"/>
          <w:vertAlign w:val="subscript"/>
          <w:lang w:eastAsia="en-US"/>
          <w14:ligatures w14:val="standardContextual"/>
        </w:rPr>
        <w:t>2</w:t>
      </w:r>
      <w:r w:rsidRPr="005012C0">
        <w:rPr>
          <w:rFonts w:eastAsiaTheme="minorHAnsi"/>
          <w:kern w:val="2"/>
          <w:lang w:eastAsia="en-US"/>
          <w14:ligatures w14:val="standardContextual"/>
        </w:rPr>
        <w:t xml:space="preserve">. Appl. Catal. A 2000, 200, 243–254. </w:t>
      </w:r>
    </w:p>
    <w:sectPr w:rsidR="008C4156" w:rsidRPr="00294938" w:rsidSect="00435415">
      <w:pgSz w:w="11906" w:h="16838"/>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15"/>
    <w:rsid w:val="000744D2"/>
    <w:rsid w:val="001015A8"/>
    <w:rsid w:val="001862A3"/>
    <w:rsid w:val="001B6A2E"/>
    <w:rsid w:val="001F251D"/>
    <w:rsid w:val="001F4898"/>
    <w:rsid w:val="00294938"/>
    <w:rsid w:val="002A764E"/>
    <w:rsid w:val="002B7630"/>
    <w:rsid w:val="002F6234"/>
    <w:rsid w:val="00386872"/>
    <w:rsid w:val="003F25EE"/>
    <w:rsid w:val="004038C1"/>
    <w:rsid w:val="004126F5"/>
    <w:rsid w:val="00435415"/>
    <w:rsid w:val="00445CDB"/>
    <w:rsid w:val="004C563D"/>
    <w:rsid w:val="004F4A89"/>
    <w:rsid w:val="005012C0"/>
    <w:rsid w:val="00610A5F"/>
    <w:rsid w:val="0064684E"/>
    <w:rsid w:val="0066518A"/>
    <w:rsid w:val="0073613C"/>
    <w:rsid w:val="00857986"/>
    <w:rsid w:val="008B0695"/>
    <w:rsid w:val="008C4156"/>
    <w:rsid w:val="00946E15"/>
    <w:rsid w:val="00955DEB"/>
    <w:rsid w:val="00971B05"/>
    <w:rsid w:val="009957F3"/>
    <w:rsid w:val="00A801A8"/>
    <w:rsid w:val="00AD325E"/>
    <w:rsid w:val="00B90829"/>
    <w:rsid w:val="00CB0C3D"/>
    <w:rsid w:val="00CD623E"/>
    <w:rsid w:val="00CF01D7"/>
    <w:rsid w:val="00D328DE"/>
    <w:rsid w:val="00E146D4"/>
    <w:rsid w:val="00E34634"/>
    <w:rsid w:val="00ED03F2"/>
    <w:rsid w:val="00F07AD7"/>
    <w:rsid w:val="00F26630"/>
    <w:rsid w:val="00F35ACB"/>
    <w:rsid w:val="00FE58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C34E"/>
  <w15:chartTrackingRefBased/>
  <w15:docId w15:val="{5DA64AE5-A4C9-430A-869C-BE5FAA6B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B76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B763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B76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topic-highlight">
    <w:name w:val="topic-highlight"/>
    <w:basedOn w:val="DefaultParagraphFont"/>
    <w:rsid w:val="002B7630"/>
  </w:style>
  <w:style w:type="character" w:styleId="Hyperlink">
    <w:name w:val="Hyperlink"/>
    <w:basedOn w:val="DefaultParagraphFont"/>
    <w:uiPriority w:val="99"/>
    <w:unhideWhenUsed/>
    <w:rsid w:val="00CF01D7"/>
    <w:rPr>
      <w:color w:val="0563C1" w:themeColor="hyperlink"/>
      <w:u w:val="single"/>
    </w:rPr>
  </w:style>
  <w:style w:type="character" w:styleId="UnresolvedMention">
    <w:name w:val="Unresolved Mention"/>
    <w:basedOn w:val="DefaultParagraphFont"/>
    <w:uiPriority w:val="99"/>
    <w:semiHidden/>
    <w:unhideWhenUsed/>
    <w:rsid w:val="00CF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fchea.org/hydrogen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Samuvel K</dc:creator>
  <cp:keywords/>
  <dc:description/>
  <cp:lastModifiedBy>Samuvel K</cp:lastModifiedBy>
  <cp:revision>52</cp:revision>
  <dcterms:created xsi:type="dcterms:W3CDTF">2024-10-12T05:17:00Z</dcterms:created>
  <dcterms:modified xsi:type="dcterms:W3CDTF">2026-04-07T23:17:00Z</dcterms:modified>
</cp:coreProperties>
</file>