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DA0FC0F" w14:textId="081F9814" w:rsidR="00A36FB0" w:rsidRPr="00A36FB0" w:rsidRDefault="00A36FB0" w:rsidP="00A36FB0">
      <w:pPr>
        <w:pStyle w:val="AuthorLastName"/>
        <w:jc w:val="center"/>
        <w:rPr>
          <w:b/>
          <w:sz w:val="36"/>
          <w:szCs w:val="36"/>
        </w:rPr>
      </w:pPr>
      <w:r w:rsidRPr="00A36FB0">
        <w:rPr>
          <w:b/>
          <w:sz w:val="36"/>
          <w:szCs w:val="36"/>
        </w:rPr>
        <w:t xml:space="preserve">Site-specific Surface PGA Assessment </w:t>
      </w:r>
      <w:r w:rsidR="00035A99">
        <w:rPr>
          <w:b/>
          <w:sz w:val="36"/>
          <w:szCs w:val="36"/>
        </w:rPr>
        <w:t>via Site Response Analysis</w:t>
      </w:r>
      <w:r w:rsidRPr="00A36FB0">
        <w:rPr>
          <w:b/>
          <w:sz w:val="36"/>
          <w:szCs w:val="36"/>
        </w:rPr>
        <w:t xml:space="preserve"> for the SOGIP Area</w:t>
      </w:r>
      <w:r w:rsidR="00035A99">
        <w:rPr>
          <w:b/>
          <w:sz w:val="36"/>
          <w:szCs w:val="36"/>
        </w:rPr>
        <w:t>,</w:t>
      </w:r>
      <w:r w:rsidRPr="00A36FB0">
        <w:rPr>
          <w:b/>
          <w:sz w:val="36"/>
          <w:szCs w:val="36"/>
        </w:rPr>
        <w:t xml:space="preserve"> Sipitang, Sabah</w:t>
      </w:r>
    </w:p>
    <w:p w14:paraId="040DC099" w14:textId="77777777" w:rsidR="00A36FB0" w:rsidRDefault="00A36FB0" w:rsidP="00A36FB0">
      <w:pPr>
        <w:pStyle w:val="AuthorLastName"/>
        <w:jc w:val="both"/>
        <w:rPr>
          <w:rStyle w:val="AuthorFirstnameCar"/>
        </w:rPr>
      </w:pPr>
    </w:p>
    <w:p w14:paraId="37B97F17" w14:textId="667D8A21" w:rsidR="00524C4B" w:rsidRPr="00A36FB0" w:rsidRDefault="0024505F" w:rsidP="00A36FB0">
      <w:pPr>
        <w:pStyle w:val="AuthorLastName"/>
        <w:jc w:val="center"/>
        <w:rPr>
          <w:b/>
          <w:bCs w:val="0"/>
          <w:i/>
          <w:iCs/>
          <w:sz w:val="24"/>
          <w:szCs w:val="24"/>
        </w:rPr>
      </w:pPr>
      <w:r w:rsidRPr="00A36FB0">
        <w:rPr>
          <w:rStyle w:val="AuthorFirstnameCar"/>
          <w:b/>
          <w:bCs w:val="0"/>
          <w:i w:val="0"/>
          <w:iCs w:val="0"/>
          <w:sz w:val="24"/>
          <w:szCs w:val="24"/>
        </w:rPr>
        <w:t/>
      </w:r>
      <w:r w:rsidR="00BA41B0" w:rsidRPr="00A36FB0">
        <w:rPr>
          <w:rStyle w:val="AuthorFirstnameCar"/>
          <w:b/>
          <w:bCs w:val="0"/>
          <w:i w:val="0"/>
          <w:iCs w:val="0"/>
          <w:sz w:val="24"/>
          <w:szCs w:val="24"/>
        </w:rPr>
        <w:t xml:space="preserve"/>
      </w:r>
      <w:r w:rsidR="00AD5143" w:rsidRPr="00A36FB0">
        <w:rPr>
          <w:b/>
          <w:bCs w:val="0"/>
          <w:i/>
          <w:iCs/>
          <w:sz w:val="24"/>
          <w:szCs w:val="24"/>
          <w:vertAlign w:val="superscript"/>
        </w:rPr>
        <w:t xml:space="preserve"/>
      </w:r>
      <w:r w:rsidR="00F05EBE" w:rsidRPr="00B4467C">
        <w:rPr>
          <w:b/>
          <w:bCs w:val="0"/>
          <w:sz w:val="24"/>
          <w:szCs w:val="24"/>
          <w:vertAlign w:val="superscript"/>
        </w:rPr>
        <w:t/>
      </w:r>
      <w:r w:rsidR="00B4467C" w:rsidRPr="00B4467C">
        <w:rPr>
          <w:b/>
          <w:bCs w:val="0"/>
          <w:sz w:val="24"/>
          <w:szCs w:val="24"/>
          <w:vertAlign w:val="superscript"/>
        </w:rPr>
        <w:t/>
      </w:r>
      <w:r w:rsidR="00F05EBE" w:rsidRPr="00A36FB0">
        <w:rPr>
          <w:rStyle w:val="Appelnotedebasdepage"/>
          <w:b/>
          <w:bCs w:val="0"/>
          <w:i w:val="0"/>
          <w:iCs w:val="0"/>
          <w:sz w:val="24"/>
          <w:szCs w:val="24"/>
        </w:rPr>
        <w:t/>
      </w:r>
      <w:r w:rsidR="000253B4">
        <w:rPr>
          <w:rStyle w:val="Appelnotedebasdepage"/>
          <w:b/>
          <w:bCs w:val="0"/>
          <w:i w:val="0"/>
          <w:iCs w:val="0"/>
          <w:sz w:val="24"/>
          <w:szCs w:val="24"/>
        </w:rPr>
        <w:t xml:space="preserve"/>
      </w:r>
      <w:r w:rsidR="000253B4" w:rsidRPr="00A36FB0">
        <w:rPr>
          <w:rStyle w:val="Appelnotedebasdepage"/>
          <w:b/>
          <w:bCs w:val="0"/>
          <w:i w:val="0"/>
          <w:iCs w:val="0"/>
          <w:sz w:val="24"/>
          <w:szCs w:val="24"/>
        </w:rPr>
        <w:t/>
      </w:r>
      <w:r w:rsidR="000253B4">
        <w:rPr>
          <w:rStyle w:val="Appelnotedebasdepage"/>
          <w:b/>
          <w:bCs w:val="0"/>
          <w:i w:val="0"/>
          <w:iCs w:val="0"/>
          <w:sz w:val="24"/>
          <w:szCs w:val="24"/>
        </w:rPr>
        <w:t xml:space="preserve"/>
      </w:r>
      <w:r w:rsidR="000253B4" w:rsidRPr="00A36FB0">
        <w:rPr>
          <w:rStyle w:val="Appelnotedebasdepage"/>
          <w:b/>
          <w:bCs w:val="0"/>
          <w:i w:val="0"/>
          <w:iCs w:val="0"/>
          <w:sz w:val="24"/>
          <w:szCs w:val="24"/>
          <w:vertAlign w:val="superscript"/>
        </w:rPr>
        <w:t/>
      </w:r>
      <w:r w:rsidR="000253B4">
        <w:rPr>
          <w:rStyle w:val="Appelnotedebasdepage"/>
          <w:b/>
          <w:bCs w:val="0"/>
          <w:i w:val="0"/>
          <w:iCs w:val="0"/>
          <w:sz w:val="24"/>
          <w:szCs w:val="24"/>
        </w:rPr>
        <w:t/>
      </w:r>
      <w:r w:rsidR="005A7ABB" w:rsidRPr="00A36FB0">
        <w:rPr>
          <w:rStyle w:val="Appelnotedebasdepage"/>
          <w:b/>
          <w:bCs w:val="0"/>
          <w:i w:val="0"/>
          <w:iCs w:val="0"/>
          <w:sz w:val="24"/>
          <w:szCs w:val="24"/>
        </w:rPr>
        <w:t xml:space="preserve"/>
      </w:r>
      <w:r w:rsidR="00BA41B0" w:rsidRPr="00A36FB0">
        <w:rPr>
          <w:rStyle w:val="Appelnotedebasdepage"/>
          <w:b/>
          <w:bCs w:val="0"/>
          <w:i w:val="0"/>
          <w:iCs w:val="0"/>
          <w:sz w:val="24"/>
          <w:szCs w:val="24"/>
        </w:rPr>
        <w:t/>
      </w:r>
      <w:r w:rsidR="00BA41B0" w:rsidRPr="00A36FB0">
        <w:rPr>
          <w:rStyle w:val="Appelnotedebasdepage"/>
          <w:b/>
          <w:bCs w:val="0"/>
          <w:i w:val="0"/>
          <w:iCs w:val="0"/>
          <w:sz w:val="24"/>
          <w:szCs w:val="24"/>
          <w:vertAlign w:val="superscript"/>
        </w:rPr>
        <w:t/>
      </w:r>
      <w:r w:rsidR="00B307FF">
        <w:rPr>
          <w:rStyle w:val="Appelnotedebasdepage"/>
          <w:b/>
          <w:bCs w:val="0"/>
          <w:i w:val="0"/>
          <w:iCs w:val="0"/>
          <w:sz w:val="24"/>
          <w:szCs w:val="24"/>
        </w:rPr>
        <w:t xml:space="preserve"/>
      </w:r>
      <w:r w:rsidR="00BA41B0" w:rsidRPr="00A36FB0">
        <w:rPr>
          <w:rStyle w:val="Appelnotedebasdepage"/>
          <w:b/>
          <w:bCs w:val="0"/>
          <w:i w:val="0"/>
          <w:iCs w:val="0"/>
          <w:sz w:val="24"/>
          <w:szCs w:val="24"/>
        </w:rPr>
        <w:t/>
      </w:r>
      <w:r w:rsidR="00BA41B0" w:rsidRPr="00A36FB0">
        <w:rPr>
          <w:rStyle w:val="Appelnotedebasdepage"/>
          <w:b/>
          <w:bCs w:val="0"/>
          <w:i w:val="0"/>
          <w:iCs w:val="0"/>
          <w:sz w:val="24"/>
          <w:szCs w:val="24"/>
          <w:vertAlign w:val="superscript"/>
        </w:rPr>
        <w:t/>
      </w:r>
    </w:p>
    <w:p w14:paraId="25404C8C" w14:textId="2A97281E" w:rsidR="00BA41B0" w:rsidRPr="00A36FB0" w:rsidRDefault="00BA41B0" w:rsidP="00A36FB0">
      <w:pPr>
        <w:pStyle w:val="Affiliation"/>
        <w:jc w:val="center"/>
        <w:rPr>
          <w:b/>
          <w:bCs w:val="0"/>
          <w:sz w:val="24"/>
          <w:szCs w:val="24"/>
        </w:rPr>
      </w:pPr>
      <w:r w:rsidRPr="00A36FB0">
        <w:rPr>
          <w:b/>
          <w:bCs w:val="0"/>
          <w:sz w:val="24"/>
          <w:szCs w:val="24"/>
          <w:vertAlign w:val="superscript"/>
          <w:lang w:val="it-IT"/>
        </w:rPr>
        <w:t/>
      </w:r>
      <w:r w:rsidRPr="00A36FB0">
        <w:rPr>
          <w:b/>
          <w:bCs w:val="0"/>
          <w:sz w:val="24"/>
          <w:szCs w:val="24"/>
          <w:lang w:val="it-IT"/>
        </w:rPr>
        <w:t/>
      </w:r>
      <w:r w:rsidR="007708F2" w:rsidRPr="00A36FB0">
        <w:rPr>
          <w:b/>
          <w:bCs w:val="0"/>
          <w:sz w:val="24"/>
          <w:szCs w:val="24"/>
          <w:lang w:val="it-IT"/>
        </w:rPr>
        <w:t xml:space="preserve"/>
      </w:r>
      <w:r w:rsidR="007708F2" w:rsidRPr="00A36FB0">
        <w:rPr>
          <w:b/>
          <w:bCs w:val="0"/>
          <w:sz w:val="24"/>
          <w:szCs w:val="24"/>
        </w:rPr>
        <w:t/>
      </w:r>
    </w:p>
    <w:p w14:paraId="2EC5549A" w14:textId="77559DE4" w:rsidR="00BA41B0" w:rsidRPr="00A36FB0" w:rsidRDefault="00BA41B0" w:rsidP="00A36FB0">
      <w:pPr>
        <w:pStyle w:val="Affiliation"/>
        <w:jc w:val="center"/>
        <w:rPr>
          <w:b/>
          <w:bCs w:val="0"/>
          <w:color w:val="EE0000"/>
          <w:sz w:val="24"/>
          <w:szCs w:val="24"/>
        </w:rPr>
      </w:pPr>
      <w:r w:rsidRPr="00A36FB0">
        <w:rPr>
          <w:b/>
          <w:bCs w:val="0"/>
          <w:color w:val="000000" w:themeColor="text1"/>
          <w:sz w:val="24"/>
          <w:szCs w:val="24"/>
          <w:vertAlign w:val="superscript"/>
        </w:rPr>
        <w:t/>
      </w:r>
      <w:r w:rsidRPr="00A36FB0">
        <w:rPr>
          <w:b/>
          <w:bCs w:val="0"/>
          <w:color w:val="000000" w:themeColor="text1"/>
          <w:sz w:val="24"/>
          <w:szCs w:val="24"/>
        </w:rPr>
        <w:t/>
      </w:r>
      <w:r w:rsidR="007708F2" w:rsidRPr="00A36FB0">
        <w:rPr>
          <w:b/>
          <w:bCs w:val="0"/>
          <w:color w:val="000000" w:themeColor="text1"/>
          <w:sz w:val="24"/>
          <w:szCs w:val="24"/>
        </w:rPr>
        <w:t/>
      </w:r>
      <w:r w:rsidRPr="00A36FB0">
        <w:rPr>
          <w:b/>
          <w:bCs w:val="0"/>
          <w:color w:val="000000" w:themeColor="text1"/>
          <w:sz w:val="24"/>
          <w:szCs w:val="24"/>
        </w:rPr>
        <w:t xml:space="preserve"/>
      </w:r>
      <w:r w:rsidR="007708F2" w:rsidRPr="00A36FB0">
        <w:rPr>
          <w:b/>
          <w:bCs w:val="0"/>
          <w:color w:val="000000" w:themeColor="text1"/>
          <w:sz w:val="24"/>
          <w:szCs w:val="24"/>
        </w:rPr>
        <w:t/>
      </w:r>
    </w:p>
    <w:p w14:paraId="7F8AE828" w14:textId="77777777" w:rsidR="00A36FB0" w:rsidRDefault="00BA41B0" w:rsidP="00A36FB0">
      <w:pPr>
        <w:pStyle w:val="Affiliation"/>
        <w:jc w:val="center"/>
        <w:rPr>
          <w:b/>
          <w:bCs w:val="0"/>
          <w:sz w:val="24"/>
          <w:szCs w:val="24"/>
        </w:rPr>
      </w:pPr>
      <w:r w:rsidRPr="00A36FB0">
        <w:rPr>
          <w:b/>
          <w:bCs w:val="0"/>
          <w:sz w:val="24"/>
          <w:szCs w:val="24"/>
          <w:vertAlign w:val="superscript"/>
        </w:rPr>
        <w:t/>
      </w:r>
      <w:r w:rsidR="00ED01D9" w:rsidRPr="00A36FB0">
        <w:rPr>
          <w:b/>
          <w:bCs w:val="0"/>
          <w:sz w:val="24"/>
          <w:szCs w:val="24"/>
        </w:rPr>
        <w:t/>
      </w:r>
      <w:r w:rsidRPr="00A36FB0">
        <w:rPr>
          <w:b/>
          <w:bCs w:val="0"/>
          <w:sz w:val="24"/>
          <w:szCs w:val="24"/>
        </w:rPr>
        <w:t/>
      </w:r>
      <w:r w:rsidR="00F5531D" w:rsidRPr="00A36FB0">
        <w:rPr>
          <w:b/>
          <w:bCs w:val="0"/>
          <w:sz w:val="24"/>
          <w:szCs w:val="24"/>
        </w:rPr>
        <w:t/>
      </w:r>
      <w:r w:rsidRPr="00A36FB0">
        <w:rPr>
          <w:b/>
          <w:bCs w:val="0"/>
          <w:sz w:val="24"/>
          <w:szCs w:val="24"/>
        </w:rPr>
        <w:t xml:space="preserve"/>
      </w:r>
      <w:r w:rsidR="007708F2" w:rsidRPr="00A36FB0">
        <w:rPr>
          <w:b/>
          <w:bCs w:val="0"/>
          <w:sz w:val="24"/>
          <w:szCs w:val="24"/>
        </w:rPr>
        <w:t/>
      </w:r>
      <w:r w:rsidR="00A36FB0">
        <w:rPr>
          <w:b/>
          <w:bCs w:val="0"/>
          <w:sz w:val="24"/>
          <w:szCs w:val="24"/>
        </w:rPr>
        <w:t xml:space="preserve"/>
      </w:r>
    </w:p>
    <w:p w14:paraId="0CC5047E" w14:textId="77777777" w:rsidR="00A36FB0" w:rsidRDefault="00A36FB0" w:rsidP="00A36FB0">
      <w:pPr>
        <w:pStyle w:val="Affiliation"/>
        <w:jc w:val="center"/>
        <w:rPr>
          <w:b/>
          <w:bCs w:val="0"/>
          <w:sz w:val="24"/>
          <w:szCs w:val="24"/>
        </w:rPr>
      </w:pPr>
    </w:p>
    <w:p w14:paraId="3E9614CE" w14:textId="6D816FEC" w:rsidR="00A36FB0" w:rsidRPr="00A36FB0" w:rsidRDefault="00A36FB0" w:rsidP="00A36FB0">
      <w:pPr>
        <w:pStyle w:val="Affiliation"/>
        <w:jc w:val="both"/>
        <w:rPr>
          <w:b/>
          <w:sz w:val="28"/>
          <w:szCs w:val="28"/>
          <w:lang w:val="en-US"/>
        </w:rPr>
      </w:pPr>
      <w:r w:rsidRPr="00A36FB0">
        <w:rPr>
          <w:rStyle w:val="AbstractAbstractword"/>
          <w:rFonts w:ascii="Times New Roman" w:hAnsi="Times New Roman" w:cs="Times New Roman"/>
          <w:sz w:val="28"/>
          <w:szCs w:val="28"/>
          <w:lang w:val="en-US"/>
        </w:rPr>
        <w:t>ABSTRACT</w:t>
      </w:r>
    </w:p>
    <w:p w14:paraId="72368A5C" w14:textId="11111818" w:rsidR="00815A15" w:rsidRDefault="00815A15" w:rsidP="00A36FB0">
      <w:pPr>
        <w:pStyle w:val="Section"/>
        <w:numPr>
          <w:ilvl w:val="0"/>
          <w:numId w:val="0"/>
        </w:numPr>
        <w:rPr>
          <w:rFonts w:ascii="Times New Roman" w:hAnsi="Times New Roman" w:cs="Times New Roman"/>
          <w:b w:val="0"/>
          <w:bCs/>
          <w:iCs/>
        </w:rPr>
      </w:pPr>
      <w:r w:rsidRPr="00815A15">
        <w:rPr>
          <w:rFonts w:ascii="Times New Roman" w:hAnsi="Times New Roman" w:cs="Times New Roman"/>
          <w:b w:val="0"/>
          <w:bCs/>
          <w:iCs/>
        </w:rPr>
        <w:t xml:space="preserve">This paper presents a site-specific assessment of Surface Peak Ground Acceleration (PGA) for the Sabah Oil and Gas Industrial Park (SOGIP) located in Sipitang, Sabah, Malaysia, motivated by increasing seismic activity in the region and the limitations of regional-scale seismic hazard maps in representing local ground conditions for critical infrastructure. Regional PGA estimates commonly assume uniform subsurface conditions and may therefore underestimate or overestimate seismic demand at specific sites, </w:t>
      </w:r>
      <w:r w:rsidR="00522247">
        <w:rPr>
          <w:rFonts w:ascii="Times New Roman" w:hAnsi="Times New Roman" w:cs="Times New Roman"/>
          <w:b w:val="0"/>
          <w:bCs/>
          <w:iCs/>
        </w:rPr>
        <w:t xml:space="preserve">underscoring the need for </w:t>
      </w:r>
      <w:r w:rsidR="00B4467C">
        <w:rPr>
          <w:rFonts w:ascii="Times New Roman" w:hAnsi="Times New Roman" w:cs="Times New Roman"/>
          <w:b w:val="0"/>
          <w:bCs/>
          <w:iCs/>
        </w:rPr>
        <w:t>localised</w:t>
      </w:r>
      <w:r w:rsidR="00522247">
        <w:rPr>
          <w:rFonts w:ascii="Times New Roman" w:hAnsi="Times New Roman" w:cs="Times New Roman"/>
          <w:b w:val="0"/>
          <w:bCs/>
          <w:iCs/>
        </w:rPr>
        <w:t xml:space="preserve"> evaluation that accounts for</w:t>
      </w:r>
      <w:r w:rsidRPr="00815A15">
        <w:rPr>
          <w:rFonts w:ascii="Times New Roman" w:hAnsi="Times New Roman" w:cs="Times New Roman"/>
          <w:b w:val="0"/>
          <w:bCs/>
          <w:iCs/>
        </w:rPr>
        <w:t xml:space="preserve"> geological and geotechnical variability. The study </w:t>
      </w:r>
      <w:r w:rsidR="004D4C3B">
        <w:rPr>
          <w:rFonts w:ascii="Times New Roman" w:hAnsi="Times New Roman" w:cs="Times New Roman"/>
          <w:b w:val="0"/>
          <w:bCs/>
          <w:iCs/>
        </w:rPr>
        <w:t xml:space="preserve">uses subsurface data from 23 boreholes distributed across the project area, with borehole logs </w:t>
      </w:r>
      <w:r w:rsidRPr="00815A15">
        <w:rPr>
          <w:rFonts w:ascii="Times New Roman" w:hAnsi="Times New Roman" w:cs="Times New Roman"/>
          <w:b w:val="0"/>
          <w:bCs/>
          <w:iCs/>
        </w:rPr>
        <w:t xml:space="preserve">interpreted to establish stratigraphic profiles and engineering soil properties influencing seismic wave propagation. Site classification was carried out in accordance with MS EN 1998-1:2015 (Malaysia National Annex to Eurocode 8) to determine soil categories and associated amplification characteristics. Equivalent-linear seismic site-response analyses were subsequently performed using DEEPSOIL </w:t>
      </w:r>
      <w:r w:rsidR="00522247">
        <w:rPr>
          <w:rFonts w:ascii="Times New Roman" w:hAnsi="Times New Roman" w:cs="Times New Roman"/>
          <w:b w:val="0"/>
          <w:bCs/>
          <w:iCs/>
        </w:rPr>
        <w:t xml:space="preserve">to model ground-motion amplification from bedrock to the </w:t>
      </w:r>
      <w:r w:rsidRPr="00815A15">
        <w:rPr>
          <w:rFonts w:ascii="Times New Roman" w:hAnsi="Times New Roman" w:cs="Times New Roman"/>
          <w:b w:val="0"/>
          <w:bCs/>
          <w:iCs/>
        </w:rPr>
        <w:t>ground surface under varying seismic input motions. Prior to spatial averaging based on borehole cluster locations, the computed results indicate that surface PGA values range from 0.0137g to 0.0552g when adopting a reference bedrock PGA of 0.02g. For higher reference</w:t>
      </w:r>
      <w:r w:rsidR="004D4C3B">
        <w:rPr>
          <w:rFonts w:ascii="Times New Roman" w:hAnsi="Times New Roman" w:cs="Times New Roman"/>
          <w:b w:val="0"/>
          <w:bCs/>
          <w:iCs/>
        </w:rPr>
        <w:t xml:space="preserve">, bedrock PGA values of 0.03g, including </w:t>
      </w:r>
      <w:r w:rsidR="00B4467C">
        <w:rPr>
          <w:rFonts w:ascii="Times New Roman" w:hAnsi="Times New Roman" w:cs="Times New Roman"/>
          <w:b w:val="0"/>
          <w:bCs/>
          <w:iCs/>
        </w:rPr>
        <w:t>rationalised</w:t>
      </w:r>
      <w:r w:rsidR="004D4C3B">
        <w:rPr>
          <w:rFonts w:ascii="Times New Roman" w:hAnsi="Times New Roman" w:cs="Times New Roman"/>
          <w:b w:val="0"/>
          <w:bCs/>
          <w:iCs/>
        </w:rPr>
        <w:t xml:space="preserve"> inputs of 0.027g and 0.031g, yield surface PGA values </w:t>
      </w:r>
      <w:r w:rsidRPr="00815A15">
        <w:rPr>
          <w:rFonts w:ascii="Times New Roman" w:hAnsi="Times New Roman" w:cs="Times New Roman"/>
          <w:b w:val="0"/>
          <w:bCs/>
          <w:iCs/>
        </w:rPr>
        <w:t xml:space="preserve">between 0.0153g and 0.0821g. These calculated values exceed the existing regional seismic hazard map for Sipitang, which indicates bedrock PGA values of approximately 0.010g–0.020g for a 475-year return period, demonstrating significant local site amplification effects governed by subsurface conditions. The findings </w:t>
      </w:r>
      <w:r w:rsidR="00B4467C">
        <w:rPr>
          <w:rFonts w:ascii="Times New Roman" w:hAnsi="Times New Roman" w:cs="Times New Roman"/>
          <w:b w:val="0"/>
          <w:bCs/>
          <w:iCs/>
        </w:rPr>
        <w:t>emphasise</w:t>
      </w:r>
      <w:r w:rsidRPr="00815A15">
        <w:rPr>
          <w:rFonts w:ascii="Times New Roman" w:hAnsi="Times New Roman" w:cs="Times New Roman"/>
          <w:b w:val="0"/>
          <w:bCs/>
          <w:iCs/>
        </w:rPr>
        <w:t xml:space="preserve"> the importance of conducting site-specific seismic hazard assessments for major industrial developments to improve seismic design parameters, support disaster risk mitigation strategies, and enhance structural resilience in rapidly developing seismic-prone regions of Sabah.</w:t>
      </w:r>
    </w:p>
    <w:p w14:paraId="24F1FD3B" w14:textId="58A5F861" w:rsidR="00A36FB0" w:rsidRPr="00A36FB0" w:rsidRDefault="00A36FB0" w:rsidP="00A36FB0">
      <w:pPr>
        <w:pStyle w:val="Section"/>
        <w:numPr>
          <w:ilvl w:val="0"/>
          <w:numId w:val="0"/>
        </w:numPr>
        <w:rPr>
          <w:rFonts w:ascii="Times New Roman" w:hAnsi="Times New Roman" w:cs="Times New Roman"/>
          <w:sz w:val="28"/>
          <w:szCs w:val="28"/>
        </w:rPr>
      </w:pPr>
      <w:r w:rsidRPr="00A36FB0">
        <w:rPr>
          <w:rFonts w:ascii="Times New Roman" w:hAnsi="Times New Roman" w:cs="Times New Roman"/>
          <w:sz w:val="28"/>
          <w:szCs w:val="28"/>
        </w:rPr>
        <w:t>INTRODUCTION</w:t>
      </w:r>
    </w:p>
    <w:p w14:paraId="35EC8D05" w14:textId="2EA1CB0B" w:rsidR="00EC3714" w:rsidRDefault="00EC3714" w:rsidP="00EC3714">
      <w:pPr>
        <w:pStyle w:val="Paragraphfirst"/>
        <w:rPr>
          <w:rFonts w:ascii="Times New Roman" w:hAnsi="Times New Roman" w:cs="Times New Roman"/>
          <w:sz w:val="24"/>
          <w:szCs w:val="24"/>
          <w:lang w:val="en-MY"/>
        </w:rPr>
      </w:pPr>
      <w:r w:rsidRPr="00EC3714">
        <w:rPr>
          <w:rFonts w:ascii="Times New Roman" w:hAnsi="Times New Roman" w:cs="Times New Roman"/>
          <w:sz w:val="24"/>
          <w:szCs w:val="24"/>
          <w:lang w:val="en-MY"/>
        </w:rPr>
        <w:t xml:space="preserve">Malaysia is generally considered a region of low to moderate seismicity; however, the state of Sabah in East Malaysia is </w:t>
      </w:r>
      <w:r w:rsidR="00B4467C">
        <w:rPr>
          <w:rFonts w:ascii="Times New Roman" w:hAnsi="Times New Roman" w:cs="Times New Roman"/>
          <w:sz w:val="24"/>
          <w:szCs w:val="24"/>
          <w:lang w:val="en-MY"/>
        </w:rPr>
        <w:t>recognised</w:t>
      </w:r>
      <w:r w:rsidRPr="00EC3714">
        <w:rPr>
          <w:rFonts w:ascii="Times New Roman" w:hAnsi="Times New Roman" w:cs="Times New Roman"/>
          <w:sz w:val="24"/>
          <w:szCs w:val="24"/>
          <w:lang w:val="en-MY"/>
        </w:rPr>
        <w:t xml:space="preserve"> as the </w:t>
      </w:r>
      <w:r>
        <w:rPr>
          <w:rFonts w:ascii="Times New Roman" w:hAnsi="Times New Roman" w:cs="Times New Roman"/>
          <w:sz w:val="24"/>
          <w:szCs w:val="24"/>
          <w:lang w:val="en-MY"/>
        </w:rPr>
        <w:t>country's most seismically active region</w:t>
      </w:r>
      <w:r w:rsidRPr="00EC3714">
        <w:rPr>
          <w:rFonts w:ascii="Times New Roman" w:hAnsi="Times New Roman" w:cs="Times New Roman"/>
          <w:sz w:val="24"/>
          <w:szCs w:val="24"/>
          <w:lang w:val="en-MY"/>
        </w:rPr>
        <w:t xml:space="preserve">. The seismotectonic framework of Sabah is heavily influenced by the complex active plate boundaries of Southeast Asia, </w:t>
      </w:r>
      <w:r>
        <w:rPr>
          <w:rFonts w:ascii="Times New Roman" w:hAnsi="Times New Roman" w:cs="Times New Roman"/>
          <w:sz w:val="24"/>
          <w:szCs w:val="24"/>
          <w:lang w:val="en-MY"/>
        </w:rPr>
        <w:t>particularly the interactions among</w:t>
      </w:r>
      <w:r w:rsidRPr="00EC3714">
        <w:rPr>
          <w:rFonts w:ascii="Times New Roman" w:hAnsi="Times New Roman" w:cs="Times New Roman"/>
          <w:sz w:val="24"/>
          <w:szCs w:val="24"/>
          <w:lang w:val="en-MY"/>
        </w:rPr>
        <w:t xml:space="preserve"> the Eurasian, Philippine Sea, and Indo-Australian plates (Hutchings &amp; Mooney, 2021). Furthermore, regional seismicity is driven by nearby subduction zones, such as the Sulu and Celebes Sea trenches, as well as an intricate network of local active faults. Tongkul (2021) highlighted that active fault lines in Sabah significantly elevate the local earthquake risk, </w:t>
      </w:r>
      <w:r w:rsidR="00B4467C">
        <w:rPr>
          <w:rFonts w:ascii="Times New Roman" w:hAnsi="Times New Roman" w:cs="Times New Roman"/>
          <w:sz w:val="24"/>
          <w:szCs w:val="24"/>
          <w:lang w:val="en-MY"/>
        </w:rPr>
        <w:t>emphasising</w:t>
      </w:r>
      <w:r w:rsidRPr="00EC3714">
        <w:rPr>
          <w:rFonts w:ascii="Times New Roman" w:hAnsi="Times New Roman" w:cs="Times New Roman"/>
          <w:sz w:val="24"/>
          <w:szCs w:val="24"/>
          <w:lang w:val="en-MY"/>
        </w:rPr>
        <w:t xml:space="preserve"> that historical seismic events in the region are primarily of tectonic origin rather than mere tremors radiating from distant neighbouring countries.</w:t>
      </w:r>
    </w:p>
    <w:p w14:paraId="3C746480" w14:textId="77777777" w:rsidR="00EC3714" w:rsidRPr="00EC3714" w:rsidRDefault="00EC3714" w:rsidP="00EC3714">
      <w:pPr>
        <w:pStyle w:val="Paragraph"/>
        <w:rPr>
          <w:lang w:val="en-MY"/>
        </w:rPr>
      </w:pPr>
    </w:p>
    <w:p w14:paraId="4EEABD60" w14:textId="1FAB9F28" w:rsidR="00EC3714" w:rsidRDefault="00EC3714" w:rsidP="00EC3714">
      <w:pPr>
        <w:pStyle w:val="Paragraphfirst"/>
        <w:rPr>
          <w:rFonts w:ascii="Times New Roman" w:hAnsi="Times New Roman" w:cs="Times New Roman"/>
          <w:sz w:val="24"/>
          <w:szCs w:val="24"/>
          <w:lang w:val="en-MY"/>
        </w:rPr>
      </w:pPr>
      <w:r w:rsidRPr="00EC3714">
        <w:rPr>
          <w:rFonts w:ascii="Times New Roman" w:hAnsi="Times New Roman" w:cs="Times New Roman"/>
          <w:sz w:val="24"/>
          <w:szCs w:val="24"/>
          <w:lang w:val="en-MY"/>
        </w:rPr>
        <w:t xml:space="preserve">Historically, structural design in Malaysia largely omitted seismic provisions due to a perceived lack of significant threat. Early global and regional Probabilistic Seismic Hazard Analyses (PSHA) classified Malaysia as a low-hazard zone (Giardini et al., 2003; Petersen et al., 2007; 2008). However, subsequent </w:t>
      </w:r>
      <w:r w:rsidR="00B4467C">
        <w:rPr>
          <w:rFonts w:ascii="Times New Roman" w:hAnsi="Times New Roman" w:cs="Times New Roman"/>
          <w:sz w:val="24"/>
          <w:szCs w:val="24"/>
          <w:lang w:val="en-MY"/>
        </w:rPr>
        <w:t>localised</w:t>
      </w:r>
      <w:r w:rsidRPr="00EC3714">
        <w:rPr>
          <w:rFonts w:ascii="Times New Roman" w:hAnsi="Times New Roman" w:cs="Times New Roman"/>
          <w:sz w:val="24"/>
          <w:szCs w:val="24"/>
          <w:lang w:val="en-MY"/>
        </w:rPr>
        <w:t xml:space="preserve"> studies by Adnan et al. (2008) demonstrated that local active faults in East Malaysia could generate substantial ground motions, prompting a paradigm shift in the nation's engineering practices. This evolution culminated in the publication of the Malaysia National Annex to Eurocode 8 (MS EN 1998-1:2015), which </w:t>
      </w:r>
      <w:r w:rsidR="00B4467C">
        <w:rPr>
          <w:rFonts w:ascii="Times New Roman" w:hAnsi="Times New Roman" w:cs="Times New Roman"/>
          <w:sz w:val="24"/>
          <w:szCs w:val="24"/>
          <w:lang w:val="en-MY"/>
        </w:rPr>
        <w:t>formalised</w:t>
      </w:r>
      <w:r w:rsidRPr="00EC3714">
        <w:rPr>
          <w:rFonts w:ascii="Times New Roman" w:hAnsi="Times New Roman" w:cs="Times New Roman"/>
          <w:sz w:val="24"/>
          <w:szCs w:val="24"/>
          <w:lang w:val="en-MY"/>
        </w:rPr>
        <w:t xml:space="preserve"> baseline bedrock Peak Ground Acceleration (PGA) values for seismic design. Recent literature has continued to refine these baseline hazard estimates. For instance, Adnan (2022) and Harith et al. (2025) incorporated local active </w:t>
      </w:r>
      <w:r w:rsidRPr="00EC3714">
        <w:rPr>
          <w:rFonts w:ascii="Times New Roman" w:hAnsi="Times New Roman" w:cs="Times New Roman"/>
          <w:sz w:val="24"/>
          <w:szCs w:val="24"/>
          <w:lang w:val="en-MY"/>
        </w:rPr>
        <w:lastRenderedPageBreak/>
        <w:t>fault systems, such as the Kuala Penyu fault, into their seismic hazard models, updating bedrock PGA estimates for the Sipitang region to between 0.027g and 0.031g.</w:t>
      </w:r>
    </w:p>
    <w:p w14:paraId="3BC3D1CE" w14:textId="77777777" w:rsidR="00EC3714" w:rsidRPr="00EC3714" w:rsidRDefault="00EC3714" w:rsidP="00EC3714">
      <w:pPr>
        <w:pStyle w:val="Paragraph"/>
        <w:rPr>
          <w:lang w:val="en-MY"/>
        </w:rPr>
      </w:pPr>
    </w:p>
    <w:p w14:paraId="1E6FED6F" w14:textId="7272FC1A" w:rsidR="00EC3714" w:rsidRPr="00EC3714" w:rsidRDefault="00EC3714" w:rsidP="00EC3714">
      <w:pPr>
        <w:pStyle w:val="Paragraphfirst"/>
        <w:rPr>
          <w:rFonts w:ascii="Times New Roman" w:hAnsi="Times New Roman" w:cs="Times New Roman"/>
          <w:sz w:val="24"/>
          <w:szCs w:val="24"/>
          <w:lang w:val="en-MY"/>
        </w:rPr>
      </w:pPr>
      <w:r w:rsidRPr="00EC3714">
        <w:rPr>
          <w:rFonts w:ascii="Times New Roman" w:hAnsi="Times New Roman" w:cs="Times New Roman"/>
          <w:sz w:val="24"/>
          <w:szCs w:val="24"/>
          <w:lang w:val="en-MY"/>
        </w:rPr>
        <w:t xml:space="preserve">While these updated regional models represent a major advancement in </w:t>
      </w:r>
      <w:r w:rsidR="00B4467C">
        <w:rPr>
          <w:rFonts w:ascii="Times New Roman" w:hAnsi="Times New Roman" w:cs="Times New Roman"/>
          <w:sz w:val="24"/>
          <w:szCs w:val="24"/>
          <w:lang w:val="en-MY"/>
        </w:rPr>
        <w:t>characterising</w:t>
      </w:r>
      <w:r w:rsidRPr="00EC3714">
        <w:rPr>
          <w:rFonts w:ascii="Times New Roman" w:hAnsi="Times New Roman" w:cs="Times New Roman"/>
          <w:sz w:val="24"/>
          <w:szCs w:val="24"/>
          <w:lang w:val="en-MY"/>
        </w:rPr>
        <w:t xml:space="preserve"> baseline bedrock hazards, they fundamentally assume uniform reference rock outcrops. Peak Ground Acceleration (PGA)</w:t>
      </w:r>
      <w:r>
        <w:rPr>
          <w:rFonts w:ascii="Times New Roman" w:hAnsi="Times New Roman" w:cs="Times New Roman"/>
          <w:sz w:val="24"/>
          <w:szCs w:val="24"/>
          <w:lang w:val="en-MY"/>
        </w:rPr>
        <w:t xml:space="preserve">, a critical parameter in geotechnical engineering used to evaluate foundation loading, assess site response, and estimate liquefaction risk, </w:t>
      </w:r>
      <w:r w:rsidRPr="00EC3714">
        <w:rPr>
          <w:rFonts w:ascii="Times New Roman" w:hAnsi="Times New Roman" w:cs="Times New Roman"/>
          <w:sz w:val="24"/>
          <w:szCs w:val="24"/>
          <w:lang w:val="en-MY"/>
        </w:rPr>
        <w:t>can be profoundly altered by overlying soil deposits. It is a well-established geotechnical principle that soft, cohesive soils, such as marine clays and loose silts, can severely amplify low-frequency ground motions due to impedance contrasts between the soil and the underlying bedrock (Idriss, 1990; Dobry et al., 2000). As seismic waves transition from stiff bedrock into softer surface layers, they decelerate and increase in amplitude to conserve energy, leading to significantly higher surface PGAs than those recorded at the bedrock level. Consequently, relying solely on regional-scale bedrock maps can severely underestimate the actual surface seismic demand.</w:t>
      </w:r>
    </w:p>
    <w:p w14:paraId="7A376611" w14:textId="77777777" w:rsidR="00EC3714" w:rsidRPr="00EC3714" w:rsidRDefault="00EC3714" w:rsidP="00EC3714">
      <w:pPr>
        <w:pStyle w:val="Paragraph"/>
        <w:rPr>
          <w:sz w:val="24"/>
          <w:szCs w:val="24"/>
          <w:lang w:val="en-MY"/>
        </w:rPr>
      </w:pPr>
    </w:p>
    <w:p w14:paraId="46F481D5" w14:textId="40144C27" w:rsidR="00EC3714" w:rsidRPr="00EC3714" w:rsidRDefault="00EC3714" w:rsidP="00EC3714">
      <w:pPr>
        <w:pStyle w:val="Paragraphfirst"/>
        <w:rPr>
          <w:rFonts w:ascii="Times New Roman" w:hAnsi="Times New Roman" w:cs="Times New Roman"/>
          <w:sz w:val="24"/>
          <w:szCs w:val="24"/>
          <w:lang w:val="en-MY"/>
        </w:rPr>
      </w:pPr>
      <w:r w:rsidRPr="00EC3714">
        <w:rPr>
          <w:rFonts w:ascii="Times New Roman" w:hAnsi="Times New Roman" w:cs="Times New Roman"/>
          <w:sz w:val="24"/>
          <w:szCs w:val="24"/>
          <w:lang w:val="en-MY"/>
        </w:rPr>
        <w:t xml:space="preserve">Despite improvements in Malaysia's regional hazard mapping, there remains a critical </w:t>
      </w:r>
      <w:r>
        <w:rPr>
          <w:rFonts w:ascii="Times New Roman" w:hAnsi="Times New Roman" w:cs="Times New Roman"/>
          <w:sz w:val="24"/>
          <w:szCs w:val="24"/>
          <w:lang w:val="en-MY"/>
        </w:rPr>
        <w:t xml:space="preserve">shortage of site-specific micro-zonation studies that </w:t>
      </w:r>
      <w:r w:rsidR="00B4467C">
        <w:rPr>
          <w:rFonts w:ascii="Times New Roman" w:hAnsi="Times New Roman" w:cs="Times New Roman"/>
          <w:sz w:val="24"/>
          <w:szCs w:val="24"/>
          <w:lang w:val="en-MY"/>
        </w:rPr>
        <w:t>utilise</w:t>
      </w:r>
      <w:r w:rsidRPr="00EC3714">
        <w:rPr>
          <w:rFonts w:ascii="Times New Roman" w:hAnsi="Times New Roman" w:cs="Times New Roman"/>
          <w:sz w:val="24"/>
          <w:szCs w:val="24"/>
          <w:lang w:val="en-MY"/>
        </w:rPr>
        <w:t xml:space="preserve"> rigorous 1D equivalent-linear site response analyses in East Malaysia. This gap is particularly concerning for critical infrastructures situated on highly variable coastal and reclaimed marine deposits. One such critical facility is the Sabah Oil and Gas Industrial Park (SOGIP), located in the Sipitang district, approximately 150 km south of Kota Kinabalu (SOGDC-SOGIP, 2022). As the first integrated industrial park </w:t>
      </w:r>
      <w:r>
        <w:rPr>
          <w:rFonts w:ascii="Times New Roman" w:hAnsi="Times New Roman" w:cs="Times New Roman"/>
          <w:sz w:val="24"/>
          <w:szCs w:val="24"/>
          <w:lang w:val="en-MY"/>
        </w:rPr>
        <w:t>specifically designated for oil, gas, and heavy industries in Sabah, SOGIP spans 5,539 acres in a</w:t>
      </w:r>
      <w:r w:rsidRPr="00EC3714">
        <w:rPr>
          <w:rFonts w:ascii="Times New Roman" w:hAnsi="Times New Roman" w:cs="Times New Roman"/>
          <w:sz w:val="24"/>
          <w:szCs w:val="24"/>
          <w:lang w:val="en-MY"/>
        </w:rPr>
        <w:t xml:space="preserve"> sheltered area of Brunei Bay (Figure 1). Given its extensive development investments, critical assets, and proximity to major global shipping lanes like the Asian Supply Base in Labuan, effective structural design is paramount.</w:t>
      </w:r>
    </w:p>
    <w:p w14:paraId="31D269F5" w14:textId="77777777" w:rsidR="00EC3714" w:rsidRPr="00EC3714" w:rsidRDefault="00EC3714" w:rsidP="00EC3714">
      <w:pPr>
        <w:pStyle w:val="Paragraph"/>
        <w:rPr>
          <w:sz w:val="24"/>
          <w:szCs w:val="24"/>
          <w:lang w:val="en-MY"/>
        </w:rPr>
      </w:pPr>
    </w:p>
    <w:p w14:paraId="2D259F4C" w14:textId="0B0BC704" w:rsidR="00EC3714" w:rsidRPr="00EC3714" w:rsidRDefault="00EC3714" w:rsidP="00EC3714">
      <w:pPr>
        <w:pStyle w:val="Paragraphfirst"/>
        <w:rPr>
          <w:rFonts w:ascii="Times New Roman" w:hAnsi="Times New Roman" w:cs="Times New Roman"/>
          <w:sz w:val="24"/>
          <w:szCs w:val="24"/>
          <w:lang w:val="en-MY"/>
        </w:rPr>
      </w:pPr>
      <w:r w:rsidRPr="00EC3714">
        <w:rPr>
          <w:rFonts w:ascii="Times New Roman" w:hAnsi="Times New Roman" w:cs="Times New Roman"/>
          <w:sz w:val="24"/>
          <w:szCs w:val="24"/>
          <w:lang w:val="en-MY"/>
        </w:rPr>
        <w:t xml:space="preserve">Currently, the SOGIP industrial complex lacks the detailed, site-specific seismic data necessary to capture local soil and geological variations, posing risks of over- or under-designing critical infrastructure. To address this urgent research gap, this study focuses on conducting a site-specific soil response seismic hazard assessment for the SOGIP area. By integrating comprehensive borehole data with the established bedrock PGA from MS EN 1998-1:2015 (2017), this study employs an overarching data analytics approach to evaluate the attenuation and amplification of seismic wave propagation from bedrock to the surface. The primary objective is to develop </w:t>
      </w:r>
      <w:r w:rsidR="00B4467C">
        <w:rPr>
          <w:rFonts w:ascii="Times New Roman" w:hAnsi="Times New Roman" w:cs="Times New Roman"/>
          <w:sz w:val="24"/>
          <w:szCs w:val="24"/>
          <w:lang w:val="en-MY"/>
        </w:rPr>
        <w:t>localised</w:t>
      </w:r>
      <w:r w:rsidRPr="00EC3714">
        <w:rPr>
          <w:rFonts w:ascii="Times New Roman" w:hAnsi="Times New Roman" w:cs="Times New Roman"/>
          <w:sz w:val="24"/>
          <w:szCs w:val="24"/>
          <w:lang w:val="en-MY"/>
        </w:rPr>
        <w:t>, borehole-derived surface PGA spectra, soil amplification factors, and site periods. Ultimately, this micro-zonation assessment will provide engineers and urban planners with the critical, high-resolution inputs required to design safe and resilient infrastructure against earthquake hazards in the Sipitang region.</w:t>
      </w:r>
    </w:p>
    <w:p w14:paraId="4BC50CB3" w14:textId="77777777" w:rsidR="00A36FB0" w:rsidRPr="00A36FB0" w:rsidRDefault="00A36FB0" w:rsidP="00A36FB0">
      <w:pPr>
        <w:pStyle w:val="Paragraphfirst"/>
        <w:rPr>
          <w:rFonts w:ascii="Times New Roman" w:hAnsi="Times New Roman" w:cs="Times New Roman"/>
          <w:sz w:val="24"/>
          <w:szCs w:val="24"/>
        </w:rPr>
      </w:pPr>
    </w:p>
    <w:p w14:paraId="1C2153DC" w14:textId="77777777" w:rsidR="00815A15" w:rsidRDefault="00A36FB0" w:rsidP="00A36FB0">
      <w:pPr>
        <w:pStyle w:val="Paragraph"/>
        <w:ind w:firstLine="0"/>
        <w:rPr>
          <w:rFonts w:ascii="Times New Roman" w:hAnsi="Times New Roman" w:cs="Times New Roman"/>
          <w:b/>
          <w:bCs/>
          <w:sz w:val="24"/>
          <w:szCs w:val="24"/>
        </w:rPr>
      </w:pPr>
      <w:r w:rsidRPr="00A36FB0">
        <w:rPr>
          <w:rFonts w:ascii="Times New Roman" w:hAnsi="Times New Roman" w:cs="Times New Roman"/>
          <w:noProof/>
          <w:sz w:val="24"/>
          <w:szCs w:val="24"/>
        </w:rPr>
        <w:drawing>
          <wp:inline distT="0" distB="0" distL="0" distR="0" wp14:anchorId="2DF0ADD3" wp14:editId="7683DDC7">
            <wp:extent cx="4617720" cy="2799365"/>
            <wp:effectExtent l="0" t="0" r="0" b="1270"/>
            <wp:docPr id="414718629" name="Picture 1" descr="A map of the world with water and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97923" name="Picture 1" descr="A map of the world with water and land&#10;&#10;Description automatically generated"/>
                    <pic:cNvPicPr/>
                  </pic:nvPicPr>
                  <pic:blipFill rotWithShape="1">
                    <a:blip r:embed="rId8" cstate="print"/>
                    <a:srcRect r="17303" b="11995"/>
                    <a:stretch>
                      <a:fillRect/>
                    </a:stretch>
                  </pic:blipFill>
                  <pic:spPr bwMode="auto">
                    <a:xfrm>
                      <a:off x="0" y="0"/>
                      <a:ext cx="4680581" cy="2837473"/>
                    </a:xfrm>
                    <a:prstGeom prst="rect">
                      <a:avLst/>
                    </a:prstGeom>
                    <a:ln>
                      <a:noFill/>
                    </a:ln>
                    <a:extLst>
                      <a:ext uri="{53640926-AAD7-44D8-BBD7-CCE9431645EC}">
                        <a14:shadowObscured xmlns:a14="http://schemas.microsoft.com/office/drawing/2010/main"/>
                      </a:ext>
                    </a:extLst>
                  </pic:spPr>
                </pic:pic>
              </a:graphicData>
            </a:graphic>
          </wp:inline>
        </w:drawing>
      </w:r>
    </w:p>
    <w:p w14:paraId="52A2BE22" w14:textId="33B0AE73" w:rsidR="00A36FB0" w:rsidRPr="00A36FB0" w:rsidRDefault="00A36FB0" w:rsidP="00A36FB0">
      <w:pPr>
        <w:pStyle w:val="Paragraph"/>
        <w:ind w:firstLine="0"/>
        <w:rPr>
          <w:rFonts w:ascii="Times New Roman" w:hAnsi="Times New Roman" w:cs="Times New Roman"/>
          <w:sz w:val="24"/>
          <w:szCs w:val="24"/>
        </w:rPr>
      </w:pPr>
      <w:r w:rsidRPr="00A36FB0">
        <w:rPr>
          <w:rFonts w:ascii="Times New Roman" w:hAnsi="Times New Roman" w:cs="Times New Roman"/>
          <w:b/>
          <w:bCs/>
          <w:sz w:val="24"/>
          <w:szCs w:val="24"/>
        </w:rPr>
        <w:t>Figure 1.</w:t>
      </w:r>
      <w:r w:rsidRPr="00A36FB0">
        <w:rPr>
          <w:rFonts w:ascii="Times New Roman" w:hAnsi="Times New Roman" w:cs="Times New Roman"/>
          <w:sz w:val="24"/>
          <w:szCs w:val="24"/>
        </w:rPr>
        <w:t xml:space="preserve"> Location of SOGIP on Google Map</w:t>
      </w:r>
    </w:p>
    <w:p w14:paraId="69793C0B" w14:textId="77777777" w:rsidR="00A36FB0" w:rsidRPr="00A36FB0" w:rsidRDefault="00A36FB0" w:rsidP="00A36FB0">
      <w:pPr>
        <w:pStyle w:val="Paragraph"/>
        <w:ind w:firstLine="0"/>
        <w:rPr>
          <w:rFonts w:ascii="Times New Roman" w:hAnsi="Times New Roman" w:cs="Times New Roman"/>
          <w:sz w:val="24"/>
          <w:szCs w:val="24"/>
        </w:rPr>
      </w:pPr>
    </w:p>
    <w:p w14:paraId="7F39FCA2" w14:textId="77777777" w:rsidR="004D2EFF" w:rsidRDefault="004D2EFF" w:rsidP="00A36FB0">
      <w:pPr>
        <w:pStyle w:val="Paragraph"/>
        <w:ind w:firstLine="0"/>
        <w:rPr>
          <w:rFonts w:ascii="Times New Roman" w:hAnsi="Times New Roman" w:cs="Times New Roman"/>
          <w:b/>
          <w:bCs/>
          <w:sz w:val="24"/>
          <w:szCs w:val="24"/>
        </w:rPr>
      </w:pPr>
    </w:p>
    <w:p w14:paraId="61BF251A" w14:textId="2A1B9543" w:rsidR="00A36FB0" w:rsidRPr="00A36FB0" w:rsidRDefault="00A36FB0" w:rsidP="00A36FB0">
      <w:pPr>
        <w:pStyle w:val="Paragraph"/>
        <w:ind w:firstLine="0"/>
        <w:rPr>
          <w:rFonts w:ascii="Times New Roman" w:hAnsi="Times New Roman" w:cs="Times New Roman"/>
          <w:b/>
          <w:bCs/>
          <w:sz w:val="24"/>
          <w:szCs w:val="24"/>
        </w:rPr>
      </w:pPr>
      <w:r w:rsidRPr="00A36FB0">
        <w:rPr>
          <w:rFonts w:ascii="Times New Roman" w:hAnsi="Times New Roman" w:cs="Times New Roman"/>
          <w:b/>
          <w:bCs/>
          <w:sz w:val="24"/>
          <w:szCs w:val="24"/>
        </w:rPr>
        <w:t>PROBLEM IDENTIFICATION</w:t>
      </w:r>
    </w:p>
    <w:p w14:paraId="7CFF3856" w14:textId="77777777" w:rsidR="00A36FB0" w:rsidRPr="00A36FB0" w:rsidRDefault="00A36FB0" w:rsidP="00A36FB0">
      <w:pPr>
        <w:pStyle w:val="Paragraph"/>
        <w:ind w:firstLine="0"/>
        <w:rPr>
          <w:rFonts w:ascii="Times New Roman" w:hAnsi="Times New Roman" w:cs="Times New Roman"/>
          <w:sz w:val="24"/>
          <w:szCs w:val="24"/>
        </w:rPr>
      </w:pPr>
    </w:p>
    <w:p w14:paraId="66213453" w14:textId="54D783F9" w:rsidR="00A36FB0" w:rsidRPr="00A36FB0" w:rsidRDefault="00A36FB0" w:rsidP="00A36FB0">
      <w:pPr>
        <w:pStyle w:val="Paragraph"/>
        <w:ind w:firstLine="0"/>
        <w:rPr>
          <w:rFonts w:ascii="Times New Roman" w:hAnsi="Times New Roman" w:cs="Times New Roman"/>
          <w:b/>
          <w:bCs/>
          <w:sz w:val="24"/>
          <w:szCs w:val="24"/>
        </w:rPr>
      </w:pPr>
      <w:r w:rsidRPr="00A36FB0">
        <w:rPr>
          <w:rFonts w:ascii="Times New Roman" w:hAnsi="Times New Roman" w:cs="Times New Roman"/>
          <w:b/>
          <w:bCs/>
          <w:sz w:val="24"/>
          <w:szCs w:val="24"/>
        </w:rPr>
        <w:t>Problem Statement</w:t>
      </w:r>
    </w:p>
    <w:p w14:paraId="6210F41C" w14:textId="13DCE605" w:rsidR="006F53DA" w:rsidRPr="006F53DA" w:rsidRDefault="006F53DA" w:rsidP="006F53DA">
      <w:pPr>
        <w:pStyle w:val="Paragraph"/>
        <w:ind w:firstLine="0"/>
        <w:rPr>
          <w:rFonts w:ascii="Times New Roman" w:hAnsi="Times New Roman" w:cs="Times New Roman"/>
          <w:sz w:val="24"/>
          <w:szCs w:val="24"/>
        </w:rPr>
      </w:pPr>
      <w:r w:rsidRPr="006F53DA">
        <w:rPr>
          <w:rFonts w:ascii="Times New Roman" w:hAnsi="Times New Roman" w:cs="Times New Roman"/>
          <w:sz w:val="24"/>
          <w:szCs w:val="24"/>
        </w:rPr>
        <w:t xml:space="preserve">The Sabah Oil and Gas Industrial Park (SOGIP) serves as a critical catalyst for Malaysia's industrial and economic expansion. Given its proximity to active seismotectonic sources, ensuring the seismic resilience of its infrastructure is of paramount importance. Currently, however, seismic hazard assessments for the region rely heavily on </w:t>
      </w:r>
      <w:r w:rsidR="00B4467C">
        <w:rPr>
          <w:rFonts w:ascii="Times New Roman" w:hAnsi="Times New Roman" w:cs="Times New Roman"/>
          <w:sz w:val="24"/>
          <w:szCs w:val="24"/>
        </w:rPr>
        <w:t>generalised</w:t>
      </w:r>
      <w:r w:rsidRPr="006F53DA">
        <w:rPr>
          <w:rFonts w:ascii="Times New Roman" w:hAnsi="Times New Roman" w:cs="Times New Roman"/>
          <w:sz w:val="24"/>
          <w:szCs w:val="24"/>
        </w:rPr>
        <w:t xml:space="preserve"> regional bedrock models. These macro-level models fundamentally fail to account for the unique, highly variable marine and alluvial soil deposits present at the SOGIP site.</w:t>
      </w:r>
    </w:p>
    <w:p w14:paraId="3F71C345" w14:textId="77777777" w:rsidR="006F53DA" w:rsidRPr="006F53DA" w:rsidRDefault="006F53DA" w:rsidP="006F53DA">
      <w:pPr>
        <w:pStyle w:val="Paragraph"/>
        <w:rPr>
          <w:rFonts w:ascii="Times New Roman" w:hAnsi="Times New Roman" w:cs="Times New Roman"/>
          <w:sz w:val="24"/>
          <w:szCs w:val="24"/>
        </w:rPr>
      </w:pPr>
    </w:p>
    <w:p w14:paraId="41F0C8B7" w14:textId="494379B7" w:rsidR="00A36FB0" w:rsidRDefault="006F53DA" w:rsidP="006F53DA">
      <w:pPr>
        <w:pStyle w:val="Paragraph"/>
        <w:ind w:firstLine="0"/>
        <w:rPr>
          <w:rFonts w:ascii="Times New Roman" w:hAnsi="Times New Roman" w:cs="Times New Roman"/>
          <w:sz w:val="24"/>
          <w:szCs w:val="24"/>
        </w:rPr>
      </w:pPr>
      <w:r w:rsidRPr="006F53DA">
        <w:rPr>
          <w:rFonts w:ascii="Times New Roman" w:hAnsi="Times New Roman" w:cs="Times New Roman"/>
          <w:sz w:val="24"/>
          <w:szCs w:val="24"/>
        </w:rPr>
        <w:t>By overlooking critical site-specific factors</w:t>
      </w:r>
      <w:r>
        <w:rPr>
          <w:rFonts w:ascii="Times New Roman" w:hAnsi="Times New Roman" w:cs="Times New Roman"/>
          <w:sz w:val="24"/>
          <w:szCs w:val="24"/>
        </w:rPr>
        <w:t xml:space="preserve"> </w:t>
      </w:r>
      <w:r w:rsidRPr="006F53DA">
        <w:rPr>
          <w:rFonts w:ascii="Times New Roman" w:hAnsi="Times New Roman" w:cs="Times New Roman"/>
          <w:sz w:val="24"/>
          <w:szCs w:val="24"/>
        </w:rPr>
        <w:t>such as local soil amplification, stratigraphic resonance, and impedance contrasts</w:t>
      </w:r>
      <w:r>
        <w:rPr>
          <w:rFonts w:ascii="Times New Roman" w:hAnsi="Times New Roman" w:cs="Times New Roman"/>
          <w:sz w:val="24"/>
          <w:szCs w:val="24"/>
        </w:rPr>
        <w:t xml:space="preserve">, </w:t>
      </w:r>
      <w:r w:rsidRPr="006F53DA">
        <w:rPr>
          <w:rFonts w:ascii="Times New Roman" w:hAnsi="Times New Roman" w:cs="Times New Roman"/>
          <w:sz w:val="24"/>
          <w:szCs w:val="24"/>
        </w:rPr>
        <w:t xml:space="preserve">regional predictions introduce significant uncertainty into the structural design process. The absence of </w:t>
      </w:r>
      <w:r w:rsidR="00B4467C">
        <w:rPr>
          <w:rFonts w:ascii="Times New Roman" w:hAnsi="Times New Roman" w:cs="Times New Roman"/>
          <w:sz w:val="24"/>
          <w:szCs w:val="24"/>
        </w:rPr>
        <w:t>localised</w:t>
      </w:r>
      <w:r w:rsidRPr="006F53DA">
        <w:rPr>
          <w:rFonts w:ascii="Times New Roman" w:hAnsi="Times New Roman" w:cs="Times New Roman"/>
          <w:sz w:val="24"/>
          <w:szCs w:val="24"/>
        </w:rPr>
        <w:t xml:space="preserve"> surface Peak Ground Acceleration (PGA) data risks both the under-design (compromising safety) and over-design (compromising economic feasibility) of critical industrial facilities. Ultimately, this lack of high-resolution seismic data limits </w:t>
      </w:r>
      <w:r>
        <w:rPr>
          <w:rFonts w:ascii="Times New Roman" w:hAnsi="Times New Roman" w:cs="Times New Roman"/>
          <w:sz w:val="24"/>
          <w:szCs w:val="24"/>
        </w:rPr>
        <w:t xml:space="preserve">engineers' ability </w:t>
      </w:r>
      <w:r w:rsidRPr="006F53DA">
        <w:rPr>
          <w:rFonts w:ascii="Times New Roman" w:hAnsi="Times New Roman" w:cs="Times New Roman"/>
          <w:sz w:val="24"/>
          <w:szCs w:val="24"/>
        </w:rPr>
        <w:t xml:space="preserve">to apply cost-effective, performance-based design measures. Therefore, a rigorous, site-specific surface PGA assessment </w:t>
      </w:r>
      <w:r w:rsidR="00B4467C">
        <w:rPr>
          <w:rFonts w:ascii="Times New Roman" w:hAnsi="Times New Roman" w:cs="Times New Roman"/>
          <w:sz w:val="24"/>
          <w:szCs w:val="24"/>
        </w:rPr>
        <w:t>utilising localised</w:t>
      </w:r>
      <w:r w:rsidRPr="006F53DA">
        <w:rPr>
          <w:rFonts w:ascii="Times New Roman" w:hAnsi="Times New Roman" w:cs="Times New Roman"/>
          <w:sz w:val="24"/>
          <w:szCs w:val="24"/>
        </w:rPr>
        <w:t xml:space="preserve"> geotechnical, seismological, and geological data is essential to guarantee the long-term sustainability and structural integrity of the SOGIP development.</w:t>
      </w:r>
    </w:p>
    <w:p w14:paraId="2A4735E3" w14:textId="77777777" w:rsidR="006F53DA" w:rsidRPr="006F53DA" w:rsidRDefault="006F53DA" w:rsidP="006F53DA">
      <w:pPr>
        <w:pStyle w:val="Paragraph"/>
        <w:ind w:firstLine="0"/>
        <w:rPr>
          <w:rFonts w:ascii="Times New Roman" w:hAnsi="Times New Roman" w:cs="Times New Roman"/>
          <w:sz w:val="24"/>
          <w:szCs w:val="24"/>
        </w:rPr>
      </w:pPr>
    </w:p>
    <w:p w14:paraId="70C6DD1E" w14:textId="1E7F2A7D" w:rsidR="00A36FB0" w:rsidRPr="006F53DA" w:rsidRDefault="006F53DA" w:rsidP="00A36FB0">
      <w:pPr>
        <w:pStyle w:val="Paragraph"/>
        <w:ind w:firstLine="0"/>
        <w:rPr>
          <w:rFonts w:ascii="Times New Roman" w:hAnsi="Times New Roman" w:cs="Times New Roman"/>
          <w:sz w:val="24"/>
          <w:szCs w:val="24"/>
        </w:rPr>
      </w:pPr>
      <w:r w:rsidRPr="006F53DA">
        <w:rPr>
          <w:rFonts w:ascii="Times New Roman" w:hAnsi="Times New Roman" w:cs="Times New Roman"/>
          <w:sz w:val="24"/>
          <w:szCs w:val="24"/>
        </w:rPr>
        <w:t xml:space="preserve">To bridge this critical research gap, a robust analytical framework is required to systematically integrate extensive geotechnical borehole records, geological profiles, and regional seismological data. By employing computational ground motion modelling and systematic data processing, this study transforms raw subsurface data into actionable engineering insights. This integrated approach </w:t>
      </w:r>
      <w:r>
        <w:rPr>
          <w:rFonts w:ascii="Times New Roman" w:hAnsi="Times New Roman" w:cs="Times New Roman"/>
          <w:sz w:val="24"/>
          <w:szCs w:val="24"/>
        </w:rPr>
        <w:t xml:space="preserve">enables the creation of highly </w:t>
      </w:r>
      <w:r w:rsidR="00B4467C">
        <w:rPr>
          <w:rFonts w:ascii="Times New Roman" w:hAnsi="Times New Roman" w:cs="Times New Roman"/>
          <w:sz w:val="24"/>
          <w:szCs w:val="24"/>
        </w:rPr>
        <w:t>localised</w:t>
      </w:r>
      <w:r>
        <w:rPr>
          <w:rFonts w:ascii="Times New Roman" w:hAnsi="Times New Roman" w:cs="Times New Roman"/>
          <w:sz w:val="24"/>
          <w:szCs w:val="24"/>
        </w:rPr>
        <w:t xml:space="preserve"> micro-zonation maps and accurate predictions of </w:t>
      </w:r>
      <w:r w:rsidR="00B4467C">
        <w:rPr>
          <w:rFonts w:ascii="Times New Roman" w:hAnsi="Times New Roman" w:cs="Times New Roman"/>
          <w:sz w:val="24"/>
          <w:szCs w:val="24"/>
        </w:rPr>
        <w:t>localised</w:t>
      </w:r>
      <w:r>
        <w:rPr>
          <w:rFonts w:ascii="Times New Roman" w:hAnsi="Times New Roman" w:cs="Times New Roman"/>
          <w:sz w:val="24"/>
          <w:szCs w:val="24"/>
        </w:rPr>
        <w:t xml:space="preserve"> seismic responses, providing a quantitative baseline </w:t>
      </w:r>
      <w:r w:rsidRPr="006F53DA">
        <w:rPr>
          <w:rFonts w:ascii="Times New Roman" w:hAnsi="Times New Roman" w:cs="Times New Roman"/>
          <w:sz w:val="24"/>
          <w:szCs w:val="24"/>
        </w:rPr>
        <w:t>for reliable infrastructure planning in complex geological settings.</w:t>
      </w:r>
    </w:p>
    <w:p w14:paraId="56CE824D" w14:textId="77777777" w:rsidR="006F53DA" w:rsidRPr="00A36FB0" w:rsidRDefault="006F53DA" w:rsidP="00A36FB0">
      <w:pPr>
        <w:pStyle w:val="Paragraph"/>
        <w:ind w:firstLine="0"/>
        <w:rPr>
          <w:rFonts w:ascii="Times New Roman" w:hAnsi="Times New Roman" w:cs="Times New Roman"/>
          <w:b/>
          <w:bCs/>
          <w:sz w:val="24"/>
          <w:szCs w:val="24"/>
        </w:rPr>
      </w:pPr>
    </w:p>
    <w:p w14:paraId="48A23BC2" w14:textId="07669D1E" w:rsidR="00A36FB0" w:rsidRPr="00A36FB0" w:rsidRDefault="00A36FB0" w:rsidP="00A36FB0">
      <w:pPr>
        <w:pStyle w:val="Paragraph"/>
        <w:ind w:firstLine="0"/>
        <w:rPr>
          <w:rFonts w:ascii="Times New Roman" w:hAnsi="Times New Roman" w:cs="Times New Roman"/>
          <w:b/>
          <w:bCs/>
          <w:sz w:val="24"/>
          <w:szCs w:val="24"/>
        </w:rPr>
      </w:pPr>
      <w:r w:rsidRPr="00A36FB0">
        <w:rPr>
          <w:rFonts w:ascii="Times New Roman" w:hAnsi="Times New Roman" w:cs="Times New Roman"/>
          <w:b/>
          <w:bCs/>
          <w:sz w:val="24"/>
          <w:szCs w:val="24"/>
        </w:rPr>
        <w:t>OBJECTIVES OF THE RESEARCH</w:t>
      </w:r>
    </w:p>
    <w:p w14:paraId="12DB5D14" w14:textId="77777777" w:rsidR="00A36FB0" w:rsidRPr="00A36FB0" w:rsidRDefault="00A36FB0" w:rsidP="00A36FB0">
      <w:pPr>
        <w:contextualSpacing/>
        <w:jc w:val="both"/>
        <w:rPr>
          <w:rFonts w:ascii="Times New Roman" w:hAnsi="Times New Roman" w:cs="Times New Roman"/>
          <w:szCs w:val="24"/>
          <w:lang w:val="en-GB"/>
        </w:rPr>
      </w:pPr>
    </w:p>
    <w:p w14:paraId="048E911A" w14:textId="4E4E3205" w:rsidR="00A36FB0" w:rsidRDefault="006F53DA" w:rsidP="00A36FB0">
      <w:pPr>
        <w:contextualSpacing/>
        <w:jc w:val="both"/>
        <w:rPr>
          <w:rFonts w:ascii="Times New Roman" w:hAnsi="Times New Roman" w:cs="Times New Roman"/>
          <w:szCs w:val="24"/>
          <w:lang w:val="en-GB"/>
        </w:rPr>
      </w:pPr>
      <w:r w:rsidRPr="006F53DA">
        <w:rPr>
          <w:rFonts w:ascii="Times New Roman" w:hAnsi="Times New Roman" w:cs="Times New Roman"/>
          <w:szCs w:val="24"/>
          <w:lang w:val="en-GB"/>
        </w:rPr>
        <w:t xml:space="preserve">To address </w:t>
      </w:r>
      <w:r>
        <w:rPr>
          <w:rFonts w:ascii="Times New Roman" w:hAnsi="Times New Roman" w:cs="Times New Roman"/>
          <w:szCs w:val="24"/>
          <w:lang w:val="en-GB"/>
        </w:rPr>
        <w:t xml:space="preserve">identified gaps in </w:t>
      </w:r>
      <w:r w:rsidR="00B4467C">
        <w:rPr>
          <w:rFonts w:ascii="Times New Roman" w:hAnsi="Times New Roman" w:cs="Times New Roman"/>
          <w:szCs w:val="24"/>
          <w:lang w:val="en-GB"/>
        </w:rPr>
        <w:t>localised</w:t>
      </w:r>
      <w:r>
        <w:rPr>
          <w:rFonts w:ascii="Times New Roman" w:hAnsi="Times New Roman" w:cs="Times New Roman"/>
          <w:szCs w:val="24"/>
          <w:lang w:val="en-GB"/>
        </w:rPr>
        <w:t xml:space="preserve"> seismic hazard data, this research aims</w:t>
      </w:r>
      <w:r w:rsidRPr="006F53DA">
        <w:rPr>
          <w:rFonts w:ascii="Times New Roman" w:hAnsi="Times New Roman" w:cs="Times New Roman"/>
          <w:szCs w:val="24"/>
          <w:lang w:val="en-GB"/>
        </w:rPr>
        <w:t xml:space="preserve"> to conduct a comprehensive, site-specific seismic ground response assessment for the SOGIP development area. Specifically, this study sets out to achieve the following objectives:</w:t>
      </w:r>
    </w:p>
    <w:p w14:paraId="6510369E" w14:textId="77777777" w:rsidR="006F53DA" w:rsidRPr="00A36FB0" w:rsidRDefault="006F53DA" w:rsidP="00A36FB0">
      <w:pPr>
        <w:contextualSpacing/>
        <w:jc w:val="both"/>
        <w:rPr>
          <w:rFonts w:ascii="Times New Roman" w:hAnsi="Times New Roman" w:cs="Times New Roman"/>
          <w:szCs w:val="24"/>
          <w:lang w:val="en-GB"/>
        </w:rPr>
      </w:pPr>
    </w:p>
    <w:p w14:paraId="53AE20F1" w14:textId="27B4BE9B" w:rsidR="006F53DA" w:rsidRDefault="006F53DA" w:rsidP="006F53DA">
      <w:pPr>
        <w:pStyle w:val="Paragraph"/>
        <w:numPr>
          <w:ilvl w:val="0"/>
          <w:numId w:val="21"/>
        </w:numPr>
        <w:rPr>
          <w:rFonts w:ascii="Times New Roman" w:eastAsiaTheme="minorEastAsia" w:hAnsi="Times New Roman" w:cs="Times New Roman"/>
          <w:kern w:val="2"/>
          <w:sz w:val="24"/>
          <w:szCs w:val="24"/>
          <w:lang w:eastAsia="zh-CN"/>
        </w:rPr>
      </w:pPr>
      <w:r w:rsidRPr="006F53DA">
        <w:rPr>
          <w:rFonts w:ascii="Times New Roman" w:eastAsiaTheme="minorEastAsia" w:hAnsi="Times New Roman" w:cs="Times New Roman"/>
          <w:kern w:val="2"/>
          <w:sz w:val="24"/>
          <w:szCs w:val="24"/>
          <w:lang w:eastAsia="zh-CN"/>
        </w:rPr>
        <w:t xml:space="preserve">To </w:t>
      </w:r>
      <w:r w:rsidR="00B4467C">
        <w:rPr>
          <w:rFonts w:ascii="Times New Roman" w:eastAsiaTheme="minorEastAsia" w:hAnsi="Times New Roman" w:cs="Times New Roman"/>
          <w:kern w:val="2"/>
          <w:sz w:val="24"/>
          <w:szCs w:val="24"/>
          <w:lang w:eastAsia="zh-CN"/>
        </w:rPr>
        <w:t>characterise</w:t>
      </w:r>
      <w:r w:rsidRPr="006F53DA">
        <w:rPr>
          <w:rFonts w:ascii="Times New Roman" w:eastAsiaTheme="minorEastAsia" w:hAnsi="Times New Roman" w:cs="Times New Roman"/>
          <w:kern w:val="2"/>
          <w:sz w:val="24"/>
          <w:szCs w:val="24"/>
          <w:lang w:eastAsia="zh-CN"/>
        </w:rPr>
        <w:t xml:space="preserve"> and classify the </w:t>
      </w:r>
      <w:r w:rsidR="00B4467C">
        <w:rPr>
          <w:rFonts w:ascii="Times New Roman" w:eastAsiaTheme="minorEastAsia" w:hAnsi="Times New Roman" w:cs="Times New Roman"/>
          <w:kern w:val="2"/>
          <w:sz w:val="24"/>
          <w:szCs w:val="24"/>
          <w:lang w:eastAsia="zh-CN"/>
        </w:rPr>
        <w:t>localised</w:t>
      </w:r>
      <w:r w:rsidRPr="006F53DA">
        <w:rPr>
          <w:rFonts w:ascii="Times New Roman" w:eastAsiaTheme="minorEastAsia" w:hAnsi="Times New Roman" w:cs="Times New Roman"/>
          <w:kern w:val="2"/>
          <w:sz w:val="24"/>
          <w:szCs w:val="24"/>
          <w:lang w:eastAsia="zh-CN"/>
        </w:rPr>
        <w:t xml:space="preserve"> subsurface stratigraphy and dynamic soil properties (Vs) of the SOGIP site using extensive borehole data. </w:t>
      </w:r>
    </w:p>
    <w:p w14:paraId="3E93A250" w14:textId="2CDFC8D2" w:rsidR="006F53DA" w:rsidRDefault="006F53DA" w:rsidP="006F53DA">
      <w:pPr>
        <w:pStyle w:val="Paragraph"/>
        <w:numPr>
          <w:ilvl w:val="0"/>
          <w:numId w:val="21"/>
        </w:numPr>
        <w:rPr>
          <w:rFonts w:ascii="Times New Roman" w:eastAsiaTheme="minorEastAsia" w:hAnsi="Times New Roman" w:cs="Times New Roman"/>
          <w:kern w:val="2"/>
          <w:sz w:val="24"/>
          <w:szCs w:val="24"/>
          <w:lang w:eastAsia="zh-CN"/>
        </w:rPr>
      </w:pPr>
      <w:r w:rsidRPr="006F53DA">
        <w:rPr>
          <w:rFonts w:ascii="Times New Roman" w:eastAsiaTheme="minorEastAsia" w:hAnsi="Times New Roman" w:cs="Times New Roman"/>
          <w:kern w:val="2"/>
          <w:sz w:val="24"/>
          <w:szCs w:val="24"/>
          <w:lang w:eastAsia="zh-CN"/>
        </w:rPr>
        <w:t xml:space="preserve">To derive site-specific surface Peak Ground Acceleration (PGA) spectra and </w:t>
      </w:r>
      <w:r w:rsidR="00B4467C">
        <w:rPr>
          <w:rFonts w:ascii="Times New Roman" w:eastAsiaTheme="minorEastAsia" w:hAnsi="Times New Roman" w:cs="Times New Roman"/>
          <w:kern w:val="2"/>
          <w:sz w:val="24"/>
          <w:szCs w:val="24"/>
          <w:lang w:eastAsia="zh-CN"/>
        </w:rPr>
        <w:t>localised</w:t>
      </w:r>
      <w:r w:rsidRPr="006F53DA">
        <w:rPr>
          <w:rFonts w:ascii="Times New Roman" w:eastAsiaTheme="minorEastAsia" w:hAnsi="Times New Roman" w:cs="Times New Roman"/>
          <w:kern w:val="2"/>
          <w:sz w:val="24"/>
          <w:szCs w:val="24"/>
          <w:lang w:eastAsia="zh-CN"/>
        </w:rPr>
        <w:t xml:space="preserve"> soil amplification factors by executing 1D equivalent-linear ground response analyses. </w:t>
      </w:r>
    </w:p>
    <w:p w14:paraId="590D478E" w14:textId="369A0DD8" w:rsidR="006F53DA" w:rsidRDefault="006F53DA" w:rsidP="006F53DA">
      <w:pPr>
        <w:pStyle w:val="Paragraph"/>
        <w:numPr>
          <w:ilvl w:val="0"/>
          <w:numId w:val="21"/>
        </w:numPr>
        <w:rPr>
          <w:rFonts w:ascii="Times New Roman" w:eastAsiaTheme="minorEastAsia" w:hAnsi="Times New Roman" w:cs="Times New Roman"/>
          <w:kern w:val="2"/>
          <w:sz w:val="24"/>
          <w:szCs w:val="24"/>
          <w:lang w:eastAsia="zh-CN"/>
        </w:rPr>
      </w:pPr>
      <w:r w:rsidRPr="006F53DA">
        <w:rPr>
          <w:rFonts w:ascii="Times New Roman" w:eastAsiaTheme="minorEastAsia" w:hAnsi="Times New Roman" w:cs="Times New Roman"/>
          <w:kern w:val="2"/>
          <w:sz w:val="24"/>
          <w:szCs w:val="24"/>
          <w:lang w:eastAsia="zh-CN"/>
        </w:rPr>
        <w:t xml:space="preserve">To evaluate the adequacy of the regional Malaysian Seismic Hazard Map (2017) against </w:t>
      </w:r>
      <w:r w:rsidR="00B4467C">
        <w:rPr>
          <w:rFonts w:ascii="Times New Roman" w:eastAsiaTheme="minorEastAsia" w:hAnsi="Times New Roman" w:cs="Times New Roman"/>
          <w:kern w:val="2"/>
          <w:sz w:val="24"/>
          <w:szCs w:val="24"/>
          <w:lang w:eastAsia="zh-CN"/>
        </w:rPr>
        <w:t>localised</w:t>
      </w:r>
      <w:r w:rsidRPr="006F53DA">
        <w:rPr>
          <w:rFonts w:ascii="Times New Roman" w:eastAsiaTheme="minorEastAsia" w:hAnsi="Times New Roman" w:cs="Times New Roman"/>
          <w:kern w:val="2"/>
          <w:sz w:val="24"/>
          <w:szCs w:val="24"/>
          <w:lang w:eastAsia="zh-CN"/>
        </w:rPr>
        <w:t xml:space="preserve"> site effects and formulate data-driven recommendations for resilient structural design. </w:t>
      </w:r>
    </w:p>
    <w:p w14:paraId="41683C82" w14:textId="77777777" w:rsidR="006F53DA" w:rsidRDefault="006F53DA" w:rsidP="006F53DA">
      <w:pPr>
        <w:pStyle w:val="Paragraph"/>
        <w:ind w:firstLine="0"/>
        <w:rPr>
          <w:rFonts w:ascii="Times New Roman" w:eastAsiaTheme="minorEastAsia" w:hAnsi="Times New Roman" w:cs="Times New Roman"/>
          <w:kern w:val="2"/>
          <w:sz w:val="24"/>
          <w:szCs w:val="24"/>
          <w:lang w:eastAsia="zh-CN"/>
        </w:rPr>
      </w:pPr>
    </w:p>
    <w:p w14:paraId="29C03136" w14:textId="024C3A61" w:rsidR="00A36FB0" w:rsidRPr="006F53DA" w:rsidRDefault="00A36FB0" w:rsidP="006F53DA">
      <w:pPr>
        <w:pStyle w:val="Paragraph"/>
        <w:ind w:firstLine="0"/>
        <w:rPr>
          <w:rFonts w:ascii="Times New Roman" w:eastAsiaTheme="minorEastAsia" w:hAnsi="Times New Roman" w:cs="Times New Roman"/>
          <w:kern w:val="2"/>
          <w:sz w:val="24"/>
          <w:szCs w:val="24"/>
          <w:lang w:eastAsia="zh-CN"/>
        </w:rPr>
      </w:pPr>
      <w:r w:rsidRPr="006F53DA">
        <w:rPr>
          <w:rFonts w:ascii="Times New Roman" w:hAnsi="Times New Roman" w:cs="Times New Roman"/>
          <w:b/>
          <w:bCs/>
          <w:sz w:val="24"/>
          <w:szCs w:val="24"/>
        </w:rPr>
        <w:t>METHODOLOGY</w:t>
      </w:r>
    </w:p>
    <w:p w14:paraId="4D2CA0DC" w14:textId="77777777" w:rsidR="00A36FB0" w:rsidRPr="00A36FB0" w:rsidRDefault="00A36FB0" w:rsidP="00A36FB0">
      <w:pPr>
        <w:pStyle w:val="Paragraph"/>
        <w:ind w:firstLine="0"/>
        <w:rPr>
          <w:rFonts w:ascii="Times New Roman" w:hAnsi="Times New Roman" w:cs="Times New Roman"/>
          <w:sz w:val="24"/>
          <w:szCs w:val="24"/>
        </w:rPr>
      </w:pPr>
    </w:p>
    <w:p w14:paraId="4423F342" w14:textId="44EAB040" w:rsidR="00A36FB0" w:rsidRPr="00A36FB0" w:rsidRDefault="00A36FB0" w:rsidP="00A36FB0">
      <w:pPr>
        <w:pStyle w:val="Paragraph"/>
        <w:ind w:firstLine="0"/>
        <w:rPr>
          <w:rFonts w:ascii="Times New Roman" w:hAnsi="Times New Roman" w:cs="Times New Roman"/>
          <w:b/>
          <w:bCs/>
          <w:sz w:val="24"/>
          <w:szCs w:val="24"/>
        </w:rPr>
      </w:pPr>
      <w:r w:rsidRPr="00A36FB0">
        <w:rPr>
          <w:rFonts w:ascii="Times New Roman" w:hAnsi="Times New Roman" w:cs="Times New Roman"/>
          <w:b/>
          <w:bCs/>
          <w:sz w:val="24"/>
          <w:szCs w:val="24"/>
        </w:rPr>
        <w:t>Borehole Data Collection</w:t>
      </w:r>
    </w:p>
    <w:p w14:paraId="6991C4D1" w14:textId="7EC9E20C" w:rsidR="00893E81" w:rsidRPr="00893E81" w:rsidRDefault="00893E81" w:rsidP="00893E81">
      <w:pPr>
        <w:pStyle w:val="Paragraph"/>
        <w:rPr>
          <w:rFonts w:ascii="Times New Roman" w:hAnsi="Times New Roman" w:cs="Times New Roman"/>
          <w:sz w:val="24"/>
          <w:szCs w:val="24"/>
        </w:rPr>
      </w:pPr>
      <w:r w:rsidRPr="00893E81">
        <w:rPr>
          <w:rFonts w:ascii="Times New Roman" w:hAnsi="Times New Roman" w:cs="Times New Roman"/>
          <w:sz w:val="24"/>
          <w:szCs w:val="24"/>
        </w:rPr>
        <w:t xml:space="preserve">To construct a robust and representative geotechnical model of the SOGIP site, comprehensive subsurface investigation records were compiled and analysed. The primary dataset comprises 23 strategically distributed geotechnical boreholes, carefully selected to capture the </w:t>
      </w:r>
      <w:r>
        <w:rPr>
          <w:rFonts w:ascii="Times New Roman" w:hAnsi="Times New Roman" w:cs="Times New Roman"/>
          <w:sz w:val="24"/>
          <w:szCs w:val="24"/>
        </w:rPr>
        <w:t>site's local geology's spatial variability and complex stratigraphy</w:t>
      </w:r>
      <w:r w:rsidRPr="00893E81">
        <w:rPr>
          <w:rFonts w:ascii="Times New Roman" w:hAnsi="Times New Roman" w:cs="Times New Roman"/>
          <w:sz w:val="24"/>
          <w:szCs w:val="24"/>
        </w:rPr>
        <w:t xml:space="preserve">. To ensure holistic coverage of the industrial park's diverse topography and planned infrastructure, the boreholes are </w:t>
      </w:r>
      <w:r w:rsidR="00B4467C">
        <w:rPr>
          <w:rFonts w:ascii="Times New Roman" w:hAnsi="Times New Roman" w:cs="Times New Roman"/>
          <w:sz w:val="24"/>
          <w:szCs w:val="24"/>
        </w:rPr>
        <w:t>categorised</w:t>
      </w:r>
      <w:r w:rsidRPr="00893E81">
        <w:rPr>
          <w:rFonts w:ascii="Times New Roman" w:hAnsi="Times New Roman" w:cs="Times New Roman"/>
          <w:sz w:val="24"/>
          <w:szCs w:val="24"/>
        </w:rPr>
        <w:t xml:space="preserve"> into three distinct operational zones: 8 </w:t>
      </w:r>
      <w:r>
        <w:rPr>
          <w:rFonts w:ascii="Times New Roman" w:hAnsi="Times New Roman" w:cs="Times New Roman"/>
          <w:sz w:val="24"/>
          <w:szCs w:val="24"/>
        </w:rPr>
        <w:t>along the proposed onshore pipeline route, 8 within the primary onshore facility footprint, and 7 in the nearshore</w:t>
      </w:r>
      <w:r w:rsidRPr="00893E81">
        <w:rPr>
          <w:rFonts w:ascii="Times New Roman" w:hAnsi="Times New Roman" w:cs="Times New Roman"/>
          <w:sz w:val="24"/>
          <w:szCs w:val="24"/>
        </w:rPr>
        <w:t xml:space="preserve"> marine environment. This wide spatial distribution is particularly critical for capturing the geotechnical transition from terrestrial alluvial deposits to deep, soft marine clays.</w:t>
      </w:r>
      <w:r>
        <w:rPr>
          <w:rFonts w:ascii="Times New Roman" w:hAnsi="Times New Roman" w:cs="Times New Roman"/>
          <w:sz w:val="24"/>
          <w:szCs w:val="24"/>
        </w:rPr>
        <w:t xml:space="preserve"> </w:t>
      </w:r>
      <w:r w:rsidRPr="00893E81">
        <w:rPr>
          <w:rFonts w:ascii="Times New Roman" w:hAnsi="Times New Roman" w:cs="Times New Roman"/>
          <w:sz w:val="24"/>
          <w:szCs w:val="24"/>
        </w:rPr>
        <w:t xml:space="preserve">The depth of exploration for these boreholes varied across the site, primarily dictated by the </w:t>
      </w:r>
      <w:r w:rsidR="00B4467C">
        <w:rPr>
          <w:rFonts w:ascii="Times New Roman" w:hAnsi="Times New Roman" w:cs="Times New Roman"/>
          <w:sz w:val="24"/>
          <w:szCs w:val="24"/>
        </w:rPr>
        <w:t>localised</w:t>
      </w:r>
      <w:r w:rsidRPr="00893E81">
        <w:rPr>
          <w:rFonts w:ascii="Times New Roman" w:hAnsi="Times New Roman" w:cs="Times New Roman"/>
          <w:sz w:val="24"/>
          <w:szCs w:val="24"/>
        </w:rPr>
        <w:t xml:space="preserve"> depth required to reach a competent stratum or engineering bedrock. Identifying this competent layer is a fundamental prerequisite for establishing the seismic boundary conditions and input motion depths for the subsequent 1D equivalent-linear ground response analysis.</w:t>
      </w:r>
    </w:p>
    <w:p w14:paraId="1838647D" w14:textId="77777777" w:rsidR="00893E81" w:rsidRPr="00893E81" w:rsidRDefault="00893E81" w:rsidP="00893E81">
      <w:pPr>
        <w:pStyle w:val="Paragraph"/>
        <w:rPr>
          <w:rFonts w:ascii="Times New Roman" w:hAnsi="Times New Roman" w:cs="Times New Roman"/>
          <w:sz w:val="24"/>
          <w:szCs w:val="24"/>
        </w:rPr>
      </w:pPr>
    </w:p>
    <w:p w14:paraId="2C879BCB" w14:textId="587490A4" w:rsidR="00A36FB0" w:rsidRPr="00A36FB0" w:rsidRDefault="00893E81" w:rsidP="00893E81">
      <w:pPr>
        <w:pStyle w:val="Paragraph"/>
        <w:ind w:firstLine="0"/>
        <w:rPr>
          <w:rFonts w:ascii="Times New Roman" w:hAnsi="Times New Roman" w:cs="Times New Roman"/>
          <w:sz w:val="24"/>
          <w:szCs w:val="24"/>
        </w:rPr>
      </w:pPr>
      <w:r w:rsidRPr="00893E81">
        <w:rPr>
          <w:rFonts w:ascii="Times New Roman" w:hAnsi="Times New Roman" w:cs="Times New Roman"/>
          <w:sz w:val="24"/>
          <w:szCs w:val="24"/>
        </w:rPr>
        <w:lastRenderedPageBreak/>
        <w:t xml:space="preserve">From the detailed borehole logs, essential geotechnical and geological parameters were systematically extracted for each soil stratum. The in-situ field data incorporated into the model included continuous soil classification and stratigraphy, Standard Penetration Test (SPT-N) blow counts recorded at regular depth intervals, and the </w:t>
      </w:r>
      <w:r w:rsidR="00B4467C">
        <w:rPr>
          <w:rFonts w:ascii="Times New Roman" w:hAnsi="Times New Roman" w:cs="Times New Roman"/>
          <w:sz w:val="24"/>
          <w:szCs w:val="24"/>
        </w:rPr>
        <w:t>stabilised</w:t>
      </w:r>
      <w:r w:rsidRPr="00893E81">
        <w:rPr>
          <w:rFonts w:ascii="Times New Roman" w:hAnsi="Times New Roman" w:cs="Times New Roman"/>
          <w:sz w:val="24"/>
          <w:szCs w:val="24"/>
        </w:rPr>
        <w:t xml:space="preserve"> elevation of the groundwater table. Furthermore, to accurately characterize the physical and index properties of the soil</w:t>
      </w:r>
      <w:r>
        <w:rPr>
          <w:rFonts w:ascii="Times New Roman" w:hAnsi="Times New Roman" w:cs="Times New Roman"/>
          <w:sz w:val="24"/>
          <w:szCs w:val="24"/>
        </w:rPr>
        <w:t xml:space="preserve"> </w:t>
      </w:r>
      <w:r w:rsidRPr="00893E81">
        <w:rPr>
          <w:rFonts w:ascii="Times New Roman" w:hAnsi="Times New Roman" w:cs="Times New Roman"/>
          <w:sz w:val="24"/>
          <w:szCs w:val="24"/>
        </w:rPr>
        <w:t>which directly influence strain-dependent dynamic soil behavior</w:t>
      </w:r>
      <w:r>
        <w:rPr>
          <w:rFonts w:ascii="Times New Roman" w:hAnsi="Times New Roman" w:cs="Times New Roman"/>
          <w:sz w:val="24"/>
          <w:szCs w:val="24"/>
        </w:rPr>
        <w:t xml:space="preserve">, such as modulus degradation and damping, </w:t>
      </w:r>
      <w:r w:rsidRPr="00893E81">
        <w:rPr>
          <w:rFonts w:ascii="Times New Roman" w:hAnsi="Times New Roman" w:cs="Times New Roman"/>
          <w:sz w:val="24"/>
          <w:szCs w:val="24"/>
        </w:rPr>
        <w:t>extensive laboratory test results were integrated. These laboratory parameters included natural moisture content, bulk unit weight, and Atterberg limits (Liquid Limit and Plastic Limit) to properly classify cohesive layers. The spatial distribution and zoning of all 23 boreholes utilized in this assessment are illustrated in Figure 2.</w:t>
      </w:r>
    </w:p>
    <w:p w14:paraId="69709076" w14:textId="77777777" w:rsidR="00A36FB0" w:rsidRPr="00A36FB0" w:rsidRDefault="00A36FB0" w:rsidP="00A36FB0">
      <w:pPr>
        <w:pStyle w:val="Paragraph"/>
        <w:ind w:firstLine="0"/>
        <w:rPr>
          <w:rFonts w:ascii="Times New Roman" w:hAnsi="Times New Roman" w:cs="Times New Roman"/>
          <w:sz w:val="24"/>
          <w:szCs w:val="24"/>
        </w:rPr>
      </w:pPr>
      <w:r w:rsidRPr="00A36FB0">
        <w:rPr>
          <w:rFonts w:ascii="Times New Roman" w:hAnsi="Times New Roman" w:cs="Times New Roman"/>
          <w:noProof/>
          <w:sz w:val="24"/>
          <w:szCs w:val="24"/>
        </w:rPr>
        <w:drawing>
          <wp:inline distT="0" distB="0" distL="0" distR="0" wp14:anchorId="4FD6F6DE" wp14:editId="6A97EF2E">
            <wp:extent cx="5821680" cy="4158426"/>
            <wp:effectExtent l="0" t="0" r="7620" b="0"/>
            <wp:docPr id="1942077160" name="Picture 25" descr="A map of cluster loc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77160" name="Picture 25" descr="A map of cluster locations&#10;&#10;AI-generated content may be incorrect."/>
                    <pic:cNvPicPr/>
                  </pic:nvPicPr>
                  <pic:blipFill rotWithShape="1">
                    <a:blip r:embed="rId9" cstate="print">
                      <a:extLst>
                        <a:ext uri="{28A0092B-C50C-407E-A947-70E740481C1C}">
                          <a14:useLocalDpi xmlns:a14="http://schemas.microsoft.com/office/drawing/2010/main" val="0"/>
                        </a:ext>
                      </a:extLst>
                    </a:blip>
                    <a:srcRect l="6078" r="6981"/>
                    <a:stretch>
                      <a:fillRect/>
                    </a:stretch>
                  </pic:blipFill>
                  <pic:spPr bwMode="auto">
                    <a:xfrm>
                      <a:off x="0" y="0"/>
                      <a:ext cx="5850394" cy="4178936"/>
                    </a:xfrm>
                    <a:prstGeom prst="rect">
                      <a:avLst/>
                    </a:prstGeom>
                    <a:ln>
                      <a:noFill/>
                    </a:ln>
                    <a:extLst>
                      <a:ext uri="{53640926-AAD7-44D8-BBD7-CCE9431645EC}">
                        <a14:shadowObscured xmlns:a14="http://schemas.microsoft.com/office/drawing/2010/main"/>
                      </a:ext>
                    </a:extLst>
                  </pic:spPr>
                </pic:pic>
              </a:graphicData>
            </a:graphic>
          </wp:inline>
        </w:drawing>
      </w:r>
    </w:p>
    <w:p w14:paraId="1E62F748" w14:textId="7E868DC0" w:rsidR="00A36FB0" w:rsidRDefault="00A36FB0" w:rsidP="00A36FB0">
      <w:pPr>
        <w:pStyle w:val="Paragraph"/>
        <w:ind w:firstLine="0"/>
        <w:rPr>
          <w:rFonts w:ascii="Times New Roman" w:hAnsi="Times New Roman" w:cs="Times New Roman"/>
          <w:sz w:val="24"/>
          <w:szCs w:val="24"/>
        </w:rPr>
      </w:pPr>
      <w:r w:rsidRPr="00A36FB0">
        <w:rPr>
          <w:rFonts w:ascii="Times New Roman" w:hAnsi="Times New Roman" w:cs="Times New Roman"/>
          <w:b/>
          <w:bCs/>
          <w:sz w:val="24"/>
          <w:szCs w:val="24"/>
        </w:rPr>
        <w:t xml:space="preserve">Figure 2. </w:t>
      </w:r>
      <w:r w:rsidRPr="00A36FB0">
        <w:rPr>
          <w:rFonts w:ascii="Times New Roman" w:hAnsi="Times New Roman" w:cs="Times New Roman"/>
          <w:sz w:val="24"/>
          <w:szCs w:val="24"/>
        </w:rPr>
        <w:t>Borehole locations in the SOGIP area in Sipitang, Sabah (BH1 – BH23)</w:t>
      </w:r>
    </w:p>
    <w:p w14:paraId="2144E601" w14:textId="77777777" w:rsidR="00893E81" w:rsidRPr="00A36FB0" w:rsidRDefault="00893E81" w:rsidP="00A36FB0">
      <w:pPr>
        <w:pStyle w:val="Paragraph"/>
        <w:ind w:firstLine="0"/>
        <w:rPr>
          <w:rFonts w:ascii="Times New Roman" w:hAnsi="Times New Roman" w:cs="Times New Roman"/>
          <w:b/>
          <w:bCs/>
          <w:sz w:val="24"/>
          <w:szCs w:val="24"/>
        </w:rPr>
      </w:pPr>
    </w:p>
    <w:p w14:paraId="609AFA8A" w14:textId="348A6A15" w:rsidR="00893E81" w:rsidRPr="00A36FB0" w:rsidRDefault="00A36FB0" w:rsidP="00A36FB0">
      <w:pPr>
        <w:pStyle w:val="Paragraph"/>
        <w:ind w:firstLine="0"/>
        <w:rPr>
          <w:rFonts w:ascii="Times New Roman" w:hAnsi="Times New Roman" w:cs="Times New Roman"/>
          <w:b/>
          <w:bCs/>
          <w:sz w:val="24"/>
          <w:szCs w:val="24"/>
        </w:rPr>
      </w:pPr>
      <w:r w:rsidRPr="00A36FB0">
        <w:rPr>
          <w:rFonts w:ascii="Times New Roman" w:hAnsi="Times New Roman" w:cs="Times New Roman"/>
          <w:b/>
          <w:bCs/>
          <w:sz w:val="24"/>
          <w:szCs w:val="24"/>
        </w:rPr>
        <w:t>Site Classification</w:t>
      </w:r>
    </w:p>
    <w:p w14:paraId="063B4D25" w14:textId="7AF79385" w:rsidR="00893E81" w:rsidRPr="00893E81" w:rsidRDefault="00893E81" w:rsidP="00893E81">
      <w:pPr>
        <w:pStyle w:val="Paragraph"/>
        <w:ind w:firstLine="0"/>
        <w:rPr>
          <w:rFonts w:ascii="Times New Roman" w:hAnsi="Times New Roman" w:cs="Times New Roman"/>
          <w:sz w:val="24"/>
          <w:szCs w:val="24"/>
          <w:lang w:val="en-MY"/>
        </w:rPr>
      </w:pPr>
      <w:r w:rsidRPr="00893E81">
        <w:rPr>
          <w:rFonts w:ascii="Times New Roman" w:hAnsi="Times New Roman" w:cs="Times New Roman"/>
          <w:sz w:val="24"/>
          <w:szCs w:val="24"/>
          <w:lang w:val="en-MY"/>
        </w:rPr>
        <w:t>In accordance with the Malaysian National Annex to Eurocode 8 (MS EN 1998-1:2015), the local site conditions were classified based on the geotechnical properties of the uppermost 30 meters of the subsurface profile. In the absence of direct geophysical measurements for the time-averaged shear wave velocity (V</w:t>
      </w:r>
      <w:r w:rsidRPr="00893E81">
        <w:rPr>
          <w:rFonts w:ascii="Times New Roman" w:hAnsi="Times New Roman" w:cs="Times New Roman"/>
          <w:sz w:val="24"/>
          <w:szCs w:val="24"/>
          <w:vertAlign w:val="subscript"/>
          <w:lang w:val="en-MY"/>
        </w:rPr>
        <w:t>s</w:t>
      </w:r>
      <w:r w:rsidRPr="00893E81">
        <w:rPr>
          <w:rFonts w:ascii="Times New Roman" w:hAnsi="Times New Roman" w:cs="Times New Roman"/>
          <w:sz w:val="24"/>
          <w:szCs w:val="24"/>
          <w:lang w:val="en-MY"/>
        </w:rPr>
        <w:t>), the standard permits the use of the equivalent Standard Penetration Test blow count N</w:t>
      </w:r>
      <w:r w:rsidRPr="00893E81">
        <w:rPr>
          <w:rFonts w:ascii="Times New Roman" w:hAnsi="Times New Roman" w:cs="Times New Roman"/>
          <w:sz w:val="24"/>
          <w:szCs w:val="24"/>
          <w:vertAlign w:val="subscript"/>
          <w:lang w:val="en-MY"/>
        </w:rPr>
        <w:t xml:space="preserve">SPT,30 </w:t>
      </w:r>
      <w:r w:rsidRPr="00893E81">
        <w:rPr>
          <w:rFonts w:ascii="Times New Roman" w:hAnsi="Times New Roman" w:cs="Times New Roman"/>
          <w:sz w:val="24"/>
          <w:szCs w:val="24"/>
          <w:lang w:val="en-MY"/>
        </w:rPr>
        <w:t>as a reliable empirical proxy for determining the seismic Ground Type.</w:t>
      </w:r>
    </w:p>
    <w:p w14:paraId="4F801561" w14:textId="77777777" w:rsidR="00893E81" w:rsidRDefault="00893E81" w:rsidP="00893E81">
      <w:pPr>
        <w:pStyle w:val="Paragraph"/>
        <w:ind w:firstLine="0"/>
        <w:rPr>
          <w:rFonts w:ascii="Times New Roman" w:hAnsi="Times New Roman" w:cs="Times New Roman"/>
          <w:sz w:val="24"/>
          <w:szCs w:val="24"/>
          <w:lang w:val="en-MY"/>
        </w:rPr>
      </w:pPr>
    </w:p>
    <w:p w14:paraId="46DA139E" w14:textId="658AE587" w:rsidR="00893E81" w:rsidRPr="00893E81" w:rsidRDefault="00893E81" w:rsidP="00893E81">
      <w:pPr>
        <w:pStyle w:val="Paragraph"/>
        <w:ind w:firstLine="0"/>
        <w:rPr>
          <w:rFonts w:ascii="Times New Roman" w:hAnsi="Times New Roman" w:cs="Times New Roman"/>
          <w:sz w:val="24"/>
          <w:szCs w:val="24"/>
          <w:lang w:val="en-MY"/>
        </w:rPr>
      </w:pPr>
      <w:r w:rsidRPr="00893E81">
        <w:rPr>
          <w:rFonts w:ascii="Times New Roman" w:hAnsi="Times New Roman" w:cs="Times New Roman"/>
          <w:sz w:val="24"/>
          <w:szCs w:val="24"/>
          <w:lang w:val="en-MY"/>
        </w:rPr>
        <w:t>To determine this parameter, the average SPT-N value over the upper 30 meters N</w:t>
      </w:r>
      <w:r w:rsidRPr="00893E81">
        <w:rPr>
          <w:rFonts w:ascii="Times New Roman" w:hAnsi="Times New Roman" w:cs="Times New Roman"/>
          <w:sz w:val="24"/>
          <w:szCs w:val="24"/>
          <w:vertAlign w:val="subscript"/>
          <w:lang w:val="en-MY"/>
        </w:rPr>
        <w:t xml:space="preserve">SPT,30 </w:t>
      </w:r>
      <w:r w:rsidRPr="00893E81">
        <w:rPr>
          <w:rFonts w:ascii="Times New Roman" w:hAnsi="Times New Roman" w:cs="Times New Roman"/>
          <w:sz w:val="24"/>
          <w:szCs w:val="24"/>
          <w:lang w:val="en-MY"/>
        </w:rPr>
        <w:t xml:space="preserve">was calculated using a depth-weighted harmonic mean. This methodology strictly adopts the same mathematical formulation </w:t>
      </w:r>
      <w:r w:rsidR="00B4467C">
        <w:rPr>
          <w:rFonts w:ascii="Times New Roman" w:hAnsi="Times New Roman" w:cs="Times New Roman"/>
          <w:sz w:val="24"/>
          <w:szCs w:val="24"/>
          <w:lang w:val="en-MY"/>
        </w:rPr>
        <w:t>utilised</w:t>
      </w:r>
      <w:r w:rsidRPr="00893E81">
        <w:rPr>
          <w:rFonts w:ascii="Times New Roman" w:hAnsi="Times New Roman" w:cs="Times New Roman"/>
          <w:sz w:val="24"/>
          <w:szCs w:val="24"/>
          <w:lang w:val="en-MY"/>
        </w:rPr>
        <w:t xml:space="preserve"> to calculate V</w:t>
      </w:r>
      <w:r w:rsidRPr="00893E81">
        <w:rPr>
          <w:rFonts w:ascii="Times New Roman" w:hAnsi="Times New Roman" w:cs="Times New Roman"/>
          <w:sz w:val="24"/>
          <w:szCs w:val="24"/>
          <w:vertAlign w:val="subscript"/>
          <w:lang w:val="en-MY"/>
        </w:rPr>
        <w:t xml:space="preserve">s. </w:t>
      </w:r>
      <w:r w:rsidRPr="00893E81">
        <w:rPr>
          <w:rFonts w:ascii="Times New Roman" w:hAnsi="Times New Roman" w:cs="Times New Roman"/>
          <w:sz w:val="24"/>
          <w:szCs w:val="24"/>
          <w:lang w:val="en-MY"/>
        </w:rPr>
        <w:t>Specifically, the total depth of 30 meters is divided by the sum of the ratios of each individual soil layer's thickness (h</w:t>
      </w:r>
      <w:r w:rsidRPr="00893E81">
        <w:rPr>
          <w:rFonts w:ascii="Times New Roman" w:hAnsi="Times New Roman" w:cs="Times New Roman"/>
          <w:sz w:val="24"/>
          <w:szCs w:val="24"/>
          <w:vertAlign w:val="subscript"/>
          <w:lang w:val="en-MY"/>
        </w:rPr>
        <w:t>i</w:t>
      </w:r>
      <w:r w:rsidRPr="00893E81">
        <w:rPr>
          <w:rFonts w:ascii="Times New Roman" w:hAnsi="Times New Roman" w:cs="Times New Roman"/>
          <w:sz w:val="24"/>
          <w:szCs w:val="24"/>
          <w:lang w:val="en-MY"/>
        </w:rPr>
        <w:t>) to its corresponding field SPT-N value (N</w:t>
      </w:r>
      <w:r w:rsidRPr="00893E81">
        <w:rPr>
          <w:rFonts w:ascii="Times New Roman" w:hAnsi="Times New Roman" w:cs="Times New Roman"/>
          <w:sz w:val="24"/>
          <w:szCs w:val="24"/>
          <w:vertAlign w:val="subscript"/>
          <w:lang w:val="en-MY"/>
        </w:rPr>
        <w:t>i</w:t>
      </w:r>
      <w:r w:rsidRPr="00893E81">
        <w:rPr>
          <w:rFonts w:ascii="Times New Roman" w:hAnsi="Times New Roman" w:cs="Times New Roman"/>
          <w:sz w:val="24"/>
          <w:szCs w:val="24"/>
          <w:lang w:val="en-MY"/>
        </w:rPr>
        <w:t>).</w:t>
      </w:r>
      <w:r>
        <w:rPr>
          <w:rFonts w:ascii="Times New Roman" w:hAnsi="Times New Roman" w:cs="Times New Roman"/>
          <w:sz w:val="24"/>
          <w:szCs w:val="24"/>
          <w:lang w:val="en-MY"/>
        </w:rPr>
        <w:t xml:space="preserve"> </w:t>
      </w:r>
      <w:r w:rsidRPr="00893E81">
        <w:rPr>
          <w:rFonts w:ascii="Times New Roman" w:hAnsi="Times New Roman" w:cs="Times New Roman"/>
          <w:sz w:val="24"/>
          <w:szCs w:val="24"/>
          <w:lang w:val="en-MY"/>
        </w:rPr>
        <w:t>This rigorous classification framework was systematically applied to the extensive dataset of all 23 boreholes across the SOGIP site. By evaluating the stratigraphic profile, the presence of soft cohesive layers, and the computed N</w:t>
      </w:r>
      <w:r w:rsidRPr="00893E81">
        <w:rPr>
          <w:rFonts w:ascii="Times New Roman" w:hAnsi="Times New Roman" w:cs="Times New Roman"/>
          <w:sz w:val="24"/>
          <w:szCs w:val="24"/>
          <w:vertAlign w:val="subscript"/>
          <w:lang w:val="en-MY"/>
        </w:rPr>
        <w:t xml:space="preserve">SPT,30 </w:t>
      </w:r>
      <w:r w:rsidRPr="00893E81">
        <w:rPr>
          <w:rFonts w:ascii="Times New Roman" w:hAnsi="Times New Roman" w:cs="Times New Roman"/>
          <w:sz w:val="24"/>
          <w:szCs w:val="24"/>
          <w:lang w:val="en-MY"/>
        </w:rPr>
        <w:t>values, each borehole location was assigned a specific seismic Ground Type to establish the appropriate site amplification baseline. The detailed stratigraphic parameters, calculated N</w:t>
      </w:r>
      <w:r w:rsidRPr="00893E81">
        <w:rPr>
          <w:rFonts w:ascii="Times New Roman" w:hAnsi="Times New Roman" w:cs="Times New Roman"/>
          <w:sz w:val="24"/>
          <w:szCs w:val="24"/>
          <w:vertAlign w:val="subscript"/>
          <w:lang w:val="en-MY"/>
        </w:rPr>
        <w:t xml:space="preserve">SPT,30 </w:t>
      </w:r>
      <w:r w:rsidRPr="00893E81">
        <w:rPr>
          <w:rFonts w:ascii="Times New Roman" w:hAnsi="Times New Roman" w:cs="Times New Roman"/>
          <w:sz w:val="24"/>
          <w:szCs w:val="24"/>
          <w:lang w:val="en-MY"/>
        </w:rPr>
        <w:t xml:space="preserve">values, and the resulting Eurocode 8 site classifications for the onshore pipeline, onshore facility, and marine zones are comprehensively </w:t>
      </w:r>
      <w:r w:rsidR="00B4467C">
        <w:rPr>
          <w:rFonts w:ascii="Times New Roman" w:hAnsi="Times New Roman" w:cs="Times New Roman"/>
          <w:sz w:val="24"/>
          <w:szCs w:val="24"/>
          <w:lang w:val="en-MY"/>
        </w:rPr>
        <w:t>summarised</w:t>
      </w:r>
      <w:r w:rsidRPr="00893E81">
        <w:rPr>
          <w:rFonts w:ascii="Times New Roman" w:hAnsi="Times New Roman" w:cs="Times New Roman"/>
          <w:sz w:val="24"/>
          <w:szCs w:val="24"/>
          <w:lang w:val="en-MY"/>
        </w:rPr>
        <w:t xml:space="preserve"> in Tables 1, 2, and 3, respectively.</w:t>
      </w:r>
    </w:p>
    <w:p w14:paraId="0237B1DE" w14:textId="77777777" w:rsidR="00A36FB0" w:rsidRDefault="00A36FB0" w:rsidP="00A36FB0">
      <w:pPr>
        <w:pStyle w:val="Paragraph"/>
        <w:ind w:firstLine="0"/>
        <w:rPr>
          <w:rFonts w:ascii="Times New Roman" w:hAnsi="Times New Roman" w:cs="Times New Roman"/>
          <w:sz w:val="24"/>
          <w:szCs w:val="24"/>
        </w:rPr>
      </w:pPr>
    </w:p>
    <w:p w14:paraId="119AEDB8" w14:textId="77777777" w:rsidR="00893E81" w:rsidRPr="00A36FB0" w:rsidRDefault="00893E81" w:rsidP="00A36FB0">
      <w:pPr>
        <w:pStyle w:val="Paragraph"/>
        <w:ind w:firstLine="0"/>
        <w:rPr>
          <w:rFonts w:ascii="Times New Roman" w:hAnsi="Times New Roman" w:cs="Times New Roman"/>
          <w:sz w:val="24"/>
          <w:szCs w:val="24"/>
        </w:rPr>
      </w:pPr>
    </w:p>
    <w:p w14:paraId="2DAF4C05" w14:textId="77777777" w:rsidR="00A36FB0" w:rsidRPr="00A36FB0" w:rsidRDefault="00A36FB0" w:rsidP="00A36FB0">
      <w:pPr>
        <w:pStyle w:val="Paragraph"/>
        <w:ind w:firstLine="0"/>
        <w:rPr>
          <w:rFonts w:ascii="Times New Roman" w:hAnsi="Times New Roman" w:cs="Times New Roman"/>
          <w:sz w:val="24"/>
          <w:szCs w:val="24"/>
        </w:rPr>
      </w:pPr>
      <w:r w:rsidRPr="00A36FB0">
        <w:rPr>
          <w:rFonts w:ascii="Times New Roman" w:hAnsi="Times New Roman" w:cs="Times New Roman"/>
          <w:b/>
          <w:bCs/>
          <w:sz w:val="24"/>
          <w:szCs w:val="24"/>
        </w:rPr>
        <w:lastRenderedPageBreak/>
        <w:t>Table 1.</w:t>
      </w:r>
      <w:r w:rsidRPr="00A36FB0">
        <w:rPr>
          <w:rFonts w:ascii="Times New Roman" w:hAnsi="Times New Roman" w:cs="Times New Roman"/>
          <w:sz w:val="24"/>
          <w:szCs w:val="24"/>
        </w:rPr>
        <w:t xml:space="preserve"> Soil classification based on MS ES 1998-1:2015 for Cluster 1</w:t>
      </w:r>
    </w:p>
    <w:p w14:paraId="39042267" w14:textId="77777777" w:rsidR="00A36FB0" w:rsidRPr="00A36FB0" w:rsidRDefault="00A36FB0" w:rsidP="00A36FB0">
      <w:pPr>
        <w:pStyle w:val="Paragraph"/>
        <w:ind w:firstLine="0"/>
        <w:rPr>
          <w:rFonts w:ascii="Times New Roman" w:hAnsi="Times New Roman" w:cs="Times New Roman"/>
          <w:sz w:val="24"/>
          <w:szCs w:val="24"/>
          <w:highlight w:val="yellow"/>
        </w:rPr>
      </w:pPr>
      <w:r w:rsidRPr="00A36FB0">
        <w:rPr>
          <w:rFonts w:ascii="Times New Roman" w:hAnsi="Times New Roman" w:cs="Times New Roman"/>
          <w:noProof/>
          <w:sz w:val="24"/>
          <w:szCs w:val="24"/>
        </w:rPr>
        <w:drawing>
          <wp:inline distT="0" distB="0" distL="0" distR="0" wp14:anchorId="41BC4D71" wp14:editId="0CC7BA04">
            <wp:extent cx="5088613" cy="3913200"/>
            <wp:effectExtent l="0" t="0" r="0" b="0"/>
            <wp:docPr id="380318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8613" cy="3913200"/>
                    </a:xfrm>
                    <a:prstGeom prst="rect">
                      <a:avLst/>
                    </a:prstGeom>
                    <a:noFill/>
                    <a:ln>
                      <a:noFill/>
                    </a:ln>
                  </pic:spPr>
                </pic:pic>
              </a:graphicData>
            </a:graphic>
          </wp:inline>
        </w:drawing>
      </w:r>
    </w:p>
    <w:p w14:paraId="6EA897F1" w14:textId="77777777" w:rsidR="00A36FB0" w:rsidRPr="00A36FB0" w:rsidRDefault="00A36FB0" w:rsidP="00A36FB0">
      <w:pPr>
        <w:pStyle w:val="Paragraph"/>
        <w:ind w:firstLine="0"/>
        <w:rPr>
          <w:rFonts w:ascii="Times New Roman" w:hAnsi="Times New Roman" w:cs="Times New Roman"/>
          <w:sz w:val="24"/>
          <w:szCs w:val="24"/>
          <w:highlight w:val="yellow"/>
        </w:rPr>
      </w:pPr>
    </w:p>
    <w:p w14:paraId="54D9E02D" w14:textId="77777777" w:rsidR="00A36FB0" w:rsidRPr="00A36FB0" w:rsidRDefault="00A36FB0" w:rsidP="00A36FB0">
      <w:pPr>
        <w:pStyle w:val="Paragraph"/>
        <w:ind w:firstLine="0"/>
        <w:rPr>
          <w:rFonts w:ascii="Times New Roman" w:hAnsi="Times New Roman" w:cs="Times New Roman"/>
          <w:sz w:val="24"/>
          <w:szCs w:val="24"/>
        </w:rPr>
      </w:pPr>
      <w:r w:rsidRPr="00A36FB0">
        <w:rPr>
          <w:rFonts w:ascii="Times New Roman" w:hAnsi="Times New Roman" w:cs="Times New Roman"/>
          <w:b/>
          <w:bCs/>
          <w:sz w:val="24"/>
          <w:szCs w:val="24"/>
        </w:rPr>
        <w:t>Table 2.</w:t>
      </w:r>
      <w:r w:rsidRPr="00A36FB0">
        <w:rPr>
          <w:rFonts w:ascii="Times New Roman" w:hAnsi="Times New Roman" w:cs="Times New Roman"/>
          <w:sz w:val="24"/>
          <w:szCs w:val="24"/>
        </w:rPr>
        <w:t xml:space="preserve"> Soil classification based on MS ES 1998-1:2015 for Cluster 2</w:t>
      </w:r>
    </w:p>
    <w:p w14:paraId="457A0047" w14:textId="77777777" w:rsidR="00A36FB0" w:rsidRPr="00A36FB0" w:rsidRDefault="00A36FB0" w:rsidP="00A36FB0">
      <w:pPr>
        <w:pStyle w:val="Paragraph"/>
        <w:ind w:firstLine="0"/>
        <w:rPr>
          <w:rFonts w:ascii="Times New Roman" w:hAnsi="Times New Roman" w:cs="Times New Roman"/>
          <w:sz w:val="24"/>
          <w:szCs w:val="24"/>
          <w:highlight w:val="yellow"/>
        </w:rPr>
      </w:pPr>
      <w:r w:rsidRPr="00A36FB0">
        <w:rPr>
          <w:rFonts w:ascii="Times New Roman" w:hAnsi="Times New Roman" w:cs="Times New Roman"/>
          <w:noProof/>
          <w:sz w:val="24"/>
          <w:szCs w:val="24"/>
        </w:rPr>
        <w:drawing>
          <wp:inline distT="0" distB="0" distL="0" distR="0" wp14:anchorId="7739844A" wp14:editId="1F73DAF0">
            <wp:extent cx="5090160" cy="3914086"/>
            <wp:effectExtent l="0" t="0" r="0" b="0"/>
            <wp:docPr id="178670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518" cy="3947426"/>
                    </a:xfrm>
                    <a:prstGeom prst="rect">
                      <a:avLst/>
                    </a:prstGeom>
                    <a:noFill/>
                    <a:ln>
                      <a:noFill/>
                    </a:ln>
                  </pic:spPr>
                </pic:pic>
              </a:graphicData>
            </a:graphic>
          </wp:inline>
        </w:drawing>
      </w:r>
    </w:p>
    <w:p w14:paraId="74698D24" w14:textId="77777777" w:rsidR="00A36FB0" w:rsidRPr="00A36FB0" w:rsidRDefault="00A36FB0" w:rsidP="00A36FB0">
      <w:pPr>
        <w:jc w:val="both"/>
        <w:rPr>
          <w:rFonts w:ascii="Times New Roman" w:hAnsi="Times New Roman" w:cs="Times New Roman"/>
          <w:b/>
          <w:bCs/>
          <w:szCs w:val="24"/>
          <w:highlight w:val="yellow"/>
          <w:lang w:val="en-MY"/>
        </w:rPr>
      </w:pPr>
    </w:p>
    <w:p w14:paraId="7B81CA06" w14:textId="77777777" w:rsidR="00893E81" w:rsidRDefault="00893E81" w:rsidP="00A36FB0">
      <w:pPr>
        <w:pStyle w:val="Paragraph"/>
        <w:ind w:firstLine="0"/>
        <w:rPr>
          <w:rFonts w:ascii="Times New Roman" w:hAnsi="Times New Roman" w:cs="Times New Roman"/>
          <w:b/>
          <w:bCs/>
          <w:sz w:val="24"/>
          <w:szCs w:val="24"/>
        </w:rPr>
      </w:pPr>
    </w:p>
    <w:p w14:paraId="006CA851" w14:textId="77777777" w:rsidR="00893E81" w:rsidRDefault="00893E81" w:rsidP="00A36FB0">
      <w:pPr>
        <w:pStyle w:val="Paragraph"/>
        <w:ind w:firstLine="0"/>
        <w:rPr>
          <w:rFonts w:ascii="Times New Roman" w:hAnsi="Times New Roman" w:cs="Times New Roman"/>
          <w:b/>
          <w:bCs/>
          <w:sz w:val="24"/>
          <w:szCs w:val="24"/>
        </w:rPr>
      </w:pPr>
    </w:p>
    <w:p w14:paraId="0A1A2108" w14:textId="77777777" w:rsidR="00893E81" w:rsidRDefault="00893E81" w:rsidP="00A36FB0">
      <w:pPr>
        <w:pStyle w:val="Paragraph"/>
        <w:ind w:firstLine="0"/>
        <w:rPr>
          <w:rFonts w:ascii="Times New Roman" w:hAnsi="Times New Roman" w:cs="Times New Roman"/>
          <w:b/>
          <w:bCs/>
          <w:sz w:val="24"/>
          <w:szCs w:val="24"/>
        </w:rPr>
      </w:pPr>
    </w:p>
    <w:p w14:paraId="585DAA90" w14:textId="77777777" w:rsidR="00893E81" w:rsidRDefault="00893E81" w:rsidP="00A36FB0">
      <w:pPr>
        <w:pStyle w:val="Paragraph"/>
        <w:ind w:firstLine="0"/>
        <w:rPr>
          <w:rFonts w:ascii="Times New Roman" w:hAnsi="Times New Roman" w:cs="Times New Roman"/>
          <w:b/>
          <w:bCs/>
          <w:sz w:val="24"/>
          <w:szCs w:val="24"/>
        </w:rPr>
      </w:pPr>
    </w:p>
    <w:p w14:paraId="746A7201" w14:textId="77777777" w:rsidR="00893E81" w:rsidRDefault="00893E81" w:rsidP="00A36FB0">
      <w:pPr>
        <w:pStyle w:val="Paragraph"/>
        <w:ind w:firstLine="0"/>
        <w:rPr>
          <w:rFonts w:ascii="Times New Roman" w:hAnsi="Times New Roman" w:cs="Times New Roman"/>
          <w:b/>
          <w:bCs/>
          <w:sz w:val="24"/>
          <w:szCs w:val="24"/>
        </w:rPr>
      </w:pPr>
    </w:p>
    <w:p w14:paraId="105886C2" w14:textId="1C65473B" w:rsidR="00A36FB0" w:rsidRPr="00A36FB0" w:rsidRDefault="00A36FB0" w:rsidP="00A36FB0">
      <w:pPr>
        <w:pStyle w:val="Paragraph"/>
        <w:ind w:firstLine="0"/>
        <w:rPr>
          <w:rFonts w:ascii="Times New Roman" w:hAnsi="Times New Roman" w:cs="Times New Roman"/>
          <w:sz w:val="24"/>
          <w:szCs w:val="24"/>
        </w:rPr>
      </w:pPr>
      <w:r w:rsidRPr="00A36FB0">
        <w:rPr>
          <w:rFonts w:ascii="Times New Roman" w:hAnsi="Times New Roman" w:cs="Times New Roman"/>
          <w:b/>
          <w:bCs/>
          <w:sz w:val="24"/>
          <w:szCs w:val="24"/>
        </w:rPr>
        <w:lastRenderedPageBreak/>
        <w:t>Table 3.</w:t>
      </w:r>
      <w:r w:rsidRPr="00A36FB0">
        <w:rPr>
          <w:rFonts w:ascii="Times New Roman" w:hAnsi="Times New Roman" w:cs="Times New Roman"/>
          <w:sz w:val="24"/>
          <w:szCs w:val="24"/>
        </w:rPr>
        <w:t xml:space="preserve"> Soil classification based on MS ES 1998-1:2015 for Cluster 3</w:t>
      </w:r>
    </w:p>
    <w:p w14:paraId="2F366A83" w14:textId="77777777" w:rsidR="00A36FB0" w:rsidRPr="00A36FB0" w:rsidRDefault="00A36FB0" w:rsidP="00A36FB0">
      <w:pPr>
        <w:jc w:val="both"/>
        <w:rPr>
          <w:rFonts w:ascii="Times New Roman" w:hAnsi="Times New Roman" w:cs="Times New Roman"/>
          <w:b/>
          <w:bCs/>
          <w:szCs w:val="24"/>
          <w:highlight w:val="yellow"/>
          <w:lang w:val="en-MY"/>
        </w:rPr>
      </w:pPr>
      <w:r w:rsidRPr="00A36FB0">
        <w:rPr>
          <w:rFonts w:ascii="Times New Roman" w:hAnsi="Times New Roman" w:cs="Times New Roman"/>
          <w:noProof/>
          <w:szCs w:val="24"/>
        </w:rPr>
        <w:drawing>
          <wp:inline distT="0" distB="0" distL="0" distR="0" wp14:anchorId="113F4620" wp14:editId="46A89F7F">
            <wp:extent cx="4590931" cy="3913200"/>
            <wp:effectExtent l="0" t="0" r="635" b="0"/>
            <wp:docPr id="11408581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931" cy="3913200"/>
                    </a:xfrm>
                    <a:prstGeom prst="rect">
                      <a:avLst/>
                    </a:prstGeom>
                    <a:noFill/>
                    <a:ln>
                      <a:noFill/>
                    </a:ln>
                  </pic:spPr>
                </pic:pic>
              </a:graphicData>
            </a:graphic>
          </wp:inline>
        </w:drawing>
      </w:r>
    </w:p>
    <w:p w14:paraId="46D59C47" w14:textId="77777777" w:rsidR="00A36FB0" w:rsidRPr="00A36FB0" w:rsidRDefault="00A36FB0" w:rsidP="00A36FB0">
      <w:pPr>
        <w:pStyle w:val="Paragraph"/>
        <w:ind w:firstLine="0"/>
        <w:rPr>
          <w:rFonts w:ascii="Times New Roman" w:hAnsi="Times New Roman" w:cs="Times New Roman"/>
          <w:b/>
          <w:bCs/>
          <w:sz w:val="24"/>
          <w:szCs w:val="24"/>
        </w:rPr>
      </w:pPr>
    </w:p>
    <w:p w14:paraId="55A0F99B" w14:textId="3FDAC573" w:rsidR="00A36FB0" w:rsidRPr="00A36FB0" w:rsidRDefault="00A36FB0" w:rsidP="00A36FB0">
      <w:pPr>
        <w:pStyle w:val="Paragraph"/>
        <w:ind w:firstLine="0"/>
        <w:rPr>
          <w:rFonts w:ascii="Times New Roman" w:hAnsi="Times New Roman" w:cs="Times New Roman"/>
          <w:b/>
          <w:bCs/>
          <w:sz w:val="24"/>
          <w:szCs w:val="24"/>
        </w:rPr>
      </w:pPr>
      <w:r w:rsidRPr="00A36FB0">
        <w:rPr>
          <w:rFonts w:ascii="Times New Roman" w:hAnsi="Times New Roman" w:cs="Times New Roman"/>
          <w:b/>
          <w:bCs/>
          <w:sz w:val="24"/>
          <w:szCs w:val="24"/>
        </w:rPr>
        <w:t>Soil Parameters Input</w:t>
      </w:r>
    </w:p>
    <w:p w14:paraId="1B949D3B" w14:textId="2607B0E5" w:rsidR="00A36FB0" w:rsidRPr="00A36FB0" w:rsidRDefault="00A36FB0" w:rsidP="00A36FB0">
      <w:pPr>
        <w:pStyle w:val="Paragraph"/>
        <w:ind w:firstLine="0"/>
        <w:rPr>
          <w:rFonts w:ascii="Times New Roman" w:hAnsi="Times New Roman" w:cs="Times New Roman"/>
          <w:sz w:val="24"/>
          <w:szCs w:val="24"/>
        </w:rPr>
      </w:pPr>
      <w:r w:rsidRPr="00A36FB0">
        <w:rPr>
          <w:rFonts w:ascii="Times New Roman" w:hAnsi="Times New Roman" w:cs="Times New Roman"/>
          <w:sz w:val="24"/>
          <w:szCs w:val="24"/>
        </w:rPr>
        <w:t xml:space="preserve">Soil parameters used in the site response analysis were derived from 23 borehole logs and laboratory test data across the SOGIP area in Sipitang, Sabah. Key parameters include unit weight, </w:t>
      </w:r>
      <w:r w:rsidR="00DC614E">
        <w:rPr>
          <w:rFonts w:ascii="Times New Roman" w:hAnsi="Times New Roman" w:cs="Times New Roman"/>
          <w:sz w:val="24"/>
          <w:szCs w:val="24"/>
        </w:rPr>
        <w:t>shear-wave velocity (Vs), damping ratio, and modulus-reduction</w:t>
      </w:r>
      <w:r w:rsidRPr="00A36FB0">
        <w:rPr>
          <w:rFonts w:ascii="Times New Roman" w:hAnsi="Times New Roman" w:cs="Times New Roman"/>
          <w:sz w:val="24"/>
          <w:szCs w:val="24"/>
        </w:rPr>
        <w:t xml:space="preserve"> curves. These parameters were essential for modelling the dynamic behaviour of subsoil layers under earthquake loading.</w:t>
      </w:r>
    </w:p>
    <w:p w14:paraId="2F60A5D2" w14:textId="77777777" w:rsidR="00A36FB0" w:rsidRPr="00A36FB0" w:rsidRDefault="00A36FB0" w:rsidP="00A36FB0">
      <w:pPr>
        <w:pStyle w:val="Paragraph"/>
        <w:ind w:firstLine="0"/>
        <w:rPr>
          <w:rFonts w:ascii="Times New Roman" w:hAnsi="Times New Roman" w:cs="Times New Roman"/>
          <w:sz w:val="24"/>
          <w:szCs w:val="24"/>
        </w:rPr>
      </w:pPr>
    </w:p>
    <w:p w14:paraId="29C62469" w14:textId="52E296F2" w:rsidR="00A36FB0" w:rsidRPr="00A36FB0" w:rsidRDefault="00A36FB0" w:rsidP="00A36FB0">
      <w:pPr>
        <w:pStyle w:val="Paragraph"/>
        <w:ind w:firstLine="0"/>
        <w:rPr>
          <w:rFonts w:ascii="Times New Roman" w:hAnsi="Times New Roman" w:cs="Times New Roman"/>
          <w:sz w:val="24"/>
          <w:szCs w:val="24"/>
        </w:rPr>
      </w:pPr>
      <w:r w:rsidRPr="00A36FB0">
        <w:rPr>
          <w:rFonts w:ascii="Times New Roman" w:hAnsi="Times New Roman" w:cs="Times New Roman"/>
          <w:sz w:val="24"/>
          <w:szCs w:val="24"/>
        </w:rPr>
        <w:t xml:space="preserve">Standard Penetration Test (SPT) values were used to estimate shear wave velocity </w:t>
      </w:r>
      <w:r w:rsidR="00DC614E">
        <w:rPr>
          <w:rFonts w:ascii="Times New Roman" w:hAnsi="Times New Roman" w:cs="Times New Roman"/>
          <w:sz w:val="24"/>
          <w:szCs w:val="24"/>
        </w:rPr>
        <w:t>when direct measurements were unavailable, using well-established empirical correlations appropriate</w:t>
      </w:r>
      <w:r w:rsidRPr="00A36FB0">
        <w:rPr>
          <w:rFonts w:ascii="Times New Roman" w:hAnsi="Times New Roman" w:cs="Times New Roman"/>
          <w:sz w:val="24"/>
          <w:szCs w:val="24"/>
        </w:rPr>
        <w:t xml:space="preserve"> for local soil conditions. Laboratory tests such as Atterberg limits, grain size distribution (sieve and hydrometer), and oedometer tests provided information on soil classification, compressibility, and consistency. </w:t>
      </w:r>
      <w:r w:rsidR="006F5214" w:rsidRPr="006F5214">
        <w:rPr>
          <w:rFonts w:ascii="Times New Roman" w:hAnsi="Times New Roman" w:cs="Times New Roman"/>
          <w:sz w:val="24"/>
          <w:szCs w:val="24"/>
        </w:rPr>
        <w:t xml:space="preserve">Strain-dependent damping ratios and shear modulus degradation curves were assigned based on soil classification, </w:t>
      </w:r>
      <w:r w:rsidR="00B4467C">
        <w:rPr>
          <w:rFonts w:ascii="Times New Roman" w:hAnsi="Times New Roman" w:cs="Times New Roman"/>
          <w:sz w:val="24"/>
          <w:szCs w:val="24"/>
        </w:rPr>
        <w:t>utilising</w:t>
      </w:r>
      <w:r w:rsidR="006F5214" w:rsidRPr="006F5214">
        <w:rPr>
          <w:rFonts w:ascii="Times New Roman" w:hAnsi="Times New Roman" w:cs="Times New Roman"/>
          <w:sz w:val="24"/>
          <w:szCs w:val="24"/>
        </w:rPr>
        <w:t xml:space="preserve"> the classical models of Seed and Idriss (1970) for granular soils and Vucetic and Dobry (1991) for cohesive soils. Although more recent pressure-dependent models exist in the literature, the Vucetic and Dobry (1991) curves were explicitly adopted because they remain a highly robust and industry-standard method for capturing the plasticity-dependent nonlinear </w:t>
      </w:r>
      <w:r w:rsidR="00B4467C">
        <w:rPr>
          <w:rFonts w:ascii="Times New Roman" w:hAnsi="Times New Roman" w:cs="Times New Roman"/>
          <w:sz w:val="24"/>
          <w:szCs w:val="24"/>
        </w:rPr>
        <w:t>behaviour</w:t>
      </w:r>
      <w:r w:rsidR="006F5214" w:rsidRPr="006F5214">
        <w:rPr>
          <w:rFonts w:ascii="Times New Roman" w:hAnsi="Times New Roman" w:cs="Times New Roman"/>
          <w:sz w:val="24"/>
          <w:szCs w:val="24"/>
        </w:rPr>
        <w:t xml:space="preserve"> of the distinct cohesive marine clays present at the SOGIP site. These established curves provide a conservative and widely validated baseline for the equivalent-linear site response modelling </w:t>
      </w:r>
      <w:r w:rsidR="00B4467C">
        <w:rPr>
          <w:rFonts w:ascii="Times New Roman" w:hAnsi="Times New Roman" w:cs="Times New Roman"/>
          <w:sz w:val="24"/>
          <w:szCs w:val="24"/>
        </w:rPr>
        <w:t>utilised</w:t>
      </w:r>
      <w:r w:rsidR="006F5214" w:rsidRPr="006F5214">
        <w:rPr>
          <w:rFonts w:ascii="Times New Roman" w:hAnsi="Times New Roman" w:cs="Times New Roman"/>
          <w:sz w:val="24"/>
          <w:szCs w:val="24"/>
        </w:rPr>
        <w:t xml:space="preserve"> in this study</w:t>
      </w:r>
      <w:r w:rsidR="006F5214">
        <w:rPr>
          <w:rFonts w:ascii="Times New Roman" w:hAnsi="Times New Roman" w:cs="Times New Roman"/>
          <w:sz w:val="24"/>
          <w:szCs w:val="24"/>
        </w:rPr>
        <w:t xml:space="preserve">. </w:t>
      </w:r>
    </w:p>
    <w:p w14:paraId="316F8FAF" w14:textId="77777777" w:rsidR="00A36FB0" w:rsidRPr="00A36FB0" w:rsidRDefault="00A36FB0" w:rsidP="00A36FB0">
      <w:pPr>
        <w:pStyle w:val="Paragraph"/>
        <w:ind w:firstLine="0"/>
        <w:rPr>
          <w:rFonts w:ascii="Times New Roman" w:hAnsi="Times New Roman" w:cs="Times New Roman"/>
          <w:sz w:val="24"/>
          <w:szCs w:val="24"/>
        </w:rPr>
      </w:pPr>
    </w:p>
    <w:p w14:paraId="1FE8079D" w14:textId="5A660CBD" w:rsidR="00A36FB0" w:rsidRPr="00A36FB0" w:rsidRDefault="00A36FB0" w:rsidP="00A36FB0">
      <w:pPr>
        <w:pStyle w:val="Paragraph"/>
        <w:ind w:firstLine="0"/>
        <w:rPr>
          <w:rFonts w:ascii="Times New Roman" w:hAnsi="Times New Roman" w:cs="Times New Roman"/>
          <w:sz w:val="24"/>
          <w:szCs w:val="24"/>
        </w:rPr>
      </w:pPr>
      <w:r w:rsidRPr="00A36FB0">
        <w:rPr>
          <w:rFonts w:ascii="Times New Roman" w:hAnsi="Times New Roman" w:cs="Times New Roman"/>
          <w:sz w:val="24"/>
          <w:szCs w:val="24"/>
        </w:rPr>
        <w:t xml:space="preserve">The soil profile was simplified into representative layers for each borehole, and dynamic properties were assigned accordingly. These inputs formed the basis for </w:t>
      </w:r>
      <w:r>
        <w:rPr>
          <w:rFonts w:ascii="Times New Roman" w:hAnsi="Times New Roman" w:cs="Times New Roman"/>
          <w:sz w:val="24"/>
          <w:szCs w:val="24"/>
        </w:rPr>
        <w:t xml:space="preserve">a one-dimensional equivalent-linear analysis using software </w:t>
      </w:r>
      <w:r w:rsidRPr="00A36FB0">
        <w:rPr>
          <w:rFonts w:ascii="Times New Roman" w:hAnsi="Times New Roman" w:cs="Times New Roman"/>
          <w:sz w:val="24"/>
          <w:szCs w:val="24"/>
        </w:rPr>
        <w:t xml:space="preserve">such as DEEPSOIL. </w:t>
      </w:r>
      <w:r w:rsidRPr="00A36FB0">
        <w:rPr>
          <w:rFonts w:ascii="Times New Roman" w:hAnsi="Times New Roman" w:cs="Times New Roman"/>
          <w:b/>
          <w:bCs/>
          <w:sz w:val="24"/>
          <w:szCs w:val="24"/>
        </w:rPr>
        <w:t>Tables 4, 5</w:t>
      </w:r>
      <w:r w:rsidRPr="00A36FB0">
        <w:rPr>
          <w:rFonts w:ascii="Times New Roman" w:hAnsi="Times New Roman" w:cs="Times New Roman"/>
          <w:sz w:val="24"/>
          <w:szCs w:val="24"/>
        </w:rPr>
        <w:t xml:space="preserve">, and </w:t>
      </w:r>
      <w:r w:rsidRPr="00A36FB0">
        <w:rPr>
          <w:rFonts w:ascii="Times New Roman" w:hAnsi="Times New Roman" w:cs="Times New Roman"/>
          <w:b/>
          <w:bCs/>
          <w:sz w:val="24"/>
          <w:szCs w:val="24"/>
        </w:rPr>
        <w:t>6</w:t>
      </w:r>
      <w:r w:rsidRPr="00A36FB0">
        <w:rPr>
          <w:rFonts w:ascii="Times New Roman" w:hAnsi="Times New Roman" w:cs="Times New Roman"/>
          <w:sz w:val="24"/>
          <w:szCs w:val="24"/>
        </w:rPr>
        <w:t xml:space="preserve"> are examples of summarising the soil input parameters prepared for this research project.</w:t>
      </w:r>
    </w:p>
    <w:p w14:paraId="2378E01D" w14:textId="77777777" w:rsidR="00A36FB0" w:rsidRDefault="00A36FB0" w:rsidP="00A36FB0">
      <w:pPr>
        <w:pStyle w:val="Paragraph"/>
        <w:ind w:firstLine="0"/>
        <w:rPr>
          <w:rFonts w:ascii="Times New Roman" w:hAnsi="Times New Roman" w:cs="Times New Roman"/>
          <w:b/>
          <w:bCs/>
          <w:sz w:val="24"/>
          <w:szCs w:val="24"/>
        </w:rPr>
      </w:pPr>
    </w:p>
    <w:p w14:paraId="1C3EC3BF" w14:textId="77777777" w:rsidR="00A36FB0" w:rsidRDefault="00A36FB0" w:rsidP="00A36FB0">
      <w:pPr>
        <w:pStyle w:val="Paragraph"/>
        <w:ind w:firstLine="0"/>
        <w:rPr>
          <w:rFonts w:ascii="Times New Roman" w:hAnsi="Times New Roman" w:cs="Times New Roman"/>
          <w:b/>
          <w:bCs/>
          <w:sz w:val="24"/>
          <w:szCs w:val="24"/>
        </w:rPr>
      </w:pPr>
    </w:p>
    <w:p w14:paraId="1DD6F23A" w14:textId="77777777" w:rsidR="00A36FB0" w:rsidRDefault="00A36FB0" w:rsidP="00A36FB0">
      <w:pPr>
        <w:pStyle w:val="Paragraph"/>
        <w:ind w:firstLine="0"/>
        <w:rPr>
          <w:rFonts w:ascii="Times New Roman" w:hAnsi="Times New Roman" w:cs="Times New Roman"/>
          <w:b/>
          <w:bCs/>
          <w:sz w:val="24"/>
          <w:szCs w:val="24"/>
        </w:rPr>
      </w:pPr>
    </w:p>
    <w:p w14:paraId="4D5509B3" w14:textId="77777777" w:rsidR="00A36FB0" w:rsidRDefault="00A36FB0" w:rsidP="00A36FB0">
      <w:pPr>
        <w:pStyle w:val="Paragraph"/>
        <w:ind w:firstLine="0"/>
        <w:rPr>
          <w:rFonts w:ascii="Times New Roman" w:hAnsi="Times New Roman" w:cs="Times New Roman"/>
          <w:b/>
          <w:bCs/>
          <w:sz w:val="24"/>
          <w:szCs w:val="24"/>
        </w:rPr>
      </w:pPr>
    </w:p>
    <w:p w14:paraId="149F4B45" w14:textId="77777777" w:rsidR="00A36FB0" w:rsidRDefault="00A36FB0" w:rsidP="00A36FB0">
      <w:pPr>
        <w:pStyle w:val="Paragraph"/>
        <w:ind w:firstLine="0"/>
        <w:rPr>
          <w:rFonts w:ascii="Times New Roman" w:hAnsi="Times New Roman" w:cs="Times New Roman"/>
          <w:b/>
          <w:bCs/>
          <w:sz w:val="24"/>
          <w:szCs w:val="24"/>
        </w:rPr>
      </w:pPr>
    </w:p>
    <w:p w14:paraId="1E78AAA7" w14:textId="77777777" w:rsidR="00A36FB0" w:rsidRDefault="00A36FB0" w:rsidP="00A36FB0">
      <w:pPr>
        <w:pStyle w:val="Paragraph"/>
        <w:ind w:firstLine="0"/>
        <w:rPr>
          <w:rFonts w:ascii="Times New Roman" w:hAnsi="Times New Roman" w:cs="Times New Roman"/>
          <w:b/>
          <w:bCs/>
          <w:sz w:val="24"/>
          <w:szCs w:val="24"/>
        </w:rPr>
      </w:pPr>
    </w:p>
    <w:p w14:paraId="6CD88420" w14:textId="77777777" w:rsidR="00A36FB0" w:rsidRDefault="00A36FB0" w:rsidP="00A36FB0">
      <w:pPr>
        <w:pStyle w:val="Paragraph"/>
        <w:ind w:firstLine="0"/>
        <w:rPr>
          <w:rFonts w:ascii="Times New Roman" w:hAnsi="Times New Roman" w:cs="Times New Roman"/>
          <w:b/>
          <w:bCs/>
          <w:sz w:val="24"/>
          <w:szCs w:val="24"/>
        </w:rPr>
      </w:pPr>
    </w:p>
    <w:p w14:paraId="2D70CED2" w14:textId="77777777" w:rsidR="00A36FB0" w:rsidRPr="00A36FB0" w:rsidRDefault="00A36FB0" w:rsidP="00A36FB0">
      <w:pPr>
        <w:pStyle w:val="Paragraph"/>
        <w:ind w:firstLine="0"/>
        <w:rPr>
          <w:rFonts w:ascii="Times New Roman" w:hAnsi="Times New Roman" w:cs="Times New Roman"/>
          <w:b/>
          <w:bCs/>
          <w:sz w:val="24"/>
          <w:szCs w:val="24"/>
        </w:rPr>
      </w:pPr>
    </w:p>
    <w:p w14:paraId="6F3A7659" w14:textId="77777777" w:rsidR="00A36FB0" w:rsidRPr="00A36FB0" w:rsidRDefault="00A36FB0" w:rsidP="00A36FB0">
      <w:pPr>
        <w:pStyle w:val="Paragraph"/>
        <w:ind w:firstLine="0"/>
        <w:rPr>
          <w:rFonts w:ascii="Times New Roman" w:hAnsi="Times New Roman" w:cs="Times New Roman"/>
          <w:b/>
          <w:bCs/>
          <w:sz w:val="24"/>
          <w:szCs w:val="24"/>
        </w:rPr>
      </w:pPr>
      <w:r w:rsidRPr="00A36FB0">
        <w:rPr>
          <w:rFonts w:ascii="Times New Roman" w:hAnsi="Times New Roman" w:cs="Times New Roman"/>
          <w:b/>
          <w:bCs/>
          <w:sz w:val="24"/>
          <w:szCs w:val="24"/>
        </w:rPr>
        <w:lastRenderedPageBreak/>
        <w:t xml:space="preserve">Table 4. </w:t>
      </w:r>
      <w:r w:rsidRPr="00A36FB0">
        <w:rPr>
          <w:rFonts w:ascii="Times New Roman" w:hAnsi="Times New Roman" w:cs="Times New Roman"/>
          <w:sz w:val="24"/>
          <w:szCs w:val="24"/>
        </w:rPr>
        <w:t>Example of soil parameters input for soil response analysis</w:t>
      </w:r>
    </w:p>
    <w:p w14:paraId="30DB2EEA" w14:textId="77777777" w:rsidR="00A36FB0" w:rsidRPr="00A36FB0" w:rsidRDefault="00A36FB0" w:rsidP="00A36FB0">
      <w:pPr>
        <w:pStyle w:val="Paragraph"/>
        <w:ind w:firstLine="0"/>
        <w:rPr>
          <w:rFonts w:ascii="Times New Roman" w:hAnsi="Times New Roman" w:cs="Times New Roman"/>
          <w:b/>
          <w:bCs/>
          <w:sz w:val="24"/>
          <w:szCs w:val="24"/>
        </w:rPr>
      </w:pPr>
      <w:r w:rsidRPr="00A36FB0">
        <w:rPr>
          <w:rFonts w:ascii="Times New Roman" w:hAnsi="Times New Roman" w:cs="Times New Roman"/>
          <w:noProof/>
          <w:sz w:val="24"/>
          <w:szCs w:val="24"/>
        </w:rPr>
        <w:drawing>
          <wp:inline distT="0" distB="0" distL="0" distR="0" wp14:anchorId="07C6ABE9" wp14:editId="714C08B1">
            <wp:extent cx="6573520" cy="4229260"/>
            <wp:effectExtent l="0" t="0" r="0" b="0"/>
            <wp:docPr id="19621685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5358" cy="4281913"/>
                    </a:xfrm>
                    <a:prstGeom prst="rect">
                      <a:avLst/>
                    </a:prstGeom>
                    <a:noFill/>
                    <a:ln>
                      <a:noFill/>
                    </a:ln>
                  </pic:spPr>
                </pic:pic>
              </a:graphicData>
            </a:graphic>
          </wp:inline>
        </w:drawing>
      </w:r>
    </w:p>
    <w:p w14:paraId="0E19410F" w14:textId="77777777" w:rsidR="00A36FB0" w:rsidRPr="00A36FB0" w:rsidRDefault="00A36FB0" w:rsidP="00A36FB0">
      <w:pPr>
        <w:pStyle w:val="Paragraph"/>
        <w:ind w:firstLine="0"/>
        <w:rPr>
          <w:rFonts w:ascii="Times New Roman" w:hAnsi="Times New Roman" w:cs="Times New Roman"/>
          <w:b/>
          <w:bCs/>
          <w:sz w:val="24"/>
          <w:szCs w:val="24"/>
        </w:rPr>
      </w:pPr>
    </w:p>
    <w:p w14:paraId="63A3A724" w14:textId="0AAF9CA6" w:rsidR="00A36FB0" w:rsidRPr="00A36FB0" w:rsidRDefault="00A36FB0" w:rsidP="00A36FB0">
      <w:pPr>
        <w:pStyle w:val="Paragraph"/>
        <w:ind w:firstLine="0"/>
        <w:rPr>
          <w:rFonts w:ascii="Times New Roman" w:hAnsi="Times New Roman" w:cs="Times New Roman"/>
          <w:b/>
          <w:bCs/>
          <w:sz w:val="24"/>
          <w:szCs w:val="24"/>
        </w:rPr>
      </w:pPr>
      <w:r w:rsidRPr="00A36FB0">
        <w:rPr>
          <w:rFonts w:ascii="Times New Roman" w:hAnsi="Times New Roman" w:cs="Times New Roman"/>
          <w:b/>
          <w:bCs/>
          <w:sz w:val="24"/>
          <w:szCs w:val="24"/>
        </w:rPr>
        <w:t xml:space="preserve">Table 5. </w:t>
      </w:r>
      <w:r w:rsidRPr="00A36FB0">
        <w:rPr>
          <w:rFonts w:ascii="Times New Roman" w:hAnsi="Times New Roman" w:cs="Times New Roman"/>
          <w:sz w:val="24"/>
          <w:szCs w:val="24"/>
        </w:rPr>
        <w:t>Example of soil parameters input for soil response analysis (continued)</w:t>
      </w:r>
    </w:p>
    <w:p w14:paraId="184FEBA5" w14:textId="77777777" w:rsidR="00A36FB0" w:rsidRPr="00A36FB0" w:rsidRDefault="00A36FB0" w:rsidP="00A36FB0">
      <w:pPr>
        <w:pStyle w:val="Paragraph"/>
        <w:ind w:firstLine="0"/>
        <w:rPr>
          <w:rFonts w:ascii="Times New Roman" w:hAnsi="Times New Roman" w:cs="Times New Roman"/>
          <w:b/>
          <w:bCs/>
          <w:sz w:val="24"/>
          <w:szCs w:val="24"/>
        </w:rPr>
      </w:pPr>
      <w:r w:rsidRPr="00A36FB0">
        <w:rPr>
          <w:rFonts w:ascii="Times New Roman" w:hAnsi="Times New Roman" w:cs="Times New Roman"/>
          <w:noProof/>
          <w:sz w:val="24"/>
          <w:szCs w:val="24"/>
        </w:rPr>
        <w:drawing>
          <wp:inline distT="0" distB="0" distL="0" distR="0" wp14:anchorId="6888E5E1" wp14:editId="33076ACD">
            <wp:extent cx="6532880" cy="4343941"/>
            <wp:effectExtent l="0" t="0" r="1270" b="0"/>
            <wp:docPr id="16566632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5993" cy="4359310"/>
                    </a:xfrm>
                    <a:prstGeom prst="rect">
                      <a:avLst/>
                    </a:prstGeom>
                    <a:noFill/>
                    <a:ln>
                      <a:noFill/>
                    </a:ln>
                  </pic:spPr>
                </pic:pic>
              </a:graphicData>
            </a:graphic>
          </wp:inline>
        </w:drawing>
      </w:r>
    </w:p>
    <w:p w14:paraId="5CA3510C" w14:textId="77777777" w:rsidR="00A36FB0" w:rsidRPr="00A36FB0" w:rsidRDefault="00A36FB0" w:rsidP="00A36FB0">
      <w:pPr>
        <w:pStyle w:val="Paragraph"/>
        <w:ind w:firstLine="0"/>
        <w:rPr>
          <w:rFonts w:ascii="Times New Roman" w:hAnsi="Times New Roman" w:cs="Times New Roman"/>
          <w:b/>
          <w:bCs/>
          <w:sz w:val="24"/>
          <w:szCs w:val="24"/>
        </w:rPr>
      </w:pPr>
    </w:p>
    <w:p w14:paraId="4D0FCB11" w14:textId="79E18B20" w:rsidR="00A36FB0" w:rsidRPr="00A36FB0" w:rsidRDefault="00A36FB0" w:rsidP="00A36FB0">
      <w:pPr>
        <w:pStyle w:val="Paragraph"/>
        <w:ind w:firstLine="0"/>
        <w:rPr>
          <w:rFonts w:ascii="Times New Roman" w:hAnsi="Times New Roman" w:cs="Times New Roman"/>
          <w:b/>
          <w:bCs/>
          <w:sz w:val="24"/>
          <w:szCs w:val="24"/>
        </w:rPr>
      </w:pPr>
      <w:r w:rsidRPr="00A36FB0">
        <w:rPr>
          <w:rFonts w:ascii="Times New Roman" w:hAnsi="Times New Roman" w:cs="Times New Roman"/>
          <w:b/>
          <w:bCs/>
          <w:sz w:val="24"/>
          <w:szCs w:val="24"/>
        </w:rPr>
        <w:lastRenderedPageBreak/>
        <w:t xml:space="preserve">Table 6. </w:t>
      </w:r>
      <w:r w:rsidRPr="00A36FB0">
        <w:rPr>
          <w:rFonts w:ascii="Times New Roman" w:hAnsi="Times New Roman" w:cs="Times New Roman"/>
          <w:sz w:val="24"/>
          <w:szCs w:val="24"/>
        </w:rPr>
        <w:t>Example of soil parameters input for soil response analysis (continued)</w:t>
      </w:r>
    </w:p>
    <w:p w14:paraId="71EE38DE" w14:textId="77777777" w:rsidR="00A36FB0" w:rsidRPr="00A36FB0" w:rsidRDefault="00A36FB0" w:rsidP="00A36FB0">
      <w:pPr>
        <w:pStyle w:val="Paragraph"/>
        <w:ind w:firstLine="0"/>
        <w:rPr>
          <w:rFonts w:ascii="Times New Roman" w:hAnsi="Times New Roman" w:cs="Times New Roman"/>
          <w:b/>
          <w:bCs/>
          <w:sz w:val="24"/>
          <w:szCs w:val="24"/>
        </w:rPr>
      </w:pPr>
    </w:p>
    <w:p w14:paraId="5B0899DA" w14:textId="77777777" w:rsidR="00A36FB0" w:rsidRPr="00A36FB0" w:rsidRDefault="00A36FB0" w:rsidP="00A36FB0">
      <w:pPr>
        <w:pStyle w:val="Paragraph"/>
        <w:ind w:firstLine="0"/>
        <w:rPr>
          <w:rFonts w:ascii="Times New Roman" w:hAnsi="Times New Roman" w:cs="Times New Roman"/>
          <w:b/>
          <w:bCs/>
          <w:sz w:val="24"/>
          <w:szCs w:val="24"/>
        </w:rPr>
      </w:pPr>
      <w:r w:rsidRPr="00A36FB0">
        <w:rPr>
          <w:rFonts w:ascii="Times New Roman" w:hAnsi="Times New Roman" w:cs="Times New Roman"/>
          <w:noProof/>
          <w:sz w:val="24"/>
          <w:szCs w:val="24"/>
        </w:rPr>
        <w:drawing>
          <wp:inline distT="0" distB="0" distL="0" distR="0" wp14:anchorId="6978BBE0" wp14:editId="7BC3A9CD">
            <wp:extent cx="6521913" cy="3901440"/>
            <wp:effectExtent l="0" t="0" r="0" b="3810"/>
            <wp:docPr id="17539826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a:extLst>
                        <a:ext uri="{28A0092B-C50C-407E-A947-70E740481C1C}">
                          <a14:useLocalDpi xmlns:a14="http://schemas.microsoft.com/office/drawing/2010/main" val="0"/>
                        </a:ext>
                      </a:extLst>
                    </a:blip>
                    <a:srcRect r="7420" b="3898"/>
                    <a:stretch>
                      <a:fillRect/>
                    </a:stretch>
                  </pic:blipFill>
                  <pic:spPr bwMode="auto">
                    <a:xfrm>
                      <a:off x="0" y="0"/>
                      <a:ext cx="6633026" cy="3967908"/>
                    </a:xfrm>
                    <a:prstGeom prst="rect">
                      <a:avLst/>
                    </a:prstGeom>
                    <a:noFill/>
                    <a:ln>
                      <a:noFill/>
                    </a:ln>
                    <a:extLst>
                      <a:ext uri="{53640926-AAD7-44D8-BBD7-CCE9431645EC}">
                        <a14:shadowObscured xmlns:a14="http://schemas.microsoft.com/office/drawing/2010/main"/>
                      </a:ext>
                    </a:extLst>
                  </pic:spPr>
                </pic:pic>
              </a:graphicData>
            </a:graphic>
          </wp:inline>
        </w:drawing>
      </w:r>
    </w:p>
    <w:p w14:paraId="74032E1D" w14:textId="77777777" w:rsidR="00A36FB0" w:rsidRDefault="00A36FB0" w:rsidP="00A36FB0">
      <w:pPr>
        <w:pStyle w:val="Paragraph"/>
        <w:ind w:firstLine="0"/>
        <w:rPr>
          <w:rFonts w:ascii="Times New Roman" w:hAnsi="Times New Roman" w:cs="Times New Roman"/>
          <w:b/>
          <w:bCs/>
          <w:sz w:val="24"/>
          <w:szCs w:val="24"/>
        </w:rPr>
      </w:pPr>
    </w:p>
    <w:p w14:paraId="03D58E14" w14:textId="77777777" w:rsidR="009B38C2" w:rsidRDefault="009B38C2" w:rsidP="00A36FB0">
      <w:pPr>
        <w:pStyle w:val="Paragraph"/>
        <w:ind w:firstLine="0"/>
        <w:rPr>
          <w:rFonts w:ascii="Times New Roman" w:hAnsi="Times New Roman" w:cs="Times New Roman"/>
          <w:b/>
          <w:bCs/>
          <w:sz w:val="24"/>
          <w:szCs w:val="24"/>
        </w:rPr>
      </w:pPr>
    </w:p>
    <w:p w14:paraId="60DA2911" w14:textId="77777777" w:rsidR="009B38C2" w:rsidRPr="00A36FB0" w:rsidRDefault="009B38C2" w:rsidP="00A36FB0">
      <w:pPr>
        <w:pStyle w:val="Paragraph"/>
        <w:ind w:firstLine="0"/>
        <w:rPr>
          <w:rFonts w:ascii="Times New Roman" w:hAnsi="Times New Roman" w:cs="Times New Roman"/>
          <w:b/>
          <w:bCs/>
          <w:sz w:val="24"/>
          <w:szCs w:val="24"/>
        </w:rPr>
      </w:pPr>
    </w:p>
    <w:p w14:paraId="390CFA48" w14:textId="215FFD98" w:rsidR="00A36FB0" w:rsidRPr="00A36FB0" w:rsidRDefault="00A36FB0" w:rsidP="00A36FB0">
      <w:pPr>
        <w:pStyle w:val="Paragraph"/>
        <w:ind w:firstLine="0"/>
        <w:rPr>
          <w:rFonts w:ascii="Times New Roman" w:hAnsi="Times New Roman" w:cs="Times New Roman"/>
          <w:b/>
          <w:bCs/>
          <w:sz w:val="24"/>
          <w:szCs w:val="24"/>
        </w:rPr>
      </w:pPr>
      <w:r w:rsidRPr="00A36FB0">
        <w:rPr>
          <w:rFonts w:ascii="Times New Roman" w:hAnsi="Times New Roman" w:cs="Times New Roman"/>
          <w:b/>
          <w:bCs/>
          <w:sz w:val="24"/>
          <w:szCs w:val="24"/>
        </w:rPr>
        <w:t>Input Ground Motions</w:t>
      </w:r>
    </w:p>
    <w:p w14:paraId="41EA7DCA" w14:textId="0CA77048" w:rsidR="00A36FB0" w:rsidRPr="00A36FB0" w:rsidRDefault="00A36FB0" w:rsidP="00A36FB0">
      <w:pPr>
        <w:pStyle w:val="Paragraph"/>
        <w:ind w:firstLine="0"/>
        <w:rPr>
          <w:rFonts w:ascii="Times New Roman" w:hAnsi="Times New Roman" w:cs="Times New Roman"/>
          <w:sz w:val="24"/>
          <w:szCs w:val="24"/>
          <w:lang w:val="en-MY"/>
        </w:rPr>
      </w:pPr>
      <w:r w:rsidRPr="00A36FB0">
        <w:rPr>
          <w:rFonts w:ascii="Times New Roman" w:hAnsi="Times New Roman" w:cs="Times New Roman"/>
          <w:sz w:val="24"/>
          <w:szCs w:val="24"/>
          <w:lang w:val="en-MY"/>
        </w:rPr>
        <w:t>A minimum of three (3) input ground motions were selected to generate the site-specific soil response from the bedrock. These include records from the 1995 Kobe</w:t>
      </w:r>
      <w:r w:rsidR="00483C75">
        <w:rPr>
          <w:rFonts w:ascii="Times New Roman" w:hAnsi="Times New Roman" w:cs="Times New Roman"/>
          <w:sz w:val="24"/>
          <w:szCs w:val="24"/>
          <w:lang w:val="en-MY"/>
        </w:rPr>
        <w:t>, 1999 Chi-Chi, and 1999 Kocaeli earthquakes</w:t>
      </w:r>
      <w:r w:rsidRPr="00A36FB0">
        <w:rPr>
          <w:rFonts w:ascii="Times New Roman" w:hAnsi="Times New Roman" w:cs="Times New Roman"/>
          <w:sz w:val="24"/>
          <w:szCs w:val="24"/>
          <w:lang w:val="en-MY"/>
        </w:rPr>
        <w:t xml:space="preserve">. </w:t>
      </w:r>
      <w:r w:rsidR="006F5214" w:rsidRPr="006F5214">
        <w:rPr>
          <w:rFonts w:ascii="Times New Roman" w:hAnsi="Times New Roman" w:cs="Times New Roman"/>
          <w:sz w:val="24"/>
          <w:szCs w:val="24"/>
          <w:lang w:val="en-MY"/>
        </w:rPr>
        <w:t>These specific ground motion records were strategically selected because their seismological parameters</w:t>
      </w:r>
      <w:r w:rsidR="006F5214">
        <w:rPr>
          <w:rFonts w:ascii="Times New Roman" w:hAnsi="Times New Roman" w:cs="Times New Roman"/>
          <w:sz w:val="24"/>
          <w:szCs w:val="24"/>
          <w:lang w:val="en-MY"/>
        </w:rPr>
        <w:t xml:space="preserve">, including magnitude  (7.4 to 7.6), shallow crustal fault mechanisms, and rich frequency content, </w:t>
      </w:r>
      <w:r w:rsidR="006F5214" w:rsidRPr="006F5214">
        <w:rPr>
          <w:rFonts w:ascii="Times New Roman" w:hAnsi="Times New Roman" w:cs="Times New Roman"/>
          <w:sz w:val="24"/>
          <w:szCs w:val="24"/>
          <w:lang w:val="en-MY"/>
        </w:rPr>
        <w:t>serve as highly appropriate proxies for the seismic hazard scenarios threatening Sabah. Furthermore, these records feature long</w:t>
      </w:r>
      <w:r w:rsidR="006F5214">
        <w:rPr>
          <w:rFonts w:ascii="Times New Roman" w:hAnsi="Times New Roman" w:cs="Times New Roman"/>
          <w:sz w:val="24"/>
          <w:szCs w:val="24"/>
          <w:lang w:val="en-MY"/>
        </w:rPr>
        <w:t>,</w:t>
      </w:r>
      <w:r w:rsidR="006F5214" w:rsidRPr="006F5214">
        <w:rPr>
          <w:rFonts w:ascii="Times New Roman" w:hAnsi="Times New Roman" w:cs="Times New Roman"/>
          <w:sz w:val="24"/>
          <w:szCs w:val="24"/>
          <w:lang w:val="en-MY"/>
        </w:rPr>
        <w:t xml:space="preserve"> significant durations capable of </w:t>
      </w:r>
      <w:r w:rsidR="00B4467C">
        <w:rPr>
          <w:rFonts w:ascii="Times New Roman" w:hAnsi="Times New Roman" w:cs="Times New Roman"/>
          <w:sz w:val="24"/>
          <w:szCs w:val="24"/>
          <w:lang w:val="en-MY"/>
        </w:rPr>
        <w:t>mobilising</w:t>
      </w:r>
      <w:r w:rsidR="006F5214" w:rsidRPr="006F5214">
        <w:rPr>
          <w:rFonts w:ascii="Times New Roman" w:hAnsi="Times New Roman" w:cs="Times New Roman"/>
          <w:sz w:val="24"/>
          <w:szCs w:val="24"/>
          <w:lang w:val="en-MY"/>
        </w:rPr>
        <w:t xml:space="preserve"> the nonlinear behaviour and strain-dependent damping of the soft clay and marine deposits found at the SOGIP site. </w:t>
      </w:r>
      <w:r w:rsidRPr="00A36FB0">
        <w:rPr>
          <w:rFonts w:ascii="Times New Roman" w:hAnsi="Times New Roman" w:cs="Times New Roman"/>
          <w:sz w:val="24"/>
          <w:szCs w:val="24"/>
          <w:lang w:val="en-MY"/>
        </w:rPr>
        <w:t xml:space="preserve">The selected motions were scaled to match the target bedrock peak ground acceleration (PGA) values based on two references: (i) MS EN 1998-1:2015/2017, with a target PGA of 0.02g, and (ii) combined findings from recent studies by Adnan (2022), who reported a PGA of 0.031g for a FEED project in Sipitang, and Harith </w:t>
      </w:r>
      <w:r w:rsidRPr="00A36FB0">
        <w:rPr>
          <w:rFonts w:ascii="Times New Roman" w:hAnsi="Times New Roman" w:cs="Times New Roman"/>
          <w:i/>
          <w:iCs/>
          <w:sz w:val="24"/>
          <w:szCs w:val="24"/>
          <w:lang w:val="en-MY"/>
        </w:rPr>
        <w:t>et al.</w:t>
      </w:r>
      <w:r w:rsidRPr="00A36FB0">
        <w:rPr>
          <w:rFonts w:ascii="Times New Roman" w:hAnsi="Times New Roman" w:cs="Times New Roman"/>
          <w:sz w:val="24"/>
          <w:szCs w:val="24"/>
          <w:lang w:val="en-MY"/>
        </w:rPr>
        <w:t xml:space="preserve"> (2025), who presented a PGA of 0.027g in her latest journal publication.</w:t>
      </w:r>
    </w:p>
    <w:p w14:paraId="5BE87BDB" w14:textId="77777777" w:rsidR="00A36FB0" w:rsidRPr="00A36FB0" w:rsidRDefault="00A36FB0" w:rsidP="00A36FB0">
      <w:pPr>
        <w:pStyle w:val="Paragraph"/>
        <w:rPr>
          <w:rFonts w:ascii="Times New Roman" w:hAnsi="Times New Roman" w:cs="Times New Roman"/>
          <w:sz w:val="24"/>
          <w:szCs w:val="24"/>
          <w:lang w:val="en-MY"/>
        </w:rPr>
      </w:pPr>
    </w:p>
    <w:p w14:paraId="00E479B9" w14:textId="2E826C7C" w:rsidR="00A36FB0" w:rsidRPr="00A36FB0" w:rsidRDefault="006F5214" w:rsidP="00A36FB0">
      <w:pPr>
        <w:pStyle w:val="Paragraph"/>
        <w:ind w:firstLine="0"/>
        <w:rPr>
          <w:rFonts w:ascii="Times New Roman" w:hAnsi="Times New Roman" w:cs="Times New Roman"/>
          <w:sz w:val="24"/>
          <w:szCs w:val="24"/>
          <w:lang w:val="en-MY"/>
        </w:rPr>
      </w:pPr>
      <w:r>
        <w:rPr>
          <w:rFonts w:ascii="Times New Roman" w:hAnsi="Times New Roman" w:cs="Times New Roman"/>
          <w:sz w:val="24"/>
          <w:szCs w:val="24"/>
          <w:lang w:val="en-MY"/>
        </w:rPr>
        <w:t>Therefore, for this study</w:t>
      </w:r>
      <w:r w:rsidR="00A36FB0" w:rsidRPr="00A36FB0">
        <w:rPr>
          <w:rFonts w:ascii="Times New Roman" w:hAnsi="Times New Roman" w:cs="Times New Roman"/>
          <w:sz w:val="24"/>
          <w:szCs w:val="24"/>
          <w:lang w:val="en-MY"/>
        </w:rPr>
        <w:t xml:space="preserve">, two target PGA values at the bedrock of </w:t>
      </w:r>
      <w:r w:rsidR="00A36FB0" w:rsidRPr="00A36FB0">
        <w:rPr>
          <w:rFonts w:ascii="Times New Roman" w:hAnsi="Times New Roman" w:cs="Times New Roman"/>
          <w:b/>
          <w:bCs/>
          <w:sz w:val="24"/>
          <w:szCs w:val="24"/>
          <w:lang w:val="en-MY"/>
        </w:rPr>
        <w:t>0.02g</w:t>
      </w:r>
      <w:r w:rsidR="00A36FB0" w:rsidRPr="00A36FB0">
        <w:rPr>
          <w:rFonts w:ascii="Times New Roman" w:hAnsi="Times New Roman" w:cs="Times New Roman"/>
          <w:sz w:val="24"/>
          <w:szCs w:val="24"/>
          <w:lang w:val="en-MY"/>
        </w:rPr>
        <w:t xml:space="preserve"> and </w:t>
      </w:r>
      <w:r w:rsidR="00A36FB0" w:rsidRPr="00A36FB0">
        <w:rPr>
          <w:rFonts w:ascii="Times New Roman" w:hAnsi="Times New Roman" w:cs="Times New Roman"/>
          <w:b/>
          <w:bCs/>
          <w:sz w:val="24"/>
          <w:szCs w:val="24"/>
          <w:lang w:val="en-MY"/>
        </w:rPr>
        <w:t>0.03g</w:t>
      </w:r>
      <w:r w:rsidR="00A36FB0" w:rsidRPr="00A36FB0">
        <w:rPr>
          <w:rFonts w:ascii="Times New Roman" w:hAnsi="Times New Roman" w:cs="Times New Roman"/>
          <w:sz w:val="24"/>
          <w:szCs w:val="24"/>
          <w:lang w:val="en-MY"/>
        </w:rPr>
        <w:t xml:space="preserve"> were adopted to conduct the soil response analysis. Refer to </w:t>
      </w:r>
      <w:r w:rsidR="00A36FB0" w:rsidRPr="00A36FB0">
        <w:rPr>
          <w:rFonts w:ascii="Times New Roman" w:hAnsi="Times New Roman" w:cs="Times New Roman"/>
          <w:b/>
          <w:bCs/>
          <w:sz w:val="24"/>
          <w:szCs w:val="24"/>
          <w:lang w:val="en-MY"/>
        </w:rPr>
        <w:t>Fig. 3</w:t>
      </w:r>
      <w:r w:rsidR="00A36FB0" w:rsidRPr="00A36FB0">
        <w:rPr>
          <w:rFonts w:ascii="Times New Roman" w:hAnsi="Times New Roman" w:cs="Times New Roman"/>
          <w:sz w:val="24"/>
          <w:szCs w:val="24"/>
          <w:lang w:val="en-MY"/>
        </w:rPr>
        <w:t xml:space="preserve"> for </w:t>
      </w:r>
      <w:r>
        <w:rPr>
          <w:rFonts w:ascii="Times New Roman" w:hAnsi="Times New Roman" w:cs="Times New Roman"/>
          <w:sz w:val="24"/>
          <w:szCs w:val="24"/>
          <w:lang w:val="en-MY"/>
        </w:rPr>
        <w:t xml:space="preserve">the </w:t>
      </w:r>
      <w:r w:rsidR="00A36FB0" w:rsidRPr="00A36FB0">
        <w:rPr>
          <w:rFonts w:ascii="Times New Roman" w:hAnsi="Times New Roman" w:cs="Times New Roman"/>
          <w:sz w:val="24"/>
          <w:szCs w:val="24"/>
          <w:lang w:val="en-MY"/>
        </w:rPr>
        <w:t>scaled input acceleration time history for types of earthquake input motions.</w:t>
      </w:r>
    </w:p>
    <w:p w14:paraId="581E56AB" w14:textId="77777777" w:rsidR="00A36FB0" w:rsidRPr="00A36FB0" w:rsidRDefault="00A36FB0" w:rsidP="00A36FB0">
      <w:pPr>
        <w:pStyle w:val="Paragraph"/>
        <w:ind w:firstLine="0"/>
        <w:rPr>
          <w:rFonts w:ascii="Times New Roman" w:hAnsi="Times New Roman" w:cs="Times New Roman"/>
          <w:sz w:val="24"/>
          <w:szCs w:val="24"/>
          <w:lang w:val="en-MY"/>
        </w:rPr>
      </w:pPr>
    </w:p>
    <w:p w14:paraId="1EEFBB43" w14:textId="77777777" w:rsidR="00A36FB0" w:rsidRPr="00A36FB0" w:rsidRDefault="00A36FB0" w:rsidP="00A36FB0">
      <w:pPr>
        <w:pStyle w:val="Paragraph"/>
        <w:ind w:firstLine="0"/>
        <w:rPr>
          <w:rFonts w:ascii="Times New Roman" w:hAnsi="Times New Roman" w:cs="Times New Roman"/>
          <w:sz w:val="24"/>
          <w:szCs w:val="24"/>
        </w:rPr>
      </w:pPr>
      <w:r w:rsidRPr="00A36FB0">
        <w:rPr>
          <w:rFonts w:ascii="Times New Roman" w:hAnsi="Times New Roman" w:cs="Times New Roman"/>
          <w:noProof/>
          <w:sz w:val="24"/>
          <w:szCs w:val="24"/>
        </w:rPr>
        <w:lastRenderedPageBreak/>
        <w:drawing>
          <wp:inline distT="0" distB="0" distL="0" distR="0" wp14:anchorId="5A98C902" wp14:editId="7FF0014B">
            <wp:extent cx="6604000" cy="7891256"/>
            <wp:effectExtent l="0" t="0" r="6350" b="0"/>
            <wp:docPr id="1625273680" name="Picture 2"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73680" name="Picture 2" descr="A diagram of a graph&#10;&#10;AI-generated content may be incorrect."/>
                    <pic:cNvPicPr/>
                  </pic:nvPicPr>
                  <pic:blipFill rotWithShape="1">
                    <a:blip r:embed="rId16" cstate="print">
                      <a:extLst>
                        <a:ext uri="{28A0092B-C50C-407E-A947-70E740481C1C}">
                          <a14:useLocalDpi xmlns:a14="http://schemas.microsoft.com/office/drawing/2010/main" val="0"/>
                        </a:ext>
                      </a:extLst>
                    </a:blip>
                    <a:srcRect l="943"/>
                    <a:stretch>
                      <a:fillRect/>
                    </a:stretch>
                  </pic:blipFill>
                  <pic:spPr bwMode="auto">
                    <a:xfrm>
                      <a:off x="0" y="0"/>
                      <a:ext cx="6632821" cy="7925694"/>
                    </a:xfrm>
                    <a:prstGeom prst="rect">
                      <a:avLst/>
                    </a:prstGeom>
                    <a:ln>
                      <a:noFill/>
                    </a:ln>
                    <a:extLst>
                      <a:ext uri="{53640926-AAD7-44D8-BBD7-CCE9431645EC}">
                        <a14:shadowObscured xmlns:a14="http://schemas.microsoft.com/office/drawing/2010/main"/>
                      </a:ext>
                    </a:extLst>
                  </pic:spPr>
                </pic:pic>
              </a:graphicData>
            </a:graphic>
          </wp:inline>
        </w:drawing>
      </w:r>
    </w:p>
    <w:p w14:paraId="6DEFAFCF" w14:textId="77777777" w:rsidR="00A36FB0" w:rsidRDefault="00A36FB0" w:rsidP="00A36FB0">
      <w:pPr>
        <w:pStyle w:val="Paragraph"/>
        <w:ind w:firstLine="0"/>
        <w:rPr>
          <w:rFonts w:ascii="Times New Roman" w:hAnsi="Times New Roman" w:cs="Times New Roman"/>
          <w:sz w:val="24"/>
          <w:szCs w:val="24"/>
        </w:rPr>
      </w:pPr>
      <w:r w:rsidRPr="00A36FB0">
        <w:rPr>
          <w:rFonts w:ascii="Times New Roman" w:hAnsi="Times New Roman" w:cs="Times New Roman"/>
          <w:b/>
          <w:bCs/>
          <w:sz w:val="24"/>
          <w:szCs w:val="24"/>
        </w:rPr>
        <w:t>Fig. 3.</w:t>
      </w:r>
      <w:r w:rsidRPr="00A36FB0">
        <w:rPr>
          <w:rFonts w:ascii="Times New Roman" w:hAnsi="Times New Roman" w:cs="Times New Roman"/>
          <w:sz w:val="24"/>
          <w:szCs w:val="24"/>
        </w:rPr>
        <w:t xml:space="preserve"> Example of scaled input acceleration time history</w:t>
      </w:r>
    </w:p>
    <w:p w14:paraId="735C1425" w14:textId="77777777" w:rsidR="00A36FB0" w:rsidRPr="00A36FB0" w:rsidRDefault="00A36FB0" w:rsidP="00A36FB0">
      <w:pPr>
        <w:pStyle w:val="Paragraph"/>
        <w:ind w:firstLine="0"/>
        <w:rPr>
          <w:rFonts w:ascii="Times New Roman" w:hAnsi="Times New Roman" w:cs="Times New Roman"/>
          <w:sz w:val="24"/>
          <w:szCs w:val="24"/>
        </w:rPr>
      </w:pPr>
    </w:p>
    <w:p w14:paraId="1F389A6D" w14:textId="1E2EA08C" w:rsidR="00A36FB0" w:rsidRPr="00A36FB0" w:rsidRDefault="00A36FB0" w:rsidP="00A36FB0">
      <w:pPr>
        <w:pStyle w:val="Paragraph"/>
        <w:ind w:firstLine="0"/>
        <w:rPr>
          <w:rFonts w:ascii="Times New Roman" w:hAnsi="Times New Roman" w:cs="Times New Roman"/>
          <w:b/>
          <w:bCs/>
          <w:sz w:val="24"/>
          <w:szCs w:val="24"/>
        </w:rPr>
      </w:pPr>
      <w:r w:rsidRPr="00A36FB0">
        <w:rPr>
          <w:rFonts w:ascii="Times New Roman" w:hAnsi="Times New Roman" w:cs="Times New Roman"/>
          <w:b/>
          <w:bCs/>
          <w:sz w:val="24"/>
          <w:szCs w:val="24"/>
        </w:rPr>
        <w:t>Site Response Analysis</w:t>
      </w:r>
    </w:p>
    <w:p w14:paraId="598915BF" w14:textId="58D5A4F2" w:rsidR="00A36FB0" w:rsidRPr="00A36FB0" w:rsidRDefault="00A36FB0" w:rsidP="00A36FB0">
      <w:pPr>
        <w:pStyle w:val="Paragraph"/>
        <w:ind w:firstLine="0"/>
        <w:rPr>
          <w:rFonts w:ascii="Times New Roman" w:hAnsi="Times New Roman" w:cs="Times New Roman"/>
          <w:sz w:val="24"/>
          <w:szCs w:val="24"/>
        </w:rPr>
      </w:pPr>
      <w:r w:rsidRPr="00A36FB0">
        <w:rPr>
          <w:rFonts w:ascii="Times New Roman" w:hAnsi="Times New Roman" w:cs="Times New Roman"/>
          <w:sz w:val="24"/>
          <w:szCs w:val="24"/>
        </w:rPr>
        <w:t>DEEPSOIL v7.0 was used for equivalent-linear 1D site response analysis. Input motions were applied at the base rock interface, and surface acceleration time histories were recorded. The surface PGA was extracted as the peak output acceleration.</w:t>
      </w:r>
    </w:p>
    <w:p w14:paraId="70DE6286" w14:textId="7B142B88" w:rsidR="00A36FB0" w:rsidRPr="00A36FB0" w:rsidRDefault="00A36FB0" w:rsidP="00A36FB0">
      <w:pPr>
        <w:pStyle w:val="ListParagraph"/>
        <w:ind w:left="0"/>
        <w:jc w:val="both"/>
        <w:rPr>
          <w:rFonts w:ascii="Times New Roman" w:hAnsi="Times New Roman" w:cs="Times New Roman"/>
          <w:sz w:val="24"/>
          <w:szCs w:val="24"/>
          <w:lang w:val="en-GB"/>
        </w:rPr>
        <w:sectPr w:rsidR="00A36FB0" w:rsidRPr="00A36FB0" w:rsidSect="002E5A2A">
          <w:footerReference w:type="default" r:id="rId17"/>
          <w:footerReference w:type="first" r:id="rId18"/>
          <w:footnotePr>
            <w:numFmt w:val="chicago"/>
          </w:footnotePr>
          <w:pgSz w:w="11907" w:h="16839" w:code="9"/>
          <w:pgMar w:top="1094" w:right="605" w:bottom="605" w:left="605" w:header="346" w:footer="403" w:gutter="0"/>
          <w:pgNumType w:start="1"/>
          <w:cols w:space="720"/>
          <w:titlePg/>
          <w:docGrid w:linePitch="360"/>
        </w:sectPr>
      </w:pPr>
    </w:p>
    <w:p w14:paraId="32E7CEE1" w14:textId="57BAA00D" w:rsidR="00F267BF" w:rsidRPr="00A36FB0" w:rsidRDefault="00F267BF" w:rsidP="00A36FB0">
      <w:pPr>
        <w:pStyle w:val="Paragraph"/>
        <w:ind w:firstLine="0"/>
        <w:rPr>
          <w:rFonts w:ascii="Times New Roman" w:hAnsi="Times New Roman" w:cs="Times New Roman"/>
          <w:sz w:val="24"/>
          <w:szCs w:val="24"/>
        </w:rPr>
      </w:pPr>
      <w:r w:rsidRPr="00A36FB0">
        <w:rPr>
          <w:rFonts w:ascii="Times New Roman" w:hAnsi="Times New Roman" w:cs="Times New Roman"/>
          <w:sz w:val="24"/>
          <w:szCs w:val="24"/>
        </w:rPr>
        <w:t>.</w:t>
      </w:r>
    </w:p>
    <w:p w14:paraId="33D9599C" w14:textId="77777777" w:rsidR="00A36FB0" w:rsidRDefault="00A36FB0" w:rsidP="00A36FB0">
      <w:pPr>
        <w:pStyle w:val="Paragraph"/>
        <w:ind w:firstLine="0"/>
        <w:rPr>
          <w:rFonts w:ascii="Times New Roman" w:hAnsi="Times New Roman" w:cs="Times New Roman"/>
        </w:rPr>
      </w:pPr>
    </w:p>
    <w:p w14:paraId="1E7F5BD2" w14:textId="6A83AECB" w:rsidR="006C7DF5" w:rsidRPr="00A36FB0" w:rsidRDefault="00A36FB0" w:rsidP="00A36FB0">
      <w:pPr>
        <w:pStyle w:val="Paragraph"/>
        <w:ind w:firstLine="0"/>
        <w:rPr>
          <w:rFonts w:ascii="Times New Roman" w:hAnsi="Times New Roman" w:cs="Times New Roman"/>
          <w:b/>
          <w:bCs/>
          <w:sz w:val="24"/>
          <w:szCs w:val="24"/>
        </w:rPr>
      </w:pPr>
      <w:r w:rsidRPr="00A36FB0">
        <w:rPr>
          <w:rFonts w:ascii="Times New Roman" w:hAnsi="Times New Roman" w:cs="Times New Roman"/>
          <w:b/>
          <w:bCs/>
          <w:sz w:val="24"/>
          <w:szCs w:val="24"/>
        </w:rPr>
        <w:lastRenderedPageBreak/>
        <w:t>RESULTS AND DISCUSSION</w:t>
      </w:r>
    </w:p>
    <w:p w14:paraId="6751F107" w14:textId="77777777" w:rsidR="006C7DF5" w:rsidRPr="00A36FB0" w:rsidRDefault="006C7DF5" w:rsidP="00A36FB0">
      <w:pPr>
        <w:pStyle w:val="Paragraph"/>
        <w:ind w:firstLine="0"/>
        <w:rPr>
          <w:rFonts w:ascii="Times New Roman" w:hAnsi="Times New Roman" w:cs="Times New Roman"/>
        </w:rPr>
      </w:pPr>
    </w:p>
    <w:p w14:paraId="1BF8BC46" w14:textId="1C8B6511" w:rsidR="006C7DF5" w:rsidRPr="00A36FB0" w:rsidRDefault="006C7DF5" w:rsidP="00A36FB0">
      <w:pPr>
        <w:pStyle w:val="Paragraph"/>
        <w:ind w:firstLine="0"/>
        <w:rPr>
          <w:rFonts w:ascii="Times New Roman" w:hAnsi="Times New Roman" w:cs="Times New Roman"/>
          <w:b/>
          <w:bCs/>
          <w:sz w:val="24"/>
          <w:szCs w:val="24"/>
        </w:rPr>
      </w:pPr>
      <w:r w:rsidRPr="00A36FB0">
        <w:rPr>
          <w:rFonts w:ascii="Times New Roman" w:hAnsi="Times New Roman" w:cs="Times New Roman"/>
          <w:b/>
          <w:bCs/>
          <w:sz w:val="24"/>
          <w:szCs w:val="24"/>
        </w:rPr>
        <w:t>Subsurface Conditions</w:t>
      </w:r>
    </w:p>
    <w:p w14:paraId="69C3DB47" w14:textId="77777777" w:rsidR="00546034" w:rsidRPr="00546034" w:rsidRDefault="006C7DF5" w:rsidP="00546034">
      <w:pPr>
        <w:pStyle w:val="Paragraph"/>
        <w:ind w:firstLine="0"/>
        <w:rPr>
          <w:rFonts w:ascii="Times New Roman" w:hAnsi="Times New Roman" w:cs="Times New Roman"/>
          <w:sz w:val="24"/>
          <w:szCs w:val="24"/>
        </w:rPr>
      </w:pPr>
      <w:r w:rsidRPr="00A36FB0">
        <w:rPr>
          <w:rFonts w:ascii="Times New Roman" w:hAnsi="Times New Roman" w:cs="Times New Roman"/>
          <w:sz w:val="24"/>
          <w:szCs w:val="24"/>
        </w:rPr>
        <w:t xml:space="preserve">The SOGIP </w:t>
      </w:r>
      <w:r w:rsidR="00DC5FE1" w:rsidRPr="00A36FB0">
        <w:rPr>
          <w:rFonts w:ascii="Times New Roman" w:hAnsi="Times New Roman" w:cs="Times New Roman"/>
          <w:sz w:val="24"/>
          <w:szCs w:val="24"/>
        </w:rPr>
        <w:t xml:space="preserve">onshore and marine </w:t>
      </w:r>
      <w:r w:rsidRPr="00A36FB0">
        <w:rPr>
          <w:rFonts w:ascii="Times New Roman" w:hAnsi="Times New Roman" w:cs="Times New Roman"/>
          <w:sz w:val="24"/>
          <w:szCs w:val="24"/>
        </w:rPr>
        <w:t>site</w:t>
      </w:r>
      <w:r w:rsidR="00DC5FE1" w:rsidRPr="00A36FB0">
        <w:rPr>
          <w:rFonts w:ascii="Times New Roman" w:hAnsi="Times New Roman" w:cs="Times New Roman"/>
          <w:sz w:val="24"/>
          <w:szCs w:val="24"/>
        </w:rPr>
        <w:t>s</w:t>
      </w:r>
      <w:r w:rsidRPr="00A36FB0">
        <w:rPr>
          <w:rFonts w:ascii="Times New Roman" w:hAnsi="Times New Roman" w:cs="Times New Roman"/>
          <w:sz w:val="24"/>
          <w:szCs w:val="24"/>
        </w:rPr>
        <w:t xml:space="preserve"> exhibited a range of soil types</w:t>
      </w:r>
      <w:r w:rsidR="004E418B" w:rsidRPr="00A36FB0">
        <w:rPr>
          <w:rFonts w:ascii="Times New Roman" w:hAnsi="Times New Roman" w:cs="Times New Roman"/>
          <w:sz w:val="24"/>
          <w:szCs w:val="24"/>
        </w:rPr>
        <w:t>, including soft clay, firm clay, stiff clay, silt, and</w:t>
      </w:r>
      <w:r w:rsidRPr="00A36FB0">
        <w:rPr>
          <w:rFonts w:ascii="Times New Roman" w:hAnsi="Times New Roman" w:cs="Times New Roman"/>
          <w:sz w:val="24"/>
          <w:szCs w:val="24"/>
        </w:rPr>
        <w:t xml:space="preserve"> dense sand, underlain by weathered sandstone</w:t>
      </w:r>
      <w:r w:rsidR="00DC5FE1" w:rsidRPr="00A36FB0">
        <w:rPr>
          <w:rFonts w:ascii="Times New Roman" w:hAnsi="Times New Roman" w:cs="Times New Roman"/>
          <w:sz w:val="24"/>
          <w:szCs w:val="24"/>
        </w:rPr>
        <w:t>,</w:t>
      </w:r>
      <w:r w:rsidRPr="00A36FB0">
        <w:rPr>
          <w:rFonts w:ascii="Times New Roman" w:hAnsi="Times New Roman" w:cs="Times New Roman"/>
          <w:sz w:val="24"/>
          <w:szCs w:val="24"/>
        </w:rPr>
        <w:t xml:space="preserve"> </w:t>
      </w:r>
      <w:r w:rsidR="00DC5FE1" w:rsidRPr="00A36FB0">
        <w:rPr>
          <w:rFonts w:ascii="Times New Roman" w:hAnsi="Times New Roman" w:cs="Times New Roman"/>
          <w:sz w:val="24"/>
          <w:szCs w:val="24"/>
        </w:rPr>
        <w:t>siltstone</w:t>
      </w:r>
      <w:r w:rsidR="004E418B" w:rsidRPr="00A36FB0">
        <w:rPr>
          <w:rFonts w:ascii="Times New Roman" w:hAnsi="Times New Roman" w:cs="Times New Roman"/>
          <w:sz w:val="24"/>
          <w:szCs w:val="24"/>
        </w:rPr>
        <w:t>,</w:t>
      </w:r>
      <w:r w:rsidR="00DC5FE1" w:rsidRPr="00A36FB0">
        <w:rPr>
          <w:rFonts w:ascii="Times New Roman" w:hAnsi="Times New Roman" w:cs="Times New Roman"/>
          <w:sz w:val="24"/>
          <w:szCs w:val="24"/>
        </w:rPr>
        <w:t xml:space="preserve"> or hard clay</w:t>
      </w:r>
      <w:r w:rsidRPr="00A36FB0">
        <w:rPr>
          <w:rFonts w:ascii="Times New Roman" w:hAnsi="Times New Roman" w:cs="Times New Roman"/>
          <w:sz w:val="24"/>
          <w:szCs w:val="24"/>
        </w:rPr>
        <w:t>.</w:t>
      </w:r>
      <w:r w:rsidR="00DC5FE1" w:rsidRPr="00A36FB0">
        <w:rPr>
          <w:rFonts w:ascii="Times New Roman" w:hAnsi="Times New Roman" w:cs="Times New Roman"/>
          <w:sz w:val="24"/>
          <w:szCs w:val="24"/>
        </w:rPr>
        <w:t xml:space="preserve"> </w:t>
      </w:r>
      <w:r w:rsidR="00546034" w:rsidRPr="00546034">
        <w:rPr>
          <w:rFonts w:ascii="Times New Roman" w:hAnsi="Times New Roman" w:cs="Times New Roman"/>
          <w:sz w:val="24"/>
          <w:szCs w:val="24"/>
        </w:rPr>
        <w:t>The observed heterogeneity in subsurface conditions plays a critical role in seismic wave propagation and amplification behaviour. Soft clay and loose silty layers, particularly in the upper soil strata, tend to exhibit lower shear stiffness and higher compressibility, which significantly increase ground motion amplification due to impedance contrast with underlying stiffer materials. In contrast, dense sand and weathered rock layers contribute to reduced amplification due to higher stiffness and energy dissipation capacity.</w:t>
      </w:r>
    </w:p>
    <w:p w14:paraId="19C030C0" w14:textId="77777777" w:rsidR="00546034" w:rsidRPr="00546034" w:rsidRDefault="00546034" w:rsidP="00546034">
      <w:pPr>
        <w:pStyle w:val="Paragraph"/>
        <w:rPr>
          <w:rFonts w:ascii="Times New Roman" w:hAnsi="Times New Roman" w:cs="Times New Roman"/>
          <w:sz w:val="24"/>
          <w:szCs w:val="24"/>
        </w:rPr>
      </w:pPr>
    </w:p>
    <w:p w14:paraId="1B2BE95E" w14:textId="2E323DB1" w:rsidR="00A75ECF" w:rsidRPr="00A36FB0" w:rsidRDefault="00546034" w:rsidP="00546034">
      <w:pPr>
        <w:pStyle w:val="Paragraph"/>
        <w:ind w:firstLine="0"/>
        <w:rPr>
          <w:rFonts w:ascii="Times New Roman" w:hAnsi="Times New Roman" w:cs="Times New Roman"/>
          <w:b/>
          <w:bCs/>
          <w:sz w:val="24"/>
          <w:szCs w:val="24"/>
        </w:rPr>
      </w:pPr>
      <w:r w:rsidRPr="00546034">
        <w:rPr>
          <w:rFonts w:ascii="Times New Roman" w:hAnsi="Times New Roman" w:cs="Times New Roman"/>
          <w:sz w:val="24"/>
          <w:szCs w:val="24"/>
        </w:rPr>
        <w:t xml:space="preserve">The variability across clusters indicates that local stratigraphic differences govern site response behaviour, </w:t>
      </w:r>
      <w:r>
        <w:rPr>
          <w:rFonts w:ascii="Times New Roman" w:hAnsi="Times New Roman" w:cs="Times New Roman"/>
          <w:sz w:val="24"/>
          <w:szCs w:val="24"/>
        </w:rPr>
        <w:t>underscoring the need for microzoning</w:t>
      </w:r>
      <w:r w:rsidRPr="00546034">
        <w:rPr>
          <w:rFonts w:ascii="Times New Roman" w:hAnsi="Times New Roman" w:cs="Times New Roman"/>
          <w:sz w:val="24"/>
          <w:szCs w:val="24"/>
        </w:rPr>
        <w:t xml:space="preserve"> rather than relying on uniform site classification. This spatial variability is particularly important in coastal and reclaimed zones, where marine deposits may amplify seismic waves more significantly than inland deposits.</w:t>
      </w:r>
      <w:r w:rsidR="006C7DF5" w:rsidRPr="00A36FB0">
        <w:rPr>
          <w:rFonts w:ascii="Times New Roman" w:hAnsi="Times New Roman" w:cs="Times New Roman"/>
          <w:sz w:val="24"/>
          <w:szCs w:val="24"/>
        </w:rPr>
        <w:t xml:space="preserve"> Groundwater depth </w:t>
      </w:r>
      <w:r>
        <w:rPr>
          <w:rFonts w:ascii="Times New Roman" w:hAnsi="Times New Roman" w:cs="Times New Roman"/>
          <w:sz w:val="24"/>
          <w:szCs w:val="24"/>
        </w:rPr>
        <w:t xml:space="preserve">ranged from the surface or the </w:t>
      </w:r>
      <w:r w:rsidR="00542A7A" w:rsidRPr="00A36FB0">
        <w:rPr>
          <w:rFonts w:ascii="Times New Roman" w:hAnsi="Times New Roman" w:cs="Times New Roman"/>
          <w:sz w:val="24"/>
          <w:szCs w:val="24"/>
        </w:rPr>
        <w:t xml:space="preserve">seabed </w:t>
      </w:r>
      <w:r w:rsidR="006C7DF5" w:rsidRPr="00A36FB0">
        <w:rPr>
          <w:rFonts w:ascii="Times New Roman" w:hAnsi="Times New Roman" w:cs="Times New Roman"/>
          <w:sz w:val="24"/>
          <w:szCs w:val="24"/>
        </w:rPr>
        <w:t xml:space="preserve">to </w:t>
      </w:r>
      <w:r w:rsidR="00542A7A" w:rsidRPr="00A36FB0">
        <w:rPr>
          <w:rFonts w:ascii="Times New Roman" w:hAnsi="Times New Roman" w:cs="Times New Roman"/>
          <w:sz w:val="24"/>
          <w:szCs w:val="24"/>
        </w:rPr>
        <w:t>4.2</w:t>
      </w:r>
      <w:r w:rsidR="006C7DF5" w:rsidRPr="00A36FB0">
        <w:rPr>
          <w:rFonts w:ascii="Times New Roman" w:hAnsi="Times New Roman" w:cs="Times New Roman"/>
          <w:sz w:val="24"/>
          <w:szCs w:val="24"/>
        </w:rPr>
        <w:t xml:space="preserve"> m.</w:t>
      </w:r>
      <w:r w:rsidR="00DC5FE1" w:rsidRPr="00A36FB0">
        <w:rPr>
          <w:rFonts w:ascii="Times New Roman" w:hAnsi="Times New Roman" w:cs="Times New Roman"/>
          <w:sz w:val="24"/>
          <w:szCs w:val="24"/>
        </w:rPr>
        <w:t xml:space="preserve"> For marine boreholes, the SPT-N could not be found until the termination depth of 70.95m. </w:t>
      </w:r>
      <w:r w:rsidR="00A75ECF" w:rsidRPr="00A36FB0">
        <w:rPr>
          <w:rFonts w:ascii="Times New Roman" w:hAnsi="Times New Roman" w:cs="Times New Roman"/>
          <w:sz w:val="24"/>
          <w:szCs w:val="24"/>
        </w:rPr>
        <w:t xml:space="preserve">The lateral soil stratigraphy variations of the site are shown </w:t>
      </w:r>
      <w:r w:rsidR="004E418B" w:rsidRPr="00A36FB0">
        <w:rPr>
          <w:rFonts w:ascii="Times New Roman" w:hAnsi="Times New Roman" w:cs="Times New Roman"/>
          <w:sz w:val="24"/>
          <w:szCs w:val="24"/>
        </w:rPr>
        <w:t>in</w:t>
      </w:r>
      <w:r w:rsidR="00A75ECF" w:rsidRPr="00A36FB0">
        <w:rPr>
          <w:rFonts w:ascii="Times New Roman" w:hAnsi="Times New Roman" w:cs="Times New Roman"/>
          <w:sz w:val="24"/>
          <w:szCs w:val="24"/>
        </w:rPr>
        <w:t xml:space="preserve"> </w:t>
      </w:r>
      <w:r w:rsidR="00A75ECF" w:rsidRPr="00A36FB0">
        <w:rPr>
          <w:rFonts w:ascii="Times New Roman" w:hAnsi="Times New Roman" w:cs="Times New Roman"/>
          <w:b/>
          <w:bCs/>
          <w:sz w:val="24"/>
          <w:szCs w:val="24"/>
        </w:rPr>
        <w:t>Fig</w:t>
      </w:r>
      <w:r w:rsidR="00A36FB0">
        <w:rPr>
          <w:rFonts w:ascii="Times New Roman" w:hAnsi="Times New Roman" w:cs="Times New Roman"/>
          <w:b/>
          <w:bCs/>
          <w:sz w:val="24"/>
          <w:szCs w:val="24"/>
        </w:rPr>
        <w:t>ures</w:t>
      </w:r>
      <w:r w:rsidR="00A75ECF" w:rsidRPr="00A36FB0">
        <w:rPr>
          <w:rFonts w:ascii="Times New Roman" w:hAnsi="Times New Roman" w:cs="Times New Roman"/>
          <w:b/>
          <w:bCs/>
          <w:sz w:val="24"/>
          <w:szCs w:val="24"/>
        </w:rPr>
        <w:t xml:space="preserve"> </w:t>
      </w:r>
      <w:r w:rsidR="00F5531D" w:rsidRPr="00A36FB0">
        <w:rPr>
          <w:rFonts w:ascii="Times New Roman" w:hAnsi="Times New Roman" w:cs="Times New Roman"/>
          <w:b/>
          <w:bCs/>
          <w:sz w:val="24"/>
          <w:szCs w:val="24"/>
        </w:rPr>
        <w:t>5</w:t>
      </w:r>
      <w:r w:rsidR="00A75ECF" w:rsidRPr="00A36FB0">
        <w:rPr>
          <w:rFonts w:ascii="Times New Roman" w:hAnsi="Times New Roman" w:cs="Times New Roman"/>
          <w:b/>
          <w:bCs/>
          <w:sz w:val="24"/>
          <w:szCs w:val="24"/>
        </w:rPr>
        <w:t xml:space="preserve">, </w:t>
      </w:r>
      <w:r w:rsidR="00F5531D" w:rsidRPr="00A36FB0">
        <w:rPr>
          <w:rFonts w:ascii="Times New Roman" w:hAnsi="Times New Roman" w:cs="Times New Roman"/>
          <w:b/>
          <w:bCs/>
          <w:sz w:val="24"/>
          <w:szCs w:val="24"/>
        </w:rPr>
        <w:t>6</w:t>
      </w:r>
      <w:r w:rsidR="00A75ECF" w:rsidRPr="00A36FB0">
        <w:rPr>
          <w:rFonts w:ascii="Times New Roman" w:hAnsi="Times New Roman" w:cs="Times New Roman"/>
          <w:b/>
          <w:bCs/>
          <w:sz w:val="24"/>
          <w:szCs w:val="24"/>
        </w:rPr>
        <w:t xml:space="preserve">, </w:t>
      </w:r>
      <w:r w:rsidR="00F5531D" w:rsidRPr="00A36FB0">
        <w:rPr>
          <w:rFonts w:ascii="Times New Roman" w:hAnsi="Times New Roman" w:cs="Times New Roman"/>
          <w:b/>
          <w:bCs/>
          <w:sz w:val="24"/>
          <w:szCs w:val="24"/>
        </w:rPr>
        <w:t>7</w:t>
      </w:r>
      <w:r w:rsidR="00A75ECF" w:rsidRPr="00A36FB0">
        <w:rPr>
          <w:rFonts w:ascii="Times New Roman" w:hAnsi="Times New Roman" w:cs="Times New Roman"/>
          <w:b/>
          <w:bCs/>
          <w:sz w:val="24"/>
          <w:szCs w:val="24"/>
        </w:rPr>
        <w:t xml:space="preserve">, </w:t>
      </w:r>
      <w:r w:rsidR="00F5531D" w:rsidRPr="00A36FB0">
        <w:rPr>
          <w:rFonts w:ascii="Times New Roman" w:hAnsi="Times New Roman" w:cs="Times New Roman"/>
          <w:b/>
          <w:bCs/>
          <w:sz w:val="24"/>
          <w:szCs w:val="24"/>
        </w:rPr>
        <w:t>8</w:t>
      </w:r>
      <w:r w:rsidR="00A75ECF" w:rsidRPr="00A36FB0">
        <w:rPr>
          <w:rFonts w:ascii="Times New Roman" w:hAnsi="Times New Roman" w:cs="Times New Roman"/>
          <w:b/>
          <w:bCs/>
          <w:sz w:val="24"/>
          <w:szCs w:val="24"/>
        </w:rPr>
        <w:t xml:space="preserve">, </w:t>
      </w:r>
      <w:r w:rsidR="00F73E7E" w:rsidRPr="00A36FB0">
        <w:rPr>
          <w:rFonts w:ascii="Times New Roman" w:hAnsi="Times New Roman" w:cs="Times New Roman"/>
          <w:sz w:val="24"/>
          <w:szCs w:val="24"/>
        </w:rPr>
        <w:t>and</w:t>
      </w:r>
      <w:r w:rsidR="00A75ECF" w:rsidRPr="00A36FB0">
        <w:rPr>
          <w:rFonts w:ascii="Times New Roman" w:hAnsi="Times New Roman" w:cs="Times New Roman"/>
          <w:b/>
          <w:bCs/>
          <w:sz w:val="24"/>
          <w:szCs w:val="24"/>
        </w:rPr>
        <w:t xml:space="preserve"> </w:t>
      </w:r>
      <w:r w:rsidR="00F5531D" w:rsidRPr="00A36FB0">
        <w:rPr>
          <w:rFonts w:ascii="Times New Roman" w:hAnsi="Times New Roman" w:cs="Times New Roman"/>
          <w:b/>
          <w:bCs/>
          <w:sz w:val="24"/>
          <w:szCs w:val="24"/>
        </w:rPr>
        <w:t>9</w:t>
      </w:r>
      <w:r w:rsidR="00A75ECF" w:rsidRPr="00A36FB0">
        <w:rPr>
          <w:rFonts w:ascii="Times New Roman" w:hAnsi="Times New Roman" w:cs="Times New Roman"/>
          <w:b/>
          <w:bCs/>
          <w:sz w:val="24"/>
          <w:szCs w:val="24"/>
        </w:rPr>
        <w:t>.</w:t>
      </w:r>
    </w:p>
    <w:p w14:paraId="16E1700A" w14:textId="77777777" w:rsidR="00DE35F7" w:rsidRPr="00A36FB0" w:rsidRDefault="00DE35F7" w:rsidP="00A36FB0">
      <w:pPr>
        <w:pStyle w:val="Paragraph"/>
        <w:ind w:firstLine="0"/>
        <w:rPr>
          <w:rFonts w:ascii="Times New Roman" w:hAnsi="Times New Roman" w:cs="Times New Roman"/>
          <w:sz w:val="24"/>
          <w:szCs w:val="24"/>
        </w:rPr>
      </w:pPr>
    </w:p>
    <w:p w14:paraId="58F14E44" w14:textId="7A2017A5" w:rsidR="00F636DB" w:rsidRPr="00A36FB0" w:rsidRDefault="00F636DB" w:rsidP="00A36FB0">
      <w:pPr>
        <w:pStyle w:val="Paragraph"/>
        <w:ind w:firstLine="0"/>
        <w:rPr>
          <w:rFonts w:ascii="Times New Roman" w:hAnsi="Times New Roman" w:cs="Times New Roman"/>
          <w:sz w:val="24"/>
          <w:szCs w:val="24"/>
          <w:lang w:val="en-MY"/>
        </w:rPr>
      </w:pPr>
      <w:r w:rsidRPr="00A36FB0">
        <w:rPr>
          <w:rFonts w:ascii="Times New Roman" w:hAnsi="Times New Roman" w:cs="Times New Roman"/>
          <w:noProof/>
          <w:sz w:val="24"/>
          <w:szCs w:val="24"/>
          <w:lang w:val="en-MY"/>
        </w:rPr>
        <w:drawing>
          <wp:inline distT="0" distB="0" distL="0" distR="0" wp14:anchorId="3C380E40" wp14:editId="724AF1A2">
            <wp:extent cx="5262579" cy="3535680"/>
            <wp:effectExtent l="0" t="0" r="0" b="7620"/>
            <wp:docPr id="1902664061" name="Picture 21" descr="A diagram of a soil la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4061" name="Picture 21" descr="A diagram of a soil lay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89888" cy="3554027"/>
                    </a:xfrm>
                    <a:prstGeom prst="rect">
                      <a:avLst/>
                    </a:prstGeom>
                  </pic:spPr>
                </pic:pic>
              </a:graphicData>
            </a:graphic>
          </wp:inline>
        </w:drawing>
      </w:r>
    </w:p>
    <w:p w14:paraId="6E945AC9" w14:textId="148C17C0" w:rsidR="00F636DB" w:rsidRPr="00A36FB0" w:rsidRDefault="00F636DB" w:rsidP="00A36FB0">
      <w:pPr>
        <w:pStyle w:val="Paragraph"/>
        <w:ind w:firstLine="0"/>
        <w:rPr>
          <w:rFonts w:ascii="Times New Roman" w:hAnsi="Times New Roman" w:cs="Times New Roman"/>
          <w:sz w:val="24"/>
          <w:szCs w:val="24"/>
        </w:rPr>
      </w:pPr>
      <w:r w:rsidRPr="00A36FB0">
        <w:rPr>
          <w:rFonts w:ascii="Times New Roman" w:hAnsi="Times New Roman" w:cs="Times New Roman"/>
          <w:b/>
          <w:bCs/>
          <w:sz w:val="24"/>
          <w:szCs w:val="24"/>
        </w:rPr>
        <w:t>Fig</w:t>
      </w:r>
      <w:r w:rsidR="00A36FB0">
        <w:rPr>
          <w:rFonts w:ascii="Times New Roman" w:hAnsi="Times New Roman" w:cs="Times New Roman"/>
          <w:b/>
          <w:bCs/>
          <w:sz w:val="24"/>
          <w:szCs w:val="24"/>
        </w:rPr>
        <w:t xml:space="preserve">ure </w:t>
      </w:r>
      <w:r w:rsidR="00F5531D" w:rsidRPr="00A36FB0">
        <w:rPr>
          <w:rFonts w:ascii="Times New Roman" w:hAnsi="Times New Roman" w:cs="Times New Roman"/>
          <w:b/>
          <w:bCs/>
          <w:sz w:val="24"/>
          <w:szCs w:val="24"/>
        </w:rPr>
        <w:t>5</w:t>
      </w:r>
      <w:r w:rsidRPr="00A36FB0">
        <w:rPr>
          <w:rFonts w:ascii="Times New Roman" w:hAnsi="Times New Roman" w:cs="Times New Roman"/>
          <w:sz w:val="24"/>
          <w:szCs w:val="24"/>
        </w:rPr>
        <w:t>. Lateral variation subsurface profile for BH1, 2, 3, 4, 6, &amp; 8</w:t>
      </w:r>
    </w:p>
    <w:p w14:paraId="71801A06" w14:textId="77777777" w:rsidR="00DE35F7" w:rsidRPr="00A36FB0" w:rsidRDefault="00DE35F7" w:rsidP="00A36FB0">
      <w:pPr>
        <w:pStyle w:val="Paragraph"/>
        <w:ind w:firstLine="0"/>
        <w:rPr>
          <w:rFonts w:ascii="Times New Roman" w:hAnsi="Times New Roman" w:cs="Times New Roman"/>
          <w:sz w:val="24"/>
          <w:szCs w:val="24"/>
        </w:rPr>
      </w:pPr>
    </w:p>
    <w:p w14:paraId="3743E3F0" w14:textId="23070A24" w:rsidR="00F636DB" w:rsidRPr="00A36FB0" w:rsidRDefault="00F636DB" w:rsidP="00A36FB0">
      <w:pPr>
        <w:pStyle w:val="Paragraph"/>
        <w:ind w:firstLine="0"/>
        <w:rPr>
          <w:rFonts w:ascii="Times New Roman" w:hAnsi="Times New Roman" w:cs="Times New Roman"/>
          <w:sz w:val="24"/>
          <w:szCs w:val="24"/>
        </w:rPr>
      </w:pPr>
      <w:r w:rsidRPr="00A36FB0">
        <w:rPr>
          <w:rFonts w:ascii="Times New Roman" w:hAnsi="Times New Roman" w:cs="Times New Roman"/>
          <w:noProof/>
          <w:sz w:val="24"/>
          <w:szCs w:val="24"/>
        </w:rPr>
        <w:lastRenderedPageBreak/>
        <w:drawing>
          <wp:inline distT="0" distB="0" distL="0" distR="0" wp14:anchorId="601CC139" wp14:editId="41E72EDE">
            <wp:extent cx="5191760" cy="3463435"/>
            <wp:effectExtent l="0" t="0" r="8890" b="3810"/>
            <wp:docPr id="184787614" name="Picture 22" descr="A diagram of a person holding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7614" name="Picture 22" descr="A diagram of a person holding a stick&#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9890" cy="3482201"/>
                    </a:xfrm>
                    <a:prstGeom prst="rect">
                      <a:avLst/>
                    </a:prstGeom>
                  </pic:spPr>
                </pic:pic>
              </a:graphicData>
            </a:graphic>
          </wp:inline>
        </w:drawing>
      </w:r>
    </w:p>
    <w:p w14:paraId="7CBB400D" w14:textId="315B1026" w:rsidR="00F636DB" w:rsidRPr="00A36FB0" w:rsidRDefault="00F636DB" w:rsidP="00A36FB0">
      <w:pPr>
        <w:pStyle w:val="Paragraph"/>
        <w:ind w:firstLine="0"/>
        <w:rPr>
          <w:rFonts w:ascii="Times New Roman" w:hAnsi="Times New Roman" w:cs="Times New Roman"/>
          <w:sz w:val="24"/>
          <w:szCs w:val="24"/>
        </w:rPr>
      </w:pPr>
      <w:r w:rsidRPr="00A36FB0">
        <w:rPr>
          <w:rFonts w:ascii="Times New Roman" w:hAnsi="Times New Roman" w:cs="Times New Roman"/>
          <w:b/>
          <w:bCs/>
          <w:sz w:val="24"/>
          <w:szCs w:val="24"/>
        </w:rPr>
        <w:t>Fig</w:t>
      </w:r>
      <w:r w:rsidR="00A36FB0">
        <w:rPr>
          <w:rFonts w:ascii="Times New Roman" w:hAnsi="Times New Roman" w:cs="Times New Roman"/>
          <w:b/>
          <w:bCs/>
          <w:sz w:val="24"/>
          <w:szCs w:val="24"/>
        </w:rPr>
        <w:t>ure 6.</w:t>
      </w:r>
      <w:r w:rsidRPr="00A36FB0">
        <w:rPr>
          <w:rFonts w:ascii="Times New Roman" w:hAnsi="Times New Roman" w:cs="Times New Roman"/>
          <w:sz w:val="24"/>
          <w:szCs w:val="24"/>
        </w:rPr>
        <w:t>. Lateral variation subsurface profile for BH5, 11, 12, 15, &amp; 16</w:t>
      </w:r>
    </w:p>
    <w:p w14:paraId="3F7C7E73" w14:textId="370CFBA5" w:rsidR="00F636DB" w:rsidRPr="00A36FB0" w:rsidRDefault="00F636DB" w:rsidP="00A36FB0">
      <w:pPr>
        <w:pStyle w:val="Paragraph"/>
        <w:ind w:firstLine="0"/>
        <w:rPr>
          <w:rFonts w:ascii="Times New Roman" w:hAnsi="Times New Roman" w:cs="Times New Roman"/>
          <w:sz w:val="24"/>
          <w:szCs w:val="24"/>
        </w:rPr>
      </w:pPr>
      <w:r w:rsidRPr="00A36FB0">
        <w:rPr>
          <w:rFonts w:ascii="Times New Roman" w:hAnsi="Times New Roman" w:cs="Times New Roman"/>
          <w:noProof/>
          <w:sz w:val="24"/>
          <w:szCs w:val="24"/>
        </w:rPr>
        <w:drawing>
          <wp:inline distT="0" distB="0" distL="0" distR="0" wp14:anchorId="081EB4D9" wp14:editId="0C4456BD">
            <wp:extent cx="6014923" cy="4074160"/>
            <wp:effectExtent l="0" t="0" r="5080" b="2540"/>
            <wp:docPr id="1123835303" name="Picture 23" descr="A diagram of a soil la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35303" name="Picture 23" descr="A diagram of a soil lay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511" cy="4089460"/>
                    </a:xfrm>
                    <a:prstGeom prst="rect">
                      <a:avLst/>
                    </a:prstGeom>
                  </pic:spPr>
                </pic:pic>
              </a:graphicData>
            </a:graphic>
          </wp:inline>
        </w:drawing>
      </w:r>
    </w:p>
    <w:p w14:paraId="0B2CF3D3" w14:textId="38426BFB" w:rsidR="00F636DB" w:rsidRPr="00A36FB0" w:rsidRDefault="00F636DB" w:rsidP="00A36FB0">
      <w:pPr>
        <w:pStyle w:val="Paragraph"/>
        <w:ind w:firstLine="0"/>
        <w:rPr>
          <w:rFonts w:ascii="Times New Roman" w:hAnsi="Times New Roman" w:cs="Times New Roman"/>
          <w:sz w:val="24"/>
          <w:szCs w:val="24"/>
        </w:rPr>
      </w:pPr>
      <w:r w:rsidRPr="00A36FB0">
        <w:rPr>
          <w:rFonts w:ascii="Times New Roman" w:hAnsi="Times New Roman" w:cs="Times New Roman"/>
          <w:b/>
          <w:bCs/>
          <w:sz w:val="24"/>
          <w:szCs w:val="24"/>
        </w:rPr>
        <w:t>Fig</w:t>
      </w:r>
      <w:r w:rsidR="00A36FB0">
        <w:rPr>
          <w:rFonts w:ascii="Times New Roman" w:hAnsi="Times New Roman" w:cs="Times New Roman"/>
          <w:b/>
          <w:bCs/>
          <w:sz w:val="24"/>
          <w:szCs w:val="24"/>
        </w:rPr>
        <w:t xml:space="preserve">ure </w:t>
      </w:r>
      <w:r w:rsidR="00F5531D" w:rsidRPr="00A36FB0">
        <w:rPr>
          <w:rFonts w:ascii="Times New Roman" w:hAnsi="Times New Roman" w:cs="Times New Roman"/>
          <w:b/>
          <w:bCs/>
          <w:sz w:val="24"/>
          <w:szCs w:val="24"/>
        </w:rPr>
        <w:t>7</w:t>
      </w:r>
      <w:r w:rsidRPr="00A36FB0">
        <w:rPr>
          <w:rFonts w:ascii="Times New Roman" w:hAnsi="Times New Roman" w:cs="Times New Roman"/>
          <w:sz w:val="24"/>
          <w:szCs w:val="24"/>
        </w:rPr>
        <w:t>. Lateral variation subsurface profile for BH7, 9, 10, 13, &amp; 14</w:t>
      </w:r>
    </w:p>
    <w:p w14:paraId="4F5E949C" w14:textId="77777777" w:rsidR="00F51FEA" w:rsidRPr="00A36FB0" w:rsidRDefault="00F51FEA" w:rsidP="00A36FB0">
      <w:pPr>
        <w:pStyle w:val="Paragraph"/>
        <w:ind w:firstLine="0"/>
        <w:rPr>
          <w:rFonts w:ascii="Times New Roman" w:hAnsi="Times New Roman" w:cs="Times New Roman"/>
          <w:sz w:val="24"/>
          <w:szCs w:val="24"/>
        </w:rPr>
      </w:pPr>
    </w:p>
    <w:p w14:paraId="6CF7231E" w14:textId="25D47B79" w:rsidR="00F636DB" w:rsidRPr="00A36FB0" w:rsidRDefault="00F636DB" w:rsidP="00A36FB0">
      <w:pPr>
        <w:pStyle w:val="Paragraph"/>
        <w:ind w:firstLine="0"/>
        <w:rPr>
          <w:rFonts w:ascii="Times New Roman" w:hAnsi="Times New Roman" w:cs="Times New Roman"/>
          <w:sz w:val="24"/>
          <w:szCs w:val="24"/>
        </w:rPr>
      </w:pPr>
      <w:r w:rsidRPr="00A36FB0">
        <w:rPr>
          <w:rFonts w:ascii="Times New Roman" w:hAnsi="Times New Roman" w:cs="Times New Roman"/>
          <w:noProof/>
          <w:sz w:val="24"/>
          <w:szCs w:val="24"/>
        </w:rPr>
        <w:lastRenderedPageBreak/>
        <w:drawing>
          <wp:inline distT="0" distB="0" distL="0" distR="0" wp14:anchorId="6391A985" wp14:editId="0E23B73A">
            <wp:extent cx="5953760" cy="3980945"/>
            <wp:effectExtent l="0" t="0" r="8890" b="635"/>
            <wp:docPr id="1108756790" name="Picture 24" descr="A diagram of soil profi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56790" name="Picture 24" descr="A diagram of soil profil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93096" cy="4007247"/>
                    </a:xfrm>
                    <a:prstGeom prst="rect">
                      <a:avLst/>
                    </a:prstGeom>
                  </pic:spPr>
                </pic:pic>
              </a:graphicData>
            </a:graphic>
          </wp:inline>
        </w:drawing>
      </w:r>
    </w:p>
    <w:p w14:paraId="4C5936F1" w14:textId="5EC9AD1C" w:rsidR="00F636DB" w:rsidRPr="00A36FB0" w:rsidRDefault="00F636DB" w:rsidP="00A36FB0">
      <w:pPr>
        <w:pStyle w:val="Paragraph"/>
        <w:ind w:firstLine="0"/>
        <w:rPr>
          <w:rFonts w:ascii="Times New Roman" w:hAnsi="Times New Roman" w:cs="Times New Roman"/>
          <w:sz w:val="24"/>
          <w:szCs w:val="24"/>
        </w:rPr>
      </w:pPr>
      <w:r w:rsidRPr="00A36FB0">
        <w:rPr>
          <w:rFonts w:ascii="Times New Roman" w:hAnsi="Times New Roman" w:cs="Times New Roman"/>
          <w:b/>
          <w:bCs/>
          <w:sz w:val="24"/>
          <w:szCs w:val="24"/>
        </w:rPr>
        <w:t>Fig</w:t>
      </w:r>
      <w:r w:rsidR="00A36FB0">
        <w:rPr>
          <w:rFonts w:ascii="Times New Roman" w:hAnsi="Times New Roman" w:cs="Times New Roman"/>
          <w:b/>
          <w:bCs/>
          <w:sz w:val="24"/>
          <w:szCs w:val="24"/>
        </w:rPr>
        <w:t>ure</w:t>
      </w:r>
      <w:r w:rsidRPr="00A36FB0">
        <w:rPr>
          <w:rFonts w:ascii="Times New Roman" w:hAnsi="Times New Roman" w:cs="Times New Roman"/>
          <w:b/>
          <w:bCs/>
          <w:sz w:val="24"/>
          <w:szCs w:val="24"/>
        </w:rPr>
        <w:t xml:space="preserve"> </w:t>
      </w:r>
      <w:r w:rsidR="00F5531D" w:rsidRPr="00A36FB0">
        <w:rPr>
          <w:rFonts w:ascii="Times New Roman" w:hAnsi="Times New Roman" w:cs="Times New Roman"/>
          <w:b/>
          <w:bCs/>
          <w:sz w:val="24"/>
          <w:szCs w:val="24"/>
        </w:rPr>
        <w:t>8</w:t>
      </w:r>
      <w:r w:rsidRPr="00A36FB0">
        <w:rPr>
          <w:rFonts w:ascii="Times New Roman" w:hAnsi="Times New Roman" w:cs="Times New Roman"/>
          <w:sz w:val="24"/>
          <w:szCs w:val="24"/>
        </w:rPr>
        <w:t>. Lateral variation subsurface profile for BH17, 18, &amp; 19</w:t>
      </w:r>
    </w:p>
    <w:p w14:paraId="24405D1F" w14:textId="77777777" w:rsidR="00DE35F7" w:rsidRPr="00A36FB0" w:rsidRDefault="00DE35F7" w:rsidP="00A36FB0">
      <w:pPr>
        <w:pStyle w:val="Paragraph"/>
        <w:ind w:firstLine="0"/>
        <w:rPr>
          <w:rFonts w:ascii="Times New Roman" w:hAnsi="Times New Roman" w:cs="Times New Roman"/>
          <w:sz w:val="24"/>
          <w:szCs w:val="24"/>
        </w:rPr>
      </w:pPr>
    </w:p>
    <w:p w14:paraId="21E9D390" w14:textId="691EF4C5" w:rsidR="00F636DB" w:rsidRPr="00A36FB0" w:rsidRDefault="00F636DB" w:rsidP="00A36FB0">
      <w:pPr>
        <w:pStyle w:val="Paragraph"/>
        <w:ind w:firstLine="0"/>
        <w:rPr>
          <w:rFonts w:ascii="Times New Roman" w:hAnsi="Times New Roman" w:cs="Times New Roman"/>
          <w:sz w:val="24"/>
          <w:szCs w:val="24"/>
        </w:rPr>
      </w:pPr>
      <w:r w:rsidRPr="00A36FB0">
        <w:rPr>
          <w:rFonts w:ascii="Times New Roman" w:hAnsi="Times New Roman" w:cs="Times New Roman"/>
          <w:noProof/>
          <w:sz w:val="24"/>
          <w:szCs w:val="24"/>
        </w:rPr>
        <w:drawing>
          <wp:inline distT="0" distB="0" distL="0" distR="0" wp14:anchorId="63A1166F" wp14:editId="1F53D368">
            <wp:extent cx="6024880" cy="4021872"/>
            <wp:effectExtent l="0" t="0" r="0" b="0"/>
            <wp:docPr id="306247925" name="Picture 25" descr="A diagram of a soil profi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47925" name="Picture 25" descr="A diagram of a soil profil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39669" cy="4031744"/>
                    </a:xfrm>
                    <a:prstGeom prst="rect">
                      <a:avLst/>
                    </a:prstGeom>
                  </pic:spPr>
                </pic:pic>
              </a:graphicData>
            </a:graphic>
          </wp:inline>
        </w:drawing>
      </w:r>
    </w:p>
    <w:p w14:paraId="3D505839" w14:textId="2DC54B37" w:rsidR="00F636DB" w:rsidRPr="00A36FB0" w:rsidRDefault="00F636DB" w:rsidP="00A36FB0">
      <w:pPr>
        <w:pStyle w:val="Paragraph"/>
        <w:ind w:firstLine="0"/>
        <w:rPr>
          <w:rFonts w:ascii="Times New Roman" w:hAnsi="Times New Roman" w:cs="Times New Roman"/>
          <w:sz w:val="24"/>
          <w:szCs w:val="24"/>
        </w:rPr>
      </w:pPr>
      <w:r w:rsidRPr="00A36FB0">
        <w:rPr>
          <w:rFonts w:ascii="Times New Roman" w:hAnsi="Times New Roman" w:cs="Times New Roman"/>
          <w:b/>
          <w:bCs/>
          <w:sz w:val="24"/>
          <w:szCs w:val="24"/>
        </w:rPr>
        <w:t>Fig</w:t>
      </w:r>
      <w:r w:rsidR="00A36FB0">
        <w:rPr>
          <w:rFonts w:ascii="Times New Roman" w:hAnsi="Times New Roman" w:cs="Times New Roman"/>
          <w:b/>
          <w:bCs/>
          <w:sz w:val="24"/>
          <w:szCs w:val="24"/>
        </w:rPr>
        <w:t>ure</w:t>
      </w:r>
      <w:r w:rsidRPr="00A36FB0">
        <w:rPr>
          <w:rFonts w:ascii="Times New Roman" w:hAnsi="Times New Roman" w:cs="Times New Roman"/>
          <w:b/>
          <w:bCs/>
          <w:sz w:val="24"/>
          <w:szCs w:val="24"/>
        </w:rPr>
        <w:t xml:space="preserve"> </w:t>
      </w:r>
      <w:r w:rsidR="00F5531D" w:rsidRPr="00A36FB0">
        <w:rPr>
          <w:rFonts w:ascii="Times New Roman" w:hAnsi="Times New Roman" w:cs="Times New Roman"/>
          <w:b/>
          <w:bCs/>
          <w:sz w:val="24"/>
          <w:szCs w:val="24"/>
        </w:rPr>
        <w:t>9</w:t>
      </w:r>
      <w:r w:rsidRPr="00A36FB0">
        <w:rPr>
          <w:rFonts w:ascii="Times New Roman" w:hAnsi="Times New Roman" w:cs="Times New Roman"/>
          <w:sz w:val="24"/>
          <w:szCs w:val="24"/>
        </w:rPr>
        <w:t>. Lateral variation subsurface profile for BH</w:t>
      </w:r>
      <w:r w:rsidR="00DD53F8" w:rsidRPr="00A36FB0">
        <w:rPr>
          <w:rFonts w:ascii="Times New Roman" w:hAnsi="Times New Roman" w:cs="Times New Roman"/>
          <w:sz w:val="24"/>
          <w:szCs w:val="24"/>
        </w:rPr>
        <w:t>20</w:t>
      </w:r>
      <w:r w:rsidRPr="00A36FB0">
        <w:rPr>
          <w:rFonts w:ascii="Times New Roman" w:hAnsi="Times New Roman" w:cs="Times New Roman"/>
          <w:sz w:val="24"/>
          <w:szCs w:val="24"/>
        </w:rPr>
        <w:t>,</w:t>
      </w:r>
      <w:r w:rsidR="00DD53F8" w:rsidRPr="00A36FB0">
        <w:rPr>
          <w:rFonts w:ascii="Times New Roman" w:hAnsi="Times New Roman" w:cs="Times New Roman"/>
          <w:sz w:val="24"/>
          <w:szCs w:val="24"/>
        </w:rPr>
        <w:t xml:space="preserve"> 21,</w:t>
      </w:r>
      <w:r w:rsidRPr="00A36FB0">
        <w:rPr>
          <w:rFonts w:ascii="Times New Roman" w:hAnsi="Times New Roman" w:cs="Times New Roman"/>
          <w:sz w:val="24"/>
          <w:szCs w:val="24"/>
        </w:rPr>
        <w:t xml:space="preserve"> </w:t>
      </w:r>
      <w:r w:rsidR="00DD53F8" w:rsidRPr="00A36FB0">
        <w:rPr>
          <w:rFonts w:ascii="Times New Roman" w:hAnsi="Times New Roman" w:cs="Times New Roman"/>
          <w:sz w:val="24"/>
          <w:szCs w:val="24"/>
        </w:rPr>
        <w:t>22</w:t>
      </w:r>
      <w:r w:rsidRPr="00A36FB0">
        <w:rPr>
          <w:rFonts w:ascii="Times New Roman" w:hAnsi="Times New Roman" w:cs="Times New Roman"/>
          <w:sz w:val="24"/>
          <w:szCs w:val="24"/>
        </w:rPr>
        <w:t xml:space="preserve">, &amp; </w:t>
      </w:r>
      <w:r w:rsidR="00DD53F8" w:rsidRPr="00A36FB0">
        <w:rPr>
          <w:rFonts w:ascii="Times New Roman" w:hAnsi="Times New Roman" w:cs="Times New Roman"/>
          <w:sz w:val="24"/>
          <w:szCs w:val="24"/>
        </w:rPr>
        <w:t>23</w:t>
      </w:r>
    </w:p>
    <w:p w14:paraId="3D413924" w14:textId="77777777" w:rsidR="00F636DB" w:rsidRPr="00A36FB0" w:rsidRDefault="00F636DB" w:rsidP="00A36FB0">
      <w:pPr>
        <w:pStyle w:val="Paragraph"/>
        <w:ind w:firstLine="0"/>
        <w:rPr>
          <w:rFonts w:ascii="Times New Roman" w:hAnsi="Times New Roman" w:cs="Times New Roman"/>
          <w:sz w:val="24"/>
          <w:szCs w:val="24"/>
        </w:rPr>
      </w:pPr>
    </w:p>
    <w:p w14:paraId="43D3EE27" w14:textId="06305A31" w:rsidR="00546034" w:rsidRPr="00546034" w:rsidRDefault="00C27F83" w:rsidP="00546034">
      <w:pPr>
        <w:pStyle w:val="Paragraph"/>
        <w:rPr>
          <w:rFonts w:ascii="Times New Roman" w:hAnsi="Times New Roman" w:cs="Times New Roman"/>
          <w:sz w:val="24"/>
          <w:szCs w:val="24"/>
        </w:rPr>
      </w:pPr>
      <w:r w:rsidRPr="00A36FB0">
        <w:rPr>
          <w:rFonts w:ascii="Times New Roman" w:hAnsi="Times New Roman" w:cs="Times New Roman"/>
          <w:sz w:val="24"/>
          <w:szCs w:val="24"/>
        </w:rPr>
        <w:t xml:space="preserve">Soil response analysis requires approximate engineering bedrock depth data. </w:t>
      </w:r>
      <w:r w:rsidR="00A75ECF" w:rsidRPr="00A36FB0">
        <w:rPr>
          <w:rFonts w:ascii="Times New Roman" w:hAnsi="Times New Roman" w:cs="Times New Roman"/>
          <w:sz w:val="24"/>
          <w:szCs w:val="24"/>
        </w:rPr>
        <w:t xml:space="preserve">According </w:t>
      </w:r>
      <w:r w:rsidR="004E418B" w:rsidRPr="00A36FB0">
        <w:rPr>
          <w:rFonts w:ascii="Times New Roman" w:hAnsi="Times New Roman" w:cs="Times New Roman"/>
          <w:sz w:val="24"/>
          <w:szCs w:val="24"/>
        </w:rPr>
        <w:t xml:space="preserve">to </w:t>
      </w:r>
      <w:r w:rsidR="00A75ECF" w:rsidRPr="00A36FB0">
        <w:rPr>
          <w:rFonts w:ascii="Times New Roman" w:hAnsi="Times New Roman" w:cs="Times New Roman"/>
          <w:sz w:val="24"/>
          <w:szCs w:val="24"/>
        </w:rPr>
        <w:t xml:space="preserve">Roslee </w:t>
      </w:r>
      <w:r w:rsidR="00A75ECF" w:rsidRPr="00A36FB0">
        <w:rPr>
          <w:rFonts w:ascii="Times New Roman" w:hAnsi="Times New Roman" w:cs="Times New Roman"/>
          <w:i/>
          <w:iCs/>
          <w:sz w:val="24"/>
          <w:szCs w:val="24"/>
        </w:rPr>
        <w:t>et al</w:t>
      </w:r>
      <w:r w:rsidR="00F51FEA" w:rsidRPr="00A36FB0">
        <w:rPr>
          <w:rFonts w:ascii="Times New Roman" w:hAnsi="Times New Roman" w:cs="Times New Roman"/>
          <w:i/>
          <w:iCs/>
          <w:sz w:val="24"/>
          <w:szCs w:val="24"/>
        </w:rPr>
        <w:t>.</w:t>
      </w:r>
      <w:r w:rsidR="00A75ECF" w:rsidRPr="00A36FB0">
        <w:rPr>
          <w:rFonts w:ascii="Times New Roman" w:hAnsi="Times New Roman" w:cs="Times New Roman"/>
          <w:sz w:val="24"/>
          <w:szCs w:val="24"/>
        </w:rPr>
        <w:t xml:space="preserve"> (2020), the engineering bedrock depth </w:t>
      </w:r>
      <w:r w:rsidR="00546034">
        <w:rPr>
          <w:rFonts w:ascii="Times New Roman" w:hAnsi="Times New Roman" w:cs="Times New Roman"/>
          <w:sz w:val="24"/>
          <w:szCs w:val="24"/>
        </w:rPr>
        <w:t>in Luyang, Kota Kinabalu, Sabah, was estimated to be between 4 m and 32.5 m below</w:t>
      </w:r>
      <w:r w:rsidR="004E418B" w:rsidRPr="00A36FB0">
        <w:rPr>
          <w:rFonts w:ascii="Times New Roman" w:hAnsi="Times New Roman" w:cs="Times New Roman"/>
          <w:sz w:val="24"/>
          <w:szCs w:val="24"/>
        </w:rPr>
        <w:t xml:space="preserve"> the original ground level</w:t>
      </w:r>
      <w:r w:rsidR="00A75ECF" w:rsidRPr="00A36FB0">
        <w:rPr>
          <w:rFonts w:ascii="Times New Roman" w:hAnsi="Times New Roman" w:cs="Times New Roman"/>
          <w:sz w:val="24"/>
          <w:szCs w:val="24"/>
        </w:rPr>
        <w:t xml:space="preserve">. </w:t>
      </w:r>
      <w:r w:rsidR="00546034" w:rsidRPr="00546034">
        <w:rPr>
          <w:rFonts w:ascii="Times New Roman" w:hAnsi="Times New Roman" w:cs="Times New Roman"/>
          <w:sz w:val="24"/>
          <w:szCs w:val="24"/>
        </w:rPr>
        <w:t xml:space="preserve">It should be noted that </w:t>
      </w:r>
      <w:r w:rsidR="00546034">
        <w:rPr>
          <w:rFonts w:ascii="Times New Roman" w:hAnsi="Times New Roman" w:cs="Times New Roman"/>
          <w:sz w:val="24"/>
          <w:szCs w:val="24"/>
        </w:rPr>
        <w:t xml:space="preserve">estimating the engineering bedrock depth </w:t>
      </w:r>
      <w:r w:rsidR="00546034">
        <w:rPr>
          <w:rFonts w:ascii="Times New Roman" w:hAnsi="Times New Roman" w:cs="Times New Roman"/>
          <w:sz w:val="24"/>
          <w:szCs w:val="24"/>
        </w:rPr>
        <w:lastRenderedPageBreak/>
        <w:t>introduces uncertainty into</w:t>
      </w:r>
      <w:r w:rsidR="00546034" w:rsidRPr="00546034">
        <w:rPr>
          <w:rFonts w:ascii="Times New Roman" w:hAnsi="Times New Roman" w:cs="Times New Roman"/>
          <w:sz w:val="24"/>
          <w:szCs w:val="24"/>
        </w:rPr>
        <w:t xml:space="preserve"> the site response analysis. The adopted assumptions are based on regional geological studies</w:t>
      </w:r>
      <w:r w:rsidR="00546034">
        <w:rPr>
          <w:rFonts w:ascii="Times New Roman" w:hAnsi="Times New Roman" w:cs="Times New Roman"/>
          <w:sz w:val="24"/>
          <w:szCs w:val="24"/>
        </w:rPr>
        <w:t>, given the absence of direct geophysical measurements,</w:t>
      </w:r>
      <w:r w:rsidR="00546034" w:rsidRPr="00546034">
        <w:rPr>
          <w:rFonts w:ascii="Times New Roman" w:hAnsi="Times New Roman" w:cs="Times New Roman"/>
          <w:sz w:val="24"/>
          <w:szCs w:val="24"/>
        </w:rPr>
        <w:t xml:space="preserve"> such as downhole or MASW testing. Variations in actual bedrock depth may influence the fundamental site period and amplification characteristics.</w:t>
      </w:r>
    </w:p>
    <w:p w14:paraId="346438CB" w14:textId="77777777" w:rsidR="00546034" w:rsidRPr="00546034" w:rsidRDefault="00546034" w:rsidP="00546034">
      <w:pPr>
        <w:pStyle w:val="Paragraph"/>
        <w:rPr>
          <w:rFonts w:ascii="Times New Roman" w:hAnsi="Times New Roman" w:cs="Times New Roman"/>
          <w:sz w:val="24"/>
          <w:szCs w:val="24"/>
        </w:rPr>
      </w:pPr>
    </w:p>
    <w:p w14:paraId="2DD3E9E7" w14:textId="0BBE98E6" w:rsidR="00A75ECF" w:rsidRPr="00A36FB0" w:rsidRDefault="00546034" w:rsidP="00546034">
      <w:pPr>
        <w:pStyle w:val="Paragraph"/>
        <w:ind w:firstLine="0"/>
        <w:rPr>
          <w:rFonts w:ascii="Times New Roman" w:hAnsi="Times New Roman" w:cs="Times New Roman"/>
          <w:sz w:val="24"/>
          <w:szCs w:val="24"/>
        </w:rPr>
      </w:pPr>
      <w:r w:rsidRPr="00546034">
        <w:rPr>
          <w:rFonts w:ascii="Times New Roman" w:hAnsi="Times New Roman" w:cs="Times New Roman"/>
          <w:sz w:val="24"/>
          <w:szCs w:val="24"/>
        </w:rPr>
        <w:t xml:space="preserve">However, the adopted approach represents a practical engineering approximation commonly used in preliminary seismic assessments. Future studies incorporating direct </w:t>
      </w:r>
      <w:r>
        <w:rPr>
          <w:rFonts w:ascii="Times New Roman" w:hAnsi="Times New Roman" w:cs="Times New Roman"/>
          <w:sz w:val="24"/>
          <w:szCs w:val="24"/>
        </w:rPr>
        <w:t>shear-wave velocity profiling are recommended to refine bedrock depth estimates</w:t>
      </w:r>
      <w:r w:rsidRPr="00546034">
        <w:rPr>
          <w:rFonts w:ascii="Times New Roman" w:hAnsi="Times New Roman" w:cs="Times New Roman"/>
          <w:sz w:val="24"/>
          <w:szCs w:val="24"/>
        </w:rPr>
        <w:t xml:space="preserve"> and improve the reliability of site response predictions.</w:t>
      </w:r>
      <w:r w:rsidRPr="00A36FB0">
        <w:rPr>
          <w:rFonts w:ascii="Times New Roman" w:hAnsi="Times New Roman" w:cs="Times New Roman"/>
          <w:sz w:val="24"/>
          <w:szCs w:val="24"/>
        </w:rPr>
        <w:t xml:space="preserve"> As</w:t>
      </w:r>
      <w:r w:rsidR="00A75ECF" w:rsidRPr="00A36FB0">
        <w:rPr>
          <w:rFonts w:ascii="Times New Roman" w:hAnsi="Times New Roman" w:cs="Times New Roman"/>
          <w:sz w:val="24"/>
          <w:szCs w:val="24"/>
        </w:rPr>
        <w:t xml:space="preserve"> such, several assumptions </w:t>
      </w:r>
      <w:r w:rsidR="004E418B" w:rsidRPr="00A36FB0">
        <w:rPr>
          <w:rFonts w:ascii="Times New Roman" w:hAnsi="Times New Roman" w:cs="Times New Roman"/>
          <w:sz w:val="24"/>
          <w:szCs w:val="24"/>
        </w:rPr>
        <w:t xml:space="preserve">have been made regarding the extended depth of boreholes </w:t>
      </w:r>
      <w:r w:rsidR="00A75ECF" w:rsidRPr="00A36FB0">
        <w:rPr>
          <w:rFonts w:ascii="Times New Roman" w:hAnsi="Times New Roman" w:cs="Times New Roman"/>
          <w:sz w:val="24"/>
          <w:szCs w:val="24"/>
        </w:rPr>
        <w:t xml:space="preserve">for soil response analysis, as listed in </w:t>
      </w:r>
      <w:r w:rsidR="00A75ECF" w:rsidRPr="00A36FB0">
        <w:rPr>
          <w:rFonts w:ascii="Times New Roman" w:hAnsi="Times New Roman" w:cs="Times New Roman"/>
          <w:b/>
          <w:bCs/>
          <w:sz w:val="24"/>
          <w:szCs w:val="24"/>
        </w:rPr>
        <w:t xml:space="preserve">Table </w:t>
      </w:r>
      <w:r w:rsidR="00F5531D" w:rsidRPr="00A36FB0">
        <w:rPr>
          <w:rFonts w:ascii="Times New Roman" w:hAnsi="Times New Roman" w:cs="Times New Roman"/>
          <w:b/>
          <w:bCs/>
          <w:sz w:val="24"/>
          <w:szCs w:val="24"/>
        </w:rPr>
        <w:t>7</w:t>
      </w:r>
      <w:r w:rsidR="00A75ECF" w:rsidRPr="00A36FB0">
        <w:rPr>
          <w:rFonts w:ascii="Times New Roman" w:hAnsi="Times New Roman" w:cs="Times New Roman"/>
          <w:b/>
          <w:bCs/>
          <w:sz w:val="24"/>
          <w:szCs w:val="24"/>
        </w:rPr>
        <w:t>.</w:t>
      </w:r>
      <w:r w:rsidR="00A75ECF" w:rsidRPr="00A36FB0">
        <w:rPr>
          <w:rFonts w:ascii="Times New Roman" w:hAnsi="Times New Roman" w:cs="Times New Roman"/>
          <w:sz w:val="24"/>
          <w:szCs w:val="24"/>
        </w:rPr>
        <w:t xml:space="preserve"> </w:t>
      </w:r>
      <w:r w:rsidR="00483C75" w:rsidRPr="00483C75">
        <w:rPr>
          <w:rFonts w:ascii="Times New Roman" w:hAnsi="Times New Roman" w:cs="Times New Roman"/>
          <w:sz w:val="24"/>
          <w:szCs w:val="24"/>
        </w:rPr>
        <w:t xml:space="preserve">Because depth to engineering bedrock governs the fundamental site period, overestimating the depth could shift the resonance to longer periods, while underestimating it could artificially concentrate amplification at higher frequencies. Future structural designs </w:t>
      </w:r>
      <w:r w:rsidR="00B4467C">
        <w:rPr>
          <w:rFonts w:ascii="Times New Roman" w:hAnsi="Times New Roman" w:cs="Times New Roman"/>
          <w:sz w:val="24"/>
          <w:szCs w:val="24"/>
        </w:rPr>
        <w:t>utilising</w:t>
      </w:r>
      <w:r w:rsidR="00483C75" w:rsidRPr="00483C75">
        <w:rPr>
          <w:rFonts w:ascii="Times New Roman" w:hAnsi="Times New Roman" w:cs="Times New Roman"/>
          <w:sz w:val="24"/>
          <w:szCs w:val="24"/>
        </w:rPr>
        <w:t xml:space="preserve"> these site-specific spectra should account for a margin of error in the long-period range (</w:t>
      </w:r>
      <w:r w:rsidR="006F5214">
        <w:rPr>
          <w:rFonts w:ascii="Times New Roman" w:hAnsi="Times New Roman" w:cs="Times New Roman"/>
          <w:sz w:val="24"/>
          <w:szCs w:val="24"/>
        </w:rPr>
        <w:t>T</w:t>
      </w:r>
      <w:r w:rsidR="006F5214" w:rsidRPr="006F5214">
        <w:rPr>
          <w:rFonts w:ascii="Times New Roman" w:hAnsi="Times New Roman" w:cs="Times New Roman"/>
          <w:sz w:val="24"/>
          <w:szCs w:val="24"/>
          <w:vertAlign w:val="subscript"/>
        </w:rPr>
        <w:t>D</w:t>
      </w:r>
      <w:r w:rsidR="00483C75" w:rsidRPr="00483C75">
        <w:rPr>
          <w:rFonts w:ascii="Times New Roman" w:hAnsi="Times New Roman" w:cs="Times New Roman"/>
          <w:sz w:val="24"/>
          <w:szCs w:val="24"/>
        </w:rPr>
        <w:t>) to accommodate this uncertainty</w:t>
      </w:r>
      <w:r w:rsidR="006F5214">
        <w:rPr>
          <w:rFonts w:ascii="Times New Roman" w:hAnsi="Times New Roman" w:cs="Times New Roman"/>
          <w:sz w:val="24"/>
          <w:szCs w:val="24"/>
        </w:rPr>
        <w:t>.</w:t>
      </w:r>
    </w:p>
    <w:p w14:paraId="582A0E10" w14:textId="77777777" w:rsidR="00DE35F7" w:rsidRPr="00A36FB0" w:rsidRDefault="00DE35F7" w:rsidP="00A36FB0">
      <w:pPr>
        <w:pStyle w:val="Paragraph"/>
        <w:ind w:firstLine="0"/>
        <w:rPr>
          <w:rFonts w:ascii="Times New Roman" w:hAnsi="Times New Roman" w:cs="Times New Roman"/>
          <w:sz w:val="24"/>
          <w:szCs w:val="24"/>
        </w:rPr>
      </w:pPr>
    </w:p>
    <w:p w14:paraId="6ACF148D" w14:textId="77777777" w:rsidR="00DE35F7" w:rsidRPr="00A36FB0" w:rsidRDefault="00DE35F7" w:rsidP="00A36FB0">
      <w:pPr>
        <w:pStyle w:val="Paragraph"/>
        <w:ind w:firstLine="0"/>
        <w:rPr>
          <w:rFonts w:ascii="Times New Roman" w:hAnsi="Times New Roman" w:cs="Times New Roman"/>
          <w:sz w:val="24"/>
          <w:szCs w:val="24"/>
        </w:rPr>
      </w:pPr>
    </w:p>
    <w:p w14:paraId="4AE0E283" w14:textId="332DF8FC" w:rsidR="00A75ECF" w:rsidRPr="00A36FB0" w:rsidRDefault="00A75ECF" w:rsidP="00A36FB0">
      <w:pPr>
        <w:pStyle w:val="Paragraph"/>
        <w:ind w:firstLine="0"/>
        <w:rPr>
          <w:rFonts w:ascii="Times New Roman" w:hAnsi="Times New Roman" w:cs="Times New Roman"/>
          <w:sz w:val="24"/>
          <w:szCs w:val="24"/>
        </w:rPr>
      </w:pPr>
      <w:r w:rsidRPr="00A36FB0">
        <w:rPr>
          <w:rFonts w:ascii="Times New Roman" w:hAnsi="Times New Roman" w:cs="Times New Roman"/>
          <w:b/>
          <w:bCs/>
          <w:sz w:val="24"/>
          <w:szCs w:val="24"/>
        </w:rPr>
        <w:t xml:space="preserve">Table </w:t>
      </w:r>
      <w:r w:rsidR="00F5531D" w:rsidRPr="00A36FB0">
        <w:rPr>
          <w:rFonts w:ascii="Times New Roman" w:hAnsi="Times New Roman" w:cs="Times New Roman"/>
          <w:b/>
          <w:bCs/>
          <w:sz w:val="24"/>
          <w:szCs w:val="24"/>
        </w:rPr>
        <w:t>7</w:t>
      </w:r>
      <w:r w:rsidRPr="00A36FB0">
        <w:rPr>
          <w:rFonts w:ascii="Times New Roman" w:hAnsi="Times New Roman" w:cs="Times New Roman"/>
          <w:b/>
          <w:bCs/>
          <w:sz w:val="24"/>
          <w:szCs w:val="24"/>
        </w:rPr>
        <w:t>.</w:t>
      </w:r>
      <w:r w:rsidRPr="00A36FB0">
        <w:rPr>
          <w:rFonts w:ascii="Times New Roman" w:hAnsi="Times New Roman" w:cs="Times New Roman"/>
          <w:sz w:val="24"/>
          <w:szCs w:val="24"/>
        </w:rPr>
        <w:t xml:space="preserve"> Assumption on the extended depth of the borehole to the engineering bedrock</w:t>
      </w:r>
    </w:p>
    <w:tbl>
      <w:tblPr>
        <w:tblStyle w:val="TableGrid"/>
        <w:tblW w:w="0" w:type="auto"/>
        <w:tblLook w:val="04A0" w:firstRow="1" w:lastRow="0" w:firstColumn="1" w:lastColumn="0" w:noHBand="0" w:noVBand="1"/>
      </w:tblPr>
      <w:tblGrid>
        <w:gridCol w:w="770"/>
        <w:gridCol w:w="3620"/>
        <w:gridCol w:w="3402"/>
      </w:tblGrid>
      <w:tr w:rsidR="00A75ECF" w:rsidRPr="00A36FB0" w14:paraId="1764EFE5" w14:textId="77777777" w:rsidTr="00A36FB0">
        <w:trPr>
          <w:trHeight w:val="1382"/>
        </w:trPr>
        <w:tc>
          <w:tcPr>
            <w:tcW w:w="770" w:type="dxa"/>
            <w:vAlign w:val="center"/>
          </w:tcPr>
          <w:p w14:paraId="305E9EB9" w14:textId="77777777" w:rsidR="00A75ECF" w:rsidRPr="00A36FB0" w:rsidRDefault="00A75ECF" w:rsidP="00A36FB0">
            <w:pPr>
              <w:pStyle w:val="Paragraph"/>
              <w:ind w:firstLine="0"/>
              <w:rPr>
                <w:rFonts w:ascii="Times New Roman" w:hAnsi="Times New Roman" w:cs="Times New Roman"/>
                <w:b/>
                <w:bCs/>
                <w:sz w:val="24"/>
                <w:szCs w:val="24"/>
              </w:rPr>
            </w:pPr>
            <w:r w:rsidRPr="00A36FB0">
              <w:rPr>
                <w:rFonts w:ascii="Times New Roman" w:hAnsi="Times New Roman" w:cs="Times New Roman"/>
                <w:b/>
                <w:bCs/>
                <w:sz w:val="24"/>
                <w:szCs w:val="24"/>
              </w:rPr>
              <w:t>No.</w:t>
            </w:r>
          </w:p>
        </w:tc>
        <w:tc>
          <w:tcPr>
            <w:tcW w:w="3620" w:type="dxa"/>
            <w:vAlign w:val="center"/>
          </w:tcPr>
          <w:p w14:paraId="38FBDE99" w14:textId="77777777" w:rsidR="00A75ECF" w:rsidRPr="00A36FB0" w:rsidRDefault="00A75ECF" w:rsidP="00A36FB0">
            <w:pPr>
              <w:pStyle w:val="Paragraph"/>
              <w:ind w:firstLine="0"/>
              <w:rPr>
                <w:rFonts w:ascii="Times New Roman" w:hAnsi="Times New Roman" w:cs="Times New Roman"/>
                <w:b/>
                <w:bCs/>
                <w:sz w:val="24"/>
                <w:szCs w:val="24"/>
              </w:rPr>
            </w:pPr>
            <w:r w:rsidRPr="00A36FB0">
              <w:rPr>
                <w:rFonts w:ascii="Times New Roman" w:hAnsi="Times New Roman" w:cs="Times New Roman"/>
                <w:b/>
                <w:bCs/>
                <w:sz w:val="24"/>
                <w:szCs w:val="24"/>
              </w:rPr>
              <w:t>Description of Conditions</w:t>
            </w:r>
          </w:p>
        </w:tc>
        <w:tc>
          <w:tcPr>
            <w:tcW w:w="3402" w:type="dxa"/>
            <w:vAlign w:val="center"/>
          </w:tcPr>
          <w:p w14:paraId="319760AF" w14:textId="77777777" w:rsidR="00A75ECF" w:rsidRPr="00A36FB0" w:rsidRDefault="00A75ECF" w:rsidP="00A36FB0">
            <w:pPr>
              <w:pStyle w:val="Paragraph"/>
              <w:ind w:firstLine="0"/>
              <w:rPr>
                <w:rFonts w:ascii="Times New Roman" w:hAnsi="Times New Roman" w:cs="Times New Roman"/>
                <w:b/>
                <w:bCs/>
                <w:sz w:val="24"/>
                <w:szCs w:val="24"/>
              </w:rPr>
            </w:pPr>
            <w:r w:rsidRPr="00A36FB0">
              <w:rPr>
                <w:rFonts w:ascii="Times New Roman" w:hAnsi="Times New Roman" w:cs="Times New Roman"/>
                <w:b/>
                <w:bCs/>
                <w:sz w:val="24"/>
                <w:szCs w:val="24"/>
              </w:rPr>
              <w:t>Extended Depth from Existing Terminated BH</w:t>
            </w:r>
          </w:p>
        </w:tc>
      </w:tr>
      <w:tr w:rsidR="00A75ECF" w:rsidRPr="00A36FB0" w14:paraId="326723E5" w14:textId="77777777" w:rsidTr="00A36FB0">
        <w:trPr>
          <w:trHeight w:val="556"/>
        </w:trPr>
        <w:tc>
          <w:tcPr>
            <w:tcW w:w="770" w:type="dxa"/>
          </w:tcPr>
          <w:p w14:paraId="1653E143" w14:textId="77777777" w:rsidR="00A75ECF" w:rsidRPr="00A36FB0" w:rsidRDefault="00A75ECF" w:rsidP="00A36FB0">
            <w:pPr>
              <w:pStyle w:val="Paragraph"/>
              <w:ind w:firstLine="0"/>
              <w:rPr>
                <w:rFonts w:ascii="Times New Roman" w:hAnsi="Times New Roman" w:cs="Times New Roman"/>
                <w:sz w:val="24"/>
                <w:szCs w:val="24"/>
              </w:rPr>
            </w:pPr>
            <w:r w:rsidRPr="00A36FB0">
              <w:rPr>
                <w:rFonts w:ascii="Times New Roman" w:hAnsi="Times New Roman" w:cs="Times New Roman"/>
                <w:sz w:val="24"/>
                <w:szCs w:val="24"/>
              </w:rPr>
              <w:t>1</w:t>
            </w:r>
          </w:p>
        </w:tc>
        <w:tc>
          <w:tcPr>
            <w:tcW w:w="3620" w:type="dxa"/>
          </w:tcPr>
          <w:p w14:paraId="2AF57C3E" w14:textId="77777777" w:rsidR="00A75ECF" w:rsidRPr="00A36FB0" w:rsidRDefault="00A75ECF" w:rsidP="00A36FB0">
            <w:pPr>
              <w:pStyle w:val="Paragraph"/>
              <w:ind w:firstLine="0"/>
              <w:rPr>
                <w:rFonts w:ascii="Times New Roman" w:hAnsi="Times New Roman" w:cs="Times New Roman"/>
                <w:sz w:val="24"/>
                <w:szCs w:val="24"/>
              </w:rPr>
            </w:pPr>
            <w:r w:rsidRPr="00A36FB0">
              <w:rPr>
                <w:rFonts w:ascii="Times New Roman" w:hAnsi="Times New Roman" w:cs="Times New Roman"/>
                <w:sz w:val="24"/>
                <w:szCs w:val="24"/>
              </w:rPr>
              <w:t>Weathered rock or hard clay encountered</w:t>
            </w:r>
          </w:p>
        </w:tc>
        <w:tc>
          <w:tcPr>
            <w:tcW w:w="3402" w:type="dxa"/>
          </w:tcPr>
          <w:p w14:paraId="26AC1324" w14:textId="25225B79" w:rsidR="00A75ECF" w:rsidRPr="00A36FB0" w:rsidRDefault="00A75ECF" w:rsidP="00A36FB0">
            <w:pPr>
              <w:pStyle w:val="Paragraph"/>
              <w:ind w:firstLine="0"/>
              <w:rPr>
                <w:rFonts w:ascii="Times New Roman" w:hAnsi="Times New Roman" w:cs="Times New Roman"/>
                <w:sz w:val="24"/>
                <w:szCs w:val="24"/>
              </w:rPr>
            </w:pPr>
            <w:r w:rsidRPr="00A36FB0">
              <w:rPr>
                <w:rFonts w:ascii="Times New Roman" w:hAnsi="Times New Roman" w:cs="Times New Roman"/>
                <w:sz w:val="24"/>
                <w:szCs w:val="24"/>
              </w:rPr>
              <w:t>10</w:t>
            </w:r>
            <w:r w:rsidR="00DE35F7" w:rsidRPr="00A36FB0">
              <w:rPr>
                <w:rFonts w:ascii="Times New Roman" w:hAnsi="Times New Roman" w:cs="Times New Roman"/>
                <w:sz w:val="24"/>
                <w:szCs w:val="24"/>
              </w:rPr>
              <w:t xml:space="preserve"> </w:t>
            </w:r>
            <w:r w:rsidRPr="00A36FB0">
              <w:rPr>
                <w:rFonts w:ascii="Times New Roman" w:hAnsi="Times New Roman" w:cs="Times New Roman"/>
                <w:sz w:val="24"/>
                <w:szCs w:val="24"/>
              </w:rPr>
              <w:t>m more depth to bedrock</w:t>
            </w:r>
          </w:p>
        </w:tc>
      </w:tr>
      <w:tr w:rsidR="00A75ECF" w:rsidRPr="00A36FB0" w14:paraId="4EB51997" w14:textId="77777777" w:rsidTr="00A36FB0">
        <w:trPr>
          <w:trHeight w:val="422"/>
        </w:trPr>
        <w:tc>
          <w:tcPr>
            <w:tcW w:w="770" w:type="dxa"/>
          </w:tcPr>
          <w:p w14:paraId="39D8DD89" w14:textId="77777777" w:rsidR="00A75ECF" w:rsidRPr="00A36FB0" w:rsidRDefault="00A75ECF" w:rsidP="00A36FB0">
            <w:pPr>
              <w:pStyle w:val="Paragraph"/>
              <w:ind w:firstLine="0"/>
              <w:rPr>
                <w:rFonts w:ascii="Times New Roman" w:hAnsi="Times New Roman" w:cs="Times New Roman"/>
                <w:sz w:val="24"/>
                <w:szCs w:val="24"/>
              </w:rPr>
            </w:pPr>
            <w:r w:rsidRPr="00A36FB0">
              <w:rPr>
                <w:rFonts w:ascii="Times New Roman" w:hAnsi="Times New Roman" w:cs="Times New Roman"/>
                <w:sz w:val="24"/>
                <w:szCs w:val="24"/>
              </w:rPr>
              <w:t>2</w:t>
            </w:r>
          </w:p>
        </w:tc>
        <w:tc>
          <w:tcPr>
            <w:tcW w:w="3620" w:type="dxa"/>
          </w:tcPr>
          <w:p w14:paraId="4FB7A656" w14:textId="77777777" w:rsidR="00A75ECF" w:rsidRPr="00A36FB0" w:rsidRDefault="00A75ECF" w:rsidP="00A36FB0">
            <w:pPr>
              <w:pStyle w:val="Paragraph"/>
              <w:ind w:firstLine="0"/>
              <w:rPr>
                <w:rFonts w:ascii="Times New Roman" w:hAnsi="Times New Roman" w:cs="Times New Roman"/>
                <w:sz w:val="24"/>
                <w:szCs w:val="24"/>
              </w:rPr>
            </w:pPr>
            <w:r w:rsidRPr="00A36FB0">
              <w:rPr>
                <w:rFonts w:ascii="Times New Roman" w:hAnsi="Times New Roman" w:cs="Times New Roman"/>
                <w:sz w:val="24"/>
                <w:szCs w:val="24"/>
              </w:rPr>
              <w:t>Terminated BH SPT-N= 40-50</w:t>
            </w:r>
          </w:p>
        </w:tc>
        <w:tc>
          <w:tcPr>
            <w:tcW w:w="3402" w:type="dxa"/>
          </w:tcPr>
          <w:p w14:paraId="53751BB7" w14:textId="7A2FAB3D" w:rsidR="00A75ECF" w:rsidRPr="00A36FB0" w:rsidRDefault="00A75ECF" w:rsidP="00A36FB0">
            <w:pPr>
              <w:pStyle w:val="Paragraph"/>
              <w:ind w:firstLine="0"/>
              <w:rPr>
                <w:rFonts w:ascii="Times New Roman" w:hAnsi="Times New Roman" w:cs="Times New Roman"/>
                <w:sz w:val="24"/>
                <w:szCs w:val="24"/>
              </w:rPr>
            </w:pPr>
            <w:r w:rsidRPr="00A36FB0">
              <w:rPr>
                <w:rFonts w:ascii="Times New Roman" w:hAnsi="Times New Roman" w:cs="Times New Roman"/>
                <w:sz w:val="24"/>
                <w:szCs w:val="24"/>
              </w:rPr>
              <w:t>15</w:t>
            </w:r>
            <w:r w:rsidR="00DE35F7" w:rsidRPr="00A36FB0">
              <w:rPr>
                <w:rFonts w:ascii="Times New Roman" w:hAnsi="Times New Roman" w:cs="Times New Roman"/>
                <w:sz w:val="24"/>
                <w:szCs w:val="24"/>
              </w:rPr>
              <w:t xml:space="preserve"> </w:t>
            </w:r>
            <w:r w:rsidRPr="00A36FB0">
              <w:rPr>
                <w:rFonts w:ascii="Times New Roman" w:hAnsi="Times New Roman" w:cs="Times New Roman"/>
                <w:sz w:val="24"/>
                <w:szCs w:val="24"/>
              </w:rPr>
              <w:t>m more depth to bedrock</w:t>
            </w:r>
          </w:p>
        </w:tc>
      </w:tr>
      <w:tr w:rsidR="00A75ECF" w:rsidRPr="00A36FB0" w14:paraId="3ACEA8AD" w14:textId="77777777" w:rsidTr="00A36FB0">
        <w:trPr>
          <w:trHeight w:val="414"/>
        </w:trPr>
        <w:tc>
          <w:tcPr>
            <w:tcW w:w="770" w:type="dxa"/>
          </w:tcPr>
          <w:p w14:paraId="14A39518" w14:textId="77777777" w:rsidR="00A75ECF" w:rsidRPr="00A36FB0" w:rsidRDefault="00A75ECF" w:rsidP="00A36FB0">
            <w:pPr>
              <w:pStyle w:val="Paragraph"/>
              <w:ind w:firstLine="0"/>
              <w:rPr>
                <w:rFonts w:ascii="Times New Roman" w:hAnsi="Times New Roman" w:cs="Times New Roman"/>
                <w:sz w:val="24"/>
                <w:szCs w:val="24"/>
              </w:rPr>
            </w:pPr>
            <w:r w:rsidRPr="00A36FB0">
              <w:rPr>
                <w:rFonts w:ascii="Times New Roman" w:hAnsi="Times New Roman" w:cs="Times New Roman"/>
                <w:sz w:val="24"/>
                <w:szCs w:val="24"/>
              </w:rPr>
              <w:t>3</w:t>
            </w:r>
          </w:p>
        </w:tc>
        <w:tc>
          <w:tcPr>
            <w:tcW w:w="3620" w:type="dxa"/>
          </w:tcPr>
          <w:p w14:paraId="629B6806" w14:textId="77777777" w:rsidR="00A75ECF" w:rsidRPr="00A36FB0" w:rsidRDefault="00A75ECF" w:rsidP="00A36FB0">
            <w:pPr>
              <w:pStyle w:val="Paragraph"/>
              <w:ind w:firstLine="0"/>
              <w:rPr>
                <w:rFonts w:ascii="Times New Roman" w:hAnsi="Times New Roman" w:cs="Times New Roman"/>
                <w:sz w:val="24"/>
                <w:szCs w:val="24"/>
              </w:rPr>
            </w:pPr>
            <w:r w:rsidRPr="00A36FB0">
              <w:rPr>
                <w:rFonts w:ascii="Times New Roman" w:hAnsi="Times New Roman" w:cs="Times New Roman"/>
                <w:sz w:val="24"/>
                <w:szCs w:val="24"/>
              </w:rPr>
              <w:t>Terminated BH SPT-N= 25-40</w:t>
            </w:r>
          </w:p>
        </w:tc>
        <w:tc>
          <w:tcPr>
            <w:tcW w:w="3402" w:type="dxa"/>
          </w:tcPr>
          <w:p w14:paraId="7EF291C2" w14:textId="11C93893" w:rsidR="00A75ECF" w:rsidRPr="00A36FB0" w:rsidRDefault="00A75ECF" w:rsidP="00A36FB0">
            <w:pPr>
              <w:pStyle w:val="Paragraph"/>
              <w:ind w:firstLine="0"/>
              <w:rPr>
                <w:rFonts w:ascii="Times New Roman" w:hAnsi="Times New Roman" w:cs="Times New Roman"/>
                <w:sz w:val="24"/>
                <w:szCs w:val="24"/>
              </w:rPr>
            </w:pPr>
            <w:r w:rsidRPr="00A36FB0">
              <w:rPr>
                <w:rFonts w:ascii="Times New Roman" w:hAnsi="Times New Roman" w:cs="Times New Roman"/>
                <w:sz w:val="24"/>
                <w:szCs w:val="24"/>
              </w:rPr>
              <w:t>20</w:t>
            </w:r>
            <w:r w:rsidR="00DE35F7" w:rsidRPr="00A36FB0">
              <w:rPr>
                <w:rFonts w:ascii="Times New Roman" w:hAnsi="Times New Roman" w:cs="Times New Roman"/>
                <w:sz w:val="24"/>
                <w:szCs w:val="24"/>
              </w:rPr>
              <w:t xml:space="preserve"> </w:t>
            </w:r>
            <w:r w:rsidRPr="00A36FB0">
              <w:rPr>
                <w:rFonts w:ascii="Times New Roman" w:hAnsi="Times New Roman" w:cs="Times New Roman"/>
                <w:sz w:val="24"/>
                <w:szCs w:val="24"/>
              </w:rPr>
              <w:t>m more depth to bedrock</w:t>
            </w:r>
          </w:p>
        </w:tc>
      </w:tr>
      <w:tr w:rsidR="00A75ECF" w:rsidRPr="00A36FB0" w14:paraId="7C1B8778" w14:textId="77777777" w:rsidTr="00A36FB0">
        <w:trPr>
          <w:trHeight w:val="406"/>
        </w:trPr>
        <w:tc>
          <w:tcPr>
            <w:tcW w:w="770" w:type="dxa"/>
          </w:tcPr>
          <w:p w14:paraId="2529CF96" w14:textId="77777777" w:rsidR="00A75ECF" w:rsidRPr="00A36FB0" w:rsidRDefault="00A75ECF" w:rsidP="00A36FB0">
            <w:pPr>
              <w:pStyle w:val="Paragraph"/>
              <w:ind w:firstLine="0"/>
              <w:rPr>
                <w:rFonts w:ascii="Times New Roman" w:hAnsi="Times New Roman" w:cs="Times New Roman"/>
                <w:sz w:val="24"/>
                <w:szCs w:val="24"/>
              </w:rPr>
            </w:pPr>
            <w:r w:rsidRPr="00A36FB0">
              <w:rPr>
                <w:rFonts w:ascii="Times New Roman" w:hAnsi="Times New Roman" w:cs="Times New Roman"/>
                <w:sz w:val="24"/>
                <w:szCs w:val="24"/>
              </w:rPr>
              <w:t>4</w:t>
            </w:r>
          </w:p>
        </w:tc>
        <w:tc>
          <w:tcPr>
            <w:tcW w:w="3620" w:type="dxa"/>
          </w:tcPr>
          <w:p w14:paraId="500D860F" w14:textId="0019EF22" w:rsidR="00A75ECF" w:rsidRPr="00A36FB0" w:rsidRDefault="00A75ECF" w:rsidP="00A36FB0">
            <w:pPr>
              <w:pStyle w:val="Paragraph"/>
              <w:ind w:firstLine="0"/>
              <w:rPr>
                <w:rFonts w:ascii="Times New Roman" w:hAnsi="Times New Roman" w:cs="Times New Roman"/>
                <w:sz w:val="24"/>
                <w:szCs w:val="24"/>
              </w:rPr>
            </w:pPr>
            <w:r w:rsidRPr="00A36FB0">
              <w:rPr>
                <w:rFonts w:ascii="Times New Roman" w:hAnsi="Times New Roman" w:cs="Times New Roman"/>
                <w:sz w:val="24"/>
                <w:szCs w:val="24"/>
              </w:rPr>
              <w:t>Shallow depth</w:t>
            </w:r>
            <w:r w:rsidR="00F51FEA" w:rsidRPr="00A36FB0">
              <w:rPr>
                <w:rFonts w:ascii="Times New Roman" w:hAnsi="Times New Roman" w:cs="Times New Roman"/>
                <w:sz w:val="24"/>
                <w:szCs w:val="24"/>
              </w:rPr>
              <w:t xml:space="preserve"> BH</w:t>
            </w:r>
            <w:r w:rsidRPr="00A36FB0">
              <w:rPr>
                <w:rFonts w:ascii="Times New Roman" w:hAnsi="Times New Roman" w:cs="Times New Roman"/>
                <w:sz w:val="24"/>
                <w:szCs w:val="24"/>
              </w:rPr>
              <w:t>, no SPT-N=50</w:t>
            </w:r>
          </w:p>
        </w:tc>
        <w:tc>
          <w:tcPr>
            <w:tcW w:w="3402" w:type="dxa"/>
          </w:tcPr>
          <w:p w14:paraId="31DCBBC0" w14:textId="4B738E36" w:rsidR="00A75ECF" w:rsidRPr="00A36FB0" w:rsidRDefault="00F51FEA" w:rsidP="00A36FB0">
            <w:pPr>
              <w:pStyle w:val="Paragraph"/>
              <w:ind w:firstLine="0"/>
              <w:rPr>
                <w:rFonts w:ascii="Times New Roman" w:hAnsi="Times New Roman" w:cs="Times New Roman"/>
                <w:sz w:val="24"/>
                <w:szCs w:val="24"/>
              </w:rPr>
            </w:pPr>
            <w:r w:rsidRPr="00A36FB0">
              <w:rPr>
                <w:rFonts w:ascii="Times New Roman" w:hAnsi="Times New Roman" w:cs="Times New Roman"/>
                <w:sz w:val="24"/>
                <w:szCs w:val="24"/>
              </w:rPr>
              <w:t>3</w:t>
            </w:r>
            <w:r w:rsidR="00A75ECF" w:rsidRPr="00A36FB0">
              <w:rPr>
                <w:rFonts w:ascii="Times New Roman" w:hAnsi="Times New Roman" w:cs="Times New Roman"/>
                <w:sz w:val="24"/>
                <w:szCs w:val="24"/>
              </w:rPr>
              <w:t>0</w:t>
            </w:r>
            <w:r w:rsidR="00DE35F7" w:rsidRPr="00A36FB0">
              <w:rPr>
                <w:rFonts w:ascii="Times New Roman" w:hAnsi="Times New Roman" w:cs="Times New Roman"/>
                <w:sz w:val="24"/>
                <w:szCs w:val="24"/>
              </w:rPr>
              <w:t xml:space="preserve"> </w:t>
            </w:r>
            <w:r w:rsidR="00A75ECF" w:rsidRPr="00A36FB0">
              <w:rPr>
                <w:rFonts w:ascii="Times New Roman" w:hAnsi="Times New Roman" w:cs="Times New Roman"/>
                <w:sz w:val="24"/>
                <w:szCs w:val="24"/>
              </w:rPr>
              <w:t>m more depth to bedrock</w:t>
            </w:r>
          </w:p>
        </w:tc>
      </w:tr>
      <w:tr w:rsidR="00A75ECF" w:rsidRPr="00A36FB0" w14:paraId="4828F6D0" w14:textId="77777777" w:rsidTr="00A36FB0">
        <w:trPr>
          <w:trHeight w:val="411"/>
        </w:trPr>
        <w:tc>
          <w:tcPr>
            <w:tcW w:w="770" w:type="dxa"/>
          </w:tcPr>
          <w:p w14:paraId="4728F4D0" w14:textId="77777777" w:rsidR="00A75ECF" w:rsidRPr="00A36FB0" w:rsidRDefault="00A75ECF" w:rsidP="00A36FB0">
            <w:pPr>
              <w:pStyle w:val="Paragraph"/>
              <w:ind w:firstLine="0"/>
              <w:rPr>
                <w:rFonts w:ascii="Times New Roman" w:hAnsi="Times New Roman" w:cs="Times New Roman"/>
                <w:sz w:val="24"/>
                <w:szCs w:val="24"/>
              </w:rPr>
            </w:pPr>
            <w:r w:rsidRPr="00A36FB0">
              <w:rPr>
                <w:rFonts w:ascii="Times New Roman" w:hAnsi="Times New Roman" w:cs="Times New Roman"/>
                <w:sz w:val="24"/>
                <w:szCs w:val="24"/>
              </w:rPr>
              <w:t>5</w:t>
            </w:r>
          </w:p>
        </w:tc>
        <w:tc>
          <w:tcPr>
            <w:tcW w:w="3620" w:type="dxa"/>
          </w:tcPr>
          <w:p w14:paraId="0944B0E6" w14:textId="77777777" w:rsidR="00A75ECF" w:rsidRPr="00A36FB0" w:rsidRDefault="00A75ECF" w:rsidP="00A36FB0">
            <w:pPr>
              <w:pStyle w:val="Paragraph"/>
              <w:ind w:firstLine="0"/>
              <w:rPr>
                <w:rFonts w:ascii="Times New Roman" w:hAnsi="Times New Roman" w:cs="Times New Roman"/>
                <w:sz w:val="24"/>
                <w:szCs w:val="24"/>
              </w:rPr>
            </w:pPr>
            <w:r w:rsidRPr="00A36FB0">
              <w:rPr>
                <w:rFonts w:ascii="Times New Roman" w:hAnsi="Times New Roman" w:cs="Times New Roman"/>
                <w:sz w:val="24"/>
                <w:szCs w:val="24"/>
              </w:rPr>
              <w:t>All Marine BHs</w:t>
            </w:r>
          </w:p>
        </w:tc>
        <w:tc>
          <w:tcPr>
            <w:tcW w:w="3402" w:type="dxa"/>
          </w:tcPr>
          <w:p w14:paraId="2B431929" w14:textId="6F606982" w:rsidR="00A75ECF" w:rsidRPr="00A36FB0" w:rsidRDefault="00A75ECF" w:rsidP="00A36FB0">
            <w:pPr>
              <w:pStyle w:val="Paragraph"/>
              <w:ind w:firstLine="0"/>
              <w:rPr>
                <w:rFonts w:ascii="Times New Roman" w:hAnsi="Times New Roman" w:cs="Times New Roman"/>
                <w:sz w:val="24"/>
                <w:szCs w:val="24"/>
              </w:rPr>
            </w:pPr>
            <w:r w:rsidRPr="00A36FB0">
              <w:rPr>
                <w:rFonts w:ascii="Times New Roman" w:hAnsi="Times New Roman" w:cs="Times New Roman"/>
                <w:sz w:val="24"/>
                <w:szCs w:val="24"/>
              </w:rPr>
              <w:t>30</w:t>
            </w:r>
            <w:r w:rsidR="00DE35F7" w:rsidRPr="00A36FB0">
              <w:rPr>
                <w:rFonts w:ascii="Times New Roman" w:hAnsi="Times New Roman" w:cs="Times New Roman"/>
                <w:sz w:val="24"/>
                <w:szCs w:val="24"/>
              </w:rPr>
              <w:t xml:space="preserve"> </w:t>
            </w:r>
            <w:r w:rsidRPr="00A36FB0">
              <w:rPr>
                <w:rFonts w:ascii="Times New Roman" w:hAnsi="Times New Roman" w:cs="Times New Roman"/>
                <w:sz w:val="24"/>
                <w:szCs w:val="24"/>
              </w:rPr>
              <w:t>m more depth to bedrock</w:t>
            </w:r>
          </w:p>
        </w:tc>
      </w:tr>
    </w:tbl>
    <w:p w14:paraId="0B29337C" w14:textId="77777777" w:rsidR="00A36FB0" w:rsidRDefault="00A36FB0" w:rsidP="00A36FB0">
      <w:pPr>
        <w:pStyle w:val="Paragraph"/>
        <w:ind w:firstLine="0"/>
        <w:rPr>
          <w:rFonts w:ascii="Times New Roman" w:hAnsi="Times New Roman" w:cs="Times New Roman"/>
          <w:b/>
          <w:bCs/>
          <w:sz w:val="24"/>
          <w:szCs w:val="24"/>
        </w:rPr>
      </w:pPr>
    </w:p>
    <w:p w14:paraId="4BB757E8" w14:textId="1D5CC61E" w:rsidR="006C7DF5" w:rsidRPr="00F05620" w:rsidRDefault="009D2285" w:rsidP="00A36FB0">
      <w:pPr>
        <w:pStyle w:val="Paragraph"/>
        <w:ind w:firstLine="0"/>
        <w:rPr>
          <w:rFonts w:ascii="Times New Roman" w:hAnsi="Times New Roman" w:cs="Times New Roman"/>
          <w:b/>
          <w:bCs/>
          <w:sz w:val="24"/>
          <w:szCs w:val="24"/>
        </w:rPr>
      </w:pPr>
      <w:r w:rsidRPr="00F05620">
        <w:rPr>
          <w:rFonts w:ascii="Times New Roman" w:hAnsi="Times New Roman" w:cs="Times New Roman"/>
          <w:b/>
          <w:bCs/>
          <w:sz w:val="24"/>
          <w:szCs w:val="24"/>
        </w:rPr>
        <w:t>Shear Wave Velocities</w:t>
      </w:r>
      <w:r w:rsidR="00DE35F7" w:rsidRPr="00F05620">
        <w:rPr>
          <w:rFonts w:ascii="Times New Roman" w:hAnsi="Times New Roman" w:cs="Times New Roman"/>
          <w:b/>
          <w:bCs/>
          <w:sz w:val="24"/>
          <w:szCs w:val="24"/>
        </w:rPr>
        <w:t>, V</w:t>
      </w:r>
      <w:r w:rsidR="00DE35F7" w:rsidRPr="00F05620">
        <w:rPr>
          <w:rFonts w:ascii="Times New Roman" w:hAnsi="Times New Roman" w:cs="Times New Roman"/>
          <w:b/>
          <w:bCs/>
          <w:sz w:val="24"/>
          <w:szCs w:val="24"/>
          <w:vertAlign w:val="subscript"/>
        </w:rPr>
        <w:t>s</w:t>
      </w:r>
    </w:p>
    <w:p w14:paraId="09166233" w14:textId="5313D435" w:rsidR="006C7DF5" w:rsidRPr="00F05620" w:rsidRDefault="00E02769" w:rsidP="00A36FB0">
      <w:pPr>
        <w:pStyle w:val="Paragraph"/>
        <w:ind w:firstLine="0"/>
        <w:rPr>
          <w:rFonts w:ascii="Times New Roman" w:hAnsi="Times New Roman" w:cs="Times New Roman"/>
          <w:sz w:val="24"/>
          <w:szCs w:val="24"/>
        </w:rPr>
      </w:pPr>
      <w:r w:rsidRPr="00F05620">
        <w:rPr>
          <w:rFonts w:ascii="Times New Roman" w:hAnsi="Times New Roman" w:cs="Times New Roman"/>
          <w:sz w:val="24"/>
          <w:szCs w:val="24"/>
        </w:rPr>
        <w:t xml:space="preserve">To estimate the shear wave velocity of the soil profile, empirical correlations relating Standard Penetration Test (SPT-N) values to Vs were </w:t>
      </w:r>
      <w:r w:rsidR="00B4467C">
        <w:rPr>
          <w:rFonts w:ascii="Times New Roman" w:hAnsi="Times New Roman" w:cs="Times New Roman"/>
          <w:sz w:val="24"/>
          <w:szCs w:val="24"/>
        </w:rPr>
        <w:t>utilised</w:t>
      </w:r>
      <w:r w:rsidRPr="00F05620">
        <w:rPr>
          <w:rFonts w:ascii="Times New Roman" w:hAnsi="Times New Roman" w:cs="Times New Roman"/>
          <w:sz w:val="24"/>
          <w:szCs w:val="24"/>
        </w:rPr>
        <w:t>. Several established formulas were selected based on their proven suitability for Malaysian and tropical soil conditions. For each soil stratum, the Vs values derived from these selected methods were calculated and subsequently averaged. This averaging technique mitigates the inherent statistical scattering of individual empirical models, thereby reducing uncertainty and yielding a more robust and reliable estimate of the soil’s dynamic stiffness.</w:t>
      </w:r>
      <w:r w:rsidR="00F05620">
        <w:rPr>
          <w:rFonts w:ascii="Times New Roman" w:hAnsi="Times New Roman" w:cs="Times New Roman"/>
          <w:sz w:val="24"/>
          <w:szCs w:val="24"/>
        </w:rPr>
        <w:t xml:space="preserve"> </w:t>
      </w:r>
      <w:r w:rsidRPr="00F05620">
        <w:rPr>
          <w:rFonts w:ascii="Times New Roman" w:hAnsi="Times New Roman" w:cs="Times New Roman"/>
          <w:sz w:val="24"/>
          <w:szCs w:val="24"/>
        </w:rPr>
        <w:t>While these empirical correlations are widely adopted, they inherently introduce variability due to differences in soil type, stress history, and local geological conditions. It is acknowledged that direct site-specific geophysical measurements, such as Multichannel Analysis of Surface Waves (MASW) or downhole testing, would yield more accurate velocity profiles. Nevertheless, in the absence of direct geophysical data, this averaged empirical approach is considered a highly practical and acceptable methodology for regional-scale seismic assessments</w:t>
      </w:r>
    </w:p>
    <w:p w14:paraId="3A082DE7" w14:textId="7656EC36" w:rsidR="001F6B36" w:rsidRPr="00A36FB0" w:rsidRDefault="001F6B36" w:rsidP="00A36FB0">
      <w:pPr>
        <w:pStyle w:val="Paragraph"/>
        <w:ind w:firstLine="0"/>
        <w:rPr>
          <w:rFonts w:ascii="Times New Roman" w:hAnsi="Times New Roman" w:cs="Times New Roman"/>
          <w:sz w:val="24"/>
          <w:szCs w:val="24"/>
        </w:rPr>
      </w:pPr>
      <w:r w:rsidRPr="00A36FB0">
        <w:rPr>
          <w:rFonts w:ascii="Times New Roman" w:hAnsi="Times New Roman" w:cs="Times New Roman"/>
          <w:noProof/>
          <w:sz w:val="24"/>
          <w:szCs w:val="24"/>
        </w:rPr>
        <w:lastRenderedPageBreak/>
        <w:drawing>
          <wp:inline distT="0" distB="0" distL="0" distR="0" wp14:anchorId="7724D39D" wp14:editId="58761445">
            <wp:extent cx="3566160" cy="3812844"/>
            <wp:effectExtent l="0" t="0" r="0" b="0"/>
            <wp:docPr id="18036618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9265" cy="3848239"/>
                    </a:xfrm>
                    <a:prstGeom prst="rect">
                      <a:avLst/>
                    </a:prstGeom>
                    <a:noFill/>
                  </pic:spPr>
                </pic:pic>
              </a:graphicData>
            </a:graphic>
          </wp:inline>
        </w:drawing>
      </w:r>
    </w:p>
    <w:p w14:paraId="3107730F" w14:textId="55385198" w:rsidR="001F6B36" w:rsidRPr="00A36FB0" w:rsidRDefault="00087922" w:rsidP="00A36FB0">
      <w:pPr>
        <w:pStyle w:val="Paragraph"/>
        <w:ind w:firstLine="0"/>
        <w:rPr>
          <w:rFonts w:ascii="Times New Roman" w:hAnsi="Times New Roman" w:cs="Times New Roman"/>
          <w:sz w:val="24"/>
          <w:szCs w:val="24"/>
        </w:rPr>
      </w:pPr>
      <w:r w:rsidRPr="00A36FB0">
        <w:rPr>
          <w:rFonts w:ascii="Times New Roman" w:hAnsi="Times New Roman" w:cs="Times New Roman"/>
          <w:b/>
          <w:bCs/>
          <w:sz w:val="24"/>
          <w:szCs w:val="24"/>
        </w:rPr>
        <w:t>Fig</w:t>
      </w:r>
      <w:r w:rsidR="00E93C0F">
        <w:rPr>
          <w:rFonts w:ascii="Times New Roman" w:hAnsi="Times New Roman" w:cs="Times New Roman"/>
          <w:b/>
          <w:bCs/>
          <w:sz w:val="24"/>
          <w:szCs w:val="24"/>
        </w:rPr>
        <w:t>ure</w:t>
      </w:r>
      <w:r w:rsidRPr="00A36FB0">
        <w:rPr>
          <w:rFonts w:ascii="Times New Roman" w:hAnsi="Times New Roman" w:cs="Times New Roman"/>
          <w:b/>
          <w:bCs/>
          <w:sz w:val="24"/>
          <w:szCs w:val="24"/>
        </w:rPr>
        <w:t xml:space="preserve"> 1</w:t>
      </w:r>
      <w:r w:rsidR="00F5531D" w:rsidRPr="00A36FB0">
        <w:rPr>
          <w:rFonts w:ascii="Times New Roman" w:hAnsi="Times New Roman" w:cs="Times New Roman"/>
          <w:b/>
          <w:bCs/>
          <w:sz w:val="24"/>
          <w:szCs w:val="24"/>
        </w:rPr>
        <w:t>0</w:t>
      </w:r>
      <w:r w:rsidRPr="00A36FB0">
        <w:rPr>
          <w:rFonts w:ascii="Times New Roman" w:hAnsi="Times New Roman" w:cs="Times New Roman"/>
          <w:b/>
          <w:bCs/>
          <w:sz w:val="24"/>
          <w:szCs w:val="24"/>
        </w:rPr>
        <w:t>.</w:t>
      </w:r>
      <w:r w:rsidRPr="00A36FB0">
        <w:rPr>
          <w:rFonts w:ascii="Times New Roman" w:hAnsi="Times New Roman" w:cs="Times New Roman"/>
          <w:sz w:val="24"/>
          <w:szCs w:val="24"/>
        </w:rPr>
        <w:t xml:space="preserve"> Shear wave velocity for Cluster 1 </w:t>
      </w:r>
    </w:p>
    <w:p w14:paraId="0C1D6A00" w14:textId="77777777" w:rsidR="00DE35F7" w:rsidRPr="00A36FB0" w:rsidRDefault="00DE35F7" w:rsidP="00A36FB0">
      <w:pPr>
        <w:pStyle w:val="Paragraph"/>
        <w:ind w:firstLine="0"/>
        <w:rPr>
          <w:rFonts w:ascii="Times New Roman" w:hAnsi="Times New Roman" w:cs="Times New Roman"/>
          <w:sz w:val="24"/>
          <w:szCs w:val="24"/>
        </w:rPr>
      </w:pPr>
    </w:p>
    <w:p w14:paraId="1087FCB7" w14:textId="791BE7F8" w:rsidR="001F6B36" w:rsidRPr="00A36FB0" w:rsidRDefault="001F6B36" w:rsidP="00A36FB0">
      <w:pPr>
        <w:pStyle w:val="Paragraph"/>
        <w:ind w:firstLine="0"/>
        <w:rPr>
          <w:rFonts w:ascii="Times New Roman" w:hAnsi="Times New Roman" w:cs="Times New Roman"/>
          <w:b/>
          <w:bCs/>
          <w:sz w:val="24"/>
          <w:szCs w:val="24"/>
        </w:rPr>
      </w:pPr>
      <w:r w:rsidRPr="00A36FB0">
        <w:rPr>
          <w:rFonts w:ascii="Times New Roman" w:hAnsi="Times New Roman" w:cs="Times New Roman"/>
          <w:b/>
          <w:bCs/>
          <w:noProof/>
          <w:sz w:val="24"/>
          <w:szCs w:val="24"/>
        </w:rPr>
        <w:drawing>
          <wp:inline distT="0" distB="0" distL="0" distR="0" wp14:anchorId="63DCD4AE" wp14:editId="1782FE80">
            <wp:extent cx="3606800" cy="3947951"/>
            <wp:effectExtent l="0" t="0" r="0" b="0"/>
            <wp:docPr id="7647425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34808" cy="3978608"/>
                    </a:xfrm>
                    <a:prstGeom prst="rect">
                      <a:avLst/>
                    </a:prstGeom>
                    <a:noFill/>
                  </pic:spPr>
                </pic:pic>
              </a:graphicData>
            </a:graphic>
          </wp:inline>
        </w:drawing>
      </w:r>
    </w:p>
    <w:p w14:paraId="5146A6A4" w14:textId="01D8A932" w:rsidR="001F6B36" w:rsidRPr="00A36FB0" w:rsidRDefault="00087922" w:rsidP="00A36FB0">
      <w:pPr>
        <w:pStyle w:val="Paragraph"/>
        <w:ind w:firstLine="0"/>
        <w:rPr>
          <w:rFonts w:ascii="Times New Roman" w:hAnsi="Times New Roman" w:cs="Times New Roman"/>
          <w:sz w:val="24"/>
          <w:szCs w:val="24"/>
        </w:rPr>
      </w:pPr>
      <w:r w:rsidRPr="00A36FB0">
        <w:rPr>
          <w:rFonts w:ascii="Times New Roman" w:hAnsi="Times New Roman" w:cs="Times New Roman"/>
          <w:b/>
          <w:bCs/>
          <w:sz w:val="24"/>
          <w:szCs w:val="24"/>
        </w:rPr>
        <w:t>Fig</w:t>
      </w:r>
      <w:r w:rsidR="00E93C0F">
        <w:rPr>
          <w:rFonts w:ascii="Times New Roman" w:hAnsi="Times New Roman" w:cs="Times New Roman"/>
          <w:b/>
          <w:bCs/>
          <w:sz w:val="24"/>
          <w:szCs w:val="24"/>
        </w:rPr>
        <w:t>ure</w:t>
      </w:r>
      <w:r w:rsidRPr="00A36FB0">
        <w:rPr>
          <w:rFonts w:ascii="Times New Roman" w:hAnsi="Times New Roman" w:cs="Times New Roman"/>
          <w:b/>
          <w:bCs/>
          <w:sz w:val="24"/>
          <w:szCs w:val="24"/>
        </w:rPr>
        <w:t xml:space="preserve"> 11.</w:t>
      </w:r>
      <w:r w:rsidRPr="00A36FB0">
        <w:rPr>
          <w:rFonts w:ascii="Times New Roman" w:hAnsi="Times New Roman" w:cs="Times New Roman"/>
          <w:sz w:val="24"/>
          <w:szCs w:val="24"/>
        </w:rPr>
        <w:t xml:space="preserve"> Shear wave velocity for Cluster 2 </w:t>
      </w:r>
    </w:p>
    <w:p w14:paraId="7D3A0628" w14:textId="239B9DD0" w:rsidR="00463655" w:rsidRPr="00A36FB0" w:rsidRDefault="00087922" w:rsidP="0090020C">
      <w:pPr>
        <w:pStyle w:val="Paragraph"/>
        <w:ind w:firstLine="0"/>
        <w:jc w:val="left"/>
        <w:rPr>
          <w:rFonts w:ascii="Times New Roman" w:hAnsi="Times New Roman" w:cs="Times New Roman"/>
          <w:b/>
          <w:bCs/>
          <w:sz w:val="24"/>
          <w:szCs w:val="24"/>
        </w:rPr>
      </w:pPr>
      <w:r w:rsidRPr="00A36FB0">
        <w:rPr>
          <w:rFonts w:ascii="Times New Roman" w:hAnsi="Times New Roman" w:cs="Times New Roman"/>
          <w:b/>
          <w:bCs/>
          <w:noProof/>
          <w:sz w:val="24"/>
          <w:szCs w:val="24"/>
        </w:rPr>
        <w:lastRenderedPageBreak/>
        <w:drawing>
          <wp:inline distT="0" distB="0" distL="0" distR="0" wp14:anchorId="62B6D8E5" wp14:editId="6FEC8033">
            <wp:extent cx="4917440" cy="5382562"/>
            <wp:effectExtent l="0" t="0" r="0" b="8890"/>
            <wp:docPr id="19099964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9280" cy="5428360"/>
                    </a:xfrm>
                    <a:prstGeom prst="rect">
                      <a:avLst/>
                    </a:prstGeom>
                    <a:noFill/>
                  </pic:spPr>
                </pic:pic>
              </a:graphicData>
            </a:graphic>
          </wp:inline>
        </w:drawing>
      </w:r>
    </w:p>
    <w:p w14:paraId="43343C97" w14:textId="0C417CF5" w:rsidR="00087922" w:rsidRPr="00A36FB0" w:rsidRDefault="00087922" w:rsidP="00A36FB0">
      <w:pPr>
        <w:pStyle w:val="Paragraph"/>
        <w:ind w:firstLine="0"/>
        <w:rPr>
          <w:rFonts w:ascii="Times New Roman" w:hAnsi="Times New Roman" w:cs="Times New Roman"/>
          <w:sz w:val="24"/>
          <w:szCs w:val="24"/>
        </w:rPr>
      </w:pPr>
      <w:r w:rsidRPr="00A36FB0">
        <w:rPr>
          <w:rFonts w:ascii="Times New Roman" w:hAnsi="Times New Roman" w:cs="Times New Roman"/>
          <w:b/>
          <w:bCs/>
          <w:sz w:val="24"/>
          <w:szCs w:val="24"/>
        </w:rPr>
        <w:t>Fig</w:t>
      </w:r>
      <w:r w:rsidR="00E93C0F">
        <w:rPr>
          <w:rFonts w:ascii="Times New Roman" w:hAnsi="Times New Roman" w:cs="Times New Roman"/>
          <w:b/>
          <w:bCs/>
          <w:sz w:val="24"/>
          <w:szCs w:val="24"/>
        </w:rPr>
        <w:t xml:space="preserve">ure </w:t>
      </w:r>
      <w:r w:rsidRPr="00A36FB0">
        <w:rPr>
          <w:rFonts w:ascii="Times New Roman" w:hAnsi="Times New Roman" w:cs="Times New Roman"/>
          <w:b/>
          <w:bCs/>
          <w:sz w:val="24"/>
          <w:szCs w:val="24"/>
        </w:rPr>
        <w:t>1</w:t>
      </w:r>
      <w:r w:rsidR="00F5531D" w:rsidRPr="00A36FB0">
        <w:rPr>
          <w:rFonts w:ascii="Times New Roman" w:hAnsi="Times New Roman" w:cs="Times New Roman"/>
          <w:b/>
          <w:bCs/>
          <w:sz w:val="24"/>
          <w:szCs w:val="24"/>
        </w:rPr>
        <w:t>2</w:t>
      </w:r>
      <w:r w:rsidRPr="00A36FB0">
        <w:rPr>
          <w:rFonts w:ascii="Times New Roman" w:hAnsi="Times New Roman" w:cs="Times New Roman"/>
          <w:b/>
          <w:bCs/>
          <w:sz w:val="24"/>
          <w:szCs w:val="24"/>
        </w:rPr>
        <w:t>.</w:t>
      </w:r>
      <w:r w:rsidRPr="00A36FB0">
        <w:rPr>
          <w:rFonts w:ascii="Times New Roman" w:hAnsi="Times New Roman" w:cs="Times New Roman"/>
          <w:sz w:val="24"/>
          <w:szCs w:val="24"/>
        </w:rPr>
        <w:t xml:space="preserve"> Shear wave velocity for Cluster 3 </w:t>
      </w:r>
    </w:p>
    <w:p w14:paraId="2F0B5621" w14:textId="77777777" w:rsidR="00087922" w:rsidRPr="00A36FB0" w:rsidRDefault="00087922" w:rsidP="00A36FB0">
      <w:pPr>
        <w:pStyle w:val="Paragraph"/>
        <w:ind w:firstLine="0"/>
        <w:rPr>
          <w:rFonts w:ascii="Times New Roman" w:hAnsi="Times New Roman" w:cs="Times New Roman"/>
          <w:b/>
          <w:bCs/>
          <w:sz w:val="24"/>
          <w:szCs w:val="24"/>
        </w:rPr>
      </w:pPr>
    </w:p>
    <w:p w14:paraId="00D5C5AD" w14:textId="6D26D0EE" w:rsidR="00087922" w:rsidRPr="00A36FB0" w:rsidRDefault="00087922" w:rsidP="00A36FB0">
      <w:pPr>
        <w:pStyle w:val="Paragraph"/>
        <w:ind w:firstLine="0"/>
        <w:rPr>
          <w:rFonts w:ascii="Times New Roman" w:hAnsi="Times New Roman" w:cs="Times New Roman"/>
          <w:sz w:val="24"/>
          <w:szCs w:val="24"/>
        </w:rPr>
      </w:pPr>
      <w:r w:rsidRPr="00A36FB0">
        <w:rPr>
          <w:rFonts w:ascii="Times New Roman" w:hAnsi="Times New Roman" w:cs="Times New Roman"/>
          <w:sz w:val="24"/>
          <w:szCs w:val="24"/>
        </w:rPr>
        <w:t>These average Vs values are then used in the DEEPSOIL software to carry out soil response analysis. This method is a practical solution</w:t>
      </w:r>
      <w:r w:rsidR="00C27F83" w:rsidRPr="00A36FB0">
        <w:rPr>
          <w:rFonts w:ascii="Times New Roman" w:hAnsi="Times New Roman" w:cs="Times New Roman"/>
          <w:sz w:val="24"/>
          <w:szCs w:val="24"/>
        </w:rPr>
        <w:t xml:space="preserve"> when field measurements are unavailable, yet it still allows for a meaningful site-specific assessment of surface PGA</w:t>
      </w:r>
      <w:r w:rsidRPr="00A36FB0">
        <w:rPr>
          <w:rFonts w:ascii="Times New Roman" w:hAnsi="Times New Roman" w:cs="Times New Roman"/>
          <w:sz w:val="24"/>
          <w:szCs w:val="24"/>
        </w:rPr>
        <w:t xml:space="preserve">. All </w:t>
      </w:r>
      <w:r w:rsidR="006369FC" w:rsidRPr="00A36FB0">
        <w:rPr>
          <w:rFonts w:ascii="Times New Roman" w:hAnsi="Times New Roman" w:cs="Times New Roman"/>
          <w:sz w:val="24"/>
          <w:szCs w:val="24"/>
        </w:rPr>
        <w:t>23-borehole</w:t>
      </w:r>
      <w:r w:rsidR="004E418B" w:rsidRPr="00A36FB0">
        <w:rPr>
          <w:rFonts w:ascii="Times New Roman" w:hAnsi="Times New Roman" w:cs="Times New Roman"/>
          <w:sz w:val="24"/>
          <w:szCs w:val="24"/>
        </w:rPr>
        <w:t xml:space="preserve"> shear wave velocity</w:t>
      </w:r>
      <w:r w:rsidRPr="00A36FB0">
        <w:rPr>
          <w:rFonts w:ascii="Times New Roman" w:hAnsi="Times New Roman" w:cs="Times New Roman"/>
          <w:sz w:val="24"/>
          <w:szCs w:val="24"/>
        </w:rPr>
        <w:t xml:space="preserve"> plots are divided into 3 clusters as per </w:t>
      </w:r>
      <w:r w:rsidR="00F5531D" w:rsidRPr="00A36FB0">
        <w:rPr>
          <w:rFonts w:ascii="Times New Roman" w:hAnsi="Times New Roman" w:cs="Times New Roman"/>
          <w:b/>
          <w:bCs/>
          <w:sz w:val="24"/>
          <w:szCs w:val="24"/>
        </w:rPr>
        <w:t>F</w:t>
      </w:r>
      <w:r w:rsidR="004E418B" w:rsidRPr="00A36FB0">
        <w:rPr>
          <w:rFonts w:ascii="Times New Roman" w:hAnsi="Times New Roman" w:cs="Times New Roman"/>
          <w:b/>
          <w:bCs/>
          <w:sz w:val="24"/>
          <w:szCs w:val="24"/>
        </w:rPr>
        <w:t>ig</w:t>
      </w:r>
      <w:r w:rsidR="00E93C0F">
        <w:rPr>
          <w:rFonts w:ascii="Times New Roman" w:hAnsi="Times New Roman" w:cs="Times New Roman"/>
          <w:b/>
          <w:bCs/>
          <w:sz w:val="24"/>
          <w:szCs w:val="24"/>
        </w:rPr>
        <w:t xml:space="preserve">ures </w:t>
      </w:r>
      <w:r w:rsidRPr="00A36FB0">
        <w:rPr>
          <w:rFonts w:ascii="Times New Roman" w:hAnsi="Times New Roman" w:cs="Times New Roman"/>
          <w:b/>
          <w:bCs/>
          <w:sz w:val="24"/>
          <w:szCs w:val="24"/>
        </w:rPr>
        <w:t>1</w:t>
      </w:r>
      <w:r w:rsidR="00F5531D" w:rsidRPr="00A36FB0">
        <w:rPr>
          <w:rFonts w:ascii="Times New Roman" w:hAnsi="Times New Roman" w:cs="Times New Roman"/>
          <w:b/>
          <w:bCs/>
          <w:sz w:val="24"/>
          <w:szCs w:val="24"/>
        </w:rPr>
        <w:t>0</w:t>
      </w:r>
      <w:r w:rsidRPr="00A36FB0">
        <w:rPr>
          <w:rFonts w:ascii="Times New Roman" w:hAnsi="Times New Roman" w:cs="Times New Roman"/>
          <w:b/>
          <w:bCs/>
          <w:sz w:val="24"/>
          <w:szCs w:val="24"/>
        </w:rPr>
        <w:t>, 1</w:t>
      </w:r>
      <w:r w:rsidR="00F5531D" w:rsidRPr="00A36FB0">
        <w:rPr>
          <w:rFonts w:ascii="Times New Roman" w:hAnsi="Times New Roman" w:cs="Times New Roman"/>
          <w:b/>
          <w:bCs/>
          <w:sz w:val="24"/>
          <w:szCs w:val="24"/>
        </w:rPr>
        <w:t>1</w:t>
      </w:r>
      <w:r w:rsidRPr="00A36FB0">
        <w:rPr>
          <w:rFonts w:ascii="Times New Roman" w:hAnsi="Times New Roman" w:cs="Times New Roman"/>
          <w:b/>
          <w:bCs/>
          <w:sz w:val="24"/>
          <w:szCs w:val="24"/>
        </w:rPr>
        <w:t xml:space="preserve">, </w:t>
      </w:r>
      <w:r w:rsidRPr="00A36FB0">
        <w:rPr>
          <w:rFonts w:ascii="Times New Roman" w:hAnsi="Times New Roman" w:cs="Times New Roman"/>
          <w:sz w:val="24"/>
          <w:szCs w:val="24"/>
        </w:rPr>
        <w:t>and</w:t>
      </w:r>
      <w:r w:rsidRPr="00A36FB0">
        <w:rPr>
          <w:rFonts w:ascii="Times New Roman" w:hAnsi="Times New Roman" w:cs="Times New Roman"/>
          <w:b/>
          <w:bCs/>
          <w:sz w:val="24"/>
          <w:szCs w:val="24"/>
        </w:rPr>
        <w:t xml:space="preserve"> 1</w:t>
      </w:r>
      <w:r w:rsidR="00F5531D" w:rsidRPr="00A36FB0">
        <w:rPr>
          <w:rFonts w:ascii="Times New Roman" w:hAnsi="Times New Roman" w:cs="Times New Roman"/>
          <w:b/>
          <w:bCs/>
          <w:sz w:val="24"/>
          <w:szCs w:val="24"/>
        </w:rPr>
        <w:t>2</w:t>
      </w:r>
      <w:r w:rsidRPr="00A36FB0">
        <w:rPr>
          <w:rFonts w:ascii="Times New Roman" w:hAnsi="Times New Roman" w:cs="Times New Roman"/>
          <w:b/>
          <w:bCs/>
          <w:sz w:val="24"/>
          <w:szCs w:val="24"/>
        </w:rPr>
        <w:t>.</w:t>
      </w:r>
      <w:r w:rsidRPr="00A36FB0">
        <w:rPr>
          <w:rFonts w:ascii="Times New Roman" w:hAnsi="Times New Roman" w:cs="Times New Roman"/>
          <w:sz w:val="24"/>
          <w:szCs w:val="24"/>
        </w:rPr>
        <w:t xml:space="preserve"> </w:t>
      </w:r>
    </w:p>
    <w:p w14:paraId="7C91CF97" w14:textId="77777777" w:rsidR="00087922" w:rsidRPr="00A36FB0" w:rsidRDefault="00087922" w:rsidP="00A36FB0">
      <w:pPr>
        <w:pStyle w:val="Paragraph"/>
        <w:ind w:firstLine="0"/>
        <w:rPr>
          <w:rFonts w:ascii="Times New Roman" w:hAnsi="Times New Roman" w:cs="Times New Roman"/>
          <w:b/>
          <w:bCs/>
          <w:sz w:val="24"/>
          <w:szCs w:val="24"/>
        </w:rPr>
      </w:pPr>
    </w:p>
    <w:p w14:paraId="50183F82" w14:textId="646EB141" w:rsidR="00E80B91" w:rsidRDefault="00E80B91" w:rsidP="00A36FB0">
      <w:pPr>
        <w:pStyle w:val="Paragraph"/>
        <w:ind w:firstLine="0"/>
        <w:rPr>
          <w:rFonts w:ascii="Times New Roman" w:hAnsi="Times New Roman" w:cs="Times New Roman"/>
          <w:b/>
          <w:bCs/>
          <w:sz w:val="24"/>
          <w:szCs w:val="24"/>
        </w:rPr>
      </w:pPr>
      <w:r w:rsidRPr="00A36FB0">
        <w:rPr>
          <w:rFonts w:ascii="Times New Roman" w:hAnsi="Times New Roman" w:cs="Times New Roman"/>
          <w:b/>
          <w:bCs/>
          <w:sz w:val="24"/>
          <w:szCs w:val="24"/>
        </w:rPr>
        <w:t>Soil Response Analysis</w:t>
      </w:r>
    </w:p>
    <w:p w14:paraId="2F40A979" w14:textId="736DE088" w:rsidR="00FB50FA" w:rsidRPr="00FB50FA" w:rsidRDefault="00FB50FA" w:rsidP="00FB50FA">
      <w:pPr>
        <w:pStyle w:val="Paragraph"/>
        <w:ind w:firstLine="0"/>
        <w:rPr>
          <w:rFonts w:ascii="Times New Roman" w:hAnsi="Times New Roman" w:cs="Times New Roman"/>
          <w:sz w:val="24"/>
          <w:szCs w:val="24"/>
        </w:rPr>
      </w:pPr>
      <w:r w:rsidRPr="00FB50FA">
        <w:rPr>
          <w:rFonts w:ascii="Times New Roman" w:hAnsi="Times New Roman" w:cs="Times New Roman"/>
          <w:sz w:val="24"/>
          <w:szCs w:val="24"/>
        </w:rPr>
        <w:t xml:space="preserve">In this study, three representative ground motion records from past earthquake events (Kobe 1995, Chi-Chi 1999, and Kocaeli 1999) were selected and used as input motions in the DEEPSOIL software. These records were appropriately scaled to match the target bedrock Peak Ground Acceleration (PGA) values of 0.02g and 0.03g for the SOGIP area in Sipitang, Sabah. In accordance with Eurocode 8 (EC8), </w:t>
      </w:r>
      <w:r w:rsidR="0035199A">
        <w:rPr>
          <w:rFonts w:ascii="Times New Roman" w:hAnsi="Times New Roman" w:cs="Times New Roman"/>
          <w:sz w:val="24"/>
          <w:szCs w:val="24"/>
        </w:rPr>
        <w:t>scaled input motions were used to derive key seismic design parameters via</w:t>
      </w:r>
      <w:r w:rsidRPr="00FB50FA">
        <w:rPr>
          <w:rFonts w:ascii="Times New Roman" w:hAnsi="Times New Roman" w:cs="Times New Roman"/>
          <w:sz w:val="24"/>
          <w:szCs w:val="24"/>
        </w:rPr>
        <w:t xml:space="preserve"> equivalent-linear site response analysis.</w:t>
      </w:r>
      <w:r w:rsidR="008F2E40">
        <w:rPr>
          <w:rFonts w:ascii="Times New Roman" w:hAnsi="Times New Roman" w:cs="Times New Roman"/>
          <w:sz w:val="24"/>
          <w:szCs w:val="24"/>
        </w:rPr>
        <w:t xml:space="preserve"> </w:t>
      </w:r>
      <w:r w:rsidRPr="00FB50FA">
        <w:rPr>
          <w:rFonts w:ascii="Times New Roman" w:hAnsi="Times New Roman" w:cs="Times New Roman"/>
          <w:sz w:val="24"/>
          <w:szCs w:val="24"/>
        </w:rPr>
        <w:t xml:space="preserve">Figures 13–18 present the computed surface acceleration time histories and corresponding response behaviour for the different input motions and borehole clusters. The results consistently demonstrate amplification of ground motion from bedrock to the surface across all clusters, with the degree of amplification varying </w:t>
      </w:r>
      <w:r>
        <w:rPr>
          <w:rFonts w:ascii="Times New Roman" w:hAnsi="Times New Roman" w:cs="Times New Roman"/>
          <w:sz w:val="24"/>
          <w:szCs w:val="24"/>
        </w:rPr>
        <w:t>with</w:t>
      </w:r>
      <w:r w:rsidRPr="00FB50FA">
        <w:rPr>
          <w:rFonts w:ascii="Times New Roman" w:hAnsi="Times New Roman" w:cs="Times New Roman"/>
          <w:sz w:val="24"/>
          <w:szCs w:val="24"/>
        </w:rPr>
        <w:t xml:space="preserve"> both input motion characteristics and local subsurface conditions.</w:t>
      </w:r>
      <w:r w:rsidR="008F2E40">
        <w:rPr>
          <w:rFonts w:ascii="Times New Roman" w:hAnsi="Times New Roman" w:cs="Times New Roman"/>
          <w:sz w:val="24"/>
          <w:szCs w:val="24"/>
        </w:rPr>
        <w:t xml:space="preserve"> </w:t>
      </w:r>
      <w:r w:rsidRPr="00FB50FA">
        <w:rPr>
          <w:rFonts w:ascii="Times New Roman" w:hAnsi="Times New Roman" w:cs="Times New Roman"/>
          <w:sz w:val="24"/>
          <w:szCs w:val="24"/>
        </w:rPr>
        <w:t xml:space="preserve">A clear trend observed in the figures is that softer soil profiles exhibit more pronounced amplification, particularly within the low- to mid-frequency range. This behaviour is attributed to the lower stiffness and higher deformability of soft clay and silty layers, which tend to resonate with incoming seismic waves. In contrast, soil profiles dominated by denser or stiffer materials </w:t>
      </w:r>
      <w:r w:rsidR="0035199A">
        <w:rPr>
          <w:rFonts w:ascii="Times New Roman" w:hAnsi="Times New Roman" w:cs="Times New Roman"/>
          <w:sz w:val="24"/>
          <w:szCs w:val="24"/>
        </w:rPr>
        <w:t>exhibit lower amplification, reflecting higher shear stiffness, more effective energy dissipation, and</w:t>
      </w:r>
      <w:r w:rsidRPr="00FB50FA">
        <w:rPr>
          <w:rFonts w:ascii="Times New Roman" w:hAnsi="Times New Roman" w:cs="Times New Roman"/>
          <w:sz w:val="24"/>
          <w:szCs w:val="24"/>
        </w:rPr>
        <w:t xml:space="preserve"> reduced impedance contrast between layers.</w:t>
      </w:r>
    </w:p>
    <w:p w14:paraId="5EB2619E" w14:textId="77777777" w:rsidR="00FB50FA" w:rsidRPr="00FB50FA" w:rsidRDefault="00FB50FA" w:rsidP="00FB50FA">
      <w:pPr>
        <w:pStyle w:val="Paragraph"/>
        <w:rPr>
          <w:rFonts w:ascii="Times New Roman" w:hAnsi="Times New Roman" w:cs="Times New Roman"/>
          <w:sz w:val="24"/>
          <w:szCs w:val="24"/>
        </w:rPr>
      </w:pPr>
    </w:p>
    <w:p w14:paraId="7C57E25B" w14:textId="6112CE02" w:rsidR="00FB50FA" w:rsidRPr="00FB50FA" w:rsidRDefault="00FB50FA" w:rsidP="00FB50FA">
      <w:pPr>
        <w:pStyle w:val="Paragraph"/>
        <w:ind w:firstLine="0"/>
        <w:rPr>
          <w:rFonts w:ascii="Times New Roman" w:hAnsi="Times New Roman" w:cs="Times New Roman"/>
          <w:sz w:val="24"/>
          <w:szCs w:val="24"/>
        </w:rPr>
      </w:pPr>
      <w:r w:rsidRPr="00FB50FA">
        <w:rPr>
          <w:rFonts w:ascii="Times New Roman" w:hAnsi="Times New Roman" w:cs="Times New Roman"/>
          <w:sz w:val="24"/>
          <w:szCs w:val="24"/>
        </w:rPr>
        <w:t xml:space="preserve">Variations in response among the three earthquake records are also evident. Each input motion possesses distinct frequency content, duration, and energy distribution, which influence the resulting surface response. Ground motions with dominant frequencies closer to the </w:t>
      </w:r>
      <w:r w:rsidR="0035199A">
        <w:rPr>
          <w:rFonts w:ascii="Times New Roman" w:hAnsi="Times New Roman" w:cs="Times New Roman"/>
          <w:sz w:val="24"/>
          <w:szCs w:val="24"/>
        </w:rPr>
        <w:t>soil profile's natural period tend to produce greater amplification due to resonance</w:t>
      </w:r>
      <w:r w:rsidRPr="00FB50FA">
        <w:rPr>
          <w:rFonts w:ascii="Times New Roman" w:hAnsi="Times New Roman" w:cs="Times New Roman"/>
          <w:sz w:val="24"/>
          <w:szCs w:val="24"/>
        </w:rPr>
        <w:t>. This explains the observed differences in surface PGA across clusters under identical bedrock input levels.</w:t>
      </w:r>
    </w:p>
    <w:p w14:paraId="5293B5D8" w14:textId="77777777" w:rsidR="00FB50FA" w:rsidRPr="00FB50FA" w:rsidRDefault="00FB50FA" w:rsidP="00FB50FA">
      <w:pPr>
        <w:pStyle w:val="Paragraph"/>
        <w:rPr>
          <w:rFonts w:ascii="Times New Roman" w:hAnsi="Times New Roman" w:cs="Times New Roman"/>
          <w:sz w:val="24"/>
          <w:szCs w:val="24"/>
        </w:rPr>
      </w:pPr>
    </w:p>
    <w:p w14:paraId="1A91D64A" w14:textId="110F4651" w:rsidR="00FB50FA" w:rsidRPr="00FB50FA" w:rsidRDefault="00FB50FA" w:rsidP="00FB50FA">
      <w:pPr>
        <w:pStyle w:val="Paragraph"/>
        <w:ind w:firstLine="0"/>
        <w:rPr>
          <w:rFonts w:ascii="Times New Roman" w:hAnsi="Times New Roman" w:cs="Times New Roman"/>
          <w:sz w:val="24"/>
          <w:szCs w:val="24"/>
        </w:rPr>
      </w:pPr>
      <w:r w:rsidRPr="00FB50FA">
        <w:rPr>
          <w:rFonts w:ascii="Times New Roman" w:hAnsi="Times New Roman" w:cs="Times New Roman"/>
          <w:sz w:val="24"/>
          <w:szCs w:val="24"/>
        </w:rPr>
        <w:t>Furthermore, increasing the bedrock PGA from 0.02g to 0.03g results in an overall increase in surface acceleration; however, the amplification response does not scale linearly. This behaviour reflects the strain-dependent characteristics of soil captured in the equivalent-linear analysis, where stiffness degradation and increased material damping occur at higher strain levels, thereby moderating the amplification response.</w:t>
      </w:r>
      <w:r w:rsidR="008F2E40">
        <w:rPr>
          <w:rFonts w:ascii="Times New Roman" w:hAnsi="Times New Roman" w:cs="Times New Roman"/>
          <w:sz w:val="24"/>
          <w:szCs w:val="24"/>
        </w:rPr>
        <w:t xml:space="preserve"> </w:t>
      </w:r>
      <w:r w:rsidRPr="00FB50FA">
        <w:rPr>
          <w:rFonts w:ascii="Times New Roman" w:hAnsi="Times New Roman" w:cs="Times New Roman"/>
          <w:sz w:val="24"/>
          <w:szCs w:val="24"/>
        </w:rPr>
        <w:t xml:space="preserve">The variability in amplification observed across the different clusters highlights the influence of spatial heterogeneity in subsurface conditions within the SOGIP area. Marine and near-coastal deposits, which are typically characterised by thicker, soft soil layers, exhibit higher amplification compared to inland locations with relatively stiffer stratigraphy. These findings underscore the limitations of </w:t>
      </w:r>
      <w:r w:rsidR="00B4467C">
        <w:rPr>
          <w:rFonts w:ascii="Times New Roman" w:hAnsi="Times New Roman" w:cs="Times New Roman"/>
          <w:sz w:val="24"/>
          <w:szCs w:val="24"/>
        </w:rPr>
        <w:t>generalised</w:t>
      </w:r>
      <w:r w:rsidRPr="00FB50FA">
        <w:rPr>
          <w:rFonts w:ascii="Times New Roman" w:hAnsi="Times New Roman" w:cs="Times New Roman"/>
          <w:sz w:val="24"/>
          <w:szCs w:val="24"/>
        </w:rPr>
        <w:t xml:space="preserve"> seismic design assumptions and reinforce the necessity of site-specific analysis to accurately capture local ground response characteristics.</w:t>
      </w:r>
    </w:p>
    <w:p w14:paraId="1AAF3EFC" w14:textId="00FD5779" w:rsidR="003B1523" w:rsidRPr="00A36FB0" w:rsidRDefault="00D17492" w:rsidP="00FB50FA">
      <w:pPr>
        <w:pStyle w:val="Paragraph"/>
        <w:rPr>
          <w:rFonts w:ascii="Times New Roman" w:hAnsi="Times New Roman" w:cs="Times New Roman"/>
          <w:b/>
          <w:bCs/>
          <w:sz w:val="24"/>
          <w:szCs w:val="24"/>
        </w:rPr>
      </w:pPr>
      <w:r w:rsidRPr="00A36FB0">
        <w:rPr>
          <w:rFonts w:ascii="Times New Roman" w:hAnsi="Times New Roman" w:cs="Times New Roman"/>
          <w:sz w:val="24"/>
          <w:szCs w:val="24"/>
        </w:rPr>
        <w:lastRenderedPageBreak/>
        <w:t xml:space="preserve"> </w:t>
      </w:r>
      <w:r w:rsidR="003B1523" w:rsidRPr="00A36FB0">
        <w:rPr>
          <w:rFonts w:ascii="Times New Roman" w:hAnsi="Times New Roman" w:cs="Times New Roman"/>
          <w:b/>
          <w:bCs/>
          <w:noProof/>
          <w:sz w:val="24"/>
          <w:szCs w:val="24"/>
        </w:rPr>
        <w:drawing>
          <wp:inline distT="0" distB="0" distL="0" distR="0" wp14:anchorId="43C0051C" wp14:editId="56427BB3">
            <wp:extent cx="5059680" cy="8916409"/>
            <wp:effectExtent l="0" t="0" r="7620" b="0"/>
            <wp:docPr id="281156187" name="Picture 2"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56187" name="Picture 2" descr="A close-up of a graph&#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85280" cy="8961523"/>
                    </a:xfrm>
                    <a:prstGeom prst="rect">
                      <a:avLst/>
                    </a:prstGeom>
                  </pic:spPr>
                </pic:pic>
              </a:graphicData>
            </a:graphic>
          </wp:inline>
        </w:drawing>
      </w:r>
    </w:p>
    <w:p w14:paraId="322F79F7" w14:textId="29CDB82E" w:rsidR="003B1523" w:rsidRPr="00A36FB0" w:rsidRDefault="003B1523" w:rsidP="00A36FB0">
      <w:pPr>
        <w:pStyle w:val="Paragraph"/>
        <w:ind w:firstLine="0"/>
        <w:rPr>
          <w:rFonts w:ascii="Times New Roman" w:hAnsi="Times New Roman" w:cs="Times New Roman"/>
          <w:sz w:val="24"/>
          <w:szCs w:val="24"/>
        </w:rPr>
      </w:pPr>
      <w:r w:rsidRPr="00A36FB0">
        <w:rPr>
          <w:rFonts w:ascii="Times New Roman" w:hAnsi="Times New Roman" w:cs="Times New Roman"/>
          <w:b/>
          <w:bCs/>
          <w:sz w:val="24"/>
          <w:szCs w:val="24"/>
        </w:rPr>
        <w:t>Fig</w:t>
      </w:r>
      <w:r w:rsidR="00E93C0F">
        <w:rPr>
          <w:rFonts w:ascii="Times New Roman" w:hAnsi="Times New Roman" w:cs="Times New Roman"/>
          <w:b/>
          <w:bCs/>
          <w:sz w:val="24"/>
          <w:szCs w:val="24"/>
        </w:rPr>
        <w:t xml:space="preserve">ure </w:t>
      </w:r>
      <w:r w:rsidRPr="00A36FB0">
        <w:rPr>
          <w:rFonts w:ascii="Times New Roman" w:hAnsi="Times New Roman" w:cs="Times New Roman"/>
          <w:b/>
          <w:bCs/>
          <w:sz w:val="24"/>
          <w:szCs w:val="24"/>
        </w:rPr>
        <w:t>1</w:t>
      </w:r>
      <w:r w:rsidR="00F5531D" w:rsidRPr="00A36FB0">
        <w:rPr>
          <w:rFonts w:ascii="Times New Roman" w:hAnsi="Times New Roman" w:cs="Times New Roman"/>
          <w:b/>
          <w:bCs/>
          <w:sz w:val="24"/>
          <w:szCs w:val="24"/>
        </w:rPr>
        <w:t>3</w:t>
      </w:r>
      <w:r w:rsidRPr="00A36FB0">
        <w:rPr>
          <w:rFonts w:ascii="Times New Roman" w:hAnsi="Times New Roman" w:cs="Times New Roman"/>
          <w:b/>
          <w:bCs/>
          <w:sz w:val="24"/>
          <w:szCs w:val="24"/>
        </w:rPr>
        <w:t xml:space="preserve">. </w:t>
      </w:r>
      <w:r w:rsidRPr="00A36FB0">
        <w:rPr>
          <w:rFonts w:ascii="Times New Roman" w:hAnsi="Times New Roman" w:cs="Times New Roman"/>
          <w:sz w:val="24"/>
          <w:szCs w:val="24"/>
        </w:rPr>
        <w:t>Soil response analysis graph for Kobe EQ-</w:t>
      </w:r>
      <w:r w:rsidRPr="00A36FB0">
        <w:rPr>
          <w:rFonts w:ascii="Times New Roman" w:hAnsi="Times New Roman" w:cs="Times New Roman"/>
          <w:b/>
          <w:bCs/>
          <w:sz w:val="24"/>
          <w:szCs w:val="24"/>
        </w:rPr>
        <w:t>0.02g</w:t>
      </w:r>
    </w:p>
    <w:p w14:paraId="16B89D7A" w14:textId="77777777" w:rsidR="003B1523" w:rsidRPr="00A36FB0" w:rsidRDefault="003B1523" w:rsidP="00A36FB0">
      <w:pPr>
        <w:pStyle w:val="Paragraph"/>
        <w:ind w:firstLine="0"/>
        <w:rPr>
          <w:rFonts w:ascii="Times New Roman" w:hAnsi="Times New Roman" w:cs="Times New Roman"/>
          <w:b/>
          <w:bCs/>
          <w:sz w:val="24"/>
          <w:szCs w:val="24"/>
        </w:rPr>
      </w:pPr>
      <w:r w:rsidRPr="00A36FB0">
        <w:rPr>
          <w:rFonts w:ascii="Times New Roman" w:hAnsi="Times New Roman" w:cs="Times New Roman"/>
          <w:b/>
          <w:bCs/>
          <w:noProof/>
          <w:sz w:val="24"/>
          <w:szCs w:val="24"/>
        </w:rPr>
        <w:lastRenderedPageBreak/>
        <w:drawing>
          <wp:inline distT="0" distB="0" distL="0" distR="0" wp14:anchorId="7ACCA286" wp14:editId="371E96B7">
            <wp:extent cx="4754880" cy="8870933"/>
            <wp:effectExtent l="0" t="0" r="7620" b="6985"/>
            <wp:docPr id="1096983732" name="Picture 3"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83732" name="Picture 3" descr="A close-up of a graph&#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60367" cy="8881171"/>
                    </a:xfrm>
                    <a:prstGeom prst="rect">
                      <a:avLst/>
                    </a:prstGeom>
                  </pic:spPr>
                </pic:pic>
              </a:graphicData>
            </a:graphic>
          </wp:inline>
        </w:drawing>
      </w:r>
    </w:p>
    <w:p w14:paraId="62EBC09B" w14:textId="07080596" w:rsidR="003B1523" w:rsidRPr="00A36FB0" w:rsidRDefault="003B1523" w:rsidP="00A36FB0">
      <w:pPr>
        <w:pStyle w:val="Paragraph"/>
        <w:ind w:firstLine="0"/>
        <w:rPr>
          <w:rFonts w:ascii="Times New Roman" w:hAnsi="Times New Roman" w:cs="Times New Roman"/>
          <w:sz w:val="24"/>
          <w:szCs w:val="24"/>
        </w:rPr>
      </w:pPr>
      <w:r w:rsidRPr="00A36FB0">
        <w:rPr>
          <w:rFonts w:ascii="Times New Roman" w:hAnsi="Times New Roman" w:cs="Times New Roman"/>
          <w:b/>
          <w:bCs/>
          <w:sz w:val="24"/>
          <w:szCs w:val="24"/>
        </w:rPr>
        <w:t>Fig</w:t>
      </w:r>
      <w:r w:rsidR="00E93C0F">
        <w:rPr>
          <w:rFonts w:ascii="Times New Roman" w:hAnsi="Times New Roman" w:cs="Times New Roman"/>
          <w:b/>
          <w:bCs/>
          <w:sz w:val="24"/>
          <w:szCs w:val="24"/>
        </w:rPr>
        <w:t xml:space="preserve">ure </w:t>
      </w:r>
      <w:r w:rsidRPr="00A36FB0">
        <w:rPr>
          <w:rFonts w:ascii="Times New Roman" w:hAnsi="Times New Roman" w:cs="Times New Roman"/>
          <w:b/>
          <w:bCs/>
          <w:sz w:val="24"/>
          <w:szCs w:val="24"/>
        </w:rPr>
        <w:t>1</w:t>
      </w:r>
      <w:r w:rsidR="00F5531D" w:rsidRPr="00A36FB0">
        <w:rPr>
          <w:rFonts w:ascii="Times New Roman" w:hAnsi="Times New Roman" w:cs="Times New Roman"/>
          <w:b/>
          <w:bCs/>
          <w:sz w:val="24"/>
          <w:szCs w:val="24"/>
        </w:rPr>
        <w:t>4</w:t>
      </w:r>
      <w:r w:rsidRPr="00A36FB0">
        <w:rPr>
          <w:rFonts w:ascii="Times New Roman" w:hAnsi="Times New Roman" w:cs="Times New Roman"/>
          <w:b/>
          <w:bCs/>
          <w:sz w:val="24"/>
          <w:szCs w:val="24"/>
        </w:rPr>
        <w:t xml:space="preserve">. </w:t>
      </w:r>
      <w:r w:rsidRPr="00A36FB0">
        <w:rPr>
          <w:rFonts w:ascii="Times New Roman" w:hAnsi="Times New Roman" w:cs="Times New Roman"/>
          <w:sz w:val="24"/>
          <w:szCs w:val="24"/>
        </w:rPr>
        <w:t>Soil response analysis graph for Chi-Chi EQ-</w:t>
      </w:r>
      <w:r w:rsidRPr="00A36FB0">
        <w:rPr>
          <w:rFonts w:ascii="Times New Roman" w:hAnsi="Times New Roman" w:cs="Times New Roman"/>
          <w:b/>
          <w:bCs/>
          <w:sz w:val="24"/>
          <w:szCs w:val="24"/>
        </w:rPr>
        <w:t>0.02g</w:t>
      </w:r>
    </w:p>
    <w:p w14:paraId="649E0F2D" w14:textId="77777777" w:rsidR="003B1523" w:rsidRPr="00A36FB0" w:rsidRDefault="003B1523" w:rsidP="00A36FB0">
      <w:pPr>
        <w:pStyle w:val="Paragraph"/>
        <w:ind w:firstLine="0"/>
        <w:rPr>
          <w:rFonts w:ascii="Times New Roman" w:hAnsi="Times New Roman" w:cs="Times New Roman"/>
          <w:b/>
          <w:bCs/>
          <w:sz w:val="24"/>
          <w:szCs w:val="24"/>
        </w:rPr>
      </w:pPr>
    </w:p>
    <w:p w14:paraId="04932142" w14:textId="51FB8F2A" w:rsidR="003B1523" w:rsidRPr="00A36FB0" w:rsidRDefault="0034685F" w:rsidP="00A36FB0">
      <w:pPr>
        <w:pStyle w:val="Paragraph"/>
        <w:ind w:firstLine="0"/>
        <w:rPr>
          <w:rFonts w:ascii="Times New Roman" w:hAnsi="Times New Roman" w:cs="Times New Roman"/>
          <w:b/>
          <w:bCs/>
          <w:sz w:val="24"/>
          <w:szCs w:val="24"/>
        </w:rPr>
      </w:pPr>
      <w:r w:rsidRPr="00A36FB0">
        <w:rPr>
          <w:rFonts w:ascii="Times New Roman" w:hAnsi="Times New Roman" w:cs="Times New Roman"/>
          <w:b/>
          <w:bCs/>
          <w:noProof/>
          <w:sz w:val="24"/>
          <w:szCs w:val="24"/>
        </w:rPr>
        <w:lastRenderedPageBreak/>
        <w:drawing>
          <wp:inline distT="0" distB="0" distL="0" distR="0" wp14:anchorId="3AB00F2E" wp14:editId="2A3F7CD5">
            <wp:extent cx="4643120" cy="8565715"/>
            <wp:effectExtent l="0" t="0" r="5080" b="6985"/>
            <wp:docPr id="1448768360" name="Picture 12"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68360" name="Picture 12" descr="A close-up of a graph&#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51181" cy="8580585"/>
                    </a:xfrm>
                    <a:prstGeom prst="rect">
                      <a:avLst/>
                    </a:prstGeom>
                  </pic:spPr>
                </pic:pic>
              </a:graphicData>
            </a:graphic>
          </wp:inline>
        </w:drawing>
      </w:r>
    </w:p>
    <w:p w14:paraId="4A686E02" w14:textId="5F363E85" w:rsidR="003B1523" w:rsidRPr="00A36FB0" w:rsidRDefault="003B1523" w:rsidP="00A36FB0">
      <w:pPr>
        <w:pStyle w:val="Paragraph"/>
        <w:ind w:firstLine="0"/>
        <w:rPr>
          <w:rFonts w:ascii="Times New Roman" w:hAnsi="Times New Roman" w:cs="Times New Roman"/>
          <w:sz w:val="24"/>
          <w:szCs w:val="24"/>
        </w:rPr>
      </w:pPr>
      <w:r w:rsidRPr="00A36FB0">
        <w:rPr>
          <w:rFonts w:ascii="Times New Roman" w:hAnsi="Times New Roman" w:cs="Times New Roman"/>
          <w:b/>
          <w:bCs/>
          <w:sz w:val="24"/>
          <w:szCs w:val="24"/>
        </w:rPr>
        <w:t>Fig</w:t>
      </w:r>
      <w:r w:rsidR="00E93C0F">
        <w:rPr>
          <w:rFonts w:ascii="Times New Roman" w:hAnsi="Times New Roman" w:cs="Times New Roman"/>
          <w:b/>
          <w:bCs/>
          <w:sz w:val="24"/>
          <w:szCs w:val="24"/>
        </w:rPr>
        <w:t xml:space="preserve">ure </w:t>
      </w:r>
      <w:r w:rsidRPr="00A36FB0">
        <w:rPr>
          <w:rFonts w:ascii="Times New Roman" w:hAnsi="Times New Roman" w:cs="Times New Roman"/>
          <w:b/>
          <w:bCs/>
          <w:sz w:val="24"/>
          <w:szCs w:val="24"/>
        </w:rPr>
        <w:t>1</w:t>
      </w:r>
      <w:r w:rsidR="00F5531D" w:rsidRPr="00A36FB0">
        <w:rPr>
          <w:rFonts w:ascii="Times New Roman" w:hAnsi="Times New Roman" w:cs="Times New Roman"/>
          <w:b/>
          <w:bCs/>
          <w:sz w:val="24"/>
          <w:szCs w:val="24"/>
        </w:rPr>
        <w:t>5</w:t>
      </w:r>
      <w:r w:rsidRPr="00A36FB0">
        <w:rPr>
          <w:rFonts w:ascii="Times New Roman" w:hAnsi="Times New Roman" w:cs="Times New Roman"/>
          <w:b/>
          <w:bCs/>
          <w:sz w:val="24"/>
          <w:szCs w:val="24"/>
        </w:rPr>
        <w:t xml:space="preserve">. </w:t>
      </w:r>
      <w:r w:rsidRPr="00A36FB0">
        <w:rPr>
          <w:rFonts w:ascii="Times New Roman" w:hAnsi="Times New Roman" w:cs="Times New Roman"/>
          <w:sz w:val="24"/>
          <w:szCs w:val="24"/>
        </w:rPr>
        <w:t>Soil response analysis graph for Kocaeli EQ-</w:t>
      </w:r>
      <w:r w:rsidRPr="00A36FB0">
        <w:rPr>
          <w:rFonts w:ascii="Times New Roman" w:hAnsi="Times New Roman" w:cs="Times New Roman"/>
          <w:b/>
          <w:bCs/>
          <w:sz w:val="24"/>
          <w:szCs w:val="24"/>
        </w:rPr>
        <w:t>0.02g</w:t>
      </w:r>
    </w:p>
    <w:p w14:paraId="6B32E950" w14:textId="77777777" w:rsidR="003B1523" w:rsidRPr="00A36FB0" w:rsidRDefault="003B1523" w:rsidP="00A36FB0">
      <w:pPr>
        <w:pStyle w:val="Paragraph"/>
        <w:ind w:firstLine="0"/>
        <w:rPr>
          <w:rFonts w:ascii="Times New Roman" w:hAnsi="Times New Roman" w:cs="Times New Roman"/>
          <w:b/>
          <w:bCs/>
          <w:sz w:val="24"/>
          <w:szCs w:val="24"/>
        </w:rPr>
      </w:pPr>
    </w:p>
    <w:p w14:paraId="4297C2AB" w14:textId="5F311247" w:rsidR="00E548A2" w:rsidRPr="00A36FB0" w:rsidRDefault="00E548A2" w:rsidP="00A36FB0">
      <w:pPr>
        <w:pStyle w:val="Paragraph"/>
        <w:ind w:firstLine="0"/>
        <w:rPr>
          <w:rFonts w:ascii="Times New Roman" w:hAnsi="Times New Roman" w:cs="Times New Roman"/>
          <w:b/>
          <w:bCs/>
          <w:sz w:val="24"/>
          <w:szCs w:val="24"/>
        </w:rPr>
      </w:pPr>
      <w:r w:rsidRPr="00A36FB0">
        <w:rPr>
          <w:rFonts w:ascii="Times New Roman" w:hAnsi="Times New Roman" w:cs="Times New Roman"/>
          <w:b/>
          <w:bCs/>
          <w:noProof/>
          <w:sz w:val="24"/>
          <w:szCs w:val="24"/>
        </w:rPr>
        <w:lastRenderedPageBreak/>
        <w:drawing>
          <wp:inline distT="0" distB="0" distL="0" distR="0" wp14:anchorId="789727FF" wp14:editId="32D3211F">
            <wp:extent cx="4714240" cy="8596431"/>
            <wp:effectExtent l="0" t="0" r="0" b="0"/>
            <wp:docPr id="481832447" name="Picture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32447" name="Picture 5" descr="A graph of different colored lines&#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67820" cy="8694134"/>
                    </a:xfrm>
                    <a:prstGeom prst="rect">
                      <a:avLst/>
                    </a:prstGeom>
                  </pic:spPr>
                </pic:pic>
              </a:graphicData>
            </a:graphic>
          </wp:inline>
        </w:drawing>
      </w:r>
    </w:p>
    <w:p w14:paraId="0D97EAA4" w14:textId="17ECE12A" w:rsidR="00E548A2" w:rsidRPr="00A36FB0" w:rsidRDefault="00E548A2" w:rsidP="00A36FB0">
      <w:pPr>
        <w:pStyle w:val="Paragraph"/>
        <w:ind w:firstLine="0"/>
        <w:rPr>
          <w:rFonts w:ascii="Times New Roman" w:hAnsi="Times New Roman" w:cs="Times New Roman"/>
          <w:sz w:val="24"/>
          <w:szCs w:val="24"/>
        </w:rPr>
      </w:pPr>
      <w:r w:rsidRPr="00A36FB0">
        <w:rPr>
          <w:rFonts w:ascii="Times New Roman" w:hAnsi="Times New Roman" w:cs="Times New Roman"/>
          <w:b/>
          <w:bCs/>
          <w:sz w:val="24"/>
          <w:szCs w:val="24"/>
        </w:rPr>
        <w:t>Fig</w:t>
      </w:r>
      <w:r w:rsidR="00E93C0F">
        <w:rPr>
          <w:rFonts w:ascii="Times New Roman" w:hAnsi="Times New Roman" w:cs="Times New Roman"/>
          <w:b/>
          <w:bCs/>
          <w:sz w:val="24"/>
          <w:szCs w:val="24"/>
        </w:rPr>
        <w:t xml:space="preserve">ure </w:t>
      </w:r>
      <w:r w:rsidRPr="00A36FB0">
        <w:rPr>
          <w:rFonts w:ascii="Times New Roman" w:hAnsi="Times New Roman" w:cs="Times New Roman"/>
          <w:b/>
          <w:bCs/>
          <w:sz w:val="24"/>
          <w:szCs w:val="24"/>
        </w:rPr>
        <w:t>1</w:t>
      </w:r>
      <w:r w:rsidR="00F5531D" w:rsidRPr="00A36FB0">
        <w:rPr>
          <w:rFonts w:ascii="Times New Roman" w:hAnsi="Times New Roman" w:cs="Times New Roman"/>
          <w:b/>
          <w:bCs/>
          <w:sz w:val="24"/>
          <w:szCs w:val="24"/>
        </w:rPr>
        <w:t>6</w:t>
      </w:r>
      <w:r w:rsidRPr="00A36FB0">
        <w:rPr>
          <w:rFonts w:ascii="Times New Roman" w:hAnsi="Times New Roman" w:cs="Times New Roman"/>
          <w:b/>
          <w:bCs/>
          <w:sz w:val="24"/>
          <w:szCs w:val="24"/>
        </w:rPr>
        <w:t xml:space="preserve">. </w:t>
      </w:r>
      <w:r w:rsidRPr="00A36FB0">
        <w:rPr>
          <w:rFonts w:ascii="Times New Roman" w:hAnsi="Times New Roman" w:cs="Times New Roman"/>
          <w:sz w:val="24"/>
          <w:szCs w:val="24"/>
        </w:rPr>
        <w:t>Soil response analysis graph for Kobe EQ-</w:t>
      </w:r>
      <w:r w:rsidRPr="00A36FB0">
        <w:rPr>
          <w:rFonts w:ascii="Times New Roman" w:hAnsi="Times New Roman" w:cs="Times New Roman"/>
          <w:b/>
          <w:bCs/>
          <w:sz w:val="24"/>
          <w:szCs w:val="24"/>
        </w:rPr>
        <w:t>0.03g</w:t>
      </w:r>
    </w:p>
    <w:p w14:paraId="41715FCC" w14:textId="77777777" w:rsidR="00E548A2" w:rsidRPr="00A36FB0" w:rsidRDefault="00E548A2" w:rsidP="00A36FB0">
      <w:pPr>
        <w:pStyle w:val="Paragraph"/>
        <w:ind w:firstLine="0"/>
        <w:rPr>
          <w:rFonts w:ascii="Times New Roman" w:hAnsi="Times New Roman" w:cs="Times New Roman"/>
          <w:b/>
          <w:bCs/>
          <w:sz w:val="24"/>
          <w:szCs w:val="24"/>
        </w:rPr>
      </w:pPr>
    </w:p>
    <w:p w14:paraId="7AB95C04" w14:textId="48E37693" w:rsidR="00E548A2" w:rsidRPr="00A36FB0" w:rsidRDefault="00E548A2" w:rsidP="00A36FB0">
      <w:pPr>
        <w:pStyle w:val="Paragraph"/>
        <w:ind w:firstLine="0"/>
        <w:rPr>
          <w:rFonts w:ascii="Times New Roman" w:hAnsi="Times New Roman" w:cs="Times New Roman"/>
          <w:b/>
          <w:bCs/>
          <w:sz w:val="24"/>
          <w:szCs w:val="24"/>
        </w:rPr>
      </w:pPr>
      <w:r w:rsidRPr="00A36FB0">
        <w:rPr>
          <w:rFonts w:ascii="Times New Roman" w:hAnsi="Times New Roman" w:cs="Times New Roman"/>
          <w:b/>
          <w:bCs/>
          <w:noProof/>
          <w:sz w:val="24"/>
          <w:szCs w:val="24"/>
        </w:rPr>
        <w:lastRenderedPageBreak/>
        <w:drawing>
          <wp:inline distT="0" distB="0" distL="0" distR="0" wp14:anchorId="5948CE73" wp14:editId="137536F8">
            <wp:extent cx="4612640" cy="8465989"/>
            <wp:effectExtent l="0" t="0" r="0" b="0"/>
            <wp:docPr id="1430046189" name="Picture 6"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46189" name="Picture 6" descr="A close-up of a graph&#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22814" cy="8484661"/>
                    </a:xfrm>
                    <a:prstGeom prst="rect">
                      <a:avLst/>
                    </a:prstGeom>
                  </pic:spPr>
                </pic:pic>
              </a:graphicData>
            </a:graphic>
          </wp:inline>
        </w:drawing>
      </w:r>
    </w:p>
    <w:p w14:paraId="6EBF1E06" w14:textId="4106B35C" w:rsidR="00E548A2" w:rsidRPr="00A36FB0" w:rsidRDefault="00E548A2" w:rsidP="00A36FB0">
      <w:pPr>
        <w:pStyle w:val="Paragraph"/>
        <w:ind w:firstLine="0"/>
        <w:rPr>
          <w:rFonts w:ascii="Times New Roman" w:hAnsi="Times New Roman" w:cs="Times New Roman"/>
          <w:sz w:val="24"/>
          <w:szCs w:val="24"/>
        </w:rPr>
      </w:pPr>
      <w:r w:rsidRPr="00A36FB0">
        <w:rPr>
          <w:rFonts w:ascii="Times New Roman" w:hAnsi="Times New Roman" w:cs="Times New Roman"/>
          <w:b/>
          <w:bCs/>
          <w:sz w:val="24"/>
          <w:szCs w:val="24"/>
        </w:rPr>
        <w:t>Fig</w:t>
      </w:r>
      <w:r w:rsidR="00E93C0F">
        <w:rPr>
          <w:rFonts w:ascii="Times New Roman" w:hAnsi="Times New Roman" w:cs="Times New Roman"/>
          <w:b/>
          <w:bCs/>
          <w:sz w:val="24"/>
          <w:szCs w:val="24"/>
        </w:rPr>
        <w:t>ure</w:t>
      </w:r>
      <w:r w:rsidRPr="00A36FB0">
        <w:rPr>
          <w:rFonts w:ascii="Times New Roman" w:hAnsi="Times New Roman" w:cs="Times New Roman"/>
          <w:b/>
          <w:bCs/>
          <w:sz w:val="24"/>
          <w:szCs w:val="24"/>
        </w:rPr>
        <w:t xml:space="preserve"> 1</w:t>
      </w:r>
      <w:r w:rsidR="00F5531D" w:rsidRPr="00A36FB0">
        <w:rPr>
          <w:rFonts w:ascii="Times New Roman" w:hAnsi="Times New Roman" w:cs="Times New Roman"/>
          <w:b/>
          <w:bCs/>
          <w:sz w:val="24"/>
          <w:szCs w:val="24"/>
        </w:rPr>
        <w:t>7</w:t>
      </w:r>
      <w:r w:rsidRPr="00A36FB0">
        <w:rPr>
          <w:rFonts w:ascii="Times New Roman" w:hAnsi="Times New Roman" w:cs="Times New Roman"/>
          <w:b/>
          <w:bCs/>
          <w:sz w:val="24"/>
          <w:szCs w:val="24"/>
        </w:rPr>
        <w:t xml:space="preserve">. </w:t>
      </w:r>
      <w:r w:rsidRPr="00A36FB0">
        <w:rPr>
          <w:rFonts w:ascii="Times New Roman" w:hAnsi="Times New Roman" w:cs="Times New Roman"/>
          <w:sz w:val="24"/>
          <w:szCs w:val="24"/>
        </w:rPr>
        <w:t>Soil response analysis graph for Chi-Chi EQ-</w:t>
      </w:r>
      <w:r w:rsidRPr="00A36FB0">
        <w:rPr>
          <w:rFonts w:ascii="Times New Roman" w:hAnsi="Times New Roman" w:cs="Times New Roman"/>
          <w:b/>
          <w:bCs/>
          <w:sz w:val="24"/>
          <w:szCs w:val="24"/>
        </w:rPr>
        <w:t>0.03g</w:t>
      </w:r>
    </w:p>
    <w:p w14:paraId="43862DCD" w14:textId="77777777" w:rsidR="00E548A2" w:rsidRPr="00A36FB0" w:rsidRDefault="00E548A2" w:rsidP="00A36FB0">
      <w:pPr>
        <w:pStyle w:val="Paragraph"/>
        <w:ind w:firstLine="0"/>
        <w:rPr>
          <w:rFonts w:ascii="Times New Roman" w:hAnsi="Times New Roman" w:cs="Times New Roman"/>
          <w:b/>
          <w:bCs/>
          <w:sz w:val="24"/>
          <w:szCs w:val="24"/>
        </w:rPr>
      </w:pPr>
    </w:p>
    <w:p w14:paraId="066E61FF" w14:textId="72AD8B0F" w:rsidR="00E548A2" w:rsidRPr="00A36FB0" w:rsidRDefault="00E548A2" w:rsidP="00A36FB0">
      <w:pPr>
        <w:pStyle w:val="Paragraph"/>
        <w:ind w:firstLine="0"/>
        <w:rPr>
          <w:rFonts w:ascii="Times New Roman" w:hAnsi="Times New Roman" w:cs="Times New Roman"/>
          <w:b/>
          <w:bCs/>
          <w:sz w:val="24"/>
          <w:szCs w:val="24"/>
        </w:rPr>
      </w:pPr>
      <w:r w:rsidRPr="00A36FB0">
        <w:rPr>
          <w:rFonts w:ascii="Times New Roman" w:hAnsi="Times New Roman" w:cs="Times New Roman"/>
          <w:b/>
          <w:bCs/>
          <w:noProof/>
          <w:sz w:val="24"/>
          <w:szCs w:val="24"/>
        </w:rPr>
        <w:lastRenderedPageBreak/>
        <w:drawing>
          <wp:inline distT="0" distB="0" distL="0" distR="0" wp14:anchorId="06BCC420" wp14:editId="6FAB7E40">
            <wp:extent cx="4878420" cy="8890000"/>
            <wp:effectExtent l="0" t="0" r="0" b="6350"/>
            <wp:docPr id="1840418436" name="Picture 7"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18436" name="Picture 7" descr="A graph of different colored lines&#10;&#10;AI-generated content may be incorrect."/>
                    <pic:cNvPicPr/>
                  </pic:nvPicPr>
                  <pic:blipFill rotWithShape="1">
                    <a:blip r:embed="rId32" cstate="print">
                      <a:extLst>
                        <a:ext uri="{28A0092B-C50C-407E-A947-70E740481C1C}">
                          <a14:useLocalDpi xmlns:a14="http://schemas.microsoft.com/office/drawing/2010/main" val="0"/>
                        </a:ext>
                      </a:extLst>
                    </a:blip>
                    <a:srcRect b="1075"/>
                    <a:stretch>
                      <a:fillRect/>
                    </a:stretch>
                  </pic:blipFill>
                  <pic:spPr bwMode="auto">
                    <a:xfrm>
                      <a:off x="0" y="0"/>
                      <a:ext cx="4894047" cy="8918477"/>
                    </a:xfrm>
                    <a:prstGeom prst="rect">
                      <a:avLst/>
                    </a:prstGeom>
                    <a:ln>
                      <a:noFill/>
                    </a:ln>
                    <a:extLst>
                      <a:ext uri="{53640926-AAD7-44D8-BBD7-CCE9431645EC}">
                        <a14:shadowObscured xmlns:a14="http://schemas.microsoft.com/office/drawing/2010/main"/>
                      </a:ext>
                    </a:extLst>
                  </pic:spPr>
                </pic:pic>
              </a:graphicData>
            </a:graphic>
          </wp:inline>
        </w:drawing>
      </w:r>
    </w:p>
    <w:p w14:paraId="08A6B079" w14:textId="6BDBE778" w:rsidR="00E548A2" w:rsidRPr="00A36FB0" w:rsidRDefault="00E548A2" w:rsidP="00A36FB0">
      <w:pPr>
        <w:pStyle w:val="Paragraph"/>
        <w:ind w:firstLine="0"/>
        <w:rPr>
          <w:rFonts w:ascii="Times New Roman" w:hAnsi="Times New Roman" w:cs="Times New Roman"/>
          <w:sz w:val="24"/>
          <w:szCs w:val="24"/>
        </w:rPr>
      </w:pPr>
      <w:r w:rsidRPr="00A36FB0">
        <w:rPr>
          <w:rFonts w:ascii="Times New Roman" w:hAnsi="Times New Roman" w:cs="Times New Roman"/>
          <w:b/>
          <w:bCs/>
          <w:sz w:val="24"/>
          <w:szCs w:val="24"/>
        </w:rPr>
        <w:t>Fig</w:t>
      </w:r>
      <w:r w:rsidR="00E93C0F">
        <w:rPr>
          <w:rFonts w:ascii="Times New Roman" w:hAnsi="Times New Roman" w:cs="Times New Roman"/>
          <w:b/>
          <w:bCs/>
          <w:sz w:val="24"/>
          <w:szCs w:val="24"/>
        </w:rPr>
        <w:t xml:space="preserve">ure </w:t>
      </w:r>
      <w:r w:rsidRPr="00A36FB0">
        <w:rPr>
          <w:rFonts w:ascii="Times New Roman" w:hAnsi="Times New Roman" w:cs="Times New Roman"/>
          <w:b/>
          <w:bCs/>
          <w:sz w:val="24"/>
          <w:szCs w:val="24"/>
        </w:rPr>
        <w:t>1</w:t>
      </w:r>
      <w:r w:rsidR="00F5531D" w:rsidRPr="00A36FB0">
        <w:rPr>
          <w:rFonts w:ascii="Times New Roman" w:hAnsi="Times New Roman" w:cs="Times New Roman"/>
          <w:b/>
          <w:bCs/>
          <w:sz w:val="24"/>
          <w:szCs w:val="24"/>
        </w:rPr>
        <w:t>8</w:t>
      </w:r>
      <w:r w:rsidRPr="00A36FB0">
        <w:rPr>
          <w:rFonts w:ascii="Times New Roman" w:hAnsi="Times New Roman" w:cs="Times New Roman"/>
          <w:b/>
          <w:bCs/>
          <w:sz w:val="24"/>
          <w:szCs w:val="24"/>
        </w:rPr>
        <w:t xml:space="preserve">. </w:t>
      </w:r>
      <w:r w:rsidRPr="00A36FB0">
        <w:rPr>
          <w:rFonts w:ascii="Times New Roman" w:hAnsi="Times New Roman" w:cs="Times New Roman"/>
          <w:sz w:val="24"/>
          <w:szCs w:val="24"/>
        </w:rPr>
        <w:t>Soil response analysis graph for Kocaeli EQ-</w:t>
      </w:r>
      <w:r w:rsidRPr="00A36FB0">
        <w:rPr>
          <w:rFonts w:ascii="Times New Roman" w:hAnsi="Times New Roman" w:cs="Times New Roman"/>
          <w:b/>
          <w:bCs/>
          <w:sz w:val="24"/>
          <w:szCs w:val="24"/>
        </w:rPr>
        <w:t>0.03g</w:t>
      </w:r>
    </w:p>
    <w:p w14:paraId="621585E9" w14:textId="77777777" w:rsidR="00E548A2" w:rsidRPr="00A36FB0" w:rsidRDefault="00E548A2" w:rsidP="00A36FB0">
      <w:pPr>
        <w:pStyle w:val="Paragraph"/>
        <w:ind w:firstLine="0"/>
        <w:rPr>
          <w:rFonts w:ascii="Times New Roman" w:hAnsi="Times New Roman" w:cs="Times New Roman"/>
          <w:b/>
          <w:bCs/>
          <w:sz w:val="24"/>
          <w:szCs w:val="24"/>
        </w:rPr>
      </w:pPr>
    </w:p>
    <w:p w14:paraId="293DD127" w14:textId="3CEF1E2D" w:rsidR="00E80B91" w:rsidRPr="00FC2BA2" w:rsidRDefault="008F0C49" w:rsidP="00A36FB0">
      <w:pPr>
        <w:pStyle w:val="Paragraph"/>
        <w:ind w:firstLine="0"/>
        <w:rPr>
          <w:rFonts w:ascii="Times New Roman" w:hAnsi="Times New Roman" w:cs="Times New Roman"/>
          <w:b/>
          <w:bCs/>
          <w:sz w:val="24"/>
          <w:szCs w:val="24"/>
        </w:rPr>
      </w:pPr>
      <w:r w:rsidRPr="00FC2BA2">
        <w:rPr>
          <w:rFonts w:ascii="Times New Roman" w:hAnsi="Times New Roman" w:cs="Times New Roman"/>
          <w:b/>
          <w:bCs/>
          <w:sz w:val="24"/>
          <w:szCs w:val="24"/>
        </w:rPr>
        <w:lastRenderedPageBreak/>
        <w:t>Soil Amplification Factor Evaluation</w:t>
      </w:r>
    </w:p>
    <w:p w14:paraId="33CEE43D" w14:textId="2F3F2810" w:rsidR="005B44D3" w:rsidRPr="00FC2BA2" w:rsidRDefault="005D7F5E" w:rsidP="00A36FB0">
      <w:pPr>
        <w:pStyle w:val="Paragraph"/>
        <w:ind w:firstLine="0"/>
        <w:rPr>
          <w:rFonts w:ascii="Times New Roman" w:hAnsi="Times New Roman" w:cs="Times New Roman"/>
          <w:sz w:val="24"/>
          <w:szCs w:val="24"/>
        </w:rPr>
      </w:pPr>
      <w:r w:rsidRPr="00FC2BA2">
        <w:rPr>
          <w:rFonts w:ascii="Times New Roman" w:hAnsi="Times New Roman" w:cs="Times New Roman"/>
          <w:sz w:val="24"/>
          <w:szCs w:val="24"/>
        </w:rPr>
        <w:t xml:space="preserve">Based on various soil response analyses, the data sets and results have been carefully studied </w:t>
      </w:r>
      <w:r w:rsidR="009A053D" w:rsidRPr="00FC2BA2">
        <w:rPr>
          <w:rFonts w:ascii="Times New Roman" w:hAnsi="Times New Roman" w:cs="Times New Roman"/>
          <w:sz w:val="24"/>
          <w:szCs w:val="24"/>
        </w:rPr>
        <w:t>to ensure</w:t>
      </w:r>
      <w:r w:rsidRPr="00FC2BA2">
        <w:rPr>
          <w:rFonts w:ascii="Times New Roman" w:hAnsi="Times New Roman" w:cs="Times New Roman"/>
          <w:sz w:val="24"/>
          <w:szCs w:val="24"/>
        </w:rPr>
        <w:t xml:space="preserve"> the outcomes are practical </w:t>
      </w:r>
      <w:r w:rsidR="004E418B" w:rsidRPr="00FC2BA2">
        <w:rPr>
          <w:rFonts w:ascii="Times New Roman" w:hAnsi="Times New Roman" w:cs="Times New Roman"/>
          <w:sz w:val="24"/>
          <w:szCs w:val="24"/>
        </w:rPr>
        <w:t>and</w:t>
      </w:r>
      <w:r w:rsidRPr="00FC2BA2">
        <w:rPr>
          <w:rFonts w:ascii="Times New Roman" w:hAnsi="Times New Roman" w:cs="Times New Roman"/>
          <w:sz w:val="24"/>
          <w:szCs w:val="24"/>
        </w:rPr>
        <w:t xml:space="preserve"> eliminate possible errors. The studies on amplification effects for both cases of PGA at bedrock (0.02g and 0.03g) have been tabulated in </w:t>
      </w:r>
      <w:r w:rsidRPr="00FC2BA2">
        <w:rPr>
          <w:rFonts w:ascii="Times New Roman" w:hAnsi="Times New Roman" w:cs="Times New Roman"/>
          <w:b/>
          <w:bCs/>
          <w:sz w:val="24"/>
          <w:szCs w:val="24"/>
        </w:rPr>
        <w:t xml:space="preserve">Tables </w:t>
      </w:r>
      <w:r w:rsidR="00F5531D" w:rsidRPr="00FC2BA2">
        <w:rPr>
          <w:rFonts w:ascii="Times New Roman" w:hAnsi="Times New Roman" w:cs="Times New Roman"/>
          <w:b/>
          <w:bCs/>
          <w:sz w:val="24"/>
          <w:szCs w:val="24"/>
        </w:rPr>
        <w:t>8</w:t>
      </w:r>
      <w:r w:rsidRPr="00FC2BA2">
        <w:rPr>
          <w:rFonts w:ascii="Times New Roman" w:hAnsi="Times New Roman" w:cs="Times New Roman"/>
          <w:b/>
          <w:bCs/>
          <w:sz w:val="24"/>
          <w:szCs w:val="24"/>
        </w:rPr>
        <w:t xml:space="preserve"> </w:t>
      </w:r>
      <w:r w:rsidRPr="00FC2BA2">
        <w:rPr>
          <w:rFonts w:ascii="Times New Roman" w:hAnsi="Times New Roman" w:cs="Times New Roman"/>
          <w:sz w:val="24"/>
          <w:szCs w:val="24"/>
        </w:rPr>
        <w:t>and</w:t>
      </w:r>
      <w:r w:rsidRPr="00FC2BA2">
        <w:rPr>
          <w:rFonts w:ascii="Times New Roman" w:hAnsi="Times New Roman" w:cs="Times New Roman"/>
          <w:b/>
          <w:bCs/>
          <w:sz w:val="24"/>
          <w:szCs w:val="24"/>
        </w:rPr>
        <w:t xml:space="preserve"> </w:t>
      </w:r>
      <w:r w:rsidR="00F5531D" w:rsidRPr="00FC2BA2">
        <w:rPr>
          <w:rFonts w:ascii="Times New Roman" w:hAnsi="Times New Roman" w:cs="Times New Roman"/>
          <w:b/>
          <w:bCs/>
          <w:sz w:val="24"/>
          <w:szCs w:val="24"/>
        </w:rPr>
        <w:t>9</w:t>
      </w:r>
      <w:r w:rsidRPr="00FC2BA2">
        <w:rPr>
          <w:rFonts w:ascii="Times New Roman" w:hAnsi="Times New Roman" w:cs="Times New Roman"/>
          <w:sz w:val="24"/>
          <w:szCs w:val="24"/>
        </w:rPr>
        <w:t>.</w:t>
      </w:r>
      <w:bookmarkStart w:id="0" w:name="_Hlk205545351"/>
      <w:r w:rsidR="00FC2BA2">
        <w:rPr>
          <w:rFonts w:ascii="Times New Roman" w:hAnsi="Times New Roman" w:cs="Times New Roman"/>
          <w:sz w:val="24"/>
          <w:szCs w:val="24"/>
        </w:rPr>
        <w:t xml:space="preserve"> </w:t>
      </w:r>
      <w:r w:rsidR="000E79D3" w:rsidRPr="00FC2BA2">
        <w:rPr>
          <w:rFonts w:ascii="Times New Roman" w:hAnsi="Times New Roman" w:cs="Times New Roman"/>
          <w:sz w:val="24"/>
          <w:szCs w:val="24"/>
          <w:lang w:val="en-US"/>
        </w:rPr>
        <w:t xml:space="preserve">The results, before averaging the datasets </w:t>
      </w:r>
      <w:r w:rsidR="004E418B" w:rsidRPr="00FC2BA2">
        <w:rPr>
          <w:rFonts w:ascii="Times New Roman" w:hAnsi="Times New Roman" w:cs="Times New Roman"/>
          <w:sz w:val="24"/>
          <w:szCs w:val="24"/>
          <w:lang w:val="en-US"/>
        </w:rPr>
        <w:t>concerning</w:t>
      </w:r>
      <w:r w:rsidR="000E79D3" w:rsidRPr="00FC2BA2">
        <w:rPr>
          <w:rFonts w:ascii="Times New Roman" w:hAnsi="Times New Roman" w:cs="Times New Roman"/>
          <w:sz w:val="24"/>
          <w:szCs w:val="24"/>
          <w:lang w:val="en-US"/>
        </w:rPr>
        <w:t xml:space="preserve"> cluster locations, indicate that surface PGA values range from 0.0137g to 0.0552g based on a bedrock PGA of 0.02g (MS</w:t>
      </w:r>
      <w:r w:rsidR="00DE35F7" w:rsidRPr="00FC2BA2">
        <w:rPr>
          <w:rFonts w:ascii="Times New Roman" w:hAnsi="Times New Roman" w:cs="Times New Roman"/>
          <w:sz w:val="24"/>
          <w:szCs w:val="24"/>
          <w:lang w:val="en-US"/>
        </w:rPr>
        <w:t xml:space="preserve"> </w:t>
      </w:r>
      <w:r w:rsidR="000E79D3" w:rsidRPr="00FC2BA2">
        <w:rPr>
          <w:rFonts w:ascii="Times New Roman" w:hAnsi="Times New Roman" w:cs="Times New Roman"/>
          <w:sz w:val="24"/>
          <w:szCs w:val="24"/>
          <w:lang w:val="en-US"/>
        </w:rPr>
        <w:t>EN</w:t>
      </w:r>
      <w:r w:rsidR="00DE35F7" w:rsidRPr="00FC2BA2">
        <w:rPr>
          <w:rFonts w:ascii="Times New Roman" w:hAnsi="Times New Roman" w:cs="Times New Roman"/>
          <w:sz w:val="24"/>
          <w:szCs w:val="24"/>
          <w:lang w:val="en-US"/>
        </w:rPr>
        <w:t xml:space="preserve"> </w:t>
      </w:r>
      <w:r w:rsidR="000E79D3" w:rsidRPr="00FC2BA2">
        <w:rPr>
          <w:rFonts w:ascii="Times New Roman" w:hAnsi="Times New Roman" w:cs="Times New Roman"/>
          <w:sz w:val="24"/>
          <w:szCs w:val="24"/>
          <w:lang w:val="en-US"/>
        </w:rPr>
        <w:t xml:space="preserve">1998-1:2015/2017), and from 0.0153g to 0.0821g for higher reference bedrock PGAs </w:t>
      </w:r>
      <w:r w:rsidR="00DE35F7" w:rsidRPr="00FC2BA2">
        <w:rPr>
          <w:rFonts w:ascii="Times New Roman" w:hAnsi="Times New Roman" w:cs="Times New Roman"/>
          <w:sz w:val="24"/>
          <w:szCs w:val="24"/>
          <w:lang w:val="en-US"/>
        </w:rPr>
        <w:t xml:space="preserve">0.03g (rationalized PGA value </w:t>
      </w:r>
      <w:r w:rsidR="000E79D3" w:rsidRPr="00FC2BA2">
        <w:rPr>
          <w:rFonts w:ascii="Times New Roman" w:hAnsi="Times New Roman" w:cs="Times New Roman"/>
          <w:sz w:val="24"/>
          <w:szCs w:val="24"/>
          <w:lang w:val="en-US"/>
        </w:rPr>
        <w:t>of 0.027g (</w:t>
      </w:r>
      <w:r w:rsidR="00D17492" w:rsidRPr="00FC2BA2">
        <w:rPr>
          <w:rFonts w:ascii="Times New Roman" w:hAnsi="Times New Roman" w:cs="Times New Roman"/>
          <w:sz w:val="24"/>
          <w:szCs w:val="24"/>
          <w:lang w:val="en-US"/>
        </w:rPr>
        <w:t xml:space="preserve">Harith </w:t>
      </w:r>
      <w:r w:rsidR="00D17492" w:rsidRPr="00FC2BA2">
        <w:rPr>
          <w:rFonts w:ascii="Times New Roman" w:hAnsi="Times New Roman" w:cs="Times New Roman"/>
          <w:i/>
          <w:iCs/>
          <w:sz w:val="24"/>
          <w:szCs w:val="24"/>
          <w:lang w:val="en-US"/>
        </w:rPr>
        <w:t>et al.</w:t>
      </w:r>
      <w:r w:rsidR="000E79D3" w:rsidRPr="00FC2BA2">
        <w:rPr>
          <w:rFonts w:ascii="Times New Roman" w:hAnsi="Times New Roman" w:cs="Times New Roman"/>
          <w:sz w:val="24"/>
          <w:szCs w:val="24"/>
          <w:lang w:val="en-US"/>
        </w:rPr>
        <w:t>, 2025) and 0.031g (Adnan, 2022)</w:t>
      </w:r>
      <w:r w:rsidR="00DE35F7" w:rsidRPr="00FC2BA2">
        <w:rPr>
          <w:rFonts w:ascii="Times New Roman" w:hAnsi="Times New Roman" w:cs="Times New Roman"/>
          <w:sz w:val="24"/>
          <w:szCs w:val="24"/>
          <w:lang w:val="en-US"/>
        </w:rPr>
        <w:t>).</w:t>
      </w:r>
      <w:bookmarkEnd w:id="0"/>
    </w:p>
    <w:p w14:paraId="3D71DC73" w14:textId="77777777" w:rsidR="005B44D3" w:rsidRPr="00A36FB0" w:rsidRDefault="005B44D3" w:rsidP="00A36FB0">
      <w:pPr>
        <w:pStyle w:val="Paragraph"/>
        <w:ind w:firstLine="0"/>
        <w:rPr>
          <w:rFonts w:ascii="Times New Roman" w:hAnsi="Times New Roman" w:cs="Times New Roman"/>
          <w:b/>
          <w:bCs/>
          <w:sz w:val="24"/>
          <w:szCs w:val="24"/>
        </w:rPr>
      </w:pPr>
    </w:p>
    <w:p w14:paraId="7F816F86" w14:textId="1C79D640" w:rsidR="00E80B91" w:rsidRPr="00A36FB0" w:rsidRDefault="005D7F5E" w:rsidP="00A36FB0">
      <w:pPr>
        <w:pStyle w:val="Paragraph"/>
        <w:ind w:firstLine="0"/>
        <w:rPr>
          <w:rFonts w:ascii="Times New Roman" w:hAnsi="Times New Roman" w:cs="Times New Roman"/>
          <w:b/>
          <w:bCs/>
          <w:sz w:val="24"/>
          <w:szCs w:val="24"/>
        </w:rPr>
      </w:pPr>
      <w:r w:rsidRPr="00A36FB0">
        <w:rPr>
          <w:rFonts w:ascii="Times New Roman" w:hAnsi="Times New Roman" w:cs="Times New Roman"/>
          <w:b/>
          <w:bCs/>
          <w:sz w:val="24"/>
          <w:szCs w:val="24"/>
        </w:rPr>
        <w:t xml:space="preserve">Table </w:t>
      </w:r>
      <w:r w:rsidR="00F5531D" w:rsidRPr="00A36FB0">
        <w:rPr>
          <w:rFonts w:ascii="Times New Roman" w:hAnsi="Times New Roman" w:cs="Times New Roman"/>
          <w:b/>
          <w:bCs/>
          <w:sz w:val="24"/>
          <w:szCs w:val="24"/>
        </w:rPr>
        <w:t>8</w:t>
      </w:r>
      <w:r w:rsidRPr="00A36FB0">
        <w:rPr>
          <w:rFonts w:ascii="Times New Roman" w:hAnsi="Times New Roman" w:cs="Times New Roman"/>
          <w:b/>
          <w:bCs/>
          <w:sz w:val="24"/>
          <w:szCs w:val="24"/>
        </w:rPr>
        <w:t xml:space="preserve">. </w:t>
      </w:r>
      <w:r w:rsidRPr="00A36FB0">
        <w:rPr>
          <w:rFonts w:ascii="Times New Roman" w:hAnsi="Times New Roman" w:cs="Times New Roman"/>
          <w:sz w:val="24"/>
          <w:szCs w:val="24"/>
        </w:rPr>
        <w:t xml:space="preserve">Summary of soil amplification effects based on PGA of </w:t>
      </w:r>
      <w:r w:rsidRPr="00A36FB0">
        <w:rPr>
          <w:rFonts w:ascii="Times New Roman" w:hAnsi="Times New Roman" w:cs="Times New Roman"/>
          <w:b/>
          <w:bCs/>
          <w:sz w:val="24"/>
          <w:szCs w:val="24"/>
        </w:rPr>
        <w:t>0.02g</w:t>
      </w:r>
      <w:r w:rsidRPr="00A36FB0">
        <w:rPr>
          <w:rFonts w:ascii="Times New Roman" w:hAnsi="Times New Roman" w:cs="Times New Roman"/>
          <w:sz w:val="24"/>
          <w:szCs w:val="24"/>
        </w:rPr>
        <w:t xml:space="preserve"> at Bedrock</w:t>
      </w:r>
    </w:p>
    <w:p w14:paraId="31123017" w14:textId="011E72A8" w:rsidR="008F0C49" w:rsidRPr="00A36FB0" w:rsidRDefault="008F0C49" w:rsidP="00A36FB0">
      <w:pPr>
        <w:pStyle w:val="Paragraph"/>
        <w:ind w:firstLine="0"/>
        <w:rPr>
          <w:rFonts w:ascii="Times New Roman" w:hAnsi="Times New Roman" w:cs="Times New Roman"/>
          <w:sz w:val="24"/>
          <w:szCs w:val="24"/>
        </w:rPr>
      </w:pPr>
      <w:r w:rsidRPr="00A36FB0">
        <w:rPr>
          <w:rFonts w:ascii="Times New Roman" w:hAnsi="Times New Roman" w:cs="Times New Roman"/>
          <w:noProof/>
          <w:sz w:val="24"/>
          <w:szCs w:val="24"/>
        </w:rPr>
        <w:drawing>
          <wp:inline distT="0" distB="0" distL="0" distR="0" wp14:anchorId="166B232E" wp14:editId="7CE1DB6C">
            <wp:extent cx="6664960" cy="6454204"/>
            <wp:effectExtent l="0" t="0" r="2540" b="3810"/>
            <wp:docPr id="12498139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05588" cy="6493547"/>
                    </a:xfrm>
                    <a:prstGeom prst="rect">
                      <a:avLst/>
                    </a:prstGeom>
                    <a:noFill/>
                    <a:ln>
                      <a:noFill/>
                    </a:ln>
                  </pic:spPr>
                </pic:pic>
              </a:graphicData>
            </a:graphic>
          </wp:inline>
        </w:drawing>
      </w:r>
    </w:p>
    <w:p w14:paraId="4C7BB72B" w14:textId="77777777" w:rsidR="008F0C49" w:rsidRDefault="008F0C49" w:rsidP="00A36FB0">
      <w:pPr>
        <w:pStyle w:val="Paragraph"/>
        <w:ind w:firstLine="0"/>
        <w:rPr>
          <w:rFonts w:ascii="Times New Roman" w:hAnsi="Times New Roman" w:cs="Times New Roman"/>
          <w:sz w:val="24"/>
          <w:szCs w:val="24"/>
        </w:rPr>
      </w:pPr>
    </w:p>
    <w:p w14:paraId="18D84015" w14:textId="77777777" w:rsidR="00FC2BA2" w:rsidRDefault="00FC2BA2" w:rsidP="00A36FB0">
      <w:pPr>
        <w:pStyle w:val="Paragraph"/>
        <w:ind w:firstLine="0"/>
        <w:rPr>
          <w:rFonts w:ascii="Times New Roman" w:hAnsi="Times New Roman" w:cs="Times New Roman"/>
          <w:sz w:val="24"/>
          <w:szCs w:val="24"/>
        </w:rPr>
      </w:pPr>
    </w:p>
    <w:p w14:paraId="32F913A5" w14:textId="77777777" w:rsidR="00FC2BA2" w:rsidRDefault="00FC2BA2" w:rsidP="00A36FB0">
      <w:pPr>
        <w:pStyle w:val="Paragraph"/>
        <w:ind w:firstLine="0"/>
        <w:rPr>
          <w:rFonts w:ascii="Times New Roman" w:hAnsi="Times New Roman" w:cs="Times New Roman"/>
          <w:sz w:val="24"/>
          <w:szCs w:val="24"/>
        </w:rPr>
      </w:pPr>
    </w:p>
    <w:p w14:paraId="20F7FF4E" w14:textId="77777777" w:rsidR="00FC2BA2" w:rsidRDefault="00FC2BA2" w:rsidP="00A36FB0">
      <w:pPr>
        <w:pStyle w:val="Paragraph"/>
        <w:ind w:firstLine="0"/>
        <w:rPr>
          <w:rFonts w:ascii="Times New Roman" w:hAnsi="Times New Roman" w:cs="Times New Roman"/>
          <w:sz w:val="24"/>
          <w:szCs w:val="24"/>
        </w:rPr>
      </w:pPr>
    </w:p>
    <w:p w14:paraId="4F57ACD8" w14:textId="77777777" w:rsidR="00FC2BA2" w:rsidRDefault="00FC2BA2" w:rsidP="00A36FB0">
      <w:pPr>
        <w:pStyle w:val="Paragraph"/>
        <w:ind w:firstLine="0"/>
        <w:rPr>
          <w:rFonts w:ascii="Times New Roman" w:hAnsi="Times New Roman" w:cs="Times New Roman"/>
          <w:sz w:val="24"/>
          <w:szCs w:val="24"/>
        </w:rPr>
      </w:pPr>
    </w:p>
    <w:p w14:paraId="092F7D51" w14:textId="77777777" w:rsidR="00FC2BA2" w:rsidRDefault="00FC2BA2" w:rsidP="00A36FB0">
      <w:pPr>
        <w:pStyle w:val="Paragraph"/>
        <w:ind w:firstLine="0"/>
        <w:rPr>
          <w:rFonts w:ascii="Times New Roman" w:hAnsi="Times New Roman" w:cs="Times New Roman"/>
          <w:sz w:val="24"/>
          <w:szCs w:val="24"/>
        </w:rPr>
      </w:pPr>
    </w:p>
    <w:p w14:paraId="2BE74E74" w14:textId="77777777" w:rsidR="00FC2BA2" w:rsidRPr="00A36FB0" w:rsidRDefault="00FC2BA2" w:rsidP="00A36FB0">
      <w:pPr>
        <w:pStyle w:val="Paragraph"/>
        <w:ind w:firstLine="0"/>
        <w:rPr>
          <w:rFonts w:ascii="Times New Roman" w:hAnsi="Times New Roman" w:cs="Times New Roman"/>
          <w:sz w:val="24"/>
          <w:szCs w:val="24"/>
        </w:rPr>
      </w:pPr>
    </w:p>
    <w:p w14:paraId="22D8E94E" w14:textId="3996FCBC" w:rsidR="005D7F5E" w:rsidRPr="00A36FB0" w:rsidRDefault="005D7F5E" w:rsidP="00A36FB0">
      <w:pPr>
        <w:pStyle w:val="Paragraph"/>
        <w:ind w:firstLine="0"/>
        <w:rPr>
          <w:rFonts w:ascii="Times New Roman" w:hAnsi="Times New Roman" w:cs="Times New Roman"/>
          <w:b/>
          <w:bCs/>
          <w:sz w:val="24"/>
          <w:szCs w:val="24"/>
        </w:rPr>
      </w:pPr>
      <w:r w:rsidRPr="00A36FB0">
        <w:rPr>
          <w:rFonts w:ascii="Times New Roman" w:hAnsi="Times New Roman" w:cs="Times New Roman"/>
          <w:b/>
          <w:bCs/>
          <w:sz w:val="24"/>
          <w:szCs w:val="24"/>
        </w:rPr>
        <w:lastRenderedPageBreak/>
        <w:t xml:space="preserve">Table </w:t>
      </w:r>
      <w:r w:rsidR="00F5531D" w:rsidRPr="00A36FB0">
        <w:rPr>
          <w:rFonts w:ascii="Times New Roman" w:hAnsi="Times New Roman" w:cs="Times New Roman"/>
          <w:b/>
          <w:bCs/>
          <w:sz w:val="24"/>
          <w:szCs w:val="24"/>
        </w:rPr>
        <w:t>9</w:t>
      </w:r>
      <w:r w:rsidRPr="00A36FB0">
        <w:rPr>
          <w:rFonts w:ascii="Times New Roman" w:hAnsi="Times New Roman" w:cs="Times New Roman"/>
          <w:b/>
          <w:bCs/>
          <w:sz w:val="24"/>
          <w:szCs w:val="24"/>
        </w:rPr>
        <w:t xml:space="preserve">. </w:t>
      </w:r>
      <w:r w:rsidRPr="00A36FB0">
        <w:rPr>
          <w:rFonts w:ascii="Times New Roman" w:hAnsi="Times New Roman" w:cs="Times New Roman"/>
          <w:sz w:val="24"/>
          <w:szCs w:val="24"/>
        </w:rPr>
        <w:t xml:space="preserve">Summary of soil amplification effects based on PGA of </w:t>
      </w:r>
      <w:r w:rsidRPr="00A36FB0">
        <w:rPr>
          <w:rFonts w:ascii="Times New Roman" w:hAnsi="Times New Roman" w:cs="Times New Roman"/>
          <w:b/>
          <w:bCs/>
          <w:sz w:val="24"/>
          <w:szCs w:val="24"/>
        </w:rPr>
        <w:t>0.03g</w:t>
      </w:r>
      <w:r w:rsidRPr="00A36FB0">
        <w:rPr>
          <w:rFonts w:ascii="Times New Roman" w:hAnsi="Times New Roman" w:cs="Times New Roman"/>
          <w:sz w:val="24"/>
          <w:szCs w:val="24"/>
        </w:rPr>
        <w:t xml:space="preserve"> at Bedrock</w:t>
      </w:r>
    </w:p>
    <w:p w14:paraId="5D53CBE0" w14:textId="0FB47BF9" w:rsidR="008F0C49" w:rsidRPr="00A36FB0" w:rsidRDefault="008F0C49" w:rsidP="00A36FB0">
      <w:pPr>
        <w:pStyle w:val="Paragraph"/>
        <w:ind w:firstLine="0"/>
        <w:rPr>
          <w:rFonts w:ascii="Times New Roman" w:hAnsi="Times New Roman" w:cs="Times New Roman"/>
          <w:sz w:val="24"/>
          <w:szCs w:val="24"/>
        </w:rPr>
      </w:pPr>
      <w:r w:rsidRPr="00A36FB0">
        <w:rPr>
          <w:rFonts w:ascii="Times New Roman" w:hAnsi="Times New Roman" w:cs="Times New Roman"/>
          <w:noProof/>
          <w:sz w:val="24"/>
          <w:szCs w:val="24"/>
        </w:rPr>
        <w:drawing>
          <wp:inline distT="0" distB="0" distL="0" distR="0" wp14:anchorId="55D516ED" wp14:editId="2EEF4D0B">
            <wp:extent cx="6471920" cy="6246949"/>
            <wp:effectExtent l="0" t="0" r="5080" b="1905"/>
            <wp:docPr id="15116193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03696" cy="6277620"/>
                    </a:xfrm>
                    <a:prstGeom prst="rect">
                      <a:avLst/>
                    </a:prstGeom>
                    <a:noFill/>
                    <a:ln>
                      <a:noFill/>
                    </a:ln>
                  </pic:spPr>
                </pic:pic>
              </a:graphicData>
            </a:graphic>
          </wp:inline>
        </w:drawing>
      </w:r>
    </w:p>
    <w:p w14:paraId="2D31B7E8" w14:textId="77777777" w:rsidR="008F0C49" w:rsidRPr="00A36FB0" w:rsidRDefault="008F0C49" w:rsidP="00A36FB0">
      <w:pPr>
        <w:pStyle w:val="Paragraph"/>
        <w:ind w:firstLine="0"/>
        <w:rPr>
          <w:rFonts w:ascii="Times New Roman" w:hAnsi="Times New Roman" w:cs="Times New Roman"/>
          <w:b/>
          <w:bCs/>
          <w:sz w:val="24"/>
          <w:szCs w:val="24"/>
        </w:rPr>
      </w:pPr>
    </w:p>
    <w:p w14:paraId="6D6AA42F" w14:textId="77777777" w:rsidR="008F0C49" w:rsidRPr="00E93C0F" w:rsidRDefault="008F0C49" w:rsidP="00A36FB0">
      <w:pPr>
        <w:pStyle w:val="Paragraph"/>
        <w:ind w:firstLine="0"/>
        <w:rPr>
          <w:rFonts w:ascii="Times New Roman" w:hAnsi="Times New Roman" w:cs="Times New Roman"/>
          <w:b/>
          <w:bCs/>
          <w:sz w:val="24"/>
          <w:szCs w:val="24"/>
        </w:rPr>
      </w:pPr>
    </w:p>
    <w:p w14:paraId="58FC56A8" w14:textId="3376AFB1" w:rsidR="008F0C49" w:rsidRPr="00E93C0F" w:rsidRDefault="008F0C49"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Horizontal Elastic Response Spectra</w:t>
      </w:r>
    </w:p>
    <w:p w14:paraId="7F1D8B89" w14:textId="53278B7A" w:rsidR="005D7F5E" w:rsidRPr="00E93C0F" w:rsidRDefault="005D7F5E" w:rsidP="00A36FB0">
      <w:pPr>
        <w:pStyle w:val="Paragraph"/>
        <w:ind w:firstLine="0"/>
        <w:rPr>
          <w:rFonts w:ascii="Times New Roman" w:hAnsi="Times New Roman" w:cs="Times New Roman"/>
          <w:sz w:val="24"/>
          <w:szCs w:val="24"/>
          <w:lang w:val="en-MY"/>
        </w:rPr>
      </w:pPr>
      <w:r w:rsidRPr="00E93C0F">
        <w:rPr>
          <w:rFonts w:ascii="Times New Roman" w:hAnsi="Times New Roman" w:cs="Times New Roman"/>
          <w:sz w:val="24"/>
          <w:szCs w:val="24"/>
          <w:lang w:val="en-MY"/>
        </w:rPr>
        <w:t xml:space="preserve">These results </w:t>
      </w:r>
      <w:r w:rsidR="003E3DDD" w:rsidRPr="00E93C0F">
        <w:rPr>
          <w:rFonts w:ascii="Times New Roman" w:hAnsi="Times New Roman" w:cs="Times New Roman"/>
          <w:sz w:val="24"/>
          <w:szCs w:val="24"/>
          <w:lang w:val="en-MY"/>
        </w:rPr>
        <w:t>ar</w:t>
      </w:r>
      <w:r w:rsidRPr="00E93C0F">
        <w:rPr>
          <w:rFonts w:ascii="Times New Roman" w:hAnsi="Times New Roman" w:cs="Times New Roman"/>
          <w:sz w:val="24"/>
          <w:szCs w:val="24"/>
          <w:lang w:val="en-MY"/>
        </w:rPr>
        <w:t xml:space="preserve">e derived from the average response spectra curves generated through the soil amplification factors, site periods characteristics, acceleration response spectra curves for </w:t>
      </w:r>
      <w:r w:rsidR="003E3DDD" w:rsidRPr="00E93C0F">
        <w:rPr>
          <w:rFonts w:ascii="Times New Roman" w:hAnsi="Times New Roman" w:cs="Times New Roman"/>
          <w:sz w:val="24"/>
          <w:szCs w:val="24"/>
          <w:lang w:val="en-MY"/>
        </w:rPr>
        <w:t xml:space="preserve">5% </w:t>
      </w:r>
      <w:r w:rsidRPr="00E93C0F">
        <w:rPr>
          <w:rFonts w:ascii="Times New Roman" w:hAnsi="Times New Roman" w:cs="Times New Roman"/>
          <w:sz w:val="24"/>
          <w:szCs w:val="24"/>
          <w:lang w:val="en-MY"/>
        </w:rPr>
        <w:t xml:space="preserve">damping ratios, EC8 spectra shape parameters, and surface motion characteristics used for structural design inputs. Please refer to </w:t>
      </w:r>
      <w:r w:rsidR="00D56583" w:rsidRPr="00E93C0F">
        <w:rPr>
          <w:rFonts w:ascii="Times New Roman" w:hAnsi="Times New Roman" w:cs="Times New Roman"/>
          <w:b/>
          <w:bCs/>
          <w:sz w:val="24"/>
          <w:szCs w:val="24"/>
          <w:lang w:val="en-MY"/>
        </w:rPr>
        <w:t>Fig</w:t>
      </w:r>
      <w:r w:rsidR="00E93C0F">
        <w:rPr>
          <w:rFonts w:ascii="Times New Roman" w:hAnsi="Times New Roman" w:cs="Times New Roman"/>
          <w:b/>
          <w:bCs/>
          <w:sz w:val="24"/>
          <w:szCs w:val="24"/>
          <w:lang w:val="en-MY"/>
        </w:rPr>
        <w:t>ures 1</w:t>
      </w:r>
      <w:r w:rsidR="00F5531D" w:rsidRPr="00E93C0F">
        <w:rPr>
          <w:rFonts w:ascii="Times New Roman" w:hAnsi="Times New Roman" w:cs="Times New Roman"/>
          <w:b/>
          <w:bCs/>
          <w:sz w:val="24"/>
          <w:szCs w:val="24"/>
          <w:lang w:val="en-MY"/>
        </w:rPr>
        <w:t>9</w:t>
      </w:r>
      <w:r w:rsidR="00D56583" w:rsidRPr="00E93C0F">
        <w:rPr>
          <w:rFonts w:ascii="Times New Roman" w:hAnsi="Times New Roman" w:cs="Times New Roman"/>
          <w:sz w:val="24"/>
          <w:szCs w:val="24"/>
          <w:lang w:val="en-MY"/>
        </w:rPr>
        <w:t xml:space="preserve"> and </w:t>
      </w:r>
      <w:r w:rsidR="00D56583" w:rsidRPr="00E93C0F">
        <w:rPr>
          <w:rFonts w:ascii="Times New Roman" w:hAnsi="Times New Roman" w:cs="Times New Roman"/>
          <w:b/>
          <w:bCs/>
          <w:sz w:val="24"/>
          <w:szCs w:val="24"/>
          <w:lang w:val="en-MY"/>
        </w:rPr>
        <w:t>2</w:t>
      </w:r>
      <w:r w:rsidR="00F5531D" w:rsidRPr="00E93C0F">
        <w:rPr>
          <w:rFonts w:ascii="Times New Roman" w:hAnsi="Times New Roman" w:cs="Times New Roman"/>
          <w:b/>
          <w:bCs/>
          <w:sz w:val="24"/>
          <w:szCs w:val="24"/>
          <w:lang w:val="en-MY"/>
        </w:rPr>
        <w:t>0</w:t>
      </w:r>
      <w:r w:rsidRPr="00E93C0F">
        <w:rPr>
          <w:rFonts w:ascii="Times New Roman" w:hAnsi="Times New Roman" w:cs="Times New Roman"/>
          <w:sz w:val="24"/>
          <w:szCs w:val="24"/>
          <w:lang w:val="en-MY"/>
        </w:rPr>
        <w:t xml:space="preserve"> for further information</w:t>
      </w:r>
      <w:r w:rsidR="00D56583" w:rsidRPr="00E93C0F">
        <w:rPr>
          <w:rFonts w:ascii="Times New Roman" w:hAnsi="Times New Roman" w:cs="Times New Roman"/>
          <w:sz w:val="24"/>
          <w:szCs w:val="24"/>
          <w:lang w:val="en-MY"/>
        </w:rPr>
        <w:t xml:space="preserve"> about the response spectra curves based on various </w:t>
      </w:r>
      <w:r w:rsidR="0034685F" w:rsidRPr="00E93C0F">
        <w:rPr>
          <w:rFonts w:ascii="Times New Roman" w:hAnsi="Times New Roman" w:cs="Times New Roman"/>
          <w:sz w:val="24"/>
          <w:szCs w:val="24"/>
          <w:lang w:val="en-MY"/>
        </w:rPr>
        <w:t xml:space="preserve">input motions, </w:t>
      </w:r>
      <w:r w:rsidR="00D56583" w:rsidRPr="00E93C0F">
        <w:rPr>
          <w:rFonts w:ascii="Times New Roman" w:hAnsi="Times New Roman" w:cs="Times New Roman"/>
          <w:sz w:val="24"/>
          <w:szCs w:val="24"/>
          <w:lang w:val="en-MY"/>
        </w:rPr>
        <w:t>clusters</w:t>
      </w:r>
      <w:r w:rsidR="0034685F" w:rsidRPr="00E93C0F">
        <w:rPr>
          <w:rFonts w:ascii="Times New Roman" w:hAnsi="Times New Roman" w:cs="Times New Roman"/>
          <w:sz w:val="24"/>
          <w:szCs w:val="24"/>
          <w:lang w:val="en-MY"/>
        </w:rPr>
        <w:t>,</w:t>
      </w:r>
      <w:r w:rsidR="00D56583" w:rsidRPr="00E93C0F">
        <w:rPr>
          <w:rFonts w:ascii="Times New Roman" w:hAnsi="Times New Roman" w:cs="Times New Roman"/>
          <w:sz w:val="24"/>
          <w:szCs w:val="24"/>
          <w:lang w:val="en-MY"/>
        </w:rPr>
        <w:t xml:space="preserve"> and PGA values</w:t>
      </w:r>
      <w:r w:rsidRPr="00E93C0F">
        <w:rPr>
          <w:rFonts w:ascii="Times New Roman" w:hAnsi="Times New Roman" w:cs="Times New Roman"/>
          <w:sz w:val="24"/>
          <w:szCs w:val="24"/>
          <w:lang w:val="en-MY"/>
        </w:rPr>
        <w:t xml:space="preserve">. </w:t>
      </w:r>
      <w:r w:rsidR="00D56583" w:rsidRPr="00E93C0F">
        <w:rPr>
          <w:rFonts w:ascii="Times New Roman" w:hAnsi="Times New Roman" w:cs="Times New Roman"/>
          <w:sz w:val="24"/>
          <w:szCs w:val="24"/>
          <w:lang w:val="en-MY"/>
        </w:rPr>
        <w:t xml:space="preserve">Tabulation of </w:t>
      </w:r>
      <w:r w:rsidRPr="00E93C0F">
        <w:rPr>
          <w:rFonts w:ascii="Times New Roman" w:hAnsi="Times New Roman" w:cs="Times New Roman"/>
          <w:sz w:val="24"/>
          <w:szCs w:val="24"/>
          <w:lang w:val="en-MY"/>
        </w:rPr>
        <w:t xml:space="preserve">results and recommendations for clusters </w:t>
      </w:r>
      <w:r w:rsidR="00D56583" w:rsidRPr="00E93C0F">
        <w:rPr>
          <w:rFonts w:ascii="Times New Roman" w:hAnsi="Times New Roman" w:cs="Times New Roman"/>
          <w:sz w:val="24"/>
          <w:szCs w:val="24"/>
          <w:lang w:val="en-MY"/>
        </w:rPr>
        <w:t>is</w:t>
      </w:r>
      <w:r w:rsidRPr="00E93C0F">
        <w:rPr>
          <w:rFonts w:ascii="Times New Roman" w:hAnsi="Times New Roman" w:cs="Times New Roman"/>
          <w:sz w:val="24"/>
          <w:szCs w:val="24"/>
          <w:lang w:val="en-MY"/>
        </w:rPr>
        <w:t xml:space="preserve"> available</w:t>
      </w:r>
      <w:r w:rsidR="00D56583" w:rsidRPr="00E93C0F">
        <w:rPr>
          <w:rFonts w:ascii="Times New Roman" w:hAnsi="Times New Roman" w:cs="Times New Roman"/>
          <w:sz w:val="24"/>
          <w:szCs w:val="24"/>
          <w:lang w:val="en-MY"/>
        </w:rPr>
        <w:t xml:space="preserve"> in </w:t>
      </w:r>
      <w:r w:rsidR="004E418B" w:rsidRPr="00E93C0F">
        <w:rPr>
          <w:rFonts w:ascii="Times New Roman" w:hAnsi="Times New Roman" w:cs="Times New Roman"/>
          <w:b/>
          <w:bCs/>
          <w:sz w:val="24"/>
          <w:szCs w:val="24"/>
          <w:lang w:val="en-MY"/>
        </w:rPr>
        <w:t>Tables</w:t>
      </w:r>
      <w:r w:rsidR="00D56583" w:rsidRPr="00E93C0F">
        <w:rPr>
          <w:rFonts w:ascii="Times New Roman" w:hAnsi="Times New Roman" w:cs="Times New Roman"/>
          <w:sz w:val="24"/>
          <w:szCs w:val="24"/>
          <w:lang w:val="en-MY"/>
        </w:rPr>
        <w:t xml:space="preserve"> </w:t>
      </w:r>
      <w:r w:rsidR="00F5531D" w:rsidRPr="00E93C0F">
        <w:rPr>
          <w:rFonts w:ascii="Times New Roman" w:hAnsi="Times New Roman" w:cs="Times New Roman"/>
          <w:b/>
          <w:bCs/>
          <w:sz w:val="24"/>
          <w:szCs w:val="24"/>
          <w:lang w:val="en-MY"/>
        </w:rPr>
        <w:t>10</w:t>
      </w:r>
      <w:r w:rsidR="00A56E6D" w:rsidRPr="00E93C0F">
        <w:rPr>
          <w:rFonts w:ascii="Times New Roman" w:hAnsi="Times New Roman" w:cs="Times New Roman"/>
          <w:b/>
          <w:bCs/>
          <w:sz w:val="24"/>
          <w:szCs w:val="24"/>
          <w:lang w:val="en-MY"/>
        </w:rPr>
        <w:t xml:space="preserve">, </w:t>
      </w:r>
      <w:r w:rsidR="00F5531D" w:rsidRPr="00E93C0F">
        <w:rPr>
          <w:rFonts w:ascii="Times New Roman" w:hAnsi="Times New Roman" w:cs="Times New Roman"/>
          <w:b/>
          <w:bCs/>
          <w:sz w:val="24"/>
          <w:szCs w:val="24"/>
          <w:lang w:val="en-MY"/>
        </w:rPr>
        <w:t>11</w:t>
      </w:r>
      <w:r w:rsidR="00A56E6D" w:rsidRPr="00E93C0F">
        <w:rPr>
          <w:rFonts w:ascii="Times New Roman" w:hAnsi="Times New Roman" w:cs="Times New Roman"/>
          <w:b/>
          <w:bCs/>
          <w:sz w:val="24"/>
          <w:szCs w:val="24"/>
          <w:lang w:val="en-MY"/>
        </w:rPr>
        <w:t xml:space="preserve">, </w:t>
      </w:r>
      <w:r w:rsidR="00A56E6D" w:rsidRPr="00E93C0F">
        <w:rPr>
          <w:rFonts w:ascii="Times New Roman" w:hAnsi="Times New Roman" w:cs="Times New Roman"/>
          <w:sz w:val="24"/>
          <w:szCs w:val="24"/>
          <w:lang w:val="en-MY"/>
        </w:rPr>
        <w:t xml:space="preserve">and </w:t>
      </w:r>
      <w:r w:rsidR="00F5531D" w:rsidRPr="00E93C0F">
        <w:rPr>
          <w:rFonts w:ascii="Times New Roman" w:hAnsi="Times New Roman" w:cs="Times New Roman"/>
          <w:b/>
          <w:bCs/>
          <w:sz w:val="24"/>
          <w:szCs w:val="24"/>
          <w:lang w:val="en-MY"/>
        </w:rPr>
        <w:t>12</w:t>
      </w:r>
      <w:r w:rsidR="00D56583" w:rsidRPr="00E93C0F">
        <w:rPr>
          <w:rFonts w:ascii="Times New Roman" w:hAnsi="Times New Roman" w:cs="Times New Roman"/>
          <w:b/>
          <w:bCs/>
          <w:sz w:val="24"/>
          <w:szCs w:val="24"/>
          <w:lang w:val="en-MY"/>
        </w:rPr>
        <w:t>.</w:t>
      </w:r>
    </w:p>
    <w:p w14:paraId="43240C65" w14:textId="77777777" w:rsidR="008F0C49" w:rsidRPr="00A36FB0" w:rsidRDefault="008F0C49" w:rsidP="00A36FB0">
      <w:pPr>
        <w:pStyle w:val="Paragraph"/>
        <w:ind w:firstLine="0"/>
        <w:rPr>
          <w:rFonts w:ascii="Times New Roman" w:hAnsi="Times New Roman" w:cs="Times New Roman"/>
          <w:b/>
          <w:bCs/>
          <w:sz w:val="24"/>
          <w:szCs w:val="24"/>
        </w:rPr>
      </w:pPr>
    </w:p>
    <w:p w14:paraId="59305ABF" w14:textId="4FB8A53F" w:rsidR="003E3DDD" w:rsidRPr="00A36FB0" w:rsidRDefault="0066132D" w:rsidP="00A36FB0">
      <w:pPr>
        <w:pStyle w:val="Paragraph"/>
        <w:ind w:firstLine="0"/>
        <w:rPr>
          <w:rFonts w:ascii="Times New Roman" w:hAnsi="Times New Roman" w:cs="Times New Roman"/>
          <w:b/>
          <w:bCs/>
          <w:sz w:val="24"/>
          <w:szCs w:val="24"/>
        </w:rPr>
      </w:pPr>
      <w:r w:rsidRPr="00A36FB0">
        <w:rPr>
          <w:rFonts w:ascii="Times New Roman" w:hAnsi="Times New Roman" w:cs="Times New Roman"/>
          <w:b/>
          <w:bCs/>
          <w:noProof/>
          <w:sz w:val="24"/>
          <w:szCs w:val="24"/>
        </w:rPr>
        <w:lastRenderedPageBreak/>
        <w:drawing>
          <wp:inline distT="0" distB="0" distL="0" distR="0" wp14:anchorId="79A8453D" wp14:editId="652F0A93">
            <wp:extent cx="2831465" cy="4340860"/>
            <wp:effectExtent l="0" t="0" r="6985" b="2540"/>
            <wp:docPr id="1581968106" name="Picture 10" descr="A graph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968106" name="Picture 10" descr="A graph of different types of data&#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31465" cy="4340860"/>
                    </a:xfrm>
                    <a:prstGeom prst="rect">
                      <a:avLst/>
                    </a:prstGeom>
                  </pic:spPr>
                </pic:pic>
              </a:graphicData>
            </a:graphic>
          </wp:inline>
        </w:drawing>
      </w:r>
    </w:p>
    <w:p w14:paraId="5A005F68" w14:textId="77777777" w:rsidR="00A36FB0" w:rsidRDefault="00A36FB0" w:rsidP="00A36FB0">
      <w:pPr>
        <w:pStyle w:val="Paragraph"/>
        <w:ind w:firstLine="0"/>
        <w:rPr>
          <w:rFonts w:ascii="Times New Roman" w:hAnsi="Times New Roman" w:cs="Times New Roman"/>
          <w:b/>
          <w:bCs/>
        </w:rPr>
      </w:pPr>
    </w:p>
    <w:p w14:paraId="0214AFC5" w14:textId="18D6F637" w:rsidR="003E3DDD" w:rsidRPr="00A36FB0" w:rsidRDefault="003E3DDD" w:rsidP="00A36FB0">
      <w:pPr>
        <w:pStyle w:val="Paragraph"/>
        <w:ind w:firstLine="0"/>
        <w:rPr>
          <w:rFonts w:ascii="Times New Roman" w:hAnsi="Times New Roman" w:cs="Times New Roman"/>
        </w:rPr>
      </w:pPr>
      <w:r w:rsidRPr="00A36FB0">
        <w:rPr>
          <w:rFonts w:ascii="Times New Roman" w:hAnsi="Times New Roman" w:cs="Times New Roman"/>
          <w:b/>
          <w:bCs/>
        </w:rPr>
        <w:t>Fig</w:t>
      </w:r>
      <w:r w:rsidR="00E93C0F">
        <w:rPr>
          <w:rFonts w:ascii="Times New Roman" w:hAnsi="Times New Roman" w:cs="Times New Roman"/>
          <w:b/>
          <w:bCs/>
        </w:rPr>
        <w:t>ure</w:t>
      </w:r>
      <w:r w:rsidRPr="00A36FB0">
        <w:rPr>
          <w:rFonts w:ascii="Times New Roman" w:hAnsi="Times New Roman" w:cs="Times New Roman"/>
          <w:b/>
          <w:bCs/>
        </w:rPr>
        <w:t xml:space="preserve"> </w:t>
      </w:r>
      <w:r w:rsidR="00F5531D" w:rsidRPr="00A36FB0">
        <w:rPr>
          <w:rFonts w:ascii="Times New Roman" w:hAnsi="Times New Roman" w:cs="Times New Roman"/>
          <w:b/>
          <w:bCs/>
        </w:rPr>
        <w:t>19</w:t>
      </w:r>
      <w:r w:rsidRPr="00A36FB0">
        <w:rPr>
          <w:rFonts w:ascii="Times New Roman" w:hAnsi="Times New Roman" w:cs="Times New Roman"/>
          <w:b/>
          <w:bCs/>
        </w:rPr>
        <w:t xml:space="preserve">. </w:t>
      </w:r>
      <w:r w:rsidRPr="00A36FB0">
        <w:rPr>
          <w:rFonts w:ascii="Times New Roman" w:hAnsi="Times New Roman" w:cs="Times New Roman"/>
        </w:rPr>
        <w:t xml:space="preserve">EC8 Response Spectra for </w:t>
      </w:r>
      <w:r w:rsidRPr="00A36FB0">
        <w:rPr>
          <w:rFonts w:ascii="Times New Roman" w:hAnsi="Times New Roman" w:cs="Times New Roman"/>
          <w:b/>
          <w:bCs/>
        </w:rPr>
        <w:t>0.02g</w:t>
      </w:r>
      <w:r w:rsidRPr="00A36FB0">
        <w:rPr>
          <w:rFonts w:ascii="Times New Roman" w:hAnsi="Times New Roman" w:cs="Times New Roman"/>
        </w:rPr>
        <w:t xml:space="preserve"> input motions</w:t>
      </w:r>
    </w:p>
    <w:p w14:paraId="071F3494" w14:textId="77777777" w:rsidR="00A8769B" w:rsidRPr="00A36FB0" w:rsidRDefault="00A8769B" w:rsidP="00A36FB0">
      <w:pPr>
        <w:pStyle w:val="Paragraph"/>
        <w:ind w:firstLine="0"/>
        <w:rPr>
          <w:rFonts w:ascii="Times New Roman" w:hAnsi="Times New Roman" w:cs="Times New Roman"/>
          <w:b/>
          <w:bCs/>
        </w:rPr>
      </w:pPr>
    </w:p>
    <w:p w14:paraId="5EC7CD9C" w14:textId="3AA25D4B" w:rsidR="0066132D" w:rsidRPr="00A36FB0" w:rsidRDefault="0066132D" w:rsidP="00A36FB0">
      <w:pPr>
        <w:pStyle w:val="Paragraph"/>
        <w:ind w:firstLine="0"/>
        <w:rPr>
          <w:rFonts w:ascii="Times New Roman" w:hAnsi="Times New Roman" w:cs="Times New Roman"/>
          <w:b/>
          <w:bCs/>
        </w:rPr>
      </w:pPr>
      <w:r w:rsidRPr="00A36FB0">
        <w:rPr>
          <w:rFonts w:ascii="Times New Roman" w:hAnsi="Times New Roman" w:cs="Times New Roman"/>
          <w:b/>
          <w:bCs/>
          <w:noProof/>
        </w:rPr>
        <w:drawing>
          <wp:inline distT="0" distB="0" distL="0" distR="0" wp14:anchorId="01E1DD3E" wp14:editId="69C928CC">
            <wp:extent cx="2831465" cy="4359910"/>
            <wp:effectExtent l="0" t="0" r="6985" b="2540"/>
            <wp:docPr id="1228974702" name="Picture 11" descr="A graph of a graph showing a number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74702" name="Picture 11" descr="A graph of a graph showing a number of different types of data&#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31465" cy="4359910"/>
                    </a:xfrm>
                    <a:prstGeom prst="rect">
                      <a:avLst/>
                    </a:prstGeom>
                  </pic:spPr>
                </pic:pic>
              </a:graphicData>
            </a:graphic>
          </wp:inline>
        </w:drawing>
      </w:r>
    </w:p>
    <w:p w14:paraId="37DFC402" w14:textId="3462B8D7" w:rsidR="003E3DDD" w:rsidRPr="00A36FB0" w:rsidRDefault="003E3DDD" w:rsidP="00A36FB0">
      <w:pPr>
        <w:pStyle w:val="Paragraph"/>
        <w:ind w:firstLine="0"/>
        <w:rPr>
          <w:rFonts w:ascii="Times New Roman" w:hAnsi="Times New Roman" w:cs="Times New Roman"/>
          <w:b/>
          <w:bCs/>
        </w:rPr>
      </w:pPr>
      <w:r w:rsidRPr="00A36FB0">
        <w:rPr>
          <w:rFonts w:ascii="Times New Roman" w:hAnsi="Times New Roman" w:cs="Times New Roman"/>
          <w:b/>
          <w:bCs/>
        </w:rPr>
        <w:t>Fig</w:t>
      </w:r>
      <w:r w:rsidR="00E93C0F">
        <w:rPr>
          <w:rFonts w:ascii="Times New Roman" w:hAnsi="Times New Roman" w:cs="Times New Roman"/>
          <w:b/>
          <w:bCs/>
        </w:rPr>
        <w:t xml:space="preserve">ure </w:t>
      </w:r>
      <w:r w:rsidRPr="00A36FB0">
        <w:rPr>
          <w:rFonts w:ascii="Times New Roman" w:hAnsi="Times New Roman" w:cs="Times New Roman"/>
          <w:b/>
          <w:bCs/>
        </w:rPr>
        <w:t>2</w:t>
      </w:r>
      <w:r w:rsidR="00F5531D" w:rsidRPr="00A36FB0">
        <w:rPr>
          <w:rFonts w:ascii="Times New Roman" w:hAnsi="Times New Roman" w:cs="Times New Roman"/>
          <w:b/>
          <w:bCs/>
        </w:rPr>
        <w:t>0</w:t>
      </w:r>
      <w:r w:rsidRPr="00A36FB0">
        <w:rPr>
          <w:rFonts w:ascii="Times New Roman" w:hAnsi="Times New Roman" w:cs="Times New Roman"/>
          <w:b/>
          <w:bCs/>
        </w:rPr>
        <w:t xml:space="preserve">. </w:t>
      </w:r>
      <w:r w:rsidRPr="00A36FB0">
        <w:rPr>
          <w:rFonts w:ascii="Times New Roman" w:hAnsi="Times New Roman" w:cs="Times New Roman"/>
        </w:rPr>
        <w:t xml:space="preserve">EC8 Response Spectra for </w:t>
      </w:r>
      <w:r w:rsidRPr="00A36FB0">
        <w:rPr>
          <w:rFonts w:ascii="Times New Roman" w:hAnsi="Times New Roman" w:cs="Times New Roman"/>
          <w:b/>
          <w:bCs/>
        </w:rPr>
        <w:t>0.03g</w:t>
      </w:r>
      <w:r w:rsidRPr="00A36FB0">
        <w:rPr>
          <w:rFonts w:ascii="Times New Roman" w:hAnsi="Times New Roman" w:cs="Times New Roman"/>
        </w:rPr>
        <w:t xml:space="preserve"> input motions</w:t>
      </w:r>
    </w:p>
    <w:p w14:paraId="1BDDDF65" w14:textId="244495FC" w:rsidR="00A56E6D" w:rsidRPr="00E93C0F" w:rsidRDefault="00A56E6D" w:rsidP="00A36FB0">
      <w:pPr>
        <w:pStyle w:val="Paragraph"/>
        <w:ind w:firstLine="0"/>
        <w:rPr>
          <w:rFonts w:ascii="Times New Roman" w:hAnsi="Times New Roman" w:cs="Times New Roman"/>
          <w:sz w:val="24"/>
          <w:szCs w:val="24"/>
        </w:rPr>
      </w:pPr>
      <w:r w:rsidRPr="00E93C0F">
        <w:rPr>
          <w:rFonts w:ascii="Times New Roman" w:hAnsi="Times New Roman" w:cs="Times New Roman"/>
          <w:b/>
          <w:bCs/>
          <w:sz w:val="24"/>
          <w:szCs w:val="24"/>
        </w:rPr>
        <w:lastRenderedPageBreak/>
        <w:t xml:space="preserve">Table </w:t>
      </w:r>
      <w:r w:rsidR="00F5531D" w:rsidRPr="00E93C0F">
        <w:rPr>
          <w:rFonts w:ascii="Times New Roman" w:hAnsi="Times New Roman" w:cs="Times New Roman"/>
          <w:b/>
          <w:bCs/>
          <w:sz w:val="24"/>
          <w:szCs w:val="24"/>
        </w:rPr>
        <w:t>10</w:t>
      </w:r>
      <w:r w:rsidRPr="00E93C0F">
        <w:rPr>
          <w:rFonts w:ascii="Times New Roman" w:hAnsi="Times New Roman" w:cs="Times New Roman"/>
          <w:b/>
          <w:bCs/>
          <w:sz w:val="24"/>
          <w:szCs w:val="24"/>
        </w:rPr>
        <w:t xml:space="preserve">. </w:t>
      </w:r>
      <w:r w:rsidRPr="00E93C0F">
        <w:rPr>
          <w:rFonts w:ascii="Times New Roman" w:hAnsi="Times New Roman" w:cs="Times New Roman"/>
          <w:sz w:val="24"/>
          <w:szCs w:val="24"/>
        </w:rPr>
        <w:t>Summary of response spectra shape parameters for Cluster 1</w:t>
      </w:r>
    </w:p>
    <w:tbl>
      <w:tblPr>
        <w:tblStyle w:val="TableGrid"/>
        <w:tblW w:w="0" w:type="auto"/>
        <w:tblLook w:val="04A0" w:firstRow="1" w:lastRow="0" w:firstColumn="1" w:lastColumn="0" w:noHBand="0" w:noVBand="1"/>
      </w:tblPr>
      <w:tblGrid>
        <w:gridCol w:w="1650"/>
        <w:gridCol w:w="1910"/>
        <w:gridCol w:w="3070"/>
        <w:gridCol w:w="636"/>
        <w:gridCol w:w="805"/>
        <w:gridCol w:w="805"/>
      </w:tblGrid>
      <w:tr w:rsidR="003C7355" w:rsidRPr="00E93C0F" w14:paraId="132D31BB" w14:textId="77777777" w:rsidTr="00E93C0F">
        <w:tc>
          <w:tcPr>
            <w:tcW w:w="0" w:type="auto"/>
            <w:vAlign w:val="center"/>
          </w:tcPr>
          <w:p w14:paraId="2E1D6E57" w14:textId="77777777" w:rsidR="00DE35F7" w:rsidRPr="00E93C0F" w:rsidRDefault="00DE35F7"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 xml:space="preserve">Bedrock PGA </w:t>
            </w:r>
          </w:p>
          <w:p w14:paraId="3C82F2E8" w14:textId="3A1EC4D7" w:rsidR="0034685F" w:rsidRPr="00E93C0F" w:rsidRDefault="00DE35F7"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(g)</w:t>
            </w:r>
          </w:p>
        </w:tc>
        <w:tc>
          <w:tcPr>
            <w:tcW w:w="0" w:type="auto"/>
            <w:vAlign w:val="center"/>
          </w:tcPr>
          <w:p w14:paraId="06AD91B7" w14:textId="6AC98B1A" w:rsidR="0034685F" w:rsidRPr="00E93C0F" w:rsidRDefault="00A56E6D"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Input Motions</w:t>
            </w:r>
          </w:p>
        </w:tc>
        <w:tc>
          <w:tcPr>
            <w:tcW w:w="0" w:type="auto"/>
            <w:vAlign w:val="center"/>
          </w:tcPr>
          <w:p w14:paraId="4BBBCE61" w14:textId="7579584B" w:rsidR="0034685F" w:rsidRPr="00E93C0F" w:rsidRDefault="00DE35F7"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Soil Amplification Factor, S</w:t>
            </w:r>
          </w:p>
        </w:tc>
        <w:tc>
          <w:tcPr>
            <w:tcW w:w="0" w:type="auto"/>
            <w:vAlign w:val="center"/>
          </w:tcPr>
          <w:p w14:paraId="027279FB" w14:textId="77777777" w:rsidR="00DE35F7" w:rsidRPr="00E93C0F" w:rsidRDefault="0034685F"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T</w:t>
            </w:r>
            <w:r w:rsidRPr="00E93C0F">
              <w:rPr>
                <w:rFonts w:ascii="Times New Roman" w:hAnsi="Times New Roman" w:cs="Times New Roman"/>
                <w:b/>
                <w:bCs/>
                <w:sz w:val="24"/>
                <w:szCs w:val="24"/>
                <w:vertAlign w:val="subscript"/>
              </w:rPr>
              <w:t>B</w:t>
            </w:r>
            <w:r w:rsidRPr="00E93C0F">
              <w:rPr>
                <w:rFonts w:ascii="Times New Roman" w:hAnsi="Times New Roman" w:cs="Times New Roman"/>
                <w:b/>
                <w:bCs/>
                <w:sz w:val="24"/>
                <w:szCs w:val="24"/>
              </w:rPr>
              <w:t xml:space="preserve"> </w:t>
            </w:r>
          </w:p>
          <w:p w14:paraId="7EE94237" w14:textId="4B3D1C46" w:rsidR="0034685F" w:rsidRPr="00E93C0F" w:rsidRDefault="0034685F"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(s)</w:t>
            </w:r>
          </w:p>
        </w:tc>
        <w:tc>
          <w:tcPr>
            <w:tcW w:w="0" w:type="auto"/>
            <w:vAlign w:val="center"/>
          </w:tcPr>
          <w:p w14:paraId="559E3629" w14:textId="71A908D1" w:rsidR="0034685F" w:rsidRPr="00E93C0F" w:rsidRDefault="0034685F"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T</w:t>
            </w:r>
            <w:r w:rsidRPr="00E93C0F">
              <w:rPr>
                <w:rFonts w:ascii="Times New Roman" w:hAnsi="Times New Roman" w:cs="Times New Roman"/>
                <w:b/>
                <w:bCs/>
                <w:sz w:val="24"/>
                <w:szCs w:val="24"/>
                <w:vertAlign w:val="subscript"/>
              </w:rPr>
              <w:t>C</w:t>
            </w:r>
            <w:r w:rsidRPr="00E93C0F">
              <w:rPr>
                <w:rFonts w:ascii="Times New Roman" w:hAnsi="Times New Roman" w:cs="Times New Roman"/>
                <w:b/>
                <w:bCs/>
                <w:sz w:val="24"/>
                <w:szCs w:val="24"/>
              </w:rPr>
              <w:t xml:space="preserve"> (s)</w:t>
            </w:r>
          </w:p>
        </w:tc>
        <w:tc>
          <w:tcPr>
            <w:tcW w:w="0" w:type="auto"/>
            <w:vAlign w:val="center"/>
          </w:tcPr>
          <w:p w14:paraId="3190983D" w14:textId="1F276FC5" w:rsidR="0034685F" w:rsidRPr="00E93C0F" w:rsidRDefault="0034685F"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T</w:t>
            </w:r>
            <w:r w:rsidRPr="00E93C0F">
              <w:rPr>
                <w:rFonts w:ascii="Times New Roman" w:hAnsi="Times New Roman" w:cs="Times New Roman"/>
                <w:b/>
                <w:bCs/>
                <w:sz w:val="24"/>
                <w:szCs w:val="24"/>
                <w:vertAlign w:val="subscript"/>
              </w:rPr>
              <w:t>D</w:t>
            </w:r>
            <w:r w:rsidRPr="00E93C0F">
              <w:rPr>
                <w:rFonts w:ascii="Times New Roman" w:hAnsi="Times New Roman" w:cs="Times New Roman"/>
                <w:b/>
                <w:bCs/>
                <w:sz w:val="24"/>
                <w:szCs w:val="24"/>
              </w:rPr>
              <w:t xml:space="preserve"> (s)</w:t>
            </w:r>
          </w:p>
        </w:tc>
      </w:tr>
      <w:tr w:rsidR="003C7355" w:rsidRPr="00E93C0F" w14:paraId="11E76410" w14:textId="77777777" w:rsidTr="00E93C0F">
        <w:tc>
          <w:tcPr>
            <w:tcW w:w="0" w:type="auto"/>
            <w:vMerge w:val="restart"/>
            <w:vAlign w:val="center"/>
          </w:tcPr>
          <w:p w14:paraId="47D9970B" w14:textId="030707FC" w:rsidR="0034685F" w:rsidRPr="00E93C0F" w:rsidRDefault="0034685F"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0.02g</w:t>
            </w:r>
          </w:p>
        </w:tc>
        <w:tc>
          <w:tcPr>
            <w:tcW w:w="0" w:type="auto"/>
          </w:tcPr>
          <w:p w14:paraId="01845F1C" w14:textId="396DCB42" w:rsidR="0034685F" w:rsidRPr="00E93C0F" w:rsidRDefault="00A56E6D"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Kobe</w:t>
            </w:r>
            <w:r w:rsidR="00D17492" w:rsidRPr="00E93C0F">
              <w:rPr>
                <w:rFonts w:ascii="Times New Roman" w:hAnsi="Times New Roman" w:cs="Times New Roman"/>
                <w:sz w:val="24"/>
                <w:szCs w:val="24"/>
              </w:rPr>
              <w:t xml:space="preserve"> EQ 1995</w:t>
            </w:r>
          </w:p>
        </w:tc>
        <w:tc>
          <w:tcPr>
            <w:tcW w:w="0" w:type="auto"/>
          </w:tcPr>
          <w:p w14:paraId="4E416E0B" w14:textId="626EA37E" w:rsidR="0034685F" w:rsidRPr="00E93C0F" w:rsidRDefault="003C7355" w:rsidP="00F05620">
            <w:pPr>
              <w:pStyle w:val="Paragraph"/>
              <w:ind w:firstLine="0"/>
              <w:jc w:val="center"/>
              <w:rPr>
                <w:rFonts w:ascii="Times New Roman" w:hAnsi="Times New Roman" w:cs="Times New Roman"/>
                <w:sz w:val="24"/>
                <w:szCs w:val="24"/>
              </w:rPr>
            </w:pPr>
            <w:r w:rsidRPr="00E93C0F">
              <w:rPr>
                <w:rFonts w:ascii="Times New Roman" w:hAnsi="Times New Roman" w:cs="Times New Roman"/>
                <w:sz w:val="24"/>
                <w:szCs w:val="24"/>
              </w:rPr>
              <w:t>1.9110</w:t>
            </w:r>
          </w:p>
        </w:tc>
        <w:tc>
          <w:tcPr>
            <w:tcW w:w="0" w:type="auto"/>
          </w:tcPr>
          <w:p w14:paraId="3F2770AB" w14:textId="75401D91" w:rsidR="0034685F" w:rsidRPr="00E93C0F" w:rsidRDefault="00D36DF5"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0.25</w:t>
            </w:r>
          </w:p>
        </w:tc>
        <w:tc>
          <w:tcPr>
            <w:tcW w:w="0" w:type="auto"/>
          </w:tcPr>
          <w:p w14:paraId="671A18CD" w14:textId="3E1A7754" w:rsidR="0034685F" w:rsidRPr="00E93C0F" w:rsidRDefault="00D36DF5"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0.8</w:t>
            </w:r>
            <w:r w:rsidR="00492CBA" w:rsidRPr="00E93C0F">
              <w:rPr>
                <w:rFonts w:ascii="Times New Roman" w:hAnsi="Times New Roman" w:cs="Times New Roman"/>
                <w:sz w:val="24"/>
                <w:szCs w:val="24"/>
              </w:rPr>
              <w:t>0</w:t>
            </w:r>
          </w:p>
        </w:tc>
        <w:tc>
          <w:tcPr>
            <w:tcW w:w="0" w:type="auto"/>
          </w:tcPr>
          <w:p w14:paraId="6F3651A7" w14:textId="2D78B49F" w:rsidR="0034685F" w:rsidRPr="00E93C0F" w:rsidRDefault="00D36DF5"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1.5</w:t>
            </w:r>
            <w:r w:rsidR="00492CBA" w:rsidRPr="00E93C0F">
              <w:rPr>
                <w:rFonts w:ascii="Times New Roman" w:hAnsi="Times New Roman" w:cs="Times New Roman"/>
                <w:sz w:val="24"/>
                <w:szCs w:val="24"/>
              </w:rPr>
              <w:t>0</w:t>
            </w:r>
          </w:p>
        </w:tc>
      </w:tr>
      <w:tr w:rsidR="003C7355" w:rsidRPr="00E93C0F" w14:paraId="1484A7AA" w14:textId="77777777" w:rsidTr="00E93C0F">
        <w:tc>
          <w:tcPr>
            <w:tcW w:w="0" w:type="auto"/>
            <w:vMerge/>
            <w:vAlign w:val="center"/>
          </w:tcPr>
          <w:p w14:paraId="74F67EF8" w14:textId="77777777" w:rsidR="0034685F" w:rsidRPr="00E93C0F" w:rsidRDefault="0034685F" w:rsidP="00A36FB0">
            <w:pPr>
              <w:pStyle w:val="Paragraph"/>
              <w:ind w:firstLine="0"/>
              <w:rPr>
                <w:rFonts w:ascii="Times New Roman" w:hAnsi="Times New Roman" w:cs="Times New Roman"/>
                <w:b/>
                <w:bCs/>
                <w:sz w:val="24"/>
                <w:szCs w:val="24"/>
              </w:rPr>
            </w:pPr>
          </w:p>
        </w:tc>
        <w:tc>
          <w:tcPr>
            <w:tcW w:w="0" w:type="auto"/>
          </w:tcPr>
          <w:p w14:paraId="2F71E309" w14:textId="4FF8D249" w:rsidR="0034685F" w:rsidRPr="00E93C0F" w:rsidRDefault="00A56E6D"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Chi-Chi</w:t>
            </w:r>
            <w:r w:rsidR="00D17492" w:rsidRPr="00E93C0F">
              <w:rPr>
                <w:rFonts w:ascii="Times New Roman" w:hAnsi="Times New Roman" w:cs="Times New Roman"/>
                <w:sz w:val="24"/>
                <w:szCs w:val="24"/>
              </w:rPr>
              <w:t xml:space="preserve"> EQ 1999</w:t>
            </w:r>
          </w:p>
        </w:tc>
        <w:tc>
          <w:tcPr>
            <w:tcW w:w="0" w:type="auto"/>
          </w:tcPr>
          <w:p w14:paraId="3F1F9C52" w14:textId="77BA75EC" w:rsidR="0034685F" w:rsidRPr="00E93C0F" w:rsidRDefault="003C7355" w:rsidP="00F05620">
            <w:pPr>
              <w:pStyle w:val="Paragraph"/>
              <w:ind w:firstLine="0"/>
              <w:jc w:val="center"/>
              <w:rPr>
                <w:rFonts w:ascii="Times New Roman" w:hAnsi="Times New Roman" w:cs="Times New Roman"/>
                <w:sz w:val="24"/>
                <w:szCs w:val="24"/>
              </w:rPr>
            </w:pPr>
            <w:r w:rsidRPr="00E93C0F">
              <w:rPr>
                <w:rFonts w:ascii="Times New Roman" w:hAnsi="Times New Roman" w:cs="Times New Roman"/>
                <w:sz w:val="24"/>
                <w:szCs w:val="24"/>
              </w:rPr>
              <w:t>1.8614</w:t>
            </w:r>
          </w:p>
        </w:tc>
        <w:tc>
          <w:tcPr>
            <w:tcW w:w="0" w:type="auto"/>
          </w:tcPr>
          <w:p w14:paraId="3ABCDDA4" w14:textId="097FDDC0" w:rsidR="0034685F" w:rsidRPr="00E93C0F" w:rsidRDefault="003C7355"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0.25</w:t>
            </w:r>
          </w:p>
        </w:tc>
        <w:tc>
          <w:tcPr>
            <w:tcW w:w="0" w:type="auto"/>
          </w:tcPr>
          <w:p w14:paraId="7A8FACF9" w14:textId="1860B579" w:rsidR="0034685F" w:rsidRPr="00E93C0F" w:rsidRDefault="003C7355"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0.9</w:t>
            </w:r>
            <w:r w:rsidR="00492CBA" w:rsidRPr="00E93C0F">
              <w:rPr>
                <w:rFonts w:ascii="Times New Roman" w:hAnsi="Times New Roman" w:cs="Times New Roman"/>
                <w:sz w:val="24"/>
                <w:szCs w:val="24"/>
              </w:rPr>
              <w:t>0</w:t>
            </w:r>
          </w:p>
        </w:tc>
        <w:tc>
          <w:tcPr>
            <w:tcW w:w="0" w:type="auto"/>
          </w:tcPr>
          <w:p w14:paraId="74EBC8D6" w14:textId="0AB608FD" w:rsidR="0034685F" w:rsidRPr="00E93C0F" w:rsidRDefault="003C7355"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1.5</w:t>
            </w:r>
            <w:r w:rsidR="00492CBA" w:rsidRPr="00E93C0F">
              <w:rPr>
                <w:rFonts w:ascii="Times New Roman" w:hAnsi="Times New Roman" w:cs="Times New Roman"/>
                <w:sz w:val="24"/>
                <w:szCs w:val="24"/>
              </w:rPr>
              <w:t>0</w:t>
            </w:r>
          </w:p>
        </w:tc>
      </w:tr>
      <w:tr w:rsidR="003C7355" w:rsidRPr="00E93C0F" w14:paraId="29590B2D" w14:textId="77777777" w:rsidTr="00E93C0F">
        <w:tc>
          <w:tcPr>
            <w:tcW w:w="0" w:type="auto"/>
            <w:vMerge/>
            <w:vAlign w:val="center"/>
          </w:tcPr>
          <w:p w14:paraId="4020EA37" w14:textId="77777777" w:rsidR="0034685F" w:rsidRPr="00E93C0F" w:rsidRDefault="0034685F" w:rsidP="00A36FB0">
            <w:pPr>
              <w:pStyle w:val="Paragraph"/>
              <w:ind w:firstLine="0"/>
              <w:rPr>
                <w:rFonts w:ascii="Times New Roman" w:hAnsi="Times New Roman" w:cs="Times New Roman"/>
                <w:b/>
                <w:bCs/>
                <w:sz w:val="24"/>
                <w:szCs w:val="24"/>
              </w:rPr>
            </w:pPr>
          </w:p>
        </w:tc>
        <w:tc>
          <w:tcPr>
            <w:tcW w:w="0" w:type="auto"/>
          </w:tcPr>
          <w:p w14:paraId="49C6286E" w14:textId="7265EA5A" w:rsidR="0034685F" w:rsidRPr="00E93C0F" w:rsidRDefault="00A56E6D"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Kocaeli</w:t>
            </w:r>
            <w:r w:rsidR="00D17492" w:rsidRPr="00E93C0F">
              <w:rPr>
                <w:rFonts w:ascii="Times New Roman" w:hAnsi="Times New Roman" w:cs="Times New Roman"/>
                <w:sz w:val="24"/>
                <w:szCs w:val="24"/>
              </w:rPr>
              <w:t xml:space="preserve"> EQ 1999</w:t>
            </w:r>
          </w:p>
        </w:tc>
        <w:tc>
          <w:tcPr>
            <w:tcW w:w="0" w:type="auto"/>
          </w:tcPr>
          <w:p w14:paraId="5209E5BE" w14:textId="1A20106B" w:rsidR="0034685F" w:rsidRPr="00E93C0F" w:rsidRDefault="003C7355" w:rsidP="00F05620">
            <w:pPr>
              <w:pStyle w:val="Paragraph"/>
              <w:ind w:firstLine="0"/>
              <w:jc w:val="center"/>
              <w:rPr>
                <w:rFonts w:ascii="Times New Roman" w:hAnsi="Times New Roman" w:cs="Times New Roman"/>
                <w:sz w:val="24"/>
                <w:szCs w:val="24"/>
              </w:rPr>
            </w:pPr>
            <w:r w:rsidRPr="00E93C0F">
              <w:rPr>
                <w:rFonts w:ascii="Times New Roman" w:hAnsi="Times New Roman" w:cs="Times New Roman"/>
                <w:sz w:val="24"/>
                <w:szCs w:val="24"/>
              </w:rPr>
              <w:t>1.8631</w:t>
            </w:r>
          </w:p>
        </w:tc>
        <w:tc>
          <w:tcPr>
            <w:tcW w:w="0" w:type="auto"/>
          </w:tcPr>
          <w:p w14:paraId="60BF856F" w14:textId="273E140D" w:rsidR="0034685F" w:rsidRPr="00E93C0F" w:rsidRDefault="003C7355"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0.1</w:t>
            </w:r>
            <w:r w:rsidR="00492CBA" w:rsidRPr="00E93C0F">
              <w:rPr>
                <w:rFonts w:ascii="Times New Roman" w:hAnsi="Times New Roman" w:cs="Times New Roman"/>
                <w:sz w:val="24"/>
                <w:szCs w:val="24"/>
              </w:rPr>
              <w:t>0</w:t>
            </w:r>
          </w:p>
        </w:tc>
        <w:tc>
          <w:tcPr>
            <w:tcW w:w="0" w:type="auto"/>
          </w:tcPr>
          <w:p w14:paraId="2E6EE43E" w14:textId="511EA245" w:rsidR="0034685F" w:rsidRPr="00E93C0F" w:rsidRDefault="003C7355"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0.4</w:t>
            </w:r>
            <w:r w:rsidR="00492CBA" w:rsidRPr="00E93C0F">
              <w:rPr>
                <w:rFonts w:ascii="Times New Roman" w:hAnsi="Times New Roman" w:cs="Times New Roman"/>
                <w:sz w:val="24"/>
                <w:szCs w:val="24"/>
              </w:rPr>
              <w:t>0</w:t>
            </w:r>
          </w:p>
        </w:tc>
        <w:tc>
          <w:tcPr>
            <w:tcW w:w="0" w:type="auto"/>
          </w:tcPr>
          <w:p w14:paraId="6F36EE18" w14:textId="0483817E" w:rsidR="0034685F" w:rsidRPr="00E93C0F" w:rsidRDefault="003C7355"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1.0</w:t>
            </w:r>
            <w:r w:rsidR="00492CBA" w:rsidRPr="00E93C0F">
              <w:rPr>
                <w:rFonts w:ascii="Times New Roman" w:hAnsi="Times New Roman" w:cs="Times New Roman"/>
                <w:sz w:val="24"/>
                <w:szCs w:val="24"/>
              </w:rPr>
              <w:t>0</w:t>
            </w:r>
          </w:p>
        </w:tc>
      </w:tr>
      <w:tr w:rsidR="003C7355" w:rsidRPr="00E93C0F" w14:paraId="4DDE34C4" w14:textId="77777777" w:rsidTr="00E93C0F">
        <w:tc>
          <w:tcPr>
            <w:tcW w:w="0" w:type="auto"/>
            <w:vMerge w:val="restart"/>
            <w:vAlign w:val="center"/>
          </w:tcPr>
          <w:p w14:paraId="580E8BF2" w14:textId="21F80683" w:rsidR="00A56E6D" w:rsidRPr="00E93C0F" w:rsidRDefault="00A56E6D"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0.03g</w:t>
            </w:r>
          </w:p>
        </w:tc>
        <w:tc>
          <w:tcPr>
            <w:tcW w:w="0" w:type="auto"/>
          </w:tcPr>
          <w:p w14:paraId="411BB182" w14:textId="23796BA2" w:rsidR="00A56E6D" w:rsidRPr="00E93C0F" w:rsidRDefault="00A56E6D"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Kobe</w:t>
            </w:r>
            <w:r w:rsidR="00D17492" w:rsidRPr="00E93C0F">
              <w:rPr>
                <w:rFonts w:ascii="Times New Roman" w:hAnsi="Times New Roman" w:cs="Times New Roman"/>
                <w:sz w:val="24"/>
                <w:szCs w:val="24"/>
              </w:rPr>
              <w:t xml:space="preserve"> EQ 1995</w:t>
            </w:r>
          </w:p>
        </w:tc>
        <w:tc>
          <w:tcPr>
            <w:tcW w:w="0" w:type="auto"/>
          </w:tcPr>
          <w:p w14:paraId="5E75A5F6" w14:textId="2E33BA3D" w:rsidR="00A56E6D" w:rsidRPr="00E93C0F" w:rsidRDefault="00D36DF5" w:rsidP="00F05620">
            <w:pPr>
              <w:pStyle w:val="Paragraph"/>
              <w:ind w:firstLine="0"/>
              <w:jc w:val="center"/>
              <w:rPr>
                <w:rFonts w:ascii="Times New Roman" w:hAnsi="Times New Roman" w:cs="Times New Roman"/>
                <w:sz w:val="24"/>
                <w:szCs w:val="24"/>
              </w:rPr>
            </w:pPr>
            <w:r w:rsidRPr="00E93C0F">
              <w:rPr>
                <w:rFonts w:ascii="Times New Roman" w:hAnsi="Times New Roman" w:cs="Times New Roman"/>
                <w:sz w:val="24"/>
                <w:szCs w:val="24"/>
              </w:rPr>
              <w:t>1.7</w:t>
            </w:r>
            <w:r w:rsidR="00492CBA" w:rsidRPr="00E93C0F">
              <w:rPr>
                <w:rFonts w:ascii="Times New Roman" w:hAnsi="Times New Roman" w:cs="Times New Roman"/>
                <w:sz w:val="24"/>
                <w:szCs w:val="24"/>
              </w:rPr>
              <w:t>551</w:t>
            </w:r>
          </w:p>
        </w:tc>
        <w:tc>
          <w:tcPr>
            <w:tcW w:w="0" w:type="auto"/>
          </w:tcPr>
          <w:p w14:paraId="626CB11F" w14:textId="3EAD72D4" w:rsidR="00A56E6D" w:rsidRPr="00E93C0F" w:rsidRDefault="00D36DF5"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0.25</w:t>
            </w:r>
          </w:p>
        </w:tc>
        <w:tc>
          <w:tcPr>
            <w:tcW w:w="0" w:type="auto"/>
          </w:tcPr>
          <w:p w14:paraId="7ED3DB88" w14:textId="1F441D91" w:rsidR="00A56E6D" w:rsidRPr="00E93C0F" w:rsidRDefault="00D36DF5"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0.7</w:t>
            </w:r>
            <w:r w:rsidR="00492CBA" w:rsidRPr="00E93C0F">
              <w:rPr>
                <w:rFonts w:ascii="Times New Roman" w:hAnsi="Times New Roman" w:cs="Times New Roman"/>
                <w:sz w:val="24"/>
                <w:szCs w:val="24"/>
              </w:rPr>
              <w:t>0</w:t>
            </w:r>
          </w:p>
        </w:tc>
        <w:tc>
          <w:tcPr>
            <w:tcW w:w="0" w:type="auto"/>
          </w:tcPr>
          <w:p w14:paraId="2099F87A" w14:textId="440B7F5D" w:rsidR="00A56E6D" w:rsidRPr="00E93C0F" w:rsidRDefault="00D36DF5"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1.5</w:t>
            </w:r>
            <w:r w:rsidR="00492CBA" w:rsidRPr="00E93C0F">
              <w:rPr>
                <w:rFonts w:ascii="Times New Roman" w:hAnsi="Times New Roman" w:cs="Times New Roman"/>
                <w:sz w:val="24"/>
                <w:szCs w:val="24"/>
              </w:rPr>
              <w:t>0</w:t>
            </w:r>
          </w:p>
        </w:tc>
      </w:tr>
      <w:tr w:rsidR="003C7355" w:rsidRPr="00E93C0F" w14:paraId="5A3AB70C" w14:textId="77777777" w:rsidTr="00E93C0F">
        <w:tc>
          <w:tcPr>
            <w:tcW w:w="0" w:type="auto"/>
            <w:vMerge/>
          </w:tcPr>
          <w:p w14:paraId="609B11E0" w14:textId="77777777" w:rsidR="00A56E6D" w:rsidRPr="00E93C0F" w:rsidRDefault="00A56E6D" w:rsidP="00A36FB0">
            <w:pPr>
              <w:pStyle w:val="Paragraph"/>
              <w:ind w:firstLine="0"/>
              <w:rPr>
                <w:rFonts w:ascii="Times New Roman" w:hAnsi="Times New Roman" w:cs="Times New Roman"/>
                <w:b/>
                <w:bCs/>
                <w:sz w:val="24"/>
                <w:szCs w:val="24"/>
              </w:rPr>
            </w:pPr>
          </w:p>
        </w:tc>
        <w:tc>
          <w:tcPr>
            <w:tcW w:w="0" w:type="auto"/>
          </w:tcPr>
          <w:p w14:paraId="3809B3F0" w14:textId="505E3BFD" w:rsidR="00A56E6D" w:rsidRPr="00E93C0F" w:rsidRDefault="00A56E6D"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Chi-Chi</w:t>
            </w:r>
            <w:r w:rsidR="00D17492" w:rsidRPr="00E93C0F">
              <w:rPr>
                <w:rFonts w:ascii="Times New Roman" w:hAnsi="Times New Roman" w:cs="Times New Roman"/>
                <w:sz w:val="24"/>
                <w:szCs w:val="24"/>
              </w:rPr>
              <w:t xml:space="preserve"> EQ 1999</w:t>
            </w:r>
          </w:p>
        </w:tc>
        <w:tc>
          <w:tcPr>
            <w:tcW w:w="0" w:type="auto"/>
          </w:tcPr>
          <w:p w14:paraId="6748D7CD" w14:textId="7E550753" w:rsidR="00A56E6D" w:rsidRPr="00E93C0F" w:rsidRDefault="00D36DF5" w:rsidP="00F05620">
            <w:pPr>
              <w:pStyle w:val="Paragraph"/>
              <w:ind w:firstLine="0"/>
              <w:jc w:val="center"/>
              <w:rPr>
                <w:rFonts w:ascii="Times New Roman" w:hAnsi="Times New Roman" w:cs="Times New Roman"/>
                <w:sz w:val="24"/>
                <w:szCs w:val="24"/>
              </w:rPr>
            </w:pPr>
            <w:r w:rsidRPr="00E93C0F">
              <w:rPr>
                <w:rFonts w:ascii="Times New Roman" w:hAnsi="Times New Roman" w:cs="Times New Roman"/>
                <w:sz w:val="24"/>
                <w:szCs w:val="24"/>
              </w:rPr>
              <w:t>1.</w:t>
            </w:r>
            <w:r w:rsidR="00492CBA" w:rsidRPr="00E93C0F">
              <w:rPr>
                <w:rFonts w:ascii="Times New Roman" w:hAnsi="Times New Roman" w:cs="Times New Roman"/>
                <w:sz w:val="24"/>
                <w:szCs w:val="24"/>
              </w:rPr>
              <w:t>8041</w:t>
            </w:r>
          </w:p>
        </w:tc>
        <w:tc>
          <w:tcPr>
            <w:tcW w:w="0" w:type="auto"/>
          </w:tcPr>
          <w:p w14:paraId="708BB69A" w14:textId="09E5CD57" w:rsidR="00A56E6D" w:rsidRPr="00E93C0F" w:rsidRDefault="00D36DF5"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0.25</w:t>
            </w:r>
          </w:p>
        </w:tc>
        <w:tc>
          <w:tcPr>
            <w:tcW w:w="0" w:type="auto"/>
          </w:tcPr>
          <w:p w14:paraId="3AE917B3" w14:textId="132EF7C1" w:rsidR="00A56E6D" w:rsidRPr="00E93C0F" w:rsidRDefault="00D36DF5"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0.9</w:t>
            </w:r>
            <w:r w:rsidR="00492CBA" w:rsidRPr="00E93C0F">
              <w:rPr>
                <w:rFonts w:ascii="Times New Roman" w:hAnsi="Times New Roman" w:cs="Times New Roman"/>
                <w:sz w:val="24"/>
                <w:szCs w:val="24"/>
              </w:rPr>
              <w:t>0</w:t>
            </w:r>
          </w:p>
        </w:tc>
        <w:tc>
          <w:tcPr>
            <w:tcW w:w="0" w:type="auto"/>
          </w:tcPr>
          <w:p w14:paraId="1B3EFB48" w14:textId="0821DC4B" w:rsidR="00A56E6D" w:rsidRPr="00E93C0F" w:rsidRDefault="00D36DF5"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1.5</w:t>
            </w:r>
            <w:r w:rsidR="00492CBA" w:rsidRPr="00E93C0F">
              <w:rPr>
                <w:rFonts w:ascii="Times New Roman" w:hAnsi="Times New Roman" w:cs="Times New Roman"/>
                <w:sz w:val="24"/>
                <w:szCs w:val="24"/>
              </w:rPr>
              <w:t>0</w:t>
            </w:r>
          </w:p>
        </w:tc>
      </w:tr>
      <w:tr w:rsidR="003C7355" w:rsidRPr="00E93C0F" w14:paraId="2BEDD2B0" w14:textId="77777777" w:rsidTr="00E93C0F">
        <w:tc>
          <w:tcPr>
            <w:tcW w:w="0" w:type="auto"/>
            <w:vMerge/>
          </w:tcPr>
          <w:p w14:paraId="4412C42A" w14:textId="77777777" w:rsidR="00A56E6D" w:rsidRPr="00E93C0F" w:rsidRDefault="00A56E6D" w:rsidP="00A36FB0">
            <w:pPr>
              <w:pStyle w:val="Paragraph"/>
              <w:ind w:firstLine="0"/>
              <w:rPr>
                <w:rFonts w:ascii="Times New Roman" w:hAnsi="Times New Roman" w:cs="Times New Roman"/>
                <w:b/>
                <w:bCs/>
                <w:sz w:val="24"/>
                <w:szCs w:val="24"/>
              </w:rPr>
            </w:pPr>
          </w:p>
        </w:tc>
        <w:tc>
          <w:tcPr>
            <w:tcW w:w="0" w:type="auto"/>
          </w:tcPr>
          <w:p w14:paraId="1EFC6324" w14:textId="588D0690" w:rsidR="00A56E6D" w:rsidRPr="00E93C0F" w:rsidRDefault="00A56E6D"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Kocaeli</w:t>
            </w:r>
            <w:r w:rsidR="00D17492" w:rsidRPr="00E93C0F">
              <w:rPr>
                <w:rFonts w:ascii="Times New Roman" w:hAnsi="Times New Roman" w:cs="Times New Roman"/>
                <w:sz w:val="24"/>
                <w:szCs w:val="24"/>
              </w:rPr>
              <w:t xml:space="preserve"> EQ 1999</w:t>
            </w:r>
          </w:p>
        </w:tc>
        <w:tc>
          <w:tcPr>
            <w:tcW w:w="0" w:type="auto"/>
          </w:tcPr>
          <w:p w14:paraId="5374146C" w14:textId="6AE8582A" w:rsidR="00A56E6D" w:rsidRPr="00E93C0F" w:rsidRDefault="00492CBA" w:rsidP="00F05620">
            <w:pPr>
              <w:pStyle w:val="Paragraph"/>
              <w:ind w:firstLine="0"/>
              <w:jc w:val="center"/>
              <w:rPr>
                <w:rFonts w:ascii="Times New Roman" w:hAnsi="Times New Roman" w:cs="Times New Roman"/>
                <w:sz w:val="24"/>
                <w:szCs w:val="24"/>
              </w:rPr>
            </w:pPr>
            <w:r w:rsidRPr="00E93C0F">
              <w:rPr>
                <w:rFonts w:ascii="Times New Roman" w:hAnsi="Times New Roman" w:cs="Times New Roman"/>
                <w:sz w:val="24"/>
                <w:szCs w:val="24"/>
              </w:rPr>
              <w:t>1.7722</w:t>
            </w:r>
          </w:p>
        </w:tc>
        <w:tc>
          <w:tcPr>
            <w:tcW w:w="0" w:type="auto"/>
          </w:tcPr>
          <w:p w14:paraId="274063DA" w14:textId="7BF4E24F" w:rsidR="00A56E6D" w:rsidRPr="00E93C0F" w:rsidRDefault="00492CBA"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0.15</w:t>
            </w:r>
          </w:p>
        </w:tc>
        <w:tc>
          <w:tcPr>
            <w:tcW w:w="0" w:type="auto"/>
          </w:tcPr>
          <w:p w14:paraId="6C437C42" w14:textId="0BE363CF" w:rsidR="00A56E6D" w:rsidRPr="00E93C0F" w:rsidRDefault="00492CBA"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0.50</w:t>
            </w:r>
          </w:p>
        </w:tc>
        <w:tc>
          <w:tcPr>
            <w:tcW w:w="0" w:type="auto"/>
          </w:tcPr>
          <w:p w14:paraId="7402D68D" w14:textId="160CE3FE" w:rsidR="00A56E6D" w:rsidRPr="00E93C0F" w:rsidRDefault="00492CBA"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1.50</w:t>
            </w:r>
          </w:p>
        </w:tc>
      </w:tr>
    </w:tbl>
    <w:p w14:paraId="01998B09" w14:textId="77777777" w:rsidR="0034685F" w:rsidRPr="00E93C0F" w:rsidRDefault="0034685F" w:rsidP="00A36FB0">
      <w:pPr>
        <w:pStyle w:val="Paragraph"/>
        <w:ind w:firstLine="0"/>
        <w:rPr>
          <w:rFonts w:ascii="Times New Roman" w:hAnsi="Times New Roman" w:cs="Times New Roman"/>
          <w:b/>
          <w:bCs/>
          <w:sz w:val="24"/>
          <w:szCs w:val="24"/>
        </w:rPr>
      </w:pPr>
    </w:p>
    <w:p w14:paraId="4DAD527F" w14:textId="6A2A167E" w:rsidR="00492CBA" w:rsidRPr="00E93C0F" w:rsidRDefault="00492CBA" w:rsidP="00A36FB0">
      <w:pPr>
        <w:pStyle w:val="Paragraph"/>
        <w:ind w:firstLine="0"/>
        <w:rPr>
          <w:rFonts w:ascii="Times New Roman" w:hAnsi="Times New Roman" w:cs="Times New Roman"/>
          <w:sz w:val="24"/>
          <w:szCs w:val="24"/>
        </w:rPr>
      </w:pPr>
      <w:r w:rsidRPr="00E93C0F">
        <w:rPr>
          <w:rFonts w:ascii="Times New Roman" w:hAnsi="Times New Roman" w:cs="Times New Roman"/>
          <w:b/>
          <w:bCs/>
          <w:sz w:val="24"/>
          <w:szCs w:val="24"/>
        </w:rPr>
        <w:t xml:space="preserve">Table </w:t>
      </w:r>
      <w:r w:rsidR="00F5531D" w:rsidRPr="00E93C0F">
        <w:rPr>
          <w:rFonts w:ascii="Times New Roman" w:hAnsi="Times New Roman" w:cs="Times New Roman"/>
          <w:b/>
          <w:bCs/>
          <w:sz w:val="24"/>
          <w:szCs w:val="24"/>
        </w:rPr>
        <w:t>11</w:t>
      </w:r>
      <w:r w:rsidRPr="00E93C0F">
        <w:rPr>
          <w:rFonts w:ascii="Times New Roman" w:hAnsi="Times New Roman" w:cs="Times New Roman"/>
          <w:b/>
          <w:bCs/>
          <w:sz w:val="24"/>
          <w:szCs w:val="24"/>
        </w:rPr>
        <w:t xml:space="preserve">. </w:t>
      </w:r>
      <w:r w:rsidRPr="00E93C0F">
        <w:rPr>
          <w:rFonts w:ascii="Times New Roman" w:hAnsi="Times New Roman" w:cs="Times New Roman"/>
          <w:sz w:val="24"/>
          <w:szCs w:val="24"/>
        </w:rPr>
        <w:t>Summary of response spectra shape parameters for Cluster 2</w:t>
      </w:r>
    </w:p>
    <w:tbl>
      <w:tblPr>
        <w:tblStyle w:val="TableGrid"/>
        <w:tblW w:w="0" w:type="auto"/>
        <w:tblLook w:val="04A0" w:firstRow="1" w:lastRow="0" w:firstColumn="1" w:lastColumn="0" w:noHBand="0" w:noVBand="1"/>
      </w:tblPr>
      <w:tblGrid>
        <w:gridCol w:w="1650"/>
        <w:gridCol w:w="2564"/>
        <w:gridCol w:w="3070"/>
        <w:gridCol w:w="636"/>
        <w:gridCol w:w="805"/>
        <w:gridCol w:w="805"/>
      </w:tblGrid>
      <w:tr w:rsidR="00492CBA" w:rsidRPr="00E93C0F" w14:paraId="50AAAA2E" w14:textId="77777777" w:rsidTr="00E93C0F">
        <w:tc>
          <w:tcPr>
            <w:tcW w:w="0" w:type="auto"/>
            <w:vAlign w:val="center"/>
          </w:tcPr>
          <w:p w14:paraId="5030A0E9" w14:textId="77777777" w:rsidR="00D52A71" w:rsidRPr="00E93C0F" w:rsidRDefault="00B17E70"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Bedrock PGA</w:t>
            </w:r>
            <w:r w:rsidR="00492CBA" w:rsidRPr="00E93C0F">
              <w:rPr>
                <w:rFonts w:ascii="Times New Roman" w:hAnsi="Times New Roman" w:cs="Times New Roman"/>
                <w:b/>
                <w:bCs/>
                <w:sz w:val="24"/>
                <w:szCs w:val="24"/>
              </w:rPr>
              <w:t xml:space="preserve"> </w:t>
            </w:r>
          </w:p>
          <w:p w14:paraId="0D42BC20" w14:textId="4A1985D9" w:rsidR="00492CBA" w:rsidRPr="00E93C0F" w:rsidRDefault="00B17E70"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w:t>
            </w:r>
            <w:r w:rsidR="00492CBA" w:rsidRPr="00E93C0F">
              <w:rPr>
                <w:rFonts w:ascii="Times New Roman" w:hAnsi="Times New Roman" w:cs="Times New Roman"/>
                <w:b/>
                <w:bCs/>
                <w:sz w:val="24"/>
                <w:szCs w:val="24"/>
              </w:rPr>
              <w:t>g</w:t>
            </w:r>
            <w:r w:rsidRPr="00E93C0F">
              <w:rPr>
                <w:rFonts w:ascii="Times New Roman" w:hAnsi="Times New Roman" w:cs="Times New Roman"/>
                <w:b/>
                <w:bCs/>
                <w:sz w:val="24"/>
                <w:szCs w:val="24"/>
              </w:rPr>
              <w:t>)</w:t>
            </w:r>
          </w:p>
        </w:tc>
        <w:tc>
          <w:tcPr>
            <w:tcW w:w="0" w:type="auto"/>
            <w:vAlign w:val="center"/>
          </w:tcPr>
          <w:p w14:paraId="5437DBA9" w14:textId="640333F9" w:rsidR="00492CBA" w:rsidRPr="00E93C0F" w:rsidRDefault="009A053D"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 xml:space="preserve">Ground </w:t>
            </w:r>
            <w:r w:rsidR="00492CBA" w:rsidRPr="00E93C0F">
              <w:rPr>
                <w:rFonts w:ascii="Times New Roman" w:hAnsi="Times New Roman" w:cs="Times New Roman"/>
                <w:b/>
                <w:bCs/>
                <w:sz w:val="24"/>
                <w:szCs w:val="24"/>
              </w:rPr>
              <w:t>Input Motions</w:t>
            </w:r>
          </w:p>
        </w:tc>
        <w:tc>
          <w:tcPr>
            <w:tcW w:w="0" w:type="auto"/>
            <w:vAlign w:val="center"/>
          </w:tcPr>
          <w:p w14:paraId="7DF2B988" w14:textId="3A1473E9" w:rsidR="00492CBA" w:rsidRPr="00E93C0F" w:rsidRDefault="00B17E70"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Soil Amplification Factor, S</w:t>
            </w:r>
          </w:p>
        </w:tc>
        <w:tc>
          <w:tcPr>
            <w:tcW w:w="0" w:type="auto"/>
            <w:vAlign w:val="center"/>
          </w:tcPr>
          <w:p w14:paraId="2C07449C" w14:textId="77777777" w:rsidR="00DE35F7" w:rsidRPr="00E93C0F" w:rsidRDefault="00492CBA"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T</w:t>
            </w:r>
            <w:r w:rsidRPr="00E93C0F">
              <w:rPr>
                <w:rFonts w:ascii="Times New Roman" w:hAnsi="Times New Roman" w:cs="Times New Roman"/>
                <w:b/>
                <w:bCs/>
                <w:sz w:val="24"/>
                <w:szCs w:val="24"/>
                <w:vertAlign w:val="subscript"/>
              </w:rPr>
              <w:t>B</w:t>
            </w:r>
            <w:r w:rsidRPr="00E93C0F">
              <w:rPr>
                <w:rFonts w:ascii="Times New Roman" w:hAnsi="Times New Roman" w:cs="Times New Roman"/>
                <w:b/>
                <w:bCs/>
                <w:sz w:val="24"/>
                <w:szCs w:val="24"/>
              </w:rPr>
              <w:t xml:space="preserve"> </w:t>
            </w:r>
          </w:p>
          <w:p w14:paraId="63C4A01F" w14:textId="7CBE4FC5" w:rsidR="00492CBA" w:rsidRPr="00E93C0F" w:rsidRDefault="00492CBA"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(s)</w:t>
            </w:r>
          </w:p>
        </w:tc>
        <w:tc>
          <w:tcPr>
            <w:tcW w:w="0" w:type="auto"/>
            <w:vAlign w:val="center"/>
          </w:tcPr>
          <w:p w14:paraId="093FC013" w14:textId="77777777" w:rsidR="00492CBA" w:rsidRPr="00E93C0F" w:rsidRDefault="00492CBA"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T</w:t>
            </w:r>
            <w:r w:rsidRPr="00E93C0F">
              <w:rPr>
                <w:rFonts w:ascii="Times New Roman" w:hAnsi="Times New Roman" w:cs="Times New Roman"/>
                <w:b/>
                <w:bCs/>
                <w:sz w:val="24"/>
                <w:szCs w:val="24"/>
                <w:vertAlign w:val="subscript"/>
              </w:rPr>
              <w:t>C</w:t>
            </w:r>
            <w:r w:rsidRPr="00E93C0F">
              <w:rPr>
                <w:rFonts w:ascii="Times New Roman" w:hAnsi="Times New Roman" w:cs="Times New Roman"/>
                <w:b/>
                <w:bCs/>
                <w:sz w:val="24"/>
                <w:szCs w:val="24"/>
              </w:rPr>
              <w:t xml:space="preserve"> (s)</w:t>
            </w:r>
          </w:p>
        </w:tc>
        <w:tc>
          <w:tcPr>
            <w:tcW w:w="0" w:type="auto"/>
            <w:vAlign w:val="center"/>
          </w:tcPr>
          <w:p w14:paraId="6DB84136" w14:textId="77777777" w:rsidR="00492CBA" w:rsidRPr="00E93C0F" w:rsidRDefault="00492CBA"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T</w:t>
            </w:r>
            <w:r w:rsidRPr="00E93C0F">
              <w:rPr>
                <w:rFonts w:ascii="Times New Roman" w:hAnsi="Times New Roman" w:cs="Times New Roman"/>
                <w:b/>
                <w:bCs/>
                <w:sz w:val="24"/>
                <w:szCs w:val="24"/>
                <w:vertAlign w:val="subscript"/>
              </w:rPr>
              <w:t>D</w:t>
            </w:r>
            <w:r w:rsidRPr="00E93C0F">
              <w:rPr>
                <w:rFonts w:ascii="Times New Roman" w:hAnsi="Times New Roman" w:cs="Times New Roman"/>
                <w:b/>
                <w:bCs/>
                <w:sz w:val="24"/>
                <w:szCs w:val="24"/>
              </w:rPr>
              <w:t xml:space="preserve"> (s)</w:t>
            </w:r>
          </w:p>
        </w:tc>
      </w:tr>
      <w:tr w:rsidR="00D17492" w:rsidRPr="00E93C0F" w14:paraId="0920A5B6" w14:textId="77777777" w:rsidTr="00E93C0F">
        <w:tc>
          <w:tcPr>
            <w:tcW w:w="0" w:type="auto"/>
            <w:vMerge w:val="restart"/>
            <w:vAlign w:val="center"/>
          </w:tcPr>
          <w:p w14:paraId="3E4F8067" w14:textId="77777777" w:rsidR="00D17492" w:rsidRPr="00E93C0F" w:rsidRDefault="00D17492"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0.02g</w:t>
            </w:r>
          </w:p>
        </w:tc>
        <w:tc>
          <w:tcPr>
            <w:tcW w:w="0" w:type="auto"/>
          </w:tcPr>
          <w:p w14:paraId="0AFDB328" w14:textId="65619FD6"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Kobe EQ 1995</w:t>
            </w:r>
          </w:p>
        </w:tc>
        <w:tc>
          <w:tcPr>
            <w:tcW w:w="0" w:type="auto"/>
          </w:tcPr>
          <w:p w14:paraId="41CEC0CD" w14:textId="0C4B6D3C" w:rsidR="00D17492" w:rsidRPr="00E93C0F" w:rsidRDefault="00D17492" w:rsidP="00F05620">
            <w:pPr>
              <w:pStyle w:val="Paragraph"/>
              <w:ind w:firstLine="0"/>
              <w:jc w:val="center"/>
              <w:rPr>
                <w:rFonts w:ascii="Times New Roman" w:hAnsi="Times New Roman" w:cs="Times New Roman"/>
                <w:sz w:val="24"/>
                <w:szCs w:val="24"/>
              </w:rPr>
            </w:pPr>
            <w:r w:rsidRPr="00E93C0F">
              <w:rPr>
                <w:rFonts w:ascii="Times New Roman" w:hAnsi="Times New Roman" w:cs="Times New Roman"/>
                <w:sz w:val="24"/>
                <w:szCs w:val="24"/>
              </w:rPr>
              <w:t>1.8438</w:t>
            </w:r>
          </w:p>
        </w:tc>
        <w:tc>
          <w:tcPr>
            <w:tcW w:w="0" w:type="auto"/>
          </w:tcPr>
          <w:p w14:paraId="33C745F3" w14:textId="5C7F3E16"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0.25</w:t>
            </w:r>
          </w:p>
        </w:tc>
        <w:tc>
          <w:tcPr>
            <w:tcW w:w="0" w:type="auto"/>
          </w:tcPr>
          <w:p w14:paraId="7ED34E12" w14:textId="33C59FFF"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0.85</w:t>
            </w:r>
          </w:p>
        </w:tc>
        <w:tc>
          <w:tcPr>
            <w:tcW w:w="0" w:type="auto"/>
          </w:tcPr>
          <w:p w14:paraId="0B66FDBB" w14:textId="17FA6B58"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1.50</w:t>
            </w:r>
          </w:p>
        </w:tc>
      </w:tr>
      <w:tr w:rsidR="00D17492" w:rsidRPr="00E93C0F" w14:paraId="17ED9FA3" w14:textId="77777777" w:rsidTr="00E93C0F">
        <w:tc>
          <w:tcPr>
            <w:tcW w:w="0" w:type="auto"/>
            <w:vMerge/>
            <w:vAlign w:val="center"/>
          </w:tcPr>
          <w:p w14:paraId="4481E220" w14:textId="77777777" w:rsidR="00D17492" w:rsidRPr="00E93C0F" w:rsidRDefault="00D17492" w:rsidP="00A36FB0">
            <w:pPr>
              <w:pStyle w:val="Paragraph"/>
              <w:ind w:firstLine="0"/>
              <w:rPr>
                <w:rFonts w:ascii="Times New Roman" w:hAnsi="Times New Roman" w:cs="Times New Roman"/>
                <w:b/>
                <w:bCs/>
                <w:sz w:val="24"/>
                <w:szCs w:val="24"/>
              </w:rPr>
            </w:pPr>
          </w:p>
        </w:tc>
        <w:tc>
          <w:tcPr>
            <w:tcW w:w="0" w:type="auto"/>
          </w:tcPr>
          <w:p w14:paraId="45CCC981" w14:textId="775302C4"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Chi-Chi EQ 1999</w:t>
            </w:r>
          </w:p>
        </w:tc>
        <w:tc>
          <w:tcPr>
            <w:tcW w:w="0" w:type="auto"/>
          </w:tcPr>
          <w:p w14:paraId="5C5B3892" w14:textId="671F5A03" w:rsidR="00D17492" w:rsidRPr="00E93C0F" w:rsidRDefault="00D17492" w:rsidP="00F05620">
            <w:pPr>
              <w:pStyle w:val="Paragraph"/>
              <w:ind w:firstLine="0"/>
              <w:jc w:val="center"/>
              <w:rPr>
                <w:rFonts w:ascii="Times New Roman" w:hAnsi="Times New Roman" w:cs="Times New Roman"/>
                <w:sz w:val="24"/>
                <w:szCs w:val="24"/>
              </w:rPr>
            </w:pPr>
            <w:r w:rsidRPr="00E93C0F">
              <w:rPr>
                <w:rFonts w:ascii="Times New Roman" w:hAnsi="Times New Roman" w:cs="Times New Roman"/>
                <w:sz w:val="24"/>
                <w:szCs w:val="24"/>
              </w:rPr>
              <w:t>2.1201</w:t>
            </w:r>
          </w:p>
        </w:tc>
        <w:tc>
          <w:tcPr>
            <w:tcW w:w="0" w:type="auto"/>
          </w:tcPr>
          <w:p w14:paraId="329629A8" w14:textId="16B57BBB"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0.25</w:t>
            </w:r>
          </w:p>
        </w:tc>
        <w:tc>
          <w:tcPr>
            <w:tcW w:w="0" w:type="auto"/>
          </w:tcPr>
          <w:p w14:paraId="45C8EC18" w14:textId="39B2BA4C"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0.85</w:t>
            </w:r>
          </w:p>
        </w:tc>
        <w:tc>
          <w:tcPr>
            <w:tcW w:w="0" w:type="auto"/>
          </w:tcPr>
          <w:p w14:paraId="48163B4C" w14:textId="2B0E79F4"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1.50</w:t>
            </w:r>
          </w:p>
        </w:tc>
      </w:tr>
      <w:tr w:rsidR="00D17492" w:rsidRPr="00E93C0F" w14:paraId="29B12DDC" w14:textId="77777777" w:rsidTr="00E93C0F">
        <w:tc>
          <w:tcPr>
            <w:tcW w:w="0" w:type="auto"/>
            <w:vMerge/>
            <w:vAlign w:val="center"/>
          </w:tcPr>
          <w:p w14:paraId="1211FF91" w14:textId="77777777" w:rsidR="00D17492" w:rsidRPr="00E93C0F" w:rsidRDefault="00D17492" w:rsidP="00A36FB0">
            <w:pPr>
              <w:pStyle w:val="Paragraph"/>
              <w:ind w:firstLine="0"/>
              <w:rPr>
                <w:rFonts w:ascii="Times New Roman" w:hAnsi="Times New Roman" w:cs="Times New Roman"/>
                <w:b/>
                <w:bCs/>
                <w:sz w:val="24"/>
                <w:szCs w:val="24"/>
              </w:rPr>
            </w:pPr>
          </w:p>
        </w:tc>
        <w:tc>
          <w:tcPr>
            <w:tcW w:w="0" w:type="auto"/>
          </w:tcPr>
          <w:p w14:paraId="57861EDD" w14:textId="380E15E0"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Kocaeli EQ 1999</w:t>
            </w:r>
          </w:p>
        </w:tc>
        <w:tc>
          <w:tcPr>
            <w:tcW w:w="0" w:type="auto"/>
          </w:tcPr>
          <w:p w14:paraId="4F5ADF2C" w14:textId="300692F9" w:rsidR="00D17492" w:rsidRPr="00E93C0F" w:rsidRDefault="00D17492" w:rsidP="00F05620">
            <w:pPr>
              <w:pStyle w:val="Paragraph"/>
              <w:ind w:firstLine="0"/>
              <w:jc w:val="center"/>
              <w:rPr>
                <w:rFonts w:ascii="Times New Roman" w:hAnsi="Times New Roman" w:cs="Times New Roman"/>
                <w:sz w:val="24"/>
                <w:szCs w:val="24"/>
              </w:rPr>
            </w:pPr>
            <w:r w:rsidRPr="00E93C0F">
              <w:rPr>
                <w:rFonts w:ascii="Times New Roman" w:hAnsi="Times New Roman" w:cs="Times New Roman"/>
                <w:sz w:val="24"/>
                <w:szCs w:val="24"/>
              </w:rPr>
              <w:t>1.7222</w:t>
            </w:r>
          </w:p>
        </w:tc>
        <w:tc>
          <w:tcPr>
            <w:tcW w:w="0" w:type="auto"/>
          </w:tcPr>
          <w:p w14:paraId="6C30817C" w14:textId="4B7F47DA"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0.10</w:t>
            </w:r>
          </w:p>
        </w:tc>
        <w:tc>
          <w:tcPr>
            <w:tcW w:w="0" w:type="auto"/>
          </w:tcPr>
          <w:p w14:paraId="1BE45E78" w14:textId="70CDCE81"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0.30</w:t>
            </w:r>
          </w:p>
        </w:tc>
        <w:tc>
          <w:tcPr>
            <w:tcW w:w="0" w:type="auto"/>
          </w:tcPr>
          <w:p w14:paraId="2308F524" w14:textId="51202658"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1.50</w:t>
            </w:r>
          </w:p>
        </w:tc>
      </w:tr>
      <w:tr w:rsidR="00D17492" w:rsidRPr="00E93C0F" w14:paraId="66F22637" w14:textId="77777777" w:rsidTr="00E93C0F">
        <w:tc>
          <w:tcPr>
            <w:tcW w:w="0" w:type="auto"/>
            <w:vMerge w:val="restart"/>
            <w:vAlign w:val="center"/>
          </w:tcPr>
          <w:p w14:paraId="0D392B37" w14:textId="77777777" w:rsidR="00D17492" w:rsidRPr="00E93C0F" w:rsidRDefault="00D17492"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0.03g</w:t>
            </w:r>
          </w:p>
        </w:tc>
        <w:tc>
          <w:tcPr>
            <w:tcW w:w="0" w:type="auto"/>
          </w:tcPr>
          <w:p w14:paraId="653B8BBC" w14:textId="7EE7112E"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Kobe EQ 1995</w:t>
            </w:r>
          </w:p>
        </w:tc>
        <w:tc>
          <w:tcPr>
            <w:tcW w:w="0" w:type="auto"/>
          </w:tcPr>
          <w:p w14:paraId="386C9253" w14:textId="17E6A758" w:rsidR="00D17492" w:rsidRPr="00E93C0F" w:rsidRDefault="00D17492" w:rsidP="00F05620">
            <w:pPr>
              <w:pStyle w:val="Paragraph"/>
              <w:ind w:firstLine="0"/>
              <w:jc w:val="center"/>
              <w:rPr>
                <w:rFonts w:ascii="Times New Roman" w:hAnsi="Times New Roman" w:cs="Times New Roman"/>
                <w:sz w:val="24"/>
                <w:szCs w:val="24"/>
              </w:rPr>
            </w:pPr>
            <w:r w:rsidRPr="00E93C0F">
              <w:rPr>
                <w:rFonts w:ascii="Times New Roman" w:hAnsi="Times New Roman" w:cs="Times New Roman"/>
                <w:sz w:val="24"/>
                <w:szCs w:val="24"/>
              </w:rPr>
              <w:t>1.8173</w:t>
            </w:r>
          </w:p>
        </w:tc>
        <w:tc>
          <w:tcPr>
            <w:tcW w:w="0" w:type="auto"/>
          </w:tcPr>
          <w:p w14:paraId="38364AA0" w14:textId="7F36EABA"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0.25</w:t>
            </w:r>
          </w:p>
        </w:tc>
        <w:tc>
          <w:tcPr>
            <w:tcW w:w="0" w:type="auto"/>
          </w:tcPr>
          <w:p w14:paraId="15D9B91D" w14:textId="0B9FACCB"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0.85</w:t>
            </w:r>
          </w:p>
        </w:tc>
        <w:tc>
          <w:tcPr>
            <w:tcW w:w="0" w:type="auto"/>
          </w:tcPr>
          <w:p w14:paraId="5C9F50F8" w14:textId="07934A57"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1.50</w:t>
            </w:r>
          </w:p>
        </w:tc>
      </w:tr>
      <w:tr w:rsidR="00D17492" w:rsidRPr="00E93C0F" w14:paraId="5004399E" w14:textId="77777777" w:rsidTr="00E93C0F">
        <w:tc>
          <w:tcPr>
            <w:tcW w:w="0" w:type="auto"/>
            <w:vMerge/>
          </w:tcPr>
          <w:p w14:paraId="72B0E9F0" w14:textId="77777777" w:rsidR="00D17492" w:rsidRPr="00E93C0F" w:rsidRDefault="00D17492" w:rsidP="00A36FB0">
            <w:pPr>
              <w:pStyle w:val="Paragraph"/>
              <w:ind w:firstLine="0"/>
              <w:rPr>
                <w:rFonts w:ascii="Times New Roman" w:hAnsi="Times New Roman" w:cs="Times New Roman"/>
                <w:b/>
                <w:bCs/>
                <w:sz w:val="24"/>
                <w:szCs w:val="24"/>
              </w:rPr>
            </w:pPr>
          </w:p>
        </w:tc>
        <w:tc>
          <w:tcPr>
            <w:tcW w:w="0" w:type="auto"/>
          </w:tcPr>
          <w:p w14:paraId="080B93DA" w14:textId="51127A8B"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Chi-Chi EQ 1999</w:t>
            </w:r>
          </w:p>
        </w:tc>
        <w:tc>
          <w:tcPr>
            <w:tcW w:w="0" w:type="auto"/>
          </w:tcPr>
          <w:p w14:paraId="3F33C8D2" w14:textId="6932BA7B" w:rsidR="00D17492" w:rsidRPr="00E93C0F" w:rsidRDefault="00D17492" w:rsidP="00F05620">
            <w:pPr>
              <w:pStyle w:val="Paragraph"/>
              <w:ind w:firstLine="0"/>
              <w:jc w:val="center"/>
              <w:rPr>
                <w:rFonts w:ascii="Times New Roman" w:hAnsi="Times New Roman" w:cs="Times New Roman"/>
                <w:sz w:val="24"/>
                <w:szCs w:val="24"/>
              </w:rPr>
            </w:pPr>
            <w:r w:rsidRPr="00E93C0F">
              <w:rPr>
                <w:rFonts w:ascii="Times New Roman" w:hAnsi="Times New Roman" w:cs="Times New Roman"/>
                <w:sz w:val="24"/>
                <w:szCs w:val="24"/>
              </w:rPr>
              <w:t>2.0785</w:t>
            </w:r>
          </w:p>
        </w:tc>
        <w:tc>
          <w:tcPr>
            <w:tcW w:w="0" w:type="auto"/>
          </w:tcPr>
          <w:p w14:paraId="40ABE3BA" w14:textId="13E9ED2D"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0.25</w:t>
            </w:r>
          </w:p>
        </w:tc>
        <w:tc>
          <w:tcPr>
            <w:tcW w:w="0" w:type="auto"/>
          </w:tcPr>
          <w:p w14:paraId="1D4C1C55" w14:textId="445A01A1"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0.85</w:t>
            </w:r>
          </w:p>
        </w:tc>
        <w:tc>
          <w:tcPr>
            <w:tcW w:w="0" w:type="auto"/>
          </w:tcPr>
          <w:p w14:paraId="0BE7A07B" w14:textId="01A205B8"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1.50</w:t>
            </w:r>
          </w:p>
        </w:tc>
      </w:tr>
      <w:tr w:rsidR="00D17492" w:rsidRPr="00E93C0F" w14:paraId="73394088" w14:textId="77777777" w:rsidTr="00E93C0F">
        <w:tc>
          <w:tcPr>
            <w:tcW w:w="0" w:type="auto"/>
            <w:vMerge/>
          </w:tcPr>
          <w:p w14:paraId="4D233F4F" w14:textId="77777777" w:rsidR="00D17492" w:rsidRPr="00E93C0F" w:rsidRDefault="00D17492" w:rsidP="00A36FB0">
            <w:pPr>
              <w:pStyle w:val="Paragraph"/>
              <w:ind w:firstLine="0"/>
              <w:rPr>
                <w:rFonts w:ascii="Times New Roman" w:hAnsi="Times New Roman" w:cs="Times New Roman"/>
                <w:b/>
                <w:bCs/>
                <w:sz w:val="24"/>
                <w:szCs w:val="24"/>
              </w:rPr>
            </w:pPr>
          </w:p>
        </w:tc>
        <w:tc>
          <w:tcPr>
            <w:tcW w:w="0" w:type="auto"/>
          </w:tcPr>
          <w:p w14:paraId="5C409C87" w14:textId="4AEB3BC7"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Kocaeli EQ 1999</w:t>
            </w:r>
          </w:p>
        </w:tc>
        <w:tc>
          <w:tcPr>
            <w:tcW w:w="0" w:type="auto"/>
          </w:tcPr>
          <w:p w14:paraId="35C1D749" w14:textId="4AB57B0F" w:rsidR="00D17492" w:rsidRPr="00E93C0F" w:rsidRDefault="00D17492" w:rsidP="00F05620">
            <w:pPr>
              <w:pStyle w:val="Paragraph"/>
              <w:ind w:firstLine="0"/>
              <w:jc w:val="center"/>
              <w:rPr>
                <w:rFonts w:ascii="Times New Roman" w:hAnsi="Times New Roman" w:cs="Times New Roman"/>
                <w:sz w:val="24"/>
                <w:szCs w:val="24"/>
              </w:rPr>
            </w:pPr>
            <w:r w:rsidRPr="00E93C0F">
              <w:rPr>
                <w:rFonts w:ascii="Times New Roman" w:hAnsi="Times New Roman" w:cs="Times New Roman"/>
                <w:sz w:val="24"/>
                <w:szCs w:val="24"/>
              </w:rPr>
              <w:t>1.6665</w:t>
            </w:r>
          </w:p>
        </w:tc>
        <w:tc>
          <w:tcPr>
            <w:tcW w:w="0" w:type="auto"/>
          </w:tcPr>
          <w:p w14:paraId="686CE91A" w14:textId="43D0DC32"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0.10</w:t>
            </w:r>
          </w:p>
        </w:tc>
        <w:tc>
          <w:tcPr>
            <w:tcW w:w="0" w:type="auto"/>
          </w:tcPr>
          <w:p w14:paraId="353785A1" w14:textId="4A8AD118"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0.30</w:t>
            </w:r>
          </w:p>
        </w:tc>
        <w:tc>
          <w:tcPr>
            <w:tcW w:w="0" w:type="auto"/>
          </w:tcPr>
          <w:p w14:paraId="2E0E3CA5" w14:textId="299BB91A"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1.50</w:t>
            </w:r>
          </w:p>
        </w:tc>
      </w:tr>
    </w:tbl>
    <w:p w14:paraId="684D652D" w14:textId="77777777" w:rsidR="0034685F" w:rsidRPr="00E93C0F" w:rsidRDefault="0034685F" w:rsidP="00A36FB0">
      <w:pPr>
        <w:pStyle w:val="Paragraph"/>
        <w:ind w:firstLine="0"/>
        <w:rPr>
          <w:rFonts w:ascii="Times New Roman" w:hAnsi="Times New Roman" w:cs="Times New Roman"/>
          <w:b/>
          <w:bCs/>
          <w:sz w:val="24"/>
          <w:szCs w:val="24"/>
        </w:rPr>
      </w:pPr>
    </w:p>
    <w:p w14:paraId="6DF4C2A5" w14:textId="335B2E99" w:rsidR="00492CBA" w:rsidRPr="00E93C0F" w:rsidRDefault="00492CBA" w:rsidP="00A36FB0">
      <w:pPr>
        <w:pStyle w:val="Paragraph"/>
        <w:ind w:firstLine="0"/>
        <w:rPr>
          <w:rFonts w:ascii="Times New Roman" w:hAnsi="Times New Roman" w:cs="Times New Roman"/>
          <w:sz w:val="24"/>
          <w:szCs w:val="24"/>
        </w:rPr>
      </w:pPr>
      <w:r w:rsidRPr="00E93C0F">
        <w:rPr>
          <w:rFonts w:ascii="Times New Roman" w:hAnsi="Times New Roman" w:cs="Times New Roman"/>
          <w:b/>
          <w:bCs/>
          <w:sz w:val="24"/>
          <w:szCs w:val="24"/>
        </w:rPr>
        <w:t xml:space="preserve">Table </w:t>
      </w:r>
      <w:r w:rsidR="00F5531D" w:rsidRPr="00E93C0F">
        <w:rPr>
          <w:rFonts w:ascii="Times New Roman" w:hAnsi="Times New Roman" w:cs="Times New Roman"/>
          <w:b/>
          <w:bCs/>
          <w:sz w:val="24"/>
          <w:szCs w:val="24"/>
        </w:rPr>
        <w:t>12</w:t>
      </w:r>
      <w:r w:rsidRPr="00E93C0F">
        <w:rPr>
          <w:rFonts w:ascii="Times New Roman" w:hAnsi="Times New Roman" w:cs="Times New Roman"/>
          <w:b/>
          <w:bCs/>
          <w:sz w:val="24"/>
          <w:szCs w:val="24"/>
        </w:rPr>
        <w:t xml:space="preserve">. </w:t>
      </w:r>
      <w:r w:rsidRPr="00E93C0F">
        <w:rPr>
          <w:rFonts w:ascii="Times New Roman" w:hAnsi="Times New Roman" w:cs="Times New Roman"/>
          <w:sz w:val="24"/>
          <w:szCs w:val="24"/>
        </w:rPr>
        <w:t>Summary of response spectra shape parameters for Cluster 3</w:t>
      </w:r>
    </w:p>
    <w:tbl>
      <w:tblPr>
        <w:tblStyle w:val="TableGrid"/>
        <w:tblW w:w="0" w:type="auto"/>
        <w:tblLook w:val="04A0" w:firstRow="1" w:lastRow="0" w:firstColumn="1" w:lastColumn="0" w:noHBand="0" w:noVBand="1"/>
      </w:tblPr>
      <w:tblGrid>
        <w:gridCol w:w="1650"/>
        <w:gridCol w:w="2564"/>
        <w:gridCol w:w="3070"/>
        <w:gridCol w:w="636"/>
        <w:gridCol w:w="805"/>
        <w:gridCol w:w="805"/>
      </w:tblGrid>
      <w:tr w:rsidR="00492CBA" w:rsidRPr="00E93C0F" w14:paraId="3B8F78F2" w14:textId="77777777" w:rsidTr="00E93C0F">
        <w:tc>
          <w:tcPr>
            <w:tcW w:w="0" w:type="auto"/>
            <w:vAlign w:val="center"/>
          </w:tcPr>
          <w:p w14:paraId="34F585C4" w14:textId="77777777" w:rsidR="00D52A71" w:rsidRPr="00E93C0F" w:rsidRDefault="00B17E70"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Bedrock PGA</w:t>
            </w:r>
            <w:r w:rsidR="00492CBA" w:rsidRPr="00E93C0F">
              <w:rPr>
                <w:rFonts w:ascii="Times New Roman" w:hAnsi="Times New Roman" w:cs="Times New Roman"/>
                <w:b/>
                <w:bCs/>
                <w:sz w:val="24"/>
                <w:szCs w:val="24"/>
              </w:rPr>
              <w:t xml:space="preserve"> </w:t>
            </w:r>
          </w:p>
          <w:p w14:paraId="61DC3724" w14:textId="6214044A" w:rsidR="00492CBA" w:rsidRPr="00E93C0F" w:rsidRDefault="00B17E70"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w:t>
            </w:r>
            <w:r w:rsidR="00492CBA" w:rsidRPr="00E93C0F">
              <w:rPr>
                <w:rFonts w:ascii="Times New Roman" w:hAnsi="Times New Roman" w:cs="Times New Roman"/>
                <w:b/>
                <w:bCs/>
                <w:sz w:val="24"/>
                <w:szCs w:val="24"/>
              </w:rPr>
              <w:t>g</w:t>
            </w:r>
            <w:r w:rsidRPr="00E93C0F">
              <w:rPr>
                <w:rFonts w:ascii="Times New Roman" w:hAnsi="Times New Roman" w:cs="Times New Roman"/>
                <w:b/>
                <w:bCs/>
                <w:sz w:val="24"/>
                <w:szCs w:val="24"/>
              </w:rPr>
              <w:t>)</w:t>
            </w:r>
          </w:p>
        </w:tc>
        <w:tc>
          <w:tcPr>
            <w:tcW w:w="0" w:type="auto"/>
            <w:vAlign w:val="center"/>
          </w:tcPr>
          <w:p w14:paraId="583C3C04" w14:textId="3422C1C1" w:rsidR="00492CBA" w:rsidRPr="00E93C0F" w:rsidRDefault="009A053D"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 xml:space="preserve">Ground </w:t>
            </w:r>
            <w:r w:rsidR="00492CBA" w:rsidRPr="00E93C0F">
              <w:rPr>
                <w:rFonts w:ascii="Times New Roman" w:hAnsi="Times New Roman" w:cs="Times New Roman"/>
                <w:b/>
                <w:bCs/>
                <w:sz w:val="24"/>
                <w:szCs w:val="24"/>
              </w:rPr>
              <w:t>Input Motions</w:t>
            </w:r>
          </w:p>
        </w:tc>
        <w:tc>
          <w:tcPr>
            <w:tcW w:w="0" w:type="auto"/>
            <w:vAlign w:val="center"/>
          </w:tcPr>
          <w:p w14:paraId="19D73A6D" w14:textId="298A5FE1" w:rsidR="00492CBA" w:rsidRPr="00E93C0F" w:rsidRDefault="00B17E70"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Soil Amplification Factor, S</w:t>
            </w:r>
          </w:p>
        </w:tc>
        <w:tc>
          <w:tcPr>
            <w:tcW w:w="0" w:type="auto"/>
            <w:vAlign w:val="center"/>
          </w:tcPr>
          <w:p w14:paraId="034C6393" w14:textId="77777777" w:rsidR="00DE35F7" w:rsidRPr="00E93C0F" w:rsidRDefault="00492CBA"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T</w:t>
            </w:r>
            <w:r w:rsidRPr="00E93C0F">
              <w:rPr>
                <w:rFonts w:ascii="Times New Roman" w:hAnsi="Times New Roman" w:cs="Times New Roman"/>
                <w:b/>
                <w:bCs/>
                <w:sz w:val="24"/>
                <w:szCs w:val="24"/>
                <w:vertAlign w:val="subscript"/>
              </w:rPr>
              <w:t>B</w:t>
            </w:r>
            <w:r w:rsidRPr="00E93C0F">
              <w:rPr>
                <w:rFonts w:ascii="Times New Roman" w:hAnsi="Times New Roman" w:cs="Times New Roman"/>
                <w:b/>
                <w:bCs/>
                <w:sz w:val="24"/>
                <w:szCs w:val="24"/>
              </w:rPr>
              <w:t xml:space="preserve"> </w:t>
            </w:r>
          </w:p>
          <w:p w14:paraId="70E91A52" w14:textId="2DDFF1CF" w:rsidR="00492CBA" w:rsidRPr="00E93C0F" w:rsidRDefault="00492CBA"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(s)</w:t>
            </w:r>
          </w:p>
        </w:tc>
        <w:tc>
          <w:tcPr>
            <w:tcW w:w="0" w:type="auto"/>
            <w:vAlign w:val="center"/>
          </w:tcPr>
          <w:p w14:paraId="39A3BADE" w14:textId="77777777" w:rsidR="00492CBA" w:rsidRPr="00E93C0F" w:rsidRDefault="00492CBA"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T</w:t>
            </w:r>
            <w:r w:rsidRPr="00E93C0F">
              <w:rPr>
                <w:rFonts w:ascii="Times New Roman" w:hAnsi="Times New Roman" w:cs="Times New Roman"/>
                <w:b/>
                <w:bCs/>
                <w:sz w:val="24"/>
                <w:szCs w:val="24"/>
                <w:vertAlign w:val="subscript"/>
              </w:rPr>
              <w:t>C</w:t>
            </w:r>
            <w:r w:rsidRPr="00E93C0F">
              <w:rPr>
                <w:rFonts w:ascii="Times New Roman" w:hAnsi="Times New Roman" w:cs="Times New Roman"/>
                <w:b/>
                <w:bCs/>
                <w:sz w:val="24"/>
                <w:szCs w:val="24"/>
              </w:rPr>
              <w:t xml:space="preserve"> (s)</w:t>
            </w:r>
          </w:p>
        </w:tc>
        <w:tc>
          <w:tcPr>
            <w:tcW w:w="0" w:type="auto"/>
            <w:vAlign w:val="center"/>
          </w:tcPr>
          <w:p w14:paraId="5944B2E2" w14:textId="77777777" w:rsidR="00492CBA" w:rsidRPr="00E93C0F" w:rsidRDefault="00492CBA"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T</w:t>
            </w:r>
            <w:r w:rsidRPr="00E93C0F">
              <w:rPr>
                <w:rFonts w:ascii="Times New Roman" w:hAnsi="Times New Roman" w:cs="Times New Roman"/>
                <w:b/>
                <w:bCs/>
                <w:sz w:val="24"/>
                <w:szCs w:val="24"/>
                <w:vertAlign w:val="subscript"/>
              </w:rPr>
              <w:t>D</w:t>
            </w:r>
            <w:r w:rsidRPr="00E93C0F">
              <w:rPr>
                <w:rFonts w:ascii="Times New Roman" w:hAnsi="Times New Roman" w:cs="Times New Roman"/>
                <w:b/>
                <w:bCs/>
                <w:sz w:val="24"/>
                <w:szCs w:val="24"/>
              </w:rPr>
              <w:t xml:space="preserve"> (s)</w:t>
            </w:r>
          </w:p>
        </w:tc>
      </w:tr>
      <w:tr w:rsidR="00D17492" w:rsidRPr="00E93C0F" w14:paraId="02CBAEAA" w14:textId="77777777" w:rsidTr="00E93C0F">
        <w:tc>
          <w:tcPr>
            <w:tcW w:w="0" w:type="auto"/>
            <w:vMerge w:val="restart"/>
            <w:vAlign w:val="center"/>
          </w:tcPr>
          <w:p w14:paraId="0A1FA486" w14:textId="77777777" w:rsidR="00D17492" w:rsidRPr="00E93C0F" w:rsidRDefault="00D17492"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0.02g</w:t>
            </w:r>
          </w:p>
        </w:tc>
        <w:tc>
          <w:tcPr>
            <w:tcW w:w="0" w:type="auto"/>
          </w:tcPr>
          <w:p w14:paraId="7AF75C87" w14:textId="7F722265"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Kobe EQ 1995</w:t>
            </w:r>
          </w:p>
        </w:tc>
        <w:tc>
          <w:tcPr>
            <w:tcW w:w="0" w:type="auto"/>
          </w:tcPr>
          <w:p w14:paraId="7EA59B8E" w14:textId="46ED3BB0" w:rsidR="00D17492" w:rsidRPr="00E93C0F" w:rsidRDefault="00D17492" w:rsidP="00F05620">
            <w:pPr>
              <w:pStyle w:val="Paragraph"/>
              <w:ind w:firstLine="0"/>
              <w:jc w:val="center"/>
              <w:rPr>
                <w:rFonts w:ascii="Times New Roman" w:hAnsi="Times New Roman" w:cs="Times New Roman"/>
                <w:sz w:val="24"/>
                <w:szCs w:val="24"/>
              </w:rPr>
            </w:pPr>
            <w:r w:rsidRPr="00E93C0F">
              <w:rPr>
                <w:rFonts w:ascii="Times New Roman" w:hAnsi="Times New Roman" w:cs="Times New Roman"/>
                <w:sz w:val="24"/>
                <w:szCs w:val="24"/>
              </w:rPr>
              <w:t>1.5008</w:t>
            </w:r>
          </w:p>
        </w:tc>
        <w:tc>
          <w:tcPr>
            <w:tcW w:w="0" w:type="auto"/>
          </w:tcPr>
          <w:p w14:paraId="324D81CF" w14:textId="611BFC2F"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0.25</w:t>
            </w:r>
          </w:p>
        </w:tc>
        <w:tc>
          <w:tcPr>
            <w:tcW w:w="0" w:type="auto"/>
          </w:tcPr>
          <w:p w14:paraId="6279B957" w14:textId="7CC94D38"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0.80</w:t>
            </w:r>
          </w:p>
        </w:tc>
        <w:tc>
          <w:tcPr>
            <w:tcW w:w="0" w:type="auto"/>
          </w:tcPr>
          <w:p w14:paraId="72C821F5" w14:textId="1BE0C2F6"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1.80</w:t>
            </w:r>
          </w:p>
        </w:tc>
      </w:tr>
      <w:tr w:rsidR="00D17492" w:rsidRPr="00E93C0F" w14:paraId="44315AE1" w14:textId="77777777" w:rsidTr="00E93C0F">
        <w:tc>
          <w:tcPr>
            <w:tcW w:w="0" w:type="auto"/>
            <w:vMerge/>
            <w:vAlign w:val="center"/>
          </w:tcPr>
          <w:p w14:paraId="5AF87092" w14:textId="77777777" w:rsidR="00D17492" w:rsidRPr="00E93C0F" w:rsidRDefault="00D17492" w:rsidP="00A36FB0">
            <w:pPr>
              <w:pStyle w:val="Paragraph"/>
              <w:ind w:firstLine="0"/>
              <w:rPr>
                <w:rFonts w:ascii="Times New Roman" w:hAnsi="Times New Roman" w:cs="Times New Roman"/>
                <w:b/>
                <w:bCs/>
                <w:sz w:val="24"/>
                <w:szCs w:val="24"/>
              </w:rPr>
            </w:pPr>
          </w:p>
        </w:tc>
        <w:tc>
          <w:tcPr>
            <w:tcW w:w="0" w:type="auto"/>
          </w:tcPr>
          <w:p w14:paraId="08036F74" w14:textId="5204FC21"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Chi-Chi EQ 1999</w:t>
            </w:r>
          </w:p>
        </w:tc>
        <w:tc>
          <w:tcPr>
            <w:tcW w:w="0" w:type="auto"/>
          </w:tcPr>
          <w:p w14:paraId="06D77A87" w14:textId="2354AFD9" w:rsidR="00D17492" w:rsidRPr="00E93C0F" w:rsidRDefault="00D17492" w:rsidP="00F05620">
            <w:pPr>
              <w:pStyle w:val="Paragraph"/>
              <w:ind w:firstLine="0"/>
              <w:jc w:val="center"/>
              <w:rPr>
                <w:rFonts w:ascii="Times New Roman" w:hAnsi="Times New Roman" w:cs="Times New Roman"/>
                <w:sz w:val="24"/>
                <w:szCs w:val="24"/>
              </w:rPr>
            </w:pPr>
            <w:r w:rsidRPr="00E93C0F">
              <w:rPr>
                <w:rFonts w:ascii="Times New Roman" w:hAnsi="Times New Roman" w:cs="Times New Roman"/>
                <w:sz w:val="24"/>
                <w:szCs w:val="24"/>
              </w:rPr>
              <w:t>1.4031</w:t>
            </w:r>
          </w:p>
        </w:tc>
        <w:tc>
          <w:tcPr>
            <w:tcW w:w="0" w:type="auto"/>
          </w:tcPr>
          <w:p w14:paraId="1384482A" w14:textId="7AA5B773"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0.25</w:t>
            </w:r>
          </w:p>
        </w:tc>
        <w:tc>
          <w:tcPr>
            <w:tcW w:w="0" w:type="auto"/>
          </w:tcPr>
          <w:p w14:paraId="54D132CC" w14:textId="1D1B4514"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0.90</w:t>
            </w:r>
          </w:p>
        </w:tc>
        <w:tc>
          <w:tcPr>
            <w:tcW w:w="0" w:type="auto"/>
          </w:tcPr>
          <w:p w14:paraId="78969725" w14:textId="0F614B4F"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1.90</w:t>
            </w:r>
          </w:p>
        </w:tc>
      </w:tr>
      <w:tr w:rsidR="00D17492" w:rsidRPr="00E93C0F" w14:paraId="5DB6F752" w14:textId="77777777" w:rsidTr="00E93C0F">
        <w:tc>
          <w:tcPr>
            <w:tcW w:w="0" w:type="auto"/>
            <w:vMerge/>
            <w:vAlign w:val="center"/>
          </w:tcPr>
          <w:p w14:paraId="34784E11" w14:textId="77777777" w:rsidR="00D17492" w:rsidRPr="00E93C0F" w:rsidRDefault="00D17492" w:rsidP="00A36FB0">
            <w:pPr>
              <w:pStyle w:val="Paragraph"/>
              <w:ind w:firstLine="0"/>
              <w:rPr>
                <w:rFonts w:ascii="Times New Roman" w:hAnsi="Times New Roman" w:cs="Times New Roman"/>
                <w:b/>
                <w:bCs/>
                <w:sz w:val="24"/>
                <w:szCs w:val="24"/>
              </w:rPr>
            </w:pPr>
          </w:p>
        </w:tc>
        <w:tc>
          <w:tcPr>
            <w:tcW w:w="0" w:type="auto"/>
          </w:tcPr>
          <w:p w14:paraId="0657C456" w14:textId="2D760948"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Kocaeli EQ 1999</w:t>
            </w:r>
          </w:p>
        </w:tc>
        <w:tc>
          <w:tcPr>
            <w:tcW w:w="0" w:type="auto"/>
          </w:tcPr>
          <w:p w14:paraId="7013C8C4" w14:textId="7D4591AC" w:rsidR="00D17492" w:rsidRPr="00E93C0F" w:rsidRDefault="00D17492" w:rsidP="00F05620">
            <w:pPr>
              <w:pStyle w:val="Paragraph"/>
              <w:ind w:firstLine="0"/>
              <w:jc w:val="center"/>
              <w:rPr>
                <w:rFonts w:ascii="Times New Roman" w:hAnsi="Times New Roman" w:cs="Times New Roman"/>
                <w:sz w:val="24"/>
                <w:szCs w:val="24"/>
              </w:rPr>
            </w:pPr>
            <w:r w:rsidRPr="00E93C0F">
              <w:rPr>
                <w:rFonts w:ascii="Times New Roman" w:hAnsi="Times New Roman" w:cs="Times New Roman"/>
                <w:sz w:val="24"/>
                <w:szCs w:val="24"/>
              </w:rPr>
              <w:t>1.5309</w:t>
            </w:r>
          </w:p>
        </w:tc>
        <w:tc>
          <w:tcPr>
            <w:tcW w:w="0" w:type="auto"/>
          </w:tcPr>
          <w:p w14:paraId="420A09E1" w14:textId="2C15A69C"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0.10</w:t>
            </w:r>
          </w:p>
        </w:tc>
        <w:tc>
          <w:tcPr>
            <w:tcW w:w="0" w:type="auto"/>
          </w:tcPr>
          <w:p w14:paraId="1629CE30" w14:textId="527E9CD9"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0.70</w:t>
            </w:r>
          </w:p>
        </w:tc>
        <w:tc>
          <w:tcPr>
            <w:tcW w:w="0" w:type="auto"/>
          </w:tcPr>
          <w:p w14:paraId="5CD7CBEC" w14:textId="21E33F31"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1.80</w:t>
            </w:r>
          </w:p>
        </w:tc>
      </w:tr>
      <w:tr w:rsidR="00D17492" w:rsidRPr="00E93C0F" w14:paraId="432685B2" w14:textId="77777777" w:rsidTr="00E93C0F">
        <w:tc>
          <w:tcPr>
            <w:tcW w:w="0" w:type="auto"/>
            <w:vMerge w:val="restart"/>
            <w:vAlign w:val="center"/>
          </w:tcPr>
          <w:p w14:paraId="4F3AF5C8" w14:textId="77777777" w:rsidR="00D17492" w:rsidRPr="00E93C0F" w:rsidRDefault="00D17492"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0.03g</w:t>
            </w:r>
          </w:p>
        </w:tc>
        <w:tc>
          <w:tcPr>
            <w:tcW w:w="0" w:type="auto"/>
          </w:tcPr>
          <w:p w14:paraId="23F3D033" w14:textId="0A6822E5"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Kobe EQ 1995</w:t>
            </w:r>
          </w:p>
        </w:tc>
        <w:tc>
          <w:tcPr>
            <w:tcW w:w="0" w:type="auto"/>
          </w:tcPr>
          <w:p w14:paraId="5B87067F" w14:textId="4448FBF1" w:rsidR="00D17492" w:rsidRPr="00E93C0F" w:rsidRDefault="00D17492" w:rsidP="00F05620">
            <w:pPr>
              <w:pStyle w:val="Paragraph"/>
              <w:ind w:firstLine="0"/>
              <w:jc w:val="center"/>
              <w:rPr>
                <w:rFonts w:ascii="Times New Roman" w:hAnsi="Times New Roman" w:cs="Times New Roman"/>
                <w:sz w:val="24"/>
                <w:szCs w:val="24"/>
              </w:rPr>
            </w:pPr>
            <w:r w:rsidRPr="00E93C0F">
              <w:rPr>
                <w:rFonts w:ascii="Times New Roman" w:hAnsi="Times New Roman" w:cs="Times New Roman"/>
                <w:sz w:val="24"/>
                <w:szCs w:val="24"/>
              </w:rPr>
              <w:t>1.1798</w:t>
            </w:r>
          </w:p>
        </w:tc>
        <w:tc>
          <w:tcPr>
            <w:tcW w:w="0" w:type="auto"/>
          </w:tcPr>
          <w:p w14:paraId="66112B66" w14:textId="42D34568"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0.20</w:t>
            </w:r>
          </w:p>
        </w:tc>
        <w:tc>
          <w:tcPr>
            <w:tcW w:w="0" w:type="auto"/>
          </w:tcPr>
          <w:p w14:paraId="3BBACC29" w14:textId="3BA411AE"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0.70</w:t>
            </w:r>
          </w:p>
        </w:tc>
        <w:tc>
          <w:tcPr>
            <w:tcW w:w="0" w:type="auto"/>
          </w:tcPr>
          <w:p w14:paraId="08370E26" w14:textId="636F789F"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1.80</w:t>
            </w:r>
          </w:p>
        </w:tc>
      </w:tr>
      <w:tr w:rsidR="00D17492" w:rsidRPr="00E93C0F" w14:paraId="06333A69" w14:textId="77777777" w:rsidTr="00E93C0F">
        <w:tc>
          <w:tcPr>
            <w:tcW w:w="0" w:type="auto"/>
            <w:vMerge/>
          </w:tcPr>
          <w:p w14:paraId="37E3D8DA" w14:textId="77777777" w:rsidR="00D17492" w:rsidRPr="00E93C0F" w:rsidRDefault="00D17492" w:rsidP="00A36FB0">
            <w:pPr>
              <w:pStyle w:val="Paragraph"/>
              <w:ind w:firstLine="0"/>
              <w:rPr>
                <w:rFonts w:ascii="Times New Roman" w:hAnsi="Times New Roman" w:cs="Times New Roman"/>
                <w:b/>
                <w:bCs/>
                <w:sz w:val="24"/>
                <w:szCs w:val="24"/>
              </w:rPr>
            </w:pPr>
          </w:p>
        </w:tc>
        <w:tc>
          <w:tcPr>
            <w:tcW w:w="0" w:type="auto"/>
          </w:tcPr>
          <w:p w14:paraId="3B02FF35" w14:textId="6150908D"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Chi-Chi EQ 1999</w:t>
            </w:r>
          </w:p>
        </w:tc>
        <w:tc>
          <w:tcPr>
            <w:tcW w:w="0" w:type="auto"/>
          </w:tcPr>
          <w:p w14:paraId="7D057030" w14:textId="296903FD" w:rsidR="00D17492" w:rsidRPr="00E93C0F" w:rsidRDefault="00D17492" w:rsidP="00F05620">
            <w:pPr>
              <w:pStyle w:val="Paragraph"/>
              <w:ind w:firstLine="0"/>
              <w:jc w:val="center"/>
              <w:rPr>
                <w:rFonts w:ascii="Times New Roman" w:hAnsi="Times New Roman" w:cs="Times New Roman"/>
                <w:sz w:val="24"/>
                <w:szCs w:val="24"/>
              </w:rPr>
            </w:pPr>
            <w:r w:rsidRPr="00E93C0F">
              <w:rPr>
                <w:rFonts w:ascii="Times New Roman" w:hAnsi="Times New Roman" w:cs="Times New Roman"/>
                <w:sz w:val="24"/>
                <w:szCs w:val="24"/>
              </w:rPr>
              <w:t>1.0765</w:t>
            </w:r>
          </w:p>
        </w:tc>
        <w:tc>
          <w:tcPr>
            <w:tcW w:w="0" w:type="auto"/>
          </w:tcPr>
          <w:p w14:paraId="54ADDCC5" w14:textId="51569CA3"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0.25</w:t>
            </w:r>
          </w:p>
        </w:tc>
        <w:tc>
          <w:tcPr>
            <w:tcW w:w="0" w:type="auto"/>
          </w:tcPr>
          <w:p w14:paraId="2CFB4ACF" w14:textId="7F1282AA"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0.80</w:t>
            </w:r>
          </w:p>
        </w:tc>
        <w:tc>
          <w:tcPr>
            <w:tcW w:w="0" w:type="auto"/>
          </w:tcPr>
          <w:p w14:paraId="3F71A77D" w14:textId="3495767F"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1.80</w:t>
            </w:r>
          </w:p>
        </w:tc>
      </w:tr>
      <w:tr w:rsidR="00D17492" w:rsidRPr="00E93C0F" w14:paraId="11620DAE" w14:textId="77777777" w:rsidTr="00E93C0F">
        <w:tc>
          <w:tcPr>
            <w:tcW w:w="0" w:type="auto"/>
            <w:vMerge/>
          </w:tcPr>
          <w:p w14:paraId="76547302" w14:textId="77777777" w:rsidR="00D17492" w:rsidRPr="00E93C0F" w:rsidRDefault="00D17492" w:rsidP="00A36FB0">
            <w:pPr>
              <w:pStyle w:val="Paragraph"/>
              <w:ind w:firstLine="0"/>
              <w:rPr>
                <w:rFonts w:ascii="Times New Roman" w:hAnsi="Times New Roman" w:cs="Times New Roman"/>
                <w:b/>
                <w:bCs/>
                <w:sz w:val="24"/>
                <w:szCs w:val="24"/>
              </w:rPr>
            </w:pPr>
          </w:p>
        </w:tc>
        <w:tc>
          <w:tcPr>
            <w:tcW w:w="0" w:type="auto"/>
          </w:tcPr>
          <w:p w14:paraId="20CCFBA8" w14:textId="5412384B"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Kocaeli EQ 1999</w:t>
            </w:r>
          </w:p>
        </w:tc>
        <w:tc>
          <w:tcPr>
            <w:tcW w:w="0" w:type="auto"/>
          </w:tcPr>
          <w:p w14:paraId="72DF0D1B" w14:textId="60209EDA" w:rsidR="00D17492" w:rsidRPr="00E93C0F" w:rsidRDefault="00D17492" w:rsidP="00F05620">
            <w:pPr>
              <w:pStyle w:val="Paragraph"/>
              <w:ind w:firstLine="0"/>
              <w:jc w:val="center"/>
              <w:rPr>
                <w:rFonts w:ascii="Times New Roman" w:hAnsi="Times New Roman" w:cs="Times New Roman"/>
                <w:sz w:val="24"/>
                <w:szCs w:val="24"/>
              </w:rPr>
            </w:pPr>
            <w:r w:rsidRPr="00E93C0F">
              <w:rPr>
                <w:rFonts w:ascii="Times New Roman" w:hAnsi="Times New Roman" w:cs="Times New Roman"/>
                <w:sz w:val="24"/>
                <w:szCs w:val="24"/>
              </w:rPr>
              <w:t>1.2311</w:t>
            </w:r>
          </w:p>
        </w:tc>
        <w:tc>
          <w:tcPr>
            <w:tcW w:w="0" w:type="auto"/>
          </w:tcPr>
          <w:p w14:paraId="7206C409" w14:textId="231CD037"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0.10</w:t>
            </w:r>
          </w:p>
        </w:tc>
        <w:tc>
          <w:tcPr>
            <w:tcW w:w="0" w:type="auto"/>
          </w:tcPr>
          <w:p w14:paraId="089B7799" w14:textId="060CE214"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0.30</w:t>
            </w:r>
          </w:p>
        </w:tc>
        <w:tc>
          <w:tcPr>
            <w:tcW w:w="0" w:type="auto"/>
          </w:tcPr>
          <w:p w14:paraId="4F47D277" w14:textId="499E5BF0" w:rsidR="00D17492" w:rsidRPr="00E93C0F" w:rsidRDefault="00D17492" w:rsidP="00A36FB0">
            <w:pPr>
              <w:pStyle w:val="Paragraph"/>
              <w:ind w:firstLine="0"/>
              <w:rPr>
                <w:rFonts w:ascii="Times New Roman" w:hAnsi="Times New Roman" w:cs="Times New Roman"/>
                <w:sz w:val="24"/>
                <w:szCs w:val="24"/>
              </w:rPr>
            </w:pPr>
            <w:r w:rsidRPr="00E93C0F">
              <w:rPr>
                <w:rFonts w:ascii="Times New Roman" w:hAnsi="Times New Roman" w:cs="Times New Roman"/>
                <w:sz w:val="24"/>
                <w:szCs w:val="24"/>
              </w:rPr>
              <w:t>1.80</w:t>
            </w:r>
          </w:p>
        </w:tc>
      </w:tr>
    </w:tbl>
    <w:p w14:paraId="552AE7BA" w14:textId="77777777" w:rsidR="0034685F" w:rsidRPr="00E93C0F" w:rsidRDefault="0034685F" w:rsidP="00A36FB0">
      <w:pPr>
        <w:pStyle w:val="Paragraph"/>
        <w:ind w:firstLine="0"/>
        <w:rPr>
          <w:rFonts w:ascii="Times New Roman" w:hAnsi="Times New Roman" w:cs="Times New Roman"/>
          <w:b/>
          <w:bCs/>
          <w:sz w:val="24"/>
          <w:szCs w:val="24"/>
        </w:rPr>
      </w:pPr>
    </w:p>
    <w:p w14:paraId="77F0DA54" w14:textId="77777777" w:rsidR="00492CBA" w:rsidRPr="00E93C0F" w:rsidRDefault="00492CBA" w:rsidP="00A36FB0">
      <w:pPr>
        <w:pStyle w:val="Paragraph"/>
        <w:ind w:firstLine="0"/>
        <w:rPr>
          <w:rFonts w:ascii="Times New Roman" w:hAnsi="Times New Roman" w:cs="Times New Roman"/>
          <w:b/>
          <w:bCs/>
          <w:sz w:val="24"/>
          <w:szCs w:val="24"/>
        </w:rPr>
      </w:pPr>
    </w:p>
    <w:p w14:paraId="1F6EF705" w14:textId="7F073495" w:rsidR="00FB50FA" w:rsidRPr="00E93C0F" w:rsidRDefault="006C7DF5" w:rsidP="00A36FB0">
      <w:pPr>
        <w:pStyle w:val="Paragraph"/>
        <w:ind w:firstLine="0"/>
        <w:rPr>
          <w:rFonts w:ascii="Times New Roman" w:hAnsi="Times New Roman" w:cs="Times New Roman"/>
          <w:b/>
          <w:bCs/>
          <w:sz w:val="24"/>
          <w:szCs w:val="24"/>
        </w:rPr>
      </w:pPr>
      <w:r w:rsidRPr="00E93C0F">
        <w:rPr>
          <w:rFonts w:ascii="Times New Roman" w:hAnsi="Times New Roman" w:cs="Times New Roman"/>
          <w:b/>
          <w:bCs/>
          <w:sz w:val="24"/>
          <w:szCs w:val="24"/>
        </w:rPr>
        <w:t xml:space="preserve">Surface PGA </w:t>
      </w:r>
      <w:r w:rsidR="000D5E85" w:rsidRPr="00E93C0F">
        <w:rPr>
          <w:rFonts w:ascii="Times New Roman" w:hAnsi="Times New Roman" w:cs="Times New Roman"/>
          <w:b/>
          <w:bCs/>
          <w:sz w:val="24"/>
          <w:szCs w:val="24"/>
        </w:rPr>
        <w:t>Results</w:t>
      </w:r>
    </w:p>
    <w:p w14:paraId="5B64B0B6" w14:textId="4CB5C29E" w:rsidR="00F77F86" w:rsidRPr="00FB50FA" w:rsidRDefault="00E93C0F" w:rsidP="005D6CB6">
      <w:pPr>
        <w:pStyle w:val="Paragraph"/>
        <w:ind w:firstLine="0"/>
        <w:rPr>
          <w:rFonts w:ascii="Times New Roman" w:hAnsi="Times New Roman" w:cs="Times New Roman"/>
          <w:sz w:val="24"/>
          <w:szCs w:val="24"/>
        </w:rPr>
      </w:pPr>
      <w:r>
        <w:rPr>
          <w:rFonts w:ascii="Times New Roman" w:hAnsi="Times New Roman" w:cs="Times New Roman"/>
          <w:sz w:val="24"/>
          <w:szCs w:val="24"/>
          <w:lang w:val="en-MY"/>
        </w:rPr>
        <w:t xml:space="preserve">Previous relevant studies indicate </w:t>
      </w:r>
      <w:r w:rsidR="00FB50FA">
        <w:rPr>
          <w:rFonts w:ascii="Times New Roman" w:hAnsi="Times New Roman" w:cs="Times New Roman"/>
          <w:sz w:val="24"/>
          <w:szCs w:val="24"/>
          <w:lang w:val="en-MY"/>
        </w:rPr>
        <w:t xml:space="preserve">PGA values at bedrock </w:t>
      </w:r>
      <w:r w:rsidR="000D5E85" w:rsidRPr="00E93C0F">
        <w:rPr>
          <w:rFonts w:ascii="Times New Roman" w:hAnsi="Times New Roman" w:cs="Times New Roman"/>
          <w:sz w:val="24"/>
          <w:szCs w:val="24"/>
          <w:lang w:val="en-MY"/>
        </w:rPr>
        <w:t xml:space="preserve">for the Sipitang area in Sabah, as shown in </w:t>
      </w:r>
      <w:r w:rsidR="000D5E85" w:rsidRPr="00E93C0F">
        <w:rPr>
          <w:rFonts w:ascii="Times New Roman" w:hAnsi="Times New Roman" w:cs="Times New Roman"/>
          <w:b/>
          <w:bCs/>
          <w:sz w:val="24"/>
          <w:szCs w:val="24"/>
          <w:lang w:val="en-MY"/>
        </w:rPr>
        <w:t xml:space="preserve">Table </w:t>
      </w:r>
      <w:r w:rsidR="009A053D" w:rsidRPr="00E93C0F">
        <w:rPr>
          <w:rFonts w:ascii="Times New Roman" w:hAnsi="Times New Roman" w:cs="Times New Roman"/>
          <w:b/>
          <w:bCs/>
          <w:sz w:val="24"/>
          <w:szCs w:val="24"/>
          <w:lang w:val="en-MY"/>
        </w:rPr>
        <w:t>1</w:t>
      </w:r>
      <w:r w:rsidR="00F5531D" w:rsidRPr="00E93C0F">
        <w:rPr>
          <w:rFonts w:ascii="Times New Roman" w:hAnsi="Times New Roman" w:cs="Times New Roman"/>
          <w:b/>
          <w:bCs/>
          <w:sz w:val="24"/>
          <w:szCs w:val="24"/>
          <w:lang w:val="en-MY"/>
        </w:rPr>
        <w:t>3</w:t>
      </w:r>
      <w:r w:rsidR="000D5E85" w:rsidRPr="00E93C0F">
        <w:rPr>
          <w:rFonts w:ascii="Times New Roman" w:hAnsi="Times New Roman" w:cs="Times New Roman"/>
          <w:b/>
          <w:bCs/>
          <w:sz w:val="24"/>
          <w:szCs w:val="24"/>
          <w:lang w:val="en-MY"/>
        </w:rPr>
        <w:t>.</w:t>
      </w:r>
      <w:r w:rsidR="005D6CB6">
        <w:rPr>
          <w:rFonts w:ascii="Times New Roman" w:hAnsi="Times New Roman" w:cs="Times New Roman"/>
          <w:b/>
          <w:bCs/>
          <w:sz w:val="24"/>
          <w:szCs w:val="24"/>
          <w:lang w:val="en-MY"/>
        </w:rPr>
        <w:t xml:space="preserve"> </w:t>
      </w:r>
      <w:r w:rsidR="00FB50FA">
        <w:rPr>
          <w:rFonts w:ascii="Times New Roman" w:hAnsi="Times New Roman" w:cs="Times New Roman"/>
          <w:b/>
          <w:bCs/>
          <w:sz w:val="24"/>
          <w:szCs w:val="24"/>
          <w:lang w:val="en-MY"/>
        </w:rPr>
        <w:t>While the</w:t>
      </w:r>
      <w:r w:rsidR="00FB50FA" w:rsidRPr="00E93C0F">
        <w:rPr>
          <w:rFonts w:ascii="Times New Roman" w:hAnsi="Times New Roman" w:cs="Times New Roman"/>
          <w:sz w:val="24"/>
          <w:szCs w:val="24"/>
        </w:rPr>
        <w:t xml:space="preserve"> computed surface PGA from this study is summarised in </w:t>
      </w:r>
      <w:r w:rsidR="00FB50FA" w:rsidRPr="00E93C0F">
        <w:rPr>
          <w:rFonts w:ascii="Times New Roman" w:hAnsi="Times New Roman" w:cs="Times New Roman"/>
          <w:b/>
          <w:bCs/>
          <w:sz w:val="24"/>
          <w:szCs w:val="24"/>
        </w:rPr>
        <w:t>Table 14</w:t>
      </w:r>
      <w:r w:rsidR="00FB50FA" w:rsidRPr="00E93C0F">
        <w:rPr>
          <w:rFonts w:ascii="Times New Roman" w:hAnsi="Times New Roman" w:cs="Times New Roman"/>
          <w:sz w:val="24"/>
          <w:szCs w:val="24"/>
        </w:rPr>
        <w:t>.</w:t>
      </w:r>
      <w:r w:rsidR="00FB50FA">
        <w:rPr>
          <w:rFonts w:ascii="Times New Roman" w:hAnsi="Times New Roman" w:cs="Times New Roman"/>
          <w:sz w:val="24"/>
          <w:szCs w:val="24"/>
        </w:rPr>
        <w:t xml:space="preserve"> </w:t>
      </w:r>
      <w:r w:rsidR="005D6CB6" w:rsidRPr="00FB50FA">
        <w:rPr>
          <w:rFonts w:ascii="Times New Roman" w:hAnsi="Times New Roman" w:cs="Times New Roman"/>
          <w:sz w:val="24"/>
          <w:szCs w:val="24"/>
          <w:lang w:val="en-MY"/>
        </w:rPr>
        <w:t xml:space="preserve">The computed surface PGA values are consistently higher than those </w:t>
      </w:r>
      <w:r w:rsidR="00FB50FA" w:rsidRPr="00FB50FA">
        <w:rPr>
          <w:rFonts w:ascii="Times New Roman" w:hAnsi="Times New Roman" w:cs="Times New Roman"/>
          <w:sz w:val="24"/>
          <w:szCs w:val="24"/>
          <w:lang w:val="en-MY"/>
        </w:rPr>
        <w:t>shown in the Malaysian Seismic Hazard Map (2017), suggesting</w:t>
      </w:r>
      <w:r w:rsidR="005D6CB6" w:rsidRPr="00FB50FA">
        <w:rPr>
          <w:rFonts w:ascii="Times New Roman" w:hAnsi="Times New Roman" w:cs="Times New Roman"/>
          <w:sz w:val="24"/>
          <w:szCs w:val="24"/>
          <w:lang w:val="en-MY"/>
        </w:rPr>
        <w:t xml:space="preserve"> bedrock PGA values of approximately 0.01g to 0.02g. This indicates that reliance solely on regional hazard maps may lead to underestimation of seismic demand at the site.</w:t>
      </w:r>
      <w:r w:rsidR="00FB50FA">
        <w:rPr>
          <w:rFonts w:ascii="Times New Roman" w:hAnsi="Times New Roman" w:cs="Times New Roman"/>
          <w:sz w:val="24"/>
          <w:szCs w:val="24"/>
        </w:rPr>
        <w:t xml:space="preserve"> </w:t>
      </w:r>
      <w:r w:rsidR="005D6CB6" w:rsidRPr="00FB50FA">
        <w:rPr>
          <w:rFonts w:ascii="Times New Roman" w:hAnsi="Times New Roman" w:cs="Times New Roman"/>
          <w:sz w:val="24"/>
          <w:szCs w:val="24"/>
          <w:lang w:val="en-MY"/>
        </w:rPr>
        <w:t xml:space="preserve">The increase in PGA due to local site effects </w:t>
      </w:r>
      <w:r w:rsidR="00FB50FA" w:rsidRPr="00FB50FA">
        <w:rPr>
          <w:rFonts w:ascii="Times New Roman" w:hAnsi="Times New Roman" w:cs="Times New Roman"/>
          <w:sz w:val="24"/>
          <w:szCs w:val="24"/>
          <w:lang w:val="en-MY"/>
        </w:rPr>
        <w:t>underscores the importance of accounting for</w:t>
      </w:r>
      <w:r w:rsidR="005D6CB6" w:rsidRPr="00FB50FA">
        <w:rPr>
          <w:rFonts w:ascii="Times New Roman" w:hAnsi="Times New Roman" w:cs="Times New Roman"/>
          <w:sz w:val="24"/>
          <w:szCs w:val="24"/>
          <w:lang w:val="en-MY"/>
        </w:rPr>
        <w:t xml:space="preserve"> soil amplification in seismic design. For critical infrastructure such as oil and gas facilities, even moderate increases in PGA can significantly impact structural performance and safety margins.</w:t>
      </w:r>
    </w:p>
    <w:p w14:paraId="5B9F1DA8" w14:textId="77777777" w:rsidR="009A053D" w:rsidRPr="00E93C0F" w:rsidRDefault="009A053D" w:rsidP="00A36FB0">
      <w:pPr>
        <w:pStyle w:val="Paragraph"/>
        <w:ind w:firstLine="0"/>
        <w:rPr>
          <w:rFonts w:ascii="Times New Roman" w:hAnsi="Times New Roman" w:cs="Times New Roman"/>
          <w:b/>
          <w:bCs/>
          <w:sz w:val="24"/>
          <w:szCs w:val="24"/>
          <w:lang w:val="en-MY"/>
        </w:rPr>
      </w:pPr>
    </w:p>
    <w:p w14:paraId="5D8ECF64" w14:textId="47832158" w:rsidR="00A02C88" w:rsidRPr="00E93C0F" w:rsidRDefault="00A02C88" w:rsidP="00A36FB0">
      <w:pPr>
        <w:pStyle w:val="Paragraph"/>
        <w:ind w:firstLine="0"/>
        <w:rPr>
          <w:rFonts w:ascii="Times New Roman" w:hAnsi="Times New Roman" w:cs="Times New Roman"/>
          <w:sz w:val="24"/>
          <w:szCs w:val="24"/>
        </w:rPr>
      </w:pPr>
      <w:r w:rsidRPr="00E93C0F">
        <w:rPr>
          <w:rFonts w:ascii="Times New Roman" w:hAnsi="Times New Roman" w:cs="Times New Roman"/>
          <w:b/>
          <w:bCs/>
          <w:sz w:val="24"/>
          <w:szCs w:val="24"/>
        </w:rPr>
        <w:t xml:space="preserve">Table </w:t>
      </w:r>
      <w:r w:rsidR="009A053D" w:rsidRPr="00E93C0F">
        <w:rPr>
          <w:rFonts w:ascii="Times New Roman" w:hAnsi="Times New Roman" w:cs="Times New Roman"/>
          <w:b/>
          <w:bCs/>
          <w:sz w:val="24"/>
          <w:szCs w:val="24"/>
        </w:rPr>
        <w:t>1</w:t>
      </w:r>
      <w:r w:rsidR="00F5531D" w:rsidRPr="00E93C0F">
        <w:rPr>
          <w:rFonts w:ascii="Times New Roman" w:hAnsi="Times New Roman" w:cs="Times New Roman"/>
          <w:b/>
          <w:bCs/>
          <w:sz w:val="24"/>
          <w:szCs w:val="24"/>
        </w:rPr>
        <w:t>3</w:t>
      </w:r>
      <w:r w:rsidRPr="00E93C0F">
        <w:rPr>
          <w:rFonts w:ascii="Times New Roman" w:hAnsi="Times New Roman" w:cs="Times New Roman"/>
          <w:b/>
          <w:bCs/>
          <w:sz w:val="24"/>
          <w:szCs w:val="24"/>
        </w:rPr>
        <w:t xml:space="preserve">. </w:t>
      </w:r>
      <w:r w:rsidRPr="00E93C0F">
        <w:rPr>
          <w:rFonts w:ascii="Times New Roman" w:hAnsi="Times New Roman" w:cs="Times New Roman"/>
          <w:sz w:val="24"/>
          <w:szCs w:val="24"/>
        </w:rPr>
        <w:t>The</w:t>
      </w:r>
      <w:r w:rsidRPr="00E93C0F">
        <w:rPr>
          <w:rFonts w:ascii="Times New Roman" w:hAnsi="Times New Roman" w:cs="Times New Roman"/>
          <w:b/>
          <w:bCs/>
          <w:sz w:val="24"/>
          <w:szCs w:val="24"/>
        </w:rPr>
        <w:t xml:space="preserve"> </w:t>
      </w:r>
      <w:r w:rsidRPr="00E93C0F">
        <w:rPr>
          <w:rFonts w:ascii="Times New Roman" w:hAnsi="Times New Roman" w:cs="Times New Roman"/>
          <w:sz w:val="24"/>
          <w:szCs w:val="24"/>
        </w:rPr>
        <w:t>range</w:t>
      </w:r>
      <w:r w:rsidRPr="00E93C0F">
        <w:rPr>
          <w:rFonts w:ascii="Times New Roman" w:hAnsi="Times New Roman" w:cs="Times New Roman"/>
          <w:b/>
          <w:bCs/>
          <w:sz w:val="24"/>
          <w:szCs w:val="24"/>
        </w:rPr>
        <w:t xml:space="preserve"> </w:t>
      </w:r>
      <w:r w:rsidR="007A22D4" w:rsidRPr="00E93C0F">
        <w:rPr>
          <w:rFonts w:ascii="Times New Roman" w:hAnsi="Times New Roman" w:cs="Times New Roman"/>
          <w:sz w:val="24"/>
          <w:szCs w:val="24"/>
        </w:rPr>
        <w:t>of</w:t>
      </w:r>
      <w:r w:rsidR="007A22D4" w:rsidRPr="00E93C0F">
        <w:rPr>
          <w:rFonts w:ascii="Times New Roman" w:hAnsi="Times New Roman" w:cs="Times New Roman"/>
          <w:b/>
          <w:bCs/>
          <w:sz w:val="24"/>
          <w:szCs w:val="24"/>
        </w:rPr>
        <w:t xml:space="preserve"> </w:t>
      </w:r>
      <w:r w:rsidRPr="00E93C0F">
        <w:rPr>
          <w:rFonts w:ascii="Times New Roman" w:hAnsi="Times New Roman" w:cs="Times New Roman"/>
          <w:sz w:val="24"/>
          <w:szCs w:val="24"/>
        </w:rPr>
        <w:t>PGA at bedrock values for Sipitang, Sabah</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721"/>
        <w:gridCol w:w="2135"/>
      </w:tblGrid>
      <w:tr w:rsidR="00A02C88" w:rsidRPr="00E93C0F" w14:paraId="143ABE19" w14:textId="77777777" w:rsidTr="00E93C0F">
        <w:trPr>
          <w:trHeight w:val="170"/>
        </w:trPr>
        <w:tc>
          <w:tcPr>
            <w:tcW w:w="0" w:type="auto"/>
          </w:tcPr>
          <w:p w14:paraId="44DAC12F" w14:textId="77777777" w:rsidR="00A02C88" w:rsidRPr="00E93C0F" w:rsidRDefault="00A02C88" w:rsidP="00A36FB0">
            <w:pPr>
              <w:pStyle w:val="TableParagraph"/>
              <w:ind w:left="110"/>
              <w:contextualSpacing/>
              <w:jc w:val="both"/>
              <w:rPr>
                <w:rFonts w:ascii="Times New Roman" w:hAnsi="Times New Roman" w:cs="Times New Roman"/>
                <w:b/>
                <w:sz w:val="24"/>
                <w:szCs w:val="24"/>
                <w:lang w:val="en-GB"/>
              </w:rPr>
            </w:pPr>
            <w:r w:rsidRPr="00E93C0F">
              <w:rPr>
                <w:rFonts w:ascii="Times New Roman" w:hAnsi="Times New Roman" w:cs="Times New Roman"/>
                <w:b/>
                <w:spacing w:val="-2"/>
                <w:sz w:val="24"/>
                <w:szCs w:val="24"/>
                <w:lang w:val="en-GB"/>
              </w:rPr>
              <w:t>Reference</w:t>
            </w:r>
          </w:p>
        </w:tc>
        <w:tc>
          <w:tcPr>
            <w:tcW w:w="0" w:type="auto"/>
          </w:tcPr>
          <w:p w14:paraId="17321207" w14:textId="77777777" w:rsidR="00A02C88" w:rsidRPr="00E93C0F" w:rsidRDefault="00A02C88" w:rsidP="00A36FB0">
            <w:pPr>
              <w:pStyle w:val="TableParagraph"/>
              <w:ind w:left="3"/>
              <w:contextualSpacing/>
              <w:jc w:val="both"/>
              <w:rPr>
                <w:rFonts w:ascii="Times New Roman" w:hAnsi="Times New Roman" w:cs="Times New Roman"/>
                <w:b/>
                <w:sz w:val="24"/>
                <w:szCs w:val="24"/>
                <w:lang w:val="en-GB"/>
              </w:rPr>
            </w:pPr>
            <w:r w:rsidRPr="00E93C0F">
              <w:rPr>
                <w:rFonts w:ascii="Times New Roman" w:hAnsi="Times New Roman" w:cs="Times New Roman"/>
                <w:b/>
                <w:sz w:val="24"/>
                <w:szCs w:val="24"/>
                <w:lang w:val="en-GB"/>
              </w:rPr>
              <w:t>10%</w:t>
            </w:r>
            <w:r w:rsidRPr="00E93C0F">
              <w:rPr>
                <w:rFonts w:ascii="Times New Roman" w:hAnsi="Times New Roman" w:cs="Times New Roman"/>
                <w:b/>
                <w:spacing w:val="5"/>
                <w:sz w:val="24"/>
                <w:szCs w:val="24"/>
                <w:lang w:val="en-GB"/>
              </w:rPr>
              <w:t xml:space="preserve"> PE </w:t>
            </w:r>
            <w:r w:rsidRPr="00E93C0F">
              <w:rPr>
                <w:rFonts w:ascii="Times New Roman" w:hAnsi="Times New Roman" w:cs="Times New Roman"/>
                <w:b/>
                <w:spacing w:val="-5"/>
                <w:sz w:val="24"/>
                <w:szCs w:val="24"/>
                <w:lang w:val="en-GB"/>
              </w:rPr>
              <w:t>(g) / 475 Yrs</w:t>
            </w:r>
          </w:p>
        </w:tc>
      </w:tr>
      <w:tr w:rsidR="00A02C88" w:rsidRPr="00E93C0F" w14:paraId="6642B94E" w14:textId="77777777" w:rsidTr="00E93C0F">
        <w:trPr>
          <w:trHeight w:val="170"/>
        </w:trPr>
        <w:tc>
          <w:tcPr>
            <w:tcW w:w="0" w:type="auto"/>
          </w:tcPr>
          <w:p w14:paraId="2C9B70C4" w14:textId="77777777" w:rsidR="00A02C88" w:rsidRPr="00E93C0F" w:rsidRDefault="00A02C88" w:rsidP="00A36FB0">
            <w:pPr>
              <w:pStyle w:val="TableParagraph"/>
              <w:ind w:left="110"/>
              <w:contextualSpacing/>
              <w:jc w:val="both"/>
              <w:rPr>
                <w:rFonts w:ascii="Times New Roman" w:hAnsi="Times New Roman" w:cs="Times New Roman"/>
                <w:sz w:val="24"/>
                <w:szCs w:val="24"/>
                <w:lang w:val="en-GB"/>
              </w:rPr>
            </w:pPr>
            <w:r w:rsidRPr="00E93C0F">
              <w:rPr>
                <w:rFonts w:ascii="Times New Roman" w:hAnsi="Times New Roman" w:cs="Times New Roman"/>
                <w:sz w:val="24"/>
                <w:szCs w:val="24"/>
                <w:lang w:val="en-GB"/>
              </w:rPr>
              <w:t>(Giardini,</w:t>
            </w:r>
            <w:r w:rsidRPr="00E93C0F">
              <w:rPr>
                <w:rFonts w:ascii="Times New Roman" w:hAnsi="Times New Roman" w:cs="Times New Roman"/>
                <w:spacing w:val="-2"/>
                <w:sz w:val="24"/>
                <w:szCs w:val="24"/>
                <w:lang w:val="en-GB"/>
              </w:rPr>
              <w:t xml:space="preserve"> 2003)</w:t>
            </w:r>
          </w:p>
        </w:tc>
        <w:tc>
          <w:tcPr>
            <w:tcW w:w="0" w:type="auto"/>
          </w:tcPr>
          <w:p w14:paraId="6241E512" w14:textId="63DE9FC8" w:rsidR="00A02C88" w:rsidRPr="00E93C0F" w:rsidRDefault="00A02C88" w:rsidP="00F05620">
            <w:pPr>
              <w:pStyle w:val="TableParagraph"/>
              <w:contextualSpacing/>
              <w:jc w:val="center"/>
              <w:rPr>
                <w:rFonts w:ascii="Times New Roman" w:hAnsi="Times New Roman" w:cs="Times New Roman"/>
                <w:sz w:val="24"/>
                <w:szCs w:val="24"/>
                <w:lang w:val="en-GB"/>
              </w:rPr>
            </w:pPr>
            <w:r w:rsidRPr="00E93C0F">
              <w:rPr>
                <w:rFonts w:ascii="Times New Roman" w:hAnsi="Times New Roman" w:cs="Times New Roman"/>
                <w:sz w:val="24"/>
                <w:szCs w:val="24"/>
                <w:lang w:val="en-GB"/>
              </w:rPr>
              <w:t xml:space="preserve">0.04g – </w:t>
            </w:r>
            <w:r w:rsidRPr="00E93C0F">
              <w:rPr>
                <w:rFonts w:ascii="Times New Roman" w:hAnsi="Times New Roman" w:cs="Times New Roman"/>
                <w:spacing w:val="-2"/>
                <w:sz w:val="24"/>
                <w:szCs w:val="24"/>
                <w:lang w:val="en-GB"/>
              </w:rPr>
              <w:t>0.08g</w:t>
            </w:r>
          </w:p>
        </w:tc>
      </w:tr>
      <w:tr w:rsidR="00A02C88" w:rsidRPr="00E93C0F" w14:paraId="2D06F223" w14:textId="77777777" w:rsidTr="00E93C0F">
        <w:trPr>
          <w:trHeight w:val="170"/>
        </w:trPr>
        <w:tc>
          <w:tcPr>
            <w:tcW w:w="0" w:type="auto"/>
          </w:tcPr>
          <w:p w14:paraId="28CBC612" w14:textId="77777777" w:rsidR="00A02C88" w:rsidRPr="00035A99" w:rsidRDefault="00A02C88" w:rsidP="00A36FB0">
            <w:pPr>
              <w:pStyle w:val="TableParagraph"/>
              <w:ind w:left="110"/>
              <w:contextualSpacing/>
              <w:jc w:val="both"/>
              <w:rPr>
                <w:rFonts w:ascii="Times New Roman" w:hAnsi="Times New Roman" w:cs="Times New Roman"/>
                <w:sz w:val="24"/>
                <w:szCs w:val="24"/>
                <w:lang w:val="nl-NL"/>
              </w:rPr>
            </w:pPr>
            <w:r w:rsidRPr="00035A99">
              <w:rPr>
                <w:rFonts w:ascii="Times New Roman" w:hAnsi="Times New Roman" w:cs="Times New Roman"/>
                <w:sz w:val="24"/>
                <w:szCs w:val="24"/>
                <w:lang w:val="nl-NL"/>
              </w:rPr>
              <w:t>(Petersen</w:t>
            </w:r>
            <w:r w:rsidRPr="00035A99">
              <w:rPr>
                <w:rFonts w:ascii="Times New Roman" w:hAnsi="Times New Roman" w:cs="Times New Roman"/>
                <w:spacing w:val="-4"/>
                <w:sz w:val="24"/>
                <w:szCs w:val="24"/>
                <w:lang w:val="nl-NL"/>
              </w:rPr>
              <w:t xml:space="preserve"> </w:t>
            </w:r>
            <w:r w:rsidRPr="00035A99">
              <w:rPr>
                <w:rFonts w:ascii="Times New Roman" w:hAnsi="Times New Roman" w:cs="Times New Roman"/>
                <w:sz w:val="24"/>
                <w:szCs w:val="24"/>
                <w:lang w:val="nl-NL"/>
              </w:rPr>
              <w:t>M.</w:t>
            </w:r>
            <w:r w:rsidRPr="00035A99">
              <w:rPr>
                <w:rFonts w:ascii="Times New Roman" w:hAnsi="Times New Roman" w:cs="Times New Roman"/>
                <w:spacing w:val="-4"/>
                <w:sz w:val="24"/>
                <w:szCs w:val="24"/>
                <w:lang w:val="nl-NL"/>
              </w:rPr>
              <w:t xml:space="preserve"> </w:t>
            </w:r>
            <w:r w:rsidRPr="00035A99">
              <w:rPr>
                <w:rFonts w:ascii="Times New Roman" w:hAnsi="Times New Roman" w:cs="Times New Roman"/>
                <w:sz w:val="24"/>
                <w:szCs w:val="24"/>
                <w:lang w:val="nl-NL"/>
              </w:rPr>
              <w:t>D.,</w:t>
            </w:r>
            <w:r w:rsidRPr="00035A99">
              <w:rPr>
                <w:rFonts w:ascii="Times New Roman" w:hAnsi="Times New Roman" w:cs="Times New Roman"/>
                <w:spacing w:val="1"/>
                <w:sz w:val="24"/>
                <w:szCs w:val="24"/>
                <w:lang w:val="nl-NL"/>
              </w:rPr>
              <w:t xml:space="preserve"> </w:t>
            </w:r>
            <w:r w:rsidRPr="00035A99">
              <w:rPr>
                <w:rFonts w:ascii="Times New Roman" w:hAnsi="Times New Roman" w:cs="Times New Roman"/>
                <w:sz w:val="24"/>
                <w:szCs w:val="24"/>
                <w:lang w:val="nl-NL"/>
              </w:rPr>
              <w:t>2007;</w:t>
            </w:r>
            <w:r w:rsidRPr="00035A99">
              <w:rPr>
                <w:rFonts w:ascii="Times New Roman" w:hAnsi="Times New Roman" w:cs="Times New Roman"/>
                <w:spacing w:val="-2"/>
                <w:sz w:val="24"/>
                <w:szCs w:val="24"/>
                <w:lang w:val="nl-NL"/>
              </w:rPr>
              <w:t xml:space="preserve"> </w:t>
            </w:r>
            <w:r w:rsidRPr="00035A99">
              <w:rPr>
                <w:rFonts w:ascii="Times New Roman" w:hAnsi="Times New Roman" w:cs="Times New Roman"/>
                <w:sz w:val="24"/>
                <w:szCs w:val="24"/>
                <w:lang w:val="nl-NL"/>
              </w:rPr>
              <w:t>Petersen</w:t>
            </w:r>
            <w:r w:rsidRPr="00035A99">
              <w:rPr>
                <w:rFonts w:ascii="Times New Roman" w:hAnsi="Times New Roman" w:cs="Times New Roman"/>
                <w:spacing w:val="-2"/>
                <w:sz w:val="24"/>
                <w:szCs w:val="24"/>
                <w:lang w:val="nl-NL"/>
              </w:rPr>
              <w:t xml:space="preserve"> </w:t>
            </w:r>
            <w:r w:rsidRPr="00035A99">
              <w:rPr>
                <w:rFonts w:ascii="Times New Roman" w:hAnsi="Times New Roman" w:cs="Times New Roman"/>
                <w:spacing w:val="-5"/>
                <w:sz w:val="24"/>
                <w:szCs w:val="24"/>
                <w:lang w:val="nl-NL"/>
              </w:rPr>
              <w:t xml:space="preserve">M. </w:t>
            </w:r>
            <w:r w:rsidRPr="00035A99">
              <w:rPr>
                <w:rFonts w:ascii="Times New Roman" w:hAnsi="Times New Roman" w:cs="Times New Roman"/>
                <w:sz w:val="24"/>
                <w:szCs w:val="24"/>
                <w:lang w:val="nl-NL"/>
              </w:rPr>
              <w:t>D.,</w:t>
            </w:r>
            <w:r w:rsidRPr="00035A99">
              <w:rPr>
                <w:rFonts w:ascii="Times New Roman" w:hAnsi="Times New Roman" w:cs="Times New Roman"/>
                <w:spacing w:val="2"/>
                <w:sz w:val="24"/>
                <w:szCs w:val="24"/>
                <w:lang w:val="nl-NL"/>
              </w:rPr>
              <w:t xml:space="preserve"> </w:t>
            </w:r>
            <w:r w:rsidRPr="00035A99">
              <w:rPr>
                <w:rFonts w:ascii="Times New Roman" w:hAnsi="Times New Roman" w:cs="Times New Roman"/>
                <w:spacing w:val="-2"/>
                <w:sz w:val="24"/>
                <w:szCs w:val="24"/>
                <w:lang w:val="nl-NL"/>
              </w:rPr>
              <w:t>2008)</w:t>
            </w:r>
          </w:p>
        </w:tc>
        <w:tc>
          <w:tcPr>
            <w:tcW w:w="0" w:type="auto"/>
          </w:tcPr>
          <w:p w14:paraId="2C7A671F" w14:textId="6CEC9699" w:rsidR="00A02C88" w:rsidRPr="00E93C0F" w:rsidRDefault="00A02C88" w:rsidP="00F05620">
            <w:pPr>
              <w:pStyle w:val="TableParagraph"/>
              <w:contextualSpacing/>
              <w:jc w:val="center"/>
              <w:rPr>
                <w:rFonts w:ascii="Times New Roman" w:hAnsi="Times New Roman" w:cs="Times New Roman"/>
                <w:sz w:val="24"/>
                <w:szCs w:val="24"/>
                <w:lang w:val="en-GB"/>
              </w:rPr>
            </w:pPr>
            <w:r w:rsidRPr="00E93C0F">
              <w:rPr>
                <w:rFonts w:ascii="Times New Roman" w:hAnsi="Times New Roman" w:cs="Times New Roman"/>
                <w:sz w:val="24"/>
                <w:szCs w:val="24"/>
                <w:lang w:val="en-GB"/>
              </w:rPr>
              <w:t>0.02g –</w:t>
            </w:r>
            <w:r w:rsidRPr="00E93C0F">
              <w:rPr>
                <w:rFonts w:ascii="Times New Roman" w:hAnsi="Times New Roman" w:cs="Times New Roman"/>
                <w:spacing w:val="4"/>
                <w:sz w:val="24"/>
                <w:szCs w:val="24"/>
                <w:lang w:val="en-GB"/>
              </w:rPr>
              <w:t xml:space="preserve"> </w:t>
            </w:r>
            <w:r w:rsidRPr="00E93C0F">
              <w:rPr>
                <w:rFonts w:ascii="Times New Roman" w:hAnsi="Times New Roman" w:cs="Times New Roman"/>
                <w:spacing w:val="-2"/>
                <w:sz w:val="24"/>
                <w:szCs w:val="24"/>
                <w:lang w:val="en-GB"/>
              </w:rPr>
              <w:t>0.04g</w:t>
            </w:r>
          </w:p>
        </w:tc>
      </w:tr>
      <w:tr w:rsidR="00A02C88" w:rsidRPr="00E93C0F" w14:paraId="6F9BFC86" w14:textId="77777777" w:rsidTr="00E93C0F">
        <w:trPr>
          <w:trHeight w:val="170"/>
        </w:trPr>
        <w:tc>
          <w:tcPr>
            <w:tcW w:w="0" w:type="auto"/>
          </w:tcPr>
          <w:p w14:paraId="7B53A2A2" w14:textId="39DFFD8D" w:rsidR="00A02C88" w:rsidRPr="00E93C0F" w:rsidRDefault="00A02C88" w:rsidP="00A36FB0">
            <w:pPr>
              <w:pStyle w:val="TableParagraph"/>
              <w:ind w:left="110"/>
              <w:contextualSpacing/>
              <w:jc w:val="both"/>
              <w:rPr>
                <w:rFonts w:ascii="Times New Roman" w:hAnsi="Times New Roman" w:cs="Times New Roman"/>
                <w:sz w:val="24"/>
                <w:szCs w:val="24"/>
                <w:lang w:val="en-GB"/>
              </w:rPr>
            </w:pPr>
            <w:r w:rsidRPr="00E93C0F">
              <w:rPr>
                <w:rFonts w:ascii="Times New Roman" w:hAnsi="Times New Roman" w:cs="Times New Roman"/>
                <w:sz w:val="24"/>
                <w:szCs w:val="24"/>
                <w:lang w:val="en-GB"/>
              </w:rPr>
              <w:t>(Leyu</w:t>
            </w:r>
            <w:r w:rsidRPr="00E93C0F">
              <w:rPr>
                <w:rFonts w:ascii="Times New Roman" w:hAnsi="Times New Roman" w:cs="Times New Roman"/>
                <w:spacing w:val="-1"/>
                <w:sz w:val="24"/>
                <w:szCs w:val="24"/>
                <w:lang w:val="en-GB"/>
              </w:rPr>
              <w:t xml:space="preserve"> </w:t>
            </w:r>
            <w:r w:rsidRPr="00E93C0F">
              <w:rPr>
                <w:rFonts w:ascii="Times New Roman" w:hAnsi="Times New Roman" w:cs="Times New Roman"/>
                <w:sz w:val="24"/>
                <w:szCs w:val="24"/>
                <w:lang w:val="en-GB"/>
              </w:rPr>
              <w:t>C.</w:t>
            </w:r>
            <w:r w:rsidRPr="00E93C0F">
              <w:rPr>
                <w:rFonts w:ascii="Times New Roman" w:hAnsi="Times New Roman" w:cs="Times New Roman"/>
                <w:spacing w:val="-2"/>
                <w:sz w:val="24"/>
                <w:szCs w:val="24"/>
                <w:lang w:val="en-GB"/>
              </w:rPr>
              <w:t xml:space="preserve"> </w:t>
            </w:r>
            <w:r w:rsidRPr="00E93C0F">
              <w:rPr>
                <w:rFonts w:ascii="Times New Roman" w:hAnsi="Times New Roman" w:cs="Times New Roman"/>
                <w:sz w:val="24"/>
                <w:szCs w:val="24"/>
                <w:lang w:val="en-GB"/>
              </w:rPr>
              <w:t>H.,</w:t>
            </w:r>
            <w:r w:rsidRPr="00E93C0F">
              <w:rPr>
                <w:rFonts w:ascii="Times New Roman" w:hAnsi="Times New Roman" w:cs="Times New Roman"/>
                <w:spacing w:val="3"/>
                <w:sz w:val="24"/>
                <w:szCs w:val="24"/>
                <w:lang w:val="en-GB"/>
              </w:rPr>
              <w:t xml:space="preserve"> </w:t>
            </w:r>
            <w:r w:rsidRPr="00E93C0F">
              <w:rPr>
                <w:rFonts w:ascii="Times New Roman" w:hAnsi="Times New Roman" w:cs="Times New Roman"/>
                <w:spacing w:val="-2"/>
                <w:sz w:val="24"/>
                <w:szCs w:val="24"/>
                <w:lang w:val="en-GB"/>
              </w:rPr>
              <w:t>2009)</w:t>
            </w:r>
          </w:p>
        </w:tc>
        <w:tc>
          <w:tcPr>
            <w:tcW w:w="0" w:type="auto"/>
          </w:tcPr>
          <w:p w14:paraId="52931511" w14:textId="23ADBDD2" w:rsidR="00A02C88" w:rsidRPr="00E93C0F" w:rsidRDefault="00A02C88" w:rsidP="00F05620">
            <w:pPr>
              <w:pStyle w:val="TableParagraph"/>
              <w:contextualSpacing/>
              <w:jc w:val="center"/>
              <w:rPr>
                <w:rFonts w:ascii="Times New Roman" w:hAnsi="Times New Roman" w:cs="Times New Roman"/>
                <w:sz w:val="24"/>
                <w:szCs w:val="24"/>
                <w:lang w:val="en-GB"/>
              </w:rPr>
            </w:pPr>
            <w:r w:rsidRPr="00E93C0F">
              <w:rPr>
                <w:rFonts w:ascii="Times New Roman" w:hAnsi="Times New Roman" w:cs="Times New Roman"/>
                <w:sz w:val="24"/>
                <w:szCs w:val="24"/>
                <w:lang w:val="en-GB"/>
              </w:rPr>
              <w:t>0.04g</w:t>
            </w:r>
          </w:p>
        </w:tc>
      </w:tr>
      <w:tr w:rsidR="00A02C88" w:rsidRPr="00E93C0F" w14:paraId="501A1699" w14:textId="77777777" w:rsidTr="00E93C0F">
        <w:trPr>
          <w:trHeight w:val="170"/>
        </w:trPr>
        <w:tc>
          <w:tcPr>
            <w:tcW w:w="0" w:type="auto"/>
          </w:tcPr>
          <w:p w14:paraId="57CDA3C3" w14:textId="77777777" w:rsidR="00A02C88" w:rsidRPr="00E93C0F" w:rsidRDefault="00A02C88" w:rsidP="00A36FB0">
            <w:pPr>
              <w:pStyle w:val="TableParagraph"/>
              <w:ind w:left="110"/>
              <w:contextualSpacing/>
              <w:jc w:val="both"/>
              <w:rPr>
                <w:rFonts w:ascii="Times New Roman" w:hAnsi="Times New Roman" w:cs="Times New Roman"/>
                <w:sz w:val="24"/>
                <w:szCs w:val="24"/>
                <w:lang w:val="en-GB"/>
              </w:rPr>
            </w:pPr>
            <w:r w:rsidRPr="00E93C0F">
              <w:rPr>
                <w:rFonts w:ascii="Times New Roman" w:hAnsi="Times New Roman" w:cs="Times New Roman"/>
                <w:sz w:val="24"/>
                <w:szCs w:val="24"/>
                <w:lang w:val="en-GB"/>
              </w:rPr>
              <w:t>(Adnan,</w:t>
            </w:r>
            <w:r w:rsidRPr="00E93C0F">
              <w:rPr>
                <w:rFonts w:ascii="Times New Roman" w:hAnsi="Times New Roman" w:cs="Times New Roman"/>
                <w:spacing w:val="1"/>
                <w:sz w:val="24"/>
                <w:szCs w:val="24"/>
                <w:lang w:val="en-GB"/>
              </w:rPr>
              <w:t xml:space="preserve"> </w:t>
            </w:r>
            <w:r w:rsidRPr="00E93C0F">
              <w:rPr>
                <w:rFonts w:ascii="Times New Roman" w:hAnsi="Times New Roman" w:cs="Times New Roman"/>
                <w:spacing w:val="-4"/>
                <w:sz w:val="24"/>
                <w:szCs w:val="24"/>
                <w:lang w:val="en-GB"/>
              </w:rPr>
              <w:t>2008)</w:t>
            </w:r>
          </w:p>
        </w:tc>
        <w:tc>
          <w:tcPr>
            <w:tcW w:w="0" w:type="auto"/>
          </w:tcPr>
          <w:p w14:paraId="071060E9" w14:textId="77777777" w:rsidR="00A02C88" w:rsidRPr="00E93C0F" w:rsidRDefault="00A02C88" w:rsidP="00F05620">
            <w:pPr>
              <w:pStyle w:val="TableParagraph"/>
              <w:contextualSpacing/>
              <w:jc w:val="center"/>
              <w:rPr>
                <w:rFonts w:ascii="Times New Roman" w:hAnsi="Times New Roman" w:cs="Times New Roman"/>
                <w:sz w:val="24"/>
                <w:szCs w:val="24"/>
                <w:lang w:val="en-GB"/>
              </w:rPr>
            </w:pPr>
            <w:r w:rsidRPr="00E93C0F">
              <w:rPr>
                <w:rFonts w:ascii="Times New Roman" w:hAnsi="Times New Roman" w:cs="Times New Roman"/>
                <w:sz w:val="24"/>
                <w:szCs w:val="24"/>
                <w:lang w:val="en-GB"/>
              </w:rPr>
              <w:t>0.06g –</w:t>
            </w:r>
            <w:r w:rsidRPr="00E93C0F">
              <w:rPr>
                <w:rFonts w:ascii="Times New Roman" w:hAnsi="Times New Roman" w:cs="Times New Roman"/>
                <w:spacing w:val="-1"/>
                <w:sz w:val="24"/>
                <w:szCs w:val="24"/>
                <w:lang w:val="en-GB"/>
              </w:rPr>
              <w:t xml:space="preserve"> </w:t>
            </w:r>
            <w:r w:rsidRPr="00E93C0F">
              <w:rPr>
                <w:rFonts w:ascii="Times New Roman" w:hAnsi="Times New Roman" w:cs="Times New Roman"/>
                <w:spacing w:val="-2"/>
                <w:sz w:val="24"/>
                <w:szCs w:val="24"/>
                <w:lang w:val="en-GB"/>
              </w:rPr>
              <w:t>0.08g</w:t>
            </w:r>
          </w:p>
        </w:tc>
      </w:tr>
      <w:tr w:rsidR="00A02C88" w:rsidRPr="00E93C0F" w14:paraId="12CE4A1F" w14:textId="77777777" w:rsidTr="00E93C0F">
        <w:trPr>
          <w:trHeight w:val="170"/>
        </w:trPr>
        <w:tc>
          <w:tcPr>
            <w:tcW w:w="0" w:type="auto"/>
          </w:tcPr>
          <w:p w14:paraId="13E1BADC" w14:textId="77777777" w:rsidR="00A02C88" w:rsidRPr="00E93C0F" w:rsidRDefault="00A02C88" w:rsidP="00A36FB0">
            <w:pPr>
              <w:pStyle w:val="TableParagraph"/>
              <w:ind w:left="110"/>
              <w:contextualSpacing/>
              <w:jc w:val="both"/>
              <w:rPr>
                <w:rFonts w:ascii="Times New Roman" w:hAnsi="Times New Roman" w:cs="Times New Roman"/>
                <w:b/>
                <w:bCs/>
                <w:sz w:val="24"/>
                <w:szCs w:val="24"/>
                <w:lang w:val="en-GB"/>
              </w:rPr>
            </w:pPr>
            <w:r w:rsidRPr="00E93C0F">
              <w:rPr>
                <w:rFonts w:ascii="Times New Roman" w:hAnsi="Times New Roman" w:cs="Times New Roman"/>
                <w:b/>
                <w:bCs/>
                <w:sz w:val="24"/>
                <w:szCs w:val="24"/>
                <w:lang w:val="en-GB"/>
              </w:rPr>
              <w:t xml:space="preserve">(MSEN1998-1:2015, </w:t>
            </w:r>
            <w:r w:rsidRPr="00E93C0F">
              <w:rPr>
                <w:rFonts w:ascii="Times New Roman" w:hAnsi="Times New Roman" w:cs="Times New Roman"/>
                <w:b/>
                <w:bCs/>
                <w:spacing w:val="-4"/>
                <w:sz w:val="24"/>
                <w:szCs w:val="24"/>
                <w:lang w:val="en-GB"/>
              </w:rPr>
              <w:t>2017)</w:t>
            </w:r>
          </w:p>
        </w:tc>
        <w:tc>
          <w:tcPr>
            <w:tcW w:w="0" w:type="auto"/>
          </w:tcPr>
          <w:p w14:paraId="55CA4424" w14:textId="77777777" w:rsidR="00A02C88" w:rsidRPr="00E93C0F" w:rsidRDefault="00A02C88" w:rsidP="00F05620">
            <w:pPr>
              <w:pStyle w:val="TableParagraph"/>
              <w:contextualSpacing/>
              <w:jc w:val="center"/>
              <w:rPr>
                <w:rFonts w:ascii="Times New Roman" w:hAnsi="Times New Roman" w:cs="Times New Roman"/>
                <w:b/>
                <w:bCs/>
                <w:sz w:val="24"/>
                <w:szCs w:val="24"/>
                <w:lang w:val="en-GB"/>
              </w:rPr>
            </w:pPr>
            <w:r w:rsidRPr="00E93C0F">
              <w:rPr>
                <w:rFonts w:ascii="Times New Roman" w:hAnsi="Times New Roman" w:cs="Times New Roman"/>
                <w:b/>
                <w:bCs/>
                <w:sz w:val="24"/>
                <w:szCs w:val="24"/>
                <w:lang w:val="en-GB"/>
              </w:rPr>
              <w:t>0.01g –</w:t>
            </w:r>
            <w:r w:rsidRPr="00E93C0F">
              <w:rPr>
                <w:rFonts w:ascii="Times New Roman" w:hAnsi="Times New Roman" w:cs="Times New Roman"/>
                <w:b/>
                <w:bCs/>
                <w:spacing w:val="-1"/>
                <w:sz w:val="24"/>
                <w:szCs w:val="24"/>
                <w:lang w:val="en-GB"/>
              </w:rPr>
              <w:t xml:space="preserve"> </w:t>
            </w:r>
            <w:r w:rsidRPr="00E93C0F">
              <w:rPr>
                <w:rFonts w:ascii="Times New Roman" w:hAnsi="Times New Roman" w:cs="Times New Roman"/>
                <w:b/>
                <w:bCs/>
                <w:spacing w:val="-2"/>
                <w:sz w:val="24"/>
                <w:szCs w:val="24"/>
                <w:lang w:val="en-GB"/>
              </w:rPr>
              <w:t>0.02g</w:t>
            </w:r>
          </w:p>
        </w:tc>
      </w:tr>
      <w:tr w:rsidR="00A02C88" w:rsidRPr="00E93C0F" w14:paraId="51BF751B" w14:textId="77777777" w:rsidTr="00E93C0F">
        <w:trPr>
          <w:trHeight w:val="170"/>
        </w:trPr>
        <w:tc>
          <w:tcPr>
            <w:tcW w:w="0" w:type="auto"/>
          </w:tcPr>
          <w:p w14:paraId="0EFE50D8" w14:textId="4077D9ED" w:rsidR="00A02C88" w:rsidRPr="00E93C0F" w:rsidRDefault="00A02C88" w:rsidP="00A36FB0">
            <w:pPr>
              <w:pStyle w:val="TableParagraph"/>
              <w:ind w:left="110"/>
              <w:contextualSpacing/>
              <w:jc w:val="both"/>
              <w:rPr>
                <w:rFonts w:ascii="Times New Roman" w:hAnsi="Times New Roman" w:cs="Times New Roman"/>
                <w:sz w:val="24"/>
                <w:szCs w:val="24"/>
                <w:lang w:val="en-GB"/>
              </w:rPr>
            </w:pPr>
            <w:r w:rsidRPr="00E93C0F">
              <w:rPr>
                <w:rFonts w:ascii="Times New Roman" w:hAnsi="Times New Roman" w:cs="Times New Roman"/>
                <w:sz w:val="24"/>
                <w:szCs w:val="24"/>
                <w:lang w:val="en-GB"/>
              </w:rPr>
              <w:t>(M.</w:t>
            </w:r>
            <w:r w:rsidRPr="00E93C0F">
              <w:rPr>
                <w:rFonts w:ascii="Times New Roman" w:hAnsi="Times New Roman" w:cs="Times New Roman"/>
                <w:spacing w:val="-2"/>
                <w:sz w:val="24"/>
                <w:szCs w:val="24"/>
                <w:lang w:val="en-GB"/>
              </w:rPr>
              <w:t xml:space="preserve"> </w:t>
            </w:r>
            <w:r w:rsidRPr="00E93C0F">
              <w:rPr>
                <w:rFonts w:ascii="Times New Roman" w:hAnsi="Times New Roman" w:cs="Times New Roman"/>
                <w:sz w:val="24"/>
                <w:szCs w:val="24"/>
                <w:lang w:val="en-GB"/>
              </w:rPr>
              <w:t>Pagani</w:t>
            </w:r>
            <w:r w:rsidR="009E5D3C">
              <w:rPr>
                <w:rFonts w:ascii="Times New Roman" w:hAnsi="Times New Roman" w:cs="Times New Roman"/>
                <w:sz w:val="24"/>
                <w:szCs w:val="24"/>
                <w:lang w:val="en-GB"/>
              </w:rPr>
              <w:t xml:space="preserve"> et al., </w:t>
            </w:r>
            <w:r w:rsidRPr="00E93C0F">
              <w:rPr>
                <w:rFonts w:ascii="Times New Roman" w:hAnsi="Times New Roman" w:cs="Times New Roman"/>
                <w:spacing w:val="-4"/>
                <w:sz w:val="24"/>
                <w:szCs w:val="24"/>
                <w:lang w:val="en-GB"/>
              </w:rPr>
              <w:t>2018)</w:t>
            </w:r>
          </w:p>
        </w:tc>
        <w:tc>
          <w:tcPr>
            <w:tcW w:w="0" w:type="auto"/>
          </w:tcPr>
          <w:p w14:paraId="4D70302E" w14:textId="77777777" w:rsidR="00A02C88" w:rsidRPr="00E93C0F" w:rsidRDefault="00A02C88" w:rsidP="00F05620">
            <w:pPr>
              <w:pStyle w:val="TableParagraph"/>
              <w:contextualSpacing/>
              <w:jc w:val="center"/>
              <w:rPr>
                <w:rFonts w:ascii="Times New Roman" w:hAnsi="Times New Roman" w:cs="Times New Roman"/>
                <w:sz w:val="24"/>
                <w:szCs w:val="24"/>
                <w:lang w:val="en-GB"/>
              </w:rPr>
            </w:pPr>
            <w:r w:rsidRPr="00E93C0F">
              <w:rPr>
                <w:rFonts w:ascii="Times New Roman" w:hAnsi="Times New Roman" w:cs="Times New Roman"/>
                <w:sz w:val="24"/>
                <w:szCs w:val="24"/>
                <w:lang w:val="en-GB"/>
              </w:rPr>
              <w:t>0.01g –</w:t>
            </w:r>
            <w:r w:rsidRPr="00E93C0F">
              <w:rPr>
                <w:rFonts w:ascii="Times New Roman" w:hAnsi="Times New Roman" w:cs="Times New Roman"/>
                <w:spacing w:val="-1"/>
                <w:sz w:val="24"/>
                <w:szCs w:val="24"/>
                <w:lang w:val="en-GB"/>
              </w:rPr>
              <w:t xml:space="preserve"> </w:t>
            </w:r>
            <w:r w:rsidRPr="00E93C0F">
              <w:rPr>
                <w:rFonts w:ascii="Times New Roman" w:hAnsi="Times New Roman" w:cs="Times New Roman"/>
                <w:spacing w:val="-2"/>
                <w:sz w:val="24"/>
                <w:szCs w:val="24"/>
                <w:lang w:val="en-GB"/>
              </w:rPr>
              <w:t>0.02g</w:t>
            </w:r>
          </w:p>
        </w:tc>
      </w:tr>
      <w:tr w:rsidR="00A02C88" w:rsidRPr="00E93C0F" w14:paraId="2B7B963A" w14:textId="77777777" w:rsidTr="00E93C0F">
        <w:trPr>
          <w:trHeight w:val="170"/>
        </w:trPr>
        <w:tc>
          <w:tcPr>
            <w:tcW w:w="0" w:type="auto"/>
          </w:tcPr>
          <w:p w14:paraId="38FC7BDA" w14:textId="71B0640E" w:rsidR="00A02C88" w:rsidRPr="00E93C0F" w:rsidRDefault="00A02C88" w:rsidP="00A36FB0">
            <w:pPr>
              <w:pStyle w:val="TableParagraph"/>
              <w:ind w:left="110"/>
              <w:contextualSpacing/>
              <w:jc w:val="both"/>
              <w:rPr>
                <w:rFonts w:ascii="Times New Roman" w:hAnsi="Times New Roman" w:cs="Times New Roman"/>
                <w:b/>
                <w:bCs/>
                <w:sz w:val="24"/>
                <w:szCs w:val="24"/>
                <w:lang w:val="en-GB"/>
              </w:rPr>
            </w:pPr>
            <w:r w:rsidRPr="00E93C0F">
              <w:rPr>
                <w:rFonts w:ascii="Times New Roman" w:hAnsi="Times New Roman" w:cs="Times New Roman"/>
                <w:b/>
                <w:bCs/>
                <w:sz w:val="24"/>
                <w:szCs w:val="24"/>
                <w:lang w:val="en-GB"/>
              </w:rPr>
              <w:t xml:space="preserve">(Adnan, 2022), </w:t>
            </w:r>
            <w:r w:rsidR="004E418B" w:rsidRPr="00E93C0F">
              <w:rPr>
                <w:rFonts w:ascii="Times New Roman" w:hAnsi="Times New Roman" w:cs="Times New Roman"/>
                <w:b/>
                <w:bCs/>
                <w:sz w:val="24"/>
                <w:szCs w:val="24"/>
                <w:lang w:val="en-GB"/>
              </w:rPr>
              <w:t xml:space="preserve">The </w:t>
            </w:r>
            <w:r w:rsidRPr="00E93C0F">
              <w:rPr>
                <w:rFonts w:ascii="Times New Roman" w:hAnsi="Times New Roman" w:cs="Times New Roman"/>
                <w:b/>
                <w:bCs/>
                <w:sz w:val="24"/>
                <w:szCs w:val="24"/>
                <w:lang w:val="en-GB"/>
              </w:rPr>
              <w:t xml:space="preserve">Kuala Penyu fault </w:t>
            </w:r>
            <w:r w:rsidR="004E418B" w:rsidRPr="00E93C0F">
              <w:rPr>
                <w:rFonts w:ascii="Times New Roman" w:hAnsi="Times New Roman" w:cs="Times New Roman"/>
                <w:b/>
                <w:bCs/>
                <w:sz w:val="24"/>
                <w:szCs w:val="24"/>
                <w:lang w:val="en-GB"/>
              </w:rPr>
              <w:t xml:space="preserve">is </w:t>
            </w:r>
            <w:r w:rsidRPr="00E93C0F">
              <w:rPr>
                <w:rFonts w:ascii="Times New Roman" w:hAnsi="Times New Roman" w:cs="Times New Roman"/>
                <w:b/>
                <w:bCs/>
                <w:sz w:val="24"/>
                <w:szCs w:val="24"/>
                <w:lang w:val="en-GB"/>
              </w:rPr>
              <w:t>included</w:t>
            </w:r>
          </w:p>
        </w:tc>
        <w:tc>
          <w:tcPr>
            <w:tcW w:w="0" w:type="auto"/>
          </w:tcPr>
          <w:p w14:paraId="49283B61" w14:textId="77777777" w:rsidR="00A02C88" w:rsidRPr="00E93C0F" w:rsidRDefault="00A02C88" w:rsidP="00F05620">
            <w:pPr>
              <w:pStyle w:val="TableParagraph"/>
              <w:contextualSpacing/>
              <w:jc w:val="center"/>
              <w:rPr>
                <w:rFonts w:ascii="Times New Roman" w:hAnsi="Times New Roman" w:cs="Times New Roman"/>
                <w:b/>
                <w:bCs/>
                <w:sz w:val="24"/>
                <w:szCs w:val="24"/>
                <w:lang w:val="en-GB"/>
              </w:rPr>
            </w:pPr>
            <w:r w:rsidRPr="00E93C0F">
              <w:rPr>
                <w:rFonts w:ascii="Times New Roman" w:hAnsi="Times New Roman" w:cs="Times New Roman"/>
                <w:b/>
                <w:bCs/>
                <w:sz w:val="24"/>
                <w:szCs w:val="24"/>
                <w:lang w:val="en-GB"/>
              </w:rPr>
              <w:t>0.031g</w:t>
            </w:r>
          </w:p>
        </w:tc>
      </w:tr>
      <w:tr w:rsidR="00A02C88" w:rsidRPr="00E93C0F" w14:paraId="5E353372" w14:textId="77777777" w:rsidTr="00E93C0F">
        <w:trPr>
          <w:trHeight w:val="170"/>
        </w:trPr>
        <w:tc>
          <w:tcPr>
            <w:tcW w:w="0" w:type="auto"/>
          </w:tcPr>
          <w:p w14:paraId="2B024905" w14:textId="6AD62591" w:rsidR="00A02C88" w:rsidRPr="00E93C0F" w:rsidRDefault="000D5E85" w:rsidP="00A36FB0">
            <w:pPr>
              <w:pStyle w:val="TableParagraph"/>
              <w:ind w:left="110"/>
              <w:contextualSpacing/>
              <w:jc w:val="both"/>
              <w:rPr>
                <w:rFonts w:ascii="Times New Roman" w:hAnsi="Times New Roman" w:cs="Times New Roman"/>
                <w:b/>
                <w:bCs/>
                <w:sz w:val="24"/>
                <w:szCs w:val="24"/>
                <w:lang w:val="en-GB"/>
              </w:rPr>
            </w:pPr>
            <w:r w:rsidRPr="00E93C0F">
              <w:rPr>
                <w:rFonts w:ascii="Times New Roman" w:hAnsi="Times New Roman" w:cs="Times New Roman"/>
                <w:b/>
                <w:bCs/>
                <w:sz w:val="24"/>
                <w:szCs w:val="24"/>
                <w:lang w:val="en-GB"/>
              </w:rPr>
              <w:t>(</w:t>
            </w:r>
            <w:r w:rsidR="000123DB" w:rsidRPr="00E93C0F">
              <w:rPr>
                <w:rFonts w:ascii="Times New Roman" w:hAnsi="Times New Roman" w:cs="Times New Roman"/>
                <w:b/>
                <w:bCs/>
                <w:sz w:val="24"/>
                <w:szCs w:val="24"/>
                <w:lang w:val="en-GB"/>
              </w:rPr>
              <w:t>Harith</w:t>
            </w:r>
            <w:r w:rsidR="00D17492" w:rsidRPr="00E93C0F">
              <w:rPr>
                <w:rFonts w:ascii="Times New Roman" w:hAnsi="Times New Roman" w:cs="Times New Roman"/>
                <w:b/>
                <w:bCs/>
                <w:sz w:val="24"/>
                <w:szCs w:val="24"/>
                <w:lang w:val="en-GB"/>
              </w:rPr>
              <w:t xml:space="preserve"> </w:t>
            </w:r>
            <w:r w:rsidR="00D17492" w:rsidRPr="00E93C0F">
              <w:rPr>
                <w:rFonts w:ascii="Times New Roman" w:hAnsi="Times New Roman" w:cs="Times New Roman"/>
                <w:b/>
                <w:bCs/>
                <w:i/>
                <w:iCs/>
                <w:sz w:val="24"/>
                <w:szCs w:val="24"/>
                <w:lang w:val="en-GB"/>
              </w:rPr>
              <w:t>et al.</w:t>
            </w:r>
            <w:r w:rsidR="00A02C88" w:rsidRPr="00E93C0F">
              <w:rPr>
                <w:rFonts w:ascii="Times New Roman" w:hAnsi="Times New Roman" w:cs="Times New Roman"/>
                <w:b/>
                <w:bCs/>
                <w:sz w:val="24"/>
                <w:szCs w:val="24"/>
                <w:lang w:val="en-GB"/>
              </w:rPr>
              <w:t xml:space="preserve">, 2025), </w:t>
            </w:r>
            <w:r w:rsidR="004E418B" w:rsidRPr="00E93C0F">
              <w:rPr>
                <w:rFonts w:ascii="Times New Roman" w:hAnsi="Times New Roman" w:cs="Times New Roman"/>
                <w:b/>
                <w:bCs/>
                <w:sz w:val="24"/>
                <w:szCs w:val="24"/>
                <w:lang w:val="en-GB"/>
              </w:rPr>
              <w:t xml:space="preserve">The </w:t>
            </w:r>
            <w:r w:rsidR="00A02C88" w:rsidRPr="00E93C0F">
              <w:rPr>
                <w:rFonts w:ascii="Times New Roman" w:hAnsi="Times New Roman" w:cs="Times New Roman"/>
                <w:b/>
                <w:bCs/>
                <w:sz w:val="24"/>
                <w:szCs w:val="24"/>
                <w:lang w:val="en-GB"/>
              </w:rPr>
              <w:t xml:space="preserve">Kuala Penyu fault </w:t>
            </w:r>
            <w:r w:rsidR="004E418B" w:rsidRPr="00E93C0F">
              <w:rPr>
                <w:rFonts w:ascii="Times New Roman" w:hAnsi="Times New Roman" w:cs="Times New Roman"/>
                <w:b/>
                <w:bCs/>
                <w:sz w:val="24"/>
                <w:szCs w:val="24"/>
                <w:lang w:val="en-GB"/>
              </w:rPr>
              <w:t xml:space="preserve">is </w:t>
            </w:r>
            <w:r w:rsidR="00A02C88" w:rsidRPr="00E93C0F">
              <w:rPr>
                <w:rFonts w:ascii="Times New Roman" w:hAnsi="Times New Roman" w:cs="Times New Roman"/>
                <w:b/>
                <w:bCs/>
                <w:sz w:val="24"/>
                <w:szCs w:val="24"/>
                <w:lang w:val="en-GB"/>
              </w:rPr>
              <w:t>included</w:t>
            </w:r>
          </w:p>
        </w:tc>
        <w:tc>
          <w:tcPr>
            <w:tcW w:w="0" w:type="auto"/>
          </w:tcPr>
          <w:p w14:paraId="11B8161E" w14:textId="75B63C6A" w:rsidR="00A02C88" w:rsidRPr="00E93C0F" w:rsidRDefault="00A02C88" w:rsidP="00F05620">
            <w:pPr>
              <w:pStyle w:val="TableParagraph"/>
              <w:contextualSpacing/>
              <w:jc w:val="center"/>
              <w:rPr>
                <w:rFonts w:ascii="Times New Roman" w:hAnsi="Times New Roman" w:cs="Times New Roman"/>
                <w:b/>
                <w:bCs/>
                <w:sz w:val="24"/>
                <w:szCs w:val="24"/>
                <w:lang w:val="en-GB"/>
              </w:rPr>
            </w:pPr>
            <w:r w:rsidRPr="00E93C0F">
              <w:rPr>
                <w:rFonts w:ascii="Times New Roman" w:hAnsi="Times New Roman" w:cs="Times New Roman"/>
                <w:b/>
                <w:bCs/>
                <w:sz w:val="24"/>
                <w:szCs w:val="24"/>
                <w:lang w:val="en-GB"/>
              </w:rPr>
              <w:t>0.027g</w:t>
            </w:r>
          </w:p>
        </w:tc>
      </w:tr>
    </w:tbl>
    <w:p w14:paraId="37F95860" w14:textId="77777777" w:rsidR="000D5E85" w:rsidRPr="00D213FF" w:rsidRDefault="000D5E85" w:rsidP="00A36FB0">
      <w:pPr>
        <w:pStyle w:val="Paragraph"/>
        <w:ind w:firstLine="0"/>
        <w:rPr>
          <w:rFonts w:ascii="Times New Roman" w:hAnsi="Times New Roman" w:cs="Times New Roman"/>
          <w:sz w:val="24"/>
          <w:szCs w:val="24"/>
        </w:rPr>
      </w:pPr>
    </w:p>
    <w:p w14:paraId="5D7DF653" w14:textId="271746B8" w:rsidR="00A02C88" w:rsidRPr="00D213FF" w:rsidRDefault="00A02C88" w:rsidP="00A36FB0">
      <w:pPr>
        <w:pStyle w:val="Paragraph"/>
        <w:ind w:firstLine="0"/>
        <w:rPr>
          <w:rFonts w:ascii="Times New Roman" w:hAnsi="Times New Roman" w:cs="Times New Roman"/>
          <w:sz w:val="24"/>
          <w:szCs w:val="24"/>
        </w:rPr>
      </w:pPr>
      <w:r w:rsidRPr="00D213FF">
        <w:rPr>
          <w:rFonts w:ascii="Times New Roman" w:hAnsi="Times New Roman" w:cs="Times New Roman"/>
          <w:b/>
          <w:bCs/>
          <w:sz w:val="24"/>
          <w:szCs w:val="24"/>
        </w:rPr>
        <w:lastRenderedPageBreak/>
        <w:t>Table 1</w:t>
      </w:r>
      <w:r w:rsidR="00F5531D" w:rsidRPr="00D213FF">
        <w:rPr>
          <w:rFonts w:ascii="Times New Roman" w:hAnsi="Times New Roman" w:cs="Times New Roman"/>
          <w:b/>
          <w:bCs/>
          <w:sz w:val="24"/>
          <w:szCs w:val="24"/>
        </w:rPr>
        <w:t>4</w:t>
      </w:r>
      <w:r w:rsidRPr="00D213FF">
        <w:rPr>
          <w:rFonts w:ascii="Times New Roman" w:hAnsi="Times New Roman" w:cs="Times New Roman"/>
          <w:b/>
          <w:bCs/>
          <w:sz w:val="24"/>
          <w:szCs w:val="24"/>
        </w:rPr>
        <w:t>.</w:t>
      </w:r>
      <w:r w:rsidRPr="00D213FF">
        <w:rPr>
          <w:rFonts w:ascii="Times New Roman" w:hAnsi="Times New Roman" w:cs="Times New Roman"/>
          <w:sz w:val="24"/>
          <w:szCs w:val="24"/>
        </w:rPr>
        <w:t xml:space="preserve"> The </w:t>
      </w:r>
      <w:r w:rsidR="000123DB" w:rsidRPr="00D213FF">
        <w:rPr>
          <w:rFonts w:ascii="Times New Roman" w:hAnsi="Times New Roman" w:cs="Times New Roman"/>
          <w:sz w:val="24"/>
          <w:szCs w:val="24"/>
        </w:rPr>
        <w:t>p</w:t>
      </w:r>
      <w:r w:rsidRPr="00D213FF">
        <w:rPr>
          <w:rFonts w:ascii="Times New Roman" w:hAnsi="Times New Roman" w:cs="Times New Roman"/>
          <w:sz w:val="24"/>
          <w:szCs w:val="24"/>
        </w:rPr>
        <w:t xml:space="preserve">eak </w:t>
      </w:r>
      <w:r w:rsidR="000123DB" w:rsidRPr="00D213FF">
        <w:rPr>
          <w:rFonts w:ascii="Times New Roman" w:hAnsi="Times New Roman" w:cs="Times New Roman"/>
          <w:sz w:val="24"/>
          <w:szCs w:val="24"/>
        </w:rPr>
        <w:t>s</w:t>
      </w:r>
      <w:r w:rsidRPr="00D213FF">
        <w:rPr>
          <w:rFonts w:ascii="Times New Roman" w:hAnsi="Times New Roman" w:cs="Times New Roman"/>
          <w:sz w:val="24"/>
          <w:szCs w:val="24"/>
        </w:rPr>
        <w:t xml:space="preserve">urface </w:t>
      </w:r>
      <w:r w:rsidR="000123DB" w:rsidRPr="00D213FF">
        <w:rPr>
          <w:rFonts w:ascii="Times New Roman" w:hAnsi="Times New Roman" w:cs="Times New Roman"/>
          <w:sz w:val="24"/>
          <w:szCs w:val="24"/>
        </w:rPr>
        <w:t>a</w:t>
      </w:r>
      <w:r w:rsidRPr="00D213FF">
        <w:rPr>
          <w:rFonts w:ascii="Times New Roman" w:hAnsi="Times New Roman" w:cs="Times New Roman"/>
          <w:sz w:val="24"/>
          <w:szCs w:val="24"/>
        </w:rPr>
        <w:t>cceleration</w:t>
      </w:r>
      <w:r w:rsidR="00A1635E" w:rsidRPr="00D213FF">
        <w:rPr>
          <w:rFonts w:ascii="Times New Roman" w:hAnsi="Times New Roman" w:cs="Times New Roman"/>
          <w:sz w:val="24"/>
          <w:szCs w:val="24"/>
        </w:rPr>
        <w:t xml:space="preserve"> (surface PGA) computed from this study</w:t>
      </w:r>
    </w:p>
    <w:tbl>
      <w:tblPr>
        <w:tblStyle w:val="TableGrid"/>
        <w:tblW w:w="0" w:type="auto"/>
        <w:tblLook w:val="04A0" w:firstRow="1" w:lastRow="0" w:firstColumn="1" w:lastColumn="0" w:noHBand="0" w:noVBand="1"/>
      </w:tblPr>
      <w:tblGrid>
        <w:gridCol w:w="1650"/>
        <w:gridCol w:w="2123"/>
        <w:gridCol w:w="3070"/>
        <w:gridCol w:w="1570"/>
      </w:tblGrid>
      <w:tr w:rsidR="00AE5C82" w:rsidRPr="00D213FF" w14:paraId="1B2C02D7" w14:textId="77777777" w:rsidTr="00E93C0F">
        <w:tc>
          <w:tcPr>
            <w:tcW w:w="0" w:type="auto"/>
            <w:vAlign w:val="center"/>
          </w:tcPr>
          <w:p w14:paraId="4DAF887D" w14:textId="77777777" w:rsidR="00D52A71" w:rsidRPr="00D213FF" w:rsidRDefault="00D52A71" w:rsidP="00A36FB0">
            <w:pPr>
              <w:pStyle w:val="Paragraph"/>
              <w:ind w:firstLine="0"/>
              <w:rPr>
                <w:rFonts w:ascii="Times New Roman" w:hAnsi="Times New Roman" w:cs="Times New Roman"/>
                <w:b/>
                <w:bCs/>
                <w:sz w:val="24"/>
                <w:szCs w:val="24"/>
              </w:rPr>
            </w:pPr>
            <w:r w:rsidRPr="00D213FF">
              <w:rPr>
                <w:rFonts w:ascii="Times New Roman" w:hAnsi="Times New Roman" w:cs="Times New Roman"/>
                <w:b/>
                <w:bCs/>
                <w:sz w:val="24"/>
                <w:szCs w:val="24"/>
              </w:rPr>
              <w:t xml:space="preserve">Bedrock PGA </w:t>
            </w:r>
          </w:p>
          <w:p w14:paraId="1CC1ADE3" w14:textId="77748F6F" w:rsidR="00AE5C82" w:rsidRPr="00D213FF" w:rsidRDefault="00D52A71" w:rsidP="00A36FB0">
            <w:pPr>
              <w:pStyle w:val="Paragraph"/>
              <w:ind w:firstLine="0"/>
              <w:rPr>
                <w:rFonts w:ascii="Times New Roman" w:hAnsi="Times New Roman" w:cs="Times New Roman"/>
                <w:b/>
                <w:bCs/>
                <w:sz w:val="24"/>
                <w:szCs w:val="24"/>
              </w:rPr>
            </w:pPr>
            <w:r w:rsidRPr="00D213FF">
              <w:rPr>
                <w:rFonts w:ascii="Times New Roman" w:hAnsi="Times New Roman" w:cs="Times New Roman"/>
                <w:b/>
                <w:bCs/>
                <w:sz w:val="24"/>
                <w:szCs w:val="24"/>
              </w:rPr>
              <w:t>(g)</w:t>
            </w:r>
          </w:p>
        </w:tc>
        <w:tc>
          <w:tcPr>
            <w:tcW w:w="0" w:type="auto"/>
            <w:vAlign w:val="center"/>
          </w:tcPr>
          <w:p w14:paraId="4D3892AA" w14:textId="5244C428" w:rsidR="00AE5C82" w:rsidRPr="00D213FF" w:rsidRDefault="00AE5C82" w:rsidP="00A36FB0">
            <w:pPr>
              <w:pStyle w:val="Paragraph"/>
              <w:ind w:firstLine="0"/>
              <w:rPr>
                <w:rFonts w:ascii="Times New Roman" w:hAnsi="Times New Roman" w:cs="Times New Roman"/>
                <w:b/>
                <w:bCs/>
                <w:sz w:val="24"/>
                <w:szCs w:val="24"/>
              </w:rPr>
            </w:pPr>
            <w:r w:rsidRPr="00D213FF">
              <w:rPr>
                <w:rFonts w:ascii="Times New Roman" w:hAnsi="Times New Roman" w:cs="Times New Roman"/>
                <w:b/>
                <w:bCs/>
                <w:sz w:val="24"/>
                <w:szCs w:val="24"/>
              </w:rPr>
              <w:t>Locations</w:t>
            </w:r>
          </w:p>
        </w:tc>
        <w:tc>
          <w:tcPr>
            <w:tcW w:w="0" w:type="auto"/>
            <w:vAlign w:val="center"/>
          </w:tcPr>
          <w:p w14:paraId="0E5F5C40" w14:textId="770EB5E3" w:rsidR="00AE5C82" w:rsidRPr="00D213FF" w:rsidRDefault="00D52A71" w:rsidP="00A36FB0">
            <w:pPr>
              <w:pStyle w:val="Paragraph"/>
              <w:ind w:firstLine="0"/>
              <w:rPr>
                <w:rFonts w:ascii="Times New Roman" w:hAnsi="Times New Roman" w:cs="Times New Roman"/>
                <w:b/>
                <w:bCs/>
                <w:sz w:val="24"/>
                <w:szCs w:val="24"/>
              </w:rPr>
            </w:pPr>
            <w:r w:rsidRPr="00D213FF">
              <w:rPr>
                <w:rFonts w:ascii="Times New Roman" w:hAnsi="Times New Roman" w:cs="Times New Roman"/>
                <w:b/>
                <w:bCs/>
                <w:sz w:val="24"/>
                <w:szCs w:val="24"/>
              </w:rPr>
              <w:t>Soil Amplification Factor, S</w:t>
            </w:r>
          </w:p>
        </w:tc>
        <w:tc>
          <w:tcPr>
            <w:tcW w:w="0" w:type="auto"/>
            <w:vAlign w:val="center"/>
          </w:tcPr>
          <w:p w14:paraId="0C6CE661" w14:textId="77777777" w:rsidR="00D52A71" w:rsidRPr="00D213FF" w:rsidRDefault="00AE5C82" w:rsidP="00A36FB0">
            <w:pPr>
              <w:pStyle w:val="Paragraph"/>
              <w:ind w:firstLine="0"/>
              <w:rPr>
                <w:rFonts w:ascii="Times New Roman" w:hAnsi="Times New Roman" w:cs="Times New Roman"/>
                <w:b/>
                <w:bCs/>
                <w:sz w:val="24"/>
                <w:szCs w:val="24"/>
              </w:rPr>
            </w:pPr>
            <w:r w:rsidRPr="00D213FF">
              <w:rPr>
                <w:rFonts w:ascii="Times New Roman" w:hAnsi="Times New Roman" w:cs="Times New Roman"/>
                <w:b/>
                <w:bCs/>
                <w:sz w:val="24"/>
                <w:szCs w:val="24"/>
              </w:rPr>
              <w:t>Surface PGA</w:t>
            </w:r>
            <w:r w:rsidR="00D52A71" w:rsidRPr="00D213FF">
              <w:rPr>
                <w:rFonts w:ascii="Times New Roman" w:hAnsi="Times New Roman" w:cs="Times New Roman"/>
                <w:b/>
                <w:bCs/>
                <w:sz w:val="24"/>
                <w:szCs w:val="24"/>
              </w:rPr>
              <w:t xml:space="preserve"> </w:t>
            </w:r>
          </w:p>
          <w:p w14:paraId="7B62CA94" w14:textId="403540CD" w:rsidR="00AE5C82" w:rsidRPr="00D213FF" w:rsidRDefault="00D52A71" w:rsidP="00A36FB0">
            <w:pPr>
              <w:pStyle w:val="Paragraph"/>
              <w:ind w:firstLine="0"/>
              <w:rPr>
                <w:rFonts w:ascii="Times New Roman" w:hAnsi="Times New Roman" w:cs="Times New Roman"/>
                <w:b/>
                <w:bCs/>
                <w:sz w:val="24"/>
                <w:szCs w:val="24"/>
              </w:rPr>
            </w:pPr>
            <w:r w:rsidRPr="00D213FF">
              <w:rPr>
                <w:rFonts w:ascii="Times New Roman" w:hAnsi="Times New Roman" w:cs="Times New Roman"/>
                <w:b/>
                <w:bCs/>
                <w:sz w:val="24"/>
                <w:szCs w:val="24"/>
              </w:rPr>
              <w:t>(</w:t>
            </w:r>
            <w:r w:rsidR="00AE5C82" w:rsidRPr="00D213FF">
              <w:rPr>
                <w:rFonts w:ascii="Times New Roman" w:hAnsi="Times New Roman" w:cs="Times New Roman"/>
                <w:b/>
                <w:bCs/>
                <w:sz w:val="24"/>
                <w:szCs w:val="24"/>
              </w:rPr>
              <w:t>g</w:t>
            </w:r>
            <w:r w:rsidRPr="00D213FF">
              <w:rPr>
                <w:rFonts w:ascii="Times New Roman" w:hAnsi="Times New Roman" w:cs="Times New Roman"/>
                <w:b/>
                <w:bCs/>
                <w:sz w:val="24"/>
                <w:szCs w:val="24"/>
              </w:rPr>
              <w:t>)</w:t>
            </w:r>
          </w:p>
        </w:tc>
      </w:tr>
      <w:tr w:rsidR="00AE5C82" w:rsidRPr="00D213FF" w14:paraId="447D7A19" w14:textId="77777777" w:rsidTr="00E93C0F">
        <w:tc>
          <w:tcPr>
            <w:tcW w:w="0" w:type="auto"/>
            <w:vMerge w:val="restart"/>
            <w:vAlign w:val="center"/>
          </w:tcPr>
          <w:p w14:paraId="0275AD3A" w14:textId="77777777" w:rsidR="00AE5C82" w:rsidRPr="00D213FF" w:rsidRDefault="00AE5C82" w:rsidP="00A36FB0">
            <w:pPr>
              <w:pStyle w:val="Paragraph"/>
              <w:ind w:firstLine="0"/>
              <w:rPr>
                <w:rFonts w:ascii="Times New Roman" w:hAnsi="Times New Roman" w:cs="Times New Roman"/>
                <w:b/>
                <w:bCs/>
                <w:sz w:val="24"/>
                <w:szCs w:val="24"/>
              </w:rPr>
            </w:pPr>
            <w:r w:rsidRPr="00D213FF">
              <w:rPr>
                <w:rFonts w:ascii="Times New Roman" w:hAnsi="Times New Roman" w:cs="Times New Roman"/>
                <w:b/>
                <w:bCs/>
                <w:sz w:val="24"/>
                <w:szCs w:val="24"/>
              </w:rPr>
              <w:t>0.02g</w:t>
            </w:r>
          </w:p>
        </w:tc>
        <w:tc>
          <w:tcPr>
            <w:tcW w:w="0" w:type="auto"/>
            <w:vAlign w:val="center"/>
          </w:tcPr>
          <w:p w14:paraId="7783499B" w14:textId="552FECE5" w:rsidR="00AE5C82" w:rsidRPr="00D213FF" w:rsidRDefault="00AE5C82" w:rsidP="00A36FB0">
            <w:pPr>
              <w:pStyle w:val="Paragraph"/>
              <w:ind w:firstLine="0"/>
              <w:rPr>
                <w:rFonts w:ascii="Times New Roman" w:hAnsi="Times New Roman" w:cs="Times New Roman"/>
                <w:sz w:val="24"/>
                <w:szCs w:val="24"/>
              </w:rPr>
            </w:pPr>
            <w:r w:rsidRPr="00D213FF">
              <w:rPr>
                <w:rFonts w:ascii="Times New Roman" w:hAnsi="Times New Roman" w:cs="Times New Roman"/>
                <w:sz w:val="24"/>
                <w:szCs w:val="24"/>
              </w:rPr>
              <w:t>Cluster 1 (</w:t>
            </w:r>
            <w:r w:rsidR="00DE35F7" w:rsidRPr="00D213FF">
              <w:rPr>
                <w:rFonts w:ascii="Times New Roman" w:hAnsi="Times New Roman" w:cs="Times New Roman"/>
                <w:sz w:val="24"/>
                <w:szCs w:val="24"/>
              </w:rPr>
              <w:t>Pipeline</w:t>
            </w:r>
            <w:r w:rsidRPr="00D213FF">
              <w:rPr>
                <w:rFonts w:ascii="Times New Roman" w:hAnsi="Times New Roman" w:cs="Times New Roman"/>
                <w:sz w:val="24"/>
                <w:szCs w:val="24"/>
              </w:rPr>
              <w:t>)</w:t>
            </w:r>
          </w:p>
        </w:tc>
        <w:tc>
          <w:tcPr>
            <w:tcW w:w="0" w:type="auto"/>
          </w:tcPr>
          <w:p w14:paraId="02ABC0B7" w14:textId="77777777" w:rsidR="00AE5C82" w:rsidRPr="00D213FF" w:rsidRDefault="00AE5C82" w:rsidP="00F05620">
            <w:pPr>
              <w:pStyle w:val="Paragraph"/>
              <w:ind w:firstLine="0"/>
              <w:jc w:val="center"/>
              <w:rPr>
                <w:rFonts w:ascii="Times New Roman" w:hAnsi="Times New Roman" w:cs="Times New Roman"/>
                <w:sz w:val="24"/>
                <w:szCs w:val="24"/>
              </w:rPr>
            </w:pPr>
            <w:r w:rsidRPr="00D213FF">
              <w:rPr>
                <w:rFonts w:ascii="Times New Roman" w:hAnsi="Times New Roman" w:cs="Times New Roman"/>
                <w:sz w:val="24"/>
                <w:szCs w:val="24"/>
              </w:rPr>
              <w:t>1.9110</w:t>
            </w:r>
          </w:p>
        </w:tc>
        <w:tc>
          <w:tcPr>
            <w:tcW w:w="0" w:type="auto"/>
          </w:tcPr>
          <w:p w14:paraId="120CEB33" w14:textId="4985B05E" w:rsidR="00AE5C82" w:rsidRPr="00D213FF" w:rsidRDefault="00AE5C82" w:rsidP="000916B7">
            <w:pPr>
              <w:pStyle w:val="Paragraph"/>
              <w:ind w:firstLine="0"/>
              <w:jc w:val="center"/>
              <w:rPr>
                <w:rFonts w:ascii="Times New Roman" w:hAnsi="Times New Roman" w:cs="Times New Roman"/>
                <w:b/>
                <w:bCs/>
                <w:sz w:val="24"/>
                <w:szCs w:val="24"/>
              </w:rPr>
            </w:pPr>
            <w:r w:rsidRPr="00D213FF">
              <w:rPr>
                <w:rFonts w:ascii="Times New Roman" w:hAnsi="Times New Roman" w:cs="Times New Roman"/>
                <w:b/>
                <w:bCs/>
                <w:sz w:val="24"/>
                <w:szCs w:val="24"/>
              </w:rPr>
              <w:t>0.0382</w:t>
            </w:r>
          </w:p>
        </w:tc>
      </w:tr>
      <w:tr w:rsidR="00AE5C82" w:rsidRPr="00D213FF" w14:paraId="0D946CDE" w14:textId="77777777" w:rsidTr="00E93C0F">
        <w:tc>
          <w:tcPr>
            <w:tcW w:w="0" w:type="auto"/>
            <w:vMerge/>
            <w:vAlign w:val="center"/>
          </w:tcPr>
          <w:p w14:paraId="1CC1E681" w14:textId="77777777" w:rsidR="00AE5C82" w:rsidRPr="00D213FF" w:rsidRDefault="00AE5C82" w:rsidP="00A36FB0">
            <w:pPr>
              <w:pStyle w:val="Paragraph"/>
              <w:ind w:firstLine="0"/>
              <w:rPr>
                <w:rFonts w:ascii="Times New Roman" w:hAnsi="Times New Roman" w:cs="Times New Roman"/>
                <w:b/>
                <w:bCs/>
                <w:sz w:val="24"/>
                <w:szCs w:val="24"/>
              </w:rPr>
            </w:pPr>
          </w:p>
        </w:tc>
        <w:tc>
          <w:tcPr>
            <w:tcW w:w="0" w:type="auto"/>
            <w:vAlign w:val="center"/>
          </w:tcPr>
          <w:p w14:paraId="55B4A480" w14:textId="0F1A2FF2" w:rsidR="00AE5C82" w:rsidRPr="00D213FF" w:rsidRDefault="00AE5C82" w:rsidP="00A36FB0">
            <w:pPr>
              <w:pStyle w:val="Paragraph"/>
              <w:ind w:firstLine="0"/>
              <w:rPr>
                <w:rFonts w:ascii="Times New Roman" w:hAnsi="Times New Roman" w:cs="Times New Roman"/>
                <w:sz w:val="24"/>
                <w:szCs w:val="24"/>
              </w:rPr>
            </w:pPr>
            <w:r w:rsidRPr="00D213FF">
              <w:rPr>
                <w:rFonts w:ascii="Times New Roman" w:hAnsi="Times New Roman" w:cs="Times New Roman"/>
                <w:sz w:val="24"/>
                <w:szCs w:val="24"/>
              </w:rPr>
              <w:t>Cluster 2 (Onshore)</w:t>
            </w:r>
          </w:p>
        </w:tc>
        <w:tc>
          <w:tcPr>
            <w:tcW w:w="0" w:type="auto"/>
          </w:tcPr>
          <w:p w14:paraId="0E17A0D7" w14:textId="77777777" w:rsidR="00AE5C82" w:rsidRPr="00D213FF" w:rsidRDefault="00AE5C82" w:rsidP="00F05620">
            <w:pPr>
              <w:pStyle w:val="Paragraph"/>
              <w:ind w:firstLine="0"/>
              <w:jc w:val="center"/>
              <w:rPr>
                <w:rFonts w:ascii="Times New Roman" w:hAnsi="Times New Roman" w:cs="Times New Roman"/>
                <w:sz w:val="24"/>
                <w:szCs w:val="24"/>
              </w:rPr>
            </w:pPr>
            <w:r w:rsidRPr="00D213FF">
              <w:rPr>
                <w:rFonts w:ascii="Times New Roman" w:hAnsi="Times New Roman" w:cs="Times New Roman"/>
                <w:sz w:val="24"/>
                <w:szCs w:val="24"/>
              </w:rPr>
              <w:t>1.8614</w:t>
            </w:r>
          </w:p>
        </w:tc>
        <w:tc>
          <w:tcPr>
            <w:tcW w:w="0" w:type="auto"/>
          </w:tcPr>
          <w:p w14:paraId="3B81FF85" w14:textId="69DFCB43" w:rsidR="00AE5C82" w:rsidRPr="00D213FF" w:rsidRDefault="00AE5C82" w:rsidP="000916B7">
            <w:pPr>
              <w:pStyle w:val="Paragraph"/>
              <w:ind w:firstLine="0"/>
              <w:jc w:val="center"/>
              <w:rPr>
                <w:rFonts w:ascii="Times New Roman" w:hAnsi="Times New Roman" w:cs="Times New Roman"/>
                <w:b/>
                <w:bCs/>
                <w:sz w:val="24"/>
                <w:szCs w:val="24"/>
              </w:rPr>
            </w:pPr>
            <w:r w:rsidRPr="00D213FF">
              <w:rPr>
                <w:rFonts w:ascii="Times New Roman" w:hAnsi="Times New Roman" w:cs="Times New Roman"/>
                <w:b/>
                <w:bCs/>
                <w:sz w:val="24"/>
                <w:szCs w:val="24"/>
              </w:rPr>
              <w:t>0.0372</w:t>
            </w:r>
          </w:p>
        </w:tc>
      </w:tr>
      <w:tr w:rsidR="00AE5C82" w:rsidRPr="00D213FF" w14:paraId="606BE9DA" w14:textId="77777777" w:rsidTr="00E93C0F">
        <w:tc>
          <w:tcPr>
            <w:tcW w:w="0" w:type="auto"/>
            <w:vMerge/>
            <w:vAlign w:val="center"/>
          </w:tcPr>
          <w:p w14:paraId="122143F0" w14:textId="77777777" w:rsidR="00AE5C82" w:rsidRPr="00D213FF" w:rsidRDefault="00AE5C82" w:rsidP="00A36FB0">
            <w:pPr>
              <w:pStyle w:val="Paragraph"/>
              <w:ind w:firstLine="0"/>
              <w:rPr>
                <w:rFonts w:ascii="Times New Roman" w:hAnsi="Times New Roman" w:cs="Times New Roman"/>
                <w:b/>
                <w:bCs/>
                <w:sz w:val="24"/>
                <w:szCs w:val="24"/>
              </w:rPr>
            </w:pPr>
          </w:p>
        </w:tc>
        <w:tc>
          <w:tcPr>
            <w:tcW w:w="0" w:type="auto"/>
            <w:vAlign w:val="center"/>
          </w:tcPr>
          <w:p w14:paraId="21380603" w14:textId="4A1439B0" w:rsidR="00AE5C82" w:rsidRPr="00D213FF" w:rsidRDefault="00AE5C82" w:rsidP="00A36FB0">
            <w:pPr>
              <w:pStyle w:val="Paragraph"/>
              <w:ind w:firstLine="0"/>
              <w:rPr>
                <w:rFonts w:ascii="Times New Roman" w:hAnsi="Times New Roman" w:cs="Times New Roman"/>
                <w:sz w:val="24"/>
                <w:szCs w:val="24"/>
              </w:rPr>
            </w:pPr>
            <w:r w:rsidRPr="00D213FF">
              <w:rPr>
                <w:rFonts w:ascii="Times New Roman" w:hAnsi="Times New Roman" w:cs="Times New Roman"/>
                <w:sz w:val="24"/>
                <w:szCs w:val="24"/>
              </w:rPr>
              <w:t>Cluster 3 (Marine)</w:t>
            </w:r>
          </w:p>
        </w:tc>
        <w:tc>
          <w:tcPr>
            <w:tcW w:w="0" w:type="auto"/>
          </w:tcPr>
          <w:p w14:paraId="7D4B60ED" w14:textId="77777777" w:rsidR="00AE5C82" w:rsidRPr="00D213FF" w:rsidRDefault="00AE5C82" w:rsidP="00F05620">
            <w:pPr>
              <w:pStyle w:val="Paragraph"/>
              <w:ind w:firstLine="0"/>
              <w:jc w:val="center"/>
              <w:rPr>
                <w:rFonts w:ascii="Times New Roman" w:hAnsi="Times New Roman" w:cs="Times New Roman"/>
                <w:sz w:val="24"/>
                <w:szCs w:val="24"/>
              </w:rPr>
            </w:pPr>
            <w:r w:rsidRPr="00D213FF">
              <w:rPr>
                <w:rFonts w:ascii="Times New Roman" w:hAnsi="Times New Roman" w:cs="Times New Roman"/>
                <w:sz w:val="24"/>
                <w:szCs w:val="24"/>
              </w:rPr>
              <w:t>1.8631</w:t>
            </w:r>
          </w:p>
        </w:tc>
        <w:tc>
          <w:tcPr>
            <w:tcW w:w="0" w:type="auto"/>
          </w:tcPr>
          <w:p w14:paraId="4FD25B02" w14:textId="407A303F" w:rsidR="00AE5C82" w:rsidRPr="00D213FF" w:rsidRDefault="00AE5C82" w:rsidP="000916B7">
            <w:pPr>
              <w:pStyle w:val="Paragraph"/>
              <w:ind w:firstLine="0"/>
              <w:jc w:val="center"/>
              <w:rPr>
                <w:rFonts w:ascii="Times New Roman" w:hAnsi="Times New Roman" w:cs="Times New Roman"/>
                <w:b/>
                <w:bCs/>
                <w:sz w:val="24"/>
                <w:szCs w:val="24"/>
              </w:rPr>
            </w:pPr>
            <w:r w:rsidRPr="00D213FF">
              <w:rPr>
                <w:rFonts w:ascii="Times New Roman" w:hAnsi="Times New Roman" w:cs="Times New Roman"/>
                <w:b/>
                <w:bCs/>
                <w:sz w:val="24"/>
                <w:szCs w:val="24"/>
              </w:rPr>
              <w:t>0.0373</w:t>
            </w:r>
          </w:p>
        </w:tc>
      </w:tr>
      <w:tr w:rsidR="00AE5C82" w:rsidRPr="00D213FF" w14:paraId="15769548" w14:textId="77777777" w:rsidTr="00E93C0F">
        <w:tc>
          <w:tcPr>
            <w:tcW w:w="0" w:type="auto"/>
            <w:vMerge w:val="restart"/>
            <w:vAlign w:val="center"/>
          </w:tcPr>
          <w:p w14:paraId="26F72B03" w14:textId="77777777" w:rsidR="00AE5C82" w:rsidRPr="00D213FF" w:rsidRDefault="00AE5C82" w:rsidP="00A36FB0">
            <w:pPr>
              <w:pStyle w:val="Paragraph"/>
              <w:ind w:firstLine="0"/>
              <w:rPr>
                <w:rFonts w:ascii="Times New Roman" w:hAnsi="Times New Roman" w:cs="Times New Roman"/>
                <w:b/>
                <w:bCs/>
                <w:sz w:val="24"/>
                <w:szCs w:val="24"/>
              </w:rPr>
            </w:pPr>
            <w:r w:rsidRPr="00D213FF">
              <w:rPr>
                <w:rFonts w:ascii="Times New Roman" w:hAnsi="Times New Roman" w:cs="Times New Roman"/>
                <w:b/>
                <w:bCs/>
                <w:sz w:val="24"/>
                <w:szCs w:val="24"/>
              </w:rPr>
              <w:t>0.03g</w:t>
            </w:r>
          </w:p>
        </w:tc>
        <w:tc>
          <w:tcPr>
            <w:tcW w:w="0" w:type="auto"/>
            <w:vAlign w:val="center"/>
          </w:tcPr>
          <w:p w14:paraId="7339CB42" w14:textId="52870C27" w:rsidR="00AE5C82" w:rsidRPr="00D213FF" w:rsidRDefault="00AE5C82" w:rsidP="00A36FB0">
            <w:pPr>
              <w:pStyle w:val="Paragraph"/>
              <w:ind w:firstLine="0"/>
              <w:rPr>
                <w:rFonts w:ascii="Times New Roman" w:hAnsi="Times New Roman" w:cs="Times New Roman"/>
                <w:sz w:val="24"/>
                <w:szCs w:val="24"/>
              </w:rPr>
            </w:pPr>
            <w:r w:rsidRPr="00D213FF">
              <w:rPr>
                <w:rFonts w:ascii="Times New Roman" w:hAnsi="Times New Roman" w:cs="Times New Roman"/>
                <w:sz w:val="24"/>
                <w:szCs w:val="24"/>
              </w:rPr>
              <w:t>Cluster 1 (</w:t>
            </w:r>
            <w:r w:rsidR="00DE35F7" w:rsidRPr="00D213FF">
              <w:rPr>
                <w:rFonts w:ascii="Times New Roman" w:hAnsi="Times New Roman" w:cs="Times New Roman"/>
                <w:sz w:val="24"/>
                <w:szCs w:val="24"/>
              </w:rPr>
              <w:t>Pipeline</w:t>
            </w:r>
            <w:r w:rsidRPr="00D213FF">
              <w:rPr>
                <w:rFonts w:ascii="Times New Roman" w:hAnsi="Times New Roman" w:cs="Times New Roman"/>
                <w:sz w:val="24"/>
                <w:szCs w:val="24"/>
              </w:rPr>
              <w:t>)</w:t>
            </w:r>
          </w:p>
        </w:tc>
        <w:tc>
          <w:tcPr>
            <w:tcW w:w="0" w:type="auto"/>
          </w:tcPr>
          <w:p w14:paraId="0B379386" w14:textId="77777777" w:rsidR="00AE5C82" w:rsidRPr="00D213FF" w:rsidRDefault="00AE5C82" w:rsidP="00F05620">
            <w:pPr>
              <w:pStyle w:val="Paragraph"/>
              <w:ind w:firstLine="0"/>
              <w:jc w:val="center"/>
              <w:rPr>
                <w:rFonts w:ascii="Times New Roman" w:hAnsi="Times New Roman" w:cs="Times New Roman"/>
                <w:sz w:val="24"/>
                <w:szCs w:val="24"/>
              </w:rPr>
            </w:pPr>
            <w:r w:rsidRPr="00D213FF">
              <w:rPr>
                <w:rFonts w:ascii="Times New Roman" w:hAnsi="Times New Roman" w:cs="Times New Roman"/>
                <w:sz w:val="24"/>
                <w:szCs w:val="24"/>
              </w:rPr>
              <w:t>1.7551</w:t>
            </w:r>
          </w:p>
        </w:tc>
        <w:tc>
          <w:tcPr>
            <w:tcW w:w="0" w:type="auto"/>
          </w:tcPr>
          <w:p w14:paraId="6E23288F" w14:textId="62866D41" w:rsidR="00AE5C82" w:rsidRPr="00D213FF" w:rsidRDefault="00AE5C82" w:rsidP="000916B7">
            <w:pPr>
              <w:pStyle w:val="Paragraph"/>
              <w:ind w:firstLine="0"/>
              <w:jc w:val="center"/>
              <w:rPr>
                <w:rFonts w:ascii="Times New Roman" w:hAnsi="Times New Roman" w:cs="Times New Roman"/>
                <w:b/>
                <w:bCs/>
                <w:sz w:val="24"/>
                <w:szCs w:val="24"/>
              </w:rPr>
            </w:pPr>
            <w:r w:rsidRPr="00D213FF">
              <w:rPr>
                <w:rFonts w:ascii="Times New Roman" w:hAnsi="Times New Roman" w:cs="Times New Roman"/>
                <w:b/>
                <w:bCs/>
                <w:sz w:val="24"/>
                <w:szCs w:val="24"/>
              </w:rPr>
              <w:t>0.0527</w:t>
            </w:r>
          </w:p>
        </w:tc>
      </w:tr>
      <w:tr w:rsidR="00AE5C82" w:rsidRPr="00D213FF" w14:paraId="397A57ED" w14:textId="77777777" w:rsidTr="00E93C0F">
        <w:tc>
          <w:tcPr>
            <w:tcW w:w="0" w:type="auto"/>
            <w:vMerge/>
          </w:tcPr>
          <w:p w14:paraId="0149B1AB" w14:textId="77777777" w:rsidR="00AE5C82" w:rsidRPr="00D213FF" w:rsidRDefault="00AE5C82" w:rsidP="00A36FB0">
            <w:pPr>
              <w:pStyle w:val="Paragraph"/>
              <w:ind w:firstLine="0"/>
              <w:rPr>
                <w:rFonts w:ascii="Times New Roman" w:hAnsi="Times New Roman" w:cs="Times New Roman"/>
                <w:b/>
                <w:bCs/>
                <w:sz w:val="24"/>
                <w:szCs w:val="24"/>
              </w:rPr>
            </w:pPr>
          </w:p>
        </w:tc>
        <w:tc>
          <w:tcPr>
            <w:tcW w:w="0" w:type="auto"/>
            <w:vAlign w:val="center"/>
          </w:tcPr>
          <w:p w14:paraId="03319DAE" w14:textId="44AC65A8" w:rsidR="00AE5C82" w:rsidRPr="00D213FF" w:rsidRDefault="00AE5C82" w:rsidP="00A36FB0">
            <w:pPr>
              <w:pStyle w:val="Paragraph"/>
              <w:ind w:firstLine="0"/>
              <w:rPr>
                <w:rFonts w:ascii="Times New Roman" w:hAnsi="Times New Roman" w:cs="Times New Roman"/>
                <w:sz w:val="24"/>
                <w:szCs w:val="24"/>
              </w:rPr>
            </w:pPr>
            <w:r w:rsidRPr="00D213FF">
              <w:rPr>
                <w:rFonts w:ascii="Times New Roman" w:hAnsi="Times New Roman" w:cs="Times New Roman"/>
                <w:sz w:val="24"/>
                <w:szCs w:val="24"/>
              </w:rPr>
              <w:t>Cluster 2 (Onshore)</w:t>
            </w:r>
          </w:p>
        </w:tc>
        <w:tc>
          <w:tcPr>
            <w:tcW w:w="0" w:type="auto"/>
          </w:tcPr>
          <w:p w14:paraId="217AC44D" w14:textId="77777777" w:rsidR="00AE5C82" w:rsidRPr="00D213FF" w:rsidRDefault="00AE5C82" w:rsidP="00F05620">
            <w:pPr>
              <w:pStyle w:val="Paragraph"/>
              <w:ind w:firstLine="0"/>
              <w:jc w:val="center"/>
              <w:rPr>
                <w:rFonts w:ascii="Times New Roman" w:hAnsi="Times New Roman" w:cs="Times New Roman"/>
                <w:sz w:val="24"/>
                <w:szCs w:val="24"/>
              </w:rPr>
            </w:pPr>
            <w:r w:rsidRPr="00D213FF">
              <w:rPr>
                <w:rFonts w:ascii="Times New Roman" w:hAnsi="Times New Roman" w:cs="Times New Roman"/>
                <w:sz w:val="24"/>
                <w:szCs w:val="24"/>
              </w:rPr>
              <w:t>1.8041</w:t>
            </w:r>
          </w:p>
        </w:tc>
        <w:tc>
          <w:tcPr>
            <w:tcW w:w="0" w:type="auto"/>
          </w:tcPr>
          <w:p w14:paraId="7DC983C3" w14:textId="79A410B7" w:rsidR="00AE5C82" w:rsidRPr="00D213FF" w:rsidRDefault="00AE5C82" w:rsidP="000916B7">
            <w:pPr>
              <w:pStyle w:val="Paragraph"/>
              <w:ind w:firstLine="0"/>
              <w:jc w:val="center"/>
              <w:rPr>
                <w:rFonts w:ascii="Times New Roman" w:hAnsi="Times New Roman" w:cs="Times New Roman"/>
                <w:b/>
                <w:bCs/>
                <w:sz w:val="24"/>
                <w:szCs w:val="24"/>
              </w:rPr>
            </w:pPr>
            <w:r w:rsidRPr="00D213FF">
              <w:rPr>
                <w:rFonts w:ascii="Times New Roman" w:hAnsi="Times New Roman" w:cs="Times New Roman"/>
                <w:b/>
                <w:bCs/>
                <w:sz w:val="24"/>
                <w:szCs w:val="24"/>
              </w:rPr>
              <w:t>0.0541</w:t>
            </w:r>
          </w:p>
        </w:tc>
      </w:tr>
      <w:tr w:rsidR="00AE5C82" w:rsidRPr="00D213FF" w14:paraId="14ED6E9C" w14:textId="77777777" w:rsidTr="00E93C0F">
        <w:tc>
          <w:tcPr>
            <w:tcW w:w="0" w:type="auto"/>
            <w:vMerge/>
          </w:tcPr>
          <w:p w14:paraId="258BEB01" w14:textId="77777777" w:rsidR="00AE5C82" w:rsidRPr="00D213FF" w:rsidRDefault="00AE5C82" w:rsidP="00A36FB0">
            <w:pPr>
              <w:pStyle w:val="Paragraph"/>
              <w:ind w:firstLine="0"/>
              <w:rPr>
                <w:rFonts w:ascii="Times New Roman" w:hAnsi="Times New Roman" w:cs="Times New Roman"/>
                <w:b/>
                <w:bCs/>
                <w:sz w:val="24"/>
                <w:szCs w:val="24"/>
              </w:rPr>
            </w:pPr>
          </w:p>
        </w:tc>
        <w:tc>
          <w:tcPr>
            <w:tcW w:w="0" w:type="auto"/>
            <w:vAlign w:val="center"/>
          </w:tcPr>
          <w:p w14:paraId="03C338EB" w14:textId="27EEAD48" w:rsidR="00AE5C82" w:rsidRPr="00D213FF" w:rsidRDefault="00AE5C82" w:rsidP="00A36FB0">
            <w:pPr>
              <w:pStyle w:val="Paragraph"/>
              <w:ind w:firstLine="0"/>
              <w:rPr>
                <w:rFonts w:ascii="Times New Roman" w:hAnsi="Times New Roman" w:cs="Times New Roman"/>
                <w:sz w:val="24"/>
                <w:szCs w:val="24"/>
              </w:rPr>
            </w:pPr>
            <w:r w:rsidRPr="00D213FF">
              <w:rPr>
                <w:rFonts w:ascii="Times New Roman" w:hAnsi="Times New Roman" w:cs="Times New Roman"/>
                <w:sz w:val="24"/>
                <w:szCs w:val="24"/>
              </w:rPr>
              <w:t>Cluster 3 (Marine)</w:t>
            </w:r>
          </w:p>
        </w:tc>
        <w:tc>
          <w:tcPr>
            <w:tcW w:w="0" w:type="auto"/>
          </w:tcPr>
          <w:p w14:paraId="736B41A5" w14:textId="77777777" w:rsidR="00AE5C82" w:rsidRPr="00D213FF" w:rsidRDefault="00AE5C82" w:rsidP="00F05620">
            <w:pPr>
              <w:pStyle w:val="Paragraph"/>
              <w:ind w:firstLine="0"/>
              <w:jc w:val="center"/>
              <w:rPr>
                <w:rFonts w:ascii="Times New Roman" w:hAnsi="Times New Roman" w:cs="Times New Roman"/>
                <w:sz w:val="24"/>
                <w:szCs w:val="24"/>
              </w:rPr>
            </w:pPr>
            <w:r w:rsidRPr="00D213FF">
              <w:rPr>
                <w:rFonts w:ascii="Times New Roman" w:hAnsi="Times New Roman" w:cs="Times New Roman"/>
                <w:sz w:val="24"/>
                <w:szCs w:val="24"/>
              </w:rPr>
              <w:t>1.7722</w:t>
            </w:r>
          </w:p>
        </w:tc>
        <w:tc>
          <w:tcPr>
            <w:tcW w:w="0" w:type="auto"/>
          </w:tcPr>
          <w:p w14:paraId="74C25292" w14:textId="7FA8EA63" w:rsidR="00AE5C82" w:rsidRPr="00D213FF" w:rsidRDefault="00AE5C82" w:rsidP="000916B7">
            <w:pPr>
              <w:pStyle w:val="Paragraph"/>
              <w:ind w:firstLine="0"/>
              <w:jc w:val="center"/>
              <w:rPr>
                <w:rFonts w:ascii="Times New Roman" w:hAnsi="Times New Roman" w:cs="Times New Roman"/>
                <w:b/>
                <w:bCs/>
                <w:sz w:val="24"/>
                <w:szCs w:val="24"/>
              </w:rPr>
            </w:pPr>
            <w:r w:rsidRPr="00D213FF">
              <w:rPr>
                <w:rFonts w:ascii="Times New Roman" w:hAnsi="Times New Roman" w:cs="Times New Roman"/>
                <w:b/>
                <w:bCs/>
                <w:sz w:val="24"/>
                <w:szCs w:val="24"/>
              </w:rPr>
              <w:t>0.0532</w:t>
            </w:r>
          </w:p>
        </w:tc>
      </w:tr>
    </w:tbl>
    <w:p w14:paraId="5BEBBE42" w14:textId="77777777" w:rsidR="00AE5C82" w:rsidRPr="00D213FF" w:rsidRDefault="00AE5C82" w:rsidP="00A36FB0">
      <w:pPr>
        <w:pStyle w:val="Paragraph"/>
        <w:ind w:firstLine="0"/>
        <w:rPr>
          <w:rFonts w:ascii="Times New Roman" w:hAnsi="Times New Roman" w:cs="Times New Roman"/>
          <w:sz w:val="24"/>
          <w:szCs w:val="24"/>
        </w:rPr>
      </w:pPr>
    </w:p>
    <w:p w14:paraId="008B5347" w14:textId="52793A0E" w:rsidR="00FB50FA" w:rsidRPr="00D213FF" w:rsidRDefault="006C7DF5" w:rsidP="00A36FB0">
      <w:pPr>
        <w:pStyle w:val="Paragraph"/>
        <w:ind w:firstLine="0"/>
        <w:rPr>
          <w:rFonts w:ascii="Times New Roman" w:hAnsi="Times New Roman" w:cs="Times New Roman"/>
          <w:b/>
          <w:bCs/>
          <w:sz w:val="24"/>
          <w:szCs w:val="24"/>
        </w:rPr>
      </w:pPr>
      <w:r w:rsidRPr="00D213FF">
        <w:rPr>
          <w:rFonts w:ascii="Times New Roman" w:hAnsi="Times New Roman" w:cs="Times New Roman"/>
          <w:b/>
          <w:bCs/>
          <w:sz w:val="24"/>
          <w:szCs w:val="24"/>
        </w:rPr>
        <w:t>Implications for Engineering Design</w:t>
      </w:r>
    </w:p>
    <w:p w14:paraId="3359B69D" w14:textId="77777777" w:rsidR="00FB50FA" w:rsidRPr="00FB50FA" w:rsidRDefault="00FB50FA" w:rsidP="00FB50FA">
      <w:pPr>
        <w:pStyle w:val="Paragraph"/>
        <w:ind w:firstLine="0"/>
        <w:rPr>
          <w:rFonts w:ascii="Times New Roman" w:hAnsi="Times New Roman" w:cs="Times New Roman"/>
          <w:sz w:val="24"/>
          <w:szCs w:val="24"/>
        </w:rPr>
      </w:pPr>
      <w:r w:rsidRPr="00FB50FA">
        <w:rPr>
          <w:rFonts w:ascii="Times New Roman" w:hAnsi="Times New Roman" w:cs="Times New Roman"/>
          <w:sz w:val="24"/>
          <w:szCs w:val="24"/>
        </w:rPr>
        <w:t>The results indicate that local amplification factors ranging from 1.0765 to 2.1201 (Tables 10–12 and 14) are primarily attributed to the presence of soft surface soil layers across multiple locations within the SOGIP area. In several instances, these amplification factors exceed the values recommended in MS EN 1998-1:2015 (Table N.A.1, Annex C, and Annex D), suggesting that standard code provisions may not fully capture the influence of local subsurface conditions. Consequently, reliance solely on national-scale PGA values may lead to underestimation of seismic demand, particularly for critical infrastructure.</w:t>
      </w:r>
    </w:p>
    <w:p w14:paraId="13BF78CF" w14:textId="77777777" w:rsidR="00FB50FA" w:rsidRPr="00FB50FA" w:rsidRDefault="00FB50FA" w:rsidP="00FB50FA">
      <w:pPr>
        <w:pStyle w:val="Paragraph"/>
        <w:rPr>
          <w:rFonts w:ascii="Times New Roman" w:hAnsi="Times New Roman" w:cs="Times New Roman"/>
          <w:sz w:val="24"/>
          <w:szCs w:val="24"/>
        </w:rPr>
      </w:pPr>
    </w:p>
    <w:p w14:paraId="338A5386" w14:textId="5F4CD710" w:rsidR="00FB50FA" w:rsidRPr="00FB50FA" w:rsidRDefault="00FB50FA" w:rsidP="00FB50FA">
      <w:pPr>
        <w:pStyle w:val="Paragraph"/>
        <w:ind w:firstLine="0"/>
        <w:rPr>
          <w:rFonts w:ascii="Times New Roman" w:hAnsi="Times New Roman" w:cs="Times New Roman"/>
          <w:sz w:val="24"/>
          <w:szCs w:val="24"/>
        </w:rPr>
      </w:pPr>
      <w:r w:rsidRPr="00FB50FA">
        <w:rPr>
          <w:rFonts w:ascii="Times New Roman" w:hAnsi="Times New Roman" w:cs="Times New Roman"/>
          <w:sz w:val="24"/>
          <w:szCs w:val="24"/>
        </w:rPr>
        <w:t xml:space="preserve">The observed increase in surface PGA has significant implications for the design of industrial facilities in SOGIP. Elevated seismic demand directly influences the design requirements of shallow and deep foundations, storage tanks, pipelines, and retaining structures. Flexible systems, such as pipelines and offshore facilities, are </w:t>
      </w:r>
      <w:r>
        <w:rPr>
          <w:rFonts w:ascii="Times New Roman" w:hAnsi="Times New Roman" w:cs="Times New Roman"/>
          <w:sz w:val="24"/>
          <w:szCs w:val="24"/>
        </w:rPr>
        <w:t>particularly vulnerable to ground deformation and amplification</w:t>
      </w:r>
      <w:r w:rsidRPr="00FB50FA">
        <w:rPr>
          <w:rFonts w:ascii="Times New Roman" w:hAnsi="Times New Roman" w:cs="Times New Roman"/>
          <w:sz w:val="24"/>
          <w:szCs w:val="24"/>
        </w:rPr>
        <w:t>, making them more sensitive to site-specific seismic response.</w:t>
      </w:r>
    </w:p>
    <w:p w14:paraId="5CB3099B" w14:textId="77777777" w:rsidR="00FB50FA" w:rsidRPr="00FB50FA" w:rsidRDefault="00FB50FA" w:rsidP="00FB50FA">
      <w:pPr>
        <w:pStyle w:val="Paragraph"/>
        <w:rPr>
          <w:rFonts w:ascii="Times New Roman" w:hAnsi="Times New Roman" w:cs="Times New Roman"/>
          <w:sz w:val="24"/>
          <w:szCs w:val="24"/>
        </w:rPr>
      </w:pPr>
    </w:p>
    <w:p w14:paraId="5B84558D" w14:textId="20D9DEF5" w:rsidR="00FB50FA" w:rsidRPr="00FB50FA" w:rsidRDefault="00FB50FA" w:rsidP="00FB50FA">
      <w:pPr>
        <w:pStyle w:val="Paragraph"/>
        <w:ind w:firstLine="0"/>
        <w:rPr>
          <w:rFonts w:ascii="Times New Roman" w:hAnsi="Times New Roman" w:cs="Times New Roman"/>
          <w:sz w:val="24"/>
          <w:szCs w:val="24"/>
        </w:rPr>
      </w:pPr>
      <w:r w:rsidRPr="00FB50FA">
        <w:rPr>
          <w:rFonts w:ascii="Times New Roman" w:hAnsi="Times New Roman" w:cs="Times New Roman"/>
          <w:sz w:val="24"/>
          <w:szCs w:val="24"/>
        </w:rPr>
        <w:t xml:space="preserve">These findings highlight the importance of adopting site-specific response spectra in place of standard code-based spectra to </w:t>
      </w:r>
      <w:r>
        <w:rPr>
          <w:rFonts w:ascii="Times New Roman" w:hAnsi="Times New Roman" w:cs="Times New Roman"/>
          <w:sz w:val="24"/>
          <w:szCs w:val="24"/>
        </w:rPr>
        <w:t>better reflect</w:t>
      </w:r>
      <w:r w:rsidRPr="00FB50FA">
        <w:rPr>
          <w:rFonts w:ascii="Times New Roman" w:hAnsi="Times New Roman" w:cs="Times New Roman"/>
          <w:sz w:val="24"/>
          <w:szCs w:val="24"/>
        </w:rPr>
        <w:t xml:space="preserve"> actual ground behaviour. Such an approach not only enhances structural safety but also enables more economical and performance-based design solutions.</w:t>
      </w:r>
    </w:p>
    <w:p w14:paraId="7ED2DEAE" w14:textId="77777777" w:rsidR="00FB50FA" w:rsidRPr="00FB50FA" w:rsidRDefault="00FB50FA" w:rsidP="00FB50FA">
      <w:pPr>
        <w:pStyle w:val="Paragraph"/>
        <w:rPr>
          <w:rFonts w:ascii="Times New Roman" w:hAnsi="Times New Roman" w:cs="Times New Roman"/>
          <w:sz w:val="24"/>
          <w:szCs w:val="24"/>
        </w:rPr>
      </w:pPr>
    </w:p>
    <w:p w14:paraId="5B316892" w14:textId="2E4BD01B" w:rsidR="00DB668A" w:rsidRDefault="00FB50FA" w:rsidP="00FB50FA">
      <w:pPr>
        <w:pStyle w:val="Paragraph"/>
        <w:ind w:firstLine="0"/>
        <w:rPr>
          <w:rFonts w:ascii="Times New Roman" w:hAnsi="Times New Roman" w:cs="Times New Roman"/>
          <w:sz w:val="24"/>
          <w:szCs w:val="24"/>
        </w:rPr>
      </w:pPr>
      <w:r w:rsidRPr="00FB50FA">
        <w:rPr>
          <w:rFonts w:ascii="Times New Roman" w:hAnsi="Times New Roman" w:cs="Times New Roman"/>
          <w:sz w:val="24"/>
          <w:szCs w:val="24"/>
        </w:rPr>
        <w:t>Furthermore, the presence of soft</w:t>
      </w:r>
      <w:r>
        <w:rPr>
          <w:rFonts w:ascii="Times New Roman" w:hAnsi="Times New Roman" w:cs="Times New Roman"/>
          <w:sz w:val="24"/>
          <w:szCs w:val="24"/>
        </w:rPr>
        <w:t xml:space="preserve">, potentially saturated soil layers indicates </w:t>
      </w:r>
      <w:r w:rsidRPr="00FB50FA">
        <w:rPr>
          <w:rFonts w:ascii="Times New Roman" w:hAnsi="Times New Roman" w:cs="Times New Roman"/>
          <w:sz w:val="24"/>
          <w:szCs w:val="24"/>
        </w:rPr>
        <w:t>increased susceptibility to seismic-induced ground failures, including liquefaction and slope instability. These hazards should be explicitly considered in the design and risk assessment of infrastructure within the study area.</w:t>
      </w:r>
    </w:p>
    <w:p w14:paraId="005EFE91" w14:textId="77777777" w:rsidR="00FB50FA" w:rsidRPr="00D213FF" w:rsidRDefault="00FB50FA" w:rsidP="00FB50FA">
      <w:pPr>
        <w:pStyle w:val="Paragraph"/>
        <w:ind w:firstLine="0"/>
        <w:rPr>
          <w:rFonts w:ascii="Times New Roman" w:hAnsi="Times New Roman" w:cs="Times New Roman"/>
          <w:b/>
          <w:bCs/>
          <w:sz w:val="24"/>
          <w:szCs w:val="24"/>
        </w:rPr>
      </w:pPr>
    </w:p>
    <w:p w14:paraId="331B796D" w14:textId="0C4B0F45" w:rsidR="006C7DF5" w:rsidRPr="00D213FF" w:rsidRDefault="00E93C0F" w:rsidP="00A36FB0">
      <w:pPr>
        <w:pStyle w:val="Paragraph"/>
        <w:ind w:firstLine="0"/>
        <w:rPr>
          <w:rFonts w:ascii="Times New Roman" w:hAnsi="Times New Roman" w:cs="Times New Roman"/>
          <w:b/>
          <w:bCs/>
          <w:sz w:val="24"/>
          <w:szCs w:val="24"/>
        </w:rPr>
      </w:pPr>
      <w:r w:rsidRPr="00D213FF">
        <w:rPr>
          <w:rFonts w:ascii="Times New Roman" w:hAnsi="Times New Roman" w:cs="Times New Roman"/>
          <w:b/>
          <w:bCs/>
          <w:sz w:val="24"/>
          <w:szCs w:val="24"/>
        </w:rPr>
        <w:t>CONCLUSIONS</w:t>
      </w:r>
    </w:p>
    <w:p w14:paraId="017FDED9" w14:textId="77777777" w:rsidR="000D5E85" w:rsidRPr="00D213FF" w:rsidRDefault="000D5E85" w:rsidP="00A36FB0">
      <w:pPr>
        <w:pStyle w:val="Paragraph"/>
        <w:ind w:firstLine="0"/>
        <w:rPr>
          <w:rFonts w:ascii="Times New Roman" w:hAnsi="Times New Roman" w:cs="Times New Roman"/>
          <w:sz w:val="24"/>
          <w:szCs w:val="24"/>
        </w:rPr>
      </w:pPr>
    </w:p>
    <w:p w14:paraId="4EDAB830" w14:textId="0AF26915" w:rsidR="00FB50FA" w:rsidRPr="00FB50FA" w:rsidRDefault="00FB50FA" w:rsidP="00FB50FA">
      <w:pPr>
        <w:pStyle w:val="Paragraph"/>
        <w:ind w:firstLine="0"/>
        <w:rPr>
          <w:rFonts w:ascii="Times New Roman" w:hAnsi="Times New Roman" w:cs="Times New Roman"/>
          <w:sz w:val="24"/>
          <w:szCs w:val="24"/>
        </w:rPr>
      </w:pPr>
      <w:r w:rsidRPr="00FB50FA">
        <w:rPr>
          <w:rFonts w:ascii="Times New Roman" w:hAnsi="Times New Roman" w:cs="Times New Roman"/>
          <w:sz w:val="24"/>
          <w:szCs w:val="24"/>
        </w:rPr>
        <w:t xml:space="preserve">This study demonstrates the critical importance of conducting site-specific seismic hazard assessments in seismically influenced regions such as Sipitang, Sabah. By integrating borehole-derived subsurface data with one-dimensional site response analysis, the study provides a more realistic representation of </w:t>
      </w:r>
      <w:r>
        <w:rPr>
          <w:rFonts w:ascii="Times New Roman" w:hAnsi="Times New Roman" w:cs="Times New Roman"/>
          <w:sz w:val="24"/>
          <w:szCs w:val="24"/>
        </w:rPr>
        <w:t>ground-motion characteristics than</w:t>
      </w:r>
      <w:r w:rsidRPr="00FB50FA">
        <w:rPr>
          <w:rFonts w:ascii="Times New Roman" w:hAnsi="Times New Roman" w:cs="Times New Roman"/>
          <w:sz w:val="24"/>
          <w:szCs w:val="24"/>
        </w:rPr>
        <w:t xml:space="preserve"> </w:t>
      </w:r>
      <w:r w:rsidR="00B4467C">
        <w:rPr>
          <w:rFonts w:ascii="Times New Roman" w:hAnsi="Times New Roman" w:cs="Times New Roman"/>
          <w:sz w:val="24"/>
          <w:szCs w:val="24"/>
        </w:rPr>
        <w:t>generalised</w:t>
      </w:r>
      <w:r w:rsidRPr="00FB50FA">
        <w:rPr>
          <w:rFonts w:ascii="Times New Roman" w:hAnsi="Times New Roman" w:cs="Times New Roman"/>
          <w:sz w:val="24"/>
          <w:szCs w:val="24"/>
        </w:rPr>
        <w:t xml:space="preserve"> regional approaches. The results confirm that local soil conditions play a dominant role in modifying seismic wave propagation, with amplification factors reaching up to 2.1 times the regional baseline, thereby significantly increasing surface PGA.</w:t>
      </w:r>
    </w:p>
    <w:p w14:paraId="37D8DBB6" w14:textId="77777777" w:rsidR="00FB50FA" w:rsidRPr="00FB50FA" w:rsidRDefault="00FB50FA" w:rsidP="00FB50FA">
      <w:pPr>
        <w:pStyle w:val="Paragraph"/>
        <w:rPr>
          <w:rFonts w:ascii="Times New Roman" w:hAnsi="Times New Roman" w:cs="Times New Roman"/>
          <w:sz w:val="24"/>
          <w:szCs w:val="24"/>
        </w:rPr>
      </w:pPr>
    </w:p>
    <w:p w14:paraId="15719988" w14:textId="77777777" w:rsidR="00FB50FA" w:rsidRPr="00FB50FA" w:rsidRDefault="00FB50FA" w:rsidP="00FB50FA">
      <w:pPr>
        <w:pStyle w:val="Paragraph"/>
        <w:ind w:firstLine="0"/>
        <w:rPr>
          <w:rFonts w:ascii="Times New Roman" w:hAnsi="Times New Roman" w:cs="Times New Roman"/>
          <w:sz w:val="24"/>
          <w:szCs w:val="24"/>
        </w:rPr>
      </w:pPr>
      <w:r w:rsidRPr="00FB50FA">
        <w:rPr>
          <w:rFonts w:ascii="Times New Roman" w:hAnsi="Times New Roman" w:cs="Times New Roman"/>
          <w:sz w:val="24"/>
          <w:szCs w:val="24"/>
        </w:rPr>
        <w:t>The computed surface PGA values for the SOGIP area, ranging from 0.0372g to 0.0541g, consistently exceed those inferred from national seismic hazard maps. This highlights the limitation of relying solely on regional PGA values for engineering design, as such approaches may underestimate seismic demand and compromise the safety and performance of critical infrastructure. The findings strongly support the adoption of site-specific response spectra to better capture local ground behaviour and improve the reliability of seismic design practices.</w:t>
      </w:r>
    </w:p>
    <w:p w14:paraId="421BA3AA" w14:textId="77777777" w:rsidR="00FB50FA" w:rsidRPr="00FB50FA" w:rsidRDefault="00FB50FA" w:rsidP="00FB50FA">
      <w:pPr>
        <w:pStyle w:val="Paragraph"/>
        <w:rPr>
          <w:rFonts w:ascii="Times New Roman" w:hAnsi="Times New Roman" w:cs="Times New Roman"/>
          <w:sz w:val="24"/>
          <w:szCs w:val="24"/>
        </w:rPr>
      </w:pPr>
    </w:p>
    <w:p w14:paraId="39627F82" w14:textId="77777777" w:rsidR="00FB50FA" w:rsidRPr="00FB50FA" w:rsidRDefault="00FB50FA" w:rsidP="00FB50FA">
      <w:pPr>
        <w:pStyle w:val="Paragraph"/>
        <w:ind w:firstLine="0"/>
        <w:rPr>
          <w:rFonts w:ascii="Times New Roman" w:hAnsi="Times New Roman" w:cs="Times New Roman"/>
          <w:sz w:val="24"/>
          <w:szCs w:val="24"/>
        </w:rPr>
      </w:pPr>
      <w:r w:rsidRPr="00FB50FA">
        <w:rPr>
          <w:rFonts w:ascii="Times New Roman" w:hAnsi="Times New Roman" w:cs="Times New Roman"/>
          <w:sz w:val="24"/>
          <w:szCs w:val="24"/>
        </w:rPr>
        <w:t>Nevertheless, this study is subject to several limitations, including the use of empirical correlations for shear wave velocity estimation, assumptions regarding engineering bedrock depth, and the application of equivalent-linear analysis. These simplifications may introduce uncertainties in the predicted ground response. Future work incorporating direct geophysical measurements and advanced nonlinear analysis is recommended to further enhance the accuracy of seismic hazard evaluations.</w:t>
      </w:r>
    </w:p>
    <w:p w14:paraId="12C27466" w14:textId="77777777" w:rsidR="00FB50FA" w:rsidRPr="00FB50FA" w:rsidRDefault="00FB50FA" w:rsidP="00FB50FA">
      <w:pPr>
        <w:pStyle w:val="Paragraph"/>
        <w:rPr>
          <w:rFonts w:ascii="Times New Roman" w:hAnsi="Times New Roman" w:cs="Times New Roman"/>
          <w:sz w:val="24"/>
          <w:szCs w:val="24"/>
        </w:rPr>
      </w:pPr>
    </w:p>
    <w:p w14:paraId="4C0E8B7C" w14:textId="48F81C2F" w:rsidR="00DB668A" w:rsidRDefault="00FB50FA" w:rsidP="00FB50FA">
      <w:pPr>
        <w:pStyle w:val="Paragraph"/>
        <w:ind w:firstLine="0"/>
        <w:rPr>
          <w:rFonts w:ascii="Times New Roman" w:hAnsi="Times New Roman" w:cs="Times New Roman"/>
          <w:sz w:val="24"/>
          <w:szCs w:val="24"/>
        </w:rPr>
      </w:pPr>
      <w:r w:rsidRPr="00FB50FA">
        <w:rPr>
          <w:rFonts w:ascii="Times New Roman" w:hAnsi="Times New Roman" w:cs="Times New Roman"/>
          <w:sz w:val="24"/>
          <w:szCs w:val="24"/>
        </w:rPr>
        <w:t>Overall, this study provides valuable insights into the influence of subsurface conditions on seismic response and establishes a practical framework for incorporating geotechnical data into site-specific PGA assessment. The outcomes are particularly relevant for the design and risk assessment of industrial developments in SOGIP and similar coastal and geologically variable environments.</w:t>
      </w:r>
    </w:p>
    <w:p w14:paraId="422E81FF" w14:textId="77777777" w:rsidR="00FB50FA" w:rsidRPr="00D213FF" w:rsidRDefault="00FB50FA" w:rsidP="00FB50FA">
      <w:pPr>
        <w:pStyle w:val="Paragraph"/>
        <w:ind w:firstLine="0"/>
        <w:rPr>
          <w:rFonts w:ascii="Times New Roman" w:hAnsi="Times New Roman" w:cs="Times New Roman"/>
          <w:b/>
          <w:bCs/>
          <w:sz w:val="24"/>
          <w:szCs w:val="24"/>
        </w:rPr>
      </w:pPr>
    </w:p>
    <w:p w14:paraId="2291093A" w14:textId="0515BE6E" w:rsidR="006C7DF5" w:rsidRPr="00D213FF" w:rsidRDefault="00E93C0F" w:rsidP="00A36FB0">
      <w:pPr>
        <w:pStyle w:val="Paragraph"/>
        <w:ind w:firstLine="0"/>
        <w:rPr>
          <w:rFonts w:ascii="Times New Roman" w:hAnsi="Times New Roman" w:cs="Times New Roman"/>
          <w:b/>
          <w:bCs/>
          <w:sz w:val="24"/>
          <w:szCs w:val="24"/>
        </w:rPr>
      </w:pPr>
      <w:r w:rsidRPr="00D213FF">
        <w:rPr>
          <w:rFonts w:ascii="Times New Roman" w:hAnsi="Times New Roman" w:cs="Times New Roman"/>
          <w:b/>
          <w:bCs/>
          <w:sz w:val="24"/>
          <w:szCs w:val="24"/>
        </w:rPr>
        <w:t>RECOMMENDATIONS</w:t>
      </w:r>
    </w:p>
    <w:p w14:paraId="7B437B1A" w14:textId="77777777" w:rsidR="000D5E85" w:rsidRPr="00D213FF" w:rsidRDefault="000D5E85" w:rsidP="00A36FB0">
      <w:pPr>
        <w:pStyle w:val="Paragraph"/>
        <w:ind w:firstLine="0"/>
        <w:rPr>
          <w:rFonts w:ascii="Times New Roman" w:hAnsi="Times New Roman" w:cs="Times New Roman"/>
          <w:sz w:val="24"/>
          <w:szCs w:val="24"/>
        </w:rPr>
      </w:pPr>
    </w:p>
    <w:p w14:paraId="35944ED0" w14:textId="41BE45D8" w:rsidR="00FB50FA" w:rsidRPr="00FB50FA" w:rsidRDefault="00FB50FA" w:rsidP="00FB50FA">
      <w:pPr>
        <w:pStyle w:val="Paragraph"/>
        <w:ind w:firstLine="0"/>
        <w:rPr>
          <w:rFonts w:ascii="Times New Roman" w:hAnsi="Times New Roman" w:cs="Times New Roman"/>
          <w:sz w:val="24"/>
          <w:szCs w:val="24"/>
        </w:rPr>
      </w:pPr>
      <w:r w:rsidRPr="00FB50FA">
        <w:rPr>
          <w:rFonts w:ascii="Times New Roman" w:hAnsi="Times New Roman" w:cs="Times New Roman"/>
          <w:sz w:val="24"/>
          <w:szCs w:val="24"/>
        </w:rPr>
        <w:t>Based on the findings of this study, several recommendations are proposed to enhance the reliability of seismic hazard assessment and support safer infrastructure development in the SOGIP area, Sipitang, Sabah.</w:t>
      </w:r>
      <w:r>
        <w:rPr>
          <w:rFonts w:ascii="Times New Roman" w:hAnsi="Times New Roman" w:cs="Times New Roman"/>
          <w:sz w:val="24"/>
          <w:szCs w:val="24"/>
        </w:rPr>
        <w:t xml:space="preserve"> </w:t>
      </w:r>
      <w:r w:rsidRPr="00FB50FA">
        <w:rPr>
          <w:rFonts w:ascii="Times New Roman" w:hAnsi="Times New Roman" w:cs="Times New Roman"/>
          <w:sz w:val="24"/>
          <w:szCs w:val="24"/>
        </w:rPr>
        <w:t xml:space="preserve">Firstly, it is strongly recommended that site-specific Peak Ground Acceleration (PGA) values be incorporated into seismic design practices, particularly for lifeline systems and high-importance structures such as industrial facilities, pipelines, storage tanks, and critical infrastructure. The use of </w:t>
      </w:r>
      <w:r w:rsidR="008C0573">
        <w:rPr>
          <w:rFonts w:ascii="Times New Roman" w:hAnsi="Times New Roman" w:cs="Times New Roman"/>
          <w:sz w:val="24"/>
          <w:szCs w:val="24"/>
        </w:rPr>
        <w:t>generalised</w:t>
      </w:r>
      <w:r w:rsidRPr="00FB50FA">
        <w:rPr>
          <w:rFonts w:ascii="Times New Roman" w:hAnsi="Times New Roman" w:cs="Times New Roman"/>
          <w:sz w:val="24"/>
          <w:szCs w:val="24"/>
        </w:rPr>
        <w:t xml:space="preserve"> regional seismic parameters may lead to underestimation of seismic demand, whereas site-specific inputs provide a more accurate representation of local ground conditions and associated risks.</w:t>
      </w:r>
    </w:p>
    <w:p w14:paraId="15A05D81" w14:textId="77777777" w:rsidR="00FB50FA" w:rsidRPr="00FB50FA" w:rsidRDefault="00FB50FA" w:rsidP="00FB50FA">
      <w:pPr>
        <w:pStyle w:val="Paragraph"/>
        <w:rPr>
          <w:rFonts w:ascii="Times New Roman" w:hAnsi="Times New Roman" w:cs="Times New Roman"/>
          <w:sz w:val="24"/>
          <w:szCs w:val="24"/>
        </w:rPr>
      </w:pPr>
    </w:p>
    <w:p w14:paraId="442FCC78" w14:textId="77777777" w:rsidR="00FB50FA" w:rsidRPr="00FB50FA" w:rsidRDefault="00FB50FA" w:rsidP="00FB50FA">
      <w:pPr>
        <w:pStyle w:val="Paragraph"/>
        <w:ind w:firstLine="0"/>
        <w:rPr>
          <w:rFonts w:ascii="Times New Roman" w:hAnsi="Times New Roman" w:cs="Times New Roman"/>
          <w:sz w:val="24"/>
          <w:szCs w:val="24"/>
        </w:rPr>
      </w:pPr>
      <w:r w:rsidRPr="00FB50FA">
        <w:rPr>
          <w:rFonts w:ascii="Times New Roman" w:hAnsi="Times New Roman" w:cs="Times New Roman"/>
          <w:sz w:val="24"/>
          <w:szCs w:val="24"/>
        </w:rPr>
        <w:t>Secondly, future studies should extend the current analysis by incorporating nonlinear site response modelling to better capture soil behaviour under strong ground motion. In addition, direct shear wave velocity profiling techniques, such as Multichannel Analysis of Surface Waves (MASW) and Seismic Cone Penetration Testing (SCPT), are recommended to improve the accuracy of subsurface dynamic properties and reduce uncertainties associated with empirical correlations.</w:t>
      </w:r>
    </w:p>
    <w:p w14:paraId="78C3F0AE" w14:textId="77777777" w:rsidR="00FB50FA" w:rsidRPr="00FB50FA" w:rsidRDefault="00FB50FA" w:rsidP="00FB50FA">
      <w:pPr>
        <w:pStyle w:val="Paragraph"/>
        <w:rPr>
          <w:rFonts w:ascii="Times New Roman" w:hAnsi="Times New Roman" w:cs="Times New Roman"/>
          <w:sz w:val="24"/>
          <w:szCs w:val="24"/>
        </w:rPr>
      </w:pPr>
    </w:p>
    <w:p w14:paraId="0FF5424B" w14:textId="30B145AE" w:rsidR="00FB50FA" w:rsidRPr="00FB50FA" w:rsidRDefault="00FB50FA" w:rsidP="00FB50FA">
      <w:pPr>
        <w:pStyle w:val="Paragraph"/>
        <w:ind w:firstLine="0"/>
        <w:rPr>
          <w:rFonts w:ascii="Times New Roman" w:hAnsi="Times New Roman" w:cs="Times New Roman"/>
          <w:sz w:val="24"/>
          <w:szCs w:val="24"/>
        </w:rPr>
      </w:pPr>
      <w:r w:rsidRPr="00FB50FA">
        <w:rPr>
          <w:rFonts w:ascii="Times New Roman" w:hAnsi="Times New Roman" w:cs="Times New Roman"/>
          <w:sz w:val="24"/>
          <w:szCs w:val="24"/>
        </w:rPr>
        <w:t xml:space="preserve">Furthermore, the development of a </w:t>
      </w:r>
      <w:r w:rsidR="00B4467C">
        <w:rPr>
          <w:rFonts w:ascii="Times New Roman" w:hAnsi="Times New Roman" w:cs="Times New Roman"/>
          <w:sz w:val="24"/>
          <w:szCs w:val="24"/>
        </w:rPr>
        <w:t>localised</w:t>
      </w:r>
      <w:r w:rsidRPr="00FB50FA">
        <w:rPr>
          <w:rFonts w:ascii="Times New Roman" w:hAnsi="Times New Roman" w:cs="Times New Roman"/>
          <w:sz w:val="24"/>
          <w:szCs w:val="24"/>
        </w:rPr>
        <w:t xml:space="preserve"> seismic design spectrum tailored specifically for the SOGIP area is highly encouraged. Such a spectrum would provide engineers with more reliable design parameters that reflect the actual site conditions, thereby improving both structural safety and design efficiency.</w:t>
      </w:r>
    </w:p>
    <w:p w14:paraId="4EFCED1E" w14:textId="77777777" w:rsidR="00FB50FA" w:rsidRPr="00FB50FA" w:rsidRDefault="00FB50FA" w:rsidP="00FB50FA">
      <w:pPr>
        <w:pStyle w:val="Paragraph"/>
        <w:rPr>
          <w:rFonts w:ascii="Times New Roman" w:hAnsi="Times New Roman" w:cs="Times New Roman"/>
          <w:sz w:val="24"/>
          <w:szCs w:val="24"/>
        </w:rPr>
      </w:pPr>
    </w:p>
    <w:p w14:paraId="6957F842" w14:textId="31DD3906" w:rsidR="006C7DF5" w:rsidRDefault="00FB50FA" w:rsidP="00FB50FA">
      <w:pPr>
        <w:pStyle w:val="Paragraph"/>
        <w:ind w:firstLine="0"/>
        <w:rPr>
          <w:rFonts w:ascii="Times New Roman" w:hAnsi="Times New Roman" w:cs="Times New Roman"/>
          <w:sz w:val="24"/>
          <w:szCs w:val="24"/>
        </w:rPr>
      </w:pPr>
      <w:r w:rsidRPr="00FB50FA">
        <w:rPr>
          <w:rFonts w:ascii="Times New Roman" w:hAnsi="Times New Roman" w:cs="Times New Roman"/>
          <w:sz w:val="24"/>
          <w:szCs w:val="24"/>
        </w:rPr>
        <w:t>Finally, it is recommended that detailed seismic microzonation studies be carried out as a subsequent step. Microzonation would enable spatial mapping of seismic hazards across the SOGIP area, allowing for more informed land-use planning, risk assessment, and infrastructure design at a finer scale</w:t>
      </w:r>
      <w:r>
        <w:rPr>
          <w:rFonts w:ascii="Times New Roman" w:hAnsi="Times New Roman" w:cs="Times New Roman"/>
          <w:sz w:val="24"/>
          <w:szCs w:val="24"/>
        </w:rPr>
        <w:t xml:space="preserve">. </w:t>
      </w:r>
    </w:p>
    <w:p w14:paraId="7B27C8EA" w14:textId="77777777" w:rsidR="00FB50FA" w:rsidRPr="00D213FF" w:rsidRDefault="00FB50FA" w:rsidP="00FB50FA">
      <w:pPr>
        <w:pStyle w:val="Paragraph"/>
        <w:ind w:firstLine="0"/>
        <w:rPr>
          <w:rFonts w:ascii="Times New Roman" w:hAnsi="Times New Roman" w:cs="Times New Roman"/>
          <w:sz w:val="24"/>
          <w:szCs w:val="24"/>
        </w:rPr>
      </w:pPr>
    </w:p>
    <w:p w14:paraId="05D0F223" w14:textId="77777777" w:rsidR="00DB668A" w:rsidRPr="00D213FF" w:rsidRDefault="00DB668A" w:rsidP="00A36FB0">
      <w:pPr>
        <w:contextualSpacing/>
        <w:jc w:val="both"/>
        <w:rPr>
          <w:rFonts w:ascii="Times New Roman" w:hAnsi="Times New Roman" w:cs="Times New Roman"/>
          <w:b/>
          <w:bCs/>
          <w:szCs w:val="24"/>
          <w:lang w:val="en-GB"/>
        </w:rPr>
      </w:pPr>
      <w:r w:rsidRPr="00D213FF">
        <w:rPr>
          <w:rFonts w:ascii="Times New Roman" w:hAnsi="Times New Roman" w:cs="Times New Roman"/>
          <w:b/>
          <w:bCs/>
          <w:szCs w:val="24"/>
          <w:lang w:val="en-GB"/>
        </w:rPr>
        <w:t>Acknowledgements</w:t>
      </w:r>
    </w:p>
    <w:p w14:paraId="07529FD9" w14:textId="330BE125" w:rsidR="00CF6506" w:rsidRPr="00D213FF" w:rsidRDefault="00D52A71" w:rsidP="00A36FB0">
      <w:pPr>
        <w:suppressAutoHyphens w:val="0"/>
        <w:jc w:val="both"/>
        <w:rPr>
          <w:rFonts w:ascii="Times New Roman" w:hAnsi="Times New Roman" w:cs="Times New Roman"/>
          <w:szCs w:val="24"/>
          <w:lang w:val="en-US" w:eastAsia="en-US"/>
        </w:rPr>
      </w:pPr>
      <w:r w:rsidRPr="00D213FF">
        <w:rPr>
          <w:rFonts w:ascii="Times New Roman" w:hAnsi="Times New Roman" w:cs="Times New Roman"/>
          <w:szCs w:val="24"/>
          <w:lang w:val="en-GB"/>
        </w:rPr>
        <w:t>The author thanks Khalifa Consult Sdn</w:t>
      </w:r>
      <w:r w:rsidR="00DE35F7" w:rsidRPr="00D213FF">
        <w:rPr>
          <w:rFonts w:ascii="Times New Roman" w:hAnsi="Times New Roman" w:cs="Times New Roman"/>
          <w:szCs w:val="24"/>
          <w:lang w:val="en-GB"/>
        </w:rPr>
        <w:t>.</w:t>
      </w:r>
      <w:r w:rsidRPr="00D213FF">
        <w:rPr>
          <w:rFonts w:ascii="Times New Roman" w:hAnsi="Times New Roman" w:cs="Times New Roman"/>
          <w:szCs w:val="24"/>
          <w:lang w:val="en-GB"/>
        </w:rPr>
        <w:t xml:space="preserve"> Bhd</w:t>
      </w:r>
      <w:r w:rsidR="00DE35F7" w:rsidRPr="00D213FF">
        <w:rPr>
          <w:rFonts w:ascii="Times New Roman" w:hAnsi="Times New Roman" w:cs="Times New Roman"/>
          <w:szCs w:val="24"/>
          <w:lang w:val="en-GB"/>
        </w:rPr>
        <w:t>.</w:t>
      </w:r>
      <w:r w:rsidRPr="00D213FF">
        <w:rPr>
          <w:rFonts w:ascii="Times New Roman" w:hAnsi="Times New Roman" w:cs="Times New Roman"/>
          <w:szCs w:val="24"/>
          <w:lang w:val="en-GB"/>
        </w:rPr>
        <w:t>, Perunding Ranhill Worley Sdn</w:t>
      </w:r>
      <w:r w:rsidR="00DE35F7" w:rsidRPr="00D213FF">
        <w:rPr>
          <w:rFonts w:ascii="Times New Roman" w:hAnsi="Times New Roman" w:cs="Times New Roman"/>
          <w:szCs w:val="24"/>
          <w:lang w:val="en-GB"/>
        </w:rPr>
        <w:t>.</w:t>
      </w:r>
      <w:r w:rsidRPr="00D213FF">
        <w:rPr>
          <w:rFonts w:ascii="Times New Roman" w:hAnsi="Times New Roman" w:cs="Times New Roman"/>
          <w:szCs w:val="24"/>
          <w:lang w:val="en-GB"/>
        </w:rPr>
        <w:t xml:space="preserve"> Bhd</w:t>
      </w:r>
      <w:r w:rsidR="00DE35F7" w:rsidRPr="00D213FF">
        <w:rPr>
          <w:rFonts w:ascii="Times New Roman" w:hAnsi="Times New Roman" w:cs="Times New Roman"/>
          <w:szCs w:val="24"/>
          <w:lang w:val="en-GB"/>
        </w:rPr>
        <w:t>.</w:t>
      </w:r>
      <w:r w:rsidRPr="00D213FF">
        <w:rPr>
          <w:rFonts w:ascii="Times New Roman" w:hAnsi="Times New Roman" w:cs="Times New Roman"/>
          <w:szCs w:val="24"/>
          <w:lang w:val="en-GB"/>
        </w:rPr>
        <w:t xml:space="preserve"> / Ranhill Worley Sdn. Bhd., and PETRONAS for facilitating access to the Soil Investigation report for their past FEED project in Sipitang, Sabah. Also, special thanks to the research supervisor at UTM Skudai, Johor, Prof. Ir. Ts. Dr. Ahmad Safuan Bin Abdul Rashid, for his guidance. Appreciation is extended to </w:t>
      </w:r>
      <w:r w:rsidR="000916B7">
        <w:rPr>
          <w:rFonts w:ascii="Times New Roman" w:hAnsi="Times New Roman" w:cs="Times New Roman"/>
          <w:szCs w:val="24"/>
          <w:lang w:val="en-GB"/>
        </w:rPr>
        <w:t>relevant journal publications</w:t>
      </w:r>
      <w:r w:rsidRPr="00D213FF">
        <w:rPr>
          <w:rFonts w:ascii="Times New Roman" w:hAnsi="Times New Roman" w:cs="Times New Roman"/>
          <w:szCs w:val="24"/>
          <w:lang w:val="en-GB"/>
        </w:rPr>
        <w:t xml:space="preserve"> for the opportunity to present this work.</w:t>
      </w:r>
      <w:r w:rsidR="00CF6506" w:rsidRPr="00D213FF">
        <w:rPr>
          <w:rFonts w:ascii="Times New Roman" w:hAnsi="Times New Roman" w:cs="Times New Roman"/>
          <w:szCs w:val="24"/>
          <w:lang w:val="en-GB"/>
        </w:rPr>
        <w:t xml:space="preserve"> A special thanks to t</w:t>
      </w:r>
      <w:r w:rsidR="00CF6506" w:rsidRPr="00D213FF">
        <w:rPr>
          <w:rFonts w:ascii="Times New Roman" w:hAnsi="Times New Roman" w:cs="Times New Roman"/>
          <w:szCs w:val="24"/>
          <w:lang w:val="en-US" w:eastAsia="en-US"/>
        </w:rPr>
        <w:t>he Universiti Teknologi Malaysia</w:t>
      </w:r>
      <w:r w:rsidR="000916B7">
        <w:rPr>
          <w:rFonts w:ascii="Times New Roman" w:hAnsi="Times New Roman" w:cs="Times New Roman"/>
          <w:szCs w:val="24"/>
          <w:lang w:val="en-US" w:eastAsia="en-US"/>
        </w:rPr>
        <w:t>, which</w:t>
      </w:r>
      <w:r w:rsidR="00CF6506" w:rsidRPr="00D213FF">
        <w:rPr>
          <w:rFonts w:ascii="Times New Roman" w:hAnsi="Times New Roman" w:cs="Times New Roman"/>
          <w:szCs w:val="24"/>
          <w:lang w:val="en-US" w:eastAsia="en-US"/>
        </w:rPr>
        <w:t xml:space="preserve"> supported this work under </w:t>
      </w:r>
      <w:r w:rsidR="000253B4">
        <w:rPr>
          <w:rFonts w:ascii="Times New Roman" w:hAnsi="Times New Roman" w:cs="Times New Roman"/>
          <w:szCs w:val="24"/>
          <w:lang w:val="en-US" w:eastAsia="en-US"/>
        </w:rPr>
        <w:t>Geran Penyelidik Baharu</w:t>
      </w:r>
      <w:r w:rsidR="00CF6506" w:rsidRPr="00D213FF">
        <w:rPr>
          <w:rFonts w:ascii="Times New Roman" w:hAnsi="Times New Roman" w:cs="Times New Roman"/>
          <w:szCs w:val="24"/>
          <w:lang w:val="en-US" w:eastAsia="en-US"/>
        </w:rPr>
        <w:t xml:space="preserve"> – </w:t>
      </w:r>
      <w:r w:rsidR="000253B4" w:rsidRPr="000253B4">
        <w:rPr>
          <w:rFonts w:ascii="Times New Roman" w:hAnsi="Times New Roman" w:cs="Times New Roman"/>
          <w:szCs w:val="24"/>
          <w:lang w:eastAsia="en-US"/>
        </w:rPr>
        <w:t>Enhanced Local Seismic Hazard Assessment through Borehole Data Integration and Site Response Analysis</w:t>
      </w:r>
      <w:r w:rsidR="000253B4">
        <w:rPr>
          <w:rFonts w:ascii="Times New Roman" w:hAnsi="Times New Roman" w:cs="Times New Roman"/>
          <w:szCs w:val="24"/>
          <w:lang w:eastAsia="en-US"/>
        </w:rPr>
        <w:t xml:space="preserve"> </w:t>
      </w:r>
      <w:r w:rsidR="00CF6506" w:rsidRPr="00D213FF">
        <w:rPr>
          <w:rFonts w:ascii="Times New Roman" w:hAnsi="Times New Roman" w:cs="Times New Roman"/>
          <w:szCs w:val="24"/>
          <w:lang w:val="en-US" w:eastAsia="en-US"/>
        </w:rPr>
        <w:t>(</w:t>
      </w:r>
      <w:r w:rsidR="000253B4" w:rsidRPr="000253B4">
        <w:rPr>
          <w:rFonts w:ascii="Times New Roman" w:hAnsi="Times New Roman" w:cs="Times New Roman"/>
          <w:szCs w:val="24"/>
          <w:lang w:eastAsia="en-US"/>
        </w:rPr>
        <w:t>Q.J130000.2722.04K92</w:t>
      </w:r>
      <w:r w:rsidR="00CF6506" w:rsidRPr="00D213FF">
        <w:rPr>
          <w:rFonts w:ascii="Times New Roman" w:hAnsi="Times New Roman" w:cs="Times New Roman"/>
          <w:szCs w:val="24"/>
          <w:lang w:val="en-US" w:eastAsia="en-US"/>
        </w:rPr>
        <w:t>)</w:t>
      </w:r>
      <w:r w:rsidR="000253B4">
        <w:rPr>
          <w:rFonts w:ascii="Times New Roman" w:hAnsi="Times New Roman" w:cs="Times New Roman"/>
          <w:szCs w:val="24"/>
          <w:lang w:val="en-US" w:eastAsia="en-US"/>
        </w:rPr>
        <w:t xml:space="preserve">. </w:t>
      </w:r>
    </w:p>
    <w:p w14:paraId="7D9000F3" w14:textId="77777777" w:rsidR="0037104B" w:rsidRPr="00D213FF" w:rsidRDefault="0037104B" w:rsidP="0037104B">
      <w:pPr>
        <w:contextualSpacing/>
        <w:jc w:val="both"/>
        <w:rPr>
          <w:rFonts w:ascii="Times New Roman" w:hAnsi="Times New Roman" w:cs="Times New Roman"/>
          <w:szCs w:val="24"/>
          <w:lang w:val="en-US"/>
        </w:rPr>
      </w:pPr>
    </w:p>
    <w:p w14:paraId="1C05D198" w14:textId="77777777" w:rsidR="000C2900" w:rsidRPr="00D213FF" w:rsidRDefault="000C2900" w:rsidP="000C2900">
      <w:pPr>
        <w:pStyle w:val="Section0"/>
        <w:rPr>
          <w:rFonts w:ascii="Times New Roman" w:hAnsi="Times New Roman" w:cs="Times New Roman"/>
        </w:rPr>
      </w:pPr>
      <w:r w:rsidRPr="00D213FF">
        <w:rPr>
          <w:rFonts w:ascii="Times New Roman" w:hAnsi="Times New Roman" w:cs="Times New Roman"/>
        </w:rPr>
        <w:t>References</w:t>
      </w:r>
    </w:p>
    <w:p w14:paraId="78F20537"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Adnan, A., Hendriyawan, M. A., Selvanayagam, B., &amp; Marto, A. (2008). Development of seismic hazard maps of east Malaysia. Advance in earthquake engineering applications. Penerbit UTM.</w:t>
      </w:r>
    </w:p>
    <w:p w14:paraId="77BF18EC"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Adnan, A., Hendriyawan, H., &amp; Irsyam, M. (2004). Selection and development of appropriate attenuation relationship for Peninsular Malaysia. Malaysian Science and Technology Congress.</w:t>
      </w:r>
    </w:p>
    <w:p w14:paraId="792BFF01"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Alexander, Y., Liau, A., Hamzah, M., Ramli, M. Y., Mat Taib, M. B., Ali, A., &amp; Tjia, H. D. (2008). JMG MAGDM assessment of the seismic threats to Malaysia from major earthquakes in the Southeast Asian region.</w:t>
      </w:r>
    </w:p>
    <w:p w14:paraId="27E2D183"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Cao, T., &amp; Petersen, M. D. (1996). Seismic hazard estimate from background seismicity in southern California. Bulletin of the Seismological Society of America, 86, 1372–1381.</w:t>
      </w:r>
    </w:p>
    <w:p w14:paraId="438C43B7"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lastRenderedPageBreak/>
        <w:t>Dobry, R., Borcherdt, R. D., Crouse, C. B., Idriss, I. M., Joyner, W. B., Martin, G. R., &amp; Seed, R. B. (2000). New site coefficients and site classification system used in recent building seismic code provisions. Earthquake Spectra, 16(1), 41–67.</w:t>
      </w:r>
    </w:p>
    <w:p w14:paraId="770E9500" w14:textId="77777777" w:rsidR="009E5D3C" w:rsidRPr="009E5D3C" w:rsidRDefault="009E5D3C" w:rsidP="009E5D3C">
      <w:pPr>
        <w:pStyle w:val="ReferencesBody"/>
        <w:rPr>
          <w:rFonts w:cs="Times New Roman"/>
          <w:sz w:val="24"/>
          <w:szCs w:val="24"/>
        </w:rPr>
      </w:pPr>
      <w:r w:rsidRPr="009E5D3C">
        <w:rPr>
          <w:rFonts w:cs="Times New Roman"/>
          <w:sz w:val="24"/>
          <w:szCs w:val="24"/>
        </w:rPr>
        <w:t>Erdik, M., &amp; Durukal, E. (2004). Strong ground motion. In Recent advances in earthquake geotechnical engineering and microzonation (pp. 67–100). Springer.</w:t>
      </w:r>
    </w:p>
    <w:p w14:paraId="057712D2" w14:textId="77777777" w:rsidR="009E5D3C" w:rsidRPr="009E5D3C" w:rsidRDefault="009E5D3C" w:rsidP="009E5D3C">
      <w:pPr>
        <w:pStyle w:val="ReferencesBody"/>
        <w:rPr>
          <w:rFonts w:cs="Times New Roman"/>
          <w:sz w:val="24"/>
          <w:szCs w:val="24"/>
        </w:rPr>
      </w:pPr>
      <w:r w:rsidRPr="009E5D3C">
        <w:rPr>
          <w:rFonts w:cs="Times New Roman"/>
          <w:sz w:val="24"/>
          <w:szCs w:val="24"/>
        </w:rPr>
        <w:t>Giardini, D., Grünthal, G., Shedlock, K., &amp; Zhang, P. (2003). The GSHAP global seismic hazard map. In International geophysics (Vol. 81, pp. 1233–1239). Academic Press.</w:t>
      </w:r>
    </w:p>
    <w:p w14:paraId="4419B278" w14:textId="77777777" w:rsidR="009E5D3C" w:rsidRPr="009E5D3C" w:rsidRDefault="009E5D3C" w:rsidP="009E5D3C">
      <w:pPr>
        <w:pStyle w:val="ReferencesBody"/>
        <w:rPr>
          <w:rFonts w:cs="Times New Roman"/>
          <w:sz w:val="24"/>
          <w:szCs w:val="24"/>
        </w:rPr>
      </w:pPr>
      <w:r w:rsidRPr="009E5D3C">
        <w:rPr>
          <w:rFonts w:cs="Times New Roman"/>
          <w:sz w:val="24"/>
          <w:szCs w:val="24"/>
        </w:rPr>
        <w:t>Harith, N. S. H., Tongkul, F., &amp; Adnan, A. (2025). Investigation of peak ground acceleration on the Kuala Penyu fault and its influence on the Malaysia National Annex. International Journal of Sustainable Construction Engineering and Technology, 16(1), 154–166.</w:t>
      </w:r>
    </w:p>
    <w:p w14:paraId="28E07791"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Hutchings, S. J., &amp; Mooney, W. D. (2021). The seismicity of Indonesia and tectonic implications. Geochemistry, Geophysics, Geosystems, 22(9), e2021GC009812.</w:t>
      </w:r>
    </w:p>
    <w:p w14:paraId="4657C493"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Idriss, I. M. (1990). Response of soft soil sites during earthquakes. In Proceedings of the H. Bolton Seed Memorial Symposium.</w:t>
      </w:r>
    </w:p>
    <w:p w14:paraId="301D1F82"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Idriss, I. M. (1991). Earthquake ground motions at soft soil sites. In Second International Conference on Recent Advances in Geotechnical Earthquake Engineering and Soil Dynamics.</w:t>
      </w:r>
    </w:p>
    <w:p w14:paraId="684E8B7A" w14:textId="77777777" w:rsidR="009E5D3C" w:rsidRPr="009E5D3C" w:rsidRDefault="009E5D3C" w:rsidP="009E5D3C">
      <w:pPr>
        <w:pStyle w:val="ReferencesBody"/>
        <w:jc w:val="both"/>
        <w:rPr>
          <w:rFonts w:cs="Times New Roman"/>
          <w:sz w:val="24"/>
          <w:szCs w:val="24"/>
        </w:rPr>
      </w:pPr>
      <w:r w:rsidRPr="00035A99">
        <w:rPr>
          <w:rFonts w:cs="Times New Roman"/>
          <w:sz w:val="24"/>
          <w:szCs w:val="24"/>
          <w:lang w:val="nl-NL"/>
        </w:rPr>
        <w:t xml:space="preserve">Kramer, S. L., &amp; Stewart, J. P. (2004). </w:t>
      </w:r>
      <w:r w:rsidRPr="009E5D3C">
        <w:rPr>
          <w:rFonts w:cs="Times New Roman"/>
          <w:sz w:val="24"/>
          <w:szCs w:val="24"/>
        </w:rPr>
        <w:t>Geotechnical aspects of seismic hazards. In Earthquake engineering: From engineering seismology to performance-based engineering. CRC Press.</w:t>
      </w:r>
    </w:p>
    <w:p w14:paraId="2849AB93"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Leyu, C. H. (2009). Seismic and tsunami hazards and risks study in Malaysia: Summary for policy makers. MOSTI.</w:t>
      </w:r>
    </w:p>
    <w:p w14:paraId="2D480197"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Lizurek, G. R. (2015). Mining-induced seismic event on an inactive fault. Acta Geophysica, 63, 176–200.</w:t>
      </w:r>
    </w:p>
    <w:p w14:paraId="3E71D9DE"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Lillie, R. J. (2015). Beauty from the beast: Plate tectonics and the landscapes of the Pacific Northwest. Wells Creek Publishers.</w:t>
      </w:r>
    </w:p>
    <w:p w14:paraId="30BFF596"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Mayne, P. W., &amp; Kemper, J. B. (1988). Profiling OCR in stiff clays by CPT and SPT. Geotechnical Testing Journal, 11(2), 139–147.</w:t>
      </w:r>
    </w:p>
    <w:p w14:paraId="4F3D5076"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Michel, G. W., Becker, M., Angermann, D., Reigber, C., &amp; Reinhart, E. (2000). Crustal motion in East and Southeast Asia from GPS measurements. Earth, Planets and Space, 52, 713–720.</w:t>
      </w:r>
    </w:p>
    <w:p w14:paraId="7E4497F4" w14:textId="77777777" w:rsidR="009E5D3C" w:rsidRPr="009E5D3C" w:rsidRDefault="009E5D3C" w:rsidP="009E5D3C">
      <w:pPr>
        <w:pStyle w:val="ReferencesBody"/>
        <w:jc w:val="both"/>
        <w:rPr>
          <w:rFonts w:cs="Times New Roman"/>
          <w:sz w:val="24"/>
          <w:szCs w:val="24"/>
        </w:rPr>
      </w:pPr>
      <w:r w:rsidRPr="00035A99">
        <w:rPr>
          <w:rFonts w:cs="Times New Roman"/>
          <w:sz w:val="24"/>
          <w:szCs w:val="24"/>
          <w:lang w:val="nl-NL"/>
        </w:rPr>
        <w:t xml:space="preserve">Michel, G. W., Yu, Y. Q., Zhu, S. Y., et al. </w:t>
      </w:r>
      <w:r w:rsidRPr="009E5D3C">
        <w:rPr>
          <w:rFonts w:cs="Times New Roman"/>
          <w:sz w:val="24"/>
          <w:szCs w:val="24"/>
        </w:rPr>
        <w:t>(2001). Crustal motion and block behaviour in Southeast Asia from GPS measurements. Earth and Planetary Science Letters, 187, 239–244.</w:t>
      </w:r>
    </w:p>
    <w:p w14:paraId="28866AB9"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Mohd Zainudin, M. Z. (2015). Geological map of Sabah (4th ed.). Minerals and Geoscience Department Malaysia.</w:t>
      </w:r>
    </w:p>
    <w:p w14:paraId="47B8F115"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MS EN 1998-1. (2017). Malaysia National Annex to Eurocode 8: Design of structures for earthquake resistance—Part 1. Department of Standards Malaysia.</w:t>
      </w:r>
    </w:p>
    <w:p w14:paraId="1D057D1C"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Nabilah, A. B., Ahmadi, A., Harith, N. S. H., Adnan, A., &amp; Suhatril, M. (2023). Development of elastic design response spectra for low to moderate seismic regions. Asian Journal of Civil Engineering.</w:t>
      </w:r>
    </w:p>
    <w:p w14:paraId="769D63C6"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Nguyen, V. Q., Aaqib, M., Nguyen, D. D., Luat, N. V., &amp; Park, D. (2020). Site-specific response analysis: A case study in Hanoi, Vietnam. Applied Sciences, 10.</w:t>
      </w:r>
    </w:p>
    <w:p w14:paraId="0F09A383" w14:textId="77777777" w:rsidR="009E5D3C" w:rsidRPr="009E5D3C" w:rsidRDefault="009E5D3C" w:rsidP="009E5D3C">
      <w:pPr>
        <w:pStyle w:val="ReferencesBody"/>
        <w:jc w:val="both"/>
        <w:rPr>
          <w:rFonts w:cs="Times New Roman"/>
          <w:sz w:val="24"/>
          <w:szCs w:val="24"/>
        </w:rPr>
      </w:pPr>
      <w:r w:rsidRPr="00035A99">
        <w:rPr>
          <w:rFonts w:cs="Times New Roman"/>
          <w:sz w:val="24"/>
          <w:szCs w:val="24"/>
          <w:lang w:val="nl-NL"/>
        </w:rPr>
        <w:t xml:space="preserve">Pagani, M., Garcia-Pelaez, J., et al. </w:t>
      </w:r>
      <w:r w:rsidRPr="009E5D3C">
        <w:rPr>
          <w:rFonts w:cs="Times New Roman"/>
          <w:sz w:val="24"/>
          <w:szCs w:val="24"/>
        </w:rPr>
        <w:t>(2018). Global earthquake model seismic hazard map (Version 2018.1). GEM Foundation.</w:t>
      </w:r>
    </w:p>
    <w:p w14:paraId="7FD28060"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Parham, P. R. (2016). Late Cenozoic sea-level record from Malaysia. Bulletin of the Geological Society of Malaysia, 62, 91–115.</w:t>
      </w:r>
    </w:p>
    <w:p w14:paraId="4993CE06"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Pacheco, J. F., Scholz, C. H., &amp; Sykes, L. R. (1992a). Changes in frequency–size relationship. Nature, 355, 71–73.</w:t>
      </w:r>
    </w:p>
    <w:p w14:paraId="46538C6E"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Pacheco, J. F., &amp; Sykes, L. R. (1992b). Seismic moment catalog of large earthquakes. Bulletin of the Seismological Society of America, 82, 1306–1349.</w:t>
      </w:r>
    </w:p>
    <w:p w14:paraId="0E3F200C"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Petersen, M. D. (2007). Documentation for Southeast Asia seismic hazard maps. USGS.</w:t>
      </w:r>
    </w:p>
    <w:p w14:paraId="26BD15CC"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Petersen, M. D. (2008). New USGS Southeast Asia seismic hazard maps. Proceedings of WCEE.</w:t>
      </w:r>
    </w:p>
    <w:p w14:paraId="3EF9F7BE"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lastRenderedPageBreak/>
        <w:t>Pitilakis, K. (2004). Site effects. In Recent advances in earthquake geotechnical engineering. Kluwer.</w:t>
      </w:r>
    </w:p>
    <w:p w14:paraId="16A21C8D"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Rodriguez-Marek, A., Bray, J. D., &amp; Abrahamson, N. A. (2000). Geotechnical seismic site response evaluation. WCEE Proceedings.</w:t>
      </w:r>
    </w:p>
    <w:p w14:paraId="642E0F9B"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Rosaidi, M. (2001). Earthquake monitoring in Malaysia. Seismic Risk Seminar.</w:t>
      </w:r>
    </w:p>
    <w:p w14:paraId="5619AAF6"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Seed, H. B., Murarka, R., Lysmer, J., &amp; Idriss, I. M. (1976). Relationships between acceleration and distance. Bulletin of the Seismological Society of America, 66, 1323–1342.</w:t>
      </w:r>
    </w:p>
    <w:p w14:paraId="31C090A9"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Simons, W. J. F., Socquet, A., Vigny, C., et al. (2007). GPS in Southeast Asia. Journal of Geophysical Research, 112, B06420.</w:t>
      </w:r>
    </w:p>
    <w:p w14:paraId="437A6F72"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Surat, T. (2001). Case history of earth tremors in Malaysia. Seismic Risk Seminar.</w:t>
      </w:r>
    </w:p>
    <w:p w14:paraId="4B125044"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Tongkul, F. (2017). Active tectonics in Sabah. Universiti Malaysia Sabah.</w:t>
      </w:r>
    </w:p>
    <w:p w14:paraId="189E111B" w14:textId="77777777" w:rsidR="009E5D3C" w:rsidRDefault="009E5D3C" w:rsidP="009E5D3C">
      <w:pPr>
        <w:pStyle w:val="ReferencesBody"/>
        <w:jc w:val="both"/>
        <w:rPr>
          <w:rFonts w:cs="Times New Roman"/>
          <w:sz w:val="24"/>
          <w:szCs w:val="24"/>
        </w:rPr>
      </w:pPr>
      <w:r w:rsidRPr="009E5D3C">
        <w:rPr>
          <w:rFonts w:cs="Times New Roman"/>
          <w:sz w:val="24"/>
          <w:szCs w:val="24"/>
        </w:rPr>
        <w:t>Tongkul, F. (2021). Earthquake science in Malaysia. ASM Science Journal, 14, 1–12.</w:t>
      </w:r>
    </w:p>
    <w:p w14:paraId="1CE29BFB" w14:textId="4767BB53" w:rsidR="009E5D3C" w:rsidRPr="009E5D3C" w:rsidRDefault="009E5D3C" w:rsidP="009E5D3C">
      <w:pPr>
        <w:pStyle w:val="ReferencesBody"/>
        <w:jc w:val="both"/>
        <w:rPr>
          <w:rFonts w:cs="Times New Roman"/>
          <w:sz w:val="24"/>
          <w:szCs w:val="24"/>
        </w:rPr>
      </w:pPr>
      <w:r w:rsidRPr="009E5D3C">
        <w:rPr>
          <w:rFonts w:cs="Times New Roman"/>
          <w:sz w:val="24"/>
          <w:szCs w:val="24"/>
        </w:rPr>
        <w:t>Vucetic, M., &amp; Dobry, R. (1991). Effect of soil plasticity on cyclic response. Journal of Geotechnical Engineering, 117(1), 89–107.</w:t>
      </w:r>
    </w:p>
    <w:p w14:paraId="0302E878" w14:textId="77777777" w:rsidR="009E5D3C" w:rsidRPr="009E5D3C" w:rsidRDefault="009E5D3C" w:rsidP="009E5D3C">
      <w:pPr>
        <w:pStyle w:val="ReferencesBody"/>
        <w:jc w:val="both"/>
        <w:rPr>
          <w:rFonts w:cs="Times New Roman"/>
          <w:sz w:val="24"/>
          <w:szCs w:val="24"/>
        </w:rPr>
      </w:pPr>
      <w:r w:rsidRPr="00035A99">
        <w:rPr>
          <w:rFonts w:cs="Times New Roman"/>
          <w:sz w:val="24"/>
          <w:szCs w:val="24"/>
          <w:lang w:val="nl-NL"/>
        </w:rPr>
        <w:t xml:space="preserve">Wang, P. C., &amp; Zhang, S. Z. (2016). </w:t>
      </w:r>
      <w:r w:rsidRPr="009E5D3C">
        <w:rPr>
          <w:rFonts w:cs="Times New Roman"/>
          <w:sz w:val="24"/>
          <w:szCs w:val="24"/>
        </w:rPr>
        <w:t>Accretionary processes in Borneo. Geological Journal, 51, 464–489.</w:t>
      </w:r>
    </w:p>
    <w:p w14:paraId="219CE4CA" w14:textId="77777777" w:rsidR="009E5D3C" w:rsidRPr="009E5D3C" w:rsidRDefault="009E5D3C" w:rsidP="009E5D3C">
      <w:pPr>
        <w:pStyle w:val="ReferencesBody"/>
        <w:jc w:val="both"/>
        <w:rPr>
          <w:rFonts w:cs="Times New Roman"/>
          <w:sz w:val="24"/>
          <w:szCs w:val="24"/>
        </w:rPr>
      </w:pPr>
      <w:r w:rsidRPr="009E5D3C">
        <w:rPr>
          <w:rFonts w:cs="Times New Roman"/>
          <w:sz w:val="24"/>
          <w:szCs w:val="24"/>
        </w:rPr>
        <w:t>Wannier, M. (2017). Geological mapping in Sabah. Bulletin of the Geological Society of Malaysia, 64, 37–49.</w:t>
      </w:r>
    </w:p>
    <w:p w14:paraId="1DB64023" w14:textId="3593266F" w:rsidR="00CB480D" w:rsidRPr="009E5D3C" w:rsidRDefault="009E5D3C" w:rsidP="009E5D3C">
      <w:pPr>
        <w:pStyle w:val="ReferencesBody"/>
        <w:rPr>
          <w:rFonts w:cs="Times New Roman"/>
          <w:sz w:val="24"/>
          <w:szCs w:val="24"/>
        </w:rPr>
      </w:pPr>
      <w:r w:rsidRPr="009E5D3C">
        <w:rPr>
          <w:rFonts w:cs="Times New Roman"/>
          <w:sz w:val="24"/>
          <w:szCs w:val="24"/>
        </w:rPr>
        <w:t>Zikiri, M. F., Roslee, R., &amp; Madri, A. N. (2020). Landslide hazard identification using geoelectrical mapping. Earth Sciences Pakistan, 4(2), 81–87</w:t>
      </w:r>
      <w:r w:rsidR="00DE1D0E" w:rsidRPr="00DE1D0E">
        <w:rPr>
          <w:rFonts w:cs="Times New Roman"/>
          <w:sz w:val="24"/>
          <w:szCs w:val="24"/>
        </w:rPr>
        <w:t>.</w:t>
      </w:r>
    </w:p>
    <w:sectPr w:rsidR="00CB480D" w:rsidRPr="009E5D3C" w:rsidSect="00E93C0F">
      <w:footnotePr>
        <w:numFmt w:val="chicago"/>
      </w:footnotePr>
      <w:type w:val="continuous"/>
      <w:pgSz w:w="11907" w:h="16839" w:code="9"/>
      <w:pgMar w:top="1094" w:right="607" w:bottom="607" w:left="607" w:header="567"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A42CB" w14:textId="77777777" w:rsidR="00FC6F50" w:rsidRDefault="00FC6F50">
      <w:r>
        <w:separator/>
      </w:r>
    </w:p>
  </w:endnote>
  <w:endnote w:type="continuationSeparator" w:id="0">
    <w:p w14:paraId="62391668" w14:textId="77777777" w:rsidR="00FC6F50" w:rsidRDefault="00FC6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7015858"/>
      <w:docPartObj>
        <w:docPartGallery w:val="Page Numbers (Bottom of Page)"/>
        <w:docPartUnique/>
      </w:docPartObj>
    </w:sdtPr>
    <w:sdtEndPr>
      <w:rPr>
        <w:noProof/>
        <w:sz w:val="20"/>
      </w:rPr>
    </w:sdtEndPr>
    <w:sdtContent>
      <w:p w14:paraId="75AD4444" w14:textId="321AB97B" w:rsidR="00FC4C40" w:rsidRPr="00FC4C40" w:rsidRDefault="00FC4C40">
        <w:pPr>
          <w:pStyle w:val="Footer"/>
          <w:jc w:val="right"/>
          <w:rPr>
            <w:sz w:val="20"/>
          </w:rPr>
        </w:pPr>
        <w:r w:rsidRPr="00FC4C40">
          <w:rPr>
            <w:sz w:val="20"/>
          </w:rPr>
          <w:fldChar w:fldCharType="begin"/>
        </w:r>
        <w:r w:rsidRPr="00FC4C40">
          <w:rPr>
            <w:sz w:val="20"/>
          </w:rPr>
          <w:instrText xml:space="preserve"> PAGE   \* MERGEFORMAT </w:instrText>
        </w:r>
        <w:r w:rsidRPr="00FC4C40">
          <w:rPr>
            <w:sz w:val="20"/>
          </w:rPr>
          <w:fldChar w:fldCharType="separate"/>
        </w:r>
        <w:r w:rsidRPr="00FC4C40">
          <w:rPr>
            <w:noProof/>
            <w:sz w:val="20"/>
          </w:rPr>
          <w:t>2</w:t>
        </w:r>
        <w:r w:rsidRPr="00FC4C40">
          <w:rPr>
            <w:noProof/>
            <w:sz w:val="20"/>
          </w:rPr>
          <w:fldChar w:fldCharType="end"/>
        </w:r>
      </w:p>
    </w:sdtContent>
  </w:sdt>
  <w:p w14:paraId="596BCC4A" w14:textId="77777777" w:rsidR="00FC4C40" w:rsidRDefault="00FC4C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15050" w14:textId="77777777" w:rsidR="00A568E8" w:rsidRPr="000A0FAB" w:rsidRDefault="00A568E8" w:rsidP="003C2145">
    <w:pPr>
      <w:spacing w:before="240"/>
      <w:jc w:val="both"/>
      <w:rPr>
        <w:rFonts w:ascii="Times New Roman" w:hAnsi="Times New Roman"/>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641E1" w14:textId="77777777" w:rsidR="00FC6F50" w:rsidRDefault="00FC6F50">
      <w:r>
        <w:separator/>
      </w:r>
    </w:p>
  </w:footnote>
  <w:footnote w:type="continuationSeparator" w:id="0">
    <w:p w14:paraId="37165F57" w14:textId="77777777" w:rsidR="00FC6F50" w:rsidRDefault="00FC6F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B5CA7376"/>
    <w:lvl w:ilvl="0">
      <w:start w:val="1"/>
      <w:numFmt w:val="decimal"/>
      <w:pStyle w:val="ReferencesBody"/>
      <w:lvlText w:val="%1."/>
      <w:lvlJc w:val="left"/>
      <w:pPr>
        <w:ind w:left="360" w:hanging="360"/>
      </w:pPr>
      <w:rPr>
        <w:rFonts w:hint="default"/>
        <w:sz w:val="20"/>
        <w:szCs w:val="20"/>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2650AC"/>
    <w:multiLevelType w:val="hybridMultilevel"/>
    <w:tmpl w:val="2D50AA7C"/>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07684F46"/>
    <w:multiLevelType w:val="multilevel"/>
    <w:tmpl w:val="BAD4E334"/>
    <w:lvl w:ilvl="0">
      <w:start w:val="1"/>
      <w:numFmt w:val="decimal"/>
      <w:lvlText w:val="%1."/>
      <w:lvlJc w:val="left"/>
      <w:pPr>
        <w:ind w:left="360" w:hanging="360"/>
      </w:pPr>
      <w:rPr>
        <w:rFonts w:hint="default"/>
        <w:b/>
        <w:i w:val="0"/>
        <w:sz w:val="20"/>
      </w:rPr>
    </w:lvl>
    <w:lvl w:ilvl="1">
      <w:start w:val="1"/>
      <w:numFmt w:val="decimal"/>
      <w:lvlText w:val="%1.%2 "/>
      <w:lvlJc w:val="left"/>
      <w:pPr>
        <w:ind w:left="0" w:firstLine="0"/>
      </w:pPr>
      <w:rPr>
        <w:rFonts w:ascii="Arial" w:hAnsi="Arial" w:hint="default"/>
        <w:b/>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9284B7C"/>
    <w:multiLevelType w:val="multilevel"/>
    <w:tmpl w:val="2DB25C20"/>
    <w:lvl w:ilvl="0">
      <w:start w:val="1"/>
      <w:numFmt w:val="low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5F17DF"/>
    <w:multiLevelType w:val="hybridMultilevel"/>
    <w:tmpl w:val="34680B6C"/>
    <w:lvl w:ilvl="0" w:tplc="D6787828">
      <w:start w:val="1"/>
      <w:numFmt w:val="bullet"/>
      <w:lvlText w:val="-"/>
      <w:lvlJc w:val="left"/>
      <w:pPr>
        <w:ind w:left="720" w:hanging="360"/>
      </w:pPr>
      <w:rPr>
        <w:rFonts w:ascii="New York" w:eastAsia="Times New Roman" w:hAnsi="New York" w:cs="New Yor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C05A38"/>
    <w:multiLevelType w:val="multilevel"/>
    <w:tmpl w:val="D6E0F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757D66"/>
    <w:multiLevelType w:val="multilevel"/>
    <w:tmpl w:val="EE60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5B65A2"/>
    <w:multiLevelType w:val="hybridMultilevel"/>
    <w:tmpl w:val="09229EDA"/>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390F21BA"/>
    <w:multiLevelType w:val="multilevel"/>
    <w:tmpl w:val="D77AE1E6"/>
    <w:lvl w:ilvl="0">
      <w:start w:val="1"/>
      <w:numFmt w:val="decimal"/>
      <w:pStyle w:val="Section"/>
      <w:suff w:val="space"/>
      <w:lvlText w:val="%1"/>
      <w:lvlJc w:val="left"/>
      <w:pPr>
        <w:ind w:left="0" w:firstLine="0"/>
      </w:pPr>
      <w:rPr>
        <w:rFonts w:ascii="Arial" w:hAnsi="Arial" w:hint="default"/>
        <w:b/>
        <w:i w:val="0"/>
        <w:sz w:val="24"/>
      </w:rPr>
    </w:lvl>
    <w:lvl w:ilvl="1">
      <w:start w:val="1"/>
      <w:numFmt w:val="decimal"/>
      <w:pStyle w:val="Subsection"/>
      <w:isLgl/>
      <w:suff w:val="space"/>
      <w:lvlText w:val="%1.%2"/>
      <w:lvlJc w:val="left"/>
      <w:pPr>
        <w:ind w:left="0" w:firstLine="0"/>
      </w:pPr>
      <w:rPr>
        <w:rFonts w:ascii="Arial" w:hAnsi="Arial" w:hint="default"/>
        <w:b/>
        <w:i w:val="0"/>
        <w:sz w:val="20"/>
      </w:rPr>
    </w:lvl>
    <w:lvl w:ilvl="2">
      <w:start w:val="1"/>
      <w:numFmt w:val="decimal"/>
      <w:pStyle w:val="Subsubsection"/>
      <w:isLgl/>
      <w:suff w:val="space"/>
      <w:lvlText w:val="%1.%2.%3"/>
      <w:lvlJc w:val="left"/>
      <w:pPr>
        <w:ind w:left="0" w:firstLine="0"/>
      </w:pPr>
      <w:rPr>
        <w:rFonts w:ascii="Arial" w:hAnsi="Arial" w:hint="default"/>
        <w:b w:val="0"/>
        <w:i/>
        <w:sz w:val="2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10" w15:restartNumberingAfterBreak="0">
    <w:nsid w:val="397D343D"/>
    <w:multiLevelType w:val="multilevel"/>
    <w:tmpl w:val="527847C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400FA6"/>
    <w:multiLevelType w:val="hybridMultilevel"/>
    <w:tmpl w:val="F5241D28"/>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44885CE9"/>
    <w:multiLevelType w:val="multilevel"/>
    <w:tmpl w:val="556A3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AB02AA"/>
    <w:multiLevelType w:val="hybridMultilevel"/>
    <w:tmpl w:val="E15654C8"/>
    <w:lvl w:ilvl="0" w:tplc="F694347E">
      <w:start w:val="1"/>
      <w:numFmt w:val="decimal"/>
      <w:suff w:val="space"/>
      <w:lvlText w:val="%1"/>
      <w:lvlJc w:val="left"/>
      <w:pPr>
        <w:ind w:left="0" w:firstLine="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BE540B"/>
    <w:multiLevelType w:val="multilevel"/>
    <w:tmpl w:val="040A5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0A3759"/>
    <w:multiLevelType w:val="hybridMultilevel"/>
    <w:tmpl w:val="BB649436"/>
    <w:lvl w:ilvl="0" w:tplc="379006CE">
      <w:start w:val="1"/>
      <w:numFmt w:val="lowerRoman"/>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15:restartNumberingAfterBreak="0">
    <w:nsid w:val="66A800C8"/>
    <w:multiLevelType w:val="hybridMultilevel"/>
    <w:tmpl w:val="6B2293E8"/>
    <w:lvl w:ilvl="0" w:tplc="46B4C99C">
      <w:start w:val="1"/>
      <w:numFmt w:val="lowerRoman"/>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15:restartNumberingAfterBreak="0">
    <w:nsid w:val="68880782"/>
    <w:multiLevelType w:val="hybridMultilevel"/>
    <w:tmpl w:val="9F8075AA"/>
    <w:lvl w:ilvl="0" w:tplc="46B4C99C">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5E1795F"/>
    <w:multiLevelType w:val="multilevel"/>
    <w:tmpl w:val="E9F4D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2709333">
    <w:abstractNumId w:val="0"/>
  </w:num>
  <w:num w:numId="2" w16cid:durableId="919294432">
    <w:abstractNumId w:val="1"/>
  </w:num>
  <w:num w:numId="3" w16cid:durableId="512689012">
    <w:abstractNumId w:val="9"/>
  </w:num>
  <w:num w:numId="4" w16cid:durableId="707878617">
    <w:abstractNumId w:val="3"/>
  </w:num>
  <w:num w:numId="5" w16cid:durableId="1782139667">
    <w:abstractNumId w:val="13"/>
  </w:num>
  <w:num w:numId="6" w16cid:durableId="19226381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447174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03962893">
    <w:abstractNumId w:val="5"/>
  </w:num>
  <w:num w:numId="9" w16cid:durableId="778912040">
    <w:abstractNumId w:val="12"/>
  </w:num>
  <w:num w:numId="10" w16cid:durableId="1301157583">
    <w:abstractNumId w:val="10"/>
  </w:num>
  <w:num w:numId="11" w16cid:durableId="2091346308">
    <w:abstractNumId w:val="14"/>
  </w:num>
  <w:num w:numId="12" w16cid:durableId="1199394884">
    <w:abstractNumId w:val="2"/>
  </w:num>
  <w:num w:numId="13" w16cid:durableId="1247495016">
    <w:abstractNumId w:val="18"/>
  </w:num>
  <w:num w:numId="14" w16cid:durableId="1797094065">
    <w:abstractNumId w:val="7"/>
  </w:num>
  <w:num w:numId="15" w16cid:durableId="641160462">
    <w:abstractNumId w:val="6"/>
  </w:num>
  <w:num w:numId="16" w16cid:durableId="674304675">
    <w:abstractNumId w:val="16"/>
  </w:num>
  <w:num w:numId="17" w16cid:durableId="2088837649">
    <w:abstractNumId w:val="15"/>
  </w:num>
  <w:num w:numId="18" w16cid:durableId="711541161">
    <w:abstractNumId w:val="4"/>
  </w:num>
  <w:num w:numId="19" w16cid:durableId="1052728161">
    <w:abstractNumId w:val="17"/>
  </w:num>
  <w:num w:numId="20" w16cid:durableId="746072987">
    <w:abstractNumId w:val="8"/>
  </w:num>
  <w:num w:numId="21" w16cid:durableId="3399353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54"/>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1MTY3NTYzMLSwNLNU0lEKTi0uzszPAykwqgUALdT5bSwAAAA="/>
  </w:docVars>
  <w:rsids>
    <w:rsidRoot w:val="00AA185D"/>
    <w:rsid w:val="00000DE3"/>
    <w:rsid w:val="000123DB"/>
    <w:rsid w:val="00017DAF"/>
    <w:rsid w:val="000253B4"/>
    <w:rsid w:val="00030E8D"/>
    <w:rsid w:val="00035A99"/>
    <w:rsid w:val="00036AC2"/>
    <w:rsid w:val="000407C5"/>
    <w:rsid w:val="00040D20"/>
    <w:rsid w:val="0006121B"/>
    <w:rsid w:val="000651BD"/>
    <w:rsid w:val="00083874"/>
    <w:rsid w:val="00087922"/>
    <w:rsid w:val="000916B7"/>
    <w:rsid w:val="000972D6"/>
    <w:rsid w:val="000A0FAB"/>
    <w:rsid w:val="000B3B78"/>
    <w:rsid w:val="000C2900"/>
    <w:rsid w:val="000D5E85"/>
    <w:rsid w:val="000E4950"/>
    <w:rsid w:val="000E4989"/>
    <w:rsid w:val="000E79D3"/>
    <w:rsid w:val="000F4BC6"/>
    <w:rsid w:val="00107CF2"/>
    <w:rsid w:val="00115A48"/>
    <w:rsid w:val="0012232A"/>
    <w:rsid w:val="00122630"/>
    <w:rsid w:val="001228E4"/>
    <w:rsid w:val="00144AE8"/>
    <w:rsid w:val="00153D3A"/>
    <w:rsid w:val="00156C65"/>
    <w:rsid w:val="00161411"/>
    <w:rsid w:val="00161B60"/>
    <w:rsid w:val="001629AC"/>
    <w:rsid w:val="00176E99"/>
    <w:rsid w:val="00180674"/>
    <w:rsid w:val="001831C7"/>
    <w:rsid w:val="001910F3"/>
    <w:rsid w:val="0019318D"/>
    <w:rsid w:val="001950C8"/>
    <w:rsid w:val="001A6897"/>
    <w:rsid w:val="001D6356"/>
    <w:rsid w:val="001D7D41"/>
    <w:rsid w:val="001F29ED"/>
    <w:rsid w:val="001F4822"/>
    <w:rsid w:val="001F6B36"/>
    <w:rsid w:val="002062E7"/>
    <w:rsid w:val="00207DA4"/>
    <w:rsid w:val="00226748"/>
    <w:rsid w:val="00226AB3"/>
    <w:rsid w:val="00231952"/>
    <w:rsid w:val="00231CAD"/>
    <w:rsid w:val="0024505F"/>
    <w:rsid w:val="00255C10"/>
    <w:rsid w:val="00256A72"/>
    <w:rsid w:val="00260B0A"/>
    <w:rsid w:val="00265E7E"/>
    <w:rsid w:val="0029155F"/>
    <w:rsid w:val="00291934"/>
    <w:rsid w:val="00293B7C"/>
    <w:rsid w:val="002A0DEB"/>
    <w:rsid w:val="002A2669"/>
    <w:rsid w:val="002A50BB"/>
    <w:rsid w:val="002B5EE3"/>
    <w:rsid w:val="002C3C17"/>
    <w:rsid w:val="002C52F6"/>
    <w:rsid w:val="002D384B"/>
    <w:rsid w:val="002D7B87"/>
    <w:rsid w:val="002E5A2A"/>
    <w:rsid w:val="002F3A7D"/>
    <w:rsid w:val="002F602E"/>
    <w:rsid w:val="00325BAA"/>
    <w:rsid w:val="0033278B"/>
    <w:rsid w:val="00334AAD"/>
    <w:rsid w:val="00335E44"/>
    <w:rsid w:val="0034685F"/>
    <w:rsid w:val="00350086"/>
    <w:rsid w:val="0035199A"/>
    <w:rsid w:val="00356A8B"/>
    <w:rsid w:val="0037104B"/>
    <w:rsid w:val="00371CA2"/>
    <w:rsid w:val="0038735C"/>
    <w:rsid w:val="00390532"/>
    <w:rsid w:val="003975FB"/>
    <w:rsid w:val="003A3C4B"/>
    <w:rsid w:val="003A6777"/>
    <w:rsid w:val="003B1523"/>
    <w:rsid w:val="003C2145"/>
    <w:rsid w:val="003C7355"/>
    <w:rsid w:val="003D4AE7"/>
    <w:rsid w:val="003E06B2"/>
    <w:rsid w:val="003E3DDD"/>
    <w:rsid w:val="003E65E7"/>
    <w:rsid w:val="003E7307"/>
    <w:rsid w:val="003E7404"/>
    <w:rsid w:val="004004DC"/>
    <w:rsid w:val="004103A6"/>
    <w:rsid w:val="00411726"/>
    <w:rsid w:val="00420011"/>
    <w:rsid w:val="004268FE"/>
    <w:rsid w:val="00444427"/>
    <w:rsid w:val="004568DC"/>
    <w:rsid w:val="00463655"/>
    <w:rsid w:val="0046665C"/>
    <w:rsid w:val="004836F5"/>
    <w:rsid w:val="00483C75"/>
    <w:rsid w:val="00483F49"/>
    <w:rsid w:val="004918D3"/>
    <w:rsid w:val="00492CBA"/>
    <w:rsid w:val="004C4BE1"/>
    <w:rsid w:val="004C5640"/>
    <w:rsid w:val="004C62FB"/>
    <w:rsid w:val="004D2EFF"/>
    <w:rsid w:val="004D4C3B"/>
    <w:rsid w:val="004E2295"/>
    <w:rsid w:val="004E418B"/>
    <w:rsid w:val="004E474F"/>
    <w:rsid w:val="004E4BB6"/>
    <w:rsid w:val="004E4CB0"/>
    <w:rsid w:val="004F5CA3"/>
    <w:rsid w:val="00502085"/>
    <w:rsid w:val="005054FC"/>
    <w:rsid w:val="00505AFF"/>
    <w:rsid w:val="00510393"/>
    <w:rsid w:val="00522247"/>
    <w:rsid w:val="00524C4B"/>
    <w:rsid w:val="00526F18"/>
    <w:rsid w:val="00533F04"/>
    <w:rsid w:val="00537E89"/>
    <w:rsid w:val="00542A7A"/>
    <w:rsid w:val="00543BFF"/>
    <w:rsid w:val="00546034"/>
    <w:rsid w:val="00553389"/>
    <w:rsid w:val="005559D8"/>
    <w:rsid w:val="00562AE0"/>
    <w:rsid w:val="005729C2"/>
    <w:rsid w:val="00577279"/>
    <w:rsid w:val="00581916"/>
    <w:rsid w:val="00586096"/>
    <w:rsid w:val="00590504"/>
    <w:rsid w:val="0059631C"/>
    <w:rsid w:val="005A0896"/>
    <w:rsid w:val="005A5DAE"/>
    <w:rsid w:val="005A7ABB"/>
    <w:rsid w:val="005B19EA"/>
    <w:rsid w:val="005B3EBD"/>
    <w:rsid w:val="005B44D3"/>
    <w:rsid w:val="005B73CB"/>
    <w:rsid w:val="005C62E6"/>
    <w:rsid w:val="005D6CB6"/>
    <w:rsid w:val="005D7655"/>
    <w:rsid w:val="005D7F5E"/>
    <w:rsid w:val="005E692B"/>
    <w:rsid w:val="005E6A65"/>
    <w:rsid w:val="005F118C"/>
    <w:rsid w:val="005F4BD5"/>
    <w:rsid w:val="00600F80"/>
    <w:rsid w:val="0060390D"/>
    <w:rsid w:val="00635D1B"/>
    <w:rsid w:val="006369FC"/>
    <w:rsid w:val="00636BB7"/>
    <w:rsid w:val="0066132D"/>
    <w:rsid w:val="00662DC9"/>
    <w:rsid w:val="0067007C"/>
    <w:rsid w:val="00672948"/>
    <w:rsid w:val="00680209"/>
    <w:rsid w:val="00680716"/>
    <w:rsid w:val="00681A6E"/>
    <w:rsid w:val="00694711"/>
    <w:rsid w:val="006A40BD"/>
    <w:rsid w:val="006A5A4E"/>
    <w:rsid w:val="006B4BF8"/>
    <w:rsid w:val="006B7025"/>
    <w:rsid w:val="006C3C3C"/>
    <w:rsid w:val="006C7DF5"/>
    <w:rsid w:val="006E4E52"/>
    <w:rsid w:val="006F0632"/>
    <w:rsid w:val="006F413D"/>
    <w:rsid w:val="006F5214"/>
    <w:rsid w:val="006F53DA"/>
    <w:rsid w:val="0070286B"/>
    <w:rsid w:val="00703E56"/>
    <w:rsid w:val="00705FC3"/>
    <w:rsid w:val="007244E1"/>
    <w:rsid w:val="00733B64"/>
    <w:rsid w:val="00743B2C"/>
    <w:rsid w:val="00757AC0"/>
    <w:rsid w:val="00757C86"/>
    <w:rsid w:val="00762CF1"/>
    <w:rsid w:val="00765B30"/>
    <w:rsid w:val="007708F2"/>
    <w:rsid w:val="007719FE"/>
    <w:rsid w:val="00781291"/>
    <w:rsid w:val="007851E6"/>
    <w:rsid w:val="007877C1"/>
    <w:rsid w:val="007A1873"/>
    <w:rsid w:val="007A22D4"/>
    <w:rsid w:val="007B0BA3"/>
    <w:rsid w:val="007D0C5B"/>
    <w:rsid w:val="007F0216"/>
    <w:rsid w:val="007F172A"/>
    <w:rsid w:val="008039EA"/>
    <w:rsid w:val="00815A15"/>
    <w:rsid w:val="00822103"/>
    <w:rsid w:val="0082470E"/>
    <w:rsid w:val="00826219"/>
    <w:rsid w:val="00826250"/>
    <w:rsid w:val="0083466D"/>
    <w:rsid w:val="00836D0B"/>
    <w:rsid w:val="0085106D"/>
    <w:rsid w:val="0085246D"/>
    <w:rsid w:val="00853BEB"/>
    <w:rsid w:val="00855148"/>
    <w:rsid w:val="0085736C"/>
    <w:rsid w:val="0086299C"/>
    <w:rsid w:val="00880CB3"/>
    <w:rsid w:val="00892393"/>
    <w:rsid w:val="00892772"/>
    <w:rsid w:val="00893E81"/>
    <w:rsid w:val="008A1357"/>
    <w:rsid w:val="008B09DD"/>
    <w:rsid w:val="008B1745"/>
    <w:rsid w:val="008B39BC"/>
    <w:rsid w:val="008C0573"/>
    <w:rsid w:val="008D0D63"/>
    <w:rsid w:val="008D1EDC"/>
    <w:rsid w:val="008D5F89"/>
    <w:rsid w:val="008E5AE4"/>
    <w:rsid w:val="008F0C49"/>
    <w:rsid w:val="008F2E40"/>
    <w:rsid w:val="008F44DB"/>
    <w:rsid w:val="0090020C"/>
    <w:rsid w:val="00913228"/>
    <w:rsid w:val="00914C5C"/>
    <w:rsid w:val="009150F4"/>
    <w:rsid w:val="009167B7"/>
    <w:rsid w:val="00937B86"/>
    <w:rsid w:val="00940E7D"/>
    <w:rsid w:val="00941802"/>
    <w:rsid w:val="00957228"/>
    <w:rsid w:val="00961111"/>
    <w:rsid w:val="00975BB9"/>
    <w:rsid w:val="009829DA"/>
    <w:rsid w:val="00984EE6"/>
    <w:rsid w:val="00991C2B"/>
    <w:rsid w:val="009A053D"/>
    <w:rsid w:val="009A2F62"/>
    <w:rsid w:val="009B38C2"/>
    <w:rsid w:val="009B50C4"/>
    <w:rsid w:val="009B56F3"/>
    <w:rsid w:val="009C0DF7"/>
    <w:rsid w:val="009C3AF2"/>
    <w:rsid w:val="009C6152"/>
    <w:rsid w:val="009C6D2F"/>
    <w:rsid w:val="009D2285"/>
    <w:rsid w:val="009D5F11"/>
    <w:rsid w:val="009E1402"/>
    <w:rsid w:val="009E2777"/>
    <w:rsid w:val="009E5D3C"/>
    <w:rsid w:val="009F2F64"/>
    <w:rsid w:val="009F5DA9"/>
    <w:rsid w:val="00A02C88"/>
    <w:rsid w:val="00A07384"/>
    <w:rsid w:val="00A13BB6"/>
    <w:rsid w:val="00A1635E"/>
    <w:rsid w:val="00A16D34"/>
    <w:rsid w:val="00A2670B"/>
    <w:rsid w:val="00A30EC2"/>
    <w:rsid w:val="00A356E6"/>
    <w:rsid w:val="00A36FB0"/>
    <w:rsid w:val="00A41C2E"/>
    <w:rsid w:val="00A4307D"/>
    <w:rsid w:val="00A473A5"/>
    <w:rsid w:val="00A568E8"/>
    <w:rsid w:val="00A56E6D"/>
    <w:rsid w:val="00A62D8F"/>
    <w:rsid w:val="00A63FB4"/>
    <w:rsid w:val="00A66FA6"/>
    <w:rsid w:val="00A7389E"/>
    <w:rsid w:val="00A74233"/>
    <w:rsid w:val="00A75ECF"/>
    <w:rsid w:val="00A8769B"/>
    <w:rsid w:val="00AA185D"/>
    <w:rsid w:val="00AA4651"/>
    <w:rsid w:val="00AA47C2"/>
    <w:rsid w:val="00AA516F"/>
    <w:rsid w:val="00AA70A4"/>
    <w:rsid w:val="00AB1D0F"/>
    <w:rsid w:val="00AB512B"/>
    <w:rsid w:val="00AC6424"/>
    <w:rsid w:val="00AD4414"/>
    <w:rsid w:val="00AD5143"/>
    <w:rsid w:val="00AE3176"/>
    <w:rsid w:val="00AE5C82"/>
    <w:rsid w:val="00AE5E5F"/>
    <w:rsid w:val="00AE7055"/>
    <w:rsid w:val="00B005F7"/>
    <w:rsid w:val="00B036D9"/>
    <w:rsid w:val="00B17E70"/>
    <w:rsid w:val="00B219AF"/>
    <w:rsid w:val="00B307FF"/>
    <w:rsid w:val="00B3665F"/>
    <w:rsid w:val="00B4467C"/>
    <w:rsid w:val="00B477A1"/>
    <w:rsid w:val="00B47C86"/>
    <w:rsid w:val="00B52F7E"/>
    <w:rsid w:val="00B603A0"/>
    <w:rsid w:val="00B70EFC"/>
    <w:rsid w:val="00B76E4F"/>
    <w:rsid w:val="00B8046B"/>
    <w:rsid w:val="00B96F98"/>
    <w:rsid w:val="00BA3BCB"/>
    <w:rsid w:val="00BA41B0"/>
    <w:rsid w:val="00BB3C8C"/>
    <w:rsid w:val="00BC44BB"/>
    <w:rsid w:val="00BC7817"/>
    <w:rsid w:val="00BE0556"/>
    <w:rsid w:val="00BE1A65"/>
    <w:rsid w:val="00BE65F6"/>
    <w:rsid w:val="00BF6DB4"/>
    <w:rsid w:val="00BF7511"/>
    <w:rsid w:val="00C041BD"/>
    <w:rsid w:val="00C16E56"/>
    <w:rsid w:val="00C2155A"/>
    <w:rsid w:val="00C24496"/>
    <w:rsid w:val="00C27F83"/>
    <w:rsid w:val="00C35609"/>
    <w:rsid w:val="00C43A86"/>
    <w:rsid w:val="00C51706"/>
    <w:rsid w:val="00C80A09"/>
    <w:rsid w:val="00C83DD6"/>
    <w:rsid w:val="00C92113"/>
    <w:rsid w:val="00CA4E68"/>
    <w:rsid w:val="00CA5A36"/>
    <w:rsid w:val="00CB0893"/>
    <w:rsid w:val="00CB480D"/>
    <w:rsid w:val="00CC161A"/>
    <w:rsid w:val="00CD4590"/>
    <w:rsid w:val="00CF108C"/>
    <w:rsid w:val="00CF6506"/>
    <w:rsid w:val="00D11748"/>
    <w:rsid w:val="00D17492"/>
    <w:rsid w:val="00D213FF"/>
    <w:rsid w:val="00D21A82"/>
    <w:rsid w:val="00D36DF5"/>
    <w:rsid w:val="00D50685"/>
    <w:rsid w:val="00D52043"/>
    <w:rsid w:val="00D52A71"/>
    <w:rsid w:val="00D55A32"/>
    <w:rsid w:val="00D56583"/>
    <w:rsid w:val="00D61394"/>
    <w:rsid w:val="00D660F7"/>
    <w:rsid w:val="00D7756C"/>
    <w:rsid w:val="00D821A9"/>
    <w:rsid w:val="00D93645"/>
    <w:rsid w:val="00DB00EC"/>
    <w:rsid w:val="00DB26F8"/>
    <w:rsid w:val="00DB3B4E"/>
    <w:rsid w:val="00DB668A"/>
    <w:rsid w:val="00DB7EE5"/>
    <w:rsid w:val="00DC186C"/>
    <w:rsid w:val="00DC5FE1"/>
    <w:rsid w:val="00DC614E"/>
    <w:rsid w:val="00DD53F8"/>
    <w:rsid w:val="00DE0858"/>
    <w:rsid w:val="00DE1D0E"/>
    <w:rsid w:val="00DE35F7"/>
    <w:rsid w:val="00DE6C67"/>
    <w:rsid w:val="00DF69E4"/>
    <w:rsid w:val="00DF7C92"/>
    <w:rsid w:val="00E02769"/>
    <w:rsid w:val="00E11D7B"/>
    <w:rsid w:val="00E14396"/>
    <w:rsid w:val="00E21205"/>
    <w:rsid w:val="00E21346"/>
    <w:rsid w:val="00E262DF"/>
    <w:rsid w:val="00E31222"/>
    <w:rsid w:val="00E40E2C"/>
    <w:rsid w:val="00E5288A"/>
    <w:rsid w:val="00E548A2"/>
    <w:rsid w:val="00E5712F"/>
    <w:rsid w:val="00E72D69"/>
    <w:rsid w:val="00E765B0"/>
    <w:rsid w:val="00E80B91"/>
    <w:rsid w:val="00E93C0F"/>
    <w:rsid w:val="00EA0063"/>
    <w:rsid w:val="00EA3870"/>
    <w:rsid w:val="00EA65AA"/>
    <w:rsid w:val="00EB5AA0"/>
    <w:rsid w:val="00EC3714"/>
    <w:rsid w:val="00ED01D9"/>
    <w:rsid w:val="00ED07C1"/>
    <w:rsid w:val="00EE4379"/>
    <w:rsid w:val="00EF2E73"/>
    <w:rsid w:val="00F01A35"/>
    <w:rsid w:val="00F05620"/>
    <w:rsid w:val="00F05EBE"/>
    <w:rsid w:val="00F0715B"/>
    <w:rsid w:val="00F213B6"/>
    <w:rsid w:val="00F267BF"/>
    <w:rsid w:val="00F449AF"/>
    <w:rsid w:val="00F51FEA"/>
    <w:rsid w:val="00F5531D"/>
    <w:rsid w:val="00F6011B"/>
    <w:rsid w:val="00F636DB"/>
    <w:rsid w:val="00F6496A"/>
    <w:rsid w:val="00F66586"/>
    <w:rsid w:val="00F73E7E"/>
    <w:rsid w:val="00F7426B"/>
    <w:rsid w:val="00F77F86"/>
    <w:rsid w:val="00FA141B"/>
    <w:rsid w:val="00FB50FA"/>
    <w:rsid w:val="00FB65AF"/>
    <w:rsid w:val="00FC0B6E"/>
    <w:rsid w:val="00FC26AB"/>
    <w:rsid w:val="00FC2BA2"/>
    <w:rsid w:val="00FC40C2"/>
    <w:rsid w:val="00FC4C40"/>
    <w:rsid w:val="00FC6D1C"/>
    <w:rsid w:val="00FC6F50"/>
    <w:rsid w:val="00FE0E9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E37D20"/>
  <w15:chartTrackingRefBased/>
  <w15:docId w15:val="{F9592416-2166-4BC2-B582-BC5B121EC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lsdException w:name="Title" w:qFormat="1"/>
    <w:lsdException w:name="Body Text" w:uiPriority="1" w:qFormat="1"/>
    <w:lsdException w:name="Strong" w:uiPriority="22"/>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0715B"/>
    <w:pPr>
      <w:suppressAutoHyphens/>
    </w:pPr>
    <w:rPr>
      <w:rFonts w:ascii="New York" w:hAnsi="New York" w:cs="New York"/>
      <w:sz w:val="24"/>
      <w:lang w:eastAsia="ar-SA"/>
    </w:rPr>
  </w:style>
  <w:style w:type="paragraph" w:styleId="Heading1">
    <w:name w:val="heading 1"/>
    <w:basedOn w:val="Normal"/>
    <w:next w:val="Normal"/>
    <w:link w:val="Heading1Char"/>
    <w:rsid w:val="00937B86"/>
    <w:pPr>
      <w:spacing w:before="340" w:after="170"/>
      <w:jc w:val="both"/>
      <w:outlineLvl w:val="0"/>
    </w:pPr>
    <w:rPr>
      <w:rFonts w:ascii="Arial" w:hAnsi="Arial" w:cs="Arial"/>
      <w:b/>
      <w:szCs w:val="24"/>
      <w:lang w:val="en-GB"/>
    </w:rPr>
  </w:style>
  <w:style w:type="paragraph" w:styleId="Heading2">
    <w:name w:val="heading 2"/>
    <w:basedOn w:val="Normal"/>
    <w:next w:val="Normal"/>
    <w:link w:val="Heading2Char"/>
    <w:semiHidden/>
    <w:unhideWhenUsed/>
    <w:qFormat/>
    <w:rsid w:val="008D5F89"/>
    <w:pPr>
      <w:keepNext/>
      <w:spacing w:before="240" w:after="60"/>
      <w:outlineLvl w:val="1"/>
    </w:pPr>
    <w:rPr>
      <w:rFonts w:ascii="Calibri Light" w:hAnsi="Calibri Light" w:cs="Times New Roman"/>
      <w:b/>
      <w:bCs/>
      <w:i/>
      <w:iCs/>
      <w:sz w:val="28"/>
      <w:szCs w:val="28"/>
    </w:rPr>
  </w:style>
  <w:style w:type="paragraph" w:styleId="Heading3">
    <w:name w:val="heading 3"/>
    <w:basedOn w:val="Normal"/>
    <w:next w:val="Normal"/>
    <w:link w:val="Heading3Char"/>
    <w:semiHidden/>
    <w:unhideWhenUsed/>
    <w:qFormat/>
    <w:rsid w:val="004103A6"/>
    <w:pPr>
      <w:keepNext/>
      <w:spacing w:before="240" w:after="60"/>
      <w:outlineLvl w:val="2"/>
    </w:pPr>
    <w:rPr>
      <w:rFonts w:ascii="Calibri Light" w:hAnsi="Calibri Light" w:cs="Times New Roman"/>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37B86"/>
    <w:rPr>
      <w:rFonts w:ascii="Arial" w:hAnsi="Arial" w:cs="Arial"/>
      <w:b/>
      <w:sz w:val="24"/>
      <w:szCs w:val="24"/>
      <w:lang w:val="en-GB" w:eastAsia="ar-SA"/>
    </w:rPr>
  </w:style>
  <w:style w:type="character" w:customStyle="1" w:styleId="Heading2Char">
    <w:name w:val="Heading 2 Char"/>
    <w:link w:val="Heading2"/>
    <w:semiHidden/>
    <w:rsid w:val="008D5F89"/>
    <w:rPr>
      <w:rFonts w:ascii="Calibri Light" w:eastAsia="Times New Roman" w:hAnsi="Calibri Light" w:cs="Times New Roman"/>
      <w:b/>
      <w:bCs/>
      <w:i/>
      <w:iCs/>
      <w:sz w:val="28"/>
      <w:szCs w:val="28"/>
      <w:lang w:val="fr-FR" w:eastAsia="ar-SA"/>
    </w:rPr>
  </w:style>
  <w:style w:type="character" w:customStyle="1" w:styleId="Heading3Char">
    <w:name w:val="Heading 3 Char"/>
    <w:link w:val="Heading3"/>
    <w:semiHidden/>
    <w:rsid w:val="004103A6"/>
    <w:rPr>
      <w:rFonts w:ascii="Calibri Light" w:eastAsia="Times New Roman" w:hAnsi="Calibri Light" w:cs="Times New Roman"/>
      <w:b/>
      <w:bCs/>
      <w:sz w:val="26"/>
      <w:szCs w:val="26"/>
      <w:lang w:val="fr-FR" w:eastAsia="ar-SA"/>
    </w:rPr>
  </w:style>
  <w:style w:type="paragraph" w:customStyle="1" w:styleId="FigureNumbering">
    <w:name w:val="Figure Numbering"/>
    <w:basedOn w:val="Normal"/>
    <w:next w:val="Normal"/>
    <w:link w:val="FigureNumberingCar"/>
    <w:rsid w:val="00D93645"/>
    <w:pPr>
      <w:tabs>
        <w:tab w:val="left" w:pos="4536"/>
      </w:tabs>
      <w:spacing w:before="120" w:after="120"/>
    </w:pPr>
    <w:rPr>
      <w:rFonts w:ascii="Times New Roman" w:hAnsi="Times New Roman"/>
      <w:b/>
      <w:bCs/>
      <w:sz w:val="18"/>
      <w:szCs w:val="18"/>
      <w:lang w:val="en-GB"/>
    </w:rPr>
  </w:style>
  <w:style w:type="character" w:customStyle="1" w:styleId="FigureNumberingCar">
    <w:name w:val="Figure Numbering Car"/>
    <w:link w:val="FigureNumbering"/>
    <w:rsid w:val="00D93645"/>
    <w:rPr>
      <w:rFonts w:cs="New York"/>
      <w:b/>
      <w:bCs/>
      <w:sz w:val="18"/>
      <w:szCs w:val="18"/>
      <w:lang w:val="en-GB" w:eastAsia="ar-SA"/>
    </w:rPr>
  </w:style>
  <w:style w:type="character" w:customStyle="1" w:styleId="Fontsubsubsection">
    <w:name w:val="Font subsubsection"/>
    <w:rsid w:val="000F4BC6"/>
    <w:rPr>
      <w:rFonts w:ascii="Times" w:hAnsi="Times"/>
      <w:i/>
      <w:iCs/>
      <w:sz w:val="18"/>
    </w:rPr>
  </w:style>
  <w:style w:type="character" w:customStyle="1" w:styleId="Appelnotedebasdepage">
    <w:name w:val="Appel note de bas de page"/>
    <w:rsid w:val="009C6152"/>
    <w:rPr>
      <w:i/>
      <w:iCs/>
      <w:sz w:val="20"/>
      <w:vertAlign w:val="baseline"/>
    </w:rPr>
  </w:style>
  <w:style w:type="paragraph" w:customStyle="1" w:styleId="Notecorrespondingauthor">
    <w:name w:val="Note corresponding author"/>
    <w:basedOn w:val="FootnoteText"/>
    <w:next w:val="Normal"/>
    <w:link w:val="NotecorrespondingauthorCar"/>
    <w:rsid w:val="005B3EBD"/>
    <w:rPr>
      <w:rFonts w:ascii="Times New Roman" w:hAnsi="Times New Roman"/>
      <w:vertAlign w:val="superscript"/>
    </w:rPr>
  </w:style>
  <w:style w:type="paragraph" w:styleId="FootnoteText">
    <w:name w:val="footnote text"/>
    <w:basedOn w:val="Normal"/>
    <w:link w:val="FootnoteTextChar"/>
    <w:semiHidden/>
    <w:rsid w:val="00B036D9"/>
    <w:rPr>
      <w:sz w:val="20"/>
    </w:rPr>
  </w:style>
  <w:style w:type="character" w:customStyle="1" w:styleId="FootnoteTextChar">
    <w:name w:val="Footnote Text Char"/>
    <w:link w:val="FootnoteText"/>
    <w:semiHidden/>
    <w:rsid w:val="00F05EBE"/>
    <w:rPr>
      <w:rFonts w:ascii="New York" w:hAnsi="New York" w:cs="New York"/>
      <w:lang w:val="fr-FR" w:eastAsia="ar-SA"/>
    </w:rPr>
  </w:style>
  <w:style w:type="character" w:customStyle="1" w:styleId="NotecorrespondingauthorCar">
    <w:name w:val="Note corresponding author Car"/>
    <w:link w:val="Notecorrespondingauthor"/>
    <w:rsid w:val="005B3EBD"/>
    <w:rPr>
      <w:rFonts w:ascii="New York" w:hAnsi="New York" w:cs="New York"/>
      <w:vertAlign w:val="superscript"/>
      <w:lang w:val="fr-FR" w:eastAsia="ar-SA"/>
    </w:rPr>
  </w:style>
  <w:style w:type="character" w:customStyle="1" w:styleId="AuthorLastNameCar">
    <w:name w:val="Author Last Name Car"/>
    <w:link w:val="AuthorLastName"/>
    <w:rsid w:val="009D5F11"/>
    <w:rPr>
      <w:bCs/>
      <w:lang w:val="en-GB" w:eastAsia="ar-SA"/>
    </w:rPr>
  </w:style>
  <w:style w:type="paragraph" w:customStyle="1" w:styleId="AuthorLastName">
    <w:name w:val="Author Last Name"/>
    <w:basedOn w:val="Normal"/>
    <w:next w:val="Affiliation"/>
    <w:link w:val="AuthorLastNameCar"/>
    <w:qFormat/>
    <w:rsid w:val="00FB65AF"/>
    <w:rPr>
      <w:rFonts w:ascii="Times New Roman" w:hAnsi="Times New Roman" w:cs="Times New Roman"/>
      <w:bCs/>
      <w:sz w:val="20"/>
      <w:lang w:val="en-GB"/>
    </w:rPr>
  </w:style>
  <w:style w:type="paragraph" w:customStyle="1" w:styleId="Affiliation">
    <w:name w:val="Affiliation"/>
    <w:basedOn w:val="Normal"/>
    <w:next w:val="Abstractbody"/>
    <w:qFormat/>
    <w:rsid w:val="00B005F7"/>
    <w:pPr>
      <w:spacing w:before="113"/>
      <w:ind w:left="57" w:hanging="57"/>
      <w:contextualSpacing/>
    </w:pPr>
    <w:rPr>
      <w:rFonts w:ascii="Times New Roman" w:hAnsi="Times New Roman" w:cs="Times New Roman"/>
      <w:bCs/>
      <w:iCs/>
      <w:sz w:val="18"/>
      <w:szCs w:val="18"/>
      <w:lang w:val="en-GB"/>
    </w:rPr>
  </w:style>
  <w:style w:type="paragraph" w:customStyle="1" w:styleId="Abstractbody">
    <w:name w:val="Abstract body"/>
    <w:basedOn w:val="Normal"/>
    <w:next w:val="Section"/>
    <w:qFormat/>
    <w:rsid w:val="00F0715B"/>
    <w:pPr>
      <w:spacing w:before="454" w:after="567"/>
      <w:ind w:left="964" w:right="964"/>
      <w:jc w:val="both"/>
    </w:pPr>
    <w:rPr>
      <w:rFonts w:ascii="Times New Roman" w:hAnsi="Times New Roman" w:cs="Times New Roman"/>
      <w:sz w:val="18"/>
      <w:szCs w:val="18"/>
      <w:lang w:val="en-GB"/>
    </w:rPr>
  </w:style>
  <w:style w:type="paragraph" w:customStyle="1" w:styleId="Section">
    <w:name w:val="Section"/>
    <w:basedOn w:val="Heading1"/>
    <w:next w:val="Paragraphfirst"/>
    <w:qFormat/>
    <w:rsid w:val="00937B86"/>
    <w:pPr>
      <w:numPr>
        <w:numId w:val="3"/>
      </w:numPr>
    </w:pPr>
  </w:style>
  <w:style w:type="paragraph" w:customStyle="1" w:styleId="Paragraphfirst">
    <w:name w:val="Paragraph_first"/>
    <w:basedOn w:val="Paragraph"/>
    <w:next w:val="Paragraph"/>
    <w:qFormat/>
    <w:rsid w:val="00A66FA6"/>
    <w:pPr>
      <w:ind w:firstLine="0"/>
    </w:pPr>
  </w:style>
  <w:style w:type="paragraph" w:customStyle="1" w:styleId="Paragraph">
    <w:name w:val="Paragraph"/>
    <w:basedOn w:val="Normal"/>
    <w:qFormat/>
    <w:rsid w:val="005F4BD5"/>
    <w:pPr>
      <w:tabs>
        <w:tab w:val="left" w:pos="340"/>
      </w:tabs>
      <w:ind w:firstLine="284"/>
      <w:jc w:val="both"/>
    </w:pPr>
    <w:rPr>
      <w:rFonts w:ascii="Times" w:hAnsi="Times"/>
      <w:sz w:val="20"/>
      <w:lang w:val="en-GB"/>
    </w:rPr>
  </w:style>
  <w:style w:type="character" w:customStyle="1" w:styleId="FootnoteCharacters">
    <w:name w:val="Footnote Characters"/>
    <w:rsid w:val="001D6356"/>
    <w:rPr>
      <w:rFonts w:ascii="Times New Roman" w:hAnsi="Times New Roman"/>
      <w:position w:val="1"/>
      <w:sz w:val="18"/>
    </w:rPr>
  </w:style>
  <w:style w:type="character" w:styleId="PageNumber">
    <w:name w:val="page number"/>
    <w:basedOn w:val="DefaultParagraphFont"/>
    <w:rsid w:val="00D93645"/>
  </w:style>
  <w:style w:type="character" w:styleId="FootnoteReference">
    <w:name w:val="footnote reference"/>
    <w:semiHidden/>
    <w:rsid w:val="00B036D9"/>
    <w:rPr>
      <w:vertAlign w:val="superscript"/>
    </w:rPr>
  </w:style>
  <w:style w:type="character" w:customStyle="1" w:styleId="EndnoteCharacters">
    <w:name w:val="Endnote Characters"/>
    <w:rsid w:val="00B036D9"/>
    <w:rPr>
      <w:vertAlign w:val="superscript"/>
    </w:rPr>
  </w:style>
  <w:style w:type="character" w:styleId="EndnoteReference">
    <w:name w:val="endnote reference"/>
    <w:semiHidden/>
    <w:rsid w:val="00B036D9"/>
    <w:rPr>
      <w:vertAlign w:val="superscript"/>
    </w:rPr>
  </w:style>
  <w:style w:type="paragraph" w:styleId="Footer">
    <w:name w:val="footer"/>
    <w:basedOn w:val="Normal"/>
    <w:link w:val="FooterChar"/>
    <w:uiPriority w:val="99"/>
    <w:rsid w:val="00B036D9"/>
  </w:style>
  <w:style w:type="character" w:customStyle="1" w:styleId="FooterChar">
    <w:name w:val="Footer Char"/>
    <w:link w:val="Footer"/>
    <w:uiPriority w:val="99"/>
    <w:rsid w:val="007719FE"/>
    <w:rPr>
      <w:rFonts w:ascii="New York" w:hAnsi="New York" w:cs="New York"/>
      <w:sz w:val="24"/>
      <w:lang w:eastAsia="ar-SA"/>
    </w:rPr>
  </w:style>
  <w:style w:type="paragraph" w:customStyle="1" w:styleId="Tablecontent">
    <w:name w:val="Table content"/>
    <w:basedOn w:val="Normal"/>
    <w:rsid w:val="0006121B"/>
    <w:pPr>
      <w:jc w:val="center"/>
    </w:pPr>
    <w:rPr>
      <w:rFonts w:ascii="Times" w:hAnsi="Times" w:cs="Times New Roman"/>
      <w:sz w:val="18"/>
    </w:rPr>
  </w:style>
  <w:style w:type="paragraph" w:customStyle="1" w:styleId="TableHeading">
    <w:name w:val="Table Heading"/>
    <w:basedOn w:val="Normal"/>
    <w:rsid w:val="0006121B"/>
    <w:pPr>
      <w:suppressLineNumbers/>
      <w:jc w:val="center"/>
    </w:pPr>
    <w:rPr>
      <w:b/>
      <w:bCs/>
    </w:rPr>
  </w:style>
  <w:style w:type="character" w:styleId="Hyperlink">
    <w:name w:val="Hyperlink"/>
    <w:rsid w:val="004C62FB"/>
    <w:rPr>
      <w:color w:val="0000FF"/>
      <w:u w:val="single"/>
    </w:rPr>
  </w:style>
  <w:style w:type="paragraph" w:styleId="Title">
    <w:name w:val="Title"/>
    <w:basedOn w:val="Normal"/>
    <w:next w:val="AuthorLastName"/>
    <w:link w:val="TitleChar"/>
    <w:qFormat/>
    <w:rsid w:val="00937B86"/>
    <w:pPr>
      <w:spacing w:before="1247" w:after="340"/>
      <w:jc w:val="both"/>
    </w:pPr>
    <w:rPr>
      <w:rFonts w:ascii="Arial" w:hAnsi="Arial" w:cs="Arial"/>
      <w:b/>
      <w:sz w:val="32"/>
      <w:szCs w:val="32"/>
      <w:lang w:val="en-GB"/>
    </w:rPr>
  </w:style>
  <w:style w:type="character" w:customStyle="1" w:styleId="TitleChar">
    <w:name w:val="Title Char"/>
    <w:link w:val="Title"/>
    <w:rsid w:val="00937B86"/>
    <w:rPr>
      <w:rFonts w:ascii="Arial" w:hAnsi="Arial" w:cs="Arial"/>
      <w:b/>
      <w:sz w:val="32"/>
      <w:szCs w:val="32"/>
      <w:lang w:val="en-GB" w:eastAsia="ar-SA"/>
    </w:rPr>
  </w:style>
  <w:style w:type="paragraph" w:customStyle="1" w:styleId="Section0">
    <w:name w:val="Section*"/>
    <w:basedOn w:val="Heading1"/>
    <w:next w:val="Paragraphfirst"/>
    <w:qFormat/>
    <w:rsid w:val="00FB65AF"/>
  </w:style>
  <w:style w:type="paragraph" w:customStyle="1" w:styleId="Subsection">
    <w:name w:val="Subsection"/>
    <w:basedOn w:val="Heading2"/>
    <w:next w:val="Paragraphfirst"/>
    <w:qFormat/>
    <w:rsid w:val="001910F3"/>
    <w:pPr>
      <w:numPr>
        <w:ilvl w:val="1"/>
        <w:numId w:val="3"/>
      </w:numPr>
      <w:tabs>
        <w:tab w:val="left" w:pos="340"/>
      </w:tabs>
      <w:spacing w:before="340" w:after="170"/>
      <w:jc w:val="both"/>
    </w:pPr>
    <w:rPr>
      <w:rFonts w:ascii="Arial" w:hAnsi="Arial" w:cs="Arial"/>
      <w:i w:val="0"/>
      <w:sz w:val="20"/>
      <w:lang w:val="en-GB"/>
    </w:rPr>
  </w:style>
  <w:style w:type="paragraph" w:customStyle="1" w:styleId="Subsubsection">
    <w:name w:val="Subsubsection"/>
    <w:basedOn w:val="Heading3"/>
    <w:next w:val="Paragraphfirst"/>
    <w:qFormat/>
    <w:rsid w:val="001910F3"/>
    <w:pPr>
      <w:numPr>
        <w:ilvl w:val="2"/>
        <w:numId w:val="3"/>
      </w:numPr>
      <w:spacing w:before="340" w:after="170"/>
    </w:pPr>
    <w:rPr>
      <w:rFonts w:ascii="Arial" w:hAnsi="Arial"/>
      <w:b w:val="0"/>
      <w:i/>
      <w:sz w:val="20"/>
    </w:rPr>
  </w:style>
  <w:style w:type="paragraph" w:customStyle="1" w:styleId="StyleEquationsinthemiddle">
    <w:name w:val="Style Equations in the middle"/>
    <w:basedOn w:val="Normal"/>
    <w:rsid w:val="00F7426B"/>
    <w:pPr>
      <w:jc w:val="center"/>
    </w:pPr>
    <w:rPr>
      <w:rFonts w:cs="Times New Roman"/>
    </w:rPr>
  </w:style>
  <w:style w:type="paragraph" w:customStyle="1" w:styleId="TableCaption">
    <w:name w:val="Table Caption"/>
    <w:basedOn w:val="Normal"/>
    <w:qFormat/>
    <w:rsid w:val="005E6A65"/>
    <w:pPr>
      <w:spacing w:before="120" w:after="120"/>
      <w:jc w:val="center"/>
    </w:pPr>
    <w:rPr>
      <w:rFonts w:ascii="Times" w:hAnsi="Times"/>
      <w:iCs/>
      <w:sz w:val="18"/>
      <w:szCs w:val="16"/>
      <w:lang w:val="en-GB"/>
    </w:rPr>
  </w:style>
  <w:style w:type="paragraph" w:styleId="CommentSubject">
    <w:name w:val="annotation subject"/>
    <w:basedOn w:val="Normal"/>
    <w:next w:val="Normal"/>
    <w:link w:val="CommentSubjectChar"/>
    <w:rsid w:val="00F7426B"/>
    <w:rPr>
      <w:b/>
      <w:bCs/>
      <w:sz w:val="20"/>
    </w:rPr>
  </w:style>
  <w:style w:type="character" w:customStyle="1" w:styleId="CommentSubjectChar">
    <w:name w:val="Comment Subject Char"/>
    <w:link w:val="CommentSubject"/>
    <w:rsid w:val="0033278B"/>
    <w:rPr>
      <w:rFonts w:ascii="New York" w:hAnsi="New York" w:cs="New York"/>
      <w:b/>
      <w:bCs/>
      <w:lang w:val="fr-FR" w:eastAsia="ar-SA"/>
    </w:rPr>
  </w:style>
  <w:style w:type="paragraph" w:customStyle="1" w:styleId="AuthorFirstname">
    <w:name w:val="Author Firstname"/>
    <w:basedOn w:val="AuthorLastName"/>
    <w:link w:val="AuthorFirstnameCar"/>
    <w:rsid w:val="00334AAD"/>
    <w:rPr>
      <w:bCs w:val="0"/>
      <w:i/>
      <w:iCs/>
    </w:rPr>
  </w:style>
  <w:style w:type="character" w:customStyle="1" w:styleId="AuthorFirstnameCar">
    <w:name w:val="Author Firstname Car"/>
    <w:link w:val="AuthorFirstname"/>
    <w:rsid w:val="009D5F11"/>
    <w:rPr>
      <w:bCs w:val="0"/>
      <w:i/>
      <w:iCs/>
      <w:lang w:val="en-GB" w:eastAsia="ar-SA"/>
    </w:rPr>
  </w:style>
  <w:style w:type="character" w:customStyle="1" w:styleId="AbstractAbstractword">
    <w:name w:val="Abstract : Abstract word"/>
    <w:uiPriority w:val="1"/>
    <w:rsid w:val="00F0715B"/>
    <w:rPr>
      <w:rFonts w:ascii="Arial" w:hAnsi="Arial" w:cs="Arial"/>
      <w:b/>
      <w:sz w:val="18"/>
    </w:rPr>
  </w:style>
  <w:style w:type="character" w:customStyle="1" w:styleId="ReferencesVolumeBold">
    <w:name w:val="References Volume Bold"/>
    <w:rsid w:val="009D5F11"/>
    <w:rPr>
      <w:b/>
      <w:bCs/>
      <w:sz w:val="20"/>
    </w:rPr>
  </w:style>
  <w:style w:type="paragraph" w:customStyle="1" w:styleId="ReferencesBody-BookProceedingstitle">
    <w:name w:val="References Body - Book/Proceedings title"/>
    <w:basedOn w:val="Normal"/>
    <w:link w:val="ReferencesBody-BookProceedingstitleCar"/>
    <w:qFormat/>
    <w:rsid w:val="00526F18"/>
    <w:pPr>
      <w:spacing w:before="60"/>
      <w:ind w:left="360" w:hanging="360"/>
    </w:pPr>
    <w:rPr>
      <w:rFonts w:ascii="Times New Roman" w:hAnsi="Times New Roman"/>
      <w:i/>
      <w:sz w:val="20"/>
    </w:rPr>
  </w:style>
  <w:style w:type="character" w:customStyle="1" w:styleId="ReferencesBody-BookProceedingstitleCar">
    <w:name w:val="References Body - Book/Proceedings title Car"/>
    <w:link w:val="ReferencesBody-BookProceedingstitle"/>
    <w:rsid w:val="00526F18"/>
    <w:rPr>
      <w:rFonts w:cs="New York"/>
      <w:i/>
      <w:lang w:eastAsia="ar-SA"/>
    </w:rPr>
  </w:style>
  <w:style w:type="character" w:customStyle="1" w:styleId="Tablenumbering">
    <w:name w:val="Table numbering"/>
    <w:rsid w:val="0006121B"/>
    <w:rPr>
      <w:rFonts w:ascii="Times" w:hAnsi="Times"/>
      <w:b/>
      <w:bCs/>
      <w:sz w:val="18"/>
    </w:rPr>
  </w:style>
  <w:style w:type="paragraph" w:customStyle="1" w:styleId="TableHeadBold">
    <w:name w:val="Table Head Bold"/>
    <w:basedOn w:val="Normal"/>
    <w:rsid w:val="0006121B"/>
    <w:pPr>
      <w:jc w:val="center"/>
    </w:pPr>
    <w:rPr>
      <w:rFonts w:ascii="Times" w:hAnsi="Times" w:cs="Times New Roman"/>
      <w:b/>
      <w:bCs/>
      <w:sz w:val="18"/>
    </w:rPr>
  </w:style>
  <w:style w:type="paragraph" w:customStyle="1" w:styleId="ReferencesBody">
    <w:name w:val="References Body"/>
    <w:basedOn w:val="Normal"/>
    <w:qFormat/>
    <w:rsid w:val="00855148"/>
    <w:pPr>
      <w:numPr>
        <w:numId w:val="1"/>
      </w:numPr>
      <w:spacing w:before="60"/>
    </w:pPr>
    <w:rPr>
      <w:rFonts w:ascii="Times New Roman" w:hAnsi="Times New Roman"/>
      <w:sz w:val="20"/>
      <w:lang w:val="en-GB"/>
    </w:rPr>
  </w:style>
  <w:style w:type="paragraph" w:customStyle="1" w:styleId="Acknowledgement">
    <w:name w:val="Acknowledgement"/>
    <w:basedOn w:val="Normal"/>
    <w:rsid w:val="00F6496A"/>
    <w:pPr>
      <w:jc w:val="both"/>
    </w:pPr>
    <w:rPr>
      <w:rFonts w:ascii="Times" w:hAnsi="Times" w:cs="Times New Roman"/>
      <w:sz w:val="18"/>
    </w:rPr>
  </w:style>
  <w:style w:type="paragraph" w:styleId="ListParagraph">
    <w:name w:val="List Paragraph"/>
    <w:aliases w:val="Paragraph (alpabhatical)"/>
    <w:basedOn w:val="Normal"/>
    <w:link w:val="ListParagraphChar"/>
    <w:uiPriority w:val="34"/>
    <w:qFormat/>
    <w:rsid w:val="004268FE"/>
    <w:pPr>
      <w:suppressAutoHyphens w:val="0"/>
      <w:spacing w:after="200" w:line="276" w:lineRule="auto"/>
      <w:ind w:left="720"/>
      <w:contextualSpacing/>
    </w:pPr>
    <w:rPr>
      <w:rFonts w:asciiTheme="minorHAnsi" w:eastAsiaTheme="minorEastAsia" w:hAnsiTheme="minorHAnsi" w:cstheme="minorBidi"/>
      <w:kern w:val="2"/>
      <w:sz w:val="22"/>
      <w:szCs w:val="22"/>
      <w:lang w:val="en-US" w:eastAsia="zh-CN"/>
    </w:rPr>
  </w:style>
  <w:style w:type="character" w:customStyle="1" w:styleId="ListParagraphChar">
    <w:name w:val="List Paragraph Char"/>
    <w:aliases w:val="Paragraph (alpabhatical) Char"/>
    <w:basedOn w:val="DefaultParagraphFont"/>
    <w:link w:val="ListParagraph"/>
    <w:uiPriority w:val="34"/>
    <w:rsid w:val="004268FE"/>
    <w:rPr>
      <w:rFonts w:asciiTheme="minorHAnsi" w:eastAsiaTheme="minorEastAsia" w:hAnsiTheme="minorHAnsi" w:cstheme="minorBidi"/>
      <w:kern w:val="2"/>
      <w:sz w:val="22"/>
      <w:szCs w:val="22"/>
      <w:lang w:val="en-US" w:eastAsia="zh-CN"/>
    </w:rPr>
  </w:style>
  <w:style w:type="paragraph" w:styleId="NormalWeb">
    <w:name w:val="Normal (Web)"/>
    <w:basedOn w:val="Normal"/>
    <w:uiPriority w:val="99"/>
    <w:unhideWhenUsed/>
    <w:rsid w:val="00577279"/>
    <w:pPr>
      <w:suppressAutoHyphens w:val="0"/>
      <w:spacing w:before="100" w:beforeAutospacing="1" w:after="100" w:afterAutospacing="1"/>
    </w:pPr>
    <w:rPr>
      <w:rFonts w:ascii="Times New Roman" w:hAnsi="Times New Roman" w:cs="Times New Roman"/>
      <w:szCs w:val="24"/>
      <w:lang w:val="en-MY" w:eastAsia="zh-CN"/>
    </w:rPr>
  </w:style>
  <w:style w:type="paragraph" w:styleId="IntenseQuote">
    <w:name w:val="Intense Quote"/>
    <w:basedOn w:val="Normal"/>
    <w:next w:val="Normal"/>
    <w:link w:val="IntenseQuoteChar"/>
    <w:uiPriority w:val="30"/>
    <w:qFormat/>
    <w:rsid w:val="006C7DF5"/>
    <w:pPr>
      <w:pBdr>
        <w:top w:val="single" w:sz="4" w:space="10" w:color="2E74B5" w:themeColor="accent1" w:themeShade="BF"/>
        <w:bottom w:val="single" w:sz="4" w:space="10" w:color="2E74B5" w:themeColor="accent1" w:themeShade="BF"/>
      </w:pBdr>
      <w:suppressAutoHyphens w:val="0"/>
      <w:spacing w:before="360" w:after="360" w:line="276" w:lineRule="auto"/>
      <w:ind w:left="864" w:right="864"/>
      <w:jc w:val="center"/>
    </w:pPr>
    <w:rPr>
      <w:rFonts w:asciiTheme="minorHAnsi" w:eastAsiaTheme="minorEastAsia" w:hAnsiTheme="minorHAnsi" w:cstheme="minorBidi"/>
      <w:i/>
      <w:iCs/>
      <w:color w:val="2E74B5" w:themeColor="accent1" w:themeShade="BF"/>
      <w:kern w:val="2"/>
      <w:sz w:val="22"/>
      <w:szCs w:val="22"/>
      <w:lang w:val="en-US" w:eastAsia="zh-CN"/>
    </w:rPr>
  </w:style>
  <w:style w:type="character" w:customStyle="1" w:styleId="IntenseQuoteChar">
    <w:name w:val="Intense Quote Char"/>
    <w:basedOn w:val="DefaultParagraphFont"/>
    <w:link w:val="IntenseQuote"/>
    <w:uiPriority w:val="30"/>
    <w:rsid w:val="006C7DF5"/>
    <w:rPr>
      <w:rFonts w:asciiTheme="minorHAnsi" w:eastAsiaTheme="minorEastAsia" w:hAnsiTheme="minorHAnsi" w:cstheme="minorBidi"/>
      <w:i/>
      <w:iCs/>
      <w:color w:val="2E74B5" w:themeColor="accent1" w:themeShade="BF"/>
      <w:kern w:val="2"/>
      <w:sz w:val="22"/>
      <w:szCs w:val="22"/>
      <w:lang w:val="en-US" w:eastAsia="zh-CN"/>
    </w:rPr>
  </w:style>
  <w:style w:type="paragraph" w:styleId="Header">
    <w:name w:val="header"/>
    <w:basedOn w:val="Normal"/>
    <w:link w:val="HeaderChar"/>
    <w:rsid w:val="00FC4C40"/>
    <w:pPr>
      <w:tabs>
        <w:tab w:val="center" w:pos="4513"/>
        <w:tab w:val="right" w:pos="9026"/>
      </w:tabs>
    </w:pPr>
  </w:style>
  <w:style w:type="character" w:customStyle="1" w:styleId="HeaderChar">
    <w:name w:val="Header Char"/>
    <w:basedOn w:val="DefaultParagraphFont"/>
    <w:link w:val="Header"/>
    <w:rsid w:val="00FC4C40"/>
    <w:rPr>
      <w:rFonts w:ascii="New York" w:hAnsi="New York" w:cs="New York"/>
      <w:sz w:val="24"/>
      <w:lang w:eastAsia="ar-SA"/>
    </w:rPr>
  </w:style>
  <w:style w:type="table" w:styleId="TableGrid">
    <w:name w:val="Table Grid"/>
    <w:basedOn w:val="TableNormal"/>
    <w:rsid w:val="00DE0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02C88"/>
    <w:pPr>
      <w:widowControl w:val="0"/>
      <w:suppressAutoHyphens w:val="0"/>
      <w:autoSpaceDE w:val="0"/>
      <w:autoSpaceDN w:val="0"/>
    </w:pPr>
    <w:rPr>
      <w:rFonts w:ascii="Verdana" w:eastAsia="Verdana" w:hAnsi="Verdana" w:cs="Verdana"/>
      <w:sz w:val="22"/>
      <w:szCs w:val="22"/>
      <w:lang w:val="en-US" w:eastAsia="en-US"/>
    </w:rPr>
  </w:style>
  <w:style w:type="character" w:styleId="UnresolvedMention">
    <w:name w:val="Unresolved Mention"/>
    <w:basedOn w:val="DefaultParagraphFont"/>
    <w:uiPriority w:val="99"/>
    <w:semiHidden/>
    <w:unhideWhenUsed/>
    <w:rsid w:val="009A053D"/>
    <w:rPr>
      <w:color w:val="605E5C"/>
      <w:shd w:val="clear" w:color="auto" w:fill="E1DFDD"/>
    </w:rPr>
  </w:style>
  <w:style w:type="paragraph" w:styleId="BodyText">
    <w:name w:val="Body Text"/>
    <w:basedOn w:val="Normal"/>
    <w:link w:val="BodyTextChar"/>
    <w:uiPriority w:val="1"/>
    <w:qFormat/>
    <w:rsid w:val="00000DE3"/>
    <w:pPr>
      <w:widowControl w:val="0"/>
      <w:suppressAutoHyphens w:val="0"/>
      <w:autoSpaceDE w:val="0"/>
      <w:autoSpaceDN w:val="0"/>
    </w:pPr>
    <w:rPr>
      <w:rFonts w:ascii="Verdana" w:eastAsia="Verdana" w:hAnsi="Verdana" w:cs="Verdana"/>
      <w:sz w:val="20"/>
      <w:lang w:val="en-US" w:eastAsia="en-US"/>
    </w:rPr>
  </w:style>
  <w:style w:type="character" w:customStyle="1" w:styleId="BodyTextChar">
    <w:name w:val="Body Text Char"/>
    <w:basedOn w:val="DefaultParagraphFont"/>
    <w:link w:val="BodyText"/>
    <w:uiPriority w:val="1"/>
    <w:rsid w:val="00000DE3"/>
    <w:rPr>
      <w:rFonts w:ascii="Verdana" w:eastAsia="Verdana" w:hAnsi="Verdana" w:cs="Verdana"/>
      <w:lang w:val="en-US" w:eastAsia="en-US"/>
    </w:rPr>
  </w:style>
  <w:style w:type="character" w:styleId="CommentReference">
    <w:name w:val="annotation reference"/>
    <w:basedOn w:val="DefaultParagraphFont"/>
    <w:rsid w:val="00ED01D9"/>
    <w:rPr>
      <w:sz w:val="16"/>
      <w:szCs w:val="16"/>
    </w:rPr>
  </w:style>
  <w:style w:type="paragraph" w:styleId="CommentText">
    <w:name w:val="annotation text"/>
    <w:basedOn w:val="Normal"/>
    <w:link w:val="CommentTextChar"/>
    <w:rsid w:val="00ED01D9"/>
    <w:rPr>
      <w:sz w:val="20"/>
    </w:rPr>
  </w:style>
  <w:style w:type="character" w:customStyle="1" w:styleId="CommentTextChar">
    <w:name w:val="Comment Text Char"/>
    <w:basedOn w:val="DefaultParagraphFont"/>
    <w:link w:val="CommentText"/>
    <w:rsid w:val="00ED01D9"/>
    <w:rPr>
      <w:rFonts w:ascii="New York" w:hAnsi="New York" w:cs="New York"/>
      <w:lang w:eastAsia="ar-SA"/>
    </w:rPr>
  </w:style>
  <w:style w:type="character" w:styleId="Emphasis">
    <w:name w:val="Emphasis"/>
    <w:basedOn w:val="DefaultParagraphFont"/>
    <w:uiPriority w:val="20"/>
    <w:qFormat/>
    <w:rsid w:val="00B52F7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3228383">
      <w:bodyDiv w:val="1"/>
      <w:marLeft w:val="0"/>
      <w:marRight w:val="0"/>
      <w:marTop w:val="0"/>
      <w:marBottom w:val="0"/>
      <w:divBdr>
        <w:top w:val="none" w:sz="0" w:space="0" w:color="auto"/>
        <w:left w:val="none" w:sz="0" w:space="0" w:color="auto"/>
        <w:bottom w:val="none" w:sz="0" w:space="0" w:color="auto"/>
        <w:right w:val="none" w:sz="0" w:space="0" w:color="auto"/>
      </w:divBdr>
    </w:div>
    <w:div w:id="180145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footer" Target="footer2.xml"/><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uehot\Documents\Mod&#232;les%20Office%20personnalis&#233;s\Template%20WOC-2%20column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8139E0-BD98-4301-9875-AC2C043BF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WOC-2 columns</Template>
  <TotalTime>24</TotalTime>
  <Pages>30</Pages>
  <Words>6447</Words>
  <Characters>36749</Characters>
  <Application>Microsoft Office Word</Application>
  <DocSecurity>0</DocSecurity>
  <Lines>306</Lines>
  <Paragraphs>86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This space should be left blank, except for the name of the first author. (The publisher will re-type the main title, author names and addresses. Please give this information on a separate page.)</vt:lpstr>
      <vt:lpstr>This space should be left blank, except for the name of the first author. (The publisher will re-type the main title, author names and addresses. Please give this information on a separate page.)</vt:lpstr>
    </vt:vector>
  </TitlesOfParts>
  <Company>EDP SCIENCES</Company>
  <LinksUpToDate>false</LinksUpToDate>
  <CharactersWithSpaces>43110</CharactersWithSpaces>
  <SharedDoc>false</SharedDoc>
  <HLinks>
    <vt:vector size="6" baseType="variant">
      <vt:variant>
        <vt:i4>34</vt:i4>
      </vt:variant>
      <vt:variant>
        <vt:i4>0</vt:i4>
      </vt:variant>
      <vt:variant>
        <vt:i4>0</vt:i4>
      </vt:variant>
      <vt:variant>
        <vt:i4>5</vt:i4>
      </vt:variant>
      <vt:variant>
        <vt:lpwstr>mailto:author@email.org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space should be left blank, except for the name of the first author. (The publisher will re-type the main title, author names and addresses. Please give this information on a separate page.)</dc:title>
  <dc:subject/>
  <dc:creator>Solange Guehot</dc:creator>
  <cp:keywords/>
  <dc:description/>
  <cp:lastModifiedBy>AFIQAH ISMAIL</cp:lastModifiedBy>
  <cp:revision>3</cp:revision>
  <cp:lastPrinted>2025-08-14T07:47:00Z</cp:lastPrinted>
  <dcterms:created xsi:type="dcterms:W3CDTF">2026-06-13T14:31:00Z</dcterms:created>
  <dcterms:modified xsi:type="dcterms:W3CDTF">2026-06-13T14:55:00Z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d79f5f76-f306-494b-8c5f-ac467a470502</vt:lpwstr>
  </property>
</Properties>
</file>