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Fonts w:ascii="Times New Roman" w:cs="Times New Roman" w:hAnsi="Times New Roman" w:eastAsia="Times New Roman"/>
          <w:b w:val="1"/>
          <w:bCs w:val="1"/>
          <w:sz w:val="36"/>
          <w:szCs w:val="36"/>
        </w:rPr>
      </w:pPr>
      <w:r>
        <w:rPr>
          <w:rFonts w:ascii="Times New Roman" w:hAnsi="Times New Roman"/>
          <w:b w:val="1"/>
          <w:bCs w:val="1"/>
          <w:sz w:val="36"/>
          <w:szCs w:val="36"/>
          <w:rtl w:val="0"/>
          <w:lang w:val="en-US"/>
        </w:rPr>
        <w:t>Navigating Great Power Competition in Outer Space: Strategies of Middle Powers, the EU, India, and Japan</w:t>
      </w:r>
    </w:p>
    <w:p>
      <w:pPr>
        <w:pStyle w:val="Body A"/>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it-IT"/>
        </w:rPr>
        <w:t xml:space="preserve">Aastha Binzani </w:t>
      </w:r>
    </w:p>
    <w:p>
      <w:pPr>
        <w:pStyle w:val="Body A"/>
        <w:jc w:val="center"/>
        <w:rPr>
          <w:rFonts w:ascii="Times New Roman" w:cs="Times New Roman" w:hAnsi="Times New Roman" w:eastAsia="Times New Roman"/>
          <w:sz w:val="24"/>
          <w:szCs w:val="24"/>
          <w:lang w:val="en-US"/>
        </w:rPr>
      </w:pPr>
      <w:r>
        <w:rPr>
          <w:rFonts w:ascii="Times New Roman" w:hAnsi="Times New Roman"/>
          <w:b w:val="1"/>
          <w:bCs w:val="1"/>
          <w:i w:val="1"/>
          <w:iCs w:val="1"/>
          <w:sz w:val="24"/>
          <w:szCs w:val="24"/>
          <w:u w:val="single"/>
          <w:rtl w:val="0"/>
          <w:lang w:val="en-US"/>
        </w:rPr>
        <w:t>Affiliation:</w:t>
      </w:r>
      <w:r>
        <w:rPr>
          <w:rFonts w:ascii="Times New Roman" w:hAnsi="Times New Roman"/>
          <w:sz w:val="24"/>
          <w:szCs w:val="24"/>
          <w:rtl w:val="0"/>
          <w:lang w:val="en-US"/>
        </w:rPr>
        <w:t xml:space="preserve"> Centre for East Asian Studies (China Division), School of International Studies,                    Jawaharlal Nehru University, New Delhi </w:t>
      </w:r>
    </w:p>
    <w:p>
      <w:pPr>
        <w:pStyle w:val="Body A"/>
        <w:jc w:val="center"/>
        <w:rPr>
          <w:rFonts w:ascii="Times New Roman" w:cs="Times New Roman" w:hAnsi="Times New Roman" w:eastAsia="Times New Roman"/>
          <w:sz w:val="24"/>
          <w:szCs w:val="24"/>
        </w:rPr>
      </w:pPr>
      <w:r>
        <w:rPr>
          <w:rFonts w:ascii="Times New Roman" w:hAnsi="Times New Roman"/>
          <w:b w:val="1"/>
          <w:bCs w:val="1"/>
          <w:i w:val="1"/>
          <w:iCs w:val="1"/>
          <w:sz w:val="24"/>
          <w:szCs w:val="24"/>
          <w:u w:val="single"/>
          <w:rtl w:val="0"/>
          <w:lang w:val="en-US"/>
        </w:rPr>
        <w:t>Email Address:</w:t>
      </w:r>
      <w:r>
        <w:rPr>
          <w:rFonts w:ascii="Times New Roman" w:hAnsi="Times New Roman"/>
          <w:sz w:val="24"/>
          <w:szCs w:val="24"/>
          <w:rtl w:val="0"/>
          <w:lang w:val="nl-NL"/>
        </w:rPr>
        <w:t xml:space="preserve"> binzaniaastha@gmail.com </w:t>
      </w:r>
    </w:p>
    <w:p>
      <w:pPr>
        <w:pStyle w:val="Body A"/>
        <w:jc w:val="both"/>
        <w:rPr>
          <w:rFonts w:ascii="Times New Roman" w:cs="Times New Roman" w:hAnsi="Times New Roman" w:eastAsia="Times New Roman"/>
          <w:sz w:val="24"/>
          <w:szCs w:val="24"/>
        </w:rPr>
      </w:pPr>
    </w:p>
    <w:p>
      <w:pPr>
        <w:pStyle w:val="Body A"/>
        <w:rPr>
          <w:rFonts w:ascii="Times New Roman" w:cs="Times New Roman" w:hAnsi="Times New Roman" w:eastAsia="Times New Roman"/>
          <w:b w:val="1"/>
          <w:bCs w:val="1"/>
          <w:sz w:val="24"/>
          <w:szCs w:val="24"/>
          <w:u w:val="single"/>
          <w:lang w:val="fr-FR"/>
        </w:rPr>
      </w:pPr>
      <w:r>
        <w:rPr>
          <w:rFonts w:ascii="Times New Roman" w:hAnsi="Times New Roman"/>
          <w:b w:val="1"/>
          <w:bCs w:val="1"/>
          <w:sz w:val="28"/>
          <w:szCs w:val="28"/>
          <w:rtl w:val="0"/>
          <w:lang w:val="fr-FR"/>
        </w:rPr>
        <w:t>A</w:t>
      </w:r>
      <w:r>
        <w:rPr>
          <w:rFonts w:ascii="Times New Roman" w:hAnsi="Times New Roman"/>
          <w:b w:val="1"/>
          <w:bCs w:val="1"/>
          <w:sz w:val="28"/>
          <w:szCs w:val="28"/>
          <w:rtl w:val="0"/>
          <w:lang w:val="en-US"/>
        </w:rPr>
        <w:t>BSTRACT</w:t>
      </w:r>
    </w:p>
    <w:p>
      <w:pPr>
        <w:pStyle w:val="Body A"/>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The</w:t>
      </w:r>
      <w:r>
        <w:rPr>
          <w:rFonts w:ascii="Times New Roman" w:hAnsi="Times New Roman"/>
          <w:sz w:val="24"/>
          <w:szCs w:val="24"/>
          <w:rtl w:val="0"/>
          <w:lang w:val="it-IT"/>
        </w:rPr>
        <w:t xml:space="preserve"> emerge</w:t>
      </w:r>
      <w:r>
        <w:rPr>
          <w:rFonts w:ascii="Times New Roman" w:hAnsi="Times New Roman"/>
          <w:sz w:val="24"/>
          <w:szCs w:val="24"/>
          <w:rtl w:val="0"/>
          <w:lang w:val="en-US"/>
        </w:rPr>
        <w:t>nce of outer space as a key arena of competition in the ongoing geopolitical rivalry between the United States and China has raised serious concerns for space security, while also resulting in an intensification of</w:t>
      </w:r>
      <w:r>
        <w:rPr>
          <w:rFonts w:ascii="Times New Roman" w:hAnsi="Times New Roman"/>
          <w:sz w:val="24"/>
          <w:szCs w:val="24"/>
          <w:rtl w:val="0"/>
          <w:lang w:val="de-DE"/>
        </w:rPr>
        <w:t xml:space="preserve"> </w:t>
      </w:r>
      <w:r>
        <w:rPr>
          <w:rFonts w:ascii="Times New Roman" w:hAnsi="Times New Roman"/>
          <w:sz w:val="24"/>
          <w:szCs w:val="24"/>
          <w:rtl w:val="0"/>
          <w:lang w:val="en-US"/>
        </w:rPr>
        <w:t xml:space="preserve">competition between the two powers to shape the rules and norms for the governance of the domain. The changing geopolitical dynamics have led to strategic concerns among Middle Powers in space, namely, the European Union (EU), India, and Japan, resulting in a </w:t>
      </w:r>
      <w:r>
        <w:rPr>
          <w:rFonts w:ascii="Times New Roman" w:hAnsi="Times New Roman"/>
          <w:sz w:val="24"/>
          <w:szCs w:val="24"/>
          <w:rtl w:val="0"/>
          <w:lang w:val="de-DE"/>
        </w:rPr>
        <w:t>re</w:t>
      </w:r>
      <w:r>
        <w:rPr>
          <w:rFonts w:ascii="Times New Roman" w:hAnsi="Times New Roman"/>
          <w:sz w:val="24"/>
          <w:szCs w:val="24"/>
          <w:rtl w:val="0"/>
          <w:lang w:val="en-US"/>
        </w:rPr>
        <w:t xml:space="preserve">configuration of their space policies, postures, and partnerships as they seek to deal with the implications of Great Power competition in space and safeguard their interests. In examining their evolving space strategies, the paper argues that the emerging security dilemma(s) in outer space, fueled by great power rivalry, have pushed these powers to place greater emphasis on the security dimension of space. Additionally, it has also led them to adopt a much more proactive and </w:t>
      </w:r>
      <w:r>
        <w:rPr>
          <w:rFonts w:ascii="Times New Roman" w:hAnsi="Times New Roman"/>
          <w:sz w:val="24"/>
          <w:szCs w:val="24"/>
          <w:rtl w:val="0"/>
          <w:lang w:val="it-IT"/>
        </w:rPr>
        <w:t>participatory</w:t>
      </w:r>
      <w:r>
        <w:rPr>
          <w:rFonts w:ascii="Times New Roman" w:hAnsi="Times New Roman"/>
          <w:sz w:val="24"/>
          <w:szCs w:val="24"/>
          <w:rtl w:val="0"/>
          <w:lang w:val="en-US"/>
        </w:rPr>
        <w:t xml:space="preserve"> stance in the ongoing contest for influence over rules and norms for space governance. Ultimately, the paper contends that the transition to a multi-polar space order intersecting with Great Power competition has not only intensified militarisation and weaponisation of outer space but has also hampered efforts at formulating international rules and norms for space governance.</w:t>
      </w:r>
    </w:p>
    <w:p>
      <w:pPr>
        <w:pStyle w:val="Body A"/>
        <w:jc w:val="both"/>
        <w:rPr>
          <w:rFonts w:ascii="Times New Roman" w:cs="Times New Roman" w:hAnsi="Times New Roman" w:eastAsia="Times New Roman"/>
          <w:sz w:val="24"/>
          <w:szCs w:val="24"/>
          <w:lang w:val="en-US"/>
        </w:rPr>
      </w:pPr>
    </w:p>
    <w:p>
      <w:pPr>
        <w:pStyle w:val="Body A"/>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Keywords: Great Powers, Competition, Outer Space, Middle Powers, Strategies </w:t>
      </w:r>
    </w:p>
    <w:p>
      <w:pPr>
        <w:pStyle w:val="Body A"/>
        <w:jc w:val="both"/>
        <w:rPr>
          <w:rFonts w:ascii="Times New Roman" w:cs="Times New Roman" w:hAnsi="Times New Roman" w:eastAsia="Times New Roman"/>
          <w:sz w:val="24"/>
          <w:szCs w:val="24"/>
        </w:rPr>
      </w:pPr>
    </w:p>
    <w:p>
      <w:pPr>
        <w:pStyle w:val="Body A"/>
        <w:jc w:val="both"/>
        <w:rPr>
          <w:rFonts w:ascii="Times New Roman" w:cs="Times New Roman" w:hAnsi="Times New Roman" w:eastAsia="Times New Roman"/>
          <w:lang w:val="fr-FR"/>
        </w:rPr>
      </w:pPr>
    </w:p>
    <w:p>
      <w:pPr>
        <w:pStyle w:val="Body A"/>
        <w:jc w:val="both"/>
        <w:rPr>
          <w:rFonts w:ascii="Times New Roman" w:cs="Times New Roman" w:hAnsi="Times New Roman" w:eastAsia="Times New Roman"/>
          <w:lang w:val="fr-FR"/>
        </w:rPr>
      </w:pPr>
    </w:p>
    <w:p>
      <w:pPr>
        <w:pStyle w:val="Body A"/>
        <w:jc w:val="both"/>
        <w:rPr>
          <w:rFonts w:ascii="Times New Roman" w:cs="Times New Roman" w:hAnsi="Times New Roman" w:eastAsia="Times New Roman"/>
          <w:lang w:val="fr-FR"/>
        </w:rPr>
      </w:pPr>
    </w:p>
    <w:p>
      <w:pPr>
        <w:pStyle w:val="Body A"/>
        <w:jc w:val="both"/>
        <w:rPr>
          <w:rFonts w:ascii="Times New Roman" w:cs="Times New Roman" w:hAnsi="Times New Roman" w:eastAsia="Times New Roman"/>
          <w:lang w:val="fr-FR"/>
        </w:rPr>
      </w:pPr>
    </w:p>
    <w:p>
      <w:pPr>
        <w:pStyle w:val="Body A"/>
        <w:rPr>
          <w:rFonts w:ascii="Times New Roman" w:cs="Times New Roman" w:hAnsi="Times New Roman" w:eastAsia="Times New Roman"/>
          <w:b w:val="1"/>
          <w:bCs w:val="1"/>
          <w:sz w:val="28"/>
          <w:szCs w:val="28"/>
          <w:lang w:val="fr-FR"/>
        </w:rPr>
      </w:pPr>
      <w:r>
        <w:rPr>
          <w:rFonts w:ascii="Times New Roman" w:hAnsi="Times New Roman"/>
          <w:b w:val="1"/>
          <w:bCs w:val="1"/>
          <w:sz w:val="28"/>
          <w:szCs w:val="28"/>
          <w:rtl w:val="0"/>
          <w:lang w:val="en-US"/>
        </w:rPr>
        <w:t xml:space="preserve">INTRODUCTION </w:t>
      </w:r>
    </w:p>
    <w:p>
      <w:pPr>
        <w:pStyle w:val="Body A"/>
        <w:jc w:val="both"/>
        <w:rPr>
          <w:rFonts w:ascii="Times New Roman" w:cs="Times New Roman" w:hAnsi="Times New Roman" w:eastAsia="Times New Roman"/>
          <w:b w:val="1"/>
          <w:bCs w:val="1"/>
          <w:sz w:val="24"/>
          <w:szCs w:val="24"/>
          <w:u w:val="single"/>
          <w:lang w:val="fr-FR"/>
        </w:rPr>
      </w:pPr>
    </w:p>
    <w:p>
      <w:pPr>
        <w:pStyle w:val="Body A"/>
        <w:jc w:val="both"/>
        <w:rPr>
          <w:rFonts w:ascii="Times New Roman" w:cs="Times New Roman" w:hAnsi="Times New Roman" w:eastAsia="Times New Roman"/>
          <w:sz w:val="24"/>
          <w:szCs w:val="24"/>
        </w:rPr>
      </w:pPr>
      <w:r>
        <w:rPr>
          <w:rFonts w:ascii="Times New Roman" w:hAnsi="Times New Roman"/>
          <w:sz w:val="24"/>
          <w:szCs w:val="24"/>
          <w:rtl w:val="0"/>
          <w:lang w:val="en-US"/>
        </w:rPr>
        <w:t>Humankind</w:t>
      </w:r>
      <w:r>
        <w:rPr>
          <w:rFonts w:ascii="Arial Unicode MS" w:hAnsi="Arial Unicode MS" w:hint="default"/>
          <w:sz w:val="24"/>
          <w:szCs w:val="24"/>
          <w:rtl w:val="0"/>
          <w:lang w:val="de-DE"/>
        </w:rPr>
        <w:t>’</w:t>
      </w:r>
      <w:r>
        <w:rPr>
          <w:rFonts w:ascii="Times New Roman" w:hAnsi="Times New Roman"/>
          <w:sz w:val="24"/>
          <w:szCs w:val="24"/>
          <w:rtl w:val="0"/>
          <w:lang w:val="en-US"/>
        </w:rPr>
        <w:t>s forays into outer space began with the Soviet Union</w:t>
      </w:r>
      <w:r>
        <w:rPr>
          <w:rFonts w:ascii="Arial Unicode MS" w:hAnsi="Arial Unicode MS" w:hint="default"/>
          <w:sz w:val="24"/>
          <w:szCs w:val="24"/>
          <w:rtl w:val="0"/>
          <w:lang w:val="de-DE"/>
        </w:rPr>
        <w:t>’</w:t>
      </w:r>
      <w:r>
        <w:rPr>
          <w:rFonts w:ascii="Times New Roman" w:hAnsi="Times New Roman"/>
          <w:sz w:val="24"/>
          <w:szCs w:val="24"/>
          <w:rtl w:val="0"/>
          <w:lang w:val="en-US"/>
        </w:rPr>
        <w:t xml:space="preserve">s launch of Sputnik 1 in 1957, marking the onset of its Cold War-era space race with the United States. However, despite the ongoing competition, the two powers successfully negotiated the 1967 Outer Space Treaty (OST), heralding a period of relative stability in the domain (Dembling and Arons, </w:t>
      </w:r>
      <w:r>
        <w:rPr>
          <w:rFonts w:ascii="Times New Roman" w:hAnsi="Times New Roman"/>
          <w:sz w:val="24"/>
          <w:szCs w:val="24"/>
          <w:rtl w:val="0"/>
          <w:lang w:val="de-DE"/>
        </w:rPr>
        <w:t>1967</w:t>
      </w:r>
      <w:r>
        <w:rPr>
          <w:rFonts w:ascii="Times New Roman" w:hAnsi="Times New Roman"/>
          <w:sz w:val="24"/>
          <w:szCs w:val="24"/>
          <w:rtl w:val="0"/>
          <w:lang w:val="en-US"/>
        </w:rPr>
        <w:t xml:space="preserve">; </w:t>
      </w:r>
      <w:r>
        <w:rPr>
          <w:rFonts w:ascii="Times New Roman" w:hAnsi="Times New Roman"/>
          <w:sz w:val="24"/>
          <w:szCs w:val="24"/>
          <w:rtl w:val="0"/>
          <w:lang w:val="sv-SE"/>
        </w:rPr>
        <w:t>Nucera</w:t>
      </w:r>
      <w:r>
        <w:rPr>
          <w:rFonts w:ascii="Times New Roman" w:hAnsi="Times New Roman"/>
          <w:sz w:val="24"/>
          <w:szCs w:val="24"/>
          <w:rtl w:val="0"/>
          <w:lang w:val="en-US"/>
        </w:rPr>
        <w:t>,</w:t>
      </w:r>
      <w:r>
        <w:rPr>
          <w:rFonts w:ascii="Times New Roman" w:hAnsi="Times New Roman"/>
          <w:sz w:val="24"/>
          <w:szCs w:val="24"/>
          <w:rtl w:val="0"/>
          <w:lang w:val="de-DE"/>
        </w:rPr>
        <w:t xml:space="preserve"> 2019: 2</w:t>
      </w:r>
      <w:r>
        <w:rPr>
          <w:rFonts w:ascii="Times New Roman" w:hAnsi="Times New Roman"/>
          <w:sz w:val="24"/>
          <w:szCs w:val="24"/>
          <w:rtl w:val="0"/>
          <w:lang w:val="en-US"/>
        </w:rPr>
        <w:t>;</w:t>
      </w:r>
      <w:r>
        <w:rPr>
          <w:rFonts w:ascii="Times New Roman" w:hAnsi="Times New Roman"/>
          <w:sz w:val="24"/>
          <w:szCs w:val="24"/>
          <w:rtl w:val="0"/>
          <w:lang w:val="de-DE"/>
        </w:rPr>
        <w:t xml:space="preserve"> Lai</w:t>
      </w:r>
      <w:r>
        <w:rPr>
          <w:rFonts w:ascii="Times New Roman" w:hAnsi="Times New Roman"/>
          <w:sz w:val="24"/>
          <w:szCs w:val="24"/>
          <w:rtl w:val="0"/>
          <w:lang w:val="en-US"/>
        </w:rPr>
        <w:t xml:space="preserve">, 2021). The end of the Cold War ushered in a unipolar moment, marked by the emergence of the U.S. as the dominant power in outer space, laying the groundwork for the ongoing </w:t>
      </w:r>
      <w:r>
        <w:rPr>
          <w:rFonts w:ascii="Times New Roman" w:hAnsi="Times New Roman"/>
          <w:sz w:val="24"/>
          <w:szCs w:val="24"/>
          <w:rtl w:val="0"/>
          <w:lang w:val="it-IT"/>
        </w:rPr>
        <w:t xml:space="preserve">US-China geopolitical </w:t>
      </w:r>
      <w:r>
        <w:rPr>
          <w:rFonts w:ascii="Times New Roman" w:hAnsi="Times New Roman"/>
          <w:sz w:val="24"/>
          <w:szCs w:val="24"/>
          <w:rtl w:val="0"/>
          <w:lang w:val="en-US"/>
        </w:rPr>
        <w:t>rivalry in space.</w:t>
      </w:r>
    </w:p>
    <w:p>
      <w:pPr>
        <w:pStyle w:val="Body A"/>
        <w:jc w:val="both"/>
        <w:rPr>
          <w:rFonts w:ascii="Times New Roman" w:cs="Times New Roman" w:hAnsi="Times New Roman" w:eastAsia="Times New Roman"/>
          <w:sz w:val="24"/>
          <w:szCs w:val="24"/>
        </w:rPr>
      </w:pPr>
    </w:p>
    <w:p>
      <w:pPr>
        <w:pStyle w:val="Body A"/>
        <w:jc w:val="both"/>
        <w:rPr>
          <w:rFonts w:ascii="Times New Roman" w:cs="Times New Roman" w:hAnsi="Times New Roman" w:eastAsia="Times New Roman"/>
          <w:outline w:val="0"/>
          <w:color w:val="0d0d0d"/>
          <w:sz w:val="24"/>
          <w:szCs w:val="24"/>
          <w:u w:color="0d0d0d"/>
          <w:shd w:val="clear" w:color="auto" w:fill="ffffff"/>
          <w14:textFill>
            <w14:solidFill>
              <w14:srgbClr w14:val="0D0D0D"/>
            </w14:solidFill>
          </w14:textFill>
        </w:rPr>
      </w:pPr>
      <w:r>
        <w:rPr>
          <w:rFonts w:ascii="Times New Roman" w:hAnsi="Times New Roman"/>
          <w:sz w:val="24"/>
          <w:szCs w:val="24"/>
          <w:rtl w:val="0"/>
          <w:lang w:val="en-US"/>
        </w:rPr>
        <w:t>The US</w:t>
      </w:r>
      <w:r>
        <w:rPr>
          <w:rFonts w:ascii="Times New Roman" w:hAnsi="Times New Roman" w:hint="default"/>
          <w:sz w:val="24"/>
          <w:szCs w:val="24"/>
          <w:rtl w:val="0"/>
          <w:lang w:val="en-US"/>
        </w:rPr>
        <w:t>’</w:t>
      </w:r>
      <w:r>
        <w:rPr>
          <w:rFonts w:ascii="Times New Roman" w:hAnsi="Times New Roman"/>
          <w:sz w:val="24"/>
          <w:szCs w:val="24"/>
          <w:rtl w:val="0"/>
          <w:lang w:val="en-US"/>
        </w:rPr>
        <w:t>s rise</w:t>
      </w:r>
      <w:r>
        <w:rPr>
          <w:rFonts w:ascii="Times New Roman" w:hAnsi="Times New Roman"/>
          <w:sz w:val="24"/>
          <w:szCs w:val="24"/>
          <w:rtl w:val="0"/>
          <w:lang w:val="de-DE"/>
        </w:rPr>
        <w:t xml:space="preserve"> </w:t>
      </w:r>
      <w:r>
        <w:rPr>
          <w:rFonts w:ascii="Times New Roman" w:hAnsi="Times New Roman"/>
          <w:sz w:val="24"/>
          <w:szCs w:val="24"/>
          <w:rtl w:val="0"/>
          <w:lang w:val="en-US"/>
        </w:rPr>
        <w:t xml:space="preserve">as the preponderant space power has been accompanied by an increasing focus on the militarisation and weaponisation of the domain. Its extensive reliance on space assets in the 1991 Gulf War, dubbed as the first </w:t>
      </w:r>
      <w:r>
        <w:rPr>
          <w:rFonts w:ascii="Arial Unicode MS" w:hAnsi="Arial Unicode MS" w:hint="default"/>
          <w:sz w:val="24"/>
          <w:szCs w:val="24"/>
          <w:rtl w:val="0"/>
          <w:lang w:val="de-DE"/>
        </w:rPr>
        <w:t>‘</w:t>
      </w:r>
      <w:r>
        <w:rPr>
          <w:rFonts w:ascii="Times New Roman" w:hAnsi="Times New Roman"/>
          <w:sz w:val="24"/>
          <w:szCs w:val="24"/>
          <w:rtl w:val="0"/>
          <w:lang w:val="en-US"/>
        </w:rPr>
        <w:t>Space War</w:t>
      </w:r>
      <w:r>
        <w:rPr>
          <w:rFonts w:ascii="Arial Unicode MS" w:hAnsi="Arial Unicode MS" w:hint="default"/>
          <w:sz w:val="24"/>
          <w:szCs w:val="24"/>
          <w:rtl w:val="0"/>
          <w:lang w:val="de-DE"/>
        </w:rPr>
        <w:t>’</w:t>
      </w:r>
      <w:r>
        <w:rPr>
          <w:rFonts w:ascii="Times New Roman" w:hAnsi="Times New Roman"/>
          <w:sz w:val="24"/>
          <w:szCs w:val="24"/>
          <w:rtl w:val="0"/>
          <w:lang w:val="en-US"/>
        </w:rPr>
        <w:t>, and in subsequent conflicts led to China</w:t>
      </w:r>
      <w:r>
        <w:rPr>
          <w:rFonts w:ascii="Times New Roman" w:hAnsi="Times New Roman" w:hint="default"/>
          <w:sz w:val="24"/>
          <w:szCs w:val="24"/>
          <w:rtl w:val="0"/>
          <w:lang w:val="en-US"/>
        </w:rPr>
        <w:t>’</w:t>
      </w:r>
      <w:r>
        <w:rPr>
          <w:rFonts w:ascii="Times New Roman" w:hAnsi="Times New Roman"/>
          <w:sz w:val="24"/>
          <w:szCs w:val="24"/>
          <w:rtl w:val="0"/>
          <w:lang w:val="en-US"/>
        </w:rPr>
        <w:t xml:space="preserve">s </w:t>
      </w:r>
      <w:r>
        <w:rPr>
          <w:rFonts w:ascii="Times New Roman" w:hAnsi="Times New Roman"/>
          <w:outline w:val="0"/>
          <w:color w:val="0d0d0d"/>
          <w:sz w:val="24"/>
          <w:szCs w:val="24"/>
          <w:u w:color="0d0d0d"/>
          <w:shd w:val="clear" w:color="auto" w:fill="ffffff"/>
          <w:rtl w:val="0"/>
          <w:lang w:val="en-US"/>
          <w14:textFill>
            <w14:solidFill>
              <w14:srgbClr w14:val="0D0D0D"/>
            </w14:solidFill>
          </w14:textFill>
        </w:rPr>
        <w:t>growing recognition of the critical role played by space capabilities in modern warfare, resulting in increasing attention to the development of military space capabilities (Shambaugh, 2002; Cheng, 2011, pp. 159, 161; Harrison et al., 2017, p. 28; Liu 2021). Further, Washington</w:t>
      </w:r>
      <w:r>
        <w:rPr>
          <w:rFonts w:ascii="Arial Unicode MS" w:hAnsi="Arial Unicode MS" w:hint="default"/>
          <w:outline w:val="0"/>
          <w:color w:val="0d0d0d"/>
          <w:sz w:val="24"/>
          <w:szCs w:val="24"/>
          <w:u w:color="0d0d0d"/>
          <w:shd w:val="clear" w:color="auto" w:fill="ffffff"/>
          <w:rtl w:val="0"/>
          <w:lang w:val="de-DE"/>
          <w14:textFill>
            <w14:solidFill>
              <w14:srgbClr w14:val="0D0D0D"/>
            </w14:solidFill>
          </w14:textFill>
        </w:rPr>
        <w:t>’</w:t>
      </w:r>
      <w:r>
        <w:rPr>
          <w:rFonts w:ascii="Times New Roman" w:hAnsi="Times New Roman"/>
          <w:outline w:val="0"/>
          <w:color w:val="0d0d0d"/>
          <w:sz w:val="24"/>
          <w:szCs w:val="24"/>
          <w:u w:color="0d0d0d"/>
          <w:shd w:val="clear" w:color="auto" w:fill="ffffff"/>
          <w:rtl w:val="0"/>
          <w:lang w:val="en-US"/>
          <w14:textFill>
            <w14:solidFill>
              <w14:srgbClr w14:val="0D0D0D"/>
            </w14:solidFill>
          </w14:textFill>
        </w:rPr>
        <w:t xml:space="preserve">s renewed push toward space weaponisation, with a growing commitment to the development of a Ballistic Missile Defence (BMD) system, and its subsequent withdrawal from the </w:t>
      </w:r>
      <w:r>
        <w:rPr>
          <w:rFonts w:ascii="Times New Roman" w:hAnsi="Times New Roman"/>
          <w:outline w:val="0"/>
          <w:color w:val="0d0d0d"/>
          <w:sz w:val="24"/>
          <w:szCs w:val="24"/>
          <w:u w:color="0d0d0d"/>
          <w:shd w:val="clear" w:color="auto" w:fill="ffffff"/>
          <w:rtl w:val="0"/>
          <w:lang w:val="de-DE"/>
          <w14:textFill>
            <w14:solidFill>
              <w14:srgbClr w14:val="0D0D0D"/>
            </w14:solidFill>
          </w14:textFill>
        </w:rPr>
        <w:t>Anti-Ballistic</w:t>
      </w:r>
      <w:r>
        <w:rPr>
          <w:rFonts w:ascii="Times New Roman" w:hAnsi="Times New Roman"/>
          <w:outline w:val="0"/>
          <w:color w:val="0d0d0d"/>
          <w:sz w:val="24"/>
          <w:szCs w:val="24"/>
          <w:u w:color="0d0d0d"/>
          <w:shd w:val="clear" w:color="auto" w:fill="ffffff"/>
          <w:rtl w:val="0"/>
          <w:lang w:val="en-US"/>
          <w14:textFill>
            <w14:solidFill>
              <w14:srgbClr w14:val="0D0D0D"/>
            </w14:solidFill>
          </w14:textFill>
        </w:rPr>
        <w:t xml:space="preserve"> Missile (ABM) treaty in 2002 sent alarm bells ringing in Beijing (Steff &amp; Khoo, 2014, p. 240). The 2006 US National Space Policy called for developing means to deny</w:t>
      </w:r>
      <w:r>
        <w:rPr>
          <w:rFonts w:ascii="Times New Roman" w:hAnsi="Times New Roman"/>
          <w:outline w:val="0"/>
          <w:color w:val="0d0d0d"/>
          <w:sz w:val="24"/>
          <w:szCs w:val="24"/>
          <w:u w:color="0d0d0d"/>
          <w:shd w:val="clear" w:color="auto" w:fill="ffffff"/>
          <w:rtl w:val="0"/>
          <w:lang w:val="de-DE"/>
          <w14:textFill>
            <w14:solidFill>
              <w14:srgbClr w14:val="0D0D0D"/>
            </w14:solidFill>
          </w14:textFill>
        </w:rPr>
        <w:t xml:space="preserve"> </w:t>
      </w:r>
      <w:r>
        <w:rPr>
          <w:rFonts w:ascii="Times New Roman" w:hAnsi="Times New Roman"/>
          <w:outline w:val="0"/>
          <w:color w:val="0d0d0d"/>
          <w:sz w:val="24"/>
          <w:szCs w:val="24"/>
          <w:u w:color="0d0d0d"/>
          <w:shd w:val="clear" w:color="auto" w:fill="ffffff"/>
          <w:rtl w:val="0"/>
          <w:lang w:val="en-US"/>
          <w14:textFill>
            <w14:solidFill>
              <w14:srgbClr w14:val="0D0D0D"/>
            </w14:solidFill>
          </w14:textFill>
        </w:rPr>
        <w:t>adversaries the use of space in ways deemed hostile to US national interests and opposed the development of any new arms control agreements that might impose limits on its</w:t>
      </w:r>
      <w:r>
        <w:rPr>
          <w:rFonts w:ascii="Times New Roman" w:hAnsi="Times New Roman"/>
          <w:outline w:val="0"/>
          <w:color w:val="0d0d0d"/>
          <w:sz w:val="24"/>
          <w:szCs w:val="24"/>
          <w:u w:color="0d0d0d"/>
          <w:shd w:val="clear" w:color="auto" w:fill="ffffff"/>
          <w:rtl w:val="0"/>
          <w:lang w:val="de-DE"/>
          <w14:textFill>
            <w14:solidFill>
              <w14:srgbClr w14:val="0D0D0D"/>
            </w14:solidFill>
          </w14:textFill>
        </w:rPr>
        <w:t xml:space="preserve"> </w:t>
      </w:r>
      <w:r>
        <w:rPr>
          <w:rFonts w:ascii="Times New Roman" w:hAnsi="Times New Roman"/>
          <w:outline w:val="0"/>
          <w:color w:val="0d0d0d"/>
          <w:sz w:val="24"/>
          <w:szCs w:val="24"/>
          <w:u w:color="0d0d0d"/>
          <w:shd w:val="clear" w:color="auto" w:fill="ffffff"/>
          <w:rtl w:val="0"/>
          <w:lang w:val="en-US"/>
          <w14:textFill>
            <w14:solidFill>
              <w14:srgbClr w14:val="0D0D0D"/>
            </w14:solidFill>
          </w14:textFill>
        </w:rPr>
        <w:t>space activities (U.S. National Space Policy, 2006, pp. 2). These developments raised significant concerns in the PRC, especially regarding the efficacy of its nuclear deterrent,</w:t>
      </w:r>
      <w:r>
        <w:rPr>
          <w:rFonts w:ascii="Times New Roman" w:hAnsi="Times New Roman"/>
          <w:outline w:val="0"/>
          <w:color w:val="0d0d0d"/>
          <w:sz w:val="24"/>
          <w:szCs w:val="24"/>
          <w:u w:color="0d0d0d"/>
          <w:shd w:val="clear" w:color="auto" w:fill="ffffff"/>
          <w:rtl w:val="0"/>
          <w:lang w:val="de-DE"/>
          <w14:textFill>
            <w14:solidFill>
              <w14:srgbClr w14:val="0D0D0D"/>
            </w14:solidFill>
          </w14:textFill>
        </w:rPr>
        <w:t xml:space="preserve"> </w:t>
      </w:r>
      <w:r>
        <w:rPr>
          <w:rFonts w:ascii="Times New Roman" w:hAnsi="Times New Roman"/>
          <w:outline w:val="0"/>
          <w:color w:val="0d0d0d"/>
          <w:sz w:val="24"/>
          <w:szCs w:val="24"/>
          <w:u w:color="0d0d0d"/>
          <w:shd w:val="clear" w:color="auto" w:fill="ffffff"/>
          <w:rtl w:val="0"/>
          <w:lang w:val="en-US"/>
          <w14:textFill>
            <w14:solidFill>
              <w14:srgbClr w14:val="0D0D0D"/>
            </w14:solidFill>
          </w14:textFill>
        </w:rPr>
        <w:t xml:space="preserve">and their potential to trigger a destabilising arms race in space (Zhang, </w:t>
      </w:r>
      <w:r>
        <w:rPr>
          <w:rFonts w:ascii="Times New Roman" w:hAnsi="Times New Roman"/>
          <w:outline w:val="0"/>
          <w:color w:val="0d0d0d"/>
          <w:sz w:val="24"/>
          <w:szCs w:val="24"/>
          <w:u w:color="0d0d0d"/>
          <w:shd w:val="clear" w:color="auto" w:fill="ffffff"/>
          <w:rtl w:val="0"/>
          <w:lang w:val="de-DE"/>
          <w14:textFill>
            <w14:solidFill>
              <w14:srgbClr w14:val="0D0D0D"/>
            </w14:solidFill>
          </w14:textFill>
        </w:rPr>
        <w:t>200</w:t>
      </w:r>
      <w:r>
        <w:rPr>
          <w:rFonts w:ascii="Times New Roman" w:hAnsi="Times New Roman"/>
          <w:outline w:val="0"/>
          <w:color w:val="0d0d0d"/>
          <w:sz w:val="24"/>
          <w:szCs w:val="24"/>
          <w:u w:color="0d0d0d"/>
          <w:shd w:val="clear" w:color="auto" w:fill="ffffff"/>
          <w:rtl w:val="0"/>
          <w:lang w:val="en-US"/>
          <w14:textFill>
            <w14:solidFill>
              <w14:srgbClr w14:val="0D0D0D"/>
            </w14:solidFill>
          </w14:textFill>
        </w:rPr>
        <w:t xml:space="preserve">6, pp. </w:t>
      </w:r>
      <w:r>
        <w:rPr>
          <w:rFonts w:ascii="Times New Roman" w:hAnsi="Times New Roman"/>
          <w:outline w:val="0"/>
          <w:color w:val="0d0d0d"/>
          <w:sz w:val="24"/>
          <w:szCs w:val="24"/>
          <w:u w:color="0d0d0d"/>
          <w:shd w:val="clear" w:color="auto" w:fill="ffffff"/>
          <w:rtl w:val="0"/>
          <w:lang w:val="de-DE"/>
          <w14:textFill>
            <w14:solidFill>
              <w14:srgbClr w14:val="0D0D0D"/>
            </w14:solidFill>
          </w14:textFill>
        </w:rPr>
        <w:t>26</w:t>
      </w:r>
      <w:r>
        <w:rPr>
          <w:rFonts w:ascii="Times New Roman" w:hAnsi="Times New Roman"/>
          <w:outline w:val="0"/>
          <w:color w:val="0d0d0d"/>
          <w:sz w:val="24"/>
          <w:szCs w:val="24"/>
          <w:u w:color="0d0d0d"/>
          <w:shd w:val="clear" w:color="auto" w:fill="ffffff"/>
          <w:rtl w:val="0"/>
          <w:lang w:val="en-US"/>
          <w14:textFill>
            <w14:solidFill>
              <w14:srgbClr w14:val="0D0D0D"/>
            </w14:solidFill>
          </w14:textFill>
        </w:rPr>
        <w:t xml:space="preserve">; Hagt, 2006, pp. 85). </w:t>
      </w:r>
    </w:p>
    <w:p>
      <w:pPr>
        <w:pStyle w:val="Body A"/>
        <w:jc w:val="both"/>
        <w:rPr>
          <w:rFonts w:ascii="Times New Roman" w:cs="Times New Roman" w:hAnsi="Times New Roman" w:eastAsia="Times New Roman"/>
          <w:outline w:val="0"/>
          <w:color w:val="0d0d0d"/>
          <w:sz w:val="24"/>
          <w:szCs w:val="24"/>
          <w:u w:color="0d0d0d"/>
          <w:shd w:val="clear" w:color="auto" w:fill="ffffff"/>
          <w14:textFill>
            <w14:solidFill>
              <w14:srgbClr w14:val="0D0D0D"/>
            </w14:solidFill>
          </w14:textFill>
        </w:rPr>
      </w:pPr>
    </w:p>
    <w:p>
      <w:pPr>
        <w:pStyle w:val="Body A"/>
        <w:jc w:val="both"/>
        <w:rPr>
          <w:rFonts w:ascii="Times New Roman" w:cs="Times New Roman" w:hAnsi="Times New Roman" w:eastAsia="Times New Roman"/>
          <w:sz w:val="24"/>
          <w:szCs w:val="24"/>
        </w:rPr>
      </w:pPr>
      <w:r>
        <w:rPr>
          <w:rFonts w:ascii="Times New Roman" w:hAnsi="Times New Roman"/>
          <w:outline w:val="0"/>
          <w:color w:val="0d0d0d"/>
          <w:sz w:val="24"/>
          <w:szCs w:val="24"/>
          <w:u w:color="0d0d0d"/>
          <w:shd w:val="clear" w:color="auto" w:fill="ffffff"/>
          <w:rtl w:val="0"/>
          <w:lang w:val="en-US"/>
          <w14:textFill>
            <w14:solidFill>
              <w14:srgbClr w14:val="0D0D0D"/>
            </w14:solidFill>
          </w14:textFill>
        </w:rPr>
        <w:t>A major turning point came with China</w:t>
      </w:r>
      <w:r>
        <w:rPr>
          <w:rFonts w:ascii="Times New Roman" w:hAnsi="Times New Roman" w:hint="default"/>
          <w:outline w:val="0"/>
          <w:color w:val="0d0d0d"/>
          <w:sz w:val="24"/>
          <w:szCs w:val="24"/>
          <w:u w:color="0d0d0d"/>
          <w:shd w:val="clear" w:color="auto" w:fill="ffffff"/>
          <w:rtl w:val="0"/>
          <w:lang w:val="en-US"/>
          <w14:textFill>
            <w14:solidFill>
              <w14:srgbClr w14:val="0D0D0D"/>
            </w14:solidFill>
          </w14:textFill>
        </w:rPr>
        <w:t>’</w:t>
      </w:r>
      <w:r>
        <w:rPr>
          <w:rFonts w:ascii="Times New Roman" w:hAnsi="Times New Roman"/>
          <w:outline w:val="0"/>
          <w:color w:val="0d0d0d"/>
          <w:sz w:val="24"/>
          <w:szCs w:val="24"/>
          <w:u w:color="0d0d0d"/>
          <w:shd w:val="clear" w:color="auto" w:fill="ffffff"/>
          <w:rtl w:val="0"/>
          <w:lang w:val="en-US"/>
          <w14:textFill>
            <w14:solidFill>
              <w14:srgbClr w14:val="0D0D0D"/>
            </w14:solidFill>
          </w14:textFill>
        </w:rPr>
        <w:t xml:space="preserve">s conduct of its first Anti-satellite (ASAT) test in 2007. In February 2008, Washington conducted its ASAT test, </w:t>
      </w:r>
      <w:r>
        <w:rPr>
          <w:rFonts w:ascii="Times New Roman" w:hAnsi="Times New Roman" w:hint="default"/>
          <w:outline w:val="0"/>
          <w:color w:val="0d0d0d"/>
          <w:sz w:val="24"/>
          <w:szCs w:val="24"/>
          <w:u w:color="0d0d0d"/>
          <w:shd w:val="clear" w:color="auto" w:fill="ffffff"/>
          <w:rtl w:val="0"/>
          <w:lang w:val="en-US"/>
          <w14:textFill>
            <w14:solidFill>
              <w14:srgbClr w14:val="0D0D0D"/>
            </w14:solidFill>
          </w14:textFill>
        </w:rPr>
        <w:t>‘</w:t>
      </w:r>
      <w:r>
        <w:rPr>
          <w:rFonts w:ascii="Times New Roman" w:hAnsi="Times New Roman"/>
          <w:outline w:val="0"/>
          <w:color w:val="0d0d0d"/>
          <w:sz w:val="24"/>
          <w:szCs w:val="24"/>
          <w:u w:color="0d0d0d"/>
          <w:shd w:val="clear" w:color="auto" w:fill="ffffff"/>
          <w:rtl w:val="0"/>
          <w:lang w:val="en-US"/>
          <w14:textFill>
            <w14:solidFill>
              <w14:srgbClr w14:val="0D0D0D"/>
            </w14:solidFill>
          </w14:textFill>
        </w:rPr>
        <w:t>Operation Burnt Frost</w:t>
      </w:r>
      <w:r>
        <w:rPr>
          <w:rFonts w:ascii="Times New Roman" w:hAnsi="Times New Roman" w:hint="default"/>
          <w:outline w:val="0"/>
          <w:color w:val="0d0d0d"/>
          <w:sz w:val="24"/>
          <w:szCs w:val="24"/>
          <w:u w:color="0d0d0d"/>
          <w:shd w:val="clear" w:color="auto" w:fill="ffffff"/>
          <w:rtl w:val="0"/>
          <w:lang w:val="en-US"/>
          <w14:textFill>
            <w14:solidFill>
              <w14:srgbClr w14:val="0D0D0D"/>
            </w14:solidFill>
          </w14:textFill>
        </w:rPr>
        <w:t>’</w:t>
      </w:r>
      <w:r>
        <w:rPr>
          <w:rFonts w:ascii="Times New Roman" w:hAnsi="Times New Roman"/>
          <w:outline w:val="0"/>
          <w:color w:val="0d0d0d"/>
          <w:sz w:val="24"/>
          <w:szCs w:val="24"/>
          <w:u w:color="0d0d0d"/>
          <w:shd w:val="clear" w:color="auto" w:fill="ffffff"/>
          <w:rtl w:val="0"/>
          <w:lang w:val="de-DE"/>
          <w14:textFill>
            <w14:solidFill>
              <w14:srgbClr w14:val="0D0D0D"/>
            </w14:solidFill>
          </w14:textFill>
        </w:rPr>
        <w:t>,</w:t>
      </w:r>
      <w:r>
        <w:rPr>
          <w:rFonts w:ascii="Times New Roman" w:hAnsi="Times New Roman"/>
          <w:outline w:val="0"/>
          <w:color w:val="0d0d0d"/>
          <w:sz w:val="24"/>
          <w:szCs w:val="24"/>
          <w:u w:color="0d0d0d"/>
          <w:shd w:val="clear" w:color="auto" w:fill="ffffff"/>
          <w:rtl w:val="0"/>
          <w:lang w:val="en-US"/>
          <w14:textFill>
            <w14:solidFill>
              <w14:srgbClr w14:val="0D0D0D"/>
            </w14:solidFill>
          </w14:textFill>
        </w:rPr>
        <w:t xml:space="preserve"> viewed by many as a reaction to the Chinese test (Johnson-Freese, 2013; Day</w:t>
      </w:r>
      <w:r>
        <w:rPr>
          <w:rFonts w:ascii="Times New Roman" w:hAnsi="Times New Roman"/>
          <w:outline w:val="0"/>
          <w:color w:val="0d0d0d"/>
          <w:sz w:val="24"/>
          <w:szCs w:val="24"/>
          <w:u w:color="0d0d0d"/>
          <w:shd w:val="clear" w:color="auto" w:fill="ffffff"/>
          <w:rtl w:val="0"/>
          <w:lang w:val="de-DE"/>
          <w14:textFill>
            <w14:solidFill>
              <w14:srgbClr w14:val="0D0D0D"/>
            </w14:solidFill>
          </w14:textFill>
        </w:rPr>
        <w:t>,</w:t>
      </w:r>
      <w:r>
        <w:rPr>
          <w:rFonts w:ascii="Times New Roman" w:hAnsi="Times New Roman"/>
          <w:outline w:val="0"/>
          <w:color w:val="0d0d0d"/>
          <w:sz w:val="24"/>
          <w:szCs w:val="24"/>
          <w:u w:color="0d0d0d"/>
          <w:shd w:val="clear" w:color="auto" w:fill="ffffff"/>
          <w:rtl w:val="0"/>
          <w:lang w:val="en-US"/>
          <w14:textFill>
            <w14:solidFill>
              <w14:srgbClr w14:val="0D0D0D"/>
            </w14:solidFill>
          </w14:textFill>
        </w:rPr>
        <w:t xml:space="preserve"> 2021). </w:t>
      </w:r>
      <w:r>
        <w:rPr>
          <w:rFonts w:ascii="Times New Roman" w:hAnsi="Times New Roman"/>
          <w:sz w:val="24"/>
          <w:szCs w:val="24"/>
          <w:rtl w:val="0"/>
          <w:lang w:val="de-DE"/>
        </w:rPr>
        <w:t>China</w:t>
      </w:r>
      <w:r>
        <w:rPr>
          <w:rFonts w:ascii="Arial Unicode MS" w:hAnsi="Arial Unicode MS" w:hint="default"/>
          <w:sz w:val="24"/>
          <w:szCs w:val="24"/>
          <w:rtl w:val="0"/>
          <w:lang w:val="de-DE"/>
        </w:rPr>
        <w:t>’</w:t>
      </w:r>
      <w:r>
        <w:rPr>
          <w:rFonts w:ascii="Times New Roman" w:hAnsi="Times New Roman"/>
          <w:sz w:val="24"/>
          <w:szCs w:val="24"/>
          <w:rtl w:val="0"/>
          <w:lang w:val="de-DE"/>
        </w:rPr>
        <w:t>s</w:t>
      </w:r>
      <w:r>
        <w:rPr>
          <w:rFonts w:ascii="Times New Roman" w:hAnsi="Times New Roman"/>
          <w:sz w:val="24"/>
          <w:szCs w:val="24"/>
          <w:rtl w:val="0"/>
          <w:lang w:val="en-US"/>
        </w:rPr>
        <w:t xml:space="preserve"> rise as a major space power, particularly advancements in its military space and counterspace capabilities, over the past two decades</w:t>
      </w:r>
      <w:r>
        <w:rPr>
          <w:rFonts w:ascii="Times New Roman" w:hAnsi="Times New Roman"/>
          <w:sz w:val="24"/>
          <w:szCs w:val="24"/>
          <w:rtl w:val="0"/>
          <w:lang w:val="de-DE"/>
        </w:rPr>
        <w:t>,</w:t>
      </w:r>
      <w:r>
        <w:rPr>
          <w:rFonts w:ascii="Times New Roman" w:hAnsi="Times New Roman"/>
          <w:sz w:val="24"/>
          <w:szCs w:val="24"/>
          <w:rtl w:val="0"/>
          <w:lang w:val="en-US"/>
        </w:rPr>
        <w:t xml:space="preserve"> has been widely perceived</w:t>
      </w:r>
      <w:r>
        <w:rPr>
          <w:rFonts w:ascii="Times New Roman" w:hAnsi="Times New Roman"/>
          <w:sz w:val="24"/>
          <w:szCs w:val="24"/>
          <w:rtl w:val="0"/>
          <w:lang w:val="de-DE"/>
        </w:rPr>
        <w:t xml:space="preserve"> </w:t>
      </w:r>
      <w:r>
        <w:rPr>
          <w:rFonts w:ascii="Times New Roman" w:hAnsi="Times New Roman"/>
          <w:sz w:val="24"/>
          <w:szCs w:val="24"/>
          <w:rtl w:val="0"/>
          <w:lang w:val="en-US"/>
        </w:rPr>
        <w:t>in the US as a challenge to its long-held preponderance in the domain (Tellis, 2007; Harrison, 2019, p. 2; Rose, 2020, p. 5, Stokes et al., 2024; Schaffer &amp; Bingen, 2024).</w:t>
      </w:r>
      <w:r>
        <w:rPr>
          <w:rFonts w:ascii="Times New Roman" w:hAnsi="Times New Roman"/>
          <w:outline w:val="0"/>
          <w:color w:val="0d0d0d"/>
          <w:sz w:val="24"/>
          <w:szCs w:val="24"/>
          <w:u w:color="0d0d0d"/>
          <w:shd w:val="clear" w:color="auto" w:fill="ffffff"/>
          <w:rtl w:val="0"/>
          <w:lang w:val="en-US"/>
          <w14:textFill>
            <w14:solidFill>
              <w14:srgbClr w14:val="0D0D0D"/>
            </w14:solidFill>
          </w14:textFill>
        </w:rPr>
        <w:t xml:space="preserve"> </w:t>
      </w:r>
      <w:r>
        <w:rPr>
          <w:rFonts w:ascii="Times New Roman" w:hAnsi="Times New Roman"/>
          <w:sz w:val="24"/>
          <w:szCs w:val="24"/>
          <w:rtl w:val="0"/>
          <w:lang w:val="en-US"/>
        </w:rPr>
        <w:t xml:space="preserve">The </w:t>
      </w:r>
      <w:r>
        <w:rPr>
          <w:rFonts w:ascii="Times New Roman" w:hAnsi="Times New Roman"/>
          <w:sz w:val="24"/>
          <w:szCs w:val="24"/>
          <w:rtl w:val="0"/>
          <w:lang w:val="de-DE"/>
        </w:rPr>
        <w:t>U</w:t>
      </w:r>
      <w:r>
        <w:rPr>
          <w:rFonts w:ascii="Times New Roman" w:hAnsi="Times New Roman"/>
          <w:sz w:val="24"/>
          <w:szCs w:val="24"/>
          <w:rtl w:val="0"/>
          <w:lang w:val="en-US"/>
        </w:rPr>
        <w:t>S</w:t>
      </w:r>
      <w:r>
        <w:rPr>
          <w:rFonts w:ascii="Times New Roman" w:hAnsi="Times New Roman"/>
          <w:sz w:val="24"/>
          <w:szCs w:val="24"/>
          <w:rtl w:val="0"/>
          <w:lang w:val="de-DE"/>
        </w:rPr>
        <w:t xml:space="preserve"> </w:t>
      </w:r>
      <w:r>
        <w:rPr>
          <w:rFonts w:ascii="Times New Roman" w:hAnsi="Times New Roman"/>
          <w:sz w:val="24"/>
          <w:szCs w:val="24"/>
          <w:rtl w:val="0"/>
          <w:lang w:val="en-US"/>
        </w:rPr>
        <w:t>has come to increasingly regard Beijing as a key strategic competitor in the domain. The Department of Defens</w:t>
      </w:r>
      <w:r>
        <w:rPr>
          <w:rFonts w:ascii="Times New Roman" w:hAnsi="Times New Roman"/>
          <w:sz w:val="24"/>
          <w:szCs w:val="24"/>
          <w:rtl w:val="0"/>
          <w:lang w:val="de-DE"/>
        </w:rPr>
        <w:t>e</w:t>
      </w:r>
      <w:r>
        <w:rPr>
          <w:rFonts w:ascii="Arial Unicode MS" w:hAnsi="Arial Unicode MS" w:hint="default"/>
          <w:sz w:val="24"/>
          <w:szCs w:val="24"/>
          <w:rtl w:val="0"/>
          <w:lang w:val="de-DE"/>
        </w:rPr>
        <w:t>’</w:t>
      </w:r>
      <w:r>
        <w:rPr>
          <w:rFonts w:ascii="Times New Roman" w:hAnsi="Times New Roman"/>
          <w:sz w:val="24"/>
          <w:szCs w:val="24"/>
          <w:rtl w:val="0"/>
          <w:lang w:val="es-ES_tradnl"/>
        </w:rPr>
        <w:t>s (DoD</w:t>
      </w:r>
      <w:r>
        <w:rPr>
          <w:rFonts w:ascii="Times New Roman" w:hAnsi="Times New Roman"/>
          <w:sz w:val="24"/>
          <w:szCs w:val="24"/>
          <w:rtl w:val="0"/>
          <w:lang w:val="en-US"/>
        </w:rPr>
        <w:t>)  2020 Defence Space Strategy (DSS) called for building a comprehensive US military advantage in space, highlighting the return of Great Power competition in space, and the transformation of the realm into a war-fighting domain, primarily driven by the China</w:t>
      </w:r>
      <w:r>
        <w:rPr>
          <w:rFonts w:ascii="Times New Roman" w:hAnsi="Times New Roman" w:hint="default"/>
          <w:sz w:val="24"/>
          <w:szCs w:val="24"/>
          <w:rtl w:val="0"/>
          <w:lang w:val="en-US"/>
        </w:rPr>
        <w:t>’</w:t>
      </w:r>
      <w:r>
        <w:rPr>
          <w:rFonts w:ascii="Times New Roman" w:hAnsi="Times New Roman"/>
          <w:sz w:val="24"/>
          <w:szCs w:val="24"/>
          <w:rtl w:val="0"/>
          <w:lang w:val="en-US"/>
        </w:rPr>
        <w:t xml:space="preserve">s growing military space and counter-space capabilities (Defense Space Strategy Summary, 2020, p. 7). </w:t>
      </w:r>
    </w:p>
    <w:p>
      <w:pPr>
        <w:pStyle w:val="Body A"/>
        <w:jc w:val="both"/>
        <w:rPr>
          <w:rFonts w:ascii="Times New Roman" w:cs="Times New Roman" w:hAnsi="Times New Roman" w:eastAsia="Times New Roman"/>
          <w:sz w:val="24"/>
          <w:szCs w:val="24"/>
        </w:rPr>
      </w:pPr>
    </w:p>
    <w:p>
      <w:pPr>
        <w:pStyle w:val="Body A"/>
        <w:jc w:val="both"/>
        <w:rPr>
          <w:rFonts w:ascii="Times New Roman" w:cs="Times New Roman" w:hAnsi="Times New Roman" w:eastAsia="Times New Roman"/>
          <w:outline w:val="0"/>
          <w:color w:val="0d0d0d"/>
          <w:sz w:val="24"/>
          <w:szCs w:val="24"/>
          <w:u w:color="0d0d0d"/>
          <w:shd w:val="clear" w:color="auto" w:fill="ffffff"/>
          <w14:textFill>
            <w14:solidFill>
              <w14:srgbClr w14:val="0D0D0D"/>
            </w14:solidFill>
          </w14:textFill>
        </w:rPr>
      </w:pPr>
      <w:r>
        <w:rPr>
          <w:rFonts w:ascii="Times New Roman" w:hAnsi="Times New Roman"/>
          <w:sz w:val="24"/>
          <w:szCs w:val="24"/>
          <w:rtl w:val="0"/>
          <w:lang w:val="en-US"/>
        </w:rPr>
        <w:t xml:space="preserve">For its part, China has accused the US of militarising and weaponising the domain. In a veiled reference to the US, its 2015 Defence White Paper stated that </w:t>
      </w:r>
      <w:r>
        <w:rPr>
          <w:rFonts w:ascii="Arial Unicode MS" w:hAnsi="Arial Unicode MS" w:hint="default"/>
          <w:sz w:val="24"/>
          <w:szCs w:val="24"/>
          <w:rtl w:val="0"/>
          <w:lang w:val="de-DE"/>
        </w:rPr>
        <w:t>‘</w:t>
      </w:r>
      <w:r>
        <w:rPr>
          <w:rFonts w:ascii="Times New Roman" w:hAnsi="Times New Roman"/>
          <w:sz w:val="24"/>
          <w:szCs w:val="24"/>
          <w:rtl w:val="0"/>
          <w:lang w:val="en-US"/>
        </w:rPr>
        <w:t>Countries Concerned</w:t>
      </w:r>
      <w:r>
        <w:rPr>
          <w:rFonts w:ascii="Arial Unicode MS" w:hAnsi="Arial Unicode MS" w:hint="default"/>
          <w:sz w:val="24"/>
          <w:szCs w:val="24"/>
          <w:rtl w:val="0"/>
          <w:lang w:val="de-DE"/>
        </w:rPr>
        <w:t xml:space="preserve">’ </w:t>
      </w:r>
      <w:r>
        <w:rPr>
          <w:rFonts w:ascii="Times New Roman" w:hAnsi="Times New Roman"/>
          <w:sz w:val="24"/>
          <w:szCs w:val="24"/>
          <w:rtl w:val="0"/>
          <w:lang w:val="en-US"/>
        </w:rPr>
        <w:t>have been building their space forces and capabilities, and noted the emergence of early signs of space weaponisation. Further, it emphasised that it will monitor the developments in the domain, and take steps to deal with space security threats, secure its space assets, and maintain outer space security (The State Council</w:t>
      </w:r>
      <w:r>
        <w:rPr>
          <w:rFonts w:ascii="Times New Roman" w:hAnsi="Times New Roman"/>
          <w:sz w:val="24"/>
          <w:szCs w:val="24"/>
          <w:rtl w:val="0"/>
          <w:lang w:val="de-DE"/>
        </w:rPr>
        <w:t xml:space="preserve">, </w:t>
      </w:r>
      <w:r>
        <w:rPr>
          <w:rFonts w:ascii="Times New Roman" w:hAnsi="Times New Roman"/>
          <w:sz w:val="24"/>
          <w:szCs w:val="24"/>
          <w:rtl w:val="0"/>
          <w:lang w:val="en-US"/>
        </w:rPr>
        <w:t>The People</w:t>
      </w:r>
      <w:r>
        <w:rPr>
          <w:rFonts w:ascii="Times New Roman" w:hAnsi="Times New Roman" w:hint="default"/>
          <w:sz w:val="24"/>
          <w:szCs w:val="24"/>
          <w:rtl w:val="0"/>
          <w:lang w:val="en-US"/>
        </w:rPr>
        <w:t>’</w:t>
      </w:r>
      <w:r>
        <w:rPr>
          <w:rFonts w:ascii="Times New Roman" w:hAnsi="Times New Roman"/>
          <w:sz w:val="24"/>
          <w:szCs w:val="24"/>
          <w:rtl w:val="0"/>
          <w:lang w:val="en-US"/>
        </w:rPr>
        <w:t xml:space="preserve">s Republic of China, </w:t>
      </w:r>
      <w:r>
        <w:rPr>
          <w:rFonts w:ascii="Times New Roman" w:hAnsi="Times New Roman"/>
          <w:sz w:val="24"/>
          <w:szCs w:val="24"/>
          <w:rtl w:val="0"/>
          <w:lang w:val="de-DE"/>
        </w:rPr>
        <w:t>2015</w:t>
      </w:r>
      <w:r>
        <w:rPr>
          <w:rFonts w:ascii="Times New Roman" w:hAnsi="Times New Roman"/>
          <w:sz w:val="24"/>
          <w:szCs w:val="24"/>
          <w:rtl w:val="0"/>
          <w:lang w:val="en-US"/>
        </w:rPr>
        <w:t>). Both countries have been expanding their respective military space and counterspace capabilities, justifying their development as a defensive response to the other</w:t>
      </w:r>
      <w:r>
        <w:rPr>
          <w:rFonts w:ascii="Arial Unicode MS" w:hAnsi="Arial Unicode MS" w:hint="default"/>
          <w:sz w:val="24"/>
          <w:szCs w:val="24"/>
          <w:rtl w:val="0"/>
          <w:lang w:val="de-DE"/>
        </w:rPr>
        <w:t>’</w:t>
      </w:r>
      <w:r>
        <w:rPr>
          <w:rFonts w:ascii="Times New Roman" w:hAnsi="Times New Roman"/>
          <w:sz w:val="24"/>
          <w:szCs w:val="24"/>
          <w:rtl w:val="0"/>
          <w:lang w:val="fr-FR"/>
        </w:rPr>
        <w:t>s actions</w:t>
      </w:r>
      <w:r>
        <w:rPr>
          <w:rFonts w:ascii="Times New Roman" w:hAnsi="Times New Roman"/>
          <w:sz w:val="24"/>
          <w:szCs w:val="24"/>
          <w:rtl w:val="0"/>
          <w:lang w:val="en-US"/>
        </w:rPr>
        <w:t xml:space="preserve">, with significant implications for international space security (Smith, 2014; Secure World Foundation, 2025; Burdette, 2025, pp. 116-118). </w:t>
      </w:r>
      <w:r>
        <w:rPr>
          <w:rFonts w:ascii="Times New Roman" w:hAnsi="Times New Roman"/>
          <w:outline w:val="0"/>
          <w:color w:val="0d0d0d"/>
          <w:sz w:val="24"/>
          <w:szCs w:val="24"/>
          <w:u w:color="0d0d0d"/>
          <w:shd w:val="clear" w:color="auto" w:fill="ffffff"/>
          <w:rtl w:val="0"/>
          <w:lang w:val="en-US"/>
          <w14:textFill>
            <w14:solidFill>
              <w14:srgbClr w14:val="0D0D0D"/>
            </w14:solidFill>
          </w14:textFill>
        </w:rPr>
        <w:t xml:space="preserve">This has led </w:t>
      </w:r>
      <w:r>
        <w:rPr>
          <w:rFonts w:ascii="Times New Roman" w:hAnsi="Times New Roman"/>
          <w:outline w:val="0"/>
          <w:color w:val="0d0d0d"/>
          <w:sz w:val="24"/>
          <w:szCs w:val="24"/>
          <w:u w:color="0d0d0d"/>
          <w:shd w:val="clear" w:color="auto" w:fill="ffffff"/>
          <w:rtl w:val="0"/>
          <w:lang w:val="nl-NL"/>
          <w14:textFill>
            <w14:solidFill>
              <w14:srgbClr w14:val="0D0D0D"/>
            </w14:solidFill>
          </w14:textFill>
        </w:rPr>
        <w:t>scholars</w:t>
      </w:r>
      <w:r>
        <w:rPr>
          <w:rFonts w:ascii="Times New Roman" w:hAnsi="Times New Roman"/>
          <w:outline w:val="0"/>
          <w:color w:val="0d0d0d"/>
          <w:sz w:val="24"/>
          <w:szCs w:val="24"/>
          <w:u w:color="0d0d0d"/>
          <w:shd w:val="clear" w:color="auto" w:fill="ffffff"/>
          <w:rtl w:val="0"/>
          <w:lang w:val="en-US"/>
          <w14:textFill>
            <w14:solidFill>
              <w14:srgbClr w14:val="0D0D0D"/>
            </w14:solidFill>
          </w14:textFill>
        </w:rPr>
        <w:t xml:space="preserve"> to argue that these developments have given rise to </w:t>
      </w:r>
      <w:r>
        <w:rPr>
          <w:rFonts w:ascii="Times New Roman" w:hAnsi="Times New Roman"/>
          <w:outline w:val="0"/>
          <w:color w:val="0d0d0d"/>
          <w:sz w:val="24"/>
          <w:szCs w:val="24"/>
          <w:u w:color="0d0d0d"/>
          <w:shd w:val="clear" w:color="auto" w:fill="ffffff"/>
          <w:rtl w:val="0"/>
          <w:lang w:val="de-DE"/>
          <w14:textFill>
            <w14:solidFill>
              <w14:srgbClr w14:val="0D0D0D"/>
            </w14:solidFill>
          </w14:textFill>
        </w:rPr>
        <w:t xml:space="preserve">a </w:t>
      </w:r>
      <w:r>
        <w:rPr>
          <w:rFonts w:ascii="Times New Roman" w:hAnsi="Times New Roman"/>
          <w:outline w:val="0"/>
          <w:color w:val="0d0d0d"/>
          <w:sz w:val="24"/>
          <w:szCs w:val="24"/>
          <w:u w:color="0d0d0d"/>
          <w:shd w:val="clear" w:color="auto" w:fill="ffffff"/>
          <w:rtl w:val="0"/>
          <w:lang w:val="en-US"/>
          <w14:textFill>
            <w14:solidFill>
              <w14:srgbClr w14:val="0D0D0D"/>
            </w14:solidFill>
          </w14:textFill>
        </w:rPr>
        <w:t>security dilemma in space between the two powers (Blazejewski,</w:t>
      </w:r>
      <w:r>
        <w:rPr>
          <w:rFonts w:ascii="Times New Roman" w:hAnsi="Times New Roman"/>
          <w:outline w:val="0"/>
          <w:color w:val="0d0d0d"/>
          <w:sz w:val="24"/>
          <w:szCs w:val="24"/>
          <w:u w:color="0d0d0d"/>
          <w:shd w:val="clear" w:color="auto" w:fill="ffffff"/>
          <w:rtl w:val="0"/>
          <w:lang w:val="de-DE"/>
          <w14:textFill>
            <w14:solidFill>
              <w14:srgbClr w14:val="0D0D0D"/>
            </w14:solidFill>
          </w14:textFill>
        </w:rPr>
        <w:t xml:space="preserve"> 2008</w:t>
      </w:r>
      <w:r>
        <w:rPr>
          <w:rFonts w:ascii="Times New Roman" w:hAnsi="Times New Roman"/>
          <w:outline w:val="0"/>
          <w:color w:val="0d0d0d"/>
          <w:sz w:val="24"/>
          <w:szCs w:val="24"/>
          <w:u w:color="0d0d0d"/>
          <w:shd w:val="clear" w:color="auto" w:fill="ffffff"/>
          <w:rtl w:val="0"/>
          <w:lang w:val="en-US"/>
          <w14:textFill>
            <w14:solidFill>
              <w14:srgbClr w14:val="0D0D0D"/>
            </w14:solidFill>
          </w14:textFill>
        </w:rPr>
        <w:t>, pp.</w:t>
      </w:r>
      <w:r>
        <w:rPr>
          <w:rFonts w:ascii="Times New Roman" w:hAnsi="Times New Roman"/>
          <w:outline w:val="0"/>
          <w:color w:val="0d0d0d"/>
          <w:sz w:val="24"/>
          <w:szCs w:val="24"/>
          <w:u w:color="0d0d0d"/>
          <w:shd w:val="clear" w:color="auto" w:fill="ffffff"/>
          <w:rtl w:val="0"/>
          <w:lang w:val="de-DE"/>
          <w14:textFill>
            <w14:solidFill>
              <w14:srgbClr w14:val="0D0D0D"/>
            </w14:solidFill>
          </w14:textFill>
        </w:rPr>
        <w:t xml:space="preserve"> 33,34</w:t>
      </w:r>
      <w:r>
        <w:rPr>
          <w:rFonts w:ascii="Times New Roman" w:hAnsi="Times New Roman"/>
          <w:outline w:val="0"/>
          <w:color w:val="0d0d0d"/>
          <w:sz w:val="24"/>
          <w:szCs w:val="24"/>
          <w:u w:color="0d0d0d"/>
          <w:shd w:val="clear" w:color="auto" w:fill="ffffff"/>
          <w:rtl w:val="0"/>
          <w:lang w:val="en-US"/>
          <w14:textFill>
            <w14:solidFill>
              <w14:srgbClr w14:val="0D0D0D"/>
            </w14:solidFill>
          </w14:textFill>
        </w:rPr>
        <w:t xml:space="preserve">; </w:t>
      </w:r>
      <w:r>
        <w:rPr>
          <w:rFonts w:ascii="Times New Roman" w:hAnsi="Times New Roman"/>
          <w:outline w:val="0"/>
          <w:color w:val="0d0d0d"/>
          <w:sz w:val="24"/>
          <w:szCs w:val="24"/>
          <w:u w:color="0d0d0d"/>
          <w:shd w:val="clear" w:color="auto" w:fill="ffffff"/>
          <w:rtl w:val="0"/>
          <w:lang w:val="de-DE"/>
          <w14:textFill>
            <w14:solidFill>
              <w14:srgbClr w14:val="0D0D0D"/>
            </w14:solidFill>
          </w14:textFill>
        </w:rPr>
        <w:t xml:space="preserve"> Zhang</w:t>
      </w:r>
      <w:r>
        <w:rPr>
          <w:rFonts w:ascii="Times New Roman" w:hAnsi="Times New Roman"/>
          <w:outline w:val="0"/>
          <w:color w:val="0d0d0d"/>
          <w:sz w:val="24"/>
          <w:szCs w:val="24"/>
          <w:u w:color="0d0d0d"/>
          <w:shd w:val="clear" w:color="auto" w:fill="ffffff"/>
          <w:rtl w:val="0"/>
          <w:lang w:val="en-US"/>
          <w14:textFill>
            <w14:solidFill>
              <w14:srgbClr w14:val="0D0D0D"/>
            </w14:solidFill>
          </w14:textFill>
        </w:rPr>
        <w:t>,</w:t>
      </w:r>
      <w:r>
        <w:rPr>
          <w:rFonts w:ascii="Times New Roman" w:hAnsi="Times New Roman"/>
          <w:outline w:val="0"/>
          <w:color w:val="0d0d0d"/>
          <w:sz w:val="24"/>
          <w:szCs w:val="24"/>
          <w:u w:color="0d0d0d"/>
          <w:shd w:val="clear" w:color="auto" w:fill="ffffff"/>
          <w:rtl w:val="0"/>
          <w:lang w:val="de-DE"/>
          <w14:textFill>
            <w14:solidFill>
              <w14:srgbClr w14:val="0D0D0D"/>
            </w14:solidFill>
          </w14:textFill>
        </w:rPr>
        <w:t xml:space="preserve"> 2011</w:t>
      </w:r>
      <w:r>
        <w:rPr>
          <w:rFonts w:ascii="Times New Roman" w:hAnsi="Times New Roman"/>
          <w:outline w:val="0"/>
          <w:color w:val="0d0d0d"/>
          <w:sz w:val="24"/>
          <w:szCs w:val="24"/>
          <w:u w:color="0d0d0d"/>
          <w:shd w:val="clear" w:color="auto" w:fill="ffffff"/>
          <w:rtl w:val="0"/>
          <w:lang w:val="en-US"/>
          <w14:textFill>
            <w14:solidFill>
              <w14:srgbClr w14:val="0D0D0D"/>
            </w14:solidFill>
          </w14:textFill>
        </w:rPr>
        <w:t>; Townsend, 2020, p. 101).</w:t>
      </w:r>
    </w:p>
    <w:p>
      <w:pPr>
        <w:pStyle w:val="Body A"/>
        <w:jc w:val="both"/>
        <w:rPr>
          <w:rFonts w:ascii="Times New Roman" w:cs="Times New Roman" w:hAnsi="Times New Roman" w:eastAsia="Times New Roman"/>
          <w:outline w:val="0"/>
          <w:color w:val="0d0d0d"/>
          <w:sz w:val="24"/>
          <w:szCs w:val="24"/>
          <w:u w:color="0d0d0d"/>
          <w:shd w:val="clear" w:color="auto" w:fill="ffffff"/>
          <w14:textFill>
            <w14:solidFill>
              <w14:srgbClr w14:val="0D0D0D"/>
            </w14:solidFill>
          </w14:textFill>
        </w:rPr>
      </w:pPr>
    </w:p>
    <w:p>
      <w:pPr>
        <w:pStyle w:val="Body A"/>
        <w:jc w:val="both"/>
        <w:rPr>
          <w:rFonts w:ascii="Times New Roman" w:cs="Times New Roman" w:hAnsi="Times New Roman" w:eastAsia="Times New Roman"/>
          <w:outline w:val="0"/>
          <w:color w:val="0d0d0d"/>
          <w:sz w:val="24"/>
          <w:szCs w:val="24"/>
          <w:u w:color="0d0d0d"/>
          <w:shd w:val="clear" w:color="auto" w:fill="ffffff"/>
          <w14:textFill>
            <w14:solidFill>
              <w14:srgbClr w14:val="0D0D0D"/>
            </w14:solidFill>
          </w14:textFill>
        </w:rPr>
      </w:pPr>
      <w:r>
        <w:rPr>
          <w:rFonts w:ascii="Times New Roman" w:hAnsi="Times New Roman"/>
          <w:outline w:val="0"/>
          <w:color w:val="0d0d0d"/>
          <w:sz w:val="24"/>
          <w:szCs w:val="24"/>
          <w:u w:color="0d0d0d"/>
          <w:shd w:val="clear" w:color="auto" w:fill="ffffff"/>
          <w:rtl w:val="0"/>
          <w:lang w:val="en-US"/>
          <w14:textFill>
            <w14:solidFill>
              <w14:srgbClr w14:val="0D0D0D"/>
            </w14:solidFill>
          </w14:textFill>
        </w:rPr>
        <w:t xml:space="preserve">This competition has also extended to the realm of space governance, particularly on the issue of Prevention of an Arms Race in Outer Space (PAROS). While China has been advocating for a legally binding treaty to ban space weapons and submitted </w:t>
      </w:r>
      <w:r>
        <w:rPr>
          <w:rFonts w:ascii="Times New Roman" w:hAnsi="Times New Roman"/>
          <w:outline w:val="0"/>
          <w:color w:val="0d0d0d"/>
          <w:sz w:val="24"/>
          <w:szCs w:val="24"/>
          <w:u w:color="0d0d0d"/>
          <w:shd w:val="clear" w:color="auto" w:fill="ffffff"/>
          <w:rtl w:val="0"/>
          <w:lang w:val="de-DE"/>
          <w14:textFill>
            <w14:solidFill>
              <w14:srgbClr w14:val="0D0D0D"/>
            </w14:solidFill>
          </w14:textFill>
        </w:rPr>
        <w:t xml:space="preserve">a </w:t>
      </w:r>
      <w:r>
        <w:rPr>
          <w:rFonts w:ascii="Times New Roman" w:hAnsi="Times New Roman"/>
          <w:outline w:val="0"/>
          <w:color w:val="0d0d0d"/>
          <w:sz w:val="24"/>
          <w:szCs w:val="24"/>
          <w:u w:color="0d0d0d"/>
          <w:shd w:val="clear" w:color="auto" w:fill="ffffff"/>
          <w:rtl w:val="0"/>
          <w:lang w:val="en-US"/>
          <w14:textFill>
            <w14:solidFill>
              <w14:srgbClr w14:val="0D0D0D"/>
            </w14:solidFill>
          </w14:textFill>
        </w:rPr>
        <w:t xml:space="preserve">joint </w:t>
      </w:r>
      <w:r>
        <w:rPr>
          <w:rFonts w:ascii="Times New Roman" w:hAnsi="Times New Roman"/>
          <w:outline w:val="0"/>
          <w:color w:val="0d0d0d"/>
          <w:sz w:val="24"/>
          <w:szCs w:val="24"/>
          <w:u w:color="0d0d0d"/>
          <w:shd w:val="clear" w:color="auto" w:fill="ffffff"/>
          <w:rtl w:val="0"/>
          <w:lang w:val="nl-NL"/>
          <w14:textFill>
            <w14:solidFill>
              <w14:srgbClr w14:val="0D0D0D"/>
            </w14:solidFill>
          </w14:textFill>
        </w:rPr>
        <w:t>Sino-Russian</w:t>
      </w:r>
      <w:r>
        <w:rPr>
          <w:rFonts w:ascii="Times New Roman" w:hAnsi="Times New Roman"/>
          <w:outline w:val="0"/>
          <w:color w:val="0d0d0d"/>
          <w:sz w:val="24"/>
          <w:szCs w:val="24"/>
          <w:u w:color="0d0d0d"/>
          <w:shd w:val="clear" w:color="auto" w:fill="ffffff"/>
          <w:rtl w:val="0"/>
          <w:lang w:val="en-US"/>
          <w14:textFill>
            <w14:solidFill>
              <w14:srgbClr w14:val="0D0D0D"/>
            </w14:solidFill>
          </w14:textFill>
        </w:rPr>
        <w:t xml:space="preserve"> draft treaty proposal in 2008 (revised in 2014) to the UN Disarmament Conference (CD), titled Prevention of the Deployment of Weapons in Outer Space, the Threat or Use of Force Against Outer Space Objects (PPWT), this has been consistently rejected by the US citing lack of </w:t>
      </w:r>
      <w:r>
        <w:rPr>
          <w:rFonts w:ascii="Times New Roman" w:hAnsi="Times New Roman"/>
          <w:outline w:val="0"/>
          <w:color w:val="0d0d0d"/>
          <w:sz w:val="24"/>
          <w:szCs w:val="24"/>
          <w:u w:color="0d0d0d"/>
          <w:shd w:val="clear" w:color="auto" w:fill="ffffff"/>
          <w:rtl w:val="0"/>
          <w:lang w:val="de-DE"/>
          <w14:textFill>
            <w14:solidFill>
              <w14:srgbClr w14:val="0D0D0D"/>
            </w14:solidFill>
          </w14:textFill>
        </w:rPr>
        <w:t xml:space="preserve">a </w:t>
      </w:r>
      <w:r>
        <w:rPr>
          <w:rFonts w:ascii="Times New Roman" w:hAnsi="Times New Roman"/>
          <w:outline w:val="0"/>
          <w:color w:val="0d0d0d"/>
          <w:sz w:val="24"/>
          <w:szCs w:val="24"/>
          <w:u w:color="0d0d0d"/>
          <w:shd w:val="clear" w:color="auto" w:fill="ffffff"/>
          <w:rtl w:val="0"/>
          <w:lang w:val="en-US"/>
          <w14:textFill>
            <w14:solidFill>
              <w14:srgbClr w14:val="0D0D0D"/>
            </w14:solidFill>
          </w14:textFill>
        </w:rPr>
        <w:t>verification mechanism, no prohibitions on development of space-based weapons and development and deployment of ground-based weapons, and running contrary to its national interests (</w:t>
      </w:r>
      <w:r>
        <w:rPr>
          <w:rFonts w:ascii="Times New Roman" w:hAnsi="Times New Roman"/>
          <w:outline w:val="0"/>
          <w:color w:val="0d0d0d"/>
          <w:sz w:val="24"/>
          <w:szCs w:val="24"/>
          <w:u w:color="0d0d0d"/>
          <w:shd w:val="clear" w:color="auto" w:fill="ffffff"/>
          <w:rtl w:val="0"/>
          <w:lang w:val="de-DE"/>
          <w14:textFill>
            <w14:solidFill>
              <w14:srgbClr w14:val="0D0D0D"/>
            </w14:solidFill>
          </w14:textFill>
        </w:rPr>
        <w:t>C</w:t>
      </w:r>
      <w:r>
        <w:rPr>
          <w:rFonts w:ascii="Times New Roman" w:hAnsi="Times New Roman"/>
          <w:outline w:val="0"/>
          <w:color w:val="0d0d0d"/>
          <w:sz w:val="24"/>
          <w:szCs w:val="24"/>
          <w:u w:color="0d0d0d"/>
          <w:shd w:val="clear" w:color="auto" w:fill="ffffff"/>
          <w:rtl w:val="0"/>
          <w:lang w:val="en-US"/>
          <w14:textFill>
            <w14:solidFill>
              <w14:srgbClr w14:val="0D0D0D"/>
            </w14:solidFill>
          </w14:textFill>
        </w:rPr>
        <w:t xml:space="preserve">D 2008, CD 2014). For decades, the US position has been limited to </w:t>
      </w:r>
      <w:r>
        <w:rPr>
          <w:rFonts w:ascii="Times New Roman" w:hAnsi="Times New Roman"/>
          <w:sz w:val="24"/>
          <w:szCs w:val="24"/>
          <w:rtl w:val="0"/>
          <w:lang w:val="fr-FR"/>
        </w:rPr>
        <w:t>opposi</w:t>
      </w:r>
      <w:r>
        <w:rPr>
          <w:rFonts w:ascii="Times New Roman" w:hAnsi="Times New Roman"/>
          <w:sz w:val="24"/>
          <w:szCs w:val="24"/>
          <w:rtl w:val="0"/>
          <w:lang w:val="en-US"/>
        </w:rPr>
        <w:t xml:space="preserve">ng a legally binding treaty to ban space weapons. However, there has been a notable shift </w:t>
      </w:r>
      <w:r>
        <w:rPr>
          <w:rFonts w:ascii="Times New Roman" w:hAnsi="Times New Roman"/>
          <w:sz w:val="24"/>
          <w:szCs w:val="24"/>
          <w:rtl w:val="0"/>
          <w:lang w:val="de-DE"/>
        </w:rPr>
        <w:t xml:space="preserve">in </w:t>
      </w:r>
      <w:r>
        <w:rPr>
          <w:rFonts w:ascii="Times New Roman" w:hAnsi="Times New Roman"/>
          <w:sz w:val="24"/>
          <w:szCs w:val="24"/>
          <w:rtl w:val="0"/>
          <w:lang w:val="en-US"/>
        </w:rPr>
        <w:t>the last few years.</w:t>
      </w:r>
      <w:r>
        <w:rPr>
          <w:rFonts w:ascii="Times New Roman" w:hAnsi="Times New Roman"/>
          <w:sz w:val="24"/>
          <w:szCs w:val="24"/>
          <w:rtl w:val="0"/>
          <w:lang w:val="de-DE"/>
        </w:rPr>
        <w:t xml:space="preserve"> </w:t>
      </w:r>
      <w:r>
        <w:rPr>
          <w:rFonts w:ascii="Times New Roman" w:hAnsi="Times New Roman"/>
          <w:sz w:val="24"/>
          <w:szCs w:val="24"/>
          <w:rtl w:val="0"/>
          <w:lang w:val="en-US"/>
        </w:rPr>
        <w:t>The 2020 DSS called for the development of favourable norms (in close cooperation with allies and partners</w:t>
      </w:r>
      <w:r>
        <w:rPr>
          <w:rFonts w:ascii="Times New Roman" w:hAnsi="Times New Roman"/>
          <w:sz w:val="24"/>
          <w:szCs w:val="24"/>
          <w:rtl w:val="0"/>
          <w:lang w:val="it-IT"/>
        </w:rPr>
        <w:t>) for appropriate</w:t>
      </w:r>
      <w:r>
        <w:rPr>
          <w:rFonts w:ascii="Times New Roman" w:hAnsi="Times New Roman"/>
          <w:sz w:val="24"/>
          <w:szCs w:val="24"/>
          <w:rtl w:val="0"/>
          <w:lang w:val="en-US"/>
        </w:rPr>
        <w:t xml:space="preserve"> space behaviour. Reflecting this, the US has sought a more active participation, putting its weight behind non-binding voluntary commitments for responsible behaviour (Samson &amp; Weeden, 2023). In 2022, following a unilateral commitment to the effect, it spearheaded a UNGA resolution to voluntarily refrain from destructive, debris-creating kinetic kill ASAT tests. </w:t>
      </w:r>
      <w:r>
        <w:rPr>
          <w:rFonts w:ascii="Times New Roman" w:hAnsi="Times New Roman"/>
          <w:sz w:val="24"/>
          <w:szCs w:val="24"/>
          <w:rtl w:val="0"/>
          <w:lang w:val="de-DE"/>
        </w:rPr>
        <w:t xml:space="preserve">China </w:t>
      </w:r>
      <w:r>
        <w:rPr>
          <w:rFonts w:ascii="Times New Roman" w:hAnsi="Times New Roman"/>
          <w:sz w:val="24"/>
          <w:szCs w:val="24"/>
          <w:rtl w:val="0"/>
          <w:lang w:val="en-US"/>
        </w:rPr>
        <w:t xml:space="preserve">opposed the resolution, criticising it for lacking legally binding commitments, dismissing it as </w:t>
      </w:r>
      <w:r>
        <w:rPr>
          <w:rFonts w:ascii="Times New Roman" w:hAnsi="Times New Roman" w:hint="default"/>
          <w:sz w:val="24"/>
          <w:szCs w:val="24"/>
          <w:rtl w:val="0"/>
          <w:lang w:val="en-US"/>
        </w:rPr>
        <w:t>‘</w:t>
      </w:r>
      <w:r>
        <w:rPr>
          <w:rFonts w:ascii="Times New Roman" w:hAnsi="Times New Roman"/>
          <w:sz w:val="24"/>
          <w:szCs w:val="24"/>
          <w:rtl w:val="0"/>
          <w:lang w:val="en-US"/>
        </w:rPr>
        <w:t>fake arms control</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(Liu, 2023). Thus, </w:t>
      </w:r>
      <w:r>
        <w:rPr>
          <w:rFonts w:ascii="Times New Roman" w:hAnsi="Times New Roman"/>
          <w:outline w:val="0"/>
          <w:color w:val="0d0d0d"/>
          <w:sz w:val="24"/>
          <w:szCs w:val="24"/>
          <w:u w:color="0d0d0d"/>
          <w:shd w:val="clear" w:color="auto" w:fill="ffffff"/>
          <w:rtl w:val="0"/>
          <w:lang w:val="en-US"/>
          <w14:textFill>
            <w14:solidFill>
              <w14:srgbClr w14:val="0D0D0D"/>
            </w14:solidFill>
          </w14:textFill>
        </w:rPr>
        <w:t xml:space="preserve">US-China geopolitical competition in space has not only raised the spectre of space militarisation and weaponisation but also contributed to a deadlock in space </w:t>
      </w:r>
      <w:r>
        <w:rPr>
          <w:rFonts w:ascii="Times New Roman" w:hAnsi="Times New Roman"/>
          <w:outline w:val="0"/>
          <w:color w:val="0d0d0d"/>
          <w:sz w:val="24"/>
          <w:szCs w:val="24"/>
          <w:u w:color="0d0d0d"/>
          <w:shd w:val="clear" w:color="auto" w:fill="ffffff"/>
          <w:rtl w:val="0"/>
          <w:lang w:val="pt-PT"/>
          <w14:textFill>
            <w14:solidFill>
              <w14:srgbClr w14:val="0D0D0D"/>
            </w14:solidFill>
          </w14:textFill>
        </w:rPr>
        <w:t>governance</w:t>
      </w:r>
      <w:r>
        <w:rPr>
          <w:rFonts w:ascii="Times New Roman" w:hAnsi="Times New Roman"/>
          <w:outline w:val="0"/>
          <w:color w:val="0d0d0d"/>
          <w:sz w:val="24"/>
          <w:szCs w:val="24"/>
          <w:u w:color="0d0d0d"/>
          <w:shd w:val="clear" w:color="auto" w:fill="ffffff"/>
          <w:rtl w:val="0"/>
          <w:lang w:val="en-US"/>
          <w14:textFill>
            <w14:solidFill>
              <w14:srgbClr w14:val="0D0D0D"/>
            </w14:solidFill>
          </w14:textFill>
        </w:rPr>
        <w:t>.</w:t>
      </w:r>
    </w:p>
    <w:p>
      <w:pPr>
        <w:pStyle w:val="Body A"/>
        <w:jc w:val="both"/>
        <w:rPr>
          <w:rFonts w:ascii="Times New Roman" w:cs="Times New Roman" w:hAnsi="Times New Roman" w:eastAsia="Times New Roman"/>
          <w:outline w:val="0"/>
          <w:color w:val="0d0d0d"/>
          <w:sz w:val="24"/>
          <w:szCs w:val="24"/>
          <w:u w:color="0d0d0d"/>
          <w:shd w:val="clear" w:color="auto" w:fill="ffffff"/>
          <w14:textFill>
            <w14:solidFill>
              <w14:srgbClr w14:val="0D0D0D"/>
            </w14:solidFill>
          </w14:textFill>
        </w:rPr>
      </w:pPr>
    </w:p>
    <w:p>
      <w:pPr>
        <w:pStyle w:val="Body A"/>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While the implications of U.S.-China geopolitical competition in space for space security and stability have been extensively examined in the existing literature, its impact on space strategies and policies of Middle Powers has received far less attention. The concept of </w:t>
      </w:r>
      <w:r>
        <w:rPr>
          <w:rFonts w:ascii="Times New Roman" w:hAnsi="Times New Roman" w:hint="default"/>
          <w:sz w:val="24"/>
          <w:szCs w:val="24"/>
          <w:rtl w:val="0"/>
          <w:lang w:val="en-US"/>
        </w:rPr>
        <w:t>‘</w:t>
      </w:r>
      <w:r>
        <w:rPr>
          <w:rFonts w:ascii="Times New Roman" w:hAnsi="Times New Roman"/>
          <w:sz w:val="24"/>
          <w:szCs w:val="24"/>
          <w:rtl w:val="0"/>
          <w:lang w:val="en-US"/>
        </w:rPr>
        <w:t>Middle Powers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in  IR has remained vague and contested. Nonetheless, A baseline consensus criterion has been their significance in international affairs owing to their economic, military, technological, and diplomatic strength and ambitions (Lodhi 2023, Djalal 2024). The paper uses the term in its most basic sense to refer to countries that occupy the position between Great powers and small states within the hierarchy of states. As applied to space, the European Union, India, and Japan constitute </w:t>
      </w:r>
      <w:r>
        <w:rPr>
          <w:rFonts w:ascii="Times New Roman" w:hAnsi="Times New Roman" w:hint="default"/>
          <w:sz w:val="24"/>
          <w:szCs w:val="24"/>
          <w:rtl w:val="0"/>
          <w:lang w:val="en-US"/>
        </w:rPr>
        <w:t>‘</w:t>
      </w:r>
      <w:r>
        <w:rPr>
          <w:rFonts w:ascii="Times New Roman" w:hAnsi="Times New Roman"/>
          <w:sz w:val="24"/>
          <w:szCs w:val="24"/>
          <w:rtl w:val="0"/>
          <w:lang w:val="en-US"/>
        </w:rPr>
        <w:t>Middle powers</w:t>
      </w:r>
      <w:r>
        <w:rPr>
          <w:rFonts w:ascii="Times New Roman" w:hAnsi="Times New Roman" w:hint="default"/>
          <w:sz w:val="24"/>
          <w:szCs w:val="24"/>
          <w:rtl w:val="0"/>
          <w:lang w:val="en-US"/>
        </w:rPr>
        <w:t>’</w:t>
      </w:r>
      <w:r>
        <w:rPr>
          <w:rFonts w:ascii="Times New Roman" w:hAnsi="Times New Roman"/>
          <w:sz w:val="24"/>
          <w:szCs w:val="24"/>
          <w:rtl w:val="0"/>
          <w:lang w:val="en-US"/>
        </w:rPr>
        <w:t xml:space="preserve">, given their </w:t>
      </w:r>
      <w:r>
        <w:rPr>
          <w:rFonts w:ascii="Times New Roman" w:hAnsi="Times New Roman"/>
          <w:sz w:val="24"/>
          <w:szCs w:val="24"/>
          <w:rtl w:val="0"/>
          <w:lang w:val="it-IT"/>
        </w:rPr>
        <w:t>significant</w:t>
      </w:r>
      <w:r>
        <w:rPr>
          <w:rFonts w:ascii="Times New Roman" w:hAnsi="Times New Roman"/>
          <w:sz w:val="24"/>
          <w:szCs w:val="24"/>
          <w:rtl w:val="0"/>
          <w:lang w:val="en-US"/>
        </w:rPr>
        <w:t xml:space="preserve"> space capabilities, as also their active engagement with space governance. While increasing attention has been paid to the role of these powers in shaping the evolving international order (Djalal 2024; Nagy &amp; Ping, 2023; Elliot, 2024; Sweijs &amp; Mazarr, 2023), their role in the emerging international (dis)order in space has remained understudied. The</w:t>
      </w:r>
      <w:r>
        <w:rPr>
          <w:rFonts w:ascii="Times New Roman" w:hAnsi="Times New Roman"/>
          <w:sz w:val="24"/>
          <w:szCs w:val="24"/>
          <w:rtl w:val="0"/>
          <w:lang w:val="de-DE"/>
        </w:rPr>
        <w:t xml:space="preserve"> paper </w:t>
      </w:r>
      <w:r>
        <w:rPr>
          <w:rFonts w:ascii="Times New Roman" w:hAnsi="Times New Roman"/>
          <w:sz w:val="24"/>
          <w:szCs w:val="24"/>
          <w:rtl w:val="0"/>
          <w:lang w:val="en-US"/>
        </w:rPr>
        <w:t>attempts to address this gap by examining the evolving space policies of middle powers and their implications for space security and stability. Drawing on official policy documents and secondary literature, the paper contends that the reorientation of their space strategies in response to the dynamics of great power competition has contributed to a further undermining of the space security environment.</w:t>
      </w:r>
    </w:p>
    <w:p>
      <w:pPr>
        <w:pStyle w:val="Default"/>
        <w:spacing w:before="0" w:after="240" w:line="240" w:lineRule="auto"/>
        <w:jc w:val="both"/>
        <w:rPr>
          <w:rFonts w:ascii="Times New Roman" w:cs="Times New Roman" w:hAnsi="Times New Roman" w:eastAsia="Times New Roman"/>
          <w:b w:val="1"/>
          <w:bCs w:val="1"/>
          <w:u w:val="single"/>
        </w:rPr>
      </w:pPr>
    </w:p>
    <w:p>
      <w:pPr>
        <w:pStyle w:val="Default"/>
        <w:spacing w:before="0" w:after="240" w:line="240" w:lineRule="auto"/>
        <w:rPr>
          <w:rFonts w:ascii="Times New Roman" w:cs="Times New Roman" w:hAnsi="Times New Roman" w:eastAsia="Times New Roman"/>
          <w:b w:val="1"/>
          <w:bCs w:val="1"/>
          <w:sz w:val="28"/>
          <w:szCs w:val="28"/>
          <w:u w:val="single"/>
          <w:lang w:val="en-US"/>
        </w:rPr>
      </w:pPr>
      <w:r>
        <w:rPr>
          <w:rFonts w:ascii="Times New Roman" w:hAnsi="Times New Roman"/>
          <w:b w:val="1"/>
          <w:bCs w:val="1"/>
          <w:sz w:val="28"/>
          <w:szCs w:val="28"/>
          <w:u w:val="single"/>
          <w:rtl w:val="0"/>
          <w:lang w:val="en-US"/>
        </w:rPr>
        <w:t>NAVIGATING THE GREAT POWER COMPETITION IN SPACE: MIDDLE POWERS</w:t>
      </w:r>
      <w:r>
        <w:rPr>
          <w:rFonts w:ascii="Times New Roman" w:hAnsi="Times New Roman" w:hint="default"/>
          <w:b w:val="1"/>
          <w:bCs w:val="1"/>
          <w:sz w:val="28"/>
          <w:szCs w:val="28"/>
          <w:u w:val="single"/>
          <w:rtl w:val="0"/>
          <w:lang w:val="en-US"/>
        </w:rPr>
        <w:t>’</w:t>
      </w:r>
      <w:r>
        <w:rPr>
          <w:rFonts w:ascii="Times New Roman" w:hAnsi="Times New Roman"/>
          <w:b w:val="1"/>
          <w:bCs w:val="1"/>
          <w:sz w:val="28"/>
          <w:szCs w:val="28"/>
          <w:u w:val="single"/>
          <w:rtl w:val="0"/>
          <w:lang w:val="en-US"/>
        </w:rPr>
        <w:t xml:space="preserve"> (EU, </w:t>
      </w:r>
      <w:r>
        <w:rPr>
          <w:rFonts w:ascii="Times New Roman" w:hAnsi="Times New Roman"/>
          <w:b w:val="1"/>
          <w:bCs w:val="1"/>
          <w:sz w:val="28"/>
          <w:szCs w:val="28"/>
          <w:u w:val="single"/>
          <w:rtl w:val="0"/>
          <w:lang w:val="en-US"/>
        </w:rPr>
        <w:t>INDIA</w:t>
      </w:r>
      <w:r>
        <w:rPr>
          <w:rFonts w:ascii="Times New Roman" w:hAnsi="Times New Roman"/>
          <w:b w:val="1"/>
          <w:bCs w:val="1"/>
          <w:sz w:val="28"/>
          <w:szCs w:val="28"/>
          <w:u w:val="single"/>
          <w:rtl w:val="0"/>
          <w:lang w:val="en-US"/>
        </w:rPr>
        <w:t xml:space="preserve">, </w:t>
      </w:r>
      <w:r>
        <w:rPr>
          <w:rFonts w:ascii="Times New Roman" w:hAnsi="Times New Roman"/>
          <w:b w:val="1"/>
          <w:bCs w:val="1"/>
          <w:sz w:val="28"/>
          <w:szCs w:val="28"/>
          <w:u w:val="single"/>
          <w:rtl w:val="0"/>
          <w:lang w:val="en-US"/>
        </w:rPr>
        <w:t xml:space="preserve">AND </w:t>
      </w:r>
      <w:r>
        <w:rPr>
          <w:rFonts w:ascii="Times New Roman" w:hAnsi="Times New Roman"/>
          <w:b w:val="1"/>
          <w:bCs w:val="1"/>
          <w:sz w:val="28"/>
          <w:szCs w:val="28"/>
          <w:u w:val="single"/>
          <w:rtl w:val="0"/>
          <w:lang w:val="en-US"/>
        </w:rPr>
        <w:t xml:space="preserve"> </w:t>
      </w:r>
      <w:r>
        <w:rPr>
          <w:rFonts w:ascii="Times New Roman" w:hAnsi="Times New Roman"/>
          <w:b w:val="1"/>
          <w:bCs w:val="1"/>
          <w:sz w:val="28"/>
          <w:szCs w:val="28"/>
          <w:u w:val="single"/>
          <w:rtl w:val="0"/>
          <w:lang w:val="en-US"/>
        </w:rPr>
        <w:t>JAPAN</w:t>
      </w:r>
      <w:r>
        <w:rPr>
          <w:rFonts w:ascii="Times New Roman" w:hAnsi="Times New Roman"/>
          <w:b w:val="1"/>
          <w:bCs w:val="1"/>
          <w:sz w:val="28"/>
          <w:szCs w:val="28"/>
          <w:u w:val="single"/>
          <w:rtl w:val="0"/>
          <w:lang w:val="en-US"/>
        </w:rPr>
        <w:t xml:space="preserve">) </w:t>
      </w:r>
    </w:p>
    <w:p>
      <w:pPr>
        <w:pStyle w:val="Default"/>
        <w:spacing w:before="0" w:after="240" w:line="240" w:lineRule="auto"/>
        <w:rPr>
          <w:rFonts w:ascii="Times New Roman" w:cs="Times New Roman" w:hAnsi="Times New Roman" w:eastAsia="Times New Roman"/>
          <w:b w:val="1"/>
          <w:bCs w:val="1"/>
          <w:u w:val="single"/>
        </w:rPr>
      </w:pPr>
      <w:r>
        <w:rPr>
          <w:rFonts w:ascii="Times New Roman" w:hAnsi="Times New Roman"/>
          <w:b w:val="1"/>
          <w:bCs w:val="1"/>
          <w:rtl w:val="0"/>
          <w:lang w:val="en-US"/>
        </w:rPr>
        <w:t xml:space="preserve">Reconfiguration of Space Policy toward militarisation and weaponisation </w:t>
      </w:r>
    </w:p>
    <w:p>
      <w:pPr>
        <w:pStyle w:val="Default"/>
        <w:spacing w:before="0" w:after="240" w:line="240" w:lineRule="auto"/>
        <w:jc w:val="both"/>
        <w:rPr>
          <w:rFonts w:ascii="Times New Roman" w:cs="Times New Roman" w:hAnsi="Times New Roman" w:eastAsia="Times New Roman"/>
        </w:rPr>
      </w:pPr>
      <w:r>
        <w:rPr>
          <w:rFonts w:ascii="Times New Roman" w:hAnsi="Times New Roman"/>
          <w:rtl w:val="0"/>
          <w:lang w:val="en-US"/>
        </w:rPr>
        <w:t>Shifts in the international strategic environment evoked a policy reassessment and reconfiguration on the part of Middle Powers in space - the EU, India, and Japan. While their respective responses have been shaped by their specific strategic priorities and regional contexts, there has been a clear shift in the direction of greater emphasis on security-related aspects of space.</w:t>
      </w:r>
    </w:p>
    <w:p>
      <w:pPr>
        <w:pStyle w:val="Default"/>
        <w:spacing w:before="0" w:after="240" w:line="240" w:lineRule="auto"/>
        <w:jc w:val="both"/>
        <w:rPr>
          <w:rFonts w:ascii="Times New Roman" w:cs="Times New Roman" w:hAnsi="Times New Roman" w:eastAsia="Times New Roman"/>
        </w:rPr>
      </w:pPr>
      <w:r>
        <w:rPr>
          <w:rFonts w:ascii="Times New Roman" w:hAnsi="Times New Roman"/>
          <w:rtl w:val="0"/>
          <w:lang w:val="en-US"/>
        </w:rPr>
        <w:t xml:space="preserve">Over the past decade, the EU has come to regard space as the core of European security and defence, resulting in what </w:t>
      </w:r>
      <w:r>
        <w:rPr>
          <w:rFonts w:ascii="Times New Roman" w:hAnsi="Times New Roman"/>
          <w:rtl w:val="0"/>
          <w:lang w:val="nl-NL"/>
        </w:rPr>
        <w:t xml:space="preserve">Klimburg-Witjes </w:t>
      </w:r>
      <w:r>
        <w:rPr>
          <w:rFonts w:ascii="Times New Roman" w:hAnsi="Times New Roman"/>
          <w:rtl w:val="0"/>
          <w:lang w:val="en-US"/>
        </w:rPr>
        <w:t>(2021,</w:t>
      </w:r>
      <w:r>
        <w:rPr>
          <w:rFonts w:ascii="Times New Roman" w:hAnsi="Times New Roman"/>
          <w:rtl w:val="0"/>
        </w:rPr>
        <w:t xml:space="preserve"> </w:t>
      </w:r>
      <w:r>
        <w:rPr>
          <w:rFonts w:ascii="Times New Roman" w:hAnsi="Times New Roman"/>
          <w:rtl w:val="0"/>
          <w:lang w:val="en-US"/>
        </w:rPr>
        <w:t xml:space="preserve">p. </w:t>
      </w:r>
      <w:r>
        <w:rPr>
          <w:rFonts w:ascii="Times New Roman" w:hAnsi="Times New Roman"/>
          <w:rtl w:val="0"/>
        </w:rPr>
        <w:t>527</w:t>
      </w:r>
      <w:r>
        <w:rPr>
          <w:rFonts w:ascii="Times New Roman" w:hAnsi="Times New Roman"/>
          <w:rtl w:val="0"/>
          <w:lang w:val="en-US"/>
        </w:rPr>
        <w:t>)</w:t>
      </w:r>
      <w:r>
        <w:rPr>
          <w:rFonts w:ascii="Times New Roman" w:hAnsi="Times New Roman"/>
          <w:rtl w:val="0"/>
        </w:rPr>
        <w:t xml:space="preserve"> </w:t>
      </w:r>
      <w:r>
        <w:rPr>
          <w:rFonts w:ascii="Times New Roman" w:hAnsi="Times New Roman"/>
          <w:rtl w:val="0"/>
          <w:lang w:val="en-US"/>
        </w:rPr>
        <w:t xml:space="preserve">has referred to as an increasing </w:t>
      </w:r>
      <w:r>
        <w:rPr>
          <w:rFonts w:ascii="Times New Roman" w:hAnsi="Times New Roman" w:hint="default"/>
          <w:rtl w:val="0"/>
          <w:lang w:val="en-US"/>
        </w:rPr>
        <w:t>‘</w:t>
      </w:r>
      <w:r>
        <w:rPr>
          <w:rFonts w:ascii="Times New Roman" w:hAnsi="Times New Roman"/>
          <w:rtl w:val="0"/>
          <w:lang w:val="en-US"/>
        </w:rPr>
        <w:t>securitisation of space</w:t>
      </w:r>
      <w:r>
        <w:rPr>
          <w:rFonts w:ascii="Times New Roman" w:hAnsi="Times New Roman" w:hint="default"/>
          <w:rtl w:val="0"/>
          <w:lang w:val="en-US"/>
        </w:rPr>
        <w:t>’</w:t>
      </w:r>
      <w:r>
        <w:rPr>
          <w:rFonts w:ascii="Times New Roman" w:hAnsi="Times New Roman"/>
          <w:rtl w:val="0"/>
          <w:lang w:val="en-US"/>
        </w:rPr>
        <w:t>, marking a reorientation away from its erstwhile emphasis on developing space capabilities primarily for civilian and scientific purposes. This shift has been majorly driven by concerns over growing risks and challenges to space security emanating from the increasing militarisation and weaponisation of space by major space powers (Kolovos, 2023; G</w:t>
      </w:r>
      <w:r>
        <w:rPr>
          <w:rFonts w:ascii="Times New Roman" w:hAnsi="Times New Roman"/>
          <w:rtl w:val="0"/>
          <w:lang w:val="it-IT"/>
        </w:rPr>
        <w:t>onz</w:t>
      </w:r>
      <w:r>
        <w:rPr>
          <w:rFonts w:ascii="Times New Roman" w:hAnsi="Times New Roman" w:hint="default"/>
          <w:rtl w:val="0"/>
        </w:rPr>
        <w:t>á</w:t>
      </w:r>
      <w:r>
        <w:rPr>
          <w:rFonts w:ascii="Times New Roman" w:hAnsi="Times New Roman"/>
          <w:rtl w:val="0"/>
          <w:lang w:val="fr-FR"/>
        </w:rPr>
        <w:t xml:space="preserve">lez </w:t>
      </w:r>
      <w:r>
        <w:rPr>
          <w:rFonts w:ascii="Times New Roman" w:hAnsi="Times New Roman"/>
          <w:rtl w:val="0"/>
          <w:lang w:val="en-US"/>
        </w:rPr>
        <w:t>M</w:t>
      </w:r>
      <w:r>
        <w:rPr>
          <w:rFonts w:ascii="Times New Roman" w:hAnsi="Times New Roman"/>
          <w:rtl w:val="0"/>
        </w:rPr>
        <w:t>u</w:t>
      </w:r>
      <w:r>
        <w:rPr>
          <w:rFonts w:ascii="Times New Roman" w:hAnsi="Times New Roman" w:hint="default"/>
          <w:rtl w:val="0"/>
          <w:lang w:val="es-ES_tradnl"/>
        </w:rPr>
        <w:t>ñ</w:t>
      </w:r>
      <w:r>
        <w:rPr>
          <w:rFonts w:ascii="Times New Roman" w:hAnsi="Times New Roman"/>
          <w:rtl w:val="0"/>
        </w:rPr>
        <w:t>oz</w:t>
      </w:r>
      <w:r>
        <w:rPr>
          <w:rFonts w:ascii="Times New Roman" w:hAnsi="Times New Roman"/>
          <w:rtl w:val="0"/>
          <w:lang w:val="en-US"/>
        </w:rPr>
        <w:t xml:space="preserve"> and Portela, 2023, p. 3). </w:t>
      </w:r>
      <w:r>
        <w:rPr>
          <w:rFonts w:ascii="Times New Roman" w:hAnsi="Times New Roman"/>
          <w:rtl w:val="0"/>
          <w:lang w:val="de-DE"/>
        </w:rPr>
        <w:t xml:space="preserve">The Ukraine </w:t>
      </w:r>
      <w:r>
        <w:rPr>
          <w:rFonts w:ascii="Times New Roman" w:hAnsi="Times New Roman"/>
          <w:rtl w:val="0"/>
          <w:lang w:val="en-US"/>
        </w:rPr>
        <w:t xml:space="preserve">war marked a major turning point in this regard. Shortly after the outbreak of the conflict, the EU adopted the </w:t>
      </w:r>
      <w:r>
        <w:rPr>
          <w:rFonts w:ascii="Times New Roman" w:hAnsi="Times New Roman" w:hint="default"/>
          <w:rtl w:val="0"/>
          <w:lang w:val="en-US"/>
        </w:rPr>
        <w:t>‘</w:t>
      </w:r>
      <w:r>
        <w:rPr>
          <w:rFonts w:ascii="Times New Roman" w:hAnsi="Times New Roman"/>
          <w:rtl w:val="0"/>
          <w:lang w:val="en-US"/>
        </w:rPr>
        <w:t>Strategic Compass for Security and Defence</w:t>
      </w:r>
      <w:r>
        <w:rPr>
          <w:rFonts w:ascii="Times New Roman" w:hAnsi="Times New Roman" w:hint="default"/>
          <w:rtl w:val="0"/>
          <w:lang w:val="en-US"/>
        </w:rPr>
        <w:t xml:space="preserve">’ </w:t>
      </w:r>
      <w:r>
        <w:rPr>
          <w:rFonts w:ascii="Times New Roman" w:hAnsi="Times New Roman"/>
          <w:rtl w:val="0"/>
          <w:lang w:val="en-US"/>
        </w:rPr>
        <w:t xml:space="preserve">in March 2022, calling for enhanced focus on the security and defence dimensions of space and the development of a dedicated strategy. Consequently, the </w:t>
      </w:r>
      <w:r>
        <w:rPr>
          <w:rFonts w:ascii="Times New Roman" w:hAnsi="Times New Roman" w:hint="default"/>
          <w:rtl w:val="0"/>
          <w:lang w:val="en-US"/>
        </w:rPr>
        <w:t>‘</w:t>
      </w:r>
      <w:r>
        <w:rPr>
          <w:rFonts w:ascii="Times New Roman" w:hAnsi="Times New Roman"/>
          <w:rtl w:val="0"/>
          <w:lang w:val="en-US"/>
        </w:rPr>
        <w:t>EU Space Strategy for Security and Defence</w:t>
      </w:r>
      <w:r>
        <w:rPr>
          <w:rFonts w:ascii="Times New Roman" w:hAnsi="Times New Roman" w:hint="default"/>
          <w:rtl w:val="0"/>
          <w:lang w:val="en-US"/>
        </w:rPr>
        <w:t xml:space="preserve">’ </w:t>
      </w:r>
      <w:r>
        <w:rPr>
          <w:rFonts w:ascii="Times New Roman" w:hAnsi="Times New Roman"/>
          <w:rtl w:val="0"/>
          <w:lang w:val="en-US"/>
        </w:rPr>
        <w:t>was released in 2023. Highlighting the contested nature of the domain, it took particular note of Russia</w:t>
      </w:r>
      <w:r>
        <w:rPr>
          <w:rtl w:val="1"/>
        </w:rPr>
        <w:t>’</w:t>
      </w:r>
      <w:r>
        <w:rPr>
          <w:rFonts w:ascii="Times New Roman" w:hAnsi="Times New Roman"/>
          <w:rtl w:val="0"/>
          <w:lang w:val="en-US"/>
        </w:rPr>
        <w:t>s 2021 ASAT test, the PRC</w:t>
      </w:r>
      <w:r>
        <w:rPr>
          <w:rtl w:val="1"/>
        </w:rPr>
        <w:t>’</w:t>
      </w:r>
      <w:r>
        <w:rPr>
          <w:rFonts w:ascii="Times New Roman" w:hAnsi="Times New Roman"/>
          <w:rtl w:val="0"/>
        </w:rPr>
        <w:t xml:space="preserve">s </w:t>
      </w:r>
      <w:r>
        <w:rPr>
          <w:rFonts w:ascii="Times New Roman" w:hAnsi="Times New Roman"/>
          <w:rtl w:val="0"/>
          <w:lang w:val="en-US"/>
        </w:rPr>
        <w:t>growing presence in space, particularly its counter-space capabilities in pursuit of its geopolitical agenda. T</w:t>
      </w:r>
      <w:r>
        <w:rPr>
          <w:rFonts w:ascii="Times New Roman" w:hAnsi="Times New Roman"/>
          <w:rtl w:val="0"/>
        </w:rPr>
        <w:t>h</w:t>
      </w:r>
      <w:r>
        <w:rPr>
          <w:rFonts w:ascii="Times New Roman" w:hAnsi="Times New Roman"/>
          <w:rtl w:val="0"/>
          <w:lang w:val="en-US"/>
        </w:rPr>
        <w:t>is development reflected the EU</w:t>
      </w:r>
      <w:r>
        <w:rPr>
          <w:rFonts w:ascii="Times New Roman" w:hAnsi="Times New Roman" w:hint="default"/>
          <w:rtl w:val="0"/>
          <w:lang w:val="en-US"/>
        </w:rPr>
        <w:t>’</w:t>
      </w:r>
      <w:r>
        <w:rPr>
          <w:rFonts w:ascii="Times New Roman" w:hAnsi="Times New Roman"/>
          <w:rtl w:val="0"/>
          <w:lang w:val="en-US"/>
        </w:rPr>
        <w:t>s shifting approach toward China</w:t>
      </w:r>
      <w:r>
        <w:rPr>
          <w:rtl w:val="1"/>
        </w:rPr>
        <w:t>’</w:t>
      </w:r>
      <w:r>
        <w:rPr>
          <w:rFonts w:ascii="Times New Roman" w:hAnsi="Times New Roman"/>
          <w:rtl w:val="0"/>
          <w:lang w:val="en-US"/>
        </w:rPr>
        <w:t>s space programme</w:t>
      </w:r>
      <w:r>
        <w:rPr>
          <w:rFonts w:ascii="Times New Roman" w:hAnsi="Times New Roman"/>
          <w:rtl w:val="0"/>
        </w:rPr>
        <w:t>,</w:t>
      </w:r>
      <w:r>
        <w:rPr>
          <w:rFonts w:ascii="Times New Roman" w:hAnsi="Times New Roman"/>
          <w:rtl w:val="0"/>
          <w:lang w:val="en-US"/>
        </w:rPr>
        <w:t xml:space="preserve"> as the geopolitical fallout resulting from the conflict led to a reassessment of existing cooperative engagements (Holden, 2022). The war also resulted in the EU</w:t>
      </w:r>
      <w:r>
        <w:rPr>
          <w:rtl w:val="1"/>
        </w:rPr>
        <w:t>’</w:t>
      </w:r>
      <w:r>
        <w:rPr>
          <w:rFonts w:ascii="Times New Roman" w:hAnsi="Times New Roman"/>
          <w:rtl w:val="0"/>
          <w:lang w:val="en-US"/>
        </w:rPr>
        <w:t>s closer alignment with the US. However, while calling for a deepening of space security cooperation with the United States, the strategy document placed particular emphasis on</w:t>
      </w:r>
      <w:r>
        <w:rPr>
          <w:rFonts w:ascii="Times New Roman" w:hAnsi="Times New Roman"/>
          <w:rtl w:val="0"/>
        </w:rPr>
        <w:t xml:space="preserve"> </w:t>
      </w:r>
      <w:r>
        <w:rPr>
          <w:rFonts w:ascii="Times New Roman" w:hAnsi="Times New Roman"/>
          <w:rtl w:val="0"/>
          <w:lang w:val="en-US"/>
        </w:rPr>
        <w:t>strengthening strategic autonomy in defence space capabilities. This emphasis has been driven in part by growing US pressure on its allies to boost defence spending and development of capabilities, and doubts over American commitment to European security (Bayer and Siebold, 2025</w:t>
      </w:r>
      <w:r>
        <w:rPr>
          <w:rFonts w:ascii="Times New Roman" w:hAnsi="Times New Roman"/>
          <w:rtl w:val="0"/>
        </w:rPr>
        <w:t>;</w:t>
      </w:r>
      <w:r>
        <w:rPr>
          <w:rFonts w:ascii="Times New Roman" w:hAnsi="Times New Roman"/>
          <w:rtl w:val="0"/>
          <w:lang w:val="en-US"/>
        </w:rPr>
        <w:t xml:space="preserve"> Giri, 2025). </w:t>
      </w:r>
    </w:p>
    <w:p>
      <w:pPr>
        <w:pStyle w:val="Default"/>
        <w:spacing w:before="0" w:after="240" w:line="240" w:lineRule="auto"/>
        <w:jc w:val="both"/>
        <w:rPr>
          <w:rFonts w:ascii="Times New Roman" w:cs="Times New Roman" w:hAnsi="Times New Roman" w:eastAsia="Times New Roman"/>
        </w:rPr>
      </w:pPr>
      <w:r>
        <w:rPr>
          <w:rFonts w:ascii="Times New Roman" w:hAnsi="Times New Roman"/>
          <w:rtl w:val="0"/>
          <w:lang w:val="en-US"/>
        </w:rPr>
        <w:t xml:space="preserve">The US-China military space competition has </w:t>
      </w:r>
      <w:r>
        <w:rPr>
          <w:rFonts w:ascii="Times New Roman" w:hAnsi="Times New Roman"/>
          <w:rtl w:val="0"/>
        </w:rPr>
        <w:t>had</w:t>
      </w:r>
      <w:r>
        <w:rPr>
          <w:rFonts w:ascii="Times New Roman" w:hAnsi="Times New Roman"/>
          <w:rtl w:val="0"/>
          <w:lang w:val="en-US"/>
        </w:rPr>
        <w:t xml:space="preserve"> particularly significant implications for the space policies of regional space powers in Asia, namely, India and Japan. Central to this shift has been the rapid expansion of </w:t>
      </w:r>
      <w:r>
        <w:rPr>
          <w:rFonts w:ascii="Times New Roman" w:hAnsi="Times New Roman"/>
          <w:rtl w:val="0"/>
          <w:lang w:val="de-DE"/>
        </w:rPr>
        <w:t>China</w:t>
      </w:r>
      <w:r>
        <w:rPr>
          <w:rtl w:val="1"/>
        </w:rPr>
        <w:t>’</w:t>
      </w:r>
      <w:r>
        <w:rPr>
          <w:rFonts w:ascii="Times New Roman" w:hAnsi="Times New Roman"/>
          <w:rtl w:val="0"/>
        </w:rPr>
        <w:t xml:space="preserve">s </w:t>
      </w:r>
      <w:r>
        <w:rPr>
          <w:rFonts w:ascii="Times New Roman" w:hAnsi="Times New Roman"/>
          <w:rtl w:val="0"/>
          <w:lang w:val="en-US"/>
        </w:rPr>
        <w:t>military space and counterspace capabilities. While the PRC</w:t>
      </w:r>
      <w:r>
        <w:rPr>
          <w:rFonts w:ascii="Times New Roman" w:hAnsi="Times New Roman" w:hint="default"/>
          <w:rtl w:val="0"/>
          <w:lang w:val="en-US"/>
        </w:rPr>
        <w:t>’</w:t>
      </w:r>
      <w:r>
        <w:rPr>
          <w:rFonts w:ascii="Times New Roman" w:hAnsi="Times New Roman"/>
          <w:rtl w:val="0"/>
          <w:lang w:val="en-US"/>
        </w:rPr>
        <w:t>s pursuit of capabilities has been the result of its growing security dilemma with the United States, this has, in turn, resulted in a security dilemma for its</w:t>
      </w:r>
      <w:r>
        <w:rPr>
          <w:rFonts w:ascii="Times New Roman" w:hAnsi="Times New Roman"/>
          <w:rtl w:val="0"/>
        </w:rPr>
        <w:t xml:space="preserve"> </w:t>
      </w:r>
      <w:r>
        <w:rPr>
          <w:rFonts w:ascii="Times New Roman" w:hAnsi="Times New Roman"/>
          <w:rtl w:val="0"/>
          <w:lang w:val="en-US"/>
        </w:rPr>
        <w:t>A</w:t>
      </w:r>
      <w:r>
        <w:rPr>
          <w:rFonts w:ascii="Times New Roman" w:hAnsi="Times New Roman"/>
          <w:rtl w:val="0"/>
        </w:rPr>
        <w:t>sian rivals</w:t>
      </w:r>
      <w:r>
        <w:rPr>
          <w:rFonts w:ascii="Times New Roman" w:hAnsi="Times New Roman"/>
          <w:rtl w:val="0"/>
          <w:lang w:val="en-US"/>
        </w:rPr>
        <w:t xml:space="preserve"> owing to their long-standing</w:t>
      </w:r>
      <w:r>
        <w:rPr>
          <w:rFonts w:ascii="Times New Roman" w:hAnsi="Times New Roman"/>
          <w:rtl w:val="0"/>
        </w:rPr>
        <w:t xml:space="preserve"> </w:t>
      </w:r>
      <w:r>
        <w:rPr>
          <w:rFonts w:ascii="Times New Roman" w:hAnsi="Times New Roman"/>
          <w:rtl w:val="0"/>
          <w:lang w:val="en-US"/>
        </w:rPr>
        <w:t xml:space="preserve">adversarial relations with Beijing. </w:t>
      </w:r>
    </w:p>
    <w:p>
      <w:pPr>
        <w:pStyle w:val="Default"/>
        <w:spacing w:before="0" w:after="240" w:line="240" w:lineRule="auto"/>
        <w:jc w:val="both"/>
        <w:rPr>
          <w:rFonts w:ascii="Times New Roman" w:cs="Times New Roman" w:hAnsi="Times New Roman" w:eastAsia="Times New Roman"/>
        </w:rPr>
      </w:pPr>
      <w:r>
        <w:rPr>
          <w:rFonts w:ascii="Times New Roman" w:hAnsi="Times New Roman"/>
          <w:rtl w:val="0"/>
          <w:lang w:val="en-US"/>
        </w:rPr>
        <w:t xml:space="preserve">Japan passed its </w:t>
      </w:r>
      <w:r>
        <w:rPr>
          <w:rFonts w:ascii="Times New Roman" w:hAnsi="Times New Roman" w:hint="default"/>
          <w:rtl w:val="0"/>
          <w:lang w:val="en-US"/>
        </w:rPr>
        <w:t>‘</w:t>
      </w:r>
      <w:r>
        <w:rPr>
          <w:rFonts w:ascii="Times New Roman" w:hAnsi="Times New Roman"/>
          <w:rtl w:val="0"/>
          <w:lang w:val="en-US"/>
        </w:rPr>
        <w:t>Basic Space Law</w:t>
      </w:r>
      <w:r>
        <w:rPr>
          <w:rFonts w:ascii="Times New Roman" w:hAnsi="Times New Roman" w:hint="default"/>
          <w:rtl w:val="0"/>
          <w:lang w:val="en-US"/>
        </w:rPr>
        <w:t xml:space="preserve">’ </w:t>
      </w:r>
      <w:r>
        <w:rPr>
          <w:rFonts w:ascii="Times New Roman" w:hAnsi="Times New Roman"/>
          <w:rtl w:val="0"/>
          <w:lang w:val="en-US"/>
        </w:rPr>
        <w:t>in 2008</w:t>
      </w:r>
      <w:r>
        <w:rPr>
          <w:rFonts w:ascii="Times New Roman" w:hAnsi="Times New Roman"/>
          <w:rtl w:val="0"/>
        </w:rPr>
        <w:t>,</w:t>
      </w:r>
      <w:r>
        <w:rPr>
          <w:rFonts w:ascii="Times New Roman" w:hAnsi="Times New Roman"/>
          <w:rtl w:val="0"/>
          <w:lang w:val="en-US"/>
        </w:rPr>
        <w:t xml:space="preserve"> marking a departure from its erstwhile policy of using space strictly </w:t>
      </w:r>
      <w:r>
        <w:rPr>
          <w:rFonts w:ascii="Times New Roman" w:hAnsi="Times New Roman"/>
          <w:rtl w:val="0"/>
        </w:rPr>
        <w:t xml:space="preserve">for </w:t>
      </w:r>
      <w:r>
        <w:rPr>
          <w:rFonts w:ascii="Times New Roman" w:hAnsi="Times New Roman" w:hint="default"/>
          <w:rtl w:val="0"/>
          <w:lang w:val="en-US"/>
        </w:rPr>
        <w:t>‘</w:t>
      </w:r>
      <w:r>
        <w:rPr>
          <w:rFonts w:ascii="Times New Roman" w:hAnsi="Times New Roman"/>
          <w:rtl w:val="0"/>
          <w:lang w:val="en-US"/>
        </w:rPr>
        <w:t>non-military</w:t>
      </w:r>
      <w:r>
        <w:rPr>
          <w:rFonts w:ascii="Times New Roman" w:hAnsi="Times New Roman" w:hint="default"/>
          <w:rtl w:val="0"/>
          <w:lang w:val="en-US"/>
        </w:rPr>
        <w:t xml:space="preserve">’ </w:t>
      </w:r>
      <w:r>
        <w:rPr>
          <w:rFonts w:ascii="Times New Roman" w:hAnsi="Times New Roman"/>
          <w:rtl w:val="0"/>
          <w:lang w:val="en-US"/>
        </w:rPr>
        <w:t>purposes to allowing for its military use (</w:t>
      </w:r>
      <w:r>
        <w:rPr>
          <w:rFonts w:ascii="Times New Roman" w:hAnsi="Times New Roman"/>
          <w:rtl w:val="0"/>
          <w:lang w:val="es-ES_tradnl"/>
        </w:rPr>
        <w:t>Manriquez</w:t>
      </w:r>
      <w:r>
        <w:rPr>
          <w:rFonts w:ascii="Times New Roman" w:hAnsi="Times New Roman"/>
          <w:rtl w:val="0"/>
          <w:lang w:val="en-US"/>
        </w:rPr>
        <w:t>, 2007; Peoples 2013). Consequently, successive iterations of Japan</w:t>
      </w:r>
      <w:r>
        <w:rPr>
          <w:rFonts w:ascii="Times New Roman" w:hAnsi="Times New Roman" w:hint="default"/>
          <w:rtl w:val="0"/>
          <w:lang w:val="en-US"/>
        </w:rPr>
        <w:t>’</w:t>
      </w:r>
      <w:r>
        <w:rPr>
          <w:rFonts w:ascii="Times New Roman" w:hAnsi="Times New Roman"/>
          <w:rtl w:val="0"/>
          <w:lang w:val="en-US"/>
        </w:rPr>
        <w:t xml:space="preserve">s space policy document, </w:t>
      </w:r>
      <w:r>
        <w:rPr>
          <w:rFonts w:ascii="Times New Roman" w:hAnsi="Times New Roman" w:hint="default"/>
          <w:rtl w:val="0"/>
          <w:lang w:val="en-US"/>
        </w:rPr>
        <w:t>‘</w:t>
      </w:r>
      <w:r>
        <w:rPr>
          <w:rFonts w:ascii="Times New Roman" w:hAnsi="Times New Roman"/>
          <w:rtl w:val="0"/>
          <w:lang w:val="en-US"/>
        </w:rPr>
        <w:t>Basic Plan on Space Policy</w:t>
      </w:r>
      <w:r>
        <w:rPr>
          <w:rFonts w:ascii="Times New Roman" w:hAnsi="Times New Roman" w:hint="default"/>
          <w:rtl w:val="0"/>
          <w:lang w:val="en-US"/>
        </w:rPr>
        <w:t>’</w:t>
      </w:r>
      <w:r>
        <w:rPr>
          <w:rFonts w:ascii="Times New Roman" w:hAnsi="Times New Roman"/>
          <w:rtl w:val="0"/>
          <w:lang w:val="en-US"/>
        </w:rPr>
        <w:t>, have progressively placed greater emphasis on the development of space capabilities to serve national security objectives. Some have attributed this development to Japan</w:t>
      </w:r>
      <w:r>
        <w:rPr>
          <w:rFonts w:ascii="Times New Roman" w:hAnsi="Times New Roman" w:hint="default"/>
          <w:rtl w:val="0"/>
          <w:lang w:val="en-US"/>
        </w:rPr>
        <w:t>’</w:t>
      </w:r>
      <w:r>
        <w:rPr>
          <w:rFonts w:ascii="Times New Roman" w:hAnsi="Times New Roman"/>
          <w:rtl w:val="0"/>
          <w:lang w:val="en-US"/>
        </w:rPr>
        <w:t>s efforts at safeguarding its interests in the face of an international trend towards greater space militarisation and weaponisation (Peoples, 2013, p. 140). However, this recalibration has been largely driven by strategic concerns emanating from China</w:t>
      </w:r>
      <w:r>
        <w:rPr>
          <w:rFonts w:ascii="Times New Roman" w:hAnsi="Times New Roman" w:hint="default"/>
          <w:rtl w:val="0"/>
          <w:lang w:val="en-US"/>
        </w:rPr>
        <w:t>’</w:t>
      </w:r>
      <w:r>
        <w:rPr>
          <w:rFonts w:ascii="Times New Roman" w:hAnsi="Times New Roman"/>
          <w:rtl w:val="0"/>
          <w:lang w:val="en-US"/>
        </w:rPr>
        <w:t>s expanding capabilities, especially in the aftermath of its 2007 ASAT test (Manriquez, 2007; Moltz</w:t>
      </w:r>
      <w:r>
        <w:rPr>
          <w:rFonts w:ascii="Times New Roman" w:hAnsi="Times New Roman"/>
          <w:rtl w:val="0"/>
        </w:rPr>
        <w:t>, 2011, p. 63;</w:t>
      </w:r>
      <w:r>
        <w:rPr>
          <w:rFonts w:ascii="Times New Roman" w:hAnsi="Times New Roman"/>
          <w:rtl w:val="0"/>
          <w:lang w:val="en-US"/>
        </w:rPr>
        <w:t xml:space="preserve"> Yoshimatsu, 2021, p. 305; Bingen and Young, 2024, p. 14). Japan</w:t>
      </w:r>
      <w:r>
        <w:rPr>
          <w:rFonts w:ascii="Times New Roman" w:hAnsi="Times New Roman" w:hint="default"/>
          <w:rtl w:val="0"/>
          <w:lang w:val="en-US"/>
        </w:rPr>
        <w:t>’</w:t>
      </w:r>
      <w:r>
        <w:rPr>
          <w:rFonts w:ascii="Times New Roman" w:hAnsi="Times New Roman"/>
          <w:rtl w:val="0"/>
          <w:lang w:val="en-US"/>
        </w:rPr>
        <w:t>s 2007 Defence White Paper regarded the test as an indication of China</w:t>
      </w:r>
      <w:r>
        <w:rPr>
          <w:rFonts w:ascii="Times New Roman" w:hAnsi="Times New Roman" w:hint="default"/>
          <w:rtl w:val="0"/>
          <w:lang w:val="en-US"/>
        </w:rPr>
        <w:t>’</w:t>
      </w:r>
      <w:r>
        <w:rPr>
          <w:rFonts w:ascii="Times New Roman" w:hAnsi="Times New Roman"/>
          <w:rtl w:val="0"/>
          <w:lang w:val="en-US"/>
        </w:rPr>
        <w:t xml:space="preserve">s intent to integrate </w:t>
      </w:r>
      <w:r>
        <w:rPr>
          <w:rFonts w:ascii="Times New Roman" w:hAnsi="Times New Roman"/>
          <w:rtl w:val="0"/>
          <w:lang w:val="de-DE"/>
        </w:rPr>
        <w:t xml:space="preserve">such </w:t>
      </w:r>
      <w:r>
        <w:rPr>
          <w:rFonts w:ascii="Times New Roman" w:hAnsi="Times New Roman"/>
          <w:rtl w:val="0"/>
          <w:lang w:val="en-US"/>
        </w:rPr>
        <w:t>capabilities into its military operations (</w:t>
      </w:r>
      <w:r>
        <w:rPr>
          <w:rFonts w:ascii="Times New Roman" w:hAnsi="Times New Roman"/>
          <w:rtl w:val="0"/>
          <w:lang w:val="es-ES_tradnl"/>
        </w:rPr>
        <w:t>Manriquez</w:t>
      </w:r>
      <w:r>
        <w:rPr>
          <w:rFonts w:ascii="Times New Roman" w:hAnsi="Times New Roman"/>
          <w:rtl w:val="0"/>
          <w:lang w:val="en-US"/>
        </w:rPr>
        <w:t xml:space="preserve">, 2007). Further, the third iteration of the </w:t>
      </w:r>
      <w:r>
        <w:rPr>
          <w:rFonts w:ascii="Times New Roman" w:hAnsi="Times New Roman" w:hint="default"/>
          <w:rtl w:val="0"/>
          <w:lang w:val="en-US"/>
        </w:rPr>
        <w:t>‘</w:t>
      </w:r>
      <w:r>
        <w:rPr>
          <w:rFonts w:ascii="Times New Roman" w:hAnsi="Times New Roman"/>
          <w:rtl w:val="0"/>
          <w:lang w:val="en-US"/>
        </w:rPr>
        <w:t>Basic Plan on Space Policy</w:t>
      </w:r>
      <w:r>
        <w:rPr>
          <w:rFonts w:ascii="Times New Roman" w:hAnsi="Times New Roman" w:hint="default"/>
          <w:rtl w:val="0"/>
          <w:lang w:val="en-US"/>
        </w:rPr>
        <w:t xml:space="preserve">’ </w:t>
      </w:r>
      <w:r>
        <w:rPr>
          <w:rFonts w:ascii="Times New Roman" w:hAnsi="Times New Roman"/>
          <w:rtl w:val="0"/>
          <w:lang w:val="en-US"/>
        </w:rPr>
        <w:t xml:space="preserve">released in 2015 expressed concerns regarding </w:t>
      </w:r>
      <w:r>
        <w:rPr>
          <w:rFonts w:ascii="Times New Roman" w:hAnsi="Times New Roman"/>
          <w:rtl w:val="0"/>
          <w:lang w:val="de-DE"/>
        </w:rPr>
        <w:t>China</w:t>
      </w:r>
      <w:r>
        <w:rPr>
          <w:rtl w:val="1"/>
        </w:rPr>
        <w:t>’</w:t>
      </w:r>
      <w:r>
        <w:rPr>
          <w:rFonts w:ascii="Times New Roman" w:hAnsi="Times New Roman"/>
          <w:rtl w:val="0"/>
          <w:lang w:val="en-US"/>
        </w:rPr>
        <w:t xml:space="preserve">s rapidly advancing anti-satellite space capabilities (Yoshimatsu 2021, p. 308). Thus, the growing emphasis on advancing its military space capabilities </w:t>
      </w:r>
      <w:r>
        <w:rPr>
          <w:rFonts w:ascii="Times New Roman" w:hAnsi="Times New Roman"/>
          <w:rtl w:val="0"/>
        </w:rPr>
        <w:t>is</w:t>
      </w:r>
      <w:r>
        <w:rPr>
          <w:rFonts w:ascii="Times New Roman" w:hAnsi="Times New Roman"/>
          <w:rtl w:val="0"/>
          <w:lang w:val="en-US"/>
        </w:rPr>
        <w:t xml:space="preserve"> primarily aimed at safeguarding its interests amid China</w:t>
      </w:r>
      <w:r>
        <w:rPr>
          <w:rFonts w:ascii="Times New Roman" w:hAnsi="Times New Roman" w:hint="default"/>
          <w:rtl w:val="0"/>
          <w:lang w:val="en-US"/>
        </w:rPr>
        <w:t>’</w:t>
      </w:r>
      <w:r>
        <w:rPr>
          <w:rFonts w:ascii="Times New Roman" w:hAnsi="Times New Roman"/>
          <w:rtl w:val="0"/>
          <w:lang w:val="en-US"/>
        </w:rPr>
        <w:t xml:space="preserve">s expanding capabilities. The policy shift has also been driven by the emerging demands of its traditional security alliance with the United States. The US has increasingly been calling for greater space security cooperation with its allies (including Japan) to deal with the Chinese challenge in space (National </w:t>
      </w:r>
      <w:r>
        <w:rPr>
          <w:rFonts w:ascii="Times New Roman" w:hAnsi="Times New Roman"/>
          <w:rtl w:val="0"/>
        </w:rPr>
        <w:t>Space Policy</w:t>
      </w:r>
      <w:r>
        <w:rPr>
          <w:rFonts w:ascii="Times New Roman" w:hAnsi="Times New Roman"/>
          <w:rtl w:val="0"/>
          <w:lang w:val="en-US"/>
        </w:rPr>
        <w:t>, 2020, Yoshimatsu, 2021, pp. 312,313). Given Japan</w:t>
      </w:r>
      <w:r>
        <w:rPr>
          <w:rFonts w:ascii="Times New Roman" w:hAnsi="Times New Roman" w:hint="default"/>
          <w:rtl w:val="0"/>
          <w:lang w:val="en-US"/>
        </w:rPr>
        <w:t>’</w:t>
      </w:r>
      <w:r>
        <w:rPr>
          <w:rFonts w:ascii="Times New Roman" w:hAnsi="Times New Roman"/>
          <w:rtl w:val="0"/>
          <w:lang w:val="en-US"/>
        </w:rPr>
        <w:t>s dependence on the US</w:t>
      </w:r>
      <w:r>
        <w:rPr>
          <w:rtl w:val="1"/>
        </w:rPr>
        <w:t>’</w:t>
      </w:r>
      <w:r>
        <w:rPr>
          <w:rFonts w:ascii="Times New Roman" w:hAnsi="Times New Roman"/>
          <w:rtl w:val="0"/>
        </w:rPr>
        <w:t>s</w:t>
      </w:r>
      <w:r>
        <w:rPr>
          <w:rFonts w:ascii="Times New Roman" w:hAnsi="Times New Roman"/>
          <w:rtl w:val="0"/>
          <w:lang w:val="en-US"/>
        </w:rPr>
        <w:t xml:space="preserve"> security umbrella and extended deterrence, the focus on military space capabilities is also meant to serve as a complementary support to the US capabilities aimed at bolstering the alliance</w:t>
      </w:r>
      <w:r>
        <w:rPr>
          <w:rFonts w:ascii="Times New Roman" w:hAnsi="Times New Roman" w:hint="default"/>
          <w:rtl w:val="0"/>
          <w:lang w:val="en-US"/>
        </w:rPr>
        <w:t>’</w:t>
      </w:r>
      <w:r>
        <w:rPr>
          <w:rFonts w:ascii="Times New Roman" w:hAnsi="Times New Roman"/>
          <w:rtl w:val="0"/>
          <w:lang w:val="en-US"/>
        </w:rPr>
        <w:t>s deterrence against perceived threats from China (Suzuki, 2023; Pekkanen, 2024, p. 387</w:t>
      </w:r>
      <w:r>
        <w:rPr>
          <w:rFonts w:ascii="Times New Roman" w:hAnsi="Times New Roman"/>
          <w:rtl w:val="0"/>
        </w:rPr>
        <w:t>;</w:t>
      </w:r>
      <w:r>
        <w:rPr>
          <w:rFonts w:ascii="Times New Roman" w:hAnsi="Times New Roman"/>
          <w:rtl w:val="0"/>
          <w:lang w:val="en-US"/>
        </w:rPr>
        <w:t xml:space="preserve"> Yoshimatsu, 2021, p. 313). While Japan has not conducted any ASAT test, its 2023 Space Security initiative called for cooperation with its ally (the US) to acquire </w:t>
      </w:r>
      <w:r>
        <w:rPr>
          <w:rFonts w:ascii="Times New Roman" w:hAnsi="Times New Roman"/>
          <w:rtl w:val="0"/>
        </w:rPr>
        <w:t xml:space="preserve">an </w:t>
      </w:r>
      <w:r>
        <w:rPr>
          <w:rFonts w:ascii="Times New Roman" w:hAnsi="Times New Roman"/>
          <w:rtl w:val="0"/>
          <w:lang w:val="en-US"/>
        </w:rPr>
        <w:t xml:space="preserve">early warning satellite, and capabilities to deal with </w:t>
      </w:r>
      <w:r>
        <w:rPr>
          <w:rFonts w:ascii="Times New Roman" w:hAnsi="Times New Roman" w:hint="default"/>
          <w:rtl w:val="0"/>
          <w:lang w:val="en-US"/>
        </w:rPr>
        <w:t>‘</w:t>
      </w:r>
      <w:r>
        <w:rPr>
          <w:rFonts w:ascii="Times New Roman" w:hAnsi="Times New Roman"/>
          <w:rtl w:val="0"/>
          <w:lang w:val="en-US"/>
        </w:rPr>
        <w:t>the deployment of ballistic missiles and hypersonic gliding vehicles by Neighbouring countries</w:t>
      </w:r>
      <w:r>
        <w:rPr>
          <w:rFonts w:ascii="Times New Roman" w:hAnsi="Times New Roman" w:hint="default"/>
          <w:rtl w:val="0"/>
          <w:lang w:val="en-US"/>
        </w:rPr>
        <w:t xml:space="preserve">’ </w:t>
      </w:r>
      <w:r>
        <w:rPr>
          <w:rFonts w:ascii="Times New Roman" w:hAnsi="Times New Roman"/>
          <w:rtl w:val="0"/>
          <w:lang w:val="en-US"/>
        </w:rPr>
        <w:t>(The Space Development Strategy Headquarters, Japan 2023, p. 8).</w:t>
      </w:r>
    </w:p>
    <w:p>
      <w:pPr>
        <w:pStyle w:val="Default"/>
        <w:spacing w:before="0" w:after="240" w:line="240" w:lineRule="auto"/>
        <w:jc w:val="both"/>
        <w:rPr>
          <w:rFonts w:ascii="Times New Roman" w:cs="Times New Roman" w:hAnsi="Times New Roman" w:eastAsia="Times New Roman"/>
          <w:outline w:val="0"/>
          <w:color w:val="333333"/>
          <w:u w:color="333333"/>
          <w14:textFill>
            <w14:solidFill>
              <w14:srgbClr w14:val="333333"/>
            </w14:solidFill>
          </w14:textFill>
        </w:rPr>
      </w:pPr>
      <w:r>
        <w:rPr>
          <w:rFonts w:ascii="Times New Roman" w:hAnsi="Times New Roman"/>
          <w:rtl w:val="0"/>
          <w:lang w:val="en-US"/>
        </w:rPr>
        <w:t>India, too, has been viewing the expansion in China</w:t>
      </w:r>
      <w:r>
        <w:rPr>
          <w:rFonts w:ascii="Times New Roman" w:hAnsi="Times New Roman" w:hint="default"/>
          <w:rtl w:val="0"/>
          <w:lang w:val="en-US"/>
        </w:rPr>
        <w:t>’</w:t>
      </w:r>
      <w:r>
        <w:rPr>
          <w:rFonts w:ascii="Times New Roman" w:hAnsi="Times New Roman"/>
          <w:rtl w:val="0"/>
          <w:lang w:val="en-US"/>
        </w:rPr>
        <w:t>s military space and counter-space capabilities with particular concern. This resulted in a shift in its space policy from its traditional focus on space capabilities for socio-economic development to increasing attention being paid to the development of military space and counter-space capabilities (Rajagopalan &amp; Stroikos, 2024). While analysts locate the shift within broader global trends, they particularly highlight concerns raised by China</w:t>
      </w:r>
      <w:r>
        <w:rPr>
          <w:rFonts w:ascii="Times New Roman" w:hAnsi="Times New Roman" w:hint="default"/>
          <w:rtl w:val="0"/>
          <w:lang w:val="en-US"/>
        </w:rPr>
        <w:t>’</w:t>
      </w:r>
      <w:r>
        <w:rPr>
          <w:rFonts w:ascii="Times New Roman" w:hAnsi="Times New Roman"/>
          <w:rtl w:val="0"/>
          <w:lang w:val="en-US"/>
        </w:rPr>
        <w:t>s 2007 test as the key factor</w:t>
      </w:r>
      <w:r>
        <w:rPr>
          <w:rFonts w:ascii="Times New Roman" w:hAnsi="Times New Roman"/>
          <w:rtl w:val="0"/>
        </w:rPr>
        <w:t xml:space="preserve"> </w:t>
      </w:r>
      <w:r>
        <w:rPr>
          <w:rFonts w:ascii="Times New Roman" w:hAnsi="Times New Roman"/>
          <w:rtl w:val="0"/>
          <w:lang w:val="en-US"/>
        </w:rPr>
        <w:t xml:space="preserve">driving </w:t>
      </w:r>
      <w:r>
        <w:rPr>
          <w:rFonts w:ascii="Times New Roman" w:hAnsi="Times New Roman"/>
          <w:rtl w:val="0"/>
          <w:lang w:val="pt-PT"/>
        </w:rPr>
        <w:t>New Delhi</w:t>
      </w:r>
      <w:r>
        <w:rPr>
          <w:rtl w:val="1"/>
        </w:rPr>
        <w:t>’</w:t>
      </w:r>
      <w:r>
        <w:rPr>
          <w:rFonts w:ascii="Times New Roman" w:hAnsi="Times New Roman"/>
          <w:rtl w:val="0"/>
        </w:rPr>
        <w:t>s</w:t>
      </w:r>
      <w:r>
        <w:rPr>
          <w:rFonts w:ascii="Times New Roman" w:hAnsi="Times New Roman"/>
          <w:rtl w:val="0"/>
          <w:lang w:val="en-US"/>
        </w:rPr>
        <w:t xml:space="preserve"> growing focus on space militarisation and weaponisation (</w:t>
      </w:r>
      <w:r>
        <w:rPr>
          <w:rFonts w:ascii="Times New Roman" w:hAnsi="Times New Roman"/>
          <w:outline w:val="0"/>
          <w:color w:val="333333"/>
          <w:u w:color="333333"/>
          <w:rtl w:val="0"/>
          <w:lang w:val="en-US"/>
          <w14:textFill>
            <w14:solidFill>
              <w14:srgbClr w14:val="333333"/>
            </w14:solidFill>
          </w14:textFill>
        </w:rPr>
        <w:t xml:space="preserve">Pant &amp; Lele, 2010; Aliberti, 2018, pp. 190,195; </w:t>
      </w:r>
      <w:r>
        <w:rPr>
          <w:rFonts w:ascii="Times New Roman" w:hAnsi="Times New Roman"/>
          <w:rtl w:val="0"/>
          <w:lang w:val="en-US"/>
        </w:rPr>
        <w:t xml:space="preserve">Stroikos, 2023, p. 193, </w:t>
      </w:r>
      <w:r>
        <w:rPr>
          <w:rFonts w:ascii="Times New Roman" w:hAnsi="Times New Roman"/>
          <w:outline w:val="0"/>
          <w:color w:val="333333"/>
          <w:u w:color="333333"/>
          <w:rtl w:val="0"/>
          <w:lang w:val="en-US"/>
          <w14:textFill>
            <w14:solidFill>
              <w14:srgbClr w14:val="333333"/>
            </w14:solidFill>
          </w14:textFill>
        </w:rPr>
        <w:t>Rajagopalan &amp; Stroikos</w:t>
      </w:r>
      <w:r>
        <w:rPr>
          <w:rFonts w:ascii="Times New Roman" w:hAnsi="Times New Roman"/>
          <w:outline w:val="0"/>
          <w:color w:val="333333"/>
          <w:u w:color="333333"/>
          <w:rtl w:val="0"/>
          <w14:textFill>
            <w14:solidFill>
              <w14:srgbClr w14:val="333333"/>
            </w14:solidFill>
          </w14:textFill>
        </w:rPr>
        <w:t>,</w:t>
      </w:r>
      <w:r>
        <w:rPr>
          <w:rFonts w:ascii="Times New Roman" w:hAnsi="Times New Roman"/>
          <w:outline w:val="0"/>
          <w:color w:val="333333"/>
          <w:u w:color="333333"/>
          <w:rtl w:val="0"/>
          <w:lang w:val="en-US"/>
          <w14:textFill>
            <w14:solidFill>
              <w14:srgbClr w14:val="333333"/>
            </w14:solidFill>
          </w14:textFill>
        </w:rPr>
        <w:t xml:space="preserve"> 2024, pp. 5,6). New Delhi </w:t>
      </w:r>
      <w:r>
        <w:rPr>
          <w:rFonts w:ascii="Times New Roman" w:hAnsi="Times New Roman"/>
          <w:rtl w:val="0"/>
          <w:lang w:val="en-US"/>
        </w:rPr>
        <w:t xml:space="preserve">has been expanding its dual-use and military space capabilities, but the most notable development has been the successful conduct of its first kinetic kill ASAT test, </w:t>
      </w:r>
      <w:r>
        <w:rPr>
          <w:rFonts w:ascii="Times New Roman" w:hAnsi="Times New Roman" w:hint="default"/>
          <w:rtl w:val="0"/>
          <w:lang w:val="en-US"/>
        </w:rPr>
        <w:t>‘</w:t>
      </w:r>
      <w:r>
        <w:rPr>
          <w:rFonts w:ascii="Times New Roman" w:hAnsi="Times New Roman"/>
          <w:rtl w:val="0"/>
          <w:lang w:val="en-US"/>
        </w:rPr>
        <w:t>Mission Shakti</w:t>
      </w:r>
      <w:r>
        <w:rPr>
          <w:rFonts w:ascii="Times New Roman" w:hAnsi="Times New Roman" w:hint="default"/>
          <w:rtl w:val="0"/>
          <w:lang w:val="en-US"/>
        </w:rPr>
        <w:t>’</w:t>
      </w:r>
      <w:r>
        <w:rPr>
          <w:rFonts w:ascii="Times New Roman" w:hAnsi="Times New Roman"/>
          <w:rtl w:val="0"/>
          <w:lang w:val="en-US"/>
        </w:rPr>
        <w:t xml:space="preserve">, in 2019. </w:t>
      </w:r>
      <w:r>
        <w:rPr>
          <w:rFonts w:ascii="Times New Roman" w:hAnsi="Times New Roman"/>
          <w:outline w:val="0"/>
          <w:color w:val="333333"/>
          <w:u w:color="333333"/>
          <w:rtl w:val="0"/>
          <w:lang w:val="en-US"/>
          <w14:textFill>
            <w14:solidFill>
              <w14:srgbClr w14:val="333333"/>
            </w14:solidFill>
          </w14:textFill>
        </w:rPr>
        <w:t xml:space="preserve"> Despite official opposition to space weaponisation, the Chinese test sparked the domestic debate on the need to develop ASAT capabilities, ultimately culminating in the 2019 test (Rajagopalan, 2011, pp. 354, 368, 369). In the aftermath of the test, Kanwal Sibal, India</w:t>
      </w:r>
      <w:r>
        <w:rPr>
          <w:rFonts w:ascii="Times New Roman" w:hAnsi="Times New Roman" w:hint="default"/>
          <w:outline w:val="0"/>
          <w:color w:val="333333"/>
          <w:u w:color="333333"/>
          <w:rtl w:val="0"/>
          <w:lang w:val="en-US"/>
          <w14:textFill>
            <w14:solidFill>
              <w14:srgbClr w14:val="333333"/>
            </w14:solidFill>
          </w14:textFill>
        </w:rPr>
        <w:t>’</w:t>
      </w:r>
      <w:r>
        <w:rPr>
          <w:rFonts w:ascii="Times New Roman" w:hAnsi="Times New Roman"/>
          <w:outline w:val="0"/>
          <w:color w:val="333333"/>
          <w:u w:color="333333"/>
          <w:rtl w:val="0"/>
          <w:lang w:val="en-US"/>
          <w14:textFill>
            <w14:solidFill>
              <w14:srgbClr w14:val="333333"/>
            </w14:solidFill>
          </w14:textFill>
        </w:rPr>
        <w:t xml:space="preserve">s former foreign secretary, argued that the test was aimed at </w:t>
      </w:r>
      <w:r>
        <w:rPr>
          <w:rFonts w:ascii="Times New Roman" w:hAnsi="Times New Roman" w:hint="default"/>
          <w:outline w:val="0"/>
          <w:color w:val="333333"/>
          <w:u w:color="333333"/>
          <w:rtl w:val="0"/>
          <w:lang w:val="en-US"/>
          <w14:textFill>
            <w14:solidFill>
              <w14:srgbClr w14:val="333333"/>
            </w14:solidFill>
          </w14:textFill>
        </w:rPr>
        <w:t>‘</w:t>
      </w:r>
      <w:r>
        <w:rPr>
          <w:rFonts w:ascii="Times New Roman" w:hAnsi="Times New Roman"/>
          <w:outline w:val="0"/>
          <w:color w:val="333333"/>
          <w:u w:color="333333"/>
          <w:rtl w:val="0"/>
          <w:lang w:val="en-US"/>
          <w14:textFill>
            <w14:solidFill>
              <w14:srgbClr w14:val="333333"/>
            </w14:solidFill>
          </w14:textFill>
        </w:rPr>
        <w:t xml:space="preserve">redressing the India-China </w:t>
      </w:r>
      <w:r>
        <w:rPr>
          <w:rFonts w:ascii="Times New Roman" w:hAnsi="Times New Roman"/>
          <w:outline w:val="0"/>
          <w:color w:val="333333"/>
          <w:u w:color="333333"/>
          <w:rtl w:val="0"/>
          <w:lang w:val="it-IT"/>
          <w14:textFill>
            <w14:solidFill>
              <w14:srgbClr w14:val="333333"/>
            </w14:solidFill>
          </w14:textFill>
        </w:rPr>
        <w:t>strategic</w:t>
      </w:r>
      <w:r>
        <w:rPr>
          <w:rFonts w:ascii="Times New Roman" w:hAnsi="Times New Roman"/>
          <w:outline w:val="0"/>
          <w:color w:val="333333"/>
          <w:u w:color="333333"/>
          <w:rtl w:val="0"/>
          <w:lang w:val="en-US"/>
          <w14:textFill>
            <w14:solidFill>
              <w14:srgbClr w14:val="333333"/>
            </w14:solidFill>
          </w14:textFill>
        </w:rPr>
        <w:t xml:space="preserve"> balance</w:t>
      </w:r>
      <w:r>
        <w:rPr>
          <w:rFonts w:ascii="Times New Roman" w:hAnsi="Times New Roman" w:hint="default"/>
          <w:outline w:val="0"/>
          <w:color w:val="333333"/>
          <w:u w:color="333333"/>
          <w:rtl w:val="0"/>
          <w:lang w:val="en-US"/>
          <w14:textFill>
            <w14:solidFill>
              <w14:srgbClr w14:val="333333"/>
            </w14:solidFill>
          </w14:textFill>
        </w:rPr>
        <w:t xml:space="preserve">’ </w:t>
      </w:r>
      <w:r>
        <w:rPr>
          <w:rFonts w:ascii="Times New Roman" w:hAnsi="Times New Roman"/>
          <w:outline w:val="0"/>
          <w:color w:val="333333"/>
          <w:u w:color="333333"/>
          <w:rtl w:val="0"/>
          <w:lang w:val="en-US"/>
          <w14:textFill>
            <w14:solidFill>
              <w14:srgbClr w14:val="333333"/>
            </w14:solidFill>
          </w14:textFill>
        </w:rPr>
        <w:t xml:space="preserve">(Sibal, 2019). </w:t>
      </w:r>
    </w:p>
    <w:p>
      <w:pPr>
        <w:pStyle w:val="Default"/>
        <w:spacing w:before="0" w:after="240" w:line="240" w:lineRule="auto"/>
        <w:jc w:val="both"/>
        <w:rPr>
          <w:rFonts w:ascii="Times New Roman" w:cs="Times New Roman" w:hAnsi="Times New Roman" w:eastAsia="Times New Roman"/>
          <w:outline w:val="0"/>
          <w:color w:val="333333"/>
          <w:u w:color="333333"/>
          <w14:textFill>
            <w14:solidFill>
              <w14:srgbClr w14:val="333333"/>
            </w14:solidFill>
          </w14:textFill>
        </w:rPr>
      </w:pPr>
      <w:r>
        <w:rPr>
          <w:rFonts w:ascii="Times New Roman" w:hAnsi="Times New Roman"/>
          <w:outline w:val="0"/>
          <w:color w:val="333333"/>
          <w:u w:color="333333"/>
          <w:rtl w:val="0"/>
          <w:lang w:val="en-US"/>
          <w14:textFill>
            <w14:solidFill>
              <w14:srgbClr w14:val="333333"/>
            </w14:solidFill>
          </w14:textFill>
        </w:rPr>
        <w:t xml:space="preserve">As </w:t>
      </w:r>
      <w:r>
        <w:rPr>
          <w:rFonts w:ascii="Times New Roman" w:hAnsi="Times New Roman"/>
          <w:rtl w:val="0"/>
          <w:lang w:val="en-US"/>
        </w:rPr>
        <w:t xml:space="preserve">evident from the preceding discussion, the </w:t>
      </w:r>
      <w:r>
        <w:rPr>
          <w:rFonts w:ascii="Times New Roman" w:hAnsi="Times New Roman"/>
          <w:outline w:val="0"/>
          <w:color w:val="333333"/>
          <w:u w:color="333333"/>
          <w:rtl w:val="0"/>
          <w:lang w:val="en-US"/>
          <w14:textFill>
            <w14:solidFill>
              <w14:srgbClr w14:val="333333"/>
            </w14:solidFill>
          </w14:textFill>
        </w:rPr>
        <w:t xml:space="preserve">reorientation of the space policies of middle powers, spurred by the </w:t>
      </w:r>
      <w:r>
        <w:rPr>
          <w:rFonts w:ascii="Times New Roman" w:hAnsi="Times New Roman"/>
          <w:rtl w:val="0"/>
          <w:lang w:val="en-US"/>
        </w:rPr>
        <w:t>ongoing Great Power competition, has resulted in a net overall increase in space militarisation and weaponisation</w:t>
      </w:r>
      <w:r>
        <w:rPr>
          <w:rFonts w:ascii="Times New Roman" w:hAnsi="Times New Roman"/>
          <w:rtl w:val="0"/>
        </w:rPr>
        <w:t>,</w:t>
      </w:r>
      <w:r>
        <w:rPr>
          <w:rFonts w:ascii="Times New Roman" w:hAnsi="Times New Roman"/>
          <w:rtl w:val="0"/>
          <w:lang w:val="en-US"/>
        </w:rPr>
        <w:t xml:space="preserve"> thereby</w:t>
      </w:r>
      <w:r>
        <w:rPr>
          <w:rFonts w:ascii="Times New Roman" w:hAnsi="Times New Roman"/>
          <w:outline w:val="0"/>
          <w:color w:val="333333"/>
          <w:u w:color="333333"/>
          <w:rtl w:val="0"/>
          <w:lang w:val="en-US"/>
          <w14:textFill>
            <w14:solidFill>
              <w14:srgbClr w14:val="333333"/>
            </w14:solidFill>
          </w14:textFill>
        </w:rPr>
        <w:t xml:space="preserve"> undermining space security and adding further instability to the international space order. </w:t>
      </w:r>
    </w:p>
    <w:p>
      <w:pPr>
        <w:pStyle w:val="Default"/>
        <w:spacing w:before="0" w:after="240" w:line="240" w:lineRule="auto"/>
        <w:rPr>
          <w:rFonts w:ascii="Times New Roman" w:cs="Times New Roman" w:hAnsi="Times New Roman" w:eastAsia="Times New Roman"/>
          <w:b w:val="1"/>
          <w:bCs w:val="1"/>
          <w:outline w:val="0"/>
          <w:color w:val="333333"/>
          <w:u w:val="single" w:color="333333"/>
          <w14:textFill>
            <w14:solidFill>
              <w14:srgbClr w14:val="333333"/>
            </w14:solidFill>
          </w14:textFill>
        </w:rPr>
      </w:pPr>
      <w:r>
        <w:rPr>
          <w:rFonts w:ascii="Times New Roman" w:hAnsi="Times New Roman"/>
          <w:b w:val="1"/>
          <w:bCs w:val="1"/>
          <w:outline w:val="0"/>
          <w:color w:val="333333"/>
          <w:u w:color="333333"/>
          <w:rtl w:val="0"/>
          <w:lang w:val="en-US"/>
          <w14:textFill>
            <w14:solidFill>
              <w14:srgbClr w14:val="333333"/>
            </w14:solidFill>
          </w14:textFill>
        </w:rPr>
        <w:t xml:space="preserve">Middle Powers' engagement with Space Governance </w:t>
      </w:r>
    </w:p>
    <w:p>
      <w:pPr>
        <w:pStyle w:val="Default"/>
        <w:spacing w:before="0" w:after="240" w:line="240" w:lineRule="auto"/>
        <w:jc w:val="both"/>
        <w:rPr>
          <w:rFonts w:ascii="Times New Roman" w:cs="Times New Roman" w:hAnsi="Times New Roman" w:eastAsia="Times New Roman"/>
          <w:outline w:val="0"/>
          <w:color w:val="333333"/>
          <w:u w:color="333333"/>
          <w14:textFill>
            <w14:solidFill>
              <w14:srgbClr w14:val="333333"/>
            </w14:solidFill>
          </w14:textFill>
        </w:rPr>
      </w:pPr>
      <w:r>
        <w:rPr>
          <w:rFonts w:ascii="Times New Roman" w:hAnsi="Times New Roman"/>
          <w:outline w:val="0"/>
          <w:color w:val="333333"/>
          <w:u w:color="333333"/>
          <w:rtl w:val="0"/>
          <w:lang w:val="en-US"/>
          <w14:textFill>
            <w14:solidFill>
              <w14:srgbClr w14:val="333333"/>
            </w14:solidFill>
          </w14:textFill>
        </w:rPr>
        <w:t xml:space="preserve">Additionally, in responding to growing perceived threats to space security, the middle powers have also sought to </w:t>
      </w:r>
      <w:r>
        <w:rPr>
          <w:rFonts w:ascii="Times New Roman" w:hAnsi="Times New Roman"/>
          <w:outline w:val="0"/>
          <w:color w:val="333333"/>
          <w:u w:color="333333"/>
          <w:rtl w:val="0"/>
          <w:lang w:val="fr-FR"/>
          <w14:textFill>
            <w14:solidFill>
              <w14:srgbClr w14:val="333333"/>
            </w14:solidFill>
          </w14:textFill>
        </w:rPr>
        <w:t xml:space="preserve">engage </w:t>
      </w:r>
      <w:r>
        <w:rPr>
          <w:rFonts w:ascii="Times New Roman" w:hAnsi="Times New Roman"/>
          <w:outline w:val="0"/>
          <w:color w:val="333333"/>
          <w:u w:color="333333"/>
          <w:rtl w:val="0"/>
          <w:lang w:val="en-US"/>
          <w14:textFill>
            <w14:solidFill>
              <w14:srgbClr w14:val="333333"/>
            </w14:solidFill>
          </w14:textFill>
        </w:rPr>
        <w:t>more actively with the increasingly contested domain of space governance.</w:t>
      </w:r>
    </w:p>
    <w:p>
      <w:pPr>
        <w:pStyle w:val="Default"/>
        <w:spacing w:before="0" w:after="240" w:line="240" w:lineRule="auto"/>
        <w:jc w:val="both"/>
        <w:rPr>
          <w:rFonts w:ascii="Times New Roman" w:cs="Times New Roman" w:hAnsi="Times New Roman" w:eastAsia="Times New Roman"/>
          <w:outline w:val="0"/>
          <w:color w:val="333333"/>
          <w:u w:color="333333"/>
          <w14:textFill>
            <w14:solidFill>
              <w14:srgbClr w14:val="333333"/>
            </w14:solidFill>
          </w14:textFill>
        </w:rPr>
      </w:pPr>
      <w:r>
        <w:rPr>
          <w:rFonts w:ascii="Times New Roman" w:hAnsi="Times New Roman"/>
          <w:outline w:val="0"/>
          <w:color w:val="333333"/>
          <w:u w:color="333333"/>
          <w:rtl w:val="0"/>
          <w:lang w:val="en-US"/>
          <w14:textFill>
            <w14:solidFill>
              <w14:srgbClr w14:val="333333"/>
            </w14:solidFill>
          </w14:textFill>
        </w:rPr>
        <w:t>In this regard, the EU began early on, proposing voluntary, non-binding TCBMs</w:t>
      </w:r>
      <w:r>
        <w:rPr>
          <w:rFonts w:ascii="Times New Roman" w:hAnsi="Times New Roman"/>
          <w:outline w:val="0"/>
          <w:color w:val="333333"/>
          <w:u w:color="333333"/>
          <w:rtl w:val="0"/>
          <w14:textFill>
            <w14:solidFill>
              <w14:srgbClr w14:val="333333"/>
            </w14:solidFill>
          </w14:textFill>
        </w:rPr>
        <w:t xml:space="preserve"> </w:t>
      </w:r>
      <w:r>
        <w:rPr>
          <w:rFonts w:ascii="Times New Roman" w:hAnsi="Times New Roman"/>
          <w:outline w:val="0"/>
          <w:color w:val="333333"/>
          <w:u w:color="333333"/>
          <w:rtl w:val="0"/>
          <w:lang w:val="en-US"/>
          <w14:textFill>
            <w14:solidFill>
              <w14:srgbClr w14:val="333333"/>
            </w14:solidFill>
          </w14:textFill>
        </w:rPr>
        <w:t>in the form of an International Code of Conduct</w:t>
      </w:r>
      <w:r>
        <w:rPr>
          <w:rFonts w:ascii="Times New Roman" w:hAnsi="Times New Roman"/>
          <w:outline w:val="0"/>
          <w:color w:val="333333"/>
          <w:u w:color="333333"/>
          <w:rtl w:val="0"/>
          <w14:textFill>
            <w14:solidFill>
              <w14:srgbClr w14:val="333333"/>
            </w14:solidFill>
          </w14:textFill>
        </w:rPr>
        <w:t xml:space="preserve"> </w:t>
      </w:r>
      <w:r>
        <w:rPr>
          <w:rFonts w:ascii="Times New Roman" w:hAnsi="Times New Roman"/>
          <w:outline w:val="0"/>
          <w:color w:val="333333"/>
          <w:u w:color="333333"/>
          <w:rtl w:val="0"/>
          <w:lang w:val="en-US"/>
          <w14:textFill>
            <w14:solidFill>
              <w14:srgbClr w14:val="333333"/>
            </w14:solidFill>
          </w14:textFill>
        </w:rPr>
        <w:t xml:space="preserve">(ICoC) for Outer Space Activities in 2008 (revised in 2014), aimed at </w:t>
      </w:r>
      <w:r>
        <w:rPr>
          <w:rFonts w:ascii="Times New Roman" w:hAnsi="Times New Roman" w:hint="default"/>
          <w:outline w:val="0"/>
          <w:color w:val="333333"/>
          <w:u w:color="333333"/>
          <w:rtl w:val="0"/>
          <w:lang w:val="en-US"/>
          <w14:textFill>
            <w14:solidFill>
              <w14:srgbClr w14:val="333333"/>
            </w14:solidFill>
          </w14:textFill>
        </w:rPr>
        <w:t>‘</w:t>
      </w:r>
      <w:r>
        <w:rPr>
          <w:rFonts w:ascii="Times New Roman" w:hAnsi="Times New Roman"/>
          <w:outline w:val="0"/>
          <w:color w:val="333333"/>
          <w:u w:color="333333"/>
          <w:rtl w:val="0"/>
          <w:lang w:val="en-US"/>
          <w14:textFill>
            <w14:solidFill>
              <w14:srgbClr w14:val="333333"/>
            </w14:solidFill>
          </w14:textFill>
        </w:rPr>
        <w:t>enhancing the safety, security, and sustainability of space activities and environment (European External Action Service,</w:t>
      </w:r>
      <w:r>
        <w:rPr>
          <w:rFonts w:ascii="Times New Roman" w:hAnsi="Times New Roman" w:hint="default"/>
          <w:outline w:val="0"/>
          <w:color w:val="333333"/>
          <w:u w:color="333333"/>
          <w:rtl w:val="0"/>
          <w14:textFill>
            <w14:solidFill>
              <w14:srgbClr w14:val="333333"/>
            </w14:solidFill>
          </w14:textFill>
        </w:rPr>
        <w:t> </w:t>
      </w:r>
      <w:r>
        <w:rPr>
          <w:rFonts w:ascii="Times New Roman" w:hAnsi="Times New Roman"/>
          <w:outline w:val="0"/>
          <w:color w:val="333333"/>
          <w:u w:color="333333"/>
          <w:rtl w:val="0"/>
          <w:lang w:val="en-US"/>
          <w14:textFill>
            <w14:solidFill>
              <w14:srgbClr w14:val="333333"/>
            </w14:solidFill>
          </w14:textFill>
        </w:rPr>
        <w:t xml:space="preserve">2014, pp. 3). However, the ICoC faced criticism not only from major space powers but also from other middle powers. China and Russia argued that the code should limit itself to </w:t>
      </w:r>
      <w:r>
        <w:rPr>
          <w:rFonts w:ascii="Times New Roman" w:hAnsi="Times New Roman" w:hint="default"/>
          <w:outline w:val="0"/>
          <w:color w:val="333333"/>
          <w:u w:color="333333"/>
          <w:rtl w:val="0"/>
          <w:lang w:val="en-US"/>
          <w14:textFill>
            <w14:solidFill>
              <w14:srgbClr w14:val="333333"/>
            </w14:solidFill>
          </w14:textFill>
        </w:rPr>
        <w:t>‘</w:t>
      </w:r>
      <w:r>
        <w:rPr>
          <w:rFonts w:ascii="Times New Roman" w:hAnsi="Times New Roman"/>
          <w:outline w:val="0"/>
          <w:color w:val="333333"/>
          <w:u w:color="333333"/>
          <w:rtl w:val="0"/>
          <w:lang w:val="en-US"/>
          <w14:textFill>
            <w14:solidFill>
              <w14:srgbClr w14:val="333333"/>
            </w14:solidFill>
          </w14:textFill>
        </w:rPr>
        <w:t>peaceful uses of outer space</w:t>
      </w:r>
      <w:r>
        <w:rPr>
          <w:rFonts w:ascii="Times New Roman" w:hAnsi="Times New Roman" w:hint="default"/>
          <w:outline w:val="0"/>
          <w:color w:val="333333"/>
          <w:u w:color="333333"/>
          <w:rtl w:val="0"/>
          <w:lang w:val="en-US"/>
          <w14:textFill>
            <w14:solidFill>
              <w14:srgbClr w14:val="333333"/>
            </w14:solidFill>
          </w14:textFill>
        </w:rPr>
        <w:t>’</w:t>
      </w:r>
      <w:r>
        <w:rPr>
          <w:rFonts w:ascii="Times New Roman" w:hAnsi="Times New Roman"/>
          <w:outline w:val="0"/>
          <w:color w:val="333333"/>
          <w:u w:color="333333"/>
          <w:rtl w:val="0"/>
          <w:lang w:val="en-US"/>
          <w14:textFill>
            <w14:solidFill>
              <w14:srgbClr w14:val="333333"/>
            </w14:solidFill>
          </w14:textFill>
        </w:rPr>
        <w:t xml:space="preserve">, and objected to the provision of self-defence, arguing that Transparency and confidence-building measures (TCBMs) should not include such references (Irsten, n.d.). The PRC also remained critical of the provision requiring countries to share details on their national space security strategies, and potential limits on the development of military capabilities (Rajagopalan, 2014). After initially rejecting the Code for being too </w:t>
      </w:r>
      <w:r>
        <w:rPr>
          <w:rFonts w:ascii="Times New Roman" w:hAnsi="Times New Roman" w:hint="default"/>
          <w:outline w:val="0"/>
          <w:color w:val="333333"/>
          <w:u w:color="333333"/>
          <w:rtl w:val="0"/>
          <w:lang w:val="en-US"/>
          <w14:textFill>
            <w14:solidFill>
              <w14:srgbClr w14:val="333333"/>
            </w14:solidFill>
          </w14:textFill>
        </w:rPr>
        <w:t>“</w:t>
      </w:r>
      <w:r>
        <w:rPr>
          <w:rFonts w:ascii="Times New Roman" w:hAnsi="Times New Roman"/>
          <w:outline w:val="0"/>
          <w:color w:val="333333"/>
          <w:u w:color="333333"/>
          <w:rtl w:val="0"/>
          <w:lang w:val="en-US"/>
          <w14:textFill>
            <w14:solidFill>
              <w14:srgbClr w14:val="333333"/>
            </w14:solidFill>
          </w14:textFill>
        </w:rPr>
        <w:t>restrictive</w:t>
      </w:r>
      <w:r>
        <w:rPr>
          <w:rFonts w:ascii="Times New Roman" w:hAnsi="Times New Roman" w:hint="default"/>
          <w:outline w:val="0"/>
          <w:color w:val="333333"/>
          <w:u w:color="333333"/>
          <w:rtl w:val="0"/>
          <w:lang w:val="en-US"/>
          <w14:textFill>
            <w14:solidFill>
              <w14:srgbClr w14:val="333333"/>
            </w14:solidFill>
          </w14:textFill>
        </w:rPr>
        <w:t>”</w:t>
      </w:r>
      <w:r>
        <w:rPr>
          <w:rFonts w:ascii="Times New Roman" w:hAnsi="Times New Roman"/>
          <w:outline w:val="0"/>
          <w:color w:val="333333"/>
          <w:u w:color="333333"/>
          <w:rtl w:val="0"/>
          <w:lang w:val="en-US"/>
          <w14:textFill>
            <w14:solidFill>
              <w14:srgbClr w14:val="333333"/>
            </w14:solidFill>
          </w14:textFill>
        </w:rPr>
        <w:t>, the US ultimately endorsed it, but only as a foundation toward developing a new ICoC for space activities, particularly focused on debris-creating activities (Weisgerber, 2012; Bureau of Public Affairs, 2012). While Japan extended full-fledged support, India</w:t>
      </w:r>
      <w:r>
        <w:rPr>
          <w:rFonts w:ascii="Times New Roman" w:hAnsi="Times New Roman"/>
          <w:outline w:val="0"/>
          <w:color w:val="333333"/>
          <w:u w:color="333333"/>
          <w:rtl w:val="0"/>
          <w14:textFill>
            <w14:solidFill>
              <w14:srgbClr w14:val="333333"/>
            </w14:solidFill>
          </w14:textFill>
        </w:rPr>
        <w:t xml:space="preserve"> </w:t>
      </w:r>
      <w:r>
        <w:rPr>
          <w:rFonts w:ascii="Times New Roman" w:hAnsi="Times New Roman"/>
          <w:outline w:val="0"/>
          <w:color w:val="333333"/>
          <w:u w:color="333333"/>
          <w:rtl w:val="0"/>
          <w:lang w:val="en-US"/>
          <w14:textFill>
            <w14:solidFill>
              <w14:srgbClr w14:val="333333"/>
            </w14:solidFill>
          </w14:textFill>
        </w:rPr>
        <w:t>remained opposed to it on the grounds that it was not sufficiently consulted during the drafting process, reflecting New Delhi</w:t>
      </w:r>
      <w:r>
        <w:rPr>
          <w:outline w:val="0"/>
          <w:color w:val="333333"/>
          <w:u w:color="333333"/>
          <w:rtl w:val="1"/>
          <w14:textFill>
            <w14:solidFill>
              <w14:srgbClr w14:val="333333"/>
            </w14:solidFill>
          </w14:textFill>
        </w:rPr>
        <w:t>’</w:t>
      </w:r>
      <w:r>
        <w:rPr>
          <w:rFonts w:ascii="Times New Roman" w:hAnsi="Times New Roman"/>
          <w:outline w:val="0"/>
          <w:color w:val="333333"/>
          <w:u w:color="333333"/>
          <w:rtl w:val="0"/>
          <w:lang w:val="en-US"/>
          <w14:textFill>
            <w14:solidFill>
              <w14:srgbClr w14:val="333333"/>
            </w14:solidFill>
          </w14:textFill>
        </w:rPr>
        <w:t>s desire to play an active role in shaping and influencing rules and norms for space governance</w:t>
      </w:r>
      <w:r>
        <w:rPr>
          <w:rFonts w:ascii="Times New Roman" w:hAnsi="Times New Roman"/>
          <w:outline w:val="0"/>
          <w:color w:val="333333"/>
          <w:u w:color="333333"/>
          <w:rtl w:val="0"/>
          <w14:textFill>
            <w14:solidFill>
              <w14:srgbClr w14:val="333333"/>
            </w14:solidFill>
          </w14:textFill>
        </w:rPr>
        <w:t xml:space="preserve"> (</w:t>
      </w:r>
      <w:r>
        <w:rPr>
          <w:rFonts w:ascii="Times New Roman" w:hAnsi="Times New Roman"/>
          <w:outline w:val="0"/>
          <w:color w:val="333333"/>
          <w:u w:color="333333"/>
          <w:rtl w:val="0"/>
          <w:lang w:val="en-US"/>
          <w14:textFill>
            <w14:solidFill>
              <w14:srgbClr w14:val="333333"/>
            </w14:solidFill>
          </w14:textFill>
        </w:rPr>
        <w:t>Rajagopalan, 2012, p. 143; Stroikos, 2023, p. 196).</w:t>
      </w:r>
    </w:p>
    <w:p>
      <w:pPr>
        <w:pStyle w:val="Default"/>
        <w:spacing w:before="0" w:after="240" w:line="240" w:lineRule="auto"/>
        <w:jc w:val="both"/>
        <w:rPr>
          <w:rFonts w:ascii="Times New Roman" w:cs="Times New Roman" w:hAnsi="Times New Roman" w:eastAsia="Times New Roman"/>
          <w:outline w:val="0"/>
          <w:color w:val="333333"/>
          <w:u w:color="333333"/>
          <w14:textFill>
            <w14:solidFill>
              <w14:srgbClr w14:val="333333"/>
            </w14:solidFill>
          </w14:textFill>
        </w:rPr>
      </w:pPr>
      <w:r>
        <w:rPr>
          <w:rFonts w:ascii="Times New Roman" w:hAnsi="Times New Roman"/>
          <w:outline w:val="0"/>
          <w:color w:val="333333"/>
          <w:u w:color="333333"/>
          <w:rtl w:val="0"/>
          <w:lang w:val="en-US"/>
          <w14:textFill>
            <w14:solidFill>
              <w14:srgbClr w14:val="333333"/>
            </w14:solidFill>
          </w14:textFill>
        </w:rPr>
        <w:t>While India</w:t>
      </w:r>
      <w:r>
        <w:rPr>
          <w:rFonts w:ascii="Times New Roman" w:hAnsi="Times New Roman" w:hint="default"/>
          <w:outline w:val="0"/>
          <w:color w:val="333333"/>
          <w:u w:color="333333"/>
          <w:rtl w:val="0"/>
          <w:lang w:val="en-US"/>
          <w14:textFill>
            <w14:solidFill>
              <w14:srgbClr w14:val="333333"/>
            </w14:solidFill>
          </w14:textFill>
        </w:rPr>
        <w:t>’</w:t>
      </w:r>
      <w:r>
        <w:rPr>
          <w:rFonts w:ascii="Times New Roman" w:hAnsi="Times New Roman"/>
          <w:outline w:val="0"/>
          <w:color w:val="333333"/>
          <w:u w:color="333333"/>
          <w:rtl w:val="0"/>
          <w:lang w:val="en-US"/>
          <w14:textFill>
            <w14:solidFill>
              <w14:srgbClr w14:val="333333"/>
            </w14:solidFill>
          </w14:textFill>
        </w:rPr>
        <w:t xml:space="preserve">s space security strategy has been driven by a security dilemma with China and veered in the direction of growing </w:t>
      </w:r>
      <w:r>
        <w:rPr>
          <w:rFonts w:ascii="Times New Roman" w:hAnsi="Times New Roman"/>
          <w:outline w:val="0"/>
          <w:color w:val="333333"/>
          <w:u w:color="333333"/>
          <w:rtl w:val="0"/>
          <w:lang w:val="en-US"/>
          <w14:textFill>
            <w14:solidFill>
              <w14:srgbClr w14:val="333333"/>
            </w14:solidFill>
          </w14:textFill>
        </w:rPr>
        <w:t>cooperation</w:t>
      </w:r>
      <w:r>
        <w:rPr>
          <w:rFonts w:ascii="Times New Roman" w:hAnsi="Times New Roman"/>
          <w:outline w:val="0"/>
          <w:color w:val="333333"/>
          <w:u w:color="333333"/>
          <w:rtl w:val="0"/>
          <w:lang w:val="en-US"/>
          <w14:textFill>
            <w14:solidFill>
              <w14:srgbClr w14:val="333333"/>
            </w14:solidFill>
          </w14:textFill>
        </w:rPr>
        <w:t xml:space="preserve"> with the US (and allies), its approach to space governance has more closely resembled the Chinese position. Just like the PRC, it has consistently emphasised its opposition to outer space weaponisation and has been advocating for a legally binding treaty for Prevention of an Arms Race in Outer Space (PAROS), viewing TCBMs as complementary to rather than substitutes for such a treaty, as opposed to non-binding behavioural norms favoured by the US and its allies (Rajagopalan, 2012, p. 46; Stroikos, 2025). Reflecting this, it also abstained from voting on a US-led resolution on Direct Ascent ASAT tests at the UNGA (Smith, 2022).  </w:t>
      </w:r>
    </w:p>
    <w:p>
      <w:pPr>
        <w:pStyle w:val="Default"/>
        <w:spacing w:before="0" w:after="240" w:line="240" w:lineRule="auto"/>
        <w:jc w:val="both"/>
        <w:rPr>
          <w:rFonts w:ascii="Times New Roman" w:cs="Times New Roman" w:hAnsi="Times New Roman" w:eastAsia="Times New Roman"/>
          <w:outline w:val="0"/>
          <w:color w:val="333333"/>
          <w:u w:color="333333"/>
          <w14:textFill>
            <w14:solidFill>
              <w14:srgbClr w14:val="333333"/>
            </w14:solidFill>
          </w14:textFill>
        </w:rPr>
      </w:pPr>
      <w:r>
        <w:rPr>
          <w:rFonts w:ascii="Times New Roman" w:hAnsi="Times New Roman"/>
          <w:outline w:val="0"/>
          <w:color w:val="333333"/>
          <w:u w:color="333333"/>
          <w:rtl w:val="0"/>
          <w:lang w:val="en-US"/>
          <w14:textFill>
            <w14:solidFill>
              <w14:srgbClr w14:val="333333"/>
            </w14:solidFill>
          </w14:textFill>
        </w:rPr>
        <w:t>Japan, on the other hand, has consistently supported the position of its ally, the United States. Post the US</w:t>
      </w:r>
      <w:r>
        <w:rPr>
          <w:rFonts w:ascii="Times New Roman" w:hAnsi="Times New Roman" w:hint="default"/>
          <w:outline w:val="0"/>
          <w:color w:val="333333"/>
          <w:u w:color="333333"/>
          <w:rtl w:val="0"/>
          <w:lang w:val="en-US"/>
          <w14:textFill>
            <w14:solidFill>
              <w14:srgbClr w14:val="333333"/>
            </w14:solidFill>
          </w14:textFill>
        </w:rPr>
        <w:t>’</w:t>
      </w:r>
      <w:r>
        <w:rPr>
          <w:rFonts w:ascii="Times New Roman" w:hAnsi="Times New Roman"/>
          <w:outline w:val="0"/>
          <w:color w:val="333333"/>
          <w:u w:color="333333"/>
          <w:rtl w:val="0"/>
          <w:lang w:val="en-US"/>
          <w14:textFill>
            <w14:solidFill>
              <w14:srgbClr w14:val="333333"/>
            </w14:solidFill>
          </w14:textFill>
        </w:rPr>
        <w:t xml:space="preserve">s announcement of a unilateral ban </w:t>
      </w:r>
      <w:r>
        <w:rPr>
          <w:rFonts w:ascii="Times New Roman" w:hAnsi="Times New Roman"/>
          <w:outline w:val="0"/>
          <w:color w:val="333333"/>
          <w:u w:color="333333"/>
          <w:rtl w:val="0"/>
          <w14:textFill>
            <w14:solidFill>
              <w14:srgbClr w14:val="333333"/>
            </w14:solidFill>
          </w14:textFill>
        </w:rPr>
        <w:t xml:space="preserve">on </w:t>
      </w:r>
      <w:r>
        <w:rPr>
          <w:rFonts w:ascii="Times New Roman" w:hAnsi="Times New Roman"/>
          <w:outline w:val="0"/>
          <w:color w:val="333333"/>
          <w:u w:color="333333"/>
          <w:rtl w:val="0"/>
          <w:lang w:val="en-US"/>
          <w14:textFill>
            <w14:solidFill>
              <w14:srgbClr w14:val="333333"/>
            </w14:solidFill>
          </w14:textFill>
        </w:rPr>
        <w:t>the conduct of destructive, debris-generating Direct Ascent ASAT test in April 2022, it followed suit with a similar commitment in September 2022 (Ministry of Foreign Affairs, Japan 2022). Building on this approach, its Space Security initiative document released in 2023 called for a more active role in shaping norms for responsible behaviour in outer space through cooperation with allies and like-minded countries to advance the development of international norms and rules for outer space governance</w:t>
      </w:r>
      <w:r>
        <w:rPr>
          <w:rFonts w:ascii="Times New Roman" w:hAnsi="Times New Roman"/>
          <w:outline w:val="0"/>
          <w:color w:val="333333"/>
          <w:u w:color="333333"/>
          <w:rtl w:val="0"/>
          <w14:textFill>
            <w14:solidFill>
              <w14:srgbClr w14:val="333333"/>
            </w14:solidFill>
          </w14:textFill>
        </w:rPr>
        <w:t xml:space="preserve">, </w:t>
      </w:r>
      <w:r>
        <w:rPr>
          <w:rFonts w:ascii="Times New Roman" w:hAnsi="Times New Roman"/>
          <w:outline w:val="0"/>
          <w:color w:val="333333"/>
          <w:u w:color="333333"/>
          <w:rtl w:val="0"/>
          <w:lang w:val="en-US"/>
          <w14:textFill>
            <w14:solidFill>
              <w14:srgbClr w14:val="333333"/>
            </w14:solidFill>
          </w14:textFill>
        </w:rPr>
        <w:t>particularly on issues concerning national security (The Space Development Strategy Headquarters, Japan 2023, pp. 11).</w:t>
      </w:r>
    </w:p>
    <w:p>
      <w:pPr>
        <w:pStyle w:val="Default"/>
        <w:spacing w:before="0" w:after="240" w:line="240" w:lineRule="auto"/>
        <w:jc w:val="both"/>
        <w:rPr>
          <w:rFonts w:ascii="Times New Roman" w:cs="Times New Roman" w:hAnsi="Times New Roman" w:eastAsia="Times New Roman"/>
          <w:outline w:val="0"/>
          <w:color w:val="333333"/>
          <w:u w:color="333333"/>
          <w14:textFill>
            <w14:solidFill>
              <w14:srgbClr w14:val="333333"/>
            </w14:solidFill>
          </w14:textFill>
        </w:rPr>
      </w:pPr>
      <w:r>
        <w:rPr>
          <w:rFonts w:ascii="Times New Roman" w:hAnsi="Times New Roman"/>
          <w:outline w:val="0"/>
          <w:color w:val="333333"/>
          <w:u w:color="333333"/>
          <w:rtl w:val="0"/>
          <w:lang w:val="en-US"/>
          <w14:textFill>
            <w14:solidFill>
              <w14:srgbClr w14:val="333333"/>
            </w14:solidFill>
          </w14:textFill>
        </w:rPr>
        <w:t>These powers</w:t>
      </w:r>
      <w:r>
        <w:rPr>
          <w:rFonts w:ascii="Times New Roman" w:hAnsi="Times New Roman" w:hint="default"/>
          <w:outline w:val="0"/>
          <w:color w:val="333333"/>
          <w:u w:color="333333"/>
          <w:rtl w:val="0"/>
          <w:lang w:val="en-US"/>
          <w14:textFill>
            <w14:solidFill>
              <w14:srgbClr w14:val="333333"/>
            </w14:solidFill>
          </w14:textFill>
        </w:rPr>
        <w:t xml:space="preserve">’ </w:t>
      </w:r>
      <w:r>
        <w:rPr>
          <w:rFonts w:ascii="Times New Roman" w:hAnsi="Times New Roman"/>
          <w:outline w:val="0"/>
          <w:color w:val="333333"/>
          <w:u w:color="333333"/>
          <w:rtl w:val="0"/>
          <w:lang w:val="en-US"/>
          <w14:textFill>
            <w14:solidFill>
              <w14:srgbClr w14:val="333333"/>
            </w14:solidFill>
          </w14:textFill>
        </w:rPr>
        <w:t xml:space="preserve">growing engagement with, and divergent positions on space governance have added another layer of complexity to the ongoing great power competition for shaping rules and norms for the governance of outer space, particularly on the issue of </w:t>
      </w:r>
      <w:r>
        <w:rPr>
          <w:rFonts w:ascii="Times New Roman" w:hAnsi="Times New Roman"/>
          <w:outline w:val="0"/>
          <w:color w:val="333333"/>
          <w:u w:color="333333"/>
          <w:rtl w:val="0"/>
          <w:lang w:val="en-US"/>
          <w14:textFill>
            <w14:solidFill>
              <w14:srgbClr w14:val="333333"/>
            </w14:solidFill>
          </w14:textFill>
        </w:rPr>
        <w:t xml:space="preserve">outer </w:t>
      </w:r>
      <w:r>
        <w:rPr>
          <w:rFonts w:ascii="Times New Roman" w:hAnsi="Times New Roman"/>
          <w:outline w:val="0"/>
          <w:color w:val="333333"/>
          <w:u w:color="333333"/>
          <w:rtl w:val="0"/>
          <w:lang w:val="en-US"/>
          <w14:textFill>
            <w14:solidFill>
              <w14:srgbClr w14:val="333333"/>
            </w14:solidFill>
          </w14:textFill>
        </w:rPr>
        <w:t xml:space="preserve">space </w:t>
      </w:r>
      <w:r>
        <w:rPr>
          <w:rFonts w:ascii="Times New Roman" w:hAnsi="Times New Roman"/>
          <w:outline w:val="0"/>
          <w:color w:val="333333"/>
          <w:u w:color="333333"/>
          <w:rtl w:val="0"/>
          <w:lang w:val="fr-FR"/>
          <w14:textFill>
            <w14:solidFill>
              <w14:srgbClr w14:val="333333"/>
            </w14:solidFill>
          </w14:textFill>
        </w:rPr>
        <w:t>weaponisation</w:t>
      </w:r>
      <w:r>
        <w:rPr>
          <w:rFonts w:ascii="Times New Roman" w:hAnsi="Times New Roman"/>
          <w:outline w:val="0"/>
          <w:color w:val="333333"/>
          <w:u w:color="333333"/>
          <w:rtl w:val="0"/>
          <w:lang w:val="en-US"/>
          <w14:textFill>
            <w14:solidFill>
              <w14:srgbClr w14:val="333333"/>
            </w14:solidFill>
          </w14:textFill>
        </w:rPr>
        <w:t xml:space="preserve">. </w:t>
      </w:r>
    </w:p>
    <w:p>
      <w:pPr>
        <w:pStyle w:val="Default"/>
        <w:spacing w:before="0" w:after="240" w:line="240" w:lineRule="auto"/>
        <w:rPr>
          <w:rFonts w:ascii="Times New Roman" w:cs="Times New Roman" w:hAnsi="Times New Roman" w:eastAsia="Times New Roman"/>
          <w:b w:val="1"/>
          <w:bCs w:val="1"/>
          <w:outline w:val="0"/>
          <w:color w:val="333333"/>
          <w:sz w:val="28"/>
          <w:szCs w:val="28"/>
          <w:u w:color="333333"/>
          <w14:textFill>
            <w14:solidFill>
              <w14:srgbClr w14:val="333333"/>
            </w14:solidFill>
          </w14:textFill>
        </w:rPr>
      </w:pPr>
      <w:r>
        <w:rPr>
          <w:rFonts w:ascii="Times New Roman" w:hAnsi="Times New Roman"/>
          <w:b w:val="1"/>
          <w:bCs w:val="1"/>
          <w:outline w:val="0"/>
          <w:color w:val="333333"/>
          <w:sz w:val="28"/>
          <w:szCs w:val="28"/>
          <w:u w:color="333333"/>
          <w:rtl w:val="0"/>
          <w:lang w:val="en-US"/>
          <w14:textFill>
            <w14:solidFill>
              <w14:srgbClr w14:val="333333"/>
            </w14:solidFill>
          </w14:textFill>
        </w:rPr>
        <w:t>CONCLUSION</w:t>
      </w:r>
    </w:p>
    <w:p>
      <w:pPr>
        <w:pStyle w:val="Default"/>
        <w:spacing w:before="0" w:after="240" w:line="240" w:lineRule="auto"/>
        <w:jc w:val="both"/>
        <w:rPr>
          <w:rFonts w:ascii="Times New Roman" w:cs="Times New Roman" w:hAnsi="Times New Roman" w:eastAsia="Times New Roman"/>
          <w:outline w:val="0"/>
          <w:color w:val="333333"/>
          <w:u w:color="333333"/>
          <w14:textFill>
            <w14:solidFill>
              <w14:srgbClr w14:val="333333"/>
            </w14:solidFill>
          </w14:textFill>
        </w:rPr>
      </w:pPr>
      <w:r>
        <w:rPr>
          <w:rFonts w:ascii="Times New Roman" w:hAnsi="Times New Roman"/>
          <w:outline w:val="0"/>
          <w:color w:val="333333"/>
          <w:u w:color="333333"/>
          <w:rtl w:val="0"/>
          <w:lang w:val="en-US"/>
          <w14:textFill>
            <w14:solidFill>
              <w14:srgbClr w14:val="333333"/>
            </w14:solidFill>
          </w14:textFill>
        </w:rPr>
        <w:t xml:space="preserve">The intensifying Great Power Competition in space between the United States and China, marked by a growing militarisation and weaponisation of the domain, and a contest over shaping space governance </w:t>
      </w:r>
      <w:r>
        <w:rPr>
          <w:rFonts w:ascii="Times New Roman" w:hAnsi="Times New Roman"/>
          <w:outline w:val="0"/>
          <w:color w:val="333333"/>
          <w:u w:color="333333"/>
          <w:rtl w:val="0"/>
          <w14:textFill>
            <w14:solidFill>
              <w14:srgbClr w14:val="333333"/>
            </w14:solidFill>
          </w14:textFill>
        </w:rPr>
        <w:t>mechanisms</w:t>
      </w:r>
      <w:r>
        <w:rPr>
          <w:rFonts w:ascii="Times New Roman" w:hAnsi="Times New Roman"/>
          <w:outline w:val="0"/>
          <w:color w:val="333333"/>
          <w:u w:color="333333"/>
          <w:rtl w:val="0"/>
          <w:lang w:val="en-US"/>
          <w14:textFill>
            <w14:solidFill>
              <w14:srgbClr w14:val="333333"/>
            </w14:solidFill>
          </w14:textFill>
        </w:rPr>
        <w:t xml:space="preserve">, has had grave consequences for international space security. In response, the Middle powers have reoriented their space strategies to deal with accelerating risks to space security and safeguard their interests. This has taken place along two key dimensions: 1) a growing focus on security-related aspects of space and the development of relevant capabilities, and 2) </w:t>
      </w:r>
      <w:r>
        <w:rPr>
          <w:rFonts w:ascii="Times New Roman" w:hAnsi="Times New Roman"/>
          <w:outline w:val="0"/>
          <w:color w:val="333333"/>
          <w:u w:color="333333"/>
          <w:rtl w:val="0"/>
          <w14:textFill>
            <w14:solidFill>
              <w14:srgbClr w14:val="333333"/>
            </w14:solidFill>
          </w14:textFill>
        </w:rPr>
        <w:t xml:space="preserve">an </w:t>
      </w:r>
      <w:r>
        <w:rPr>
          <w:rFonts w:ascii="Times New Roman" w:hAnsi="Times New Roman"/>
          <w:outline w:val="0"/>
          <w:color w:val="333333"/>
          <w:u w:color="333333"/>
          <w:rtl w:val="0"/>
          <w:lang w:val="en-US"/>
          <w14:textFill>
            <w14:solidFill>
              <w14:srgbClr w14:val="333333"/>
            </w14:solidFill>
          </w14:textFill>
        </w:rPr>
        <w:t>increasing emphasis on a more active engagement with space governance. However, their focus on the development of military space and counterspace capabilities is likely to further undermine</w:t>
      </w:r>
      <w:r>
        <w:rPr>
          <w:rFonts w:ascii="Times New Roman" w:hAnsi="Times New Roman"/>
          <w:outline w:val="0"/>
          <w:color w:val="333333"/>
          <w:u w:color="333333"/>
          <w:rtl w:val="0"/>
          <w14:textFill>
            <w14:solidFill>
              <w14:srgbClr w14:val="333333"/>
            </w14:solidFill>
          </w14:textFill>
        </w:rPr>
        <w:t xml:space="preserve"> </w:t>
      </w:r>
      <w:r>
        <w:rPr>
          <w:rFonts w:ascii="Times New Roman" w:hAnsi="Times New Roman"/>
          <w:outline w:val="0"/>
          <w:color w:val="333333"/>
          <w:u w:color="333333"/>
          <w:rtl w:val="0"/>
          <w:lang w:val="en-US"/>
          <w14:textFill>
            <w14:solidFill>
              <w14:srgbClr w14:val="333333"/>
            </w14:solidFill>
          </w14:textFill>
        </w:rPr>
        <w:t xml:space="preserve">space security, </w:t>
      </w:r>
      <w:r>
        <w:rPr>
          <w:rFonts w:ascii="Times New Roman" w:hAnsi="Times New Roman"/>
          <w:outline w:val="0"/>
          <w:color w:val="333333"/>
          <w:u w:color="333333"/>
          <w:rtl w:val="0"/>
          <w:lang w:val="it-IT"/>
          <w14:textFill>
            <w14:solidFill>
              <w14:srgbClr w14:val="333333"/>
            </w14:solidFill>
          </w14:textFill>
        </w:rPr>
        <w:t>insofar</w:t>
      </w:r>
      <w:r>
        <w:rPr>
          <w:rFonts w:ascii="Times New Roman" w:hAnsi="Times New Roman"/>
          <w:outline w:val="0"/>
          <w:color w:val="333333"/>
          <w:u w:color="333333"/>
          <w:rtl w:val="0"/>
          <w:lang w:val="en-US"/>
          <w14:textFill>
            <w14:solidFill>
              <w14:srgbClr w14:val="333333"/>
            </w14:solidFill>
          </w14:textFill>
        </w:rPr>
        <w:t xml:space="preserve"> as it may </w:t>
      </w:r>
      <w:r>
        <w:rPr>
          <w:rFonts w:ascii="Times New Roman" w:hAnsi="Times New Roman"/>
          <w:outline w:val="0"/>
          <w:color w:val="333333"/>
          <w:u w:color="333333"/>
          <w:rtl w:val="0"/>
          <w:lang w:val="it-IT"/>
          <w14:textFill>
            <w14:solidFill>
              <w14:srgbClr w14:val="333333"/>
            </w14:solidFill>
          </w14:textFill>
        </w:rPr>
        <w:t>incentivise</w:t>
      </w:r>
      <w:r>
        <w:rPr>
          <w:rFonts w:ascii="Times New Roman" w:hAnsi="Times New Roman"/>
          <w:outline w:val="0"/>
          <w:color w:val="333333"/>
          <w:u w:color="333333"/>
          <w:rtl w:val="0"/>
          <w:lang w:val="en-US"/>
          <w14:textFill>
            <w14:solidFill>
              <w14:srgbClr w14:val="333333"/>
            </w14:solidFill>
          </w14:textFill>
        </w:rPr>
        <w:t xml:space="preserve"> more actors to pursue such capabilities. Additionally, their increasing engagement with space governance, marked by divergent positions and competing desires to influence rules and norms for outer space governance, has made achieving consensus increasingly difficult at a time when an effective governance </w:t>
      </w:r>
      <w:r>
        <w:rPr>
          <w:rFonts w:ascii="Times New Roman" w:hAnsi="Times New Roman"/>
          <w:outline w:val="0"/>
          <w:color w:val="333333"/>
          <w:u w:color="333333"/>
          <w:rtl w:val="0"/>
          <w14:textFill>
            <w14:solidFill>
              <w14:srgbClr w14:val="333333"/>
            </w14:solidFill>
          </w14:textFill>
        </w:rPr>
        <w:t>mechanism</w:t>
      </w:r>
      <w:r>
        <w:rPr>
          <w:rFonts w:ascii="Times New Roman" w:hAnsi="Times New Roman"/>
          <w:outline w:val="0"/>
          <w:color w:val="333333"/>
          <w:u w:color="333333"/>
          <w:rtl w:val="0"/>
          <w:lang w:val="en-US"/>
          <w14:textFill>
            <w14:solidFill>
              <w14:srgbClr w14:val="333333"/>
            </w14:solidFill>
          </w14:textFill>
        </w:rPr>
        <w:t xml:space="preserve"> is urgently needed.</w:t>
      </w:r>
      <w:r>
        <w:rPr>
          <w:rFonts w:ascii="Times New Roman" w:hAnsi="Times New Roman"/>
          <w:outline w:val="0"/>
          <w:color w:val="333333"/>
          <w:u w:color="333333"/>
          <w:rtl w:val="0"/>
          <w14:textFill>
            <w14:solidFill>
              <w14:srgbClr w14:val="333333"/>
            </w14:solidFill>
          </w14:textFill>
        </w:rPr>
        <w:t xml:space="preserve"> </w:t>
      </w:r>
      <w:r>
        <w:rPr>
          <w:rFonts w:ascii="Times New Roman" w:hAnsi="Times New Roman"/>
          <w:outline w:val="0"/>
          <w:color w:val="333333"/>
          <w:u w:color="333333"/>
          <w:rtl w:val="0"/>
          <w:lang w:val="en-US"/>
          <w14:textFill>
            <w14:solidFill>
              <w14:srgbClr w14:val="333333"/>
            </w14:solidFill>
          </w14:textFill>
        </w:rPr>
        <w:t>This also risks the fragmentation of the international community on the issue of space security into blocs,</w:t>
      </w:r>
      <w:r>
        <w:rPr>
          <w:rFonts w:ascii="Times New Roman" w:hAnsi="Times New Roman"/>
          <w:outline w:val="0"/>
          <w:color w:val="333333"/>
          <w:u w:color="333333"/>
          <w:rtl w:val="0"/>
          <w14:textFill>
            <w14:solidFill>
              <w14:srgbClr w14:val="333333"/>
            </w14:solidFill>
          </w14:textFill>
        </w:rPr>
        <w:t xml:space="preserve"> </w:t>
      </w:r>
      <w:r>
        <w:rPr>
          <w:rFonts w:ascii="Times New Roman" w:hAnsi="Times New Roman"/>
          <w:outline w:val="0"/>
          <w:color w:val="333333"/>
          <w:u w:color="333333"/>
          <w:rtl w:val="0"/>
          <w:lang w:val="en-US"/>
          <w14:textFill>
            <w14:solidFill>
              <w14:srgbClr w14:val="333333"/>
            </w14:solidFill>
          </w14:textFill>
        </w:rPr>
        <w:t>one supporting legally binding measures (as advocated by China), and the other favouring voluntary norms (as preferred by the</w:t>
      </w:r>
      <w:r>
        <w:rPr>
          <w:rFonts w:ascii="Times New Roman" w:hAnsi="Times New Roman"/>
          <w:outline w:val="0"/>
          <w:color w:val="333333"/>
          <w:u w:color="333333"/>
          <w:rtl w:val="0"/>
          <w14:textFill>
            <w14:solidFill>
              <w14:srgbClr w14:val="333333"/>
            </w14:solidFill>
          </w14:textFill>
        </w:rPr>
        <w:t xml:space="preserve"> US)</w:t>
      </w:r>
      <w:r>
        <w:rPr>
          <w:rFonts w:ascii="Times New Roman" w:hAnsi="Times New Roman"/>
          <w:outline w:val="0"/>
          <w:color w:val="333333"/>
          <w:u w:color="333333"/>
          <w:rtl w:val="0"/>
          <w:lang w:val="en-US"/>
          <w14:textFill>
            <w14:solidFill>
              <w14:srgbClr w14:val="333333"/>
            </w14:solidFill>
          </w14:textFill>
        </w:rPr>
        <w:t>. Taken together, these developments have further compounded the challenges to outer space security and stability.</w:t>
      </w:r>
    </w:p>
    <w:p>
      <w:pPr>
        <w:pStyle w:val="Body A"/>
        <w:spacing w:line="360" w:lineRule="auto"/>
        <w:jc w:val="both"/>
        <w:rPr>
          <w:rFonts w:ascii="Times New Roman" w:cs="Times New Roman" w:hAnsi="Times New Roman" w:eastAsia="Times New Roman"/>
          <w:b w:val="1"/>
          <w:bCs w:val="1"/>
          <w:outline w:val="0"/>
          <w:color w:val="333333"/>
          <w:sz w:val="28"/>
          <w:szCs w:val="28"/>
          <w:u w:color="333333"/>
          <w:lang w:val="en-US"/>
          <w14:textFill>
            <w14:solidFill>
              <w14:srgbClr w14:val="333333"/>
            </w14:solidFill>
          </w14:textFill>
        </w:rPr>
      </w:pPr>
      <w:r>
        <w:rPr>
          <w:rFonts w:ascii="Times New Roman" w:hAnsi="Times New Roman"/>
          <w:b w:val="1"/>
          <w:bCs w:val="1"/>
          <w:outline w:val="0"/>
          <w:color w:val="333333"/>
          <w:sz w:val="28"/>
          <w:szCs w:val="28"/>
          <w:u w:color="333333"/>
          <w:rtl w:val="0"/>
          <w:lang w:val="en-US"/>
          <w14:textFill>
            <w14:solidFill>
              <w14:srgbClr w14:val="333333"/>
            </w14:solidFill>
          </w14:textFill>
        </w:rPr>
        <w:t xml:space="preserve">REFERENCES </w:t>
      </w:r>
    </w:p>
    <w:p>
      <w:pPr>
        <w:pStyle w:val="Body A"/>
        <w:rPr>
          <w:rFonts w:ascii="Times New Roman" w:cs="Times New Roman" w:hAnsi="Times New Roman" w:eastAsia="Times New Roman"/>
          <w:sz w:val="24"/>
          <w:szCs w:val="24"/>
          <w:lang w:val="en-US"/>
        </w:rPr>
      </w:pPr>
      <w:r>
        <w:rPr>
          <w:rFonts w:ascii="Times New Roman" w:hAnsi="Times New Roman"/>
          <w:outline w:val="0"/>
          <w:color w:val="333333"/>
          <w:sz w:val="24"/>
          <w:szCs w:val="24"/>
          <w:u w:color="333333"/>
          <w:rtl w:val="0"/>
          <w:lang w:val="en-US"/>
          <w14:textFill>
            <w14:solidFill>
              <w14:srgbClr w14:val="333333"/>
            </w14:solidFill>
          </w14:textFill>
        </w:rPr>
        <w:t xml:space="preserve">1. </w:t>
      </w:r>
      <w:r>
        <w:rPr>
          <w:rFonts w:ascii="Times New Roman" w:hAnsi="Times New Roman"/>
          <w:sz w:val="24"/>
          <w:szCs w:val="24"/>
          <w:rtl w:val="0"/>
          <w:lang w:val="en-US"/>
        </w:rPr>
        <w:t xml:space="preserve">Aliberti, M. (2018). India in Space: Between utility and Geopolitics. In </w:t>
      </w:r>
      <w:r>
        <w:rPr>
          <w:rFonts w:ascii="Times New Roman" w:hAnsi="Times New Roman"/>
          <w:i w:val="1"/>
          <w:iCs w:val="1"/>
          <w:sz w:val="24"/>
          <w:szCs w:val="24"/>
          <w:rtl w:val="0"/>
          <w:lang w:val="en-US"/>
        </w:rPr>
        <w:t>Studies in space policy</w:t>
      </w:r>
      <w:r>
        <w:rPr>
          <w:rFonts w:ascii="Times New Roman" w:hAnsi="Times New Roman"/>
          <w:sz w:val="24"/>
          <w:szCs w:val="24"/>
          <w:rtl w:val="0"/>
          <w:lang w:val="en-US"/>
        </w:rPr>
        <w:t>. https://doi.org/10.1007/978-3-319-71652-7</w:t>
      </w:r>
    </w:p>
    <w:p>
      <w:pPr>
        <w:pStyle w:val="Body"/>
      </w:pPr>
      <w:r>
        <w:rPr>
          <w:rtl w:val="0"/>
          <w:lang w:val="en-US"/>
        </w:rPr>
        <w:t xml:space="preserve">2. </w:t>
      </w:r>
      <w:r>
        <w:rPr>
          <w:rtl w:val="0"/>
          <w:lang w:val="en-US"/>
        </w:rPr>
        <w:t xml:space="preserve">Bayer, L., &amp; Siebold, S. (2025, April 3). Rubio: US is committed to NATO, but Europe must spend more on defence. </w:t>
      </w:r>
      <w:r>
        <w:rPr>
          <w:i w:val="1"/>
          <w:iCs w:val="1"/>
          <w:rtl w:val="0"/>
          <w:lang w:val="de-DE"/>
        </w:rPr>
        <w:t>Reuters</w:t>
      </w:r>
      <w:r>
        <w:rPr>
          <w:rtl w:val="0"/>
          <w:lang w:val="en-US"/>
        </w:rPr>
        <w:t>. https://www.reuters.com/world/us-has-no-plans-sudden-withdrawal-europe-natos-rutte-says-2025-04-03/</w:t>
      </w:r>
    </w:p>
    <w:p>
      <w:pPr>
        <w:pStyle w:val="Body"/>
      </w:pPr>
      <w:r>
        <w:rPr>
          <w:rtl w:val="0"/>
        </w:rPr>
        <w:t xml:space="preserve">3. </w:t>
      </w:r>
      <w:r>
        <w:rPr>
          <w:rtl w:val="0"/>
          <w:lang w:val="nl-NL"/>
        </w:rPr>
        <w:t>Bingen, K. A.,</w:t>
      </w:r>
      <w:r>
        <w:rPr>
          <w:rtl w:val="0"/>
          <w:lang w:val="en-US"/>
        </w:rPr>
        <w:t xml:space="preserve"> &amp; Young, M. (2024). </w:t>
      </w:r>
      <w:r>
        <w:rPr>
          <w:i w:val="1"/>
          <w:iCs w:val="1"/>
          <w:rtl w:val="0"/>
          <w:lang w:val="en-US"/>
        </w:rPr>
        <w:t>From Earth to Uch</w:t>
      </w:r>
      <w:r>
        <w:rPr>
          <w:i w:val="1"/>
          <w:iCs w:val="1"/>
          <w:rtl w:val="0"/>
        </w:rPr>
        <w:t>ū</w:t>
      </w:r>
      <w:r>
        <w:rPr>
          <w:rtl w:val="0"/>
          <w:lang w:val="en-US"/>
        </w:rPr>
        <w:t xml:space="preserve"> [Report]. CSIS. https://aerospace.csis.org/wp-content/uploads/2024/08/240823_Bingen_Earth_Uchu-min.pdf</w:t>
      </w:r>
    </w:p>
    <w:p>
      <w:pPr>
        <w:pStyle w:val="Body"/>
      </w:pPr>
      <w:r>
        <w:rPr>
          <w:rtl w:val="0"/>
        </w:rPr>
        <w:t xml:space="preserve">4. </w:t>
      </w:r>
      <w:r>
        <w:rPr>
          <w:rtl w:val="0"/>
          <w:lang w:val="en-US"/>
        </w:rPr>
        <w:t xml:space="preserve">Blazejewski, K. S. (2008). Space weaponization and US-China relations. </w:t>
      </w:r>
      <w:r>
        <w:rPr>
          <w:i w:val="1"/>
          <w:iCs w:val="1"/>
          <w:rtl w:val="0"/>
          <w:lang w:val="de-DE"/>
        </w:rPr>
        <w:t>Strategic Studies Quarterly</w:t>
      </w:r>
      <w:r>
        <w:rPr>
          <w:i w:val="1"/>
          <w:iCs w:val="1"/>
          <w:rtl w:val="0"/>
          <w:lang w:val="en-US"/>
        </w:rPr>
        <w:t xml:space="preserve">, </w:t>
      </w:r>
      <w:r>
        <w:rPr>
          <w:i w:val="1"/>
          <w:iCs w:val="1"/>
          <w:rtl w:val="0"/>
          <w:lang w:val="en-US"/>
        </w:rPr>
        <w:t xml:space="preserve">2 </w:t>
      </w:r>
      <w:r>
        <w:rPr>
          <w:i w:val="1"/>
          <w:iCs w:val="1"/>
          <w:rtl w:val="0"/>
          <w:lang w:val="en-US"/>
        </w:rPr>
        <w:t>(</w:t>
      </w:r>
      <w:r>
        <w:rPr>
          <w:rtl w:val="0"/>
        </w:rPr>
        <w:t>1</w:t>
      </w:r>
      <w:r>
        <w:rPr>
          <w:rtl w:val="0"/>
          <w:lang w:val="en-US"/>
        </w:rPr>
        <w:t>)</w:t>
      </w:r>
      <w:r>
        <w:rPr>
          <w:rtl w:val="0"/>
        </w:rPr>
        <w:t>,</w:t>
      </w:r>
      <w:r>
        <w:rPr>
          <w:rtl w:val="0"/>
          <w:lang w:val="en-US"/>
        </w:rPr>
        <w:t xml:space="preserve"> </w:t>
      </w:r>
      <w:r>
        <w:rPr>
          <w:rtl w:val="0"/>
        </w:rPr>
        <w:t>33</w:t>
      </w:r>
      <w:r>
        <w:rPr>
          <w:rtl w:val="0"/>
        </w:rPr>
        <w:t>–</w:t>
      </w:r>
      <w:r>
        <w:rPr>
          <w:rtl w:val="0"/>
        </w:rPr>
        <w:t>55.</w:t>
      </w:r>
    </w:p>
    <w:p>
      <w:pPr>
        <w:pStyle w:val="Body"/>
      </w:pPr>
      <w:r>
        <w:rPr>
          <w:rtl w:val="0"/>
        </w:rPr>
        <w:t xml:space="preserve">5. </w:t>
      </w:r>
      <w:r>
        <w:rPr>
          <w:rtl w:val="0"/>
          <w:lang w:val="en-US"/>
        </w:rPr>
        <w:t xml:space="preserve">Burdette, Z. (2025). The U.S.-China military balance in space. </w:t>
      </w:r>
      <w:r>
        <w:rPr>
          <w:i w:val="1"/>
          <w:iCs w:val="1"/>
          <w:rtl w:val="0"/>
          <w:lang w:val="en-US"/>
        </w:rPr>
        <w:t>International Security</w:t>
      </w:r>
      <w:r>
        <w:rPr>
          <w:rtl w:val="0"/>
        </w:rPr>
        <w:t xml:space="preserve">, </w:t>
      </w:r>
      <w:r>
        <w:rPr>
          <w:i w:val="1"/>
          <w:iCs w:val="1"/>
          <w:rtl w:val="0"/>
        </w:rPr>
        <w:t>49</w:t>
      </w:r>
      <w:r>
        <w:rPr>
          <w:rtl w:val="0"/>
        </w:rPr>
        <w:t>(4), 71</w:t>
      </w:r>
      <w:r>
        <w:rPr>
          <w:rtl w:val="0"/>
        </w:rPr>
        <w:t>–</w:t>
      </w:r>
      <w:r>
        <w:rPr>
          <w:rtl w:val="0"/>
          <w:lang w:val="en-US"/>
        </w:rPr>
        <w:t>118. https://doi.org/10.1162/isec_a_00509</w:t>
      </w:r>
    </w:p>
    <w:p>
      <w:pPr>
        <w:pStyle w:val="Body"/>
        <w:rPr>
          <w:lang w:val="en-US"/>
        </w:rPr>
      </w:pPr>
      <w:r>
        <w:rPr>
          <w:rtl w:val="0"/>
        </w:rPr>
        <w:t xml:space="preserve">6. </w:t>
      </w:r>
      <w:r>
        <w:rPr>
          <w:rtl w:val="0"/>
          <w:lang w:val="en-US"/>
        </w:rPr>
        <w:t>Bureau of Public Affairs. (2012</w:t>
      </w:r>
      <w:r>
        <w:rPr>
          <w:rtl w:val="0"/>
        </w:rPr>
        <w:t xml:space="preserve">). </w:t>
      </w:r>
      <w:r>
        <w:rPr>
          <w:i w:val="1"/>
          <w:iCs w:val="1"/>
          <w:rtl w:val="0"/>
          <w:lang w:val="en-US"/>
        </w:rPr>
        <w:t>An International Code of Conduct for Outer Space activities: Strengthening Long-Term Sustainability, Stability, Safety, and Security in space</w:t>
      </w:r>
      <w:r>
        <w:rPr>
          <w:rtl w:val="0"/>
          <w:lang w:val="en-US"/>
        </w:rPr>
        <w:t xml:space="preserve">. US Department of State. </w:t>
      </w:r>
      <w:r>
        <w:rPr>
          <w:rtl w:val="0"/>
        </w:rPr>
        <w:t>https://2009-2017.state.gov/documents/organization/181208.pdf</w:t>
      </w:r>
    </w:p>
    <w:p>
      <w:pPr>
        <w:pStyle w:val="Body"/>
        <w:rPr>
          <w:outline w:val="0"/>
          <w:color w:val="333333"/>
          <w:u w:color="333333"/>
          <w:lang w:val="en-US"/>
          <w14:textFill>
            <w14:solidFill>
              <w14:srgbClr w14:val="333333"/>
            </w14:solidFill>
          </w14:textFill>
        </w:rPr>
      </w:pPr>
      <w:r>
        <w:rPr>
          <w:rtl w:val="0"/>
          <w:lang w:val="en-US"/>
        </w:rPr>
        <w:t xml:space="preserve">7. </w:t>
      </w:r>
      <w:r>
        <w:rPr>
          <w:outline w:val="0"/>
          <w:color w:val="333333"/>
          <w:u w:color="333333"/>
          <w:rtl w:val="0"/>
          <w:lang w:val="en-US"/>
          <w14:textFill>
            <w14:solidFill>
              <w14:srgbClr w14:val="333333"/>
            </w14:solidFill>
          </w14:textFill>
        </w:rPr>
        <w:t xml:space="preserve">Cheng, D. (2011). Chinese Lessons from the Gulf Wars. In A. Scobell, D. Lai, &amp; R. Kamphausen (Eds.), </w:t>
      </w:r>
      <w:r>
        <w:rPr>
          <w:i w:val="1"/>
          <w:iCs w:val="1"/>
          <w:outline w:val="0"/>
          <w:color w:val="333333"/>
          <w:u w:color="333333"/>
          <w:rtl w:val="0"/>
          <w:lang w:val="en-US"/>
          <w14:textFill>
            <w14:solidFill>
              <w14:srgbClr w14:val="333333"/>
            </w14:solidFill>
          </w14:textFill>
        </w:rPr>
        <w:t>Chinese Lessons from Other Peoples</w:t>
      </w:r>
      <w:r>
        <w:rPr>
          <w:i w:val="1"/>
          <w:iCs w:val="1"/>
          <w:outline w:val="0"/>
          <w:color w:val="333333"/>
          <w:u w:color="333333"/>
          <w:rtl w:val="1"/>
          <w14:textFill>
            <w14:solidFill>
              <w14:srgbClr w14:val="333333"/>
            </w14:solidFill>
          </w14:textFill>
        </w:rPr>
        <w:t xml:space="preserve">’ </w:t>
      </w:r>
      <w:r>
        <w:rPr>
          <w:i w:val="1"/>
          <w:iCs w:val="1"/>
          <w:outline w:val="0"/>
          <w:color w:val="333333"/>
          <w:u w:color="333333"/>
          <w:rtl w:val="0"/>
          <w14:textFill>
            <w14:solidFill>
              <w14:srgbClr w14:val="333333"/>
            </w14:solidFill>
          </w14:textFill>
        </w:rPr>
        <w:t>Wars</w:t>
      </w:r>
      <w:r>
        <w:rPr>
          <w:i w:val="1"/>
          <w:iCs w:val="1"/>
          <w:outline w:val="0"/>
          <w:color w:val="333333"/>
          <w:u w:color="333333"/>
          <w:rtl w:val="0"/>
          <w:lang w:val="en-US"/>
          <w14:textFill>
            <w14:solidFill>
              <w14:srgbClr w14:val="333333"/>
            </w14:solidFill>
          </w14:textFill>
        </w:rPr>
        <w:t xml:space="preserve"> (pp. 1-338). Strategic Studies Institute. </w:t>
      </w:r>
      <w:r>
        <w:rPr>
          <w:rtl w:val="0"/>
        </w:rPr>
        <w:t>https://apps.dtic.mil/sti/pdfs/ADA553490.pdf</w:t>
      </w:r>
    </w:p>
    <w:p>
      <w:pPr>
        <w:pStyle w:val="Body"/>
        <w:rPr>
          <w:lang w:val="en-US"/>
        </w:rPr>
      </w:pPr>
      <w:r>
        <w:rPr>
          <w:rtl w:val="0"/>
        </w:rPr>
        <w:t xml:space="preserve">8. </w:t>
      </w:r>
      <w:r>
        <w:rPr>
          <w:rtl w:val="0"/>
        </w:rPr>
        <w:t>Cheng, D. (</w:t>
      </w:r>
      <w:r>
        <w:rPr>
          <w:rtl w:val="0"/>
          <w:lang w:val="en-US"/>
        </w:rPr>
        <w:t>2016</w:t>
      </w:r>
      <w:r>
        <w:rPr>
          <w:rtl w:val="0"/>
        </w:rPr>
        <w:t xml:space="preserve">). </w:t>
      </w:r>
      <w:r>
        <w:rPr>
          <w:i w:val="1"/>
          <w:iCs w:val="1"/>
          <w:rtl w:val="0"/>
          <w:lang w:val="en-US"/>
        </w:rPr>
        <w:t>U.S.-China competition in space</w:t>
      </w:r>
      <w:r>
        <w:rPr>
          <w:rtl w:val="0"/>
          <w:lang w:val="en-US"/>
        </w:rPr>
        <w:t xml:space="preserve">. The Heritage Foundation. </w:t>
      </w:r>
      <w:r>
        <w:rPr>
          <w:rtl w:val="0"/>
        </w:rPr>
        <w:t>https://www.heritage.org/testimony/us-china-competition-space</w:t>
      </w:r>
    </w:p>
    <w:p>
      <w:pPr>
        <w:pStyle w:val="Body"/>
      </w:pPr>
      <w:r>
        <w:rPr>
          <w:rtl w:val="0"/>
          <w:lang w:val="en-US"/>
        </w:rPr>
        <w:t xml:space="preserve">9. </w:t>
      </w:r>
      <w:r>
        <w:rPr>
          <w:i w:val="1"/>
          <w:iCs w:val="1"/>
          <w:rtl w:val="0"/>
          <w:lang w:val="de-DE"/>
        </w:rPr>
        <w:t>China</w:t>
      </w:r>
      <w:r>
        <w:rPr>
          <w:i w:val="1"/>
          <w:iCs w:val="1"/>
          <w:rtl w:val="1"/>
        </w:rPr>
        <w:t>’</w:t>
      </w:r>
      <w:r>
        <w:rPr>
          <w:i w:val="1"/>
          <w:iCs w:val="1"/>
          <w:rtl w:val="0"/>
          <w:lang w:val="en-US"/>
        </w:rPr>
        <w:t>s Military Strategy (full text)</w:t>
      </w:r>
      <w:r>
        <w:rPr>
          <w:rtl w:val="0"/>
        </w:rPr>
        <w:t xml:space="preserve">. (2015, May 27). </w:t>
      </w:r>
      <w:r>
        <w:rPr>
          <w:rStyle w:val="Hyperlink.0"/>
        </w:rPr>
        <w:fldChar w:fldCharType="begin" w:fldLock="0"/>
      </w:r>
      <w:r>
        <w:rPr>
          <w:rStyle w:val="Hyperlink.0"/>
        </w:rPr>
        <w:instrText xml:space="preserve"> HYPERLINK "https://english.www.gov.cn/archive/white_paper/2015/05/27/content_281475115610833.htm"</w:instrText>
      </w:r>
      <w:r>
        <w:rPr>
          <w:rStyle w:val="Hyperlink.0"/>
        </w:rPr>
        <w:fldChar w:fldCharType="separate" w:fldLock="0"/>
      </w:r>
      <w:r>
        <w:rPr>
          <w:rStyle w:val="Hyperlink.0"/>
          <w:rtl w:val="0"/>
        </w:rPr>
        <w:t>https://english.www.gov.cn/archive/white_paper/2015/05/27/content_281475115610833.htm</w:t>
      </w:r>
      <w:r>
        <w:rPr/>
        <w:fldChar w:fldCharType="end" w:fldLock="0"/>
      </w:r>
    </w:p>
    <w:p>
      <w:pPr>
        <w:pStyle w:val="Body"/>
        <w:rPr>
          <w:rStyle w:val="None"/>
          <w:lang w:val="en-US"/>
        </w:rPr>
      </w:pPr>
      <w:r>
        <w:rPr>
          <w:rtl w:val="0"/>
        </w:rPr>
        <w:t xml:space="preserve">10. </w:t>
      </w:r>
      <w:r>
        <w:rPr>
          <w:rStyle w:val="None"/>
          <w:rtl w:val="0"/>
          <w:lang w:val="en-US"/>
        </w:rPr>
        <w:t>Conference on Disarmament</w:t>
      </w:r>
      <w:r>
        <w:rPr>
          <w:rtl w:val="0"/>
        </w:rPr>
        <w:t xml:space="preserve">. (2008). </w:t>
      </w:r>
      <w:r>
        <w:rPr>
          <w:rStyle w:val="None"/>
          <w:i w:val="1"/>
          <w:iCs w:val="1"/>
          <w:rtl w:val="0"/>
          <w:lang w:val="en-US"/>
        </w:rPr>
        <w:t>Draft treaty on the prevention of the placement of weapons in outer space, the threat or use of force against outer space objects (PPWT)</w:t>
      </w:r>
      <w:r>
        <w:rPr>
          <w:rStyle w:val="None"/>
          <w:rtl w:val="0"/>
          <w:lang w:val="en-US"/>
        </w:rPr>
        <w:t xml:space="preserve"> (CD/1839). United Nations. </w:t>
      </w:r>
      <w:r>
        <w:rPr>
          <w:rtl w:val="0"/>
        </w:rPr>
        <w:t>https://docs.un.org/en/cd/1839</w:t>
      </w:r>
    </w:p>
    <w:p>
      <w:pPr>
        <w:pStyle w:val="Body"/>
        <w:rPr>
          <w:rStyle w:val="None"/>
          <w:lang w:val="en-US"/>
        </w:rPr>
      </w:pPr>
      <w:r>
        <w:rPr>
          <w:rtl w:val="0"/>
        </w:rPr>
        <w:t xml:space="preserve">11. </w:t>
      </w:r>
      <w:r>
        <w:rPr>
          <w:rStyle w:val="None"/>
          <w:rtl w:val="0"/>
          <w:lang w:val="en-US"/>
        </w:rPr>
        <w:t>Conference on Disarmament</w:t>
      </w:r>
      <w:r>
        <w:rPr>
          <w:rtl w:val="0"/>
        </w:rPr>
        <w:t>. (2008)</w:t>
      </w:r>
      <w:r>
        <w:rPr>
          <w:rStyle w:val="None"/>
          <w:rtl w:val="0"/>
          <w:lang w:val="en-US"/>
        </w:rPr>
        <w:t xml:space="preserve">. </w:t>
      </w:r>
      <w:r>
        <w:rPr>
          <w:rStyle w:val="None"/>
          <w:i w:val="1"/>
          <w:iCs w:val="1"/>
          <w:rtl w:val="0"/>
          <w:lang w:val="en-US"/>
        </w:rPr>
        <w:t>Letter</w:t>
      </w:r>
      <w:r>
        <w:rPr>
          <w:rStyle w:val="None"/>
          <w:i w:val="1"/>
          <w:iCs w:val="1"/>
          <w:rtl w:val="0"/>
        </w:rPr>
        <w:t xml:space="preserve"> D</w:t>
      </w:r>
      <w:r>
        <w:rPr>
          <w:rStyle w:val="None"/>
          <w:i w:val="1"/>
          <w:iCs w:val="1"/>
          <w:rtl w:val="0"/>
          <w:lang w:val="en-US"/>
        </w:rPr>
        <w:t>ated</w:t>
      </w:r>
      <w:r>
        <w:rPr>
          <w:rStyle w:val="None"/>
          <w:i w:val="1"/>
          <w:iCs w:val="1"/>
          <w:rtl w:val="0"/>
        </w:rPr>
        <w:t xml:space="preserve"> 19 A</w:t>
      </w:r>
      <w:r>
        <w:rPr>
          <w:rStyle w:val="None"/>
          <w:i w:val="1"/>
          <w:iCs w:val="1"/>
          <w:rtl w:val="0"/>
          <w:lang w:val="en-US"/>
        </w:rPr>
        <w:t>ugust</w:t>
      </w:r>
      <w:r>
        <w:rPr>
          <w:rStyle w:val="None"/>
          <w:i w:val="1"/>
          <w:iCs w:val="1"/>
          <w:rtl w:val="0"/>
        </w:rPr>
        <w:t xml:space="preserve"> 2008 F</w:t>
      </w:r>
      <w:r>
        <w:rPr>
          <w:rStyle w:val="None"/>
          <w:i w:val="1"/>
          <w:iCs w:val="1"/>
          <w:rtl w:val="0"/>
          <w:lang w:val="en-US"/>
        </w:rPr>
        <w:t>rom</w:t>
      </w:r>
      <w:r>
        <w:rPr>
          <w:rStyle w:val="None"/>
          <w:i w:val="1"/>
          <w:iCs w:val="1"/>
          <w:rtl w:val="0"/>
        </w:rPr>
        <w:t xml:space="preserve"> T</w:t>
      </w:r>
      <w:r>
        <w:rPr>
          <w:rStyle w:val="None"/>
          <w:i w:val="1"/>
          <w:iCs w:val="1"/>
          <w:rtl w:val="0"/>
          <w:lang w:val="en-US"/>
        </w:rPr>
        <w:t>he</w:t>
      </w:r>
      <w:r>
        <w:rPr>
          <w:rStyle w:val="None"/>
          <w:i w:val="1"/>
          <w:iCs w:val="1"/>
          <w:rtl w:val="0"/>
        </w:rPr>
        <w:t xml:space="preserve"> P</w:t>
      </w:r>
      <w:r>
        <w:rPr>
          <w:rStyle w:val="None"/>
          <w:i w:val="1"/>
          <w:iCs w:val="1"/>
          <w:rtl w:val="0"/>
          <w:lang w:val="en-US"/>
        </w:rPr>
        <w:t xml:space="preserve">ermanent </w:t>
      </w:r>
      <w:r>
        <w:rPr>
          <w:rStyle w:val="None"/>
          <w:i w:val="1"/>
          <w:iCs w:val="1"/>
          <w:rtl w:val="0"/>
        </w:rPr>
        <w:t>R</w:t>
      </w:r>
      <w:r>
        <w:rPr>
          <w:rStyle w:val="None"/>
          <w:i w:val="1"/>
          <w:iCs w:val="1"/>
          <w:rtl w:val="0"/>
          <w:lang w:val="en-US"/>
        </w:rPr>
        <w:t>epresentative</w:t>
      </w:r>
      <w:r>
        <w:rPr>
          <w:rStyle w:val="None"/>
          <w:i w:val="1"/>
          <w:iCs w:val="1"/>
          <w:rtl w:val="0"/>
        </w:rPr>
        <w:t xml:space="preserve"> </w:t>
      </w:r>
      <w:r>
        <w:rPr>
          <w:rStyle w:val="None"/>
          <w:i w:val="1"/>
          <w:iCs w:val="1"/>
          <w:rtl w:val="0"/>
          <w:lang w:val="en-US"/>
        </w:rPr>
        <w:t>of</w:t>
      </w:r>
      <w:r>
        <w:rPr>
          <w:rStyle w:val="None"/>
          <w:i w:val="1"/>
          <w:iCs w:val="1"/>
          <w:rtl w:val="0"/>
        </w:rPr>
        <w:t xml:space="preserve"> T</w:t>
      </w:r>
      <w:r>
        <w:rPr>
          <w:rStyle w:val="None"/>
          <w:i w:val="1"/>
          <w:iCs w:val="1"/>
          <w:rtl w:val="0"/>
          <w:lang w:val="en-US"/>
        </w:rPr>
        <w:t>he</w:t>
      </w:r>
      <w:r>
        <w:rPr>
          <w:rStyle w:val="None"/>
          <w:i w:val="1"/>
          <w:iCs w:val="1"/>
          <w:rtl w:val="0"/>
        </w:rPr>
        <w:t xml:space="preserve"> U</w:t>
      </w:r>
      <w:r>
        <w:rPr>
          <w:rStyle w:val="None"/>
          <w:i w:val="1"/>
          <w:iCs w:val="1"/>
          <w:rtl w:val="0"/>
          <w:lang w:val="en-US"/>
        </w:rPr>
        <w:t xml:space="preserve">nited </w:t>
      </w:r>
      <w:r>
        <w:rPr>
          <w:rStyle w:val="None"/>
          <w:i w:val="1"/>
          <w:iCs w:val="1"/>
          <w:rtl w:val="0"/>
        </w:rPr>
        <w:t>S</w:t>
      </w:r>
      <w:r>
        <w:rPr>
          <w:rStyle w:val="None"/>
          <w:i w:val="1"/>
          <w:iCs w:val="1"/>
          <w:rtl w:val="0"/>
          <w:lang w:val="en-US"/>
        </w:rPr>
        <w:t>tates</w:t>
      </w:r>
      <w:r>
        <w:rPr>
          <w:rStyle w:val="None"/>
          <w:i w:val="1"/>
          <w:iCs w:val="1"/>
          <w:rtl w:val="0"/>
        </w:rPr>
        <w:t xml:space="preserve"> O</w:t>
      </w:r>
      <w:r>
        <w:rPr>
          <w:rStyle w:val="None"/>
          <w:i w:val="1"/>
          <w:iCs w:val="1"/>
          <w:rtl w:val="0"/>
          <w:lang w:val="en-US"/>
        </w:rPr>
        <w:t>f</w:t>
      </w:r>
      <w:r>
        <w:rPr>
          <w:rStyle w:val="None"/>
          <w:i w:val="1"/>
          <w:iCs w:val="1"/>
          <w:rtl w:val="0"/>
        </w:rPr>
        <w:t xml:space="preserve"> </w:t>
      </w:r>
      <w:r>
        <w:rPr>
          <w:rStyle w:val="None"/>
          <w:i w:val="1"/>
          <w:iCs w:val="1"/>
          <w:rtl w:val="0"/>
          <w:lang w:val="en-US"/>
        </w:rPr>
        <w:t xml:space="preserve">America </w:t>
      </w:r>
      <w:r>
        <w:rPr>
          <w:rStyle w:val="None"/>
          <w:i w:val="1"/>
          <w:iCs w:val="1"/>
          <w:rtl w:val="0"/>
        </w:rPr>
        <w:t>A</w:t>
      </w:r>
      <w:r>
        <w:rPr>
          <w:rStyle w:val="None"/>
          <w:i w:val="1"/>
          <w:iCs w:val="1"/>
          <w:rtl w:val="0"/>
          <w:lang w:val="en-US"/>
        </w:rPr>
        <w:t>ddressed</w:t>
      </w:r>
      <w:r>
        <w:rPr>
          <w:rStyle w:val="None"/>
          <w:i w:val="1"/>
          <w:iCs w:val="1"/>
          <w:rtl w:val="0"/>
        </w:rPr>
        <w:t xml:space="preserve"> </w:t>
      </w:r>
      <w:r>
        <w:rPr>
          <w:rStyle w:val="None"/>
          <w:i w:val="1"/>
          <w:iCs w:val="1"/>
          <w:rtl w:val="0"/>
          <w:lang w:val="en-US"/>
        </w:rPr>
        <w:t>to</w:t>
      </w:r>
      <w:r>
        <w:rPr>
          <w:rStyle w:val="None"/>
          <w:i w:val="1"/>
          <w:iCs w:val="1"/>
          <w:rtl w:val="0"/>
        </w:rPr>
        <w:t xml:space="preserve"> T</w:t>
      </w:r>
      <w:r>
        <w:rPr>
          <w:rStyle w:val="None"/>
          <w:i w:val="1"/>
          <w:iCs w:val="1"/>
          <w:rtl w:val="0"/>
          <w:lang w:val="en-US"/>
        </w:rPr>
        <w:t>he Secretary-General of</w:t>
      </w:r>
      <w:r>
        <w:rPr>
          <w:rStyle w:val="None"/>
          <w:i w:val="1"/>
          <w:iCs w:val="1"/>
          <w:rtl w:val="0"/>
        </w:rPr>
        <w:t xml:space="preserve"> T</w:t>
      </w:r>
      <w:r>
        <w:rPr>
          <w:rStyle w:val="None"/>
          <w:i w:val="1"/>
          <w:iCs w:val="1"/>
          <w:rtl w:val="0"/>
          <w:lang w:val="en-US"/>
        </w:rPr>
        <w:t xml:space="preserve">he </w:t>
      </w:r>
      <w:r>
        <w:rPr>
          <w:rStyle w:val="None"/>
          <w:i w:val="1"/>
          <w:iCs w:val="1"/>
          <w:rtl w:val="0"/>
        </w:rPr>
        <w:t>C</w:t>
      </w:r>
      <w:r>
        <w:rPr>
          <w:rStyle w:val="None"/>
          <w:i w:val="1"/>
          <w:iCs w:val="1"/>
          <w:rtl w:val="0"/>
          <w:lang w:val="en-US"/>
        </w:rPr>
        <w:t xml:space="preserve">onference </w:t>
      </w:r>
      <w:r>
        <w:rPr>
          <w:rStyle w:val="None"/>
          <w:i w:val="1"/>
          <w:iCs w:val="1"/>
          <w:rtl w:val="0"/>
        </w:rPr>
        <w:t>T</w:t>
      </w:r>
      <w:r>
        <w:rPr>
          <w:rStyle w:val="None"/>
          <w:i w:val="1"/>
          <w:iCs w:val="1"/>
          <w:rtl w:val="0"/>
          <w:lang w:val="en-US"/>
        </w:rPr>
        <w:t>ransmitting</w:t>
      </w:r>
      <w:r>
        <w:rPr>
          <w:rStyle w:val="None"/>
          <w:i w:val="1"/>
          <w:iCs w:val="1"/>
          <w:rtl w:val="0"/>
        </w:rPr>
        <w:t xml:space="preserve"> C</w:t>
      </w:r>
      <w:r>
        <w:rPr>
          <w:rStyle w:val="None"/>
          <w:i w:val="1"/>
          <w:iCs w:val="1"/>
          <w:rtl w:val="0"/>
          <w:lang w:val="en-US"/>
        </w:rPr>
        <w:t>omments</w:t>
      </w:r>
      <w:r>
        <w:rPr>
          <w:rStyle w:val="None"/>
          <w:i w:val="1"/>
          <w:iCs w:val="1"/>
          <w:rtl w:val="0"/>
        </w:rPr>
        <w:t xml:space="preserve"> </w:t>
      </w:r>
      <w:r>
        <w:rPr>
          <w:rStyle w:val="None"/>
          <w:i w:val="1"/>
          <w:iCs w:val="1"/>
          <w:rtl w:val="0"/>
          <w:lang w:val="en-US"/>
        </w:rPr>
        <w:t xml:space="preserve">on the </w:t>
      </w:r>
      <w:r>
        <w:rPr>
          <w:rStyle w:val="None"/>
          <w:i w:val="1"/>
          <w:iCs w:val="1"/>
          <w:rtl w:val="0"/>
        </w:rPr>
        <w:t>D</w:t>
      </w:r>
      <w:r>
        <w:rPr>
          <w:rStyle w:val="None"/>
          <w:i w:val="1"/>
          <w:iCs w:val="1"/>
          <w:rtl w:val="0"/>
          <w:lang w:val="en-US"/>
        </w:rPr>
        <w:t xml:space="preserve">raft </w:t>
      </w:r>
      <w:r>
        <w:rPr>
          <w:rStyle w:val="None"/>
          <w:i w:val="1"/>
          <w:iCs w:val="1"/>
          <w:rtl w:val="0"/>
          <w:lang w:val="en-US"/>
        </w:rPr>
        <w:t>“</w:t>
      </w:r>
      <w:r>
        <w:rPr>
          <w:rStyle w:val="None"/>
          <w:i w:val="1"/>
          <w:iCs w:val="1"/>
          <w:rtl w:val="0"/>
          <w:lang w:val="en-US"/>
        </w:rPr>
        <w:t xml:space="preserve">Treaty on </w:t>
      </w:r>
      <w:r>
        <w:rPr>
          <w:rStyle w:val="None"/>
          <w:i w:val="1"/>
          <w:iCs w:val="1"/>
          <w:rtl w:val="0"/>
        </w:rPr>
        <w:t>P</w:t>
      </w:r>
      <w:r>
        <w:rPr>
          <w:rStyle w:val="None"/>
          <w:i w:val="1"/>
          <w:iCs w:val="1"/>
          <w:rtl w:val="0"/>
          <w:lang w:val="en-US"/>
        </w:rPr>
        <w:t xml:space="preserve">revention of the </w:t>
      </w:r>
      <w:r>
        <w:rPr>
          <w:rStyle w:val="None"/>
          <w:i w:val="1"/>
          <w:iCs w:val="1"/>
          <w:rtl w:val="0"/>
        </w:rPr>
        <w:t>P</w:t>
      </w:r>
      <w:r>
        <w:rPr>
          <w:rStyle w:val="None"/>
          <w:i w:val="1"/>
          <w:iCs w:val="1"/>
          <w:rtl w:val="0"/>
          <w:lang w:val="en-US"/>
        </w:rPr>
        <w:t>lacement</w:t>
      </w:r>
      <w:r>
        <w:rPr>
          <w:rStyle w:val="None"/>
          <w:i w:val="1"/>
          <w:iCs w:val="1"/>
          <w:rtl w:val="0"/>
        </w:rPr>
        <w:t xml:space="preserve"> </w:t>
      </w:r>
      <w:r>
        <w:rPr>
          <w:rStyle w:val="None"/>
          <w:i w:val="1"/>
          <w:iCs w:val="1"/>
          <w:rtl w:val="0"/>
          <w:lang w:val="en-US"/>
        </w:rPr>
        <w:t>of</w:t>
      </w:r>
      <w:r>
        <w:rPr>
          <w:rStyle w:val="None"/>
          <w:i w:val="1"/>
          <w:iCs w:val="1"/>
          <w:rtl w:val="0"/>
          <w:lang w:val="de-DE"/>
        </w:rPr>
        <w:t xml:space="preserve"> W</w:t>
      </w:r>
      <w:r>
        <w:rPr>
          <w:rStyle w:val="None"/>
          <w:i w:val="1"/>
          <w:iCs w:val="1"/>
          <w:rtl w:val="0"/>
          <w:lang w:val="en-US"/>
        </w:rPr>
        <w:t>eapons</w:t>
      </w:r>
      <w:r>
        <w:rPr>
          <w:rStyle w:val="None"/>
          <w:i w:val="1"/>
          <w:iCs w:val="1"/>
          <w:rtl w:val="0"/>
        </w:rPr>
        <w:t xml:space="preserve"> </w:t>
      </w:r>
      <w:r>
        <w:rPr>
          <w:rStyle w:val="None"/>
          <w:i w:val="1"/>
          <w:iCs w:val="1"/>
          <w:rtl w:val="0"/>
          <w:lang w:val="en-US"/>
        </w:rPr>
        <w:t>in</w:t>
      </w:r>
      <w:r>
        <w:rPr>
          <w:rStyle w:val="None"/>
          <w:i w:val="1"/>
          <w:iCs w:val="1"/>
          <w:rtl w:val="0"/>
        </w:rPr>
        <w:t xml:space="preserve"> O</w:t>
      </w:r>
      <w:r>
        <w:rPr>
          <w:rStyle w:val="None"/>
          <w:i w:val="1"/>
          <w:iCs w:val="1"/>
          <w:rtl w:val="0"/>
          <w:lang w:val="en-US"/>
        </w:rPr>
        <w:t>uter</w:t>
      </w:r>
      <w:r>
        <w:rPr>
          <w:rStyle w:val="None"/>
          <w:i w:val="1"/>
          <w:iCs w:val="1"/>
          <w:rtl w:val="0"/>
        </w:rPr>
        <w:t xml:space="preserve"> S</w:t>
      </w:r>
      <w:r>
        <w:rPr>
          <w:rStyle w:val="None"/>
          <w:i w:val="1"/>
          <w:iCs w:val="1"/>
          <w:rtl w:val="0"/>
          <w:lang w:val="en-US"/>
        </w:rPr>
        <w:t>pace and</w:t>
      </w:r>
      <w:r>
        <w:rPr>
          <w:rStyle w:val="None"/>
          <w:i w:val="1"/>
          <w:iCs w:val="1"/>
          <w:rtl w:val="0"/>
        </w:rPr>
        <w:t xml:space="preserve"> </w:t>
      </w:r>
      <w:r>
        <w:rPr>
          <w:rStyle w:val="None"/>
          <w:i w:val="1"/>
          <w:iCs w:val="1"/>
          <w:rtl w:val="0"/>
          <w:lang w:val="en-US"/>
        </w:rPr>
        <w:t>of</w:t>
      </w:r>
      <w:r>
        <w:rPr>
          <w:rStyle w:val="None"/>
          <w:i w:val="1"/>
          <w:iCs w:val="1"/>
          <w:rtl w:val="0"/>
        </w:rPr>
        <w:t xml:space="preserve"> </w:t>
      </w:r>
      <w:r>
        <w:rPr>
          <w:rStyle w:val="None"/>
          <w:i w:val="1"/>
          <w:iCs w:val="1"/>
          <w:rtl w:val="0"/>
          <w:lang w:val="en-US"/>
        </w:rPr>
        <w:t>the</w:t>
      </w:r>
      <w:r>
        <w:rPr>
          <w:rStyle w:val="None"/>
          <w:i w:val="1"/>
          <w:iCs w:val="1"/>
          <w:rtl w:val="0"/>
        </w:rPr>
        <w:t xml:space="preserve"> T</w:t>
      </w:r>
      <w:r>
        <w:rPr>
          <w:rStyle w:val="None"/>
          <w:i w:val="1"/>
          <w:iCs w:val="1"/>
          <w:rtl w:val="0"/>
          <w:lang w:val="en-US"/>
        </w:rPr>
        <w:t>hreat</w:t>
      </w:r>
      <w:r>
        <w:rPr>
          <w:rStyle w:val="None"/>
          <w:i w:val="1"/>
          <w:iCs w:val="1"/>
          <w:rtl w:val="0"/>
        </w:rPr>
        <w:t xml:space="preserve"> </w:t>
      </w:r>
      <w:r>
        <w:rPr>
          <w:rStyle w:val="None"/>
          <w:i w:val="1"/>
          <w:iCs w:val="1"/>
          <w:rtl w:val="0"/>
          <w:lang w:val="en-US"/>
        </w:rPr>
        <w:t>or</w:t>
      </w:r>
      <w:r>
        <w:rPr>
          <w:rStyle w:val="None"/>
          <w:i w:val="1"/>
          <w:iCs w:val="1"/>
          <w:rtl w:val="0"/>
        </w:rPr>
        <w:t xml:space="preserve"> U</w:t>
      </w:r>
      <w:r>
        <w:rPr>
          <w:rStyle w:val="None"/>
          <w:i w:val="1"/>
          <w:iCs w:val="1"/>
          <w:rtl w:val="0"/>
          <w:lang w:val="en-US"/>
        </w:rPr>
        <w:t>se</w:t>
      </w:r>
      <w:r>
        <w:rPr>
          <w:rStyle w:val="None"/>
          <w:i w:val="1"/>
          <w:iCs w:val="1"/>
          <w:rtl w:val="0"/>
        </w:rPr>
        <w:t xml:space="preserve"> </w:t>
      </w:r>
      <w:r>
        <w:rPr>
          <w:rStyle w:val="None"/>
          <w:i w:val="1"/>
          <w:iCs w:val="1"/>
          <w:rtl w:val="0"/>
          <w:lang w:val="en-US"/>
        </w:rPr>
        <w:t>of</w:t>
      </w:r>
      <w:r>
        <w:rPr>
          <w:rStyle w:val="None"/>
          <w:i w:val="1"/>
          <w:iCs w:val="1"/>
          <w:rtl w:val="0"/>
        </w:rPr>
        <w:t xml:space="preserve"> F</w:t>
      </w:r>
      <w:r>
        <w:rPr>
          <w:rStyle w:val="None"/>
          <w:i w:val="1"/>
          <w:iCs w:val="1"/>
          <w:rtl w:val="0"/>
          <w:lang w:val="en-US"/>
        </w:rPr>
        <w:t>orce</w:t>
      </w:r>
      <w:r>
        <w:rPr>
          <w:rStyle w:val="None"/>
          <w:i w:val="1"/>
          <w:iCs w:val="1"/>
          <w:rtl w:val="0"/>
        </w:rPr>
        <w:t xml:space="preserve"> A</w:t>
      </w:r>
      <w:r>
        <w:rPr>
          <w:rStyle w:val="None"/>
          <w:i w:val="1"/>
          <w:iCs w:val="1"/>
          <w:rtl w:val="0"/>
          <w:lang w:val="en-US"/>
        </w:rPr>
        <w:t>gainst</w:t>
      </w:r>
      <w:r>
        <w:rPr>
          <w:rStyle w:val="None"/>
          <w:i w:val="1"/>
          <w:iCs w:val="1"/>
          <w:rtl w:val="0"/>
        </w:rPr>
        <w:t xml:space="preserve"> O</w:t>
      </w:r>
      <w:r>
        <w:rPr>
          <w:rStyle w:val="None"/>
          <w:i w:val="1"/>
          <w:iCs w:val="1"/>
          <w:rtl w:val="0"/>
          <w:lang w:val="en-US"/>
        </w:rPr>
        <w:t>uter</w:t>
      </w:r>
      <w:r>
        <w:rPr>
          <w:rStyle w:val="None"/>
          <w:i w:val="1"/>
          <w:iCs w:val="1"/>
          <w:rtl w:val="0"/>
        </w:rPr>
        <w:t xml:space="preserve"> S</w:t>
      </w:r>
      <w:r>
        <w:rPr>
          <w:rStyle w:val="None"/>
          <w:i w:val="1"/>
          <w:iCs w:val="1"/>
          <w:rtl w:val="0"/>
          <w:lang w:val="en-US"/>
        </w:rPr>
        <w:t>pace</w:t>
      </w:r>
      <w:r>
        <w:rPr>
          <w:rStyle w:val="None"/>
          <w:i w:val="1"/>
          <w:iCs w:val="1"/>
          <w:rtl w:val="0"/>
          <w:lang w:val="en-US"/>
        </w:rPr>
        <w:t xml:space="preserve"> </w:t>
      </w:r>
      <w:r>
        <w:rPr>
          <w:rStyle w:val="None"/>
          <w:i w:val="1"/>
          <w:iCs w:val="1"/>
          <w:rtl w:val="0"/>
        </w:rPr>
        <w:t>O</w:t>
      </w:r>
      <w:r>
        <w:rPr>
          <w:rStyle w:val="None"/>
          <w:i w:val="1"/>
          <w:iCs w:val="1"/>
          <w:rtl w:val="0"/>
          <w:lang w:val="en-US"/>
        </w:rPr>
        <w:t>bjects</w:t>
      </w:r>
      <w:r>
        <w:rPr>
          <w:rStyle w:val="None"/>
          <w:i w:val="1"/>
          <w:iCs w:val="1"/>
          <w:rtl w:val="0"/>
        </w:rPr>
        <w:t xml:space="preserve"> (PPWT)</w:t>
      </w:r>
      <w:r>
        <w:rPr>
          <w:rStyle w:val="None"/>
          <w:i w:val="1"/>
          <w:iCs w:val="1"/>
          <w:rtl w:val="0"/>
          <w:lang w:val="en-US"/>
        </w:rPr>
        <w:t xml:space="preserve"> </w:t>
      </w:r>
      <w:r>
        <w:rPr>
          <w:rStyle w:val="None"/>
          <w:rtl w:val="0"/>
          <w:lang w:val="en-US"/>
        </w:rPr>
        <w:t xml:space="preserve">(CD/1847). United Nations. </w:t>
      </w:r>
      <w:r>
        <w:rPr>
          <w:rtl w:val="0"/>
        </w:rPr>
        <w:t>https://docs.un.org/en/cd/1847</w:t>
      </w:r>
    </w:p>
    <w:p>
      <w:pPr>
        <w:pStyle w:val="Body"/>
        <w:rPr>
          <w:rStyle w:val="None"/>
          <w:i w:val="1"/>
          <w:iCs w:val="1"/>
          <w:lang w:val="en-US"/>
        </w:rPr>
      </w:pPr>
      <w:r>
        <w:rPr>
          <w:rtl w:val="0"/>
        </w:rPr>
        <w:t xml:space="preserve">12. </w:t>
      </w:r>
      <w:r>
        <w:rPr>
          <w:rStyle w:val="None"/>
          <w:rtl w:val="0"/>
          <w:lang w:val="en-US"/>
        </w:rPr>
        <w:t>Conference on Disarmament</w:t>
      </w:r>
      <w:r>
        <w:rPr>
          <w:rtl w:val="0"/>
        </w:rPr>
        <w:t>. (20</w:t>
      </w:r>
      <w:r>
        <w:rPr>
          <w:rStyle w:val="None"/>
          <w:rtl w:val="0"/>
          <w:lang w:val="en-US"/>
        </w:rPr>
        <w:t>14</w:t>
      </w:r>
      <w:r>
        <w:rPr>
          <w:rtl w:val="0"/>
        </w:rPr>
        <w:t>)</w:t>
      </w:r>
      <w:r>
        <w:rPr>
          <w:rStyle w:val="None"/>
          <w:rtl w:val="0"/>
          <w:lang w:val="en-US"/>
        </w:rPr>
        <w:t xml:space="preserve">. </w:t>
      </w:r>
      <w:r>
        <w:rPr>
          <w:rStyle w:val="None"/>
          <w:i w:val="1"/>
          <w:iCs w:val="1"/>
          <w:rtl w:val="0"/>
          <w:lang w:val="en-US"/>
        </w:rPr>
        <w:t xml:space="preserve">United States: Note verbale dated 2 September 2014 from the Delegation of the United States of America to the Conference on Disarmament addressed to the Acting Secretary-General of the Conference transmitting the United States of America analysis of the 2014 Russian-Chinese draft treaty on the prevention of the placement of weapons in outer space, the threat or use of force against outer space object (CD/1998). </w:t>
      </w:r>
      <w:r>
        <w:rPr>
          <w:rStyle w:val="None"/>
          <w:rtl w:val="0"/>
          <w:lang w:val="en-US"/>
        </w:rPr>
        <w:t xml:space="preserve">United Nations. </w:t>
      </w:r>
      <w:r>
        <w:rPr>
          <w:rtl w:val="0"/>
        </w:rPr>
        <w:t>https://docs.un.org/en/cd/1998</w:t>
      </w:r>
    </w:p>
    <w:p>
      <w:pPr>
        <w:pStyle w:val="Body"/>
        <w:rPr>
          <w:rStyle w:val="None"/>
          <w:lang w:val="en-US"/>
        </w:rPr>
      </w:pPr>
      <w:r>
        <w:rPr>
          <w:rtl w:val="0"/>
        </w:rPr>
        <w:t xml:space="preserve">13. </w:t>
      </w:r>
      <w:r>
        <w:rPr>
          <w:rStyle w:val="None"/>
          <w:rtl w:val="0"/>
          <w:lang w:val="en-US"/>
        </w:rPr>
        <w:t>Day</w:t>
      </w:r>
      <w:r>
        <w:rPr>
          <w:rtl w:val="0"/>
        </w:rPr>
        <w:t xml:space="preserve">, </w:t>
      </w:r>
      <w:r>
        <w:rPr>
          <w:rStyle w:val="None"/>
          <w:rtl w:val="0"/>
          <w:lang w:val="en-US"/>
        </w:rPr>
        <w:t>D. A</w:t>
      </w:r>
      <w:r>
        <w:rPr>
          <w:rtl w:val="0"/>
        </w:rPr>
        <w:t>. (20</w:t>
      </w:r>
      <w:r>
        <w:rPr>
          <w:rStyle w:val="None"/>
          <w:rtl w:val="0"/>
          <w:lang w:val="en-US"/>
        </w:rPr>
        <w:t>21</w:t>
      </w:r>
      <w:r>
        <w:rPr>
          <w:rtl w:val="0"/>
        </w:rPr>
        <w:t xml:space="preserve">, </w:t>
      </w:r>
      <w:r>
        <w:rPr>
          <w:rStyle w:val="None"/>
          <w:rtl w:val="0"/>
          <w:lang w:val="en-US"/>
        </w:rPr>
        <w:t>June</w:t>
      </w:r>
      <w:r>
        <w:rPr>
          <w:rtl w:val="0"/>
        </w:rPr>
        <w:t xml:space="preserve"> </w:t>
      </w:r>
      <w:r>
        <w:rPr>
          <w:rStyle w:val="None"/>
          <w:rtl w:val="0"/>
          <w:lang w:val="en-US"/>
        </w:rPr>
        <w:t>21</w:t>
      </w:r>
      <w:r>
        <w:rPr>
          <w:rtl w:val="0"/>
        </w:rPr>
        <w:t>).</w:t>
      </w:r>
      <w:r>
        <w:rPr>
          <w:rStyle w:val="None"/>
          <w:rtl w:val="0"/>
          <w:lang w:val="en-US"/>
        </w:rPr>
        <w:t xml:space="preserve"> Burning Frost, the view from the ground: shooting down a spy satellite in 2008. The Space Review</w:t>
      </w:r>
      <w:r>
        <w:rPr>
          <w:rtl w:val="0"/>
        </w:rPr>
        <w:t>.</w:t>
      </w:r>
      <w:r>
        <w:rPr>
          <w:rStyle w:val="None"/>
          <w:rtl w:val="0"/>
          <w:lang w:val="en-US"/>
        </w:rPr>
        <w:t xml:space="preserve"> </w:t>
      </w:r>
      <w:r>
        <w:rPr>
          <w:rtl w:val="0"/>
        </w:rPr>
        <w:t>https://www.thespacereview.com/article/4198/1</w:t>
      </w:r>
    </w:p>
    <w:p>
      <w:pPr>
        <w:pStyle w:val="Body"/>
        <w:rPr>
          <w:rStyle w:val="None"/>
          <w:lang w:val="en-US"/>
        </w:rPr>
      </w:pPr>
      <w:r>
        <w:rPr>
          <w:rtl w:val="0"/>
        </w:rPr>
        <w:t xml:space="preserve">14. </w:t>
      </w:r>
      <w:r>
        <w:rPr>
          <w:rStyle w:val="None"/>
          <w:rtl w:val="0"/>
          <w:lang w:val="en-US"/>
        </w:rPr>
        <w:t xml:space="preserve">Dembling, P. G., &amp; Arons, D. M. (1967). The evolution of the Outer Space Treaty. </w:t>
      </w:r>
      <w:r>
        <w:rPr>
          <w:rStyle w:val="None"/>
          <w:i w:val="1"/>
          <w:iCs w:val="1"/>
          <w:rtl w:val="0"/>
          <w:lang w:val="en-US"/>
        </w:rPr>
        <w:t>Journal of Air Law and Commerce</w:t>
      </w:r>
      <w:r>
        <w:rPr>
          <w:rtl w:val="0"/>
        </w:rPr>
        <w:t xml:space="preserve">, </w:t>
      </w:r>
      <w:r>
        <w:rPr>
          <w:rStyle w:val="None"/>
          <w:i w:val="1"/>
          <w:iCs w:val="1"/>
          <w:rtl w:val="0"/>
        </w:rPr>
        <w:t>33</w:t>
      </w:r>
      <w:r>
        <w:rPr>
          <w:rtl w:val="0"/>
        </w:rPr>
        <w:t>, 419</w:t>
      </w:r>
      <w:r>
        <w:rPr>
          <w:rtl w:val="0"/>
        </w:rPr>
        <w:t>–</w:t>
      </w:r>
      <w:r>
        <w:rPr>
          <w:rStyle w:val="None"/>
          <w:rtl w:val="0"/>
          <w:lang w:val="en-US"/>
        </w:rPr>
        <w:t xml:space="preserve">456. </w:t>
      </w:r>
      <w:r>
        <w:rPr>
          <w:rtl w:val="0"/>
        </w:rPr>
        <w:t>https://digitalcommons.unl.edu/cgi/viewcontent.cgi?article=1002&amp;context=spacelawdocs</w:t>
      </w:r>
    </w:p>
    <w:p>
      <w:pPr>
        <w:pStyle w:val="Body"/>
        <w:rPr>
          <w:rStyle w:val="None"/>
          <w:lang w:val="en-US"/>
        </w:rPr>
      </w:pPr>
      <w:r>
        <w:rPr>
          <w:rStyle w:val="None"/>
          <w:rtl w:val="0"/>
          <w:lang w:val="en-US"/>
        </w:rPr>
        <w:t xml:space="preserve">15. </w:t>
      </w:r>
      <w:r>
        <w:rPr>
          <w:rStyle w:val="None"/>
          <w:rtl w:val="0"/>
          <w:lang w:val="en-US"/>
        </w:rPr>
        <w:t xml:space="preserve">Department of Defense. (2020). </w:t>
      </w:r>
      <w:r>
        <w:rPr>
          <w:rStyle w:val="None"/>
          <w:i w:val="1"/>
          <w:iCs w:val="1"/>
          <w:rtl w:val="0"/>
          <w:lang w:val="en-US"/>
        </w:rPr>
        <w:t xml:space="preserve">DEFENSE SPACE STRATEGY SUMMARY. </w:t>
      </w:r>
      <w:r>
        <w:rPr>
          <w:rStyle w:val="None"/>
          <w:rtl w:val="0"/>
          <w:lang w:val="en-US"/>
        </w:rPr>
        <w:t>https://media.defense.gov/2020/Jun/17/2002317391/-1/-1/1/2020_DEFENSE_SPACE_STRATEGY_SUMMARY.PDF.</w:t>
      </w:r>
    </w:p>
    <w:p>
      <w:pPr>
        <w:pStyle w:val="Body"/>
        <w:rPr>
          <w:rStyle w:val="None"/>
          <w:lang w:val="en-US"/>
        </w:rPr>
      </w:pPr>
      <w:r>
        <w:rPr>
          <w:rtl w:val="0"/>
        </w:rPr>
        <w:t xml:space="preserve">16. </w:t>
      </w:r>
      <w:r>
        <w:rPr>
          <w:rStyle w:val="None"/>
          <w:rtl w:val="0"/>
          <w:lang w:val="en-US"/>
        </w:rPr>
        <w:t xml:space="preserve">Djalal, D. P. (2024, July 4). Middle powers are the new architects of the world order. </w:t>
      </w:r>
      <w:r>
        <w:rPr>
          <w:rStyle w:val="None"/>
          <w:i w:val="1"/>
          <w:iCs w:val="1"/>
          <w:rtl w:val="0"/>
        </w:rPr>
        <w:t>Nikkei Asia</w:t>
      </w:r>
      <w:r>
        <w:rPr>
          <w:rStyle w:val="None"/>
          <w:rtl w:val="0"/>
          <w:lang w:val="en-US"/>
        </w:rPr>
        <w:t xml:space="preserve">. </w:t>
      </w:r>
      <w:r>
        <w:rPr>
          <w:rtl w:val="0"/>
        </w:rPr>
        <w:t>https://archive.is/20250328150624/https://asia.nikkei.com/Opinion/Middle-powers-are-the-new-architects-of-the-world-order</w:t>
      </w:r>
    </w:p>
    <w:p>
      <w:pPr>
        <w:pStyle w:val="Body"/>
      </w:pPr>
      <w:r>
        <w:rPr>
          <w:rtl w:val="0"/>
        </w:rPr>
        <w:t xml:space="preserve">17. </w:t>
      </w:r>
      <w:r>
        <w:rPr>
          <w:rtl w:val="0"/>
        </w:rPr>
        <w:t xml:space="preserve">Elliot, D. (2024). </w:t>
      </w:r>
      <w:r>
        <w:rPr>
          <w:rStyle w:val="None"/>
          <w:i w:val="1"/>
          <w:iCs w:val="1"/>
          <w:rtl w:val="0"/>
          <w:lang w:val="en-US"/>
        </w:rPr>
        <w:t>Middle powers: What are they and why do they matter?</w:t>
      </w:r>
      <w:r>
        <w:rPr>
          <w:rStyle w:val="None"/>
          <w:rtl w:val="0"/>
          <w:lang w:val="en-US"/>
        </w:rPr>
        <w:t xml:space="preserve"> World Economic Forum. https://www.weforum.org/stories/2024/01/middle-powers-multilateralism-international-relations/</w:t>
      </w:r>
    </w:p>
    <w:p>
      <w:pPr>
        <w:pStyle w:val="Body"/>
        <w:rPr>
          <w:rStyle w:val="None"/>
          <w:outline w:val="0"/>
          <w:color w:val="333333"/>
          <w:u w:color="333333"/>
          <w:lang w:val="en-US"/>
          <w14:textFill>
            <w14:solidFill>
              <w14:srgbClr w14:val="333333"/>
            </w14:solidFill>
          </w14:textFill>
        </w:rPr>
      </w:pPr>
      <w:r>
        <w:rPr>
          <w:rtl w:val="0"/>
        </w:rPr>
        <w:t xml:space="preserve">18. </w:t>
      </w:r>
      <w:r>
        <w:rPr>
          <w:rStyle w:val="None"/>
          <w:outline w:val="0"/>
          <w:color w:val="333333"/>
          <w:u w:color="333333"/>
          <w:rtl w:val="0"/>
          <w:lang w:val="en-US"/>
          <w14:textFill>
            <w14:solidFill>
              <w14:srgbClr w14:val="333333"/>
            </w14:solidFill>
          </w14:textFill>
        </w:rPr>
        <w:t>European External Action Service. (2014).</w:t>
      </w:r>
      <w:r>
        <w:rPr>
          <w:rStyle w:val="None"/>
          <w:i w:val="1"/>
          <w:iCs w:val="1"/>
          <w:outline w:val="0"/>
          <w:color w:val="333333"/>
          <w:u w:color="333333"/>
          <w:rtl w:val="0"/>
          <w:lang w:val="en-US"/>
          <w14:textFill>
            <w14:solidFill>
              <w14:srgbClr w14:val="333333"/>
            </w14:solidFill>
          </w14:textFill>
        </w:rPr>
        <w:t xml:space="preserve"> DRAFT International Code of Conduct for Outer Space Activities.</w:t>
      </w:r>
      <w:r>
        <w:rPr>
          <w:rStyle w:val="None"/>
          <w:outline w:val="0"/>
          <w:color w:val="333333"/>
          <w:u w:color="333333"/>
          <w:rtl w:val="0"/>
          <w:lang w:val="en-US"/>
          <w14:textFill>
            <w14:solidFill>
              <w14:srgbClr w14:val="333333"/>
            </w14:solidFill>
          </w14:textFill>
        </w:rPr>
        <w:t xml:space="preserve"> </w:t>
      </w:r>
      <w:r>
        <w:rPr>
          <w:rtl w:val="0"/>
        </w:rPr>
        <w:t>https://www.eeas.europa.eu/sites/default/files/space_code_conduct_draft_vers_31-march-2014_en.pdf</w:t>
      </w:r>
    </w:p>
    <w:p>
      <w:pPr>
        <w:pStyle w:val="Body"/>
      </w:pPr>
      <w:r>
        <w:rPr>
          <w:rStyle w:val="None"/>
          <w:outline w:val="0"/>
          <w:color w:val="333333"/>
          <w:u w:color="333333"/>
          <w:rtl w:val="0"/>
          <w:lang w:val="en-US"/>
          <w14:textFill>
            <w14:solidFill>
              <w14:srgbClr w14:val="333333"/>
            </w14:solidFill>
          </w14:textFill>
        </w:rPr>
        <w:t xml:space="preserve">19. </w:t>
      </w:r>
      <w:r>
        <w:rPr>
          <w:rStyle w:val="None"/>
          <w:rtl w:val="0"/>
          <w:lang w:val="en-US"/>
        </w:rPr>
        <w:t>Freese</w:t>
      </w:r>
      <w:r>
        <w:rPr>
          <w:rtl w:val="0"/>
        </w:rPr>
        <w:t xml:space="preserve">, </w:t>
      </w:r>
      <w:r>
        <w:rPr>
          <w:rStyle w:val="None"/>
          <w:rtl w:val="0"/>
          <w:lang w:val="en-US"/>
        </w:rPr>
        <w:t>J</w:t>
      </w:r>
      <w:r>
        <w:rPr>
          <w:rtl w:val="0"/>
        </w:rPr>
        <w:t xml:space="preserve">. </w:t>
      </w:r>
      <w:r>
        <w:rPr>
          <w:rStyle w:val="None"/>
          <w:rtl w:val="0"/>
          <w:lang w:val="en-US"/>
        </w:rPr>
        <w:t>J</w:t>
      </w:r>
      <w:r>
        <w:rPr>
          <w:rtl w:val="0"/>
        </w:rPr>
        <w:t>. (20</w:t>
      </w:r>
      <w:r>
        <w:rPr>
          <w:rStyle w:val="None"/>
          <w:rtl w:val="0"/>
          <w:lang w:val="en-US"/>
        </w:rPr>
        <w:t>13</w:t>
      </w:r>
      <w:r>
        <w:rPr>
          <w:rtl w:val="0"/>
        </w:rPr>
        <w:t xml:space="preserve">, </w:t>
      </w:r>
      <w:r>
        <w:rPr>
          <w:rStyle w:val="None"/>
          <w:rtl w:val="0"/>
          <w:lang w:val="en-US"/>
        </w:rPr>
        <w:t>July</w:t>
      </w:r>
      <w:r>
        <w:rPr>
          <w:rtl w:val="0"/>
        </w:rPr>
        <w:t xml:space="preserve"> </w:t>
      </w:r>
      <w:r>
        <w:rPr>
          <w:rStyle w:val="None"/>
          <w:rtl w:val="0"/>
          <w:lang w:val="en-US"/>
        </w:rPr>
        <w:t>12</w:t>
      </w:r>
      <w:r>
        <w:rPr>
          <w:rtl w:val="0"/>
        </w:rPr>
        <w:t>).</w:t>
      </w:r>
      <w:r>
        <w:rPr>
          <w:rStyle w:val="None"/>
          <w:rtl w:val="0"/>
          <w:lang w:val="en-US"/>
        </w:rPr>
        <w:t xml:space="preserve"> </w:t>
      </w:r>
      <w:r>
        <w:rPr>
          <w:rStyle w:val="None"/>
          <w:rtl w:val="0"/>
          <w:lang w:val="de-DE"/>
        </w:rPr>
        <w:t>China</w:t>
      </w:r>
      <w:r>
        <w:rPr>
          <w:rStyle w:val="None"/>
          <w:rtl w:val="1"/>
        </w:rPr>
        <w:t>’</w:t>
      </w:r>
      <w:r>
        <w:rPr>
          <w:rStyle w:val="None"/>
          <w:rtl w:val="0"/>
          <w:lang w:val="en-US"/>
        </w:rPr>
        <w:t>s Anti-Satellite Program: They</w:t>
      </w:r>
      <w:r>
        <w:rPr>
          <w:rStyle w:val="None"/>
          <w:rtl w:val="1"/>
        </w:rPr>
        <w:t>’</w:t>
      </w:r>
      <w:r>
        <w:rPr>
          <w:rtl w:val="0"/>
        </w:rPr>
        <w:t xml:space="preserve">re Learning. </w:t>
      </w:r>
      <w:r>
        <w:rPr>
          <w:rStyle w:val="None"/>
          <w:i w:val="1"/>
          <w:iCs w:val="1"/>
          <w:rtl w:val="0"/>
          <w:lang w:val="en-US"/>
        </w:rPr>
        <w:t>China-US Focus</w:t>
      </w:r>
      <w:r>
        <w:rPr>
          <w:rtl w:val="0"/>
        </w:rPr>
        <w:t>.</w:t>
      </w:r>
      <w:r>
        <w:rPr>
          <w:rStyle w:val="None"/>
          <w:rtl w:val="0"/>
          <w:lang w:val="en-US"/>
        </w:rPr>
        <w:t xml:space="preserve"> https://www.chinausfocus.com/peace-security/chinas-anti-satellite-program-theyre-learning</w:t>
      </w:r>
    </w:p>
    <w:p>
      <w:pPr>
        <w:pStyle w:val="Body"/>
      </w:pPr>
      <w:r>
        <w:rPr>
          <w:rtl w:val="0"/>
        </w:rPr>
        <w:t xml:space="preserve">20. </w:t>
      </w:r>
      <w:r>
        <w:rPr>
          <w:rStyle w:val="None"/>
          <w:rtl w:val="0"/>
          <w:lang w:val="en-US"/>
        </w:rPr>
        <w:t xml:space="preserve">Giri, C. (2025, February 10). </w:t>
      </w:r>
      <w:r>
        <w:rPr>
          <w:rStyle w:val="None"/>
          <w:i w:val="1"/>
          <w:iCs w:val="1"/>
          <w:rtl w:val="0"/>
          <w:lang w:val="en-US"/>
        </w:rPr>
        <w:t>Space geopolitics: Europe</w:t>
      </w:r>
      <w:r>
        <w:rPr>
          <w:rStyle w:val="None"/>
          <w:i w:val="1"/>
          <w:iCs w:val="1"/>
          <w:rtl w:val="1"/>
        </w:rPr>
        <w:t>’</w:t>
      </w:r>
      <w:r>
        <w:rPr>
          <w:rStyle w:val="None"/>
          <w:i w:val="1"/>
          <w:iCs w:val="1"/>
          <w:rtl w:val="0"/>
          <w:lang w:val="en-US"/>
        </w:rPr>
        <w:t>s call for autonomy</w:t>
      </w:r>
      <w:r>
        <w:rPr>
          <w:rStyle w:val="None"/>
          <w:rtl w:val="0"/>
          <w:lang w:val="en-US"/>
        </w:rPr>
        <w:t>. orfonline.org. https://www.orfonline.org/expert-speak/space-geopolitics-europe-s-call-for-autonomy</w:t>
      </w:r>
    </w:p>
    <w:p>
      <w:pPr>
        <w:pStyle w:val="Body"/>
      </w:pPr>
      <w:r>
        <w:rPr>
          <w:rtl w:val="0"/>
        </w:rPr>
        <w:t xml:space="preserve">21. </w:t>
      </w:r>
      <w:r>
        <w:rPr>
          <w:rStyle w:val="None"/>
          <w:rtl w:val="0"/>
          <w:lang w:val="it-IT"/>
        </w:rPr>
        <w:t>Gonz</w:t>
      </w:r>
      <w:r>
        <w:rPr>
          <w:rtl w:val="0"/>
        </w:rPr>
        <w:t>á</w:t>
      </w:r>
      <w:r>
        <w:rPr>
          <w:rtl w:val="0"/>
        </w:rPr>
        <w:t>lez Mu</w:t>
      </w:r>
      <w:r>
        <w:rPr>
          <w:rStyle w:val="None"/>
          <w:rtl w:val="0"/>
          <w:lang w:val="es-ES_tradnl"/>
        </w:rPr>
        <w:t>ñ</w:t>
      </w:r>
      <w:r>
        <w:rPr>
          <w:rtl w:val="0"/>
        </w:rPr>
        <w:t xml:space="preserve">oz, R., </w:t>
      </w:r>
      <w:r>
        <w:rPr>
          <w:rStyle w:val="None"/>
          <w:rtl w:val="0"/>
          <w:lang w:val="en-US"/>
        </w:rPr>
        <w:t xml:space="preserve">&amp; </w:t>
      </w:r>
      <w:r>
        <w:rPr>
          <w:rStyle w:val="None"/>
          <w:rtl w:val="0"/>
          <w:lang w:val="pt-PT"/>
        </w:rPr>
        <w:t>Portela, C.</w:t>
      </w:r>
      <w:r>
        <w:rPr>
          <w:rStyle w:val="None"/>
          <w:rtl w:val="0"/>
          <w:lang w:val="en-US"/>
        </w:rPr>
        <w:t xml:space="preserve"> (2023). THE EU SPACE STRATEGY FOR SECURITY AND DEFENCE: TOWARDS STRATEGIC AUTONOMY? </w:t>
      </w:r>
      <w:r>
        <w:rPr>
          <w:rStyle w:val="None"/>
          <w:i w:val="1"/>
          <w:iCs w:val="1"/>
          <w:rtl w:val="0"/>
          <w:lang w:val="en-US"/>
        </w:rPr>
        <w:t xml:space="preserve">Non - Proliferation and Disarmament Papers, </w:t>
      </w:r>
      <w:r>
        <w:rPr>
          <w:rStyle w:val="None"/>
          <w:i w:val="1"/>
          <w:iCs w:val="1"/>
          <w:rtl w:val="0"/>
        </w:rPr>
        <w:t>83</w:t>
      </w:r>
      <w:r>
        <w:rPr>
          <w:rtl w:val="0"/>
        </w:rPr>
        <w:t xml:space="preserve">. </w:t>
      </w:r>
      <w:r>
        <w:rPr>
          <w:rStyle w:val="Hyperlink.0"/>
        </w:rPr>
        <w:fldChar w:fldCharType="begin" w:fldLock="0"/>
      </w:r>
      <w:r>
        <w:rPr>
          <w:rStyle w:val="Hyperlink.0"/>
        </w:rPr>
        <w:instrText xml:space="preserve"> HYPERLINK "https://www.sipri.org/sites/default/files/2023-06/eunpdc_space_paper_no_83_0.pdf"</w:instrText>
      </w:r>
      <w:r>
        <w:rPr>
          <w:rStyle w:val="Hyperlink.0"/>
        </w:rPr>
        <w:fldChar w:fldCharType="separate" w:fldLock="0"/>
      </w:r>
      <w:r>
        <w:rPr>
          <w:rStyle w:val="Hyperlink.0"/>
          <w:rtl w:val="0"/>
        </w:rPr>
        <w:t>https://www.sipri.org/sites/default/files/2023-06/eunpdc_space_paper_no_83_0.pdf</w:t>
      </w:r>
      <w:r>
        <w:rPr/>
        <w:fldChar w:fldCharType="end" w:fldLock="0"/>
      </w:r>
    </w:p>
    <w:p>
      <w:pPr>
        <w:pStyle w:val="Body"/>
      </w:pPr>
      <w:r>
        <w:rPr>
          <w:rtl w:val="0"/>
        </w:rPr>
        <w:t xml:space="preserve">22. </w:t>
      </w:r>
      <w:r>
        <w:rPr>
          <w:rStyle w:val="None"/>
          <w:rtl w:val="0"/>
          <w:lang w:val="de-DE"/>
        </w:rPr>
        <w:t>Hagt, E. (</w:t>
      </w:r>
      <w:r>
        <w:rPr>
          <w:rStyle w:val="None"/>
          <w:rtl w:val="0"/>
          <w:lang w:val="en-US"/>
        </w:rPr>
        <w:t xml:space="preserve">2006). Mutually assured vulnerabilities. </w:t>
      </w:r>
      <w:r>
        <w:rPr>
          <w:rStyle w:val="None"/>
          <w:i w:val="1"/>
          <w:iCs w:val="1"/>
          <w:rtl w:val="0"/>
          <w:lang w:val="en-US"/>
        </w:rPr>
        <w:t>China Security</w:t>
      </w:r>
      <w:r>
        <w:rPr>
          <w:rtl w:val="0"/>
        </w:rPr>
        <w:t xml:space="preserve">, </w:t>
      </w:r>
      <w:r>
        <w:rPr>
          <w:rStyle w:val="None"/>
          <w:i w:val="1"/>
          <w:iCs w:val="1"/>
          <w:rtl w:val="0"/>
        </w:rPr>
        <w:t>2</w:t>
      </w:r>
      <w:r>
        <w:rPr>
          <w:rtl w:val="0"/>
        </w:rPr>
        <w:t>, 84</w:t>
      </w:r>
      <w:r>
        <w:rPr>
          <w:rtl w:val="0"/>
        </w:rPr>
        <w:t>–</w:t>
      </w:r>
      <w:r>
        <w:rPr>
          <w:rtl w:val="0"/>
        </w:rPr>
        <w:t>106.</w:t>
      </w:r>
    </w:p>
    <w:p>
      <w:pPr>
        <w:pStyle w:val="Body"/>
        <w:rPr>
          <w:rStyle w:val="None"/>
          <w:lang w:val="en-US"/>
        </w:rPr>
      </w:pPr>
      <w:r>
        <w:rPr>
          <w:rtl w:val="0"/>
        </w:rPr>
        <w:t xml:space="preserve">23. </w:t>
      </w:r>
      <w:r>
        <w:rPr>
          <w:rStyle w:val="None"/>
          <w:rtl w:val="0"/>
          <w:lang w:val="it-IT"/>
        </w:rPr>
        <w:t xml:space="preserve">Harrison, T. (2019). </w:t>
      </w:r>
      <w:r>
        <w:rPr>
          <w:rStyle w:val="None"/>
          <w:i w:val="1"/>
          <w:iCs w:val="1"/>
          <w:rtl w:val="0"/>
          <w:lang w:val="en-US"/>
        </w:rPr>
        <w:t>China in space: a strategic competition?</w:t>
      </w:r>
      <w:r>
        <w:rPr>
          <w:rStyle w:val="None"/>
          <w:rtl w:val="0"/>
          <w:lang w:val="en-US"/>
        </w:rPr>
        <w:t xml:space="preserve"> </w:t>
      </w:r>
      <w:r>
        <w:rPr>
          <w:rtl w:val="0"/>
        </w:rPr>
        <w:t>https://www.uscc.gov/sites/default/files/Todd%20Harrison%20USCC%2025%20April.pdf</w:t>
      </w:r>
    </w:p>
    <w:p>
      <w:pPr>
        <w:pStyle w:val="Body"/>
      </w:pPr>
      <w:r>
        <w:rPr>
          <w:rStyle w:val="None"/>
          <w:rtl w:val="0"/>
          <w:lang w:val="en-US"/>
        </w:rPr>
        <w:t xml:space="preserve">24. </w:t>
      </w:r>
      <w:r>
        <w:rPr>
          <w:rStyle w:val="None"/>
          <w:rtl w:val="0"/>
          <w:lang w:val="it-IT"/>
        </w:rPr>
        <w:t xml:space="preserve">Harrison, T. (2019). </w:t>
      </w:r>
      <w:r>
        <w:rPr>
          <w:rStyle w:val="None"/>
          <w:i w:val="1"/>
          <w:iCs w:val="1"/>
          <w:rtl w:val="0"/>
          <w:lang w:val="en-US"/>
        </w:rPr>
        <w:t>China in space: a strategic competition?</w:t>
      </w:r>
      <w:r>
        <w:rPr>
          <w:rStyle w:val="None"/>
          <w:rtl w:val="0"/>
          <w:lang w:val="en-US"/>
        </w:rPr>
        <w:t xml:space="preserve"> https://www.uscc.gov/sites/default/files/Todd%20Harrison%20USCC%2025%20April.pdf</w:t>
      </w:r>
    </w:p>
    <w:p>
      <w:pPr>
        <w:pStyle w:val="Body"/>
      </w:pPr>
      <w:r>
        <w:rPr>
          <w:rtl w:val="0"/>
        </w:rPr>
        <w:t xml:space="preserve">25. </w:t>
      </w:r>
      <w:r>
        <w:rPr>
          <w:rtl w:val="0"/>
        </w:rPr>
        <w:t>H</w:t>
      </w:r>
      <w:r>
        <w:rPr>
          <w:rStyle w:val="None"/>
          <w:rtl w:val="0"/>
          <w:lang w:val="en-US"/>
        </w:rPr>
        <w:t>olden</w:t>
      </w:r>
      <w:r>
        <w:rPr>
          <w:rtl w:val="0"/>
        </w:rPr>
        <w:t xml:space="preserve">, K. (2022). </w:t>
      </w:r>
      <w:r>
        <w:rPr>
          <w:rStyle w:val="None"/>
          <w:i w:val="1"/>
          <w:iCs w:val="1"/>
          <w:rtl w:val="0"/>
          <w:lang w:val="en-US"/>
        </w:rPr>
        <w:t>The Ukraine War is remaking global space cooperation</w:t>
      </w:r>
      <w:r>
        <w:rPr>
          <w:rStyle w:val="None"/>
          <w:rtl w:val="0"/>
          <w:lang w:val="en-US"/>
        </w:rPr>
        <w:t>. The Diplomat. https://thediplomat.com/2022/07/the-ukraine-war-is-remaking-global-space-cooperation/</w:t>
      </w:r>
    </w:p>
    <w:p>
      <w:pPr>
        <w:pStyle w:val="Body"/>
      </w:pPr>
      <w:r>
        <w:rPr>
          <w:rtl w:val="0"/>
        </w:rPr>
        <w:t xml:space="preserve">26. </w:t>
      </w:r>
      <w:r>
        <w:rPr>
          <w:rStyle w:val="None"/>
          <w:rtl w:val="0"/>
          <w:lang w:val="en-US"/>
        </w:rPr>
        <w:t>Irsten, G. (n.d.). The consultation process for the International Code of Conduct for Outer Space Activities ends. Reaching Critical Will.</w:t>
      </w:r>
      <w:r>
        <w:rPr>
          <w:rStyle w:val="None"/>
          <w:i w:val="1"/>
          <w:iCs w:val="1"/>
          <w:rtl w:val="0"/>
          <w:lang w:val="en-US"/>
        </w:rPr>
        <w:t xml:space="preserve"> https://www.reachingcriticalwill.org/news/latest-news/8907-the-consultation-process-for-the-international-code-of-conduct-for-outer-space-activities-ends</w:t>
      </w:r>
    </w:p>
    <w:p>
      <w:pPr>
        <w:pStyle w:val="Body"/>
      </w:pPr>
      <w:r>
        <w:rPr>
          <w:rtl w:val="0"/>
        </w:rPr>
        <w:t xml:space="preserve">27. </w:t>
      </w:r>
      <w:r>
        <w:rPr>
          <w:rStyle w:val="None"/>
          <w:rtl w:val="0"/>
          <w:lang w:val="en-US"/>
        </w:rPr>
        <w:t xml:space="preserve">Klimburg-Witjes, N. (2021). Shifting articulations of space and security: boundary work in European space policy making. </w:t>
      </w:r>
      <w:r>
        <w:rPr>
          <w:rStyle w:val="None"/>
          <w:i w:val="1"/>
          <w:iCs w:val="1"/>
          <w:rtl w:val="0"/>
          <w:lang w:val="en-US"/>
        </w:rPr>
        <w:t>European Security</w:t>
      </w:r>
      <w:r>
        <w:rPr>
          <w:rtl w:val="0"/>
        </w:rPr>
        <w:t xml:space="preserve">, </w:t>
      </w:r>
      <w:r>
        <w:rPr>
          <w:rStyle w:val="None"/>
          <w:i w:val="1"/>
          <w:iCs w:val="1"/>
          <w:rtl w:val="0"/>
        </w:rPr>
        <w:t>30</w:t>
      </w:r>
      <w:r>
        <w:rPr>
          <w:rtl w:val="0"/>
        </w:rPr>
        <w:t>(4), 526</w:t>
      </w:r>
      <w:r>
        <w:rPr>
          <w:rtl w:val="0"/>
        </w:rPr>
        <w:t>–</w:t>
      </w:r>
      <w:r>
        <w:rPr>
          <w:rStyle w:val="None"/>
          <w:rtl w:val="0"/>
          <w:lang w:val="en-US"/>
        </w:rPr>
        <w:t>546. https://doi.org/10.1080/09662839.2021.1890039</w:t>
      </w:r>
    </w:p>
    <w:p>
      <w:pPr>
        <w:pStyle w:val="Body"/>
      </w:pPr>
      <w:r>
        <w:rPr>
          <w:rtl w:val="0"/>
        </w:rPr>
        <w:t xml:space="preserve">28. </w:t>
      </w:r>
      <w:r>
        <w:rPr>
          <w:rStyle w:val="None"/>
          <w:rtl w:val="0"/>
          <w:lang w:val="en-US"/>
        </w:rPr>
        <w:t xml:space="preserve">Kolovos, A. (2023). Strengthening links between European Union space and defence: adopting a combined approach. </w:t>
      </w:r>
      <w:r>
        <w:rPr>
          <w:rStyle w:val="None"/>
          <w:i w:val="1"/>
          <w:iCs w:val="1"/>
          <w:rtl w:val="0"/>
        </w:rPr>
        <w:t>Space Policy</w:t>
      </w:r>
      <w:r>
        <w:rPr>
          <w:rtl w:val="0"/>
        </w:rPr>
        <w:t xml:space="preserve">, </w:t>
      </w:r>
      <w:r>
        <w:rPr>
          <w:rStyle w:val="None"/>
          <w:i w:val="1"/>
          <w:iCs w:val="1"/>
          <w:rtl w:val="0"/>
        </w:rPr>
        <w:t>63</w:t>
      </w:r>
      <w:r>
        <w:rPr>
          <w:rStyle w:val="None"/>
          <w:rtl w:val="0"/>
          <w:lang w:val="en-US"/>
        </w:rPr>
        <w:t>. https://doi.org/10.1016/j.spacepol.2022.101534</w:t>
      </w:r>
    </w:p>
    <w:p>
      <w:pPr>
        <w:pStyle w:val="Body"/>
        <w:rPr>
          <w:rStyle w:val="None"/>
          <w:lang w:val="en-US"/>
        </w:rPr>
      </w:pPr>
      <w:r>
        <w:rPr>
          <w:rtl w:val="0"/>
        </w:rPr>
        <w:t xml:space="preserve">29. </w:t>
      </w:r>
      <w:r>
        <w:rPr>
          <w:rtl w:val="0"/>
        </w:rPr>
        <w:t xml:space="preserve">Lai, A. K. (2021). </w:t>
      </w:r>
      <w:r>
        <w:rPr>
          <w:rStyle w:val="None"/>
          <w:i w:val="1"/>
          <w:iCs w:val="1"/>
          <w:rtl w:val="0"/>
          <w:lang w:val="en-US"/>
        </w:rPr>
        <w:t>The Cold War, the Space Race, and the Law of Outer Space: Space for Peace</w:t>
      </w:r>
      <w:r>
        <w:rPr>
          <w:rtl w:val="0"/>
        </w:rPr>
        <w:t>.</w:t>
      </w:r>
      <w:r>
        <w:rPr>
          <w:rStyle w:val="None"/>
          <w:rtl w:val="0"/>
          <w:lang w:val="en-US"/>
        </w:rPr>
        <w:t xml:space="preserve"> Routledge.</w:t>
      </w:r>
    </w:p>
    <w:p>
      <w:pPr>
        <w:pStyle w:val="Body"/>
      </w:pPr>
      <w:r>
        <w:rPr>
          <w:rtl w:val="0"/>
        </w:rPr>
        <w:t xml:space="preserve">30. </w:t>
      </w:r>
      <w:r>
        <w:rPr>
          <w:rStyle w:val="None"/>
          <w:shd w:val="clear" w:color="auto" w:fill="ffffff"/>
          <w:rtl w:val="0"/>
          <w:lang w:val="en-US"/>
        </w:rPr>
        <w:t>Liu, Z.</w:t>
      </w:r>
      <w:r>
        <w:rPr>
          <w:rStyle w:val="None"/>
          <w:rtl w:val="0"/>
          <w:lang w:val="en-US"/>
        </w:rPr>
        <w:t xml:space="preserve"> (2021, January 18). China-US rivalry: how the Gulf War sparked Beijing</w:t>
      </w:r>
      <w:r>
        <w:rPr>
          <w:rStyle w:val="None"/>
          <w:rtl w:val="1"/>
        </w:rPr>
        <w:t>’</w:t>
      </w:r>
      <w:r>
        <w:rPr>
          <w:rStyle w:val="None"/>
          <w:rtl w:val="0"/>
          <w:lang w:val="en-US"/>
        </w:rPr>
        <w:t xml:space="preserve">s military revolution. </w:t>
      </w:r>
      <w:r>
        <w:rPr>
          <w:rStyle w:val="None"/>
          <w:i w:val="1"/>
          <w:iCs w:val="1"/>
          <w:rtl w:val="0"/>
          <w:lang w:val="en-US"/>
        </w:rPr>
        <w:t>South China Morning Post</w:t>
      </w:r>
      <w:r>
        <w:rPr>
          <w:rStyle w:val="None"/>
          <w:rtl w:val="0"/>
          <w:lang w:val="en-US"/>
        </w:rPr>
        <w:t>. https://www.scmp.com/news/china/military/article/3118083/china-us-rivalry-how-gulf-war-sparked-beijings-military</w:t>
      </w:r>
    </w:p>
    <w:p>
      <w:pPr>
        <w:pStyle w:val="Body"/>
      </w:pPr>
      <w:r>
        <w:rPr>
          <w:rtl w:val="0"/>
        </w:rPr>
        <w:t xml:space="preserve">31. </w:t>
      </w:r>
      <w:r>
        <w:rPr>
          <w:rStyle w:val="None"/>
          <w:rtl w:val="0"/>
          <w:lang w:val="en-US"/>
        </w:rPr>
        <w:t xml:space="preserve">Liu, Z. (2023, August 23). China slams US call to ban anti-satellite missile tests as </w:t>
      </w:r>
      <w:r>
        <w:rPr>
          <w:rStyle w:val="None"/>
          <w:rtl w:val="1"/>
        </w:rPr>
        <w:t>‘</w:t>
      </w:r>
      <w:r>
        <w:rPr>
          <w:rStyle w:val="None"/>
          <w:rtl w:val="0"/>
          <w:lang w:val="en-US"/>
        </w:rPr>
        <w:t>fake arms control.</w:t>
      </w:r>
      <w:r>
        <w:rPr>
          <w:rStyle w:val="None"/>
          <w:rtl w:val="1"/>
        </w:rPr>
        <w:t xml:space="preserve">’ </w:t>
      </w:r>
      <w:r>
        <w:rPr>
          <w:rStyle w:val="None"/>
          <w:i w:val="1"/>
          <w:iCs w:val="1"/>
          <w:rtl w:val="0"/>
          <w:lang w:val="en-US"/>
        </w:rPr>
        <w:t>South China Morning Post</w:t>
      </w:r>
      <w:r>
        <w:rPr>
          <w:rStyle w:val="None"/>
          <w:rtl w:val="0"/>
          <w:lang w:val="en-US"/>
        </w:rPr>
        <w:t>. https://www.scmp.com/news/china/diplomacy/article/3232073/china-slams-us-call-ban-anti-satellite-missile-tests-fake-arms-control</w:t>
      </w:r>
    </w:p>
    <w:p>
      <w:pPr>
        <w:pStyle w:val="Body"/>
      </w:pPr>
      <w:r>
        <w:rPr>
          <w:rtl w:val="0"/>
        </w:rPr>
        <w:t xml:space="preserve">32. </w:t>
      </w:r>
      <w:r>
        <w:rPr>
          <w:rStyle w:val="None"/>
          <w:rtl w:val="0"/>
          <w:lang w:val="en-US"/>
        </w:rPr>
        <w:t xml:space="preserve">Lodhi, M. (2023). </w:t>
      </w:r>
      <w:r>
        <w:rPr>
          <w:rStyle w:val="None"/>
          <w:i w:val="1"/>
          <w:iCs w:val="1"/>
          <w:rtl w:val="0"/>
          <w:lang w:val="en-US"/>
        </w:rPr>
        <w:t xml:space="preserve">Era of </w:t>
      </w:r>
      <w:r>
        <w:rPr>
          <w:rStyle w:val="None"/>
          <w:i w:val="1"/>
          <w:iCs w:val="1"/>
          <w:rtl w:val="1"/>
        </w:rPr>
        <w:t>‘</w:t>
      </w:r>
      <w:r>
        <w:rPr>
          <w:rStyle w:val="None"/>
          <w:i w:val="1"/>
          <w:iCs w:val="1"/>
          <w:rtl w:val="0"/>
          <w:lang w:val="en-US"/>
        </w:rPr>
        <w:t>Middle Powers</w:t>
      </w:r>
      <w:r>
        <w:rPr>
          <w:rStyle w:val="None"/>
          <w:i w:val="1"/>
          <w:iCs w:val="1"/>
          <w:rtl w:val="1"/>
        </w:rPr>
        <w:t>’</w:t>
      </w:r>
      <w:r>
        <w:rPr>
          <w:rStyle w:val="None"/>
          <w:i w:val="1"/>
          <w:iCs w:val="1"/>
          <w:rtl w:val="0"/>
          <w:lang w:val="zh-TW" w:eastAsia="zh-TW"/>
        </w:rPr>
        <w:t>?</w:t>
      </w:r>
      <w:r>
        <w:rPr>
          <w:rStyle w:val="None"/>
          <w:i w:val="1"/>
          <w:iCs w:val="1"/>
          <w:rtl w:val="0"/>
          <w:lang w:val="en-US"/>
        </w:rPr>
        <w:t xml:space="preserve">. </w:t>
      </w:r>
      <w:r>
        <w:rPr>
          <w:rStyle w:val="None"/>
          <w:rtl w:val="0"/>
          <w:lang w:val="en-US"/>
        </w:rPr>
        <w:t>Centre for Governance Studies</w:t>
      </w:r>
      <w:r>
        <w:rPr>
          <w:rStyle w:val="None"/>
          <w:i w:val="1"/>
          <w:iCs w:val="1"/>
          <w:rtl w:val="0"/>
          <w:lang w:val="en-US"/>
        </w:rPr>
        <w:t xml:space="preserve">. </w:t>
      </w:r>
      <w:r>
        <w:rPr>
          <w:rStyle w:val="None"/>
          <w:i w:val="1"/>
          <w:iCs w:val="1"/>
          <w:rtl w:val="0"/>
        </w:rPr>
        <w:t> </w:t>
      </w:r>
      <w:r>
        <w:rPr>
          <w:rStyle w:val="Hyperlink.0"/>
        </w:rPr>
        <w:fldChar w:fldCharType="begin" w:fldLock="0"/>
      </w:r>
      <w:r>
        <w:rPr>
          <w:rStyle w:val="Hyperlink.0"/>
        </w:rPr>
        <w:instrText xml:space="preserve"> HYPERLINK "https://cgs-bd.com/article/18310/Era-of-%25E2%2580%2598Middle-Powers%25E2%2580%2599"</w:instrText>
      </w:r>
      <w:r>
        <w:rPr>
          <w:rStyle w:val="Hyperlink.0"/>
        </w:rPr>
        <w:fldChar w:fldCharType="separate" w:fldLock="0"/>
      </w:r>
      <w:r>
        <w:rPr>
          <w:rStyle w:val="Hyperlink.0"/>
          <w:rtl w:val="0"/>
        </w:rPr>
        <w:t>https://cgs-bd.com/article/18310/Era-of-%E2%80%98Middle-Powers%E2%80%99</w:t>
      </w:r>
      <w:r>
        <w:rPr/>
        <w:fldChar w:fldCharType="end" w:fldLock="0"/>
      </w:r>
    </w:p>
    <w:p>
      <w:pPr>
        <w:pStyle w:val="Body"/>
        <w:rPr>
          <w:rStyle w:val="None"/>
          <w:i w:val="1"/>
          <w:iCs w:val="1"/>
          <w:lang w:val="en-US"/>
        </w:rPr>
      </w:pPr>
      <w:r>
        <w:rPr>
          <w:rtl w:val="0"/>
        </w:rPr>
        <w:t xml:space="preserve">33. </w:t>
      </w:r>
      <w:r>
        <w:rPr>
          <w:rStyle w:val="None"/>
          <w:rtl w:val="0"/>
          <w:lang w:val="es-ES_tradnl"/>
        </w:rPr>
        <w:t xml:space="preserve">Manriquez, M. (2007). </w:t>
      </w:r>
      <w:r>
        <w:rPr>
          <w:rStyle w:val="None"/>
          <w:i w:val="1"/>
          <w:iCs w:val="1"/>
          <w:rtl w:val="0"/>
        </w:rPr>
        <w:t>Japan</w:t>
      </w:r>
      <w:r>
        <w:rPr>
          <w:rStyle w:val="None"/>
          <w:i w:val="1"/>
          <w:iCs w:val="1"/>
          <w:rtl w:val="1"/>
        </w:rPr>
        <w:t>’</w:t>
      </w:r>
      <w:r>
        <w:rPr>
          <w:rStyle w:val="None"/>
          <w:i w:val="1"/>
          <w:iCs w:val="1"/>
          <w:rtl w:val="0"/>
          <w:lang w:val="en-US"/>
        </w:rPr>
        <w:t>s space Law revision: the next step toward Re-Militarization?</w:t>
      </w:r>
      <w:r>
        <w:rPr>
          <w:rtl w:val="0"/>
        </w:rPr>
        <w:t xml:space="preserve"> NTI.</w:t>
      </w:r>
      <w:r>
        <w:rPr>
          <w:rStyle w:val="None"/>
          <w:rtl w:val="0"/>
          <w:lang w:val="en-US"/>
        </w:rPr>
        <w:t xml:space="preserve"> </w:t>
      </w:r>
      <w:r>
        <w:rPr>
          <w:rtl w:val="0"/>
        </w:rPr>
        <w:t>https://www.nti.org/analysis/articles/japans-space-law-revision/</w:t>
      </w:r>
    </w:p>
    <w:p>
      <w:pPr>
        <w:pStyle w:val="Body"/>
      </w:pPr>
      <w:r>
        <w:rPr>
          <w:rStyle w:val="None"/>
          <w:rtl w:val="0"/>
          <w:lang w:val="en-US"/>
        </w:rPr>
        <w:t>34.</w:t>
      </w:r>
      <w:r>
        <w:rPr>
          <w:rStyle w:val="None"/>
          <w:i w:val="1"/>
          <w:iCs w:val="1"/>
          <w:rtl w:val="0"/>
          <w:lang w:val="en-US"/>
        </w:rPr>
        <w:t xml:space="preserve"> </w:t>
      </w:r>
      <w:r>
        <w:rPr>
          <w:rStyle w:val="None"/>
          <w:rtl w:val="0"/>
          <w:lang w:val="en-US"/>
        </w:rPr>
        <w:t xml:space="preserve">Moltz, J.C. </w:t>
      </w:r>
      <w:r>
        <w:rPr>
          <w:rtl w:val="0"/>
        </w:rPr>
        <w:t>(201</w:t>
      </w:r>
      <w:r>
        <w:rPr>
          <w:rStyle w:val="None"/>
          <w:rtl w:val="0"/>
          <w:lang w:val="en-US"/>
        </w:rPr>
        <w:t>1</w:t>
      </w:r>
      <w:r>
        <w:rPr>
          <w:rtl w:val="0"/>
        </w:rPr>
        <w:t xml:space="preserve">). </w:t>
      </w:r>
      <w:r>
        <w:rPr>
          <w:rStyle w:val="None"/>
          <w:i w:val="1"/>
          <w:iCs w:val="1"/>
          <w:rtl w:val="0"/>
        </w:rPr>
        <w:t>A</w:t>
      </w:r>
      <w:r>
        <w:rPr>
          <w:rStyle w:val="None"/>
          <w:i w:val="1"/>
          <w:iCs w:val="1"/>
          <w:rtl w:val="0"/>
          <w:lang w:val="en-US"/>
        </w:rPr>
        <w:t>sia</w:t>
      </w:r>
      <w:r>
        <w:rPr>
          <w:rStyle w:val="None"/>
          <w:i w:val="1"/>
          <w:iCs w:val="1"/>
          <w:rtl w:val="0"/>
          <w:lang w:val="en-US"/>
        </w:rPr>
        <w:t>’</w:t>
      </w:r>
      <w:r>
        <w:rPr>
          <w:rStyle w:val="None"/>
          <w:i w:val="1"/>
          <w:iCs w:val="1"/>
          <w:rtl w:val="0"/>
          <w:lang w:val="en-US"/>
        </w:rPr>
        <w:t>s</w:t>
      </w:r>
      <w:r>
        <w:rPr>
          <w:rStyle w:val="None"/>
          <w:i w:val="1"/>
          <w:iCs w:val="1"/>
          <w:rtl w:val="0"/>
        </w:rPr>
        <w:t xml:space="preserve"> S</w:t>
      </w:r>
      <w:r>
        <w:rPr>
          <w:rStyle w:val="None"/>
          <w:i w:val="1"/>
          <w:iCs w:val="1"/>
          <w:rtl w:val="0"/>
          <w:lang w:val="en-US"/>
        </w:rPr>
        <w:t>pace</w:t>
      </w:r>
      <w:r>
        <w:rPr>
          <w:rStyle w:val="None"/>
          <w:i w:val="1"/>
          <w:iCs w:val="1"/>
          <w:rtl w:val="0"/>
        </w:rPr>
        <w:t xml:space="preserve"> R</w:t>
      </w:r>
      <w:r>
        <w:rPr>
          <w:rStyle w:val="None"/>
          <w:i w:val="1"/>
          <w:iCs w:val="1"/>
          <w:rtl w:val="0"/>
          <w:lang w:val="en-US"/>
        </w:rPr>
        <w:t>ace</w:t>
      </w:r>
      <w:r>
        <w:rPr>
          <w:rStyle w:val="None"/>
          <w:i w:val="1"/>
          <w:iCs w:val="1"/>
          <w:rtl w:val="0"/>
        </w:rPr>
        <w:t>: N</w:t>
      </w:r>
      <w:r>
        <w:rPr>
          <w:rStyle w:val="None"/>
          <w:i w:val="1"/>
          <w:iCs w:val="1"/>
          <w:rtl w:val="0"/>
          <w:lang w:val="en-US"/>
        </w:rPr>
        <w:t xml:space="preserve">ational </w:t>
      </w:r>
      <w:r>
        <w:rPr>
          <w:rStyle w:val="None"/>
          <w:i w:val="1"/>
          <w:iCs w:val="1"/>
          <w:rtl w:val="0"/>
        </w:rPr>
        <w:t>M</w:t>
      </w:r>
      <w:r>
        <w:rPr>
          <w:rStyle w:val="None"/>
          <w:i w:val="1"/>
          <w:iCs w:val="1"/>
          <w:rtl w:val="0"/>
          <w:lang w:val="en-US"/>
        </w:rPr>
        <w:t>otivation</w:t>
      </w:r>
      <w:r>
        <w:rPr>
          <w:rStyle w:val="None"/>
          <w:i w:val="1"/>
          <w:iCs w:val="1"/>
          <w:rtl w:val="0"/>
        </w:rPr>
        <w:t>, R</w:t>
      </w:r>
      <w:r>
        <w:rPr>
          <w:rStyle w:val="None"/>
          <w:i w:val="1"/>
          <w:iCs w:val="1"/>
          <w:rtl w:val="0"/>
          <w:lang w:val="en-US"/>
        </w:rPr>
        <w:t>egional</w:t>
      </w:r>
      <w:r>
        <w:rPr>
          <w:rStyle w:val="None"/>
          <w:i w:val="1"/>
          <w:iCs w:val="1"/>
          <w:rtl w:val="0"/>
        </w:rPr>
        <w:t xml:space="preserve"> R</w:t>
      </w:r>
      <w:r>
        <w:rPr>
          <w:rStyle w:val="None"/>
          <w:i w:val="1"/>
          <w:iCs w:val="1"/>
          <w:rtl w:val="0"/>
          <w:lang w:val="en-US"/>
        </w:rPr>
        <w:t>ivalries</w:t>
      </w:r>
      <w:r>
        <w:rPr>
          <w:rStyle w:val="None"/>
          <w:i w:val="1"/>
          <w:iCs w:val="1"/>
          <w:rtl w:val="0"/>
        </w:rPr>
        <w:t xml:space="preserve">, </w:t>
      </w:r>
      <w:r>
        <w:rPr>
          <w:rStyle w:val="None"/>
          <w:i w:val="1"/>
          <w:iCs w:val="1"/>
          <w:rtl w:val="0"/>
          <w:lang w:val="en-US"/>
        </w:rPr>
        <w:t>and International</w:t>
      </w:r>
      <w:r>
        <w:rPr>
          <w:rStyle w:val="None"/>
          <w:i w:val="1"/>
          <w:iCs w:val="1"/>
          <w:rtl w:val="0"/>
        </w:rPr>
        <w:t xml:space="preserve"> R</w:t>
      </w:r>
      <w:r>
        <w:rPr>
          <w:rStyle w:val="None"/>
          <w:i w:val="1"/>
          <w:iCs w:val="1"/>
          <w:rtl w:val="0"/>
          <w:lang w:val="en-US"/>
        </w:rPr>
        <w:t>isks.</w:t>
      </w:r>
      <w:r>
        <w:rPr>
          <w:rStyle w:val="None"/>
          <w:rtl w:val="0"/>
          <w:lang w:val="en-US"/>
        </w:rPr>
        <w:t xml:space="preserve"> Columbia University Press.</w:t>
      </w:r>
    </w:p>
    <w:p>
      <w:pPr>
        <w:pStyle w:val="Body"/>
        <w:rPr>
          <w:rStyle w:val="None"/>
          <w:lang w:val="en-US"/>
        </w:rPr>
      </w:pPr>
      <w:r>
        <w:rPr>
          <w:rtl w:val="0"/>
        </w:rPr>
        <w:t xml:space="preserve">35. </w:t>
      </w:r>
      <w:r>
        <w:rPr>
          <w:rStyle w:val="None"/>
          <w:rtl w:val="0"/>
          <w:lang w:val="en-US"/>
        </w:rPr>
        <w:t xml:space="preserve">Ministry of Foreign Affairs of Japan. </w:t>
      </w:r>
      <w:r>
        <w:rPr>
          <w:rtl w:val="0"/>
        </w:rPr>
        <w:t>(2022)</w:t>
      </w:r>
      <w:r>
        <w:rPr>
          <w:rStyle w:val="None"/>
          <w:rtl w:val="0"/>
          <w:lang w:val="en-US"/>
        </w:rPr>
        <w:t xml:space="preserve">. </w:t>
      </w:r>
      <w:r>
        <w:rPr>
          <w:rStyle w:val="None"/>
          <w:i w:val="1"/>
          <w:iCs w:val="1"/>
          <w:rtl w:val="0"/>
          <w:lang w:val="en-US"/>
        </w:rPr>
        <w:t>Decision not to conduct Destructive, Direct-Ascent Anti-Satellite Missile Testing</w:t>
      </w:r>
      <w:r>
        <w:rPr>
          <w:rtl w:val="0"/>
        </w:rPr>
        <w:t>.</w:t>
      </w:r>
      <w:r>
        <w:rPr>
          <w:rStyle w:val="None"/>
          <w:rtl w:val="0"/>
          <w:lang w:val="en-US"/>
        </w:rPr>
        <w:t xml:space="preserve"> </w:t>
      </w:r>
      <w:r>
        <w:rPr>
          <w:rtl w:val="0"/>
        </w:rPr>
        <w:t>https://www.mofa.go.jp/press/release/press3e_000451.html</w:t>
      </w:r>
    </w:p>
    <w:p>
      <w:pPr>
        <w:pStyle w:val="Body"/>
      </w:pPr>
      <w:r>
        <w:rPr>
          <w:rtl w:val="0"/>
        </w:rPr>
        <w:t xml:space="preserve">36. </w:t>
      </w:r>
      <w:r>
        <w:rPr>
          <w:rtl w:val="0"/>
        </w:rPr>
        <w:t>Nagy,</w:t>
      </w:r>
      <w:r>
        <w:rPr>
          <w:rStyle w:val="None"/>
          <w:rtl w:val="0"/>
          <w:lang w:val="en-US"/>
        </w:rPr>
        <w:t xml:space="preserve"> </w:t>
      </w:r>
      <w:r>
        <w:rPr>
          <w:rtl w:val="0"/>
        </w:rPr>
        <w:t>S.</w:t>
      </w:r>
      <w:r>
        <w:rPr>
          <w:rStyle w:val="None"/>
          <w:rtl w:val="0"/>
          <w:lang w:val="en-US"/>
        </w:rPr>
        <w:t xml:space="preserve">, &amp; Ping, J. (2023, March 14). The end of the normative middle power ship. </w:t>
      </w:r>
      <w:r>
        <w:rPr>
          <w:rStyle w:val="None"/>
          <w:i w:val="1"/>
          <w:iCs w:val="1"/>
          <w:rtl w:val="0"/>
          <w:lang w:val="en-US"/>
        </w:rPr>
        <w:t>Australian Institute of International Affairs</w:t>
      </w:r>
      <w:r>
        <w:rPr>
          <w:rStyle w:val="None"/>
          <w:rtl w:val="0"/>
          <w:lang w:val="en-US"/>
        </w:rPr>
        <w:t>. https://www.internationalaffairs.org.au/australianoutlook/the-end-of-the-normative-middle-power-ship/</w:t>
      </w:r>
    </w:p>
    <w:p>
      <w:pPr>
        <w:pStyle w:val="Body"/>
        <w:rPr>
          <w:rStyle w:val="None"/>
          <w:shd w:val="clear" w:color="auto" w:fill="ffffff"/>
        </w:rPr>
      </w:pPr>
      <w:r>
        <w:rPr>
          <w:rtl w:val="0"/>
        </w:rPr>
        <w:t xml:space="preserve">37. </w:t>
      </w:r>
      <w:r>
        <w:rPr>
          <w:rStyle w:val="None"/>
          <w:shd w:val="clear" w:color="auto" w:fill="ffffff"/>
          <w:rtl w:val="0"/>
          <w:lang w:val="en-US"/>
        </w:rPr>
        <w:t>Nucera, G. G. (2018). International Geopolitics and Space Regulation.</w:t>
      </w:r>
      <w:r>
        <w:rPr>
          <w:rStyle w:val="None"/>
          <w:shd w:val="clear" w:color="auto" w:fill="ffffff"/>
          <w:rtl w:val="0"/>
        </w:rPr>
        <w:t> </w:t>
      </w:r>
      <w:r>
        <w:rPr>
          <w:rStyle w:val="None"/>
          <w:i w:val="1"/>
          <w:iCs w:val="1"/>
          <w:shd w:val="clear" w:color="auto" w:fill="ffffff"/>
          <w:rtl w:val="0"/>
          <w:lang w:val="en-US"/>
        </w:rPr>
        <w:t xml:space="preserve">Oxford Research Encyclopedia of Planetary Science, 1-23. </w:t>
      </w:r>
      <w:r>
        <w:rPr>
          <w:rStyle w:val="None"/>
          <w:rtl w:val="0"/>
          <w:lang w:val="en-US"/>
        </w:rPr>
        <w:t>https://doi.org/10.1093/acrefore/9780190647926.013.40</w:t>
      </w:r>
    </w:p>
    <w:p>
      <w:pPr>
        <w:pStyle w:val="Body"/>
      </w:pPr>
      <w:r>
        <w:rPr>
          <w:rStyle w:val="None"/>
          <w:shd w:val="clear" w:color="auto" w:fill="ffffff"/>
          <w:rtl w:val="0"/>
          <w:lang w:val="en-US"/>
        </w:rPr>
        <w:t xml:space="preserve">38. </w:t>
      </w:r>
      <w:r>
        <w:rPr>
          <w:rStyle w:val="None"/>
          <w:rtl w:val="0"/>
          <w:lang w:val="en-US"/>
        </w:rPr>
        <w:t xml:space="preserve">Pant, H., &amp; Lele, A. (2010). India in Space: Factors shaping the Indian trajectory. </w:t>
      </w:r>
      <w:r>
        <w:rPr>
          <w:rStyle w:val="None"/>
          <w:i w:val="1"/>
          <w:iCs w:val="1"/>
          <w:rtl w:val="0"/>
          <w:lang w:val="en-US"/>
        </w:rPr>
        <w:t>Space and Defense</w:t>
      </w:r>
      <w:r>
        <w:rPr>
          <w:rtl w:val="0"/>
        </w:rPr>
        <w:t xml:space="preserve">, </w:t>
      </w:r>
      <w:r>
        <w:rPr>
          <w:rStyle w:val="None"/>
          <w:i w:val="1"/>
          <w:iCs w:val="1"/>
          <w:rtl w:val="0"/>
        </w:rPr>
        <w:t>4</w:t>
      </w:r>
      <w:r>
        <w:rPr>
          <w:rtl w:val="0"/>
        </w:rPr>
        <w:t>(</w:t>
      </w:r>
      <w:r>
        <w:rPr>
          <w:rStyle w:val="None"/>
          <w:rtl w:val="0"/>
          <w:lang w:val="en-US"/>
        </w:rPr>
        <w:t>3</w:t>
      </w:r>
      <w:r>
        <w:rPr>
          <w:rtl w:val="0"/>
        </w:rPr>
        <w:t>)</w:t>
      </w:r>
      <w:r>
        <w:rPr>
          <w:rStyle w:val="None"/>
          <w:rtl w:val="0"/>
          <w:lang w:val="en-US"/>
        </w:rPr>
        <w:t>, 46-59.</w:t>
      </w:r>
      <w:r>
        <w:rPr>
          <w:rStyle w:val="None"/>
          <w:rtl w:val="0"/>
          <w:lang w:val="pt-PT"/>
        </w:rPr>
        <w:t xml:space="preserve"> https://doi.org/10.32873/uno.dc.sd.04.02.1159</w:t>
      </w:r>
    </w:p>
    <w:p>
      <w:pPr>
        <w:pStyle w:val="Body"/>
      </w:pPr>
      <w:r>
        <w:rPr>
          <w:rtl w:val="0"/>
        </w:rPr>
        <w:t xml:space="preserve">39. </w:t>
      </w:r>
      <w:r>
        <w:rPr>
          <w:rStyle w:val="None"/>
          <w:rtl w:val="0"/>
          <w:lang w:val="en-US"/>
        </w:rPr>
        <w:t xml:space="preserve">Pekkanen, S. M., Aoki, S., &amp; Takatori, Y. (2023). Japan in the New Lunar Space Race. </w:t>
      </w:r>
      <w:r>
        <w:rPr>
          <w:rStyle w:val="None"/>
          <w:i w:val="1"/>
          <w:iCs w:val="1"/>
          <w:rtl w:val="0"/>
        </w:rPr>
        <w:t>Space Policy</w:t>
      </w:r>
      <w:r>
        <w:rPr>
          <w:rtl w:val="0"/>
        </w:rPr>
        <w:t xml:space="preserve">, </w:t>
      </w:r>
      <w:r>
        <w:rPr>
          <w:rStyle w:val="None"/>
          <w:rtl w:val="0"/>
          <w:lang w:val="en-US"/>
        </w:rPr>
        <w:t>69, 1-13. https://doi.org/10.1016/j.spacepol.2023.101577</w:t>
      </w:r>
    </w:p>
    <w:p>
      <w:pPr>
        <w:pStyle w:val="Body"/>
        <w:rPr>
          <w:rStyle w:val="None"/>
          <w:lang w:val="en-US"/>
        </w:rPr>
      </w:pPr>
      <w:r>
        <w:rPr>
          <w:rtl w:val="0"/>
        </w:rPr>
        <w:t xml:space="preserve">40. </w:t>
      </w:r>
      <w:r>
        <w:rPr>
          <w:rStyle w:val="None"/>
          <w:rtl w:val="0"/>
          <w:lang w:val="en-US"/>
        </w:rPr>
        <w:t xml:space="preserve">Peoples, C. (2013). A normal space power? Understanding </w:t>
      </w:r>
      <w:r>
        <w:rPr>
          <w:rStyle w:val="None"/>
          <w:rtl w:val="1"/>
        </w:rPr>
        <w:t>‘</w:t>
      </w:r>
      <w:r>
        <w:rPr>
          <w:rStyle w:val="None"/>
          <w:rtl w:val="0"/>
          <w:lang w:val="en-US"/>
        </w:rPr>
        <w:t>security</w:t>
      </w:r>
      <w:r>
        <w:rPr>
          <w:rStyle w:val="None"/>
          <w:rtl w:val="1"/>
        </w:rPr>
        <w:t xml:space="preserve">’ </w:t>
      </w:r>
      <w:r>
        <w:rPr>
          <w:rStyle w:val="None"/>
          <w:rtl w:val="0"/>
          <w:lang w:val="de-DE"/>
        </w:rPr>
        <w:t>in Japan</w:t>
      </w:r>
      <w:r>
        <w:rPr>
          <w:rStyle w:val="None"/>
          <w:rtl w:val="1"/>
        </w:rPr>
        <w:t>’</w:t>
      </w:r>
      <w:r>
        <w:rPr>
          <w:rStyle w:val="None"/>
          <w:rtl w:val="0"/>
          <w:lang w:val="en-US"/>
        </w:rPr>
        <w:t xml:space="preserve">s space policy discourse. </w:t>
      </w:r>
      <w:r>
        <w:rPr>
          <w:rStyle w:val="None"/>
          <w:i w:val="1"/>
          <w:iCs w:val="1"/>
          <w:rtl w:val="0"/>
        </w:rPr>
        <w:t>Space Policy</w:t>
      </w:r>
      <w:r>
        <w:rPr>
          <w:rtl w:val="0"/>
        </w:rPr>
        <w:t xml:space="preserve">, </w:t>
      </w:r>
      <w:r>
        <w:rPr>
          <w:rStyle w:val="None"/>
          <w:i w:val="1"/>
          <w:iCs w:val="1"/>
          <w:rtl w:val="0"/>
        </w:rPr>
        <w:t>29</w:t>
      </w:r>
      <w:r>
        <w:rPr>
          <w:rtl w:val="0"/>
        </w:rPr>
        <w:t>(2), 135</w:t>
      </w:r>
      <w:r>
        <w:rPr>
          <w:rtl w:val="0"/>
        </w:rPr>
        <w:t>–</w:t>
      </w:r>
      <w:r>
        <w:rPr>
          <w:rStyle w:val="None"/>
          <w:rtl w:val="0"/>
          <w:lang w:val="en-US"/>
        </w:rPr>
        <w:t xml:space="preserve">143. </w:t>
      </w:r>
      <w:r>
        <w:rPr>
          <w:rtl w:val="0"/>
        </w:rPr>
        <w:t>https://doi.org/10.1016/j.spacepol.2013.03.001</w:t>
      </w:r>
    </w:p>
    <w:p>
      <w:pPr>
        <w:pStyle w:val="Body"/>
      </w:pPr>
      <w:r>
        <w:rPr>
          <w:rStyle w:val="None"/>
          <w:rtl w:val="0"/>
          <w:lang w:val="en-US"/>
        </w:rPr>
        <w:t xml:space="preserve">41. </w:t>
      </w:r>
      <w:r>
        <w:rPr>
          <w:rtl w:val="0"/>
        </w:rPr>
        <w:t>Rajagopalan, R. P. (2011). India</w:t>
      </w:r>
      <w:r>
        <w:rPr>
          <w:rStyle w:val="None"/>
          <w:rtl w:val="1"/>
        </w:rPr>
        <w:t>’</w:t>
      </w:r>
      <w:r>
        <w:rPr>
          <w:rStyle w:val="None"/>
          <w:rtl w:val="0"/>
          <w:lang w:val="en-US"/>
        </w:rPr>
        <w:t>s changing policy on space militarization: The impact of China</w:t>
      </w:r>
      <w:r>
        <w:rPr>
          <w:rStyle w:val="None"/>
          <w:rtl w:val="1"/>
        </w:rPr>
        <w:t>’</w:t>
      </w:r>
      <w:r>
        <w:rPr>
          <w:rtl w:val="0"/>
        </w:rPr>
        <w:t xml:space="preserve">s ASAT test. </w:t>
      </w:r>
      <w:r>
        <w:rPr>
          <w:rStyle w:val="None"/>
          <w:i w:val="1"/>
          <w:iCs w:val="1"/>
          <w:rtl w:val="0"/>
          <w:lang w:val="en-US"/>
        </w:rPr>
        <w:t>India Review</w:t>
      </w:r>
      <w:r>
        <w:rPr>
          <w:rtl w:val="0"/>
        </w:rPr>
        <w:t xml:space="preserve">, </w:t>
      </w:r>
      <w:r>
        <w:rPr>
          <w:rStyle w:val="None"/>
          <w:i w:val="1"/>
          <w:iCs w:val="1"/>
          <w:rtl w:val="0"/>
        </w:rPr>
        <w:t>10</w:t>
      </w:r>
      <w:r>
        <w:rPr>
          <w:rtl w:val="0"/>
        </w:rPr>
        <w:t>(4), 354</w:t>
      </w:r>
      <w:r>
        <w:rPr>
          <w:rtl w:val="0"/>
        </w:rPr>
        <w:t>–</w:t>
      </w:r>
      <w:r>
        <w:rPr>
          <w:rStyle w:val="None"/>
          <w:rtl w:val="0"/>
          <w:lang w:val="en-US"/>
        </w:rPr>
        <w:t>378. https://doi.org/10.1080/14736489.2011.624018</w:t>
      </w:r>
    </w:p>
    <w:p>
      <w:pPr>
        <w:pStyle w:val="Body"/>
        <w:rPr>
          <w:rStyle w:val="None"/>
          <w:lang w:val="en-US"/>
        </w:rPr>
      </w:pPr>
      <w:r>
        <w:rPr>
          <w:rtl w:val="0"/>
        </w:rPr>
        <w:t xml:space="preserve">42. </w:t>
      </w:r>
      <w:r>
        <w:rPr>
          <w:rtl w:val="0"/>
        </w:rPr>
        <w:t>Rajagopalan, R. P. (</w:t>
      </w:r>
      <w:r>
        <w:rPr>
          <w:rStyle w:val="None"/>
          <w:rtl w:val="0"/>
          <w:lang w:val="en-US"/>
        </w:rPr>
        <w:t>2012). The space Code of Conduct debate: A View from Delhi</w:t>
      </w:r>
      <w:r>
        <w:rPr>
          <w:rtl w:val="0"/>
        </w:rPr>
        <w:t>.</w:t>
      </w:r>
      <w:r>
        <w:rPr>
          <w:rStyle w:val="None"/>
          <w:rtl w:val="0"/>
          <w:lang w:val="en-US"/>
        </w:rPr>
        <w:t xml:space="preserve"> </w:t>
      </w:r>
      <w:r>
        <w:rPr>
          <w:rStyle w:val="None"/>
          <w:i w:val="1"/>
          <w:iCs w:val="1"/>
          <w:rtl w:val="0"/>
          <w:lang w:val="de-DE"/>
        </w:rPr>
        <w:t>Strategic Studies Quarterly</w:t>
      </w:r>
      <w:r>
        <w:rPr>
          <w:rStyle w:val="None"/>
          <w:i w:val="1"/>
          <w:iCs w:val="1"/>
          <w:rtl w:val="0"/>
          <w:lang w:val="en-US"/>
        </w:rPr>
        <w:t xml:space="preserve">, 6(1), </w:t>
      </w:r>
      <w:r>
        <w:rPr>
          <w:rtl w:val="0"/>
        </w:rPr>
        <w:t>137</w:t>
      </w:r>
      <w:r>
        <w:rPr>
          <w:rtl w:val="0"/>
        </w:rPr>
        <w:t>–</w:t>
      </w:r>
      <w:r>
        <w:rPr>
          <w:rStyle w:val="None"/>
          <w:rtl w:val="0"/>
          <w:lang w:val="en-US"/>
        </w:rPr>
        <w:t xml:space="preserve">138. </w:t>
      </w:r>
      <w:r>
        <w:rPr>
          <w:rtl w:val="0"/>
        </w:rPr>
        <w:t>https://www.airuniversity.af.edu/Portals/10/SSQ/documents/Volume-06_Issue-1/Rajagopalan.pdf</w:t>
      </w:r>
    </w:p>
    <w:p>
      <w:pPr>
        <w:pStyle w:val="Body"/>
        <w:rPr>
          <w:rStyle w:val="None"/>
          <w:lang w:val="en-US"/>
        </w:rPr>
      </w:pPr>
      <w:r>
        <w:rPr>
          <w:rtl w:val="0"/>
        </w:rPr>
        <w:t xml:space="preserve">43. </w:t>
      </w:r>
      <w:r>
        <w:rPr>
          <w:rStyle w:val="None"/>
          <w:rtl w:val="0"/>
          <w:lang w:val="en-US"/>
        </w:rPr>
        <w:t xml:space="preserve">Rajagopalan, R. P. (2014, October 27). International Code of Conduct for Outer Space: Major Asian perspectives. ORF. </w:t>
      </w:r>
      <w:r>
        <w:rPr>
          <w:rtl w:val="0"/>
        </w:rPr>
        <w:t>https://www.orfonline.org/research/international-code-of-conduct-for-outer-space-major-asian-perspectives</w:t>
      </w:r>
    </w:p>
    <w:p>
      <w:pPr>
        <w:pStyle w:val="Body"/>
        <w:rPr>
          <w:rStyle w:val="None"/>
          <w:lang w:val="en-US"/>
        </w:rPr>
      </w:pPr>
      <w:r>
        <w:rPr>
          <w:rtl w:val="0"/>
        </w:rPr>
        <w:t xml:space="preserve">44. </w:t>
      </w:r>
      <w:r>
        <w:rPr>
          <w:rStyle w:val="None"/>
          <w:rtl w:val="0"/>
          <w:lang w:val="en-US"/>
        </w:rPr>
        <w:t>Rajagopalan, R. P., &amp; Stroikos, D. (2024). The transformation of India</w:t>
      </w:r>
      <w:r>
        <w:rPr>
          <w:rStyle w:val="None"/>
          <w:rtl w:val="1"/>
        </w:rPr>
        <w:t>’</w:t>
      </w:r>
      <w:r>
        <w:rPr>
          <w:rStyle w:val="None"/>
          <w:rtl w:val="0"/>
          <w:lang w:val="en-US"/>
        </w:rPr>
        <w:t xml:space="preserve">s space policy: From space for development to the pursuit of security and prestige. </w:t>
      </w:r>
      <w:r>
        <w:rPr>
          <w:rStyle w:val="None"/>
          <w:i w:val="1"/>
          <w:iCs w:val="1"/>
          <w:rtl w:val="0"/>
        </w:rPr>
        <w:t>Space Policy</w:t>
      </w:r>
      <w:r>
        <w:rPr>
          <w:rtl w:val="0"/>
        </w:rPr>
        <w:t xml:space="preserve">, </w:t>
      </w:r>
      <w:r>
        <w:rPr>
          <w:rStyle w:val="None"/>
          <w:rtl w:val="0"/>
          <w:lang w:val="en-US"/>
        </w:rPr>
        <w:t xml:space="preserve">69, 1-9. </w:t>
      </w:r>
      <w:r>
        <w:rPr>
          <w:rtl w:val="0"/>
        </w:rPr>
        <w:t>https://doi.org/10.1016/j.spacepol.2024.101633</w:t>
      </w:r>
    </w:p>
    <w:p>
      <w:pPr>
        <w:pStyle w:val="Body"/>
        <w:rPr>
          <w:rStyle w:val="None"/>
          <w:lang w:val="en-US"/>
        </w:rPr>
      </w:pPr>
      <w:r>
        <w:rPr>
          <w:rtl w:val="0"/>
        </w:rPr>
        <w:t xml:space="preserve">45. </w:t>
      </w:r>
      <w:r>
        <w:rPr>
          <w:rStyle w:val="None"/>
          <w:rtl w:val="0"/>
          <w:lang w:val="en-US"/>
        </w:rPr>
        <w:t>Rose, F. A. (2020, April 27). Managing China</w:t>
      </w:r>
      <w:r>
        <w:rPr>
          <w:rStyle w:val="None"/>
          <w:rtl w:val="1"/>
        </w:rPr>
        <w:t>’</w:t>
      </w:r>
      <w:r>
        <w:rPr>
          <w:rStyle w:val="None"/>
          <w:rtl w:val="0"/>
          <w:lang w:val="en-US"/>
        </w:rPr>
        <w:t xml:space="preserve">s rise in outer space. </w:t>
      </w:r>
      <w:r>
        <w:rPr>
          <w:rStyle w:val="None"/>
          <w:i w:val="1"/>
          <w:iCs w:val="1"/>
          <w:rtl w:val="0"/>
          <w:lang w:val="en-US"/>
        </w:rPr>
        <w:t>Brookings</w:t>
      </w:r>
      <w:r>
        <w:rPr>
          <w:rStyle w:val="None"/>
          <w:rtl w:val="0"/>
          <w:lang w:val="en-US"/>
        </w:rPr>
        <w:t xml:space="preserve">. </w:t>
      </w:r>
      <w:r>
        <w:rPr>
          <w:rtl w:val="0"/>
        </w:rPr>
        <w:t>https://www.brookings.edu/articles/managing-chinas-rise-in-outer-space/</w:t>
      </w:r>
    </w:p>
    <w:p>
      <w:pPr>
        <w:pStyle w:val="Body"/>
        <w:rPr>
          <w:rStyle w:val="None"/>
          <w:lang w:val="en-US"/>
        </w:rPr>
      </w:pPr>
      <w:r>
        <w:rPr>
          <w:rStyle w:val="None"/>
          <w:rtl w:val="0"/>
          <w:lang w:val="en-US"/>
        </w:rPr>
        <w:t xml:space="preserve">46. </w:t>
      </w:r>
      <w:r>
        <w:rPr>
          <w:rStyle w:val="None"/>
          <w:rtl w:val="0"/>
          <w:lang w:val="da-DK"/>
        </w:rPr>
        <w:t>Samson, V.</w:t>
      </w:r>
      <w:r>
        <w:rPr>
          <w:rStyle w:val="None"/>
          <w:rtl w:val="0"/>
          <w:lang w:val="en-US"/>
        </w:rPr>
        <w:t>, &amp;</w:t>
      </w:r>
      <w:r>
        <w:rPr>
          <w:rStyle w:val="None"/>
          <w:rtl w:val="0"/>
          <w:lang w:val="nl-NL"/>
        </w:rPr>
        <w:t xml:space="preserve"> Weeden, </w:t>
      </w:r>
      <w:r>
        <w:rPr>
          <w:rStyle w:val="None"/>
          <w:rtl w:val="0"/>
          <w:lang w:val="en-US"/>
        </w:rPr>
        <w:t xml:space="preserve">B. (2023, September 14). US seizes initiative on space security for the first time in decades. </w:t>
      </w:r>
      <w:r>
        <w:rPr>
          <w:rStyle w:val="None"/>
          <w:i w:val="1"/>
          <w:iCs w:val="1"/>
          <w:rtl w:val="0"/>
        </w:rPr>
        <w:t>C4ISRNet</w:t>
      </w:r>
      <w:r>
        <w:rPr>
          <w:rStyle w:val="None"/>
          <w:rtl w:val="0"/>
          <w:lang w:val="en-US"/>
        </w:rPr>
        <w:t xml:space="preserve">. </w:t>
      </w:r>
      <w:r>
        <w:rPr>
          <w:rtl w:val="0"/>
        </w:rPr>
        <w:t>https://www.c4isrnet.com/opinion/2023/09/14/us-seizes-initiative-on-space-security-for-the-first-time-in-decades/</w:t>
      </w:r>
    </w:p>
    <w:p>
      <w:pPr>
        <w:pStyle w:val="Body"/>
      </w:pPr>
      <w:r>
        <w:rPr>
          <w:rStyle w:val="None"/>
          <w:rtl w:val="0"/>
          <w:lang w:val="en-US"/>
        </w:rPr>
        <w:t xml:space="preserve">47. </w:t>
      </w:r>
      <w:r>
        <w:rPr>
          <w:rStyle w:val="None"/>
          <w:rtl w:val="0"/>
          <w:lang w:val="de-DE"/>
        </w:rPr>
        <w:t xml:space="preserve">Schaffer, A., &amp; Bingen, K. A. (2025). </w:t>
      </w:r>
      <w:r>
        <w:rPr>
          <w:rStyle w:val="None"/>
          <w:i w:val="1"/>
          <w:iCs w:val="1"/>
          <w:rtl w:val="0"/>
          <w:lang w:val="en-US"/>
        </w:rPr>
        <w:t>Engaging China on Space with Eyes Wide Open</w:t>
      </w:r>
      <w:r>
        <w:rPr>
          <w:rStyle w:val="None"/>
          <w:rtl w:val="0"/>
          <w:lang w:val="en-US"/>
        </w:rPr>
        <w:t>. https://www.csis.org/analysis/engaging-china-space-eyes-wide-open</w:t>
      </w:r>
    </w:p>
    <w:p>
      <w:pPr>
        <w:pStyle w:val="Body"/>
      </w:pPr>
      <w:r>
        <w:rPr>
          <w:rtl w:val="0"/>
        </w:rPr>
        <w:t xml:space="preserve">48. </w:t>
      </w:r>
      <w:r>
        <w:rPr>
          <w:rStyle w:val="None"/>
          <w:rtl w:val="0"/>
          <w:lang w:val="en-US"/>
        </w:rPr>
        <w:t>Secure World Foundation. (2025). https://www.swfound.org/publications-and-reports/2025-global-counterspace-capabilities-report</w:t>
      </w:r>
    </w:p>
    <w:p>
      <w:pPr>
        <w:pStyle w:val="Body"/>
        <w:rPr>
          <w:rStyle w:val="None"/>
          <w:lang w:val="en-US"/>
        </w:rPr>
      </w:pPr>
      <w:r>
        <w:rPr>
          <w:rtl w:val="0"/>
        </w:rPr>
        <w:t xml:space="preserve">49. </w:t>
      </w:r>
      <w:r>
        <w:rPr>
          <w:rStyle w:val="None"/>
          <w:rtl w:val="0"/>
          <w:lang w:val="en-US"/>
        </w:rPr>
        <w:t xml:space="preserve">Shambaugh, D. (2002). </w:t>
      </w:r>
      <w:r>
        <w:rPr>
          <w:rStyle w:val="None"/>
          <w:i w:val="1"/>
          <w:iCs w:val="1"/>
          <w:rtl w:val="0"/>
          <w:lang w:val="en-US"/>
        </w:rPr>
        <w:t>Modernizing China</w:t>
      </w:r>
      <w:r>
        <w:rPr>
          <w:rStyle w:val="None"/>
          <w:i w:val="1"/>
          <w:iCs w:val="1"/>
          <w:rtl w:val="1"/>
        </w:rPr>
        <w:t>’</w:t>
      </w:r>
      <w:r>
        <w:rPr>
          <w:rStyle w:val="None"/>
          <w:i w:val="1"/>
          <w:iCs w:val="1"/>
          <w:rtl w:val="0"/>
          <w:lang w:val="en-US"/>
        </w:rPr>
        <w:t>s military: Progress, Problems, and Prospects</w:t>
      </w:r>
      <w:r>
        <w:rPr>
          <w:rStyle w:val="None"/>
          <w:rtl w:val="0"/>
          <w:lang w:val="en-US"/>
        </w:rPr>
        <w:t>. Univ of California Press.</w:t>
      </w:r>
    </w:p>
    <w:p>
      <w:pPr>
        <w:pStyle w:val="Body"/>
        <w:rPr>
          <w:rStyle w:val="None"/>
          <w:lang w:val="en-US"/>
        </w:rPr>
      </w:pPr>
      <w:r>
        <w:rPr>
          <w:rStyle w:val="None"/>
          <w:rtl w:val="0"/>
          <w:lang w:val="en-US"/>
        </w:rPr>
        <w:t xml:space="preserve">50. </w:t>
      </w:r>
      <w:r>
        <w:rPr>
          <w:rStyle w:val="None"/>
          <w:rtl w:val="0"/>
          <w:lang w:val="en-US"/>
        </w:rPr>
        <w:t xml:space="preserve">Sibal, K. (2019, April 4). The A-SAT test restores the India-China strategic balance. </w:t>
      </w:r>
      <w:r>
        <w:rPr>
          <w:rStyle w:val="None"/>
          <w:i w:val="1"/>
          <w:iCs w:val="1"/>
          <w:rtl w:val="0"/>
        </w:rPr>
        <w:t>Hindustan Times</w:t>
      </w:r>
      <w:r>
        <w:rPr>
          <w:rStyle w:val="None"/>
          <w:rtl w:val="0"/>
          <w:lang w:val="en-US"/>
        </w:rPr>
        <w:t xml:space="preserve">. </w:t>
      </w:r>
      <w:r>
        <w:rPr>
          <w:rtl w:val="0"/>
        </w:rPr>
        <w:t>https://www.hindustantimes.com/analysis/the-a-sat-test-restores-the-india-china-strategic-balance/story-jkn9FsMQE3OqNdD7edCIAO.html</w:t>
      </w:r>
    </w:p>
    <w:p>
      <w:pPr>
        <w:pStyle w:val="Body"/>
      </w:pPr>
      <w:r>
        <w:rPr>
          <w:rStyle w:val="None"/>
          <w:rtl w:val="0"/>
          <w:lang w:val="en-US"/>
        </w:rPr>
        <w:t xml:space="preserve">51. </w:t>
      </w:r>
      <w:r>
        <w:rPr>
          <w:rStyle w:val="None"/>
          <w:rtl w:val="0"/>
          <w:lang w:val="en-US"/>
        </w:rPr>
        <w:t xml:space="preserve">Smith, M. (2014). </w:t>
      </w:r>
      <w:r>
        <w:rPr>
          <w:rStyle w:val="None"/>
          <w:i w:val="1"/>
          <w:iCs w:val="1"/>
          <w:rtl w:val="0"/>
          <w:lang w:val="en-US"/>
        </w:rPr>
        <w:t>U.S. accuses China of conducting another ASAT test</w:t>
      </w:r>
      <w:r>
        <w:rPr>
          <w:rStyle w:val="None"/>
          <w:rtl w:val="0"/>
          <w:lang w:val="en-US"/>
        </w:rPr>
        <w:t>. https://spacepolicyonline.com/news/u-s-accuses-china-of-conducting-another-asat-test/</w:t>
      </w:r>
    </w:p>
    <w:p>
      <w:pPr>
        <w:pStyle w:val="Body"/>
      </w:pPr>
      <w:r>
        <w:rPr>
          <w:rtl w:val="0"/>
        </w:rPr>
        <w:t xml:space="preserve">52. </w:t>
      </w:r>
      <w:r>
        <w:rPr>
          <w:rStyle w:val="None"/>
          <w:rtl w:val="0"/>
          <w:lang w:val="en-US"/>
        </w:rPr>
        <w:t xml:space="preserve">Smith, M. (2022). </w:t>
      </w:r>
      <w:r>
        <w:rPr>
          <w:rStyle w:val="None"/>
          <w:i w:val="1"/>
          <w:iCs w:val="1"/>
          <w:rtl w:val="0"/>
          <w:lang w:val="en-US"/>
        </w:rPr>
        <w:t>U.N. approves resolution not to conduct destructive ASAT tests</w:t>
      </w:r>
      <w:r>
        <w:rPr>
          <w:rStyle w:val="None"/>
          <w:rtl w:val="0"/>
          <w:lang w:val="en-US"/>
        </w:rPr>
        <w:t>. https://spacepolicyonline.com/news/u-n-approves-resolution-not-to-conduct-destructive-asat-tests/</w:t>
      </w:r>
    </w:p>
    <w:p>
      <w:pPr>
        <w:pStyle w:val="Body"/>
        <w:rPr>
          <w:rStyle w:val="None"/>
          <w:lang w:val="en-US"/>
        </w:rPr>
      </w:pPr>
      <w:r>
        <w:rPr>
          <w:rtl w:val="0"/>
        </w:rPr>
        <w:t xml:space="preserve">53. </w:t>
      </w:r>
      <w:r>
        <w:rPr>
          <w:rStyle w:val="None"/>
          <w:rtl w:val="0"/>
          <w:lang w:val="en-US"/>
        </w:rPr>
        <w:t>Steff, R., &amp; Khoo, N. (2014). Hard Balancing in the Age of American Unipolarity: The Russian Response to US Ballistic Missile Defense during the Bush Administration (2001</w:t>
      </w:r>
      <w:r>
        <w:rPr>
          <w:rtl w:val="0"/>
        </w:rPr>
        <w:t>–</w:t>
      </w:r>
      <w:r>
        <w:rPr>
          <w:rtl w:val="0"/>
        </w:rPr>
        <w:t xml:space="preserve">2008). </w:t>
      </w:r>
      <w:r>
        <w:rPr>
          <w:rStyle w:val="None"/>
          <w:i w:val="1"/>
          <w:iCs w:val="1"/>
          <w:rtl w:val="0"/>
          <w:lang w:val="en-US"/>
        </w:rPr>
        <w:t>Journal of Strategic Studies</w:t>
      </w:r>
      <w:r>
        <w:rPr>
          <w:rtl w:val="0"/>
        </w:rPr>
        <w:t xml:space="preserve">, </w:t>
      </w:r>
      <w:r>
        <w:rPr>
          <w:rStyle w:val="None"/>
          <w:i w:val="1"/>
          <w:iCs w:val="1"/>
          <w:rtl w:val="0"/>
        </w:rPr>
        <w:t>37</w:t>
      </w:r>
      <w:r>
        <w:rPr>
          <w:rtl w:val="0"/>
        </w:rPr>
        <w:t>(2), 222</w:t>
      </w:r>
      <w:r>
        <w:rPr>
          <w:rtl w:val="0"/>
        </w:rPr>
        <w:t>–</w:t>
      </w:r>
      <w:r>
        <w:rPr>
          <w:rStyle w:val="None"/>
          <w:rtl w:val="0"/>
          <w:lang w:val="en-US"/>
        </w:rPr>
        <w:t xml:space="preserve">258. </w:t>
      </w:r>
      <w:r>
        <w:rPr>
          <w:rtl w:val="0"/>
        </w:rPr>
        <w:t>https://doi.org/10.1080/01402390.2013.866556</w:t>
      </w:r>
    </w:p>
    <w:p>
      <w:pPr>
        <w:pStyle w:val="Body"/>
      </w:pPr>
      <w:r>
        <w:rPr>
          <w:rStyle w:val="None"/>
          <w:rtl w:val="0"/>
          <w:lang w:val="en-US"/>
        </w:rPr>
        <w:t>54.</w:t>
      </w:r>
      <w:r>
        <w:rPr>
          <w:rtl w:val="0"/>
        </w:rPr>
        <w:t xml:space="preserve"> </w:t>
      </w:r>
      <w:r>
        <w:rPr>
          <w:rStyle w:val="None"/>
          <w:rtl w:val="0"/>
          <w:lang w:val="en-US"/>
        </w:rPr>
        <w:t xml:space="preserve">Stokes, M., Alvarado, G., Weinstein, E., &amp; Easton, I. (2020). </w:t>
      </w:r>
      <w:r>
        <w:rPr>
          <w:rStyle w:val="None"/>
          <w:i w:val="1"/>
          <w:iCs w:val="1"/>
          <w:rtl w:val="0"/>
          <w:lang w:val="de-DE"/>
        </w:rPr>
        <w:t>China</w:t>
      </w:r>
      <w:r>
        <w:rPr>
          <w:rStyle w:val="None"/>
          <w:i w:val="1"/>
          <w:iCs w:val="1"/>
          <w:rtl w:val="1"/>
        </w:rPr>
        <w:t>’</w:t>
      </w:r>
      <w:r>
        <w:rPr>
          <w:rStyle w:val="None"/>
          <w:i w:val="1"/>
          <w:iCs w:val="1"/>
          <w:rtl w:val="0"/>
          <w:lang w:val="en-US"/>
        </w:rPr>
        <w:t>s space and counterspace capabilities and activities</w:t>
      </w:r>
      <w:r>
        <w:rPr>
          <w:rStyle w:val="None"/>
          <w:rtl w:val="0"/>
          <w:lang w:val="en-US"/>
        </w:rPr>
        <w:t xml:space="preserve"> (By The U.S.-China Economic and Security Review Commission). https://www.uscc.gov/sites/default/files/2020-05/China_Space_and_Counterspace_Activities.pdf</w:t>
      </w:r>
    </w:p>
    <w:p>
      <w:pPr>
        <w:pStyle w:val="Body"/>
        <w:rPr>
          <w:rStyle w:val="None"/>
          <w:lang w:val="en-US"/>
        </w:rPr>
      </w:pPr>
      <w:r>
        <w:rPr>
          <w:rtl w:val="0"/>
        </w:rPr>
        <w:t xml:space="preserve">55. </w:t>
      </w:r>
      <w:r>
        <w:rPr>
          <w:rStyle w:val="None"/>
          <w:rtl w:val="0"/>
          <w:lang w:val="en-US"/>
        </w:rPr>
        <w:t>Stroikos, D. (2023). Still Lost in Space? Understanding China and India</w:t>
      </w:r>
      <w:r>
        <w:rPr>
          <w:rStyle w:val="None"/>
          <w:rtl w:val="1"/>
        </w:rPr>
        <w:t>’</w:t>
      </w:r>
      <w:r>
        <w:rPr>
          <w:rStyle w:val="None"/>
          <w:rtl w:val="0"/>
          <w:lang w:val="en-US"/>
        </w:rPr>
        <w:t xml:space="preserve">s Anti-Satellite Tests through an Eclectic Approach. </w:t>
      </w:r>
      <w:r>
        <w:rPr>
          <w:rStyle w:val="None"/>
          <w:i w:val="1"/>
          <w:iCs w:val="1"/>
          <w:rtl w:val="0"/>
          <w:lang w:val="en-US"/>
        </w:rPr>
        <w:t>Astropolitics</w:t>
      </w:r>
      <w:r>
        <w:rPr>
          <w:rtl w:val="0"/>
        </w:rPr>
        <w:t xml:space="preserve">, </w:t>
      </w:r>
      <w:r>
        <w:rPr>
          <w:rStyle w:val="None"/>
          <w:i w:val="1"/>
          <w:iCs w:val="1"/>
          <w:rtl w:val="0"/>
        </w:rPr>
        <w:t>21</w:t>
      </w:r>
      <w:r>
        <w:rPr>
          <w:rtl w:val="0"/>
        </w:rPr>
        <w:t>(2</w:t>
      </w:r>
      <w:r>
        <w:rPr>
          <w:rtl w:val="0"/>
        </w:rPr>
        <w:t>–</w:t>
      </w:r>
      <w:r>
        <w:rPr>
          <w:rtl w:val="0"/>
        </w:rPr>
        <w:t>3), 179</w:t>
      </w:r>
      <w:r>
        <w:rPr>
          <w:rtl w:val="0"/>
        </w:rPr>
        <w:t>–</w:t>
      </w:r>
      <w:r>
        <w:rPr>
          <w:rStyle w:val="None"/>
          <w:rtl w:val="0"/>
          <w:lang w:val="en-US"/>
        </w:rPr>
        <w:t xml:space="preserve">205. </w:t>
      </w:r>
      <w:r>
        <w:rPr>
          <w:rtl w:val="0"/>
        </w:rPr>
        <w:t>https://doi.org/10.1080/14777622.2023.2277253</w:t>
      </w:r>
    </w:p>
    <w:p>
      <w:pPr>
        <w:pStyle w:val="Body"/>
      </w:pPr>
      <w:r>
        <w:rPr>
          <w:rStyle w:val="None"/>
          <w:rtl w:val="0"/>
          <w:lang w:val="en-US"/>
        </w:rPr>
        <w:t xml:space="preserve">56. </w:t>
      </w:r>
      <w:r>
        <w:rPr>
          <w:rStyle w:val="None"/>
          <w:rtl w:val="0"/>
          <w:lang w:val="pt-PT"/>
        </w:rPr>
        <w:t>Stroikos, D. (2025, June 5). India</w:t>
      </w:r>
      <w:r>
        <w:rPr>
          <w:rStyle w:val="None"/>
          <w:rtl w:val="1"/>
        </w:rPr>
        <w:t>’</w:t>
      </w:r>
      <w:r>
        <w:rPr>
          <w:rStyle w:val="None"/>
          <w:rtl w:val="0"/>
          <w:lang w:val="en-US"/>
        </w:rPr>
        <w:t xml:space="preserve">s space policy: between strategic autonomy and alignment with the United States. </w:t>
      </w:r>
      <w:r>
        <w:rPr>
          <w:rStyle w:val="None"/>
          <w:i w:val="1"/>
          <w:iCs w:val="1"/>
          <w:rtl w:val="0"/>
          <w:lang w:val="en-US"/>
        </w:rPr>
        <w:t>Council on Foreign Relations</w:t>
      </w:r>
      <w:r>
        <w:rPr>
          <w:rStyle w:val="None"/>
          <w:rtl w:val="0"/>
          <w:lang w:val="en-US"/>
        </w:rPr>
        <w:t>. https://www.cfr.org/article/indias-space-policy-between-strategic-autonomy-and-alignment-united-states</w:t>
      </w:r>
    </w:p>
    <w:p>
      <w:pPr>
        <w:pStyle w:val="Body"/>
        <w:rPr>
          <w:rStyle w:val="None"/>
          <w:lang w:val="en-US"/>
        </w:rPr>
      </w:pPr>
      <w:r>
        <w:rPr>
          <w:rtl w:val="0"/>
        </w:rPr>
        <w:t xml:space="preserve">57. </w:t>
      </w:r>
      <w:r>
        <w:rPr>
          <w:rtl w:val="0"/>
        </w:rPr>
        <w:t>S</w:t>
      </w:r>
      <w:r>
        <w:rPr>
          <w:rStyle w:val="None"/>
          <w:rtl w:val="0"/>
          <w:lang w:val="en-US"/>
        </w:rPr>
        <w:t>uzuki, K.</w:t>
      </w:r>
      <w:r>
        <w:rPr>
          <w:rtl w:val="0"/>
        </w:rPr>
        <w:t xml:space="preserve"> (2023). </w:t>
      </w:r>
      <w:r>
        <w:rPr>
          <w:rStyle w:val="None"/>
          <w:i w:val="1"/>
          <w:iCs w:val="1"/>
          <w:rtl w:val="0"/>
          <w:lang w:val="en-US"/>
        </w:rPr>
        <w:t>Space security in Japan</w:t>
      </w:r>
      <w:r>
        <w:rPr>
          <w:rStyle w:val="None"/>
          <w:i w:val="1"/>
          <w:iCs w:val="1"/>
          <w:rtl w:val="1"/>
        </w:rPr>
        <w:t>’</w:t>
      </w:r>
      <w:r>
        <w:rPr>
          <w:rStyle w:val="None"/>
          <w:i w:val="1"/>
          <w:iCs w:val="1"/>
          <w:rtl w:val="0"/>
          <w:lang w:val="en-US"/>
        </w:rPr>
        <w:t>s new strategy documents</w:t>
      </w:r>
      <w:r>
        <w:rPr>
          <w:rtl w:val="0"/>
        </w:rPr>
        <w:t>.</w:t>
      </w:r>
      <w:r>
        <w:rPr>
          <w:rStyle w:val="None"/>
          <w:rtl w:val="0"/>
          <w:lang w:val="en-US"/>
        </w:rPr>
        <w:t xml:space="preserve"> CSIS. </w:t>
      </w:r>
      <w:r>
        <w:rPr>
          <w:rtl w:val="0"/>
        </w:rPr>
        <w:t>https://www.csis.org/analysis/space-security-japans-new-strategy-documents</w:t>
      </w:r>
    </w:p>
    <w:p>
      <w:pPr>
        <w:pStyle w:val="Body"/>
      </w:pPr>
      <w:r>
        <w:rPr>
          <w:rtl w:val="0"/>
        </w:rPr>
        <w:t xml:space="preserve">58. </w:t>
      </w:r>
      <w:r>
        <w:rPr>
          <w:rtl w:val="0"/>
        </w:rPr>
        <w:t>S</w:t>
      </w:r>
      <w:r>
        <w:rPr>
          <w:rStyle w:val="None"/>
          <w:rtl w:val="0"/>
          <w:lang w:val="en-US"/>
        </w:rPr>
        <w:t>wejis T., &amp; Mazarr,</w:t>
      </w:r>
      <w:r>
        <w:rPr>
          <w:rtl w:val="0"/>
        </w:rPr>
        <w:t xml:space="preserve"> </w:t>
      </w:r>
      <w:r>
        <w:rPr>
          <w:rStyle w:val="None"/>
          <w:rtl w:val="0"/>
          <w:lang w:val="en-US"/>
        </w:rPr>
        <w:t>M</w:t>
      </w:r>
      <w:r>
        <w:rPr>
          <w:rtl w:val="0"/>
        </w:rPr>
        <w:t>.</w:t>
      </w:r>
      <w:r>
        <w:rPr>
          <w:rStyle w:val="None"/>
          <w:rtl w:val="0"/>
          <w:lang w:val="en-US"/>
        </w:rPr>
        <w:t xml:space="preserve"> J. (2023, April 2). Mind the Middle Powers. </w:t>
      </w:r>
      <w:r>
        <w:rPr>
          <w:rStyle w:val="None"/>
          <w:i w:val="1"/>
          <w:iCs w:val="1"/>
          <w:rtl w:val="0"/>
          <w:lang w:val="en-US"/>
        </w:rPr>
        <w:t xml:space="preserve">War on the Rocks. </w:t>
      </w:r>
      <w:r>
        <w:rPr>
          <w:rStyle w:val="None"/>
          <w:rtl w:val="0"/>
          <w:lang w:val="en-US"/>
        </w:rPr>
        <w:t>https://warontherocks.com/2023/04/mind-the-middle-powers/</w:t>
      </w:r>
    </w:p>
    <w:p>
      <w:pPr>
        <w:pStyle w:val="Body"/>
      </w:pPr>
      <w:r>
        <w:rPr>
          <w:rtl w:val="0"/>
        </w:rPr>
        <w:t xml:space="preserve">59. </w:t>
      </w:r>
      <w:r>
        <w:rPr>
          <w:rtl w:val="0"/>
        </w:rPr>
        <w:t>Tellis, A. J. (2007). China</w:t>
      </w:r>
      <w:r>
        <w:rPr>
          <w:rStyle w:val="None"/>
          <w:rtl w:val="1"/>
        </w:rPr>
        <w:t>’</w:t>
      </w:r>
      <w:r>
        <w:rPr>
          <w:rStyle w:val="None"/>
          <w:rtl w:val="0"/>
          <w:lang w:val="en-US"/>
        </w:rPr>
        <w:t xml:space="preserve">s military space strategy. </w:t>
      </w:r>
      <w:r>
        <w:rPr>
          <w:rStyle w:val="None"/>
          <w:i w:val="1"/>
          <w:iCs w:val="1"/>
          <w:rtl w:val="0"/>
          <w:lang w:val="en-US"/>
        </w:rPr>
        <w:t>Survival</w:t>
      </w:r>
      <w:r>
        <w:rPr>
          <w:rtl w:val="0"/>
        </w:rPr>
        <w:t xml:space="preserve">, </w:t>
      </w:r>
      <w:r>
        <w:rPr>
          <w:rStyle w:val="None"/>
          <w:i w:val="1"/>
          <w:iCs w:val="1"/>
          <w:rtl w:val="0"/>
        </w:rPr>
        <w:t>49</w:t>
      </w:r>
      <w:r>
        <w:rPr>
          <w:rtl w:val="0"/>
        </w:rPr>
        <w:t>(3), 41</w:t>
      </w:r>
      <w:r>
        <w:rPr>
          <w:rtl w:val="0"/>
        </w:rPr>
        <w:t>–</w:t>
      </w:r>
      <w:r>
        <w:rPr>
          <w:rStyle w:val="None"/>
          <w:rtl w:val="0"/>
          <w:lang w:val="en-US"/>
        </w:rPr>
        <w:t>72. https://doi.org/10.1080/00396330701564752</w:t>
      </w:r>
    </w:p>
    <w:p>
      <w:pPr>
        <w:pStyle w:val="Body"/>
      </w:pPr>
      <w:r>
        <w:rPr>
          <w:rtl w:val="0"/>
        </w:rPr>
        <w:t xml:space="preserve">60. </w:t>
      </w:r>
      <w:r>
        <w:rPr>
          <w:rStyle w:val="None"/>
          <w:rtl w:val="0"/>
          <w:lang w:val="en-US"/>
        </w:rPr>
        <w:t xml:space="preserve">The Space Development Strategy Headquarters, Japan. (2023). </w:t>
      </w:r>
      <w:r>
        <w:rPr>
          <w:rStyle w:val="None"/>
          <w:i w:val="1"/>
          <w:iCs w:val="1"/>
          <w:rtl w:val="0"/>
          <w:lang w:val="en-US"/>
        </w:rPr>
        <w:t>SPACE SECURITY INITIATIVE</w:t>
      </w:r>
      <w:r>
        <w:rPr>
          <w:rStyle w:val="None"/>
          <w:rtl w:val="0"/>
          <w:lang w:val="de-DE"/>
        </w:rPr>
        <w:t>. https://www8.cao.go.jp/space/anpo/kaitei_fy05/enganpo_fy05.pdf</w:t>
      </w:r>
    </w:p>
    <w:p>
      <w:pPr>
        <w:pStyle w:val="Body"/>
      </w:pPr>
      <w:r>
        <w:rPr>
          <w:rtl w:val="0"/>
        </w:rPr>
        <w:t xml:space="preserve">61. </w:t>
      </w:r>
      <w:r>
        <w:rPr>
          <w:rStyle w:val="None"/>
          <w:rtl w:val="0"/>
          <w:lang w:val="en-US"/>
        </w:rPr>
        <w:t xml:space="preserve">Townsend, B. (2020). </w:t>
      </w:r>
      <w:r>
        <w:rPr>
          <w:rStyle w:val="None"/>
          <w:i w:val="1"/>
          <w:iCs w:val="1"/>
          <w:rtl w:val="0"/>
          <w:lang w:val="en-US"/>
        </w:rPr>
        <w:t>Security and stability in the new space age</w:t>
      </w:r>
      <w:r>
        <w:rPr>
          <w:rtl w:val="0"/>
        </w:rPr>
        <w:t xml:space="preserve">. </w:t>
      </w:r>
      <w:r>
        <w:rPr>
          <w:rStyle w:val="None"/>
          <w:rtl w:val="0"/>
          <w:lang w:val="en-US"/>
        </w:rPr>
        <w:t>Routledge. https://doi.org/10.4324/9781003001843</w:t>
      </w:r>
    </w:p>
    <w:p>
      <w:pPr>
        <w:pStyle w:val="Body"/>
      </w:pPr>
      <w:r>
        <w:rPr>
          <w:rtl w:val="0"/>
        </w:rPr>
        <w:t xml:space="preserve">62. </w:t>
      </w:r>
      <w:r>
        <w:rPr>
          <w:rtl w:val="0"/>
        </w:rPr>
        <w:t xml:space="preserve">U.S. National Space Policy. (2006). </w:t>
      </w:r>
      <w:r>
        <w:rPr>
          <w:rStyle w:val="None"/>
          <w:i w:val="1"/>
          <w:iCs w:val="1"/>
          <w:rtl w:val="0"/>
          <w:lang w:val="en-US"/>
        </w:rPr>
        <w:t>U.S. National Space Policy</w:t>
      </w:r>
      <w:r>
        <w:rPr>
          <w:rStyle w:val="None"/>
          <w:rtl w:val="0"/>
          <w:lang w:val="en-US"/>
        </w:rPr>
        <w:t>. https://obamawhitehouse.archives.gov/sites/default/files/microsites/ostp/national-space-policy-2006.pdf</w:t>
      </w:r>
    </w:p>
    <w:p>
      <w:pPr>
        <w:pStyle w:val="Body"/>
      </w:pPr>
      <w:r>
        <w:rPr>
          <w:rtl w:val="0"/>
        </w:rPr>
        <w:t xml:space="preserve">63. </w:t>
      </w:r>
      <w:r>
        <w:rPr>
          <w:rStyle w:val="None"/>
          <w:rtl w:val="0"/>
          <w:lang w:val="en-US"/>
        </w:rPr>
        <w:t>U.S. National Space Policy. (2020</w:t>
      </w:r>
      <w:r>
        <w:rPr>
          <w:rtl w:val="0"/>
        </w:rPr>
        <w:t>).</w:t>
      </w:r>
      <w:r>
        <w:rPr>
          <w:rStyle w:val="None"/>
          <w:rtl w:val="0"/>
          <w:lang w:val="en-US"/>
        </w:rPr>
        <w:t xml:space="preserve"> https://trumpwhitehouse.archives.gov/wp-content/uploads/2020/12/National-Space-Policy.pdf</w:t>
      </w:r>
    </w:p>
    <w:p>
      <w:pPr>
        <w:pStyle w:val="Body"/>
      </w:pPr>
      <w:r>
        <w:rPr>
          <w:rtl w:val="0"/>
        </w:rPr>
        <w:t xml:space="preserve">64. </w:t>
      </w:r>
      <w:r>
        <w:rPr>
          <w:rStyle w:val="None"/>
          <w:rtl w:val="0"/>
          <w:lang w:val="en-US"/>
        </w:rPr>
        <w:t>Weisgerber, M. (2023, January 19). U.S. wants changes to the EU Space Code of Conduct. SpaceNews. https://spacenews.com/18667us-wants-changes-to-eu-space-code-of-conduct/</w:t>
      </w:r>
    </w:p>
    <w:p>
      <w:pPr>
        <w:pStyle w:val="Body"/>
      </w:pPr>
      <w:r>
        <w:rPr>
          <w:rtl w:val="0"/>
        </w:rPr>
        <w:t xml:space="preserve">65. </w:t>
      </w:r>
      <w:r>
        <w:rPr>
          <w:rStyle w:val="None"/>
          <w:rtl w:val="0"/>
          <w:lang w:val="en-US"/>
        </w:rPr>
        <w:t>Yoshimatsu, H. (2021). Exploring the China factor in Japan</w:t>
      </w:r>
      <w:r>
        <w:rPr>
          <w:rStyle w:val="None"/>
          <w:rtl w:val="1"/>
        </w:rPr>
        <w:t>’</w:t>
      </w:r>
      <w:r>
        <w:rPr>
          <w:rStyle w:val="None"/>
          <w:rtl w:val="0"/>
          <w:lang w:val="en-US"/>
        </w:rPr>
        <w:t xml:space="preserve">s foreign and security policy in outer space. </w:t>
      </w:r>
      <w:r>
        <w:rPr>
          <w:rStyle w:val="None"/>
          <w:i w:val="1"/>
          <w:iCs w:val="1"/>
          <w:rtl w:val="0"/>
          <w:lang w:val="en-US"/>
        </w:rPr>
        <w:t>Australian Journal of International Affairs</w:t>
      </w:r>
      <w:r>
        <w:rPr>
          <w:rtl w:val="0"/>
        </w:rPr>
        <w:t xml:space="preserve">, </w:t>
      </w:r>
      <w:r>
        <w:rPr>
          <w:rStyle w:val="None"/>
          <w:i w:val="1"/>
          <w:iCs w:val="1"/>
          <w:rtl w:val="0"/>
        </w:rPr>
        <w:t>75</w:t>
      </w:r>
      <w:r>
        <w:rPr>
          <w:rtl w:val="0"/>
        </w:rPr>
        <w:t>(3), 305</w:t>
      </w:r>
      <w:r>
        <w:rPr>
          <w:rtl w:val="0"/>
        </w:rPr>
        <w:t>–</w:t>
      </w:r>
      <w:r>
        <w:rPr>
          <w:rStyle w:val="None"/>
          <w:rtl w:val="0"/>
          <w:lang w:val="en-US"/>
        </w:rPr>
        <w:t>322. https://doi.org/10.1080/10357718.2021.1882384</w:t>
      </w:r>
    </w:p>
    <w:p>
      <w:pPr>
        <w:pStyle w:val="Body"/>
      </w:pPr>
      <w:r>
        <w:rPr>
          <w:rtl w:val="0"/>
        </w:rPr>
        <w:t xml:space="preserve">66. </w:t>
      </w:r>
      <w:r>
        <w:rPr>
          <w:rStyle w:val="None"/>
          <w:rtl w:val="0"/>
          <w:lang w:val="en-US"/>
        </w:rPr>
        <w:t xml:space="preserve">Zhang, H. (2006). Security in Space. </w:t>
      </w:r>
      <w:r>
        <w:rPr>
          <w:rStyle w:val="None"/>
          <w:i w:val="1"/>
          <w:iCs w:val="1"/>
          <w:rtl w:val="0"/>
          <w:lang w:val="en-US"/>
        </w:rPr>
        <w:t>China Security</w:t>
      </w:r>
      <w:r>
        <w:rPr>
          <w:rtl w:val="0"/>
        </w:rPr>
        <w:t xml:space="preserve">, </w:t>
      </w:r>
      <w:r>
        <w:rPr>
          <w:rStyle w:val="None"/>
          <w:i w:val="1"/>
          <w:iCs w:val="1"/>
          <w:rtl w:val="0"/>
        </w:rPr>
        <w:t>2</w:t>
      </w:r>
      <w:r>
        <w:rPr>
          <w:rtl w:val="0"/>
        </w:rPr>
        <w:t xml:space="preserve">, </w:t>
      </w:r>
      <w:r>
        <w:rPr>
          <w:rStyle w:val="None"/>
          <w:rtl w:val="0"/>
          <w:lang w:val="en-US"/>
        </w:rPr>
        <w:t>24</w:t>
      </w:r>
      <w:r>
        <w:rPr>
          <w:rtl w:val="0"/>
        </w:rPr>
        <w:t>–</w:t>
      </w:r>
      <w:r>
        <w:rPr>
          <w:rStyle w:val="None"/>
          <w:rtl w:val="0"/>
          <w:lang w:val="en-US"/>
        </w:rPr>
        <w:t>36</w:t>
      </w:r>
    </w:p>
    <w:p>
      <w:pPr>
        <w:pStyle w:val="Body"/>
      </w:pPr>
      <w:r>
        <w:rPr>
          <w:rtl w:val="0"/>
        </w:rPr>
        <w:t xml:space="preserve">67. </w:t>
      </w:r>
      <w:r>
        <w:rPr>
          <w:rStyle w:val="None"/>
          <w:rtl w:val="0"/>
          <w:lang w:val="en-US"/>
        </w:rPr>
        <w:t xml:space="preserve">Zhang, B. (2011). The security dilemma in the U.S.-China military space relationship. </w:t>
      </w:r>
      <w:r>
        <w:rPr>
          <w:rStyle w:val="None"/>
          <w:i w:val="1"/>
          <w:iCs w:val="1"/>
          <w:rtl w:val="0"/>
          <w:lang w:val="en-US"/>
        </w:rPr>
        <w:t>Asian Survey</w:t>
      </w:r>
      <w:r>
        <w:rPr>
          <w:rtl w:val="0"/>
        </w:rPr>
        <w:t xml:space="preserve">, </w:t>
      </w:r>
      <w:r>
        <w:rPr>
          <w:rStyle w:val="None"/>
          <w:i w:val="1"/>
          <w:iCs w:val="1"/>
          <w:rtl w:val="0"/>
        </w:rPr>
        <w:t>51</w:t>
      </w:r>
      <w:r>
        <w:rPr>
          <w:rtl w:val="0"/>
        </w:rPr>
        <w:t>(2), 311</w:t>
      </w:r>
      <w:r>
        <w:rPr>
          <w:rtl w:val="0"/>
        </w:rPr>
        <w:t>–</w:t>
      </w:r>
      <w:r>
        <w:rPr>
          <w:rStyle w:val="None"/>
          <w:rtl w:val="0"/>
          <w:lang w:val="pt-PT"/>
        </w:rPr>
        <w:t>332. https://doi.org/10.1525/as.2011.51.2.311</w:t>
      </w: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rPr>
          <w:rStyle w:val="None"/>
        </w:rPr>
      </w:pPr>
    </w:p>
    <w:p>
      <w:pPr>
        <w:pStyle w:val="Body"/>
        <w:rPr>
          <w:rStyle w:val="None"/>
        </w:rPr>
      </w:pPr>
    </w:p>
    <w:p>
      <w:pPr>
        <w:pStyle w:val="Body"/>
        <w:rPr>
          <w:rStyle w:val="None"/>
        </w:rPr>
      </w:pPr>
    </w:p>
    <w:p>
      <w:pPr>
        <w:pStyle w:val="Body"/>
        <w:rPr>
          <w:rStyle w:val="None"/>
        </w:rPr>
      </w:pPr>
    </w:p>
    <w:p>
      <w:pPr>
        <w:pStyle w:val="Body"/>
        <w:rPr>
          <w:rStyle w:val="None"/>
          <w:outline w:val="0"/>
          <w:color w:val="333333"/>
          <w:u w:color="333333"/>
          <w14:textFill>
            <w14:solidFill>
              <w14:srgbClr w14:val="333333"/>
            </w14:solidFill>
          </w14:textFill>
        </w:rPr>
      </w:pPr>
    </w:p>
    <w:p>
      <w:pPr>
        <w:pStyle w:val="Body"/>
        <w:rPr>
          <w:rStyle w:val="None"/>
          <w:rFonts w:ascii="Times Roman" w:cs="Times Roman" w:hAnsi="Times Roman" w:eastAsia="Times Roman"/>
        </w:rPr>
      </w:pPr>
    </w:p>
    <w:p>
      <w:pPr>
        <w:pStyle w:val="Body"/>
        <w:rPr>
          <w:rStyle w:val="None"/>
          <w:rFonts w:ascii="Times Roman" w:cs="Times Roman" w:hAnsi="Times Roman" w:eastAsia="Times Roman"/>
        </w:rPr>
      </w:pPr>
    </w:p>
    <w:p>
      <w:pPr>
        <w:pStyle w:val="Body"/>
        <w:rPr>
          <w:rStyle w:val="None"/>
          <w:rFonts w:ascii="Times Roman" w:cs="Times Roman" w:hAnsi="Times Roman" w:eastAsia="Times Roman"/>
        </w:rPr>
      </w:pPr>
    </w:p>
    <w:p>
      <w:pPr>
        <w:pStyle w:val="Body"/>
        <w:rPr>
          <w:rStyle w:val="None"/>
          <w:rFonts w:ascii="Times Roman" w:cs="Times Roman" w:hAnsi="Times Roman" w:eastAsia="Times Roman"/>
        </w:rPr>
      </w:pPr>
    </w:p>
    <w:p>
      <w:pPr>
        <w:pStyle w:val="Body"/>
        <w:rPr>
          <w:rStyle w:val="None"/>
          <w:rFonts w:ascii="Times Roman" w:cs="Times Roman" w:hAnsi="Times Roman" w:eastAsia="Times Roman"/>
        </w:rPr>
      </w:pPr>
    </w:p>
    <w:p>
      <w:pPr>
        <w:pStyle w:val="Body"/>
        <w:rPr>
          <w:rStyle w:val="None"/>
        </w:rPr>
      </w:pPr>
    </w:p>
    <w:p>
      <w:pPr>
        <w:pStyle w:val="Body"/>
        <w:rPr>
          <w:rStyle w:val="None"/>
        </w:rPr>
      </w:pPr>
    </w:p>
    <w:p>
      <w:pPr>
        <w:pStyle w:val="Body"/>
        <w:rPr>
          <w:rStyle w:val="None"/>
        </w:rPr>
      </w:pPr>
    </w:p>
    <w:p>
      <w:pPr>
        <w:pStyle w:val="Body"/>
        <w:rPr>
          <w:rStyle w:val="None"/>
        </w:rPr>
      </w:pPr>
    </w:p>
    <w:p>
      <w:pPr>
        <w:pStyle w:val="Body"/>
        <w:rPr>
          <w:rStyle w:val="None"/>
        </w:rPr>
      </w:pPr>
    </w:p>
    <w:p>
      <w:pPr>
        <w:pStyle w:val="Body"/>
        <w:rPr>
          <w:rStyle w:val="None"/>
        </w:rPr>
      </w:pPr>
    </w:p>
    <w:p>
      <w:pPr>
        <w:pStyle w:val="Body"/>
        <w:rPr>
          <w:rStyle w:val="None"/>
        </w:rPr>
      </w:pPr>
    </w:p>
    <w:p>
      <w:pPr>
        <w:pStyle w:val="Body"/>
        <w:rPr>
          <w:rStyle w:val="None"/>
        </w:rPr>
      </w:pPr>
    </w:p>
    <w:p>
      <w:pPr>
        <w:pStyle w:val="Body"/>
        <w:rPr>
          <w:rStyle w:val="None"/>
        </w:rPr>
      </w:pPr>
    </w:p>
    <w:p>
      <w:pPr>
        <w:pStyle w:val="Body"/>
        <w:rPr>
          <w:rStyle w:val="None"/>
        </w:rPr>
      </w:pPr>
    </w:p>
    <w:p>
      <w:pPr>
        <w:pStyle w:val="Body"/>
        <w:rPr>
          <w:rStyle w:val="None"/>
        </w:rPr>
      </w:pPr>
    </w:p>
    <w:p>
      <w:pPr>
        <w:pStyle w:val="Body"/>
        <w:rPr>
          <w:rStyle w:val="None"/>
        </w:rPr>
      </w:pPr>
    </w:p>
    <w:p>
      <w:pPr>
        <w:pStyle w:val="Body"/>
        <w:rPr>
          <w:rStyle w:val="None"/>
        </w:rPr>
      </w:pPr>
    </w:p>
    <w:p>
      <w:pPr>
        <w:pStyle w:val="Body"/>
        <w:rPr>
          <w:rStyle w:val="None"/>
        </w:rPr>
      </w:pPr>
    </w:p>
    <w:p>
      <w:pPr>
        <w:pStyle w:val="Body"/>
        <w:rPr>
          <w:rStyle w:val="None"/>
        </w:rPr>
      </w:pPr>
    </w:p>
    <w:p>
      <w:pPr>
        <w:pStyle w:val="Body"/>
        <w:rPr>
          <w:rStyle w:val="None"/>
        </w:rPr>
      </w:pPr>
    </w:p>
    <w:p>
      <w:pPr>
        <w:pStyle w:val="Body"/>
        <w:rPr>
          <w:rStyle w:val="None"/>
        </w:rPr>
      </w:pPr>
    </w:p>
    <w:p>
      <w:pPr>
        <w:pStyle w:val="Body"/>
        <w:rPr>
          <w:rStyle w:val="None"/>
        </w:rPr>
      </w:pPr>
    </w:p>
    <w:p>
      <w:pPr>
        <w:pStyle w:val="Body"/>
        <w:rPr>
          <w:rStyle w:val="None"/>
        </w:rPr>
      </w:pPr>
    </w:p>
    <w:p>
      <w:pPr>
        <w:pStyle w:val="Body"/>
        <w:rPr>
          <w:rStyle w:val="None"/>
        </w:rPr>
      </w:pPr>
    </w:p>
    <w:p>
      <w:pPr>
        <w:pStyle w:val="Body"/>
        <w:rPr>
          <w:rStyle w:val="None"/>
        </w:rPr>
      </w:pPr>
    </w:p>
    <w:p>
      <w:pPr>
        <w:pStyle w:val="Body"/>
        <w:rPr>
          <w:rStyle w:val="None"/>
        </w:rPr>
      </w:pPr>
    </w:p>
    <w:p>
      <w:pPr>
        <w:pStyle w:val="Body"/>
        <w:rPr>
          <w:rStyle w:val="None"/>
        </w:rPr>
      </w:pPr>
    </w:p>
    <w:p>
      <w:pPr>
        <w:pStyle w:val="Body"/>
        <w:rPr>
          <w:rStyle w:val="None"/>
        </w:rPr>
      </w:pPr>
    </w:p>
    <w:p>
      <w:pPr>
        <w:pStyle w:val="Body"/>
        <w:rPr>
          <w:rStyle w:val="None"/>
        </w:rPr>
      </w:pPr>
    </w:p>
    <w:p>
      <w:pPr>
        <w:pStyle w:val="Body"/>
      </w:pPr>
    </w:p>
    <w:p>
      <w:pPr>
        <w:pStyle w:val="Body"/>
        <w:rPr>
          <w:rStyle w:val="None"/>
          <w:outline w:val="0"/>
          <w:color w:val="333333"/>
          <w:u w:color="333333"/>
          <w14:textFill>
            <w14:solidFill>
              <w14:srgbClr w14:val="333333"/>
            </w14:solidFill>
          </w14:textFill>
        </w:rPr>
      </w:pPr>
    </w:p>
    <w:p>
      <w:pPr>
        <w:pStyle w:val="Body"/>
        <w:rPr>
          <w:rStyle w:val="None"/>
          <w:outline w:val="0"/>
          <w:color w:val="333333"/>
          <w:u w:color="333333"/>
          <w14:textFill>
            <w14:solidFill>
              <w14:srgbClr w14:val="333333"/>
            </w14:solidFill>
          </w14:textFill>
        </w:rPr>
      </w:pPr>
    </w:p>
    <w:p>
      <w:pPr>
        <w:pStyle w:val="Body"/>
        <w:rPr>
          <w:rStyle w:val="None"/>
          <w:outline w:val="0"/>
          <w:color w:val="333333"/>
          <w:u w:color="333333"/>
          <w14:textFill>
            <w14:solidFill>
              <w14:srgbClr w14:val="333333"/>
            </w14:solidFill>
          </w14:textFill>
        </w:rPr>
      </w:pPr>
    </w:p>
    <w:p>
      <w:pPr>
        <w:pStyle w:val="Body A"/>
        <w:jc w:val="both"/>
        <w:rPr>
          <w:rStyle w:val="None"/>
          <w:outline w:val="0"/>
          <w:color w:val="333333"/>
          <w:u w:color="333333"/>
          <w14:textFill>
            <w14:solidFill>
              <w14:srgbClr w14:val="333333"/>
            </w14:solidFill>
          </w14:textFill>
        </w:rPr>
      </w:pPr>
    </w:p>
    <w:p>
      <w:pPr>
        <w:pStyle w:val="Body A"/>
        <w:jc w:val="both"/>
        <w:rPr>
          <w:rStyle w:val="None"/>
          <w:outline w:val="0"/>
          <w:color w:val="333333"/>
          <w:u w:color="333333"/>
          <w14:textFill>
            <w14:solidFill>
              <w14:srgbClr w14:val="333333"/>
            </w14:solidFill>
          </w14:textFill>
        </w:rPr>
      </w:pPr>
    </w:p>
    <w:p>
      <w:pPr>
        <w:pStyle w:val="Body A"/>
        <w:jc w:val="both"/>
        <w:rPr>
          <w:rStyle w:val="None"/>
          <w:outline w:val="0"/>
          <w:color w:val="333333"/>
          <w:u w:color="333333"/>
          <w14:textFill>
            <w14:solidFill>
              <w14:srgbClr w14:val="333333"/>
            </w14:solidFill>
          </w14:textFill>
        </w:rPr>
      </w:pPr>
    </w:p>
    <w:p>
      <w:pPr>
        <w:pStyle w:val="Body A"/>
        <w:jc w:val="both"/>
        <w:rPr>
          <w:rStyle w:val="None"/>
          <w:rFonts w:ascii="Times New Roman" w:cs="Times New Roman" w:hAnsi="Times New Roman" w:eastAsia="Times New Roman"/>
          <w:sz w:val="24"/>
          <w:szCs w:val="24"/>
        </w:rPr>
      </w:pPr>
    </w:p>
    <w:p>
      <w:pPr>
        <w:pStyle w:val="Body A"/>
        <w:jc w:val="both"/>
        <w:rPr>
          <w:rStyle w:val="None"/>
          <w:rFonts w:ascii="Times New Roman" w:cs="Times New Roman" w:hAnsi="Times New Roman" w:eastAsia="Times New Roman"/>
          <w:sz w:val="24"/>
          <w:szCs w:val="24"/>
        </w:rPr>
      </w:pPr>
    </w:p>
    <w:p>
      <w:pPr>
        <w:pStyle w:val="Body A"/>
        <w:jc w:val="both"/>
        <w:rPr>
          <w:rStyle w:val="None"/>
          <w:outline w:val="0"/>
          <w:color w:val="333333"/>
          <w:u w:color="333333"/>
          <w14:textFill>
            <w14:solidFill>
              <w14:srgbClr w14:val="333333"/>
            </w14:solidFill>
          </w14:textFill>
        </w:rPr>
      </w:pPr>
    </w:p>
    <w:p>
      <w:pPr>
        <w:pStyle w:val="Body A"/>
        <w:jc w:val="both"/>
        <w:rPr>
          <w:rStyle w:val="None"/>
          <w:rFonts w:ascii="Times New Roman" w:cs="Times New Roman" w:hAnsi="Times New Roman" w:eastAsia="Times New Roman"/>
          <w:sz w:val="24"/>
          <w:szCs w:val="24"/>
        </w:rPr>
      </w:pPr>
    </w:p>
    <w:p>
      <w:pPr>
        <w:pStyle w:val="Body A"/>
        <w:jc w:val="both"/>
        <w:rPr>
          <w:rStyle w:val="None"/>
          <w:rFonts w:ascii="Times New Roman" w:cs="Times New Roman" w:hAnsi="Times New Roman" w:eastAsia="Times New Roman"/>
          <w:sz w:val="24"/>
          <w:szCs w:val="24"/>
        </w:rPr>
      </w:pPr>
    </w:p>
    <w:p>
      <w:pPr>
        <w:pStyle w:val="Body A"/>
        <w:jc w:val="both"/>
        <w:rPr>
          <w:rStyle w:val="None"/>
          <w:i w:val="1"/>
          <w:iCs w:val="1"/>
        </w:rPr>
      </w:pPr>
    </w:p>
    <w:p>
      <w:pPr>
        <w:pStyle w:val="Body A"/>
        <w:jc w:val="both"/>
        <w:rPr>
          <w:rStyle w:val="None"/>
          <w:rFonts w:ascii="Times New Roman" w:cs="Times New Roman" w:hAnsi="Times New Roman" w:eastAsia="Times New Roman"/>
          <w:sz w:val="24"/>
          <w:szCs w:val="24"/>
        </w:rPr>
      </w:pPr>
    </w:p>
    <w:p>
      <w:pPr>
        <w:pStyle w:val="Default"/>
        <w:spacing w:before="0" w:line="240" w:lineRule="auto"/>
        <w:rPr>
          <w:rStyle w:val="None"/>
          <w:rFonts w:ascii="Times New Roman" w:cs="Times New Roman" w:hAnsi="Times New Roman" w:eastAsia="Times New Roman"/>
        </w:rPr>
      </w:pPr>
    </w:p>
    <w:p>
      <w:pPr>
        <w:pStyle w:val="Default"/>
        <w:spacing w:before="0" w:line="240" w:lineRule="auto"/>
        <w:rPr>
          <w:rStyle w:val="None"/>
          <w:rFonts w:ascii="Times New Roman" w:cs="Times New Roman" w:hAnsi="Times New Roman" w:eastAsia="Times New Roman"/>
        </w:rPr>
      </w:pPr>
    </w:p>
    <w:p>
      <w:pPr>
        <w:pStyle w:val="Default"/>
        <w:spacing w:before="0" w:line="240" w:lineRule="auto"/>
        <w:rPr>
          <w:rStyle w:val="None"/>
          <w:rFonts w:ascii="Times New Roman" w:cs="Times New Roman" w:hAnsi="Times New Roman" w:eastAsia="Times New Roman"/>
        </w:rPr>
      </w:pPr>
    </w:p>
    <w:p>
      <w:pPr>
        <w:pStyle w:val="Default"/>
        <w:spacing w:before="0" w:line="240" w:lineRule="auto"/>
        <w:rPr>
          <w:rStyle w:val="None"/>
          <w:rFonts w:ascii="Times New Roman" w:cs="Times New Roman" w:hAnsi="Times New Roman" w:eastAsia="Times New Roman"/>
        </w:rPr>
      </w:pPr>
    </w:p>
    <w:p>
      <w:pPr>
        <w:pStyle w:val="Default"/>
        <w:spacing w:before="0" w:line="240" w:lineRule="auto"/>
        <w:rPr>
          <w:rStyle w:val="None"/>
          <w:rFonts w:ascii="Times New Roman" w:cs="Times New Roman" w:hAnsi="Times New Roman" w:eastAsia="Times New Roman"/>
        </w:rPr>
      </w:pPr>
    </w:p>
    <w:p>
      <w:pPr>
        <w:pStyle w:val="Body A"/>
        <w:jc w:val="both"/>
        <w:rPr>
          <w:rStyle w:val="None"/>
          <w:rFonts w:ascii="Times New Roman" w:cs="Times New Roman" w:hAnsi="Times New Roman" w:eastAsia="Times New Roman"/>
          <w:sz w:val="24"/>
          <w:szCs w:val="24"/>
        </w:rPr>
      </w:pPr>
    </w:p>
    <w:p>
      <w:pPr>
        <w:pStyle w:val="Body A"/>
        <w:jc w:val="both"/>
        <w:rPr>
          <w:rStyle w:val="None"/>
          <w:outline w:val="0"/>
          <w:color w:val="333333"/>
          <w:u w:color="333333"/>
          <w14:textFill>
            <w14:solidFill>
              <w14:srgbClr w14:val="333333"/>
            </w14:solidFill>
          </w14:textFill>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Style w:val="None"/>
          <w:rFonts w:ascii="Helvetica" w:cs="Helvetica" w:hAnsi="Helvetica" w:eastAsia="Helvetica"/>
          <w:outline w:val="0"/>
          <w:color w:val="1a1919"/>
          <w:sz w:val="42"/>
          <w:szCs w:val="42"/>
          <w:u w:color="1a1919"/>
          <w14:textFill>
            <w14:solidFill>
              <w14:srgbClr w14:val="1A1919"/>
            </w14:solidFill>
          </w14:textFill>
        </w:rPr>
      </w:pPr>
    </w:p>
    <w:p>
      <w:pPr>
        <w:pStyle w:val="Body A"/>
        <w:spacing w:line="360" w:lineRule="auto"/>
        <w:jc w:val="both"/>
        <w:rPr>
          <w:rStyle w:val="None"/>
          <w:rFonts w:ascii="Times New Roman" w:cs="Times New Roman" w:hAnsi="Times New Roman" w:eastAsia="Times New Roman"/>
          <w:sz w:val="24"/>
          <w:szCs w:val="24"/>
        </w:rPr>
      </w:pPr>
    </w:p>
    <w:p>
      <w:pPr>
        <w:pStyle w:val="Body A"/>
        <w:spacing w:line="360" w:lineRule="auto"/>
        <w:jc w:val="both"/>
        <w:rPr>
          <w:rStyle w:val="None"/>
          <w:rFonts w:ascii="Times New Roman" w:cs="Times New Roman" w:hAnsi="Times New Roman" w:eastAsia="Times New Roman"/>
          <w:sz w:val="24"/>
          <w:szCs w:val="24"/>
        </w:rPr>
      </w:pPr>
    </w:p>
    <w:p>
      <w:pPr>
        <w:pStyle w:val="Body A"/>
        <w:spacing w:line="360" w:lineRule="auto"/>
        <w:jc w:val="both"/>
        <w:rPr>
          <w:rStyle w:val="None"/>
          <w:rFonts w:ascii="Times New Roman" w:cs="Times New Roman" w:hAnsi="Times New Roman" w:eastAsia="Times New Roman"/>
          <w:sz w:val="24"/>
          <w:szCs w:val="24"/>
        </w:rPr>
      </w:pPr>
    </w:p>
    <w:p>
      <w:pPr>
        <w:pStyle w:val="Default"/>
        <w:spacing w:before="0" w:after="240" w:line="240" w:lineRule="auto"/>
        <w:rPr>
          <w:rStyle w:val="None"/>
          <w:rFonts w:ascii="Times Roman" w:cs="Times Roman" w:hAnsi="Times Roman" w:eastAsia="Times Roman"/>
        </w:rPr>
      </w:pPr>
    </w:p>
    <w:p>
      <w:pPr>
        <w:pStyle w:val="Default"/>
        <w:spacing w:before="0" w:after="240" w:line="360" w:lineRule="auto"/>
        <w:jc w:val="both"/>
        <w:rPr>
          <w:rStyle w:val="None"/>
          <w:rFonts w:ascii="Times Roman" w:cs="Times Roman" w:hAnsi="Times Roman" w:eastAsia="Times Roman"/>
          <w:outline w:val="0"/>
          <w:color w:val="333333"/>
          <w:u w:color="333333"/>
          <w14:textFill>
            <w14:solidFill>
              <w14:srgbClr w14:val="333333"/>
            </w14:solidFill>
          </w14:textFill>
        </w:rPr>
      </w:pPr>
    </w:p>
    <w:p>
      <w:pPr>
        <w:pStyle w:val="Default"/>
        <w:spacing w:before="0" w:after="240" w:line="360" w:lineRule="auto"/>
        <w:jc w:val="both"/>
        <w:rPr>
          <w:rStyle w:val="None"/>
          <w:rFonts w:ascii="Times Roman" w:cs="Times Roman" w:hAnsi="Times Roman" w:eastAsia="Times Roman"/>
          <w:outline w:val="0"/>
          <w:color w:val="333333"/>
          <w:u w:color="333333"/>
          <w14:textFill>
            <w14:solidFill>
              <w14:srgbClr w14:val="333333"/>
            </w14:solidFill>
          </w14:textFill>
        </w:rPr>
      </w:pPr>
    </w:p>
    <w:p>
      <w:pPr>
        <w:pStyle w:val="Body A"/>
        <w:spacing w:line="360" w:lineRule="auto"/>
        <w:jc w:val="both"/>
        <w:rPr>
          <w:rStyle w:val="None"/>
          <w:rFonts w:ascii="Times New Roman" w:cs="Times New Roman" w:hAnsi="Times New Roman" w:eastAsia="Times New Roman"/>
          <w:outline w:val="0"/>
          <w:color w:val="333333"/>
          <w:sz w:val="24"/>
          <w:szCs w:val="24"/>
          <w:u w:color="333333"/>
          <w14:textFill>
            <w14:solidFill>
              <w14:srgbClr w14:val="333333"/>
            </w14:solidFill>
          </w14:textFill>
        </w:rPr>
      </w:pPr>
    </w:p>
    <w:p>
      <w:pPr>
        <w:pStyle w:val="Body A"/>
        <w:spacing w:line="360" w:lineRule="auto"/>
        <w:jc w:val="both"/>
        <w:rPr>
          <w:rStyle w:val="None"/>
          <w:rFonts w:ascii="Times New Roman" w:cs="Times New Roman" w:hAnsi="Times New Roman" w:eastAsia="Times New Roman"/>
          <w:i w:val="1"/>
          <w:iCs w:val="1"/>
          <w:sz w:val="24"/>
          <w:szCs w:val="24"/>
        </w:rPr>
      </w:pPr>
    </w:p>
    <w:p>
      <w:pPr>
        <w:pStyle w:val="Default"/>
        <w:spacing w:before="0" w:after="240" w:line="360" w:lineRule="auto"/>
        <w:jc w:val="both"/>
        <w:rPr>
          <w:rStyle w:val="None"/>
          <w:rFonts w:ascii="Times Roman" w:cs="Times Roman" w:hAnsi="Times Roman" w:eastAsia="Times Roman"/>
          <w:i w:val="1"/>
          <w:iCs w:val="1"/>
        </w:rPr>
      </w:pPr>
    </w:p>
    <w:p>
      <w:pPr>
        <w:pStyle w:val="Body A"/>
        <w:spacing w:line="360" w:lineRule="auto"/>
        <w:jc w:val="both"/>
        <w:rPr>
          <w:rStyle w:val="None"/>
          <w:rFonts w:ascii="Times New Roman" w:cs="Times New Roman" w:hAnsi="Times New Roman" w:eastAsia="Times New Roman"/>
          <w:sz w:val="24"/>
          <w:szCs w:val="24"/>
        </w:rPr>
      </w:pPr>
    </w:p>
    <w:p>
      <w:pPr>
        <w:pStyle w:val="Body A"/>
        <w:spacing w:line="360" w:lineRule="auto"/>
        <w:jc w:val="both"/>
        <w:rPr>
          <w:rStyle w:val="None"/>
          <w:rFonts w:ascii="Times New Roman" w:cs="Times New Roman" w:hAnsi="Times New Roman" w:eastAsia="Times New Roman"/>
          <w:sz w:val="24"/>
          <w:szCs w:val="24"/>
        </w:rPr>
      </w:pPr>
    </w:p>
    <w:p>
      <w:pPr>
        <w:pStyle w:val="Body A"/>
        <w:spacing w:line="360" w:lineRule="auto"/>
        <w:jc w:val="both"/>
      </w:pPr>
      <w:r>
        <w:rPr>
          <w:rStyle w:val="None"/>
          <w:rFonts w:ascii="Times New Roman" w:cs="Times New Roman" w:hAnsi="Times New Roman" w:eastAsia="Times New Roman"/>
          <w:sz w:val="24"/>
          <w:szCs w:val="24"/>
        </w:rPr>
      </w:r>
    </w:p>
    <w:sectPr>
      <w:headerReference w:type="default" r:id="rId4"/>
      <w:footerReference w:type="default" r:id="rId5"/>
      <w:pgSz w:w="11900" w:h="16840" w:orient="portrait"/>
      <w:pgMar w:top="1094" w:right="607" w:bottom="607" w:left="607" w:header="346" w:footer="15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513"/>
        <w:tab w:val="right" w:pos="9000"/>
        <w:tab w:val="clear" w:pos="9020"/>
      </w:tabs>
    </w:pPr>
    <w:r>
      <w:tab/>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u w:val="singl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