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66E2" w:rsidRDefault="005E66E2" w:rsidP="00E65F22">
      <w:pPr>
        <w:rPr>
          <w:rFonts w:ascii="Times New Roman" w:eastAsia="Times New Roman" w:hAnsi="Times New Roman" w:cs="Times New Roman"/>
          <w:b/>
          <w:bCs/>
          <w:sz w:val="27"/>
          <w:szCs w:val="27"/>
        </w:rPr>
      </w:pPr>
      <w:r w:rsidRPr="005E66E2">
        <w:rPr>
          <w:rFonts w:ascii="Times New Roman" w:eastAsia="Times New Roman" w:hAnsi="Times New Roman" w:cs="Times New Roman"/>
          <w:b/>
          <w:bCs/>
          <w:sz w:val="27"/>
          <w:szCs w:val="27"/>
        </w:rPr>
        <w:t xml:space="preserve">Corporate Governance Mechanisms and Sustainability Reporting of Listed </w:t>
      </w:r>
      <w:r>
        <w:rPr>
          <w:rFonts w:ascii="Times New Roman" w:eastAsia="Times New Roman" w:hAnsi="Times New Roman" w:cs="Times New Roman"/>
          <w:b/>
          <w:bCs/>
          <w:sz w:val="27"/>
          <w:szCs w:val="27"/>
        </w:rPr>
        <w:t>Manufacturing</w:t>
      </w:r>
      <w:r w:rsidRPr="005E66E2">
        <w:rPr>
          <w:rFonts w:ascii="Times New Roman" w:eastAsia="Times New Roman" w:hAnsi="Times New Roman" w:cs="Times New Roman"/>
          <w:b/>
          <w:bCs/>
          <w:sz w:val="27"/>
          <w:szCs w:val="27"/>
        </w:rPr>
        <w:t xml:space="preserve"> Firms in Nigeria</w:t>
      </w:r>
      <w:r>
        <w:rPr>
          <w:rFonts w:ascii="Times New Roman" w:eastAsia="Times New Roman" w:hAnsi="Times New Roman" w:cs="Times New Roman"/>
          <w:b/>
          <w:bCs/>
          <w:sz w:val="27"/>
          <w:szCs w:val="27"/>
        </w:rPr>
        <w:t>.</w:t>
      </w:r>
    </w:p>
    <w:p w:rsidR="00F10B3F" w:rsidRPr="00F10B3F" w:rsidRDefault="00F10B3F" w:rsidP="00F10B3F">
      <w:pPr>
        <w:spacing w:line="240" w:lineRule="auto"/>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 xml:space="preserve">                                                                               </w:t>
      </w:r>
    </w:p>
    <w:p w:rsidR="00E65F22" w:rsidRPr="00E65F22" w:rsidRDefault="00E65F22" w:rsidP="00E65F22">
      <w:pPr>
        <w:rPr>
          <w:rFonts w:ascii="Times New Roman" w:eastAsia="Times New Roman" w:hAnsi="Times New Roman" w:cs="Times New Roman"/>
          <w:b/>
          <w:bCs/>
          <w:sz w:val="27"/>
          <w:szCs w:val="27"/>
        </w:rPr>
      </w:pPr>
      <w:r w:rsidRPr="00E65F22">
        <w:rPr>
          <w:rFonts w:ascii="Times New Roman" w:eastAsia="Times New Roman" w:hAnsi="Times New Roman" w:cs="Times New Roman"/>
          <w:b/>
          <w:bCs/>
          <w:sz w:val="27"/>
          <w:szCs w:val="27"/>
        </w:rPr>
        <w:t>Abstract</w:t>
      </w:r>
    </w:p>
    <w:p w:rsidR="00E65F22" w:rsidRPr="00E65F22" w:rsidRDefault="00E65F22" w:rsidP="00E65F22">
      <w:pPr>
        <w:jc w:val="both"/>
        <w:rPr>
          <w:rFonts w:ascii="Times New Roman" w:eastAsia="Times New Roman" w:hAnsi="Times New Roman" w:cs="Times New Roman"/>
          <w:bCs/>
          <w:sz w:val="27"/>
          <w:szCs w:val="27"/>
        </w:rPr>
      </w:pPr>
      <w:r w:rsidRPr="00E65F22">
        <w:rPr>
          <w:rFonts w:ascii="Times New Roman" w:eastAsia="Times New Roman" w:hAnsi="Times New Roman" w:cs="Times New Roman"/>
          <w:bCs/>
          <w:sz w:val="27"/>
          <w:szCs w:val="27"/>
        </w:rPr>
        <w:t xml:space="preserve">This </w:t>
      </w:r>
      <w:r>
        <w:rPr>
          <w:rFonts w:ascii="Times New Roman" w:eastAsia="Times New Roman" w:hAnsi="Times New Roman" w:cs="Times New Roman"/>
          <w:bCs/>
          <w:sz w:val="27"/>
          <w:szCs w:val="27"/>
        </w:rPr>
        <w:t xml:space="preserve">study examined </w:t>
      </w:r>
      <w:r w:rsidRPr="00E65F22">
        <w:rPr>
          <w:rFonts w:ascii="Times New Roman" w:eastAsia="Times New Roman" w:hAnsi="Times New Roman" w:cs="Times New Roman"/>
          <w:bCs/>
          <w:sz w:val="27"/>
          <w:szCs w:val="27"/>
        </w:rPr>
        <w:t>corporate governance mechanisms</w:t>
      </w:r>
      <w:r>
        <w:rPr>
          <w:rFonts w:ascii="Times New Roman" w:eastAsia="Times New Roman" w:hAnsi="Times New Roman" w:cs="Times New Roman"/>
          <w:bCs/>
          <w:sz w:val="27"/>
          <w:szCs w:val="27"/>
        </w:rPr>
        <w:t xml:space="preserve"> and</w:t>
      </w:r>
      <w:r w:rsidRPr="00E65F22">
        <w:rPr>
          <w:rFonts w:ascii="Times New Roman" w:eastAsia="Times New Roman" w:hAnsi="Times New Roman" w:cs="Times New Roman"/>
          <w:bCs/>
          <w:sz w:val="27"/>
          <w:szCs w:val="27"/>
        </w:rPr>
        <w:t xml:space="preserve"> sustainability reporting practices of listed manufacturing firms in Nigeria</w:t>
      </w:r>
      <w:r>
        <w:rPr>
          <w:rFonts w:ascii="Times New Roman" w:eastAsia="Times New Roman" w:hAnsi="Times New Roman" w:cs="Times New Roman"/>
          <w:bCs/>
          <w:sz w:val="27"/>
          <w:szCs w:val="27"/>
        </w:rPr>
        <w:t xml:space="preserve">. </w:t>
      </w:r>
      <w:r w:rsidR="00A60047">
        <w:rPr>
          <w:rFonts w:ascii="Times New Roman" w:eastAsia="Times New Roman" w:hAnsi="Times New Roman" w:cs="Times New Roman"/>
          <w:bCs/>
          <w:sz w:val="27"/>
          <w:szCs w:val="27"/>
        </w:rPr>
        <w:t>T</w:t>
      </w:r>
      <w:r>
        <w:rPr>
          <w:rFonts w:ascii="Times New Roman" w:eastAsia="Times New Roman" w:hAnsi="Times New Roman" w:cs="Times New Roman"/>
          <w:bCs/>
          <w:sz w:val="27"/>
          <w:szCs w:val="27"/>
        </w:rPr>
        <w:t>he study adopted</w:t>
      </w:r>
      <w:r w:rsidRPr="00E65F22">
        <w:rPr>
          <w:rFonts w:ascii="Times New Roman" w:eastAsia="Times New Roman" w:hAnsi="Times New Roman" w:cs="Times New Roman"/>
          <w:bCs/>
          <w:sz w:val="27"/>
          <w:szCs w:val="27"/>
        </w:rPr>
        <w:t xml:space="preserve"> a correlational and causal research design, the study analyzed secondary data from the annual financial statements and sustainability reports of 27 manufacturing firms listed on the Nigerian Exchange Group (NGX) over a </w:t>
      </w:r>
      <w:r w:rsidR="00A60047">
        <w:rPr>
          <w:rFonts w:ascii="Times New Roman" w:eastAsia="Times New Roman" w:hAnsi="Times New Roman" w:cs="Times New Roman"/>
          <w:bCs/>
          <w:sz w:val="27"/>
          <w:szCs w:val="27"/>
        </w:rPr>
        <w:t>fifteen</w:t>
      </w:r>
      <w:r w:rsidRPr="00E65F22">
        <w:rPr>
          <w:rFonts w:ascii="Times New Roman" w:eastAsia="Times New Roman" w:hAnsi="Times New Roman" w:cs="Times New Roman"/>
          <w:bCs/>
          <w:sz w:val="27"/>
          <w:szCs w:val="27"/>
        </w:rPr>
        <w:t>-year period (2010–2024). Descriptive statistics were employed to summarize the characteristics of the variables, while Pearson correlation analysis was used to assess the strength and direction of associations among them. For inferential analysis, the system Generalized Method of Moments (GMM) estimator was applied to account for endogeneity, firm-specific effects</w:t>
      </w:r>
      <w:r w:rsidR="008A02CE">
        <w:rPr>
          <w:rFonts w:ascii="Times New Roman" w:eastAsia="Times New Roman" w:hAnsi="Times New Roman" w:cs="Times New Roman"/>
          <w:bCs/>
          <w:sz w:val="27"/>
          <w:szCs w:val="27"/>
        </w:rPr>
        <w:t xml:space="preserve"> and </w:t>
      </w:r>
      <w:r w:rsidRPr="00E65F22">
        <w:rPr>
          <w:rFonts w:ascii="Times New Roman" w:eastAsia="Times New Roman" w:hAnsi="Times New Roman" w:cs="Times New Roman"/>
          <w:bCs/>
          <w:sz w:val="27"/>
          <w:szCs w:val="27"/>
        </w:rPr>
        <w:t>dynamic persistence</w:t>
      </w:r>
      <w:r w:rsidR="00CD6423">
        <w:rPr>
          <w:rFonts w:ascii="Times New Roman" w:eastAsia="Times New Roman" w:hAnsi="Times New Roman" w:cs="Times New Roman"/>
          <w:bCs/>
          <w:sz w:val="27"/>
          <w:szCs w:val="27"/>
        </w:rPr>
        <w:t xml:space="preserve">. </w:t>
      </w:r>
      <w:r w:rsidRPr="00E65F22">
        <w:rPr>
          <w:rFonts w:ascii="Times New Roman" w:eastAsia="Times New Roman" w:hAnsi="Times New Roman" w:cs="Times New Roman"/>
          <w:bCs/>
          <w:sz w:val="27"/>
          <w:szCs w:val="27"/>
        </w:rPr>
        <w:t>The study found that board director nationality has a significant positive effect on sustainability reporting, suggesting that internationally diverse boards enhance ESG disclosure practices. In contrast, board director reputational capital did not significantly influence sustainability reporting.</w:t>
      </w:r>
      <w:r w:rsidR="00CD6423">
        <w:rPr>
          <w:rFonts w:ascii="Times New Roman" w:eastAsia="Times New Roman" w:hAnsi="Times New Roman" w:cs="Times New Roman"/>
          <w:bCs/>
          <w:sz w:val="27"/>
          <w:szCs w:val="27"/>
        </w:rPr>
        <w:t xml:space="preserve"> </w:t>
      </w:r>
      <w:r w:rsidRPr="00E65F22">
        <w:rPr>
          <w:rFonts w:ascii="Times New Roman" w:eastAsia="Times New Roman" w:hAnsi="Times New Roman" w:cs="Times New Roman"/>
          <w:bCs/>
          <w:sz w:val="27"/>
          <w:szCs w:val="27"/>
        </w:rPr>
        <w:t>The findings underscore the importance of diverse and internationally experienced boards in promoting transparency and accountability in sustainability reporting among manufacturing firms</w:t>
      </w:r>
      <w:r w:rsidR="00FF675F">
        <w:rPr>
          <w:rFonts w:ascii="Times New Roman" w:eastAsia="Times New Roman" w:hAnsi="Times New Roman" w:cs="Times New Roman"/>
          <w:bCs/>
          <w:sz w:val="27"/>
          <w:szCs w:val="27"/>
        </w:rPr>
        <w:t xml:space="preserve"> in Nigeria. This paper also contributes to existing knowledge in the field of sustainability reporting by looking at manufacturing firms in Nigeria.</w:t>
      </w:r>
      <w:r w:rsidRPr="00E65F22">
        <w:rPr>
          <w:rFonts w:ascii="Times New Roman" w:eastAsia="Times New Roman" w:hAnsi="Times New Roman" w:cs="Times New Roman"/>
          <w:bCs/>
          <w:sz w:val="27"/>
          <w:szCs w:val="27"/>
        </w:rPr>
        <w:t xml:space="preserve"> Based on these results, the study recommends that firms encourage board nationality diversity and establish structured ESG governance frameworks to enhance the quality and credibility of sustainability reporting.</w:t>
      </w:r>
    </w:p>
    <w:p w:rsidR="00E65F22" w:rsidRPr="00E65F22" w:rsidRDefault="00E65F22" w:rsidP="00E65F22">
      <w:pPr>
        <w:jc w:val="both"/>
        <w:rPr>
          <w:rFonts w:ascii="Times New Roman" w:eastAsia="Times New Roman" w:hAnsi="Times New Roman" w:cs="Times New Roman"/>
          <w:bCs/>
          <w:sz w:val="27"/>
          <w:szCs w:val="27"/>
        </w:rPr>
      </w:pPr>
      <w:r w:rsidRPr="00E65F22">
        <w:rPr>
          <w:rFonts w:ascii="Times New Roman" w:eastAsia="Times New Roman" w:hAnsi="Times New Roman" w:cs="Times New Roman"/>
          <w:bCs/>
          <w:sz w:val="27"/>
          <w:szCs w:val="27"/>
        </w:rPr>
        <w:t>Keywords: Corporate Governance, Board Director Nationality, Reputational Capital, Sustainability Reporting, Manufacturing Firms, Nigeria</w:t>
      </w:r>
      <w:r w:rsidRPr="00E65F22">
        <w:rPr>
          <w:rFonts w:ascii="Times New Roman" w:eastAsia="Times New Roman" w:hAnsi="Times New Roman" w:cs="Times New Roman"/>
          <w:bCs/>
          <w:sz w:val="27"/>
          <w:szCs w:val="27"/>
        </w:rPr>
        <w:br w:type="page"/>
      </w:r>
    </w:p>
    <w:p w:rsidR="00B527E0" w:rsidRPr="00B527E0" w:rsidRDefault="00B527E0" w:rsidP="00B527E0">
      <w:pPr>
        <w:spacing w:after="0" w:line="36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1.1</w:t>
      </w:r>
      <w:r>
        <w:rPr>
          <w:rFonts w:ascii="Times New Roman" w:eastAsia="Times New Roman" w:hAnsi="Times New Roman" w:cs="Times New Roman"/>
          <w:b/>
          <w:bCs/>
          <w:sz w:val="27"/>
          <w:szCs w:val="27"/>
        </w:rPr>
        <w:tab/>
        <w:t>Introduction</w:t>
      </w:r>
    </w:p>
    <w:p w:rsidR="00B527E0" w:rsidRPr="00B527E0" w:rsidRDefault="00B527E0" w:rsidP="00B527E0">
      <w:pPr>
        <w:spacing w:after="0" w:line="360" w:lineRule="auto"/>
        <w:jc w:val="both"/>
        <w:rPr>
          <w:rFonts w:ascii="Times New Roman" w:eastAsia="Times New Roman" w:hAnsi="Times New Roman" w:cs="Times New Roman"/>
          <w:sz w:val="24"/>
          <w:szCs w:val="24"/>
        </w:rPr>
      </w:pPr>
      <w:r w:rsidRPr="00B527E0">
        <w:rPr>
          <w:rFonts w:ascii="Times New Roman" w:eastAsia="Times New Roman" w:hAnsi="Times New Roman" w:cs="Times New Roman"/>
          <w:sz w:val="24"/>
          <w:szCs w:val="24"/>
        </w:rPr>
        <w:t>Sustainability reporting has become an essential mechanism through which organizations disclose their environmental, social</w:t>
      </w:r>
      <w:r w:rsidR="004D4997">
        <w:rPr>
          <w:rFonts w:ascii="Times New Roman" w:eastAsia="Times New Roman" w:hAnsi="Times New Roman" w:cs="Times New Roman"/>
          <w:sz w:val="24"/>
          <w:szCs w:val="24"/>
        </w:rPr>
        <w:t xml:space="preserve"> and </w:t>
      </w:r>
      <w:r w:rsidRPr="00B527E0">
        <w:rPr>
          <w:rFonts w:ascii="Times New Roman" w:eastAsia="Times New Roman" w:hAnsi="Times New Roman" w:cs="Times New Roman"/>
          <w:sz w:val="24"/>
          <w:szCs w:val="24"/>
        </w:rPr>
        <w:t>governance (ESG) activities to stakeholders. For manufacturing firms, sustainability reporting is particularly important due to the sector’s significant environmental footprint, intensive resource consumption</w:t>
      </w:r>
      <w:r w:rsidR="004D4997">
        <w:rPr>
          <w:rFonts w:ascii="Times New Roman" w:eastAsia="Times New Roman" w:hAnsi="Times New Roman" w:cs="Times New Roman"/>
          <w:sz w:val="24"/>
          <w:szCs w:val="24"/>
        </w:rPr>
        <w:t xml:space="preserve"> and </w:t>
      </w:r>
      <w:r w:rsidRPr="00B527E0">
        <w:rPr>
          <w:rFonts w:ascii="Times New Roman" w:eastAsia="Times New Roman" w:hAnsi="Times New Roman" w:cs="Times New Roman"/>
          <w:sz w:val="24"/>
          <w:szCs w:val="24"/>
        </w:rPr>
        <w:t>social impacts on host communities. Through sustainability disclosures, manufacturing firms demonstrate accountability, enhance transparency</w:t>
      </w:r>
      <w:r w:rsidR="004D4997">
        <w:rPr>
          <w:rFonts w:ascii="Times New Roman" w:eastAsia="Times New Roman" w:hAnsi="Times New Roman" w:cs="Times New Roman"/>
          <w:sz w:val="24"/>
          <w:szCs w:val="24"/>
        </w:rPr>
        <w:t xml:space="preserve"> and </w:t>
      </w:r>
      <w:r w:rsidRPr="00B527E0">
        <w:rPr>
          <w:rFonts w:ascii="Times New Roman" w:eastAsia="Times New Roman" w:hAnsi="Times New Roman" w:cs="Times New Roman"/>
          <w:sz w:val="24"/>
          <w:szCs w:val="24"/>
        </w:rPr>
        <w:t>communicate their commitment to responsible production and long-term value creation (Razaq et al., 2023).</w:t>
      </w:r>
    </w:p>
    <w:p w:rsidR="00B527E0" w:rsidRPr="00B527E0" w:rsidRDefault="00B527E0" w:rsidP="00B527E0">
      <w:pPr>
        <w:spacing w:after="0" w:line="360" w:lineRule="auto"/>
        <w:jc w:val="both"/>
        <w:rPr>
          <w:rFonts w:ascii="Times New Roman" w:eastAsia="Times New Roman" w:hAnsi="Times New Roman" w:cs="Times New Roman"/>
          <w:sz w:val="24"/>
          <w:szCs w:val="24"/>
        </w:rPr>
      </w:pPr>
      <w:r w:rsidRPr="00B527E0">
        <w:rPr>
          <w:rFonts w:ascii="Times New Roman" w:eastAsia="Times New Roman" w:hAnsi="Times New Roman" w:cs="Times New Roman"/>
          <w:sz w:val="24"/>
          <w:szCs w:val="24"/>
        </w:rPr>
        <w:t>In Nigeria, listed manufacturing firms operate within an environment characterized by increasing regulatory expectations, stakeholder scrutiny</w:t>
      </w:r>
      <w:r w:rsidR="004D4997">
        <w:rPr>
          <w:rFonts w:ascii="Times New Roman" w:eastAsia="Times New Roman" w:hAnsi="Times New Roman" w:cs="Times New Roman"/>
          <w:sz w:val="24"/>
          <w:szCs w:val="24"/>
        </w:rPr>
        <w:t xml:space="preserve"> and </w:t>
      </w:r>
      <w:r w:rsidRPr="00B527E0">
        <w:rPr>
          <w:rFonts w:ascii="Times New Roman" w:eastAsia="Times New Roman" w:hAnsi="Times New Roman" w:cs="Times New Roman"/>
          <w:sz w:val="24"/>
          <w:szCs w:val="24"/>
        </w:rPr>
        <w:t>global sustainability pressures. Regulatory bodies such as the Financial Reporting Council of Nigeria (FRCN) and the Nigerian Exchange Group (NGX) have emphasized improved corporate governance and sustainability disclosure practices. Despite these developments, sustainability reporting among Nigerian manufacturing firms remains largely voluntary and inconsistent, with wide variations in the quality, scope</w:t>
      </w:r>
      <w:r w:rsidR="004D4997">
        <w:rPr>
          <w:rFonts w:ascii="Times New Roman" w:eastAsia="Times New Roman" w:hAnsi="Times New Roman" w:cs="Times New Roman"/>
          <w:sz w:val="24"/>
          <w:szCs w:val="24"/>
        </w:rPr>
        <w:t xml:space="preserve"> and </w:t>
      </w:r>
      <w:r w:rsidRPr="00B527E0">
        <w:rPr>
          <w:rFonts w:ascii="Times New Roman" w:eastAsia="Times New Roman" w:hAnsi="Times New Roman" w:cs="Times New Roman"/>
          <w:sz w:val="24"/>
          <w:szCs w:val="24"/>
        </w:rPr>
        <w:t>depth of disclosures. Empirical evidence suggests that many manufacturing firms provide limited sustainability information, often focusing on narrative disclosures rather than measurable environmental and social performance indicators (Corporate Governance and Sustainability Reporting Quality, 2022).</w:t>
      </w:r>
    </w:p>
    <w:p w:rsidR="00B527E0" w:rsidRPr="00B527E0" w:rsidRDefault="00B527E0" w:rsidP="00B527E0">
      <w:pPr>
        <w:spacing w:after="0" w:line="360" w:lineRule="auto"/>
        <w:jc w:val="both"/>
        <w:rPr>
          <w:rFonts w:ascii="Times New Roman" w:eastAsia="Times New Roman" w:hAnsi="Times New Roman" w:cs="Times New Roman"/>
          <w:sz w:val="24"/>
          <w:szCs w:val="24"/>
        </w:rPr>
      </w:pPr>
      <w:r w:rsidRPr="00B527E0">
        <w:rPr>
          <w:rFonts w:ascii="Times New Roman" w:eastAsia="Times New Roman" w:hAnsi="Times New Roman" w:cs="Times New Roman"/>
          <w:sz w:val="24"/>
          <w:szCs w:val="24"/>
        </w:rPr>
        <w:t>Corporate governance mechanisms play a critical role in influencing sustainability reporting practices within manufacturing firms. Governance structures such as board size, board independence, board diversity, audit committee effectiveness</w:t>
      </w:r>
      <w:r w:rsidR="004D4997">
        <w:rPr>
          <w:rFonts w:ascii="Times New Roman" w:eastAsia="Times New Roman" w:hAnsi="Times New Roman" w:cs="Times New Roman"/>
          <w:sz w:val="24"/>
          <w:szCs w:val="24"/>
        </w:rPr>
        <w:t xml:space="preserve"> and </w:t>
      </w:r>
      <w:r w:rsidRPr="00B527E0">
        <w:rPr>
          <w:rFonts w:ascii="Times New Roman" w:eastAsia="Times New Roman" w:hAnsi="Times New Roman" w:cs="Times New Roman"/>
          <w:sz w:val="24"/>
          <w:szCs w:val="24"/>
        </w:rPr>
        <w:t>ownership structure shape managerial oversight and strategic decision-making, including sustainability-related disclosures. Strong corporate governance mechanisms enhance monitoring functions, reduce information asymmetry</w:t>
      </w:r>
      <w:r w:rsidR="004D4997">
        <w:rPr>
          <w:rFonts w:ascii="Times New Roman" w:eastAsia="Times New Roman" w:hAnsi="Times New Roman" w:cs="Times New Roman"/>
          <w:sz w:val="24"/>
          <w:szCs w:val="24"/>
        </w:rPr>
        <w:t xml:space="preserve"> and </w:t>
      </w:r>
      <w:r w:rsidRPr="00B527E0">
        <w:rPr>
          <w:rFonts w:ascii="Times New Roman" w:eastAsia="Times New Roman" w:hAnsi="Times New Roman" w:cs="Times New Roman"/>
          <w:sz w:val="24"/>
          <w:szCs w:val="24"/>
        </w:rPr>
        <w:t xml:space="preserve">encourage greater transparency in sustainability reporting. Studies conducted in Nigeria indicate that firms with stronger governance frameworks are more likely to produce higher-quality sustainability reports that align with stakeholder expectations and international reporting standards (Razaq et al., 2023; Okpala &amp; </w:t>
      </w:r>
      <w:proofErr w:type="spellStart"/>
      <w:r w:rsidRPr="00B527E0">
        <w:rPr>
          <w:rFonts w:ascii="Times New Roman" w:eastAsia="Times New Roman" w:hAnsi="Times New Roman" w:cs="Times New Roman"/>
          <w:sz w:val="24"/>
          <w:szCs w:val="24"/>
        </w:rPr>
        <w:t>Emida</w:t>
      </w:r>
      <w:proofErr w:type="spellEnd"/>
      <w:r w:rsidRPr="00B527E0">
        <w:rPr>
          <w:rFonts w:ascii="Times New Roman" w:eastAsia="Times New Roman" w:hAnsi="Times New Roman" w:cs="Times New Roman"/>
          <w:sz w:val="24"/>
          <w:szCs w:val="24"/>
        </w:rPr>
        <w:t>, 2025).</w:t>
      </w:r>
    </w:p>
    <w:p w:rsidR="00B527E0" w:rsidRPr="00B527E0" w:rsidRDefault="00B527E0" w:rsidP="00B527E0">
      <w:pPr>
        <w:spacing w:after="0" w:line="360" w:lineRule="auto"/>
        <w:jc w:val="both"/>
        <w:rPr>
          <w:rFonts w:ascii="Times New Roman" w:eastAsia="Times New Roman" w:hAnsi="Times New Roman" w:cs="Times New Roman"/>
          <w:sz w:val="24"/>
          <w:szCs w:val="24"/>
        </w:rPr>
      </w:pPr>
      <w:r w:rsidRPr="00B527E0">
        <w:rPr>
          <w:rFonts w:ascii="Times New Roman" w:eastAsia="Times New Roman" w:hAnsi="Times New Roman" w:cs="Times New Roman"/>
          <w:sz w:val="24"/>
          <w:szCs w:val="24"/>
        </w:rPr>
        <w:t xml:space="preserve">Recent empirical studies focusing specifically on listed manufacturing firms in Nigeria reveal that board characteristics significantly influence sustainability reporting outcomes. For example, board diversity—particularly gender diversity—has been found to positively affect the quality and extent of sustainability disclosures, as diverse boards tend to integrate broader stakeholder </w:t>
      </w:r>
      <w:r w:rsidRPr="00B527E0">
        <w:rPr>
          <w:rFonts w:ascii="Times New Roman" w:eastAsia="Times New Roman" w:hAnsi="Times New Roman" w:cs="Times New Roman"/>
          <w:sz w:val="24"/>
          <w:szCs w:val="24"/>
        </w:rPr>
        <w:lastRenderedPageBreak/>
        <w:t xml:space="preserve">concerns into corporate strategies. Similarly, independent directors and effective audit committees enhance sustainability reporting by strengthening internal controls and ensuring compliance with governance and disclosure requirements (Okpala &amp; </w:t>
      </w:r>
      <w:proofErr w:type="spellStart"/>
      <w:r w:rsidRPr="00B527E0">
        <w:rPr>
          <w:rFonts w:ascii="Times New Roman" w:eastAsia="Times New Roman" w:hAnsi="Times New Roman" w:cs="Times New Roman"/>
          <w:sz w:val="24"/>
          <w:szCs w:val="24"/>
        </w:rPr>
        <w:t>Emida</w:t>
      </w:r>
      <w:proofErr w:type="spellEnd"/>
      <w:r w:rsidRPr="00B527E0">
        <w:rPr>
          <w:rFonts w:ascii="Times New Roman" w:eastAsia="Times New Roman" w:hAnsi="Times New Roman" w:cs="Times New Roman"/>
          <w:sz w:val="24"/>
          <w:szCs w:val="24"/>
        </w:rPr>
        <w:t>, 2025; Corporate Governance and Sustainability Reporting Quality, 2022).</w:t>
      </w:r>
    </w:p>
    <w:p w:rsidR="00B527E0" w:rsidRPr="00B527E0" w:rsidRDefault="00B527E0" w:rsidP="00B527E0">
      <w:pPr>
        <w:spacing w:after="0" w:line="360" w:lineRule="auto"/>
        <w:jc w:val="both"/>
        <w:rPr>
          <w:rFonts w:ascii="Times New Roman" w:eastAsia="Times New Roman" w:hAnsi="Times New Roman" w:cs="Times New Roman"/>
          <w:sz w:val="24"/>
          <w:szCs w:val="24"/>
        </w:rPr>
      </w:pPr>
      <w:r w:rsidRPr="00B527E0">
        <w:rPr>
          <w:rFonts w:ascii="Times New Roman" w:eastAsia="Times New Roman" w:hAnsi="Times New Roman" w:cs="Times New Roman"/>
          <w:sz w:val="24"/>
          <w:szCs w:val="24"/>
        </w:rPr>
        <w:t xml:space="preserve">Despite growing academic interest, evidence on the relationship between corporate governance mechanisms and sustainability reporting among Nigerian manufacturing firms </w:t>
      </w:r>
      <w:r w:rsidR="00BD6C21">
        <w:rPr>
          <w:rFonts w:ascii="Times New Roman" w:eastAsia="Times New Roman" w:hAnsi="Times New Roman" w:cs="Times New Roman"/>
          <w:sz w:val="24"/>
          <w:szCs w:val="24"/>
        </w:rPr>
        <w:t>are few</w:t>
      </w:r>
      <w:r w:rsidRPr="00B527E0">
        <w:rPr>
          <w:rFonts w:ascii="Times New Roman" w:eastAsia="Times New Roman" w:hAnsi="Times New Roman" w:cs="Times New Roman"/>
          <w:sz w:val="24"/>
          <w:szCs w:val="24"/>
        </w:rPr>
        <w:t xml:space="preserve">. Furthermore, sector-specific studies are still limited, even though manufacturing firms face unique sustainability challenges compared to other industries. This underscores the need for empirical investigation into how corporate governance mechanisms influence sustainability reporting practices among listed manufacturing firms in Nigeria. Such a study </w:t>
      </w:r>
      <w:r w:rsidR="00BD6C21">
        <w:rPr>
          <w:rFonts w:ascii="Times New Roman" w:eastAsia="Times New Roman" w:hAnsi="Times New Roman" w:cs="Times New Roman"/>
          <w:sz w:val="24"/>
          <w:szCs w:val="24"/>
        </w:rPr>
        <w:t>will help in</w:t>
      </w:r>
      <w:r w:rsidRPr="00B527E0">
        <w:rPr>
          <w:rFonts w:ascii="Times New Roman" w:eastAsia="Times New Roman" w:hAnsi="Times New Roman" w:cs="Times New Roman"/>
          <w:sz w:val="24"/>
          <w:szCs w:val="24"/>
        </w:rPr>
        <w:t xml:space="preserve"> policy formulation, improving governance codes</w:t>
      </w:r>
      <w:r w:rsidR="004D4997">
        <w:rPr>
          <w:rFonts w:ascii="Times New Roman" w:eastAsia="Times New Roman" w:hAnsi="Times New Roman" w:cs="Times New Roman"/>
          <w:sz w:val="24"/>
          <w:szCs w:val="24"/>
        </w:rPr>
        <w:t xml:space="preserve"> and </w:t>
      </w:r>
      <w:r w:rsidRPr="00B527E0">
        <w:rPr>
          <w:rFonts w:ascii="Times New Roman" w:eastAsia="Times New Roman" w:hAnsi="Times New Roman" w:cs="Times New Roman"/>
          <w:sz w:val="24"/>
          <w:szCs w:val="24"/>
        </w:rPr>
        <w:t>promoting sustainable manufacturing practices</w:t>
      </w:r>
      <w:r w:rsidR="00BD6C21">
        <w:rPr>
          <w:rFonts w:ascii="Times New Roman" w:eastAsia="Times New Roman" w:hAnsi="Times New Roman" w:cs="Times New Roman"/>
          <w:sz w:val="24"/>
          <w:szCs w:val="24"/>
        </w:rPr>
        <w:t>.</w:t>
      </w:r>
    </w:p>
    <w:p w:rsidR="00B527E0" w:rsidRPr="00AF60D8" w:rsidRDefault="00B527E0" w:rsidP="00B527E0">
      <w:pPr>
        <w:spacing w:after="0" w:line="360" w:lineRule="auto"/>
        <w:jc w:val="both"/>
        <w:rPr>
          <w:rFonts w:ascii="Times New Roman" w:hAnsi="Times New Roman" w:cs="Times New Roman"/>
          <w:b/>
          <w:bCs/>
          <w:sz w:val="24"/>
          <w:szCs w:val="24"/>
        </w:rPr>
      </w:pPr>
      <w:r>
        <w:rPr>
          <w:b/>
          <w:bCs/>
        </w:rPr>
        <w:t>1.2</w:t>
      </w:r>
      <w:r>
        <w:rPr>
          <w:b/>
          <w:bCs/>
        </w:rPr>
        <w:tab/>
      </w:r>
      <w:r w:rsidRPr="00AF60D8">
        <w:rPr>
          <w:rFonts w:ascii="Times New Roman" w:hAnsi="Times New Roman" w:cs="Times New Roman"/>
          <w:b/>
          <w:bCs/>
          <w:sz w:val="24"/>
          <w:szCs w:val="24"/>
        </w:rPr>
        <w:t>Objectives of the Study</w:t>
      </w:r>
    </w:p>
    <w:p w:rsidR="00B527E0" w:rsidRPr="00AF60D8" w:rsidRDefault="00B527E0" w:rsidP="00B527E0">
      <w:pPr>
        <w:spacing w:after="0" w:line="360" w:lineRule="auto"/>
        <w:jc w:val="both"/>
        <w:rPr>
          <w:rFonts w:ascii="Times New Roman" w:hAnsi="Times New Roman" w:cs="Times New Roman"/>
          <w:sz w:val="24"/>
          <w:szCs w:val="24"/>
        </w:rPr>
      </w:pPr>
      <w:r w:rsidRPr="00AF60D8">
        <w:rPr>
          <w:rFonts w:ascii="Times New Roman" w:hAnsi="Times New Roman" w:cs="Times New Roman"/>
          <w:sz w:val="24"/>
          <w:szCs w:val="24"/>
        </w:rPr>
        <w:t>The main objective of this study is to examine corporate board mechanism and sustainability reporting practices of listed manufacturing firms in Nigeria. The specific objectives are to:</w:t>
      </w:r>
    </w:p>
    <w:p w:rsidR="00B527E0" w:rsidRPr="00AF60D8" w:rsidRDefault="00B527E0" w:rsidP="00B527E0">
      <w:pPr>
        <w:numPr>
          <w:ilvl w:val="0"/>
          <w:numId w:val="1"/>
        </w:numPr>
        <w:spacing w:after="0" w:line="360" w:lineRule="auto"/>
        <w:jc w:val="both"/>
        <w:rPr>
          <w:rFonts w:ascii="Times New Roman" w:hAnsi="Times New Roman" w:cs="Times New Roman"/>
          <w:sz w:val="24"/>
          <w:szCs w:val="24"/>
        </w:rPr>
      </w:pPr>
      <w:r w:rsidRPr="00AF60D8">
        <w:rPr>
          <w:rFonts w:ascii="Times New Roman" w:hAnsi="Times New Roman" w:cs="Times New Roman"/>
          <w:sz w:val="24"/>
          <w:szCs w:val="24"/>
        </w:rPr>
        <w:t>determine the relationship between board of directors’ reputational capital and sustainability reporting of listed manufacturing firms in Nigeria; and</w:t>
      </w:r>
    </w:p>
    <w:p w:rsidR="00B527E0" w:rsidRPr="00AF60D8" w:rsidRDefault="00B527E0" w:rsidP="00B527E0">
      <w:pPr>
        <w:numPr>
          <w:ilvl w:val="0"/>
          <w:numId w:val="1"/>
        </w:numPr>
        <w:spacing w:after="0" w:line="360" w:lineRule="auto"/>
        <w:jc w:val="both"/>
        <w:rPr>
          <w:rFonts w:ascii="Times New Roman" w:hAnsi="Times New Roman" w:cs="Times New Roman"/>
          <w:sz w:val="24"/>
          <w:szCs w:val="24"/>
        </w:rPr>
      </w:pPr>
      <w:r w:rsidRPr="00AF60D8">
        <w:rPr>
          <w:rFonts w:ascii="Times New Roman" w:hAnsi="Times New Roman" w:cs="Times New Roman"/>
          <w:sz w:val="24"/>
          <w:szCs w:val="24"/>
        </w:rPr>
        <w:t>assess the influence of board of directors’ nationality on sustainability reporting of listed manufacturing firms in Nigeria.</w:t>
      </w:r>
    </w:p>
    <w:p w:rsidR="00B527E0" w:rsidRPr="00AF60D8" w:rsidRDefault="00B527E0" w:rsidP="00B527E0">
      <w:pPr>
        <w:spacing w:after="0" w:line="360" w:lineRule="auto"/>
        <w:jc w:val="both"/>
        <w:rPr>
          <w:rFonts w:ascii="Times New Roman" w:hAnsi="Times New Roman" w:cs="Times New Roman"/>
          <w:b/>
          <w:bCs/>
          <w:sz w:val="24"/>
          <w:szCs w:val="24"/>
        </w:rPr>
      </w:pPr>
      <w:r w:rsidRPr="00AF60D8">
        <w:rPr>
          <w:rFonts w:ascii="Times New Roman" w:hAnsi="Times New Roman" w:cs="Times New Roman"/>
          <w:b/>
          <w:bCs/>
          <w:sz w:val="24"/>
          <w:szCs w:val="24"/>
        </w:rPr>
        <w:t>1.3 Research Hypotheses</w:t>
      </w:r>
    </w:p>
    <w:p w:rsidR="00B527E0" w:rsidRPr="00AF60D8" w:rsidRDefault="00B527E0" w:rsidP="00B527E0">
      <w:pPr>
        <w:spacing w:after="0" w:line="360" w:lineRule="auto"/>
        <w:jc w:val="both"/>
        <w:rPr>
          <w:rFonts w:ascii="Times New Roman" w:hAnsi="Times New Roman" w:cs="Times New Roman"/>
          <w:sz w:val="24"/>
          <w:szCs w:val="24"/>
        </w:rPr>
      </w:pPr>
      <w:r w:rsidRPr="00AF60D8">
        <w:rPr>
          <w:rFonts w:ascii="Times New Roman" w:hAnsi="Times New Roman" w:cs="Times New Roman"/>
          <w:sz w:val="24"/>
          <w:szCs w:val="24"/>
        </w:rPr>
        <w:t>The following null hypotheses are formulated for the study:</w:t>
      </w:r>
    </w:p>
    <w:p w:rsidR="00B527E0" w:rsidRPr="00AF60D8" w:rsidRDefault="00B527E0" w:rsidP="00B527E0">
      <w:pPr>
        <w:spacing w:after="0" w:line="360" w:lineRule="auto"/>
        <w:jc w:val="both"/>
        <w:rPr>
          <w:rFonts w:ascii="Times New Roman" w:hAnsi="Times New Roman" w:cs="Times New Roman"/>
          <w:sz w:val="24"/>
          <w:szCs w:val="24"/>
        </w:rPr>
      </w:pPr>
      <w:r w:rsidRPr="00AF60D8">
        <w:rPr>
          <w:rFonts w:ascii="Times New Roman" w:hAnsi="Times New Roman" w:cs="Times New Roman"/>
          <w:b/>
          <w:bCs/>
          <w:sz w:val="24"/>
          <w:szCs w:val="24"/>
        </w:rPr>
        <w:t>H</w:t>
      </w:r>
      <w:r w:rsidRPr="00AF60D8">
        <w:rPr>
          <w:rFonts w:ascii="Times New Roman" w:hAnsi="Times New Roman" w:cs="Times New Roman"/>
          <w:b/>
          <w:bCs/>
          <w:sz w:val="24"/>
          <w:szCs w:val="24"/>
          <w:vertAlign w:val="subscript"/>
        </w:rPr>
        <w:t>0</w:t>
      </w:r>
      <w:r w:rsidRPr="00AF60D8">
        <w:rPr>
          <w:rFonts w:ascii="Times New Roman" w:hAnsi="Times New Roman" w:cs="Times New Roman"/>
          <w:b/>
          <w:bCs/>
          <w:sz w:val="24"/>
          <w:szCs w:val="24"/>
        </w:rPr>
        <w:t>1:</w:t>
      </w:r>
      <w:r w:rsidRPr="00AF60D8">
        <w:rPr>
          <w:rFonts w:ascii="Times New Roman" w:hAnsi="Times New Roman" w:cs="Times New Roman"/>
          <w:sz w:val="24"/>
          <w:szCs w:val="24"/>
        </w:rPr>
        <w:t xml:space="preserve"> Board of directors’ reputational capital has no significant relationship with sustainability reporting of listed manufacturing firms in Nigeria.</w:t>
      </w:r>
    </w:p>
    <w:p w:rsidR="00B527E0" w:rsidRPr="00AF60D8" w:rsidRDefault="00B527E0" w:rsidP="00B527E0">
      <w:pPr>
        <w:spacing w:after="0" w:line="360" w:lineRule="auto"/>
        <w:jc w:val="both"/>
        <w:rPr>
          <w:rFonts w:ascii="Times New Roman" w:hAnsi="Times New Roman" w:cs="Times New Roman"/>
          <w:sz w:val="24"/>
          <w:szCs w:val="24"/>
        </w:rPr>
      </w:pPr>
      <w:r w:rsidRPr="00AF60D8">
        <w:rPr>
          <w:rFonts w:ascii="Times New Roman" w:hAnsi="Times New Roman" w:cs="Times New Roman"/>
          <w:b/>
          <w:bCs/>
          <w:sz w:val="24"/>
          <w:szCs w:val="24"/>
        </w:rPr>
        <w:t>H</w:t>
      </w:r>
      <w:r w:rsidRPr="00AF60D8">
        <w:rPr>
          <w:rFonts w:ascii="Times New Roman" w:hAnsi="Times New Roman" w:cs="Times New Roman"/>
          <w:b/>
          <w:bCs/>
          <w:sz w:val="24"/>
          <w:szCs w:val="24"/>
          <w:vertAlign w:val="subscript"/>
        </w:rPr>
        <w:t>0</w:t>
      </w:r>
      <w:r w:rsidRPr="00AF60D8">
        <w:rPr>
          <w:rFonts w:ascii="Times New Roman" w:hAnsi="Times New Roman" w:cs="Times New Roman"/>
          <w:b/>
          <w:bCs/>
          <w:sz w:val="24"/>
          <w:szCs w:val="24"/>
        </w:rPr>
        <w:t>2:</w:t>
      </w:r>
      <w:r w:rsidRPr="00AF60D8">
        <w:rPr>
          <w:rFonts w:ascii="Times New Roman" w:hAnsi="Times New Roman" w:cs="Times New Roman"/>
          <w:sz w:val="24"/>
          <w:szCs w:val="24"/>
        </w:rPr>
        <w:t xml:space="preserve"> Board of directors’ nationality does not have a significant influence on sustainability reporting of listed manufacturing firms in Nigeria.</w:t>
      </w:r>
    </w:p>
    <w:p w:rsidR="0065275A" w:rsidRPr="00AF60D8" w:rsidRDefault="0065275A" w:rsidP="0065275A">
      <w:pPr>
        <w:spacing w:after="0" w:line="360" w:lineRule="auto"/>
        <w:jc w:val="both"/>
        <w:rPr>
          <w:rFonts w:ascii="Times New Roman" w:hAnsi="Times New Roman" w:cs="Times New Roman"/>
          <w:b/>
          <w:bCs/>
          <w:sz w:val="24"/>
          <w:szCs w:val="24"/>
        </w:rPr>
      </w:pPr>
      <w:r w:rsidRPr="00AF60D8">
        <w:rPr>
          <w:rFonts w:ascii="Times New Roman" w:hAnsi="Times New Roman" w:cs="Times New Roman"/>
          <w:b/>
          <w:bCs/>
          <w:sz w:val="24"/>
          <w:szCs w:val="24"/>
        </w:rPr>
        <w:t>2. LITERATURE REVIEW</w:t>
      </w:r>
    </w:p>
    <w:p w:rsidR="0065275A" w:rsidRPr="0065275A" w:rsidRDefault="0065275A" w:rsidP="0065275A">
      <w:pPr>
        <w:spacing w:after="0" w:line="360" w:lineRule="auto"/>
        <w:jc w:val="both"/>
        <w:rPr>
          <w:rFonts w:ascii="Times New Roman" w:hAnsi="Times New Roman" w:cs="Times New Roman"/>
          <w:b/>
          <w:bCs/>
          <w:sz w:val="24"/>
          <w:szCs w:val="24"/>
        </w:rPr>
      </w:pPr>
      <w:r w:rsidRPr="0065275A">
        <w:rPr>
          <w:rFonts w:ascii="Times New Roman" w:hAnsi="Times New Roman" w:cs="Times New Roman"/>
          <w:b/>
          <w:bCs/>
          <w:sz w:val="24"/>
          <w:szCs w:val="24"/>
        </w:rPr>
        <w:t>2.1 Conceptual Review</w:t>
      </w:r>
    </w:p>
    <w:p w:rsidR="0065275A" w:rsidRPr="0065275A" w:rsidRDefault="0065275A" w:rsidP="0065275A">
      <w:pPr>
        <w:spacing w:after="0" w:line="360" w:lineRule="auto"/>
        <w:jc w:val="both"/>
        <w:rPr>
          <w:rFonts w:ascii="Times New Roman" w:hAnsi="Times New Roman" w:cs="Times New Roman"/>
          <w:b/>
          <w:bCs/>
          <w:sz w:val="24"/>
          <w:szCs w:val="24"/>
        </w:rPr>
      </w:pPr>
      <w:r w:rsidRPr="0065275A">
        <w:rPr>
          <w:rFonts w:ascii="Times New Roman" w:hAnsi="Times New Roman" w:cs="Times New Roman"/>
          <w:b/>
          <w:bCs/>
          <w:sz w:val="24"/>
          <w:szCs w:val="24"/>
        </w:rPr>
        <w:t>2.1.1 Corporate Governance Mechanisms</w:t>
      </w:r>
    </w:p>
    <w:p w:rsidR="0065275A" w:rsidRPr="0065275A" w:rsidRDefault="0065275A" w:rsidP="0065275A">
      <w:pPr>
        <w:spacing w:after="0" w:line="360" w:lineRule="auto"/>
        <w:jc w:val="both"/>
        <w:rPr>
          <w:rFonts w:ascii="Times New Roman" w:hAnsi="Times New Roman" w:cs="Times New Roman"/>
          <w:sz w:val="24"/>
          <w:szCs w:val="24"/>
        </w:rPr>
      </w:pPr>
      <w:r w:rsidRPr="0065275A">
        <w:rPr>
          <w:rFonts w:ascii="Times New Roman" w:hAnsi="Times New Roman" w:cs="Times New Roman"/>
          <w:sz w:val="24"/>
          <w:szCs w:val="24"/>
        </w:rPr>
        <w:t>Corporate governance mechanisms refer to the structures, processes</w:t>
      </w:r>
      <w:r w:rsidR="004D4997">
        <w:rPr>
          <w:rFonts w:ascii="Times New Roman" w:hAnsi="Times New Roman" w:cs="Times New Roman"/>
          <w:sz w:val="24"/>
          <w:szCs w:val="24"/>
        </w:rPr>
        <w:t xml:space="preserve"> and </w:t>
      </w:r>
      <w:r w:rsidRPr="0065275A">
        <w:rPr>
          <w:rFonts w:ascii="Times New Roman" w:hAnsi="Times New Roman" w:cs="Times New Roman"/>
          <w:sz w:val="24"/>
          <w:szCs w:val="24"/>
        </w:rPr>
        <w:t>institutional arrangements through which firms are directed, controlled</w:t>
      </w:r>
      <w:r w:rsidR="004D4997">
        <w:rPr>
          <w:rFonts w:ascii="Times New Roman" w:hAnsi="Times New Roman" w:cs="Times New Roman"/>
          <w:sz w:val="24"/>
          <w:szCs w:val="24"/>
        </w:rPr>
        <w:t xml:space="preserve"> and </w:t>
      </w:r>
      <w:r w:rsidRPr="0065275A">
        <w:rPr>
          <w:rFonts w:ascii="Times New Roman" w:hAnsi="Times New Roman" w:cs="Times New Roman"/>
          <w:sz w:val="24"/>
          <w:szCs w:val="24"/>
        </w:rPr>
        <w:t>monitored to ensure accountability, transparency</w:t>
      </w:r>
      <w:r w:rsidR="004D4997">
        <w:rPr>
          <w:rFonts w:ascii="Times New Roman" w:hAnsi="Times New Roman" w:cs="Times New Roman"/>
          <w:sz w:val="24"/>
          <w:szCs w:val="24"/>
        </w:rPr>
        <w:t xml:space="preserve"> and </w:t>
      </w:r>
      <w:r w:rsidRPr="0065275A">
        <w:rPr>
          <w:rFonts w:ascii="Times New Roman" w:hAnsi="Times New Roman" w:cs="Times New Roman"/>
          <w:sz w:val="24"/>
          <w:szCs w:val="24"/>
        </w:rPr>
        <w:t xml:space="preserve">ethical conduct. These mechanisms provide a framework through which organizational objectives are pursued while safeguarding the interests of </w:t>
      </w:r>
      <w:r w:rsidRPr="0065275A">
        <w:rPr>
          <w:rFonts w:ascii="Times New Roman" w:hAnsi="Times New Roman" w:cs="Times New Roman"/>
          <w:sz w:val="24"/>
          <w:szCs w:val="24"/>
        </w:rPr>
        <w:lastRenderedPageBreak/>
        <w:t>shareholders and other stakeholders (Razaq et al., 2023). In manufacturing firms, effective corporate governance is particularly important due to the sector’s exposure to environmental risks, regulatory scrutiny</w:t>
      </w:r>
      <w:r w:rsidR="004D4997">
        <w:rPr>
          <w:rFonts w:ascii="Times New Roman" w:hAnsi="Times New Roman" w:cs="Times New Roman"/>
          <w:sz w:val="24"/>
          <w:szCs w:val="24"/>
        </w:rPr>
        <w:t xml:space="preserve"> and </w:t>
      </w:r>
      <w:r w:rsidRPr="0065275A">
        <w:rPr>
          <w:rFonts w:ascii="Times New Roman" w:hAnsi="Times New Roman" w:cs="Times New Roman"/>
          <w:sz w:val="24"/>
          <w:szCs w:val="24"/>
        </w:rPr>
        <w:t>complex operational processes.</w:t>
      </w:r>
    </w:p>
    <w:p w:rsidR="0065275A" w:rsidRPr="0065275A" w:rsidRDefault="0065275A" w:rsidP="0065275A">
      <w:pPr>
        <w:spacing w:after="0" w:line="360" w:lineRule="auto"/>
        <w:jc w:val="both"/>
        <w:rPr>
          <w:rFonts w:ascii="Times New Roman" w:hAnsi="Times New Roman" w:cs="Times New Roman"/>
          <w:sz w:val="24"/>
          <w:szCs w:val="24"/>
        </w:rPr>
      </w:pPr>
      <w:r w:rsidRPr="0065275A">
        <w:rPr>
          <w:rFonts w:ascii="Times New Roman" w:hAnsi="Times New Roman" w:cs="Times New Roman"/>
          <w:sz w:val="24"/>
          <w:szCs w:val="24"/>
        </w:rPr>
        <w:t xml:space="preserve">Corporate governance mechanisms broadly comprise </w:t>
      </w:r>
      <w:r w:rsidRPr="0065275A">
        <w:rPr>
          <w:rFonts w:ascii="Times New Roman" w:hAnsi="Times New Roman" w:cs="Times New Roman"/>
          <w:bCs/>
          <w:sz w:val="24"/>
          <w:szCs w:val="24"/>
        </w:rPr>
        <w:t>internal</w:t>
      </w:r>
      <w:r w:rsidRPr="0065275A">
        <w:rPr>
          <w:rFonts w:ascii="Times New Roman" w:hAnsi="Times New Roman" w:cs="Times New Roman"/>
          <w:sz w:val="24"/>
          <w:szCs w:val="24"/>
        </w:rPr>
        <w:t xml:space="preserve"> and </w:t>
      </w:r>
      <w:r w:rsidRPr="0065275A">
        <w:rPr>
          <w:rFonts w:ascii="Times New Roman" w:hAnsi="Times New Roman" w:cs="Times New Roman"/>
          <w:bCs/>
          <w:sz w:val="24"/>
          <w:szCs w:val="24"/>
        </w:rPr>
        <w:t>external</w:t>
      </w:r>
      <w:r w:rsidRPr="0065275A">
        <w:rPr>
          <w:rFonts w:ascii="Times New Roman" w:hAnsi="Times New Roman" w:cs="Times New Roman"/>
          <w:sz w:val="24"/>
          <w:szCs w:val="24"/>
        </w:rPr>
        <w:t xml:space="preserve"> mechanisms. Internal governance mechanisms include board of directors’ characteristics, audit committees, managerial controls</w:t>
      </w:r>
      <w:r w:rsidR="004D4997">
        <w:rPr>
          <w:rFonts w:ascii="Times New Roman" w:hAnsi="Times New Roman" w:cs="Times New Roman"/>
          <w:sz w:val="24"/>
          <w:szCs w:val="24"/>
        </w:rPr>
        <w:t xml:space="preserve"> and </w:t>
      </w:r>
      <w:r w:rsidRPr="0065275A">
        <w:rPr>
          <w:rFonts w:ascii="Times New Roman" w:hAnsi="Times New Roman" w:cs="Times New Roman"/>
          <w:sz w:val="24"/>
          <w:szCs w:val="24"/>
        </w:rPr>
        <w:t>ownership structure. These mechanisms directly influence strategic decisions, monitoring effectiveness</w:t>
      </w:r>
      <w:r w:rsidR="004D4997">
        <w:rPr>
          <w:rFonts w:ascii="Times New Roman" w:hAnsi="Times New Roman" w:cs="Times New Roman"/>
          <w:sz w:val="24"/>
          <w:szCs w:val="24"/>
        </w:rPr>
        <w:t xml:space="preserve"> and </w:t>
      </w:r>
      <w:r w:rsidRPr="0065275A">
        <w:rPr>
          <w:rFonts w:ascii="Times New Roman" w:hAnsi="Times New Roman" w:cs="Times New Roman"/>
          <w:sz w:val="24"/>
          <w:szCs w:val="24"/>
        </w:rPr>
        <w:t>disclosure practices within firms (Corporate Governance and Sustainability Reporting Quality, 2022). For example, an independent and diverse board of directors enhances oversight functions and reduces information asymmetry between management and stakeholders, thereby improving transparency and accountability.</w:t>
      </w:r>
    </w:p>
    <w:p w:rsidR="0065275A" w:rsidRPr="0065275A" w:rsidRDefault="0065275A" w:rsidP="0065275A">
      <w:pPr>
        <w:spacing w:after="0" w:line="360" w:lineRule="auto"/>
        <w:jc w:val="both"/>
        <w:rPr>
          <w:rFonts w:ascii="Times New Roman" w:hAnsi="Times New Roman" w:cs="Times New Roman"/>
          <w:sz w:val="24"/>
          <w:szCs w:val="24"/>
        </w:rPr>
      </w:pPr>
      <w:r w:rsidRPr="0065275A">
        <w:rPr>
          <w:rFonts w:ascii="Times New Roman" w:hAnsi="Times New Roman" w:cs="Times New Roman"/>
          <w:sz w:val="24"/>
          <w:szCs w:val="24"/>
        </w:rPr>
        <w:t>External corporate governance mechanisms include regulatory frameworks, capital market discipline, institutional investors</w:t>
      </w:r>
      <w:r w:rsidR="004D4997">
        <w:rPr>
          <w:rFonts w:ascii="Times New Roman" w:hAnsi="Times New Roman" w:cs="Times New Roman"/>
          <w:sz w:val="24"/>
          <w:szCs w:val="24"/>
        </w:rPr>
        <w:t xml:space="preserve"> and </w:t>
      </w:r>
      <w:r w:rsidRPr="0065275A">
        <w:rPr>
          <w:rFonts w:ascii="Times New Roman" w:hAnsi="Times New Roman" w:cs="Times New Roman"/>
          <w:sz w:val="24"/>
          <w:szCs w:val="24"/>
        </w:rPr>
        <w:t>legal enforcement systems. These external forces complement internal mechanisms by compelling firms to comply with governance standards and disclosure requirements (</w:t>
      </w:r>
      <w:proofErr w:type="spellStart"/>
      <w:r w:rsidRPr="0065275A">
        <w:rPr>
          <w:rFonts w:ascii="Times New Roman" w:hAnsi="Times New Roman" w:cs="Times New Roman"/>
          <w:sz w:val="24"/>
          <w:szCs w:val="24"/>
        </w:rPr>
        <w:t>Danescu</w:t>
      </w:r>
      <w:proofErr w:type="spellEnd"/>
      <w:r w:rsidRPr="0065275A">
        <w:rPr>
          <w:rFonts w:ascii="Times New Roman" w:hAnsi="Times New Roman" w:cs="Times New Roman"/>
          <w:sz w:val="24"/>
          <w:szCs w:val="24"/>
        </w:rPr>
        <w:t xml:space="preserve"> et al., 2021). In Nigeria, regulatory initiatives by the Financial Reporting Council of Nigeria (FRCN) and the Nigerian Exchange Group (NGX) have reinforced the role of governance mechanisms in improving sustainability and non-financial disclosures among listed manufacturing firms.</w:t>
      </w:r>
    </w:p>
    <w:p w:rsidR="0065275A" w:rsidRPr="0065275A" w:rsidRDefault="0065275A" w:rsidP="0065275A">
      <w:pPr>
        <w:spacing w:after="0" w:line="360" w:lineRule="auto"/>
        <w:jc w:val="both"/>
        <w:rPr>
          <w:rFonts w:ascii="Times New Roman" w:hAnsi="Times New Roman" w:cs="Times New Roman"/>
          <w:b/>
          <w:bCs/>
          <w:sz w:val="24"/>
          <w:szCs w:val="24"/>
        </w:rPr>
      </w:pPr>
      <w:r w:rsidRPr="0065275A">
        <w:rPr>
          <w:rFonts w:ascii="Times New Roman" w:hAnsi="Times New Roman" w:cs="Times New Roman"/>
          <w:b/>
          <w:bCs/>
          <w:sz w:val="24"/>
          <w:szCs w:val="24"/>
        </w:rPr>
        <w:t>2.1.2 Board of Directors’ Nationality</w:t>
      </w:r>
    </w:p>
    <w:p w:rsidR="0065275A" w:rsidRPr="0065275A" w:rsidRDefault="0065275A" w:rsidP="0065275A">
      <w:pPr>
        <w:spacing w:after="0" w:line="360" w:lineRule="auto"/>
        <w:jc w:val="both"/>
        <w:rPr>
          <w:rFonts w:ascii="Times New Roman" w:hAnsi="Times New Roman" w:cs="Times New Roman"/>
          <w:sz w:val="24"/>
          <w:szCs w:val="24"/>
        </w:rPr>
      </w:pPr>
      <w:r w:rsidRPr="0065275A">
        <w:rPr>
          <w:rFonts w:ascii="Times New Roman" w:hAnsi="Times New Roman" w:cs="Times New Roman"/>
          <w:sz w:val="24"/>
          <w:szCs w:val="24"/>
        </w:rPr>
        <w:t>Board nationality refers to the presence of directors from different national backgrounds on a firm’s board. It is an important dimension of board diversity that influences strategic orientation, decision-making quality</w:t>
      </w:r>
      <w:r w:rsidR="004D4997">
        <w:rPr>
          <w:rFonts w:ascii="Times New Roman" w:hAnsi="Times New Roman" w:cs="Times New Roman"/>
          <w:sz w:val="24"/>
          <w:szCs w:val="24"/>
        </w:rPr>
        <w:t xml:space="preserve"> and </w:t>
      </w:r>
      <w:r w:rsidRPr="0065275A">
        <w:rPr>
          <w:rFonts w:ascii="Times New Roman" w:hAnsi="Times New Roman" w:cs="Times New Roman"/>
          <w:sz w:val="24"/>
          <w:szCs w:val="24"/>
        </w:rPr>
        <w:t>corporate disclosure practices. In manufacturing firms operating in increasingly globalized markets, nationality diversity on corporate boards enhances access to international knowledge, global best practices</w:t>
      </w:r>
      <w:r w:rsidR="004D4997">
        <w:rPr>
          <w:rFonts w:ascii="Times New Roman" w:hAnsi="Times New Roman" w:cs="Times New Roman"/>
          <w:sz w:val="24"/>
          <w:szCs w:val="24"/>
        </w:rPr>
        <w:t xml:space="preserve"> and </w:t>
      </w:r>
      <w:r w:rsidRPr="0065275A">
        <w:rPr>
          <w:rFonts w:ascii="Times New Roman" w:hAnsi="Times New Roman" w:cs="Times New Roman"/>
          <w:sz w:val="24"/>
          <w:szCs w:val="24"/>
        </w:rPr>
        <w:t>cross-border networks (Chen et al., 2024).</w:t>
      </w:r>
    </w:p>
    <w:p w:rsidR="0065275A" w:rsidRPr="0065275A" w:rsidRDefault="0065275A" w:rsidP="0065275A">
      <w:pPr>
        <w:spacing w:after="0" w:line="360" w:lineRule="auto"/>
        <w:jc w:val="both"/>
        <w:rPr>
          <w:rFonts w:ascii="Times New Roman" w:hAnsi="Times New Roman" w:cs="Times New Roman"/>
          <w:sz w:val="24"/>
          <w:szCs w:val="24"/>
        </w:rPr>
      </w:pPr>
      <w:r w:rsidRPr="0065275A">
        <w:rPr>
          <w:rFonts w:ascii="Times New Roman" w:hAnsi="Times New Roman" w:cs="Times New Roman"/>
          <w:sz w:val="24"/>
          <w:szCs w:val="24"/>
        </w:rPr>
        <w:t xml:space="preserve">Directors of foreign nationality are often exposed to advanced sustainability frameworks and international reporting standards, such as the Global Reporting Initiative (GRI). As a result, they may advocate for more comprehensive sustainability reporting practices to align firms with global expectations and improve legitimacy in international markets (Naim &amp; </w:t>
      </w:r>
      <w:proofErr w:type="spellStart"/>
      <w:r w:rsidRPr="0065275A">
        <w:rPr>
          <w:rFonts w:ascii="Times New Roman" w:hAnsi="Times New Roman" w:cs="Times New Roman"/>
          <w:sz w:val="24"/>
          <w:szCs w:val="24"/>
        </w:rPr>
        <w:t>Alomair</w:t>
      </w:r>
      <w:proofErr w:type="spellEnd"/>
      <w:r w:rsidRPr="0065275A">
        <w:rPr>
          <w:rFonts w:ascii="Times New Roman" w:hAnsi="Times New Roman" w:cs="Times New Roman"/>
          <w:sz w:val="24"/>
          <w:szCs w:val="24"/>
        </w:rPr>
        <w:t>, 2024). Empirical studies suggest that firms with internationally diverse boards tend to exhibit higher-qua</w:t>
      </w:r>
      <w:r>
        <w:rPr>
          <w:rFonts w:ascii="Times New Roman" w:hAnsi="Times New Roman" w:cs="Times New Roman"/>
          <w:sz w:val="24"/>
          <w:szCs w:val="24"/>
        </w:rPr>
        <w:t>lity sustainability disclosures</w:t>
      </w:r>
      <w:r w:rsidRPr="0065275A">
        <w:rPr>
          <w:rFonts w:ascii="Times New Roman" w:hAnsi="Times New Roman" w:cs="Times New Roman"/>
          <w:sz w:val="24"/>
          <w:szCs w:val="24"/>
        </w:rPr>
        <w:t xml:space="preserve"> as such boards incorporate broader perspectives on environmental responsibility, social accountability</w:t>
      </w:r>
      <w:r w:rsidR="004D4997">
        <w:rPr>
          <w:rFonts w:ascii="Times New Roman" w:hAnsi="Times New Roman" w:cs="Times New Roman"/>
          <w:sz w:val="24"/>
          <w:szCs w:val="24"/>
        </w:rPr>
        <w:t xml:space="preserve"> and </w:t>
      </w:r>
      <w:r w:rsidRPr="0065275A">
        <w:rPr>
          <w:rFonts w:ascii="Times New Roman" w:hAnsi="Times New Roman" w:cs="Times New Roman"/>
          <w:sz w:val="24"/>
          <w:szCs w:val="24"/>
        </w:rPr>
        <w:t>governance ethics.</w:t>
      </w:r>
    </w:p>
    <w:p w:rsidR="0065275A" w:rsidRPr="0065275A" w:rsidRDefault="0065275A" w:rsidP="0065275A">
      <w:pPr>
        <w:spacing w:after="0" w:line="360" w:lineRule="auto"/>
        <w:jc w:val="both"/>
        <w:rPr>
          <w:rFonts w:ascii="Times New Roman" w:hAnsi="Times New Roman" w:cs="Times New Roman"/>
          <w:sz w:val="24"/>
          <w:szCs w:val="24"/>
        </w:rPr>
      </w:pPr>
      <w:r w:rsidRPr="0065275A">
        <w:rPr>
          <w:rFonts w:ascii="Times New Roman" w:hAnsi="Times New Roman" w:cs="Times New Roman"/>
          <w:sz w:val="24"/>
          <w:szCs w:val="24"/>
        </w:rPr>
        <w:lastRenderedPageBreak/>
        <w:t>Within the context of Nigerian listed manufacturing firms, board nationality diversity is increasingly relevant due to foreign investments, export-oriented operations</w:t>
      </w:r>
      <w:r w:rsidR="004D4997">
        <w:rPr>
          <w:rFonts w:ascii="Times New Roman" w:hAnsi="Times New Roman" w:cs="Times New Roman"/>
          <w:sz w:val="24"/>
          <w:szCs w:val="24"/>
        </w:rPr>
        <w:t xml:space="preserve"> and </w:t>
      </w:r>
      <w:r w:rsidRPr="0065275A">
        <w:rPr>
          <w:rFonts w:ascii="Times New Roman" w:hAnsi="Times New Roman" w:cs="Times New Roman"/>
          <w:sz w:val="24"/>
          <w:szCs w:val="24"/>
        </w:rPr>
        <w:t>multinational ownership structures. Nationality-diverse boards therefore play a strategic role in strengthening sustainability reporting practices by integrating global sustainability norms into local corporate governance systems.</w:t>
      </w:r>
    </w:p>
    <w:p w:rsidR="0065275A" w:rsidRPr="0065275A" w:rsidRDefault="0065275A" w:rsidP="0065275A">
      <w:pPr>
        <w:spacing w:after="0" w:line="360" w:lineRule="auto"/>
        <w:jc w:val="both"/>
        <w:rPr>
          <w:rFonts w:ascii="Times New Roman" w:hAnsi="Times New Roman" w:cs="Times New Roman"/>
          <w:b/>
          <w:bCs/>
          <w:sz w:val="24"/>
          <w:szCs w:val="24"/>
        </w:rPr>
      </w:pPr>
      <w:r w:rsidRPr="0065275A">
        <w:rPr>
          <w:rFonts w:ascii="Times New Roman" w:hAnsi="Times New Roman" w:cs="Times New Roman"/>
          <w:b/>
          <w:bCs/>
          <w:sz w:val="24"/>
          <w:szCs w:val="24"/>
        </w:rPr>
        <w:t>2.1.3 Board of Directors’ Reputational Capital</w:t>
      </w:r>
    </w:p>
    <w:p w:rsidR="0065275A" w:rsidRPr="0065275A" w:rsidRDefault="0065275A" w:rsidP="0065275A">
      <w:pPr>
        <w:spacing w:after="0" w:line="360" w:lineRule="auto"/>
        <w:jc w:val="both"/>
        <w:rPr>
          <w:rFonts w:ascii="Times New Roman" w:hAnsi="Times New Roman" w:cs="Times New Roman"/>
          <w:sz w:val="24"/>
          <w:szCs w:val="24"/>
        </w:rPr>
      </w:pPr>
      <w:r w:rsidRPr="0065275A">
        <w:rPr>
          <w:rFonts w:ascii="Times New Roman" w:hAnsi="Times New Roman" w:cs="Times New Roman"/>
          <w:sz w:val="24"/>
          <w:szCs w:val="24"/>
        </w:rPr>
        <w:t>Board directors’ reputational capital refers to the collective perception of directors’ credibility, integrity, experience</w:t>
      </w:r>
      <w:r w:rsidR="004D4997">
        <w:rPr>
          <w:rFonts w:ascii="Times New Roman" w:hAnsi="Times New Roman" w:cs="Times New Roman"/>
          <w:sz w:val="24"/>
          <w:szCs w:val="24"/>
        </w:rPr>
        <w:t xml:space="preserve"> and </w:t>
      </w:r>
      <w:r w:rsidRPr="0065275A">
        <w:rPr>
          <w:rFonts w:ascii="Times New Roman" w:hAnsi="Times New Roman" w:cs="Times New Roman"/>
          <w:sz w:val="24"/>
          <w:szCs w:val="24"/>
        </w:rPr>
        <w:t>professional standing as assessed by stakeholders. It represents an intangible governance asset that enhances stakeholder confidence and influences corporate decision-making (</w:t>
      </w:r>
      <w:proofErr w:type="spellStart"/>
      <w:r w:rsidRPr="0065275A">
        <w:rPr>
          <w:rFonts w:ascii="Times New Roman" w:hAnsi="Times New Roman" w:cs="Times New Roman"/>
          <w:sz w:val="24"/>
          <w:szCs w:val="24"/>
        </w:rPr>
        <w:t>Okpamen</w:t>
      </w:r>
      <w:proofErr w:type="spellEnd"/>
      <w:r w:rsidRPr="0065275A">
        <w:rPr>
          <w:rFonts w:ascii="Times New Roman" w:hAnsi="Times New Roman" w:cs="Times New Roman"/>
          <w:sz w:val="24"/>
          <w:szCs w:val="24"/>
        </w:rPr>
        <w:t xml:space="preserve"> &amp; Ogbeide, 2020). In manufacturing firms, where environmental and social risks are prominent, the reputational standing of board members can significantly shape sustainability priorities and disclosure practices.</w:t>
      </w:r>
    </w:p>
    <w:p w:rsidR="0065275A" w:rsidRPr="0065275A" w:rsidRDefault="0065275A" w:rsidP="0065275A">
      <w:pPr>
        <w:spacing w:after="0" w:line="360" w:lineRule="auto"/>
        <w:jc w:val="both"/>
        <w:rPr>
          <w:rFonts w:ascii="Times New Roman" w:hAnsi="Times New Roman" w:cs="Times New Roman"/>
          <w:sz w:val="24"/>
          <w:szCs w:val="24"/>
        </w:rPr>
      </w:pPr>
      <w:r w:rsidRPr="0065275A">
        <w:rPr>
          <w:rFonts w:ascii="Times New Roman" w:hAnsi="Times New Roman" w:cs="Times New Roman"/>
          <w:sz w:val="24"/>
          <w:szCs w:val="24"/>
        </w:rPr>
        <w:t xml:space="preserve">Directors with strong reputational capital are often associated with high ethical standards, </w:t>
      </w:r>
      <w:r>
        <w:rPr>
          <w:rFonts w:ascii="Times New Roman" w:hAnsi="Times New Roman" w:cs="Times New Roman"/>
          <w:sz w:val="24"/>
          <w:szCs w:val="24"/>
        </w:rPr>
        <w:t>extensive professional networks</w:t>
      </w:r>
      <w:r w:rsidRPr="0065275A">
        <w:rPr>
          <w:rFonts w:ascii="Times New Roman" w:hAnsi="Times New Roman" w:cs="Times New Roman"/>
          <w:sz w:val="24"/>
          <w:szCs w:val="24"/>
        </w:rPr>
        <w:t xml:space="preserve"> and prior governance experience. Such directors are more likely to promo</w:t>
      </w:r>
      <w:r>
        <w:rPr>
          <w:rFonts w:ascii="Times New Roman" w:hAnsi="Times New Roman" w:cs="Times New Roman"/>
          <w:sz w:val="24"/>
          <w:szCs w:val="24"/>
        </w:rPr>
        <w:t>te transparency, accountability</w:t>
      </w:r>
      <w:r w:rsidRPr="0065275A">
        <w:rPr>
          <w:rFonts w:ascii="Times New Roman" w:hAnsi="Times New Roman" w:cs="Times New Roman"/>
          <w:sz w:val="24"/>
          <w:szCs w:val="24"/>
        </w:rPr>
        <w:t xml:space="preserve"> and adherence to sustainability reporting standards in order to protect their personal and professional reputations (Khalaf, 2024). Their involvement signals credib</w:t>
      </w:r>
      <w:r>
        <w:rPr>
          <w:rFonts w:ascii="Times New Roman" w:hAnsi="Times New Roman" w:cs="Times New Roman"/>
          <w:sz w:val="24"/>
          <w:szCs w:val="24"/>
        </w:rPr>
        <w:t>ility to investors, regulators</w:t>
      </w:r>
      <w:r w:rsidRPr="0065275A">
        <w:rPr>
          <w:rFonts w:ascii="Times New Roman" w:hAnsi="Times New Roman" w:cs="Times New Roman"/>
          <w:sz w:val="24"/>
          <w:szCs w:val="24"/>
        </w:rPr>
        <w:t xml:space="preserve"> and communities, thereby strengthening the firm’s legitimacy.</w:t>
      </w:r>
    </w:p>
    <w:p w:rsidR="0065275A" w:rsidRPr="0065275A" w:rsidRDefault="0065275A" w:rsidP="0065275A">
      <w:pPr>
        <w:spacing w:after="0" w:line="360" w:lineRule="auto"/>
        <w:jc w:val="both"/>
        <w:rPr>
          <w:rFonts w:ascii="Times New Roman" w:hAnsi="Times New Roman" w:cs="Times New Roman"/>
          <w:sz w:val="24"/>
          <w:szCs w:val="24"/>
        </w:rPr>
      </w:pPr>
      <w:r w:rsidRPr="0065275A">
        <w:rPr>
          <w:rFonts w:ascii="Times New Roman" w:hAnsi="Times New Roman" w:cs="Times New Roman"/>
          <w:sz w:val="24"/>
          <w:szCs w:val="24"/>
        </w:rPr>
        <w:t>Empirical evidence indicates that firms with reputable board members tend to disclose sustainability information more extensively, as reputationally conscious directors emphasize long-term value creation and risk mitigation (Fredriksson et al., 2020). In the manufacturing sector, reputational capital can therefore serve as a governance mechanism that encourages meaningful sustainability reporting rather than symbolic compliance.</w:t>
      </w:r>
    </w:p>
    <w:p w:rsidR="0065275A" w:rsidRPr="008A5819" w:rsidRDefault="0065275A" w:rsidP="0065275A">
      <w:pPr>
        <w:spacing w:after="0" w:line="360" w:lineRule="auto"/>
        <w:jc w:val="both"/>
        <w:rPr>
          <w:rFonts w:ascii="Times New Roman" w:hAnsi="Times New Roman" w:cs="Times New Roman"/>
          <w:b/>
          <w:bCs/>
          <w:sz w:val="24"/>
          <w:szCs w:val="24"/>
        </w:rPr>
      </w:pPr>
      <w:r w:rsidRPr="008A5819">
        <w:rPr>
          <w:rFonts w:ascii="Times New Roman" w:hAnsi="Times New Roman" w:cs="Times New Roman"/>
          <w:b/>
          <w:bCs/>
          <w:sz w:val="24"/>
          <w:szCs w:val="24"/>
        </w:rPr>
        <w:t>2.1.4 Sustainability Reporting</w:t>
      </w:r>
    </w:p>
    <w:p w:rsidR="0065275A" w:rsidRPr="008A5819" w:rsidRDefault="0065275A" w:rsidP="0065275A">
      <w:pPr>
        <w:spacing w:after="0" w:line="360" w:lineRule="auto"/>
        <w:jc w:val="both"/>
        <w:rPr>
          <w:rFonts w:ascii="Times New Roman" w:hAnsi="Times New Roman" w:cs="Times New Roman"/>
          <w:sz w:val="24"/>
          <w:szCs w:val="24"/>
        </w:rPr>
      </w:pPr>
      <w:r w:rsidRPr="008A5819">
        <w:rPr>
          <w:rFonts w:ascii="Times New Roman" w:hAnsi="Times New Roman" w:cs="Times New Roman"/>
          <w:sz w:val="24"/>
          <w:szCs w:val="24"/>
        </w:rPr>
        <w:t>Sustainability reporting involves the disclosure of information on a firm’s environmental, social</w:t>
      </w:r>
      <w:r w:rsidR="004D4997">
        <w:rPr>
          <w:rFonts w:ascii="Times New Roman" w:hAnsi="Times New Roman" w:cs="Times New Roman"/>
          <w:sz w:val="24"/>
          <w:szCs w:val="24"/>
        </w:rPr>
        <w:t xml:space="preserve"> and </w:t>
      </w:r>
      <w:r w:rsidRPr="008A5819">
        <w:rPr>
          <w:rFonts w:ascii="Times New Roman" w:hAnsi="Times New Roman" w:cs="Times New Roman"/>
          <w:sz w:val="24"/>
          <w:szCs w:val="24"/>
        </w:rPr>
        <w:t>governance (ESG) performance alongside traditional financial statements. It enables stakeholders to assess how organizations manage sustainability-related risks and opportunities that affect long-term value creation (Corporate Governance and Sustainability Reporting Quality, 2022). For manufacturing firms, sustainability reporting is particularly critical due to their environmental emissions, resource consumption, waste generation</w:t>
      </w:r>
      <w:r w:rsidR="004D4997">
        <w:rPr>
          <w:rFonts w:ascii="Times New Roman" w:hAnsi="Times New Roman" w:cs="Times New Roman"/>
          <w:sz w:val="24"/>
          <w:szCs w:val="24"/>
        </w:rPr>
        <w:t xml:space="preserve"> and </w:t>
      </w:r>
      <w:proofErr w:type="spellStart"/>
      <w:r w:rsidRPr="008A5819">
        <w:rPr>
          <w:rFonts w:ascii="Times New Roman" w:hAnsi="Times New Roman" w:cs="Times New Roman"/>
          <w:sz w:val="24"/>
          <w:szCs w:val="24"/>
        </w:rPr>
        <w:t>labour</w:t>
      </w:r>
      <w:proofErr w:type="spellEnd"/>
      <w:r w:rsidRPr="008A5819">
        <w:rPr>
          <w:rFonts w:ascii="Times New Roman" w:hAnsi="Times New Roman" w:cs="Times New Roman"/>
          <w:sz w:val="24"/>
          <w:szCs w:val="24"/>
        </w:rPr>
        <w:t>-related challenges.</w:t>
      </w:r>
    </w:p>
    <w:p w:rsidR="0065275A" w:rsidRPr="008A5819" w:rsidRDefault="0065275A" w:rsidP="0065275A">
      <w:pPr>
        <w:spacing w:after="0" w:line="360" w:lineRule="auto"/>
        <w:jc w:val="both"/>
        <w:rPr>
          <w:rFonts w:ascii="Times New Roman" w:hAnsi="Times New Roman" w:cs="Times New Roman"/>
          <w:sz w:val="24"/>
          <w:szCs w:val="24"/>
        </w:rPr>
      </w:pPr>
      <w:r w:rsidRPr="008A5819">
        <w:rPr>
          <w:rFonts w:ascii="Times New Roman" w:hAnsi="Times New Roman" w:cs="Times New Roman"/>
          <w:sz w:val="24"/>
          <w:szCs w:val="24"/>
        </w:rPr>
        <w:lastRenderedPageBreak/>
        <w:t>In Nigeria, sustainability reporting among listed manufacturing firms is still at a developmental stage. While some firms have adopted sustainability disclosures voluntarily, the quality and consistency of reporting remain uneven. Studies indicate that Nigerian manufacturing firms tend to emphasize social disclosures more than environmental disclosures, often due to the higher costs associated with environmental compliance (Razaq et al., 2023).</w:t>
      </w:r>
    </w:p>
    <w:p w:rsidR="0065275A" w:rsidRPr="008A5819" w:rsidRDefault="0065275A" w:rsidP="0065275A">
      <w:pPr>
        <w:spacing w:after="0" w:line="360" w:lineRule="auto"/>
        <w:jc w:val="both"/>
        <w:rPr>
          <w:rFonts w:ascii="Times New Roman" w:hAnsi="Times New Roman" w:cs="Times New Roman"/>
          <w:sz w:val="24"/>
          <w:szCs w:val="24"/>
        </w:rPr>
      </w:pPr>
      <w:r w:rsidRPr="008A5819">
        <w:rPr>
          <w:rFonts w:ascii="Times New Roman" w:hAnsi="Times New Roman" w:cs="Times New Roman"/>
          <w:sz w:val="24"/>
          <w:szCs w:val="24"/>
        </w:rPr>
        <w:t>Despite these challenges, sustainability reporting offers manufacturing firms’ strategic benefits, including improved stakeholder trust, enhanced corporate reputation and better access to capital. As regulatory attention to ESG issues increases globally, sustainability reporting has become a vital tool for Nigerian manufacturing firms seeking long-term competitiveness and legitimacy.</w:t>
      </w:r>
    </w:p>
    <w:p w:rsidR="0065275A" w:rsidRPr="008A5819" w:rsidRDefault="0065275A" w:rsidP="0065275A">
      <w:pPr>
        <w:spacing w:after="0" w:line="360" w:lineRule="auto"/>
        <w:jc w:val="both"/>
        <w:rPr>
          <w:rFonts w:ascii="Times New Roman" w:hAnsi="Times New Roman" w:cs="Times New Roman"/>
          <w:b/>
          <w:bCs/>
          <w:sz w:val="24"/>
          <w:szCs w:val="24"/>
        </w:rPr>
      </w:pPr>
      <w:r w:rsidRPr="008A5819">
        <w:rPr>
          <w:rFonts w:ascii="Times New Roman" w:hAnsi="Times New Roman" w:cs="Times New Roman"/>
          <w:b/>
          <w:bCs/>
          <w:sz w:val="24"/>
          <w:szCs w:val="24"/>
        </w:rPr>
        <w:t>2.2 Theoretical Framework</w:t>
      </w:r>
    </w:p>
    <w:p w:rsidR="0065275A" w:rsidRPr="008A5819" w:rsidRDefault="0065275A" w:rsidP="0065275A">
      <w:pPr>
        <w:spacing w:after="0" w:line="360" w:lineRule="auto"/>
        <w:jc w:val="both"/>
        <w:rPr>
          <w:rFonts w:ascii="Times New Roman" w:hAnsi="Times New Roman" w:cs="Times New Roman"/>
          <w:sz w:val="24"/>
          <w:szCs w:val="24"/>
        </w:rPr>
      </w:pPr>
      <w:r w:rsidRPr="008A5819">
        <w:rPr>
          <w:rFonts w:ascii="Times New Roman" w:hAnsi="Times New Roman" w:cs="Times New Roman"/>
          <w:sz w:val="24"/>
          <w:szCs w:val="24"/>
        </w:rPr>
        <w:t xml:space="preserve">This study is anchored on </w:t>
      </w:r>
      <w:r w:rsidRPr="00AF60D8">
        <w:rPr>
          <w:rFonts w:ascii="Times New Roman" w:hAnsi="Times New Roman" w:cs="Times New Roman"/>
          <w:bCs/>
          <w:sz w:val="24"/>
          <w:szCs w:val="24"/>
        </w:rPr>
        <w:t>Stakeholder Theory</w:t>
      </w:r>
      <w:r w:rsidRPr="008A5819">
        <w:rPr>
          <w:rFonts w:ascii="Times New Roman" w:hAnsi="Times New Roman" w:cs="Times New Roman"/>
          <w:sz w:val="24"/>
          <w:szCs w:val="24"/>
        </w:rPr>
        <w:t>, originally proposed by Freeman (1984). The theory posits that firms have responsibilities not only to shareholders but also to a wide range of stakeholders, including employees, customers, suppliers, communities, regulators</w:t>
      </w:r>
      <w:r w:rsidR="004D4997">
        <w:rPr>
          <w:rFonts w:ascii="Times New Roman" w:hAnsi="Times New Roman" w:cs="Times New Roman"/>
          <w:sz w:val="24"/>
          <w:szCs w:val="24"/>
        </w:rPr>
        <w:t xml:space="preserve"> and </w:t>
      </w:r>
      <w:r w:rsidRPr="008A5819">
        <w:rPr>
          <w:rFonts w:ascii="Times New Roman" w:hAnsi="Times New Roman" w:cs="Times New Roman"/>
          <w:sz w:val="24"/>
          <w:szCs w:val="24"/>
        </w:rPr>
        <w:t>the environment. According to stakeholder theory, corporate governance mechanisms should integrate stakeholder interests into corporate decision-making to achieve sustainable organizational performance.</w:t>
      </w:r>
    </w:p>
    <w:p w:rsidR="0065275A" w:rsidRPr="008A5819" w:rsidRDefault="0065275A" w:rsidP="0065275A">
      <w:pPr>
        <w:spacing w:after="0" w:line="360" w:lineRule="auto"/>
        <w:jc w:val="both"/>
        <w:rPr>
          <w:rFonts w:ascii="Times New Roman" w:hAnsi="Times New Roman" w:cs="Times New Roman"/>
          <w:sz w:val="24"/>
          <w:szCs w:val="24"/>
        </w:rPr>
      </w:pPr>
      <w:r w:rsidRPr="008A5819">
        <w:rPr>
          <w:rFonts w:ascii="Times New Roman" w:hAnsi="Times New Roman" w:cs="Times New Roman"/>
          <w:sz w:val="24"/>
          <w:szCs w:val="24"/>
        </w:rPr>
        <w:t xml:space="preserve">Stakeholder theory provides a relevant framework for examining sustainability reporting in manufacturing firms, as such reporting serves as a communication channel through which firms demonstrate responsiveness to stakeholder expectations. Directors with high reputational capital are motivated to protect their standing by supporting transparent and credible sustainability disclosures that meet stakeholder information needs (Siddiqui et al., 2023). Similarly, boards with nationality </w:t>
      </w:r>
      <w:r w:rsidR="005E66E2" w:rsidRPr="008A5819">
        <w:rPr>
          <w:rFonts w:ascii="Times New Roman" w:hAnsi="Times New Roman" w:cs="Times New Roman"/>
          <w:sz w:val="24"/>
          <w:szCs w:val="24"/>
        </w:rPr>
        <w:t>diversity possess</w:t>
      </w:r>
      <w:r w:rsidRPr="008A5819">
        <w:rPr>
          <w:rFonts w:ascii="Times New Roman" w:hAnsi="Times New Roman" w:cs="Times New Roman"/>
          <w:sz w:val="24"/>
          <w:szCs w:val="24"/>
        </w:rPr>
        <w:t xml:space="preserve"> broader awareness of global stakeholder expectations, thereby encouraging improved sustainability reporting practices (</w:t>
      </w:r>
      <w:proofErr w:type="spellStart"/>
      <w:r w:rsidRPr="008A5819">
        <w:rPr>
          <w:rFonts w:ascii="Times New Roman" w:hAnsi="Times New Roman" w:cs="Times New Roman"/>
          <w:sz w:val="24"/>
          <w:szCs w:val="24"/>
        </w:rPr>
        <w:t>Sundarasen</w:t>
      </w:r>
      <w:proofErr w:type="spellEnd"/>
      <w:r w:rsidRPr="008A5819">
        <w:rPr>
          <w:rFonts w:ascii="Times New Roman" w:hAnsi="Times New Roman" w:cs="Times New Roman"/>
          <w:sz w:val="24"/>
          <w:szCs w:val="24"/>
        </w:rPr>
        <w:t xml:space="preserve"> et al., 2024).</w:t>
      </w:r>
    </w:p>
    <w:p w:rsidR="0065275A" w:rsidRDefault="0065275A" w:rsidP="0065275A">
      <w:pPr>
        <w:spacing w:after="0" w:line="360" w:lineRule="auto"/>
        <w:jc w:val="both"/>
        <w:rPr>
          <w:rFonts w:ascii="Times New Roman" w:hAnsi="Times New Roman" w:cs="Times New Roman"/>
          <w:sz w:val="24"/>
          <w:szCs w:val="24"/>
        </w:rPr>
      </w:pPr>
      <w:r w:rsidRPr="008A5819">
        <w:rPr>
          <w:rFonts w:ascii="Times New Roman" w:hAnsi="Times New Roman" w:cs="Times New Roman"/>
          <w:sz w:val="24"/>
          <w:szCs w:val="24"/>
        </w:rPr>
        <w:t>Within the Nigerian manufacturing sector, stakeholder theory explains how governance attributes—such as directors’ reputational capital and nationality diversity shapes sustainability reporting by aligning corporate actions with societal and environmental expectations. Firms with stakeholder-oriented governance structures are therefore more likely to disclose sustainability information that enhances trust, legitimacy</w:t>
      </w:r>
      <w:r w:rsidR="004D4997">
        <w:rPr>
          <w:rFonts w:ascii="Times New Roman" w:hAnsi="Times New Roman" w:cs="Times New Roman"/>
          <w:sz w:val="24"/>
          <w:szCs w:val="24"/>
        </w:rPr>
        <w:t xml:space="preserve"> and </w:t>
      </w:r>
      <w:r w:rsidRPr="008A5819">
        <w:rPr>
          <w:rFonts w:ascii="Times New Roman" w:hAnsi="Times New Roman" w:cs="Times New Roman"/>
          <w:sz w:val="24"/>
          <w:szCs w:val="24"/>
        </w:rPr>
        <w:t>long-term survival.</w:t>
      </w:r>
    </w:p>
    <w:p w:rsidR="00F10B3F" w:rsidRDefault="00F10B3F" w:rsidP="0065275A">
      <w:pPr>
        <w:spacing w:after="0" w:line="360" w:lineRule="auto"/>
        <w:jc w:val="both"/>
        <w:rPr>
          <w:rFonts w:ascii="Times New Roman" w:hAnsi="Times New Roman" w:cs="Times New Roman"/>
          <w:sz w:val="24"/>
          <w:szCs w:val="24"/>
        </w:rPr>
      </w:pPr>
    </w:p>
    <w:p w:rsidR="00F10B3F" w:rsidRPr="008A5819" w:rsidRDefault="00F10B3F" w:rsidP="0065275A">
      <w:pPr>
        <w:spacing w:after="0" w:line="360" w:lineRule="auto"/>
        <w:jc w:val="both"/>
        <w:rPr>
          <w:rFonts w:ascii="Times New Roman" w:hAnsi="Times New Roman" w:cs="Times New Roman"/>
          <w:sz w:val="24"/>
          <w:szCs w:val="24"/>
        </w:rPr>
      </w:pPr>
    </w:p>
    <w:p w:rsidR="0065275A" w:rsidRPr="008A5819" w:rsidRDefault="0065275A" w:rsidP="0065275A">
      <w:pPr>
        <w:spacing w:after="0" w:line="360" w:lineRule="auto"/>
        <w:jc w:val="both"/>
        <w:rPr>
          <w:rFonts w:ascii="Times New Roman" w:hAnsi="Times New Roman" w:cs="Times New Roman"/>
          <w:b/>
          <w:bCs/>
          <w:sz w:val="24"/>
          <w:szCs w:val="24"/>
        </w:rPr>
      </w:pPr>
    </w:p>
    <w:p w:rsidR="0065275A" w:rsidRPr="008A5819" w:rsidRDefault="0065275A" w:rsidP="0065275A">
      <w:pPr>
        <w:spacing w:after="0" w:line="360" w:lineRule="auto"/>
        <w:jc w:val="both"/>
        <w:rPr>
          <w:rFonts w:ascii="Times New Roman" w:hAnsi="Times New Roman" w:cs="Times New Roman"/>
          <w:b/>
          <w:bCs/>
          <w:sz w:val="24"/>
          <w:szCs w:val="24"/>
        </w:rPr>
      </w:pPr>
      <w:r w:rsidRPr="008A5819">
        <w:rPr>
          <w:rFonts w:ascii="Times New Roman" w:hAnsi="Times New Roman" w:cs="Times New Roman"/>
          <w:b/>
          <w:bCs/>
          <w:sz w:val="24"/>
          <w:szCs w:val="24"/>
        </w:rPr>
        <w:lastRenderedPageBreak/>
        <w:t>2.3 Empirical Review</w:t>
      </w:r>
    </w:p>
    <w:p w:rsidR="0065275A" w:rsidRPr="008A5819" w:rsidRDefault="0065275A" w:rsidP="0065275A">
      <w:pPr>
        <w:spacing w:after="0" w:line="360" w:lineRule="auto"/>
        <w:jc w:val="both"/>
        <w:rPr>
          <w:rFonts w:ascii="Times New Roman" w:hAnsi="Times New Roman" w:cs="Times New Roman"/>
          <w:sz w:val="24"/>
          <w:szCs w:val="24"/>
        </w:rPr>
      </w:pPr>
      <w:r w:rsidRPr="008A5819">
        <w:rPr>
          <w:rFonts w:ascii="Times New Roman" w:hAnsi="Times New Roman" w:cs="Times New Roman"/>
          <w:sz w:val="24"/>
          <w:szCs w:val="24"/>
        </w:rPr>
        <w:t>Empirical studies across different contexts provide evidence on the relationship between board characteristics and sustainability reporting. Abdelkader and Gao (2023), using system-GMM estimation on firms listed on the Johannesburg Stock Exchange, found that board nationality diversity positively influences ESG disclosure, with foreign ownership strengthening this relationship. Their findings suggest that internationally diverse boards enhance legitimacy and sustainability transparency.</w:t>
      </w:r>
    </w:p>
    <w:p w:rsidR="0065275A" w:rsidRPr="008A5819" w:rsidRDefault="0065275A" w:rsidP="0065275A">
      <w:pPr>
        <w:spacing w:after="0" w:line="360" w:lineRule="auto"/>
        <w:jc w:val="both"/>
        <w:rPr>
          <w:rFonts w:ascii="Times New Roman" w:hAnsi="Times New Roman" w:cs="Times New Roman"/>
          <w:sz w:val="24"/>
          <w:szCs w:val="24"/>
        </w:rPr>
      </w:pPr>
      <w:r w:rsidRPr="008A5819">
        <w:rPr>
          <w:rFonts w:ascii="Times New Roman" w:hAnsi="Times New Roman" w:cs="Times New Roman"/>
          <w:sz w:val="24"/>
          <w:szCs w:val="24"/>
        </w:rPr>
        <w:t>Similarly, Moran-Muñoz et al. (2024) examined European listed firms and reported that nationality diversity on corporate boards positively affects sustainability-related disclosure, although the strength of the relationship varies across institutional environments. These findings highlight the context-dependent nature of board diversity effects on sustainability reporting.</w:t>
      </w:r>
    </w:p>
    <w:p w:rsidR="0065275A" w:rsidRPr="008A5819" w:rsidRDefault="0065275A" w:rsidP="0065275A">
      <w:pPr>
        <w:spacing w:after="0" w:line="360" w:lineRule="auto"/>
        <w:jc w:val="both"/>
        <w:rPr>
          <w:rFonts w:ascii="Times New Roman" w:hAnsi="Times New Roman" w:cs="Times New Roman"/>
          <w:sz w:val="24"/>
          <w:szCs w:val="24"/>
        </w:rPr>
      </w:pPr>
      <w:r w:rsidRPr="008A5819">
        <w:rPr>
          <w:rFonts w:ascii="Times New Roman" w:hAnsi="Times New Roman" w:cs="Times New Roman"/>
          <w:sz w:val="24"/>
          <w:szCs w:val="24"/>
        </w:rPr>
        <w:t xml:space="preserve">Research on directors’ reputational capital also indicates a positive association with sustainability disclosure. Khalaf (2024) found that firms with high-quality governance attributes, including reputable board members, are more likely to adopt sustainability reporting practices. Piñeiro-Chousa et al. (2025) further noted that while director experience enhances ESG performance, excessive multiple directorships </w:t>
      </w:r>
      <w:r w:rsidR="00A60047" w:rsidRPr="008A5819">
        <w:rPr>
          <w:rFonts w:ascii="Times New Roman" w:hAnsi="Times New Roman" w:cs="Times New Roman"/>
          <w:sz w:val="24"/>
          <w:szCs w:val="24"/>
        </w:rPr>
        <w:t>weaken</w:t>
      </w:r>
      <w:r w:rsidRPr="008A5819">
        <w:rPr>
          <w:rFonts w:ascii="Times New Roman" w:hAnsi="Times New Roman" w:cs="Times New Roman"/>
          <w:sz w:val="24"/>
          <w:szCs w:val="24"/>
        </w:rPr>
        <w:t xml:space="preserve"> governance effectiveness, </w:t>
      </w:r>
      <w:r w:rsidR="004D4997">
        <w:rPr>
          <w:rFonts w:ascii="Times New Roman" w:hAnsi="Times New Roman" w:cs="Times New Roman"/>
          <w:sz w:val="24"/>
          <w:szCs w:val="24"/>
        </w:rPr>
        <w:t>showing</w:t>
      </w:r>
      <w:r w:rsidRPr="008A5819">
        <w:rPr>
          <w:rFonts w:ascii="Times New Roman" w:hAnsi="Times New Roman" w:cs="Times New Roman"/>
          <w:sz w:val="24"/>
          <w:szCs w:val="24"/>
        </w:rPr>
        <w:t xml:space="preserve"> that reputational capital can have both positive and constraining effects.</w:t>
      </w:r>
    </w:p>
    <w:p w:rsidR="0065275A" w:rsidRPr="008A5819" w:rsidRDefault="0065275A" w:rsidP="0065275A">
      <w:pPr>
        <w:spacing w:after="0" w:line="360" w:lineRule="auto"/>
        <w:jc w:val="both"/>
        <w:rPr>
          <w:rFonts w:ascii="Times New Roman" w:hAnsi="Times New Roman" w:cs="Times New Roman"/>
          <w:sz w:val="24"/>
          <w:szCs w:val="24"/>
        </w:rPr>
      </w:pPr>
      <w:r w:rsidRPr="008A5819">
        <w:rPr>
          <w:rFonts w:ascii="Times New Roman" w:hAnsi="Times New Roman" w:cs="Times New Roman"/>
          <w:sz w:val="24"/>
          <w:szCs w:val="24"/>
        </w:rPr>
        <w:t xml:space="preserve">Despite the growing global literature, empirical evidence focusing specifically on </w:t>
      </w:r>
      <w:r w:rsidRPr="008A5819">
        <w:rPr>
          <w:rFonts w:ascii="Times New Roman" w:hAnsi="Times New Roman" w:cs="Times New Roman"/>
          <w:bCs/>
          <w:sz w:val="24"/>
          <w:szCs w:val="24"/>
        </w:rPr>
        <w:t>listed manufacturing firms in Nigeria</w:t>
      </w:r>
      <w:r w:rsidRPr="008A5819">
        <w:rPr>
          <w:rFonts w:ascii="Times New Roman" w:hAnsi="Times New Roman" w:cs="Times New Roman"/>
          <w:sz w:val="24"/>
          <w:szCs w:val="24"/>
        </w:rPr>
        <w:t xml:space="preserve"> remains limited. Most existing studies examine non-financial firms collectively or focus on banking and insurance sectors. This gap underscores the need for sector-specific research that simultaneously examines board reputational capital, board nationality</w:t>
      </w:r>
      <w:r w:rsidR="004D4997">
        <w:rPr>
          <w:rFonts w:ascii="Times New Roman" w:hAnsi="Times New Roman" w:cs="Times New Roman"/>
          <w:sz w:val="24"/>
          <w:szCs w:val="24"/>
        </w:rPr>
        <w:t xml:space="preserve"> and </w:t>
      </w:r>
      <w:r w:rsidRPr="008A5819">
        <w:rPr>
          <w:rFonts w:ascii="Times New Roman" w:hAnsi="Times New Roman" w:cs="Times New Roman"/>
          <w:sz w:val="24"/>
          <w:szCs w:val="24"/>
        </w:rPr>
        <w:t>sustainability reporting practices within Nigeria’s manufacturing industry.</w:t>
      </w:r>
    </w:p>
    <w:p w:rsidR="008A5819" w:rsidRPr="008A5819" w:rsidRDefault="008A5819" w:rsidP="008A5819">
      <w:pPr>
        <w:spacing w:after="0" w:line="360" w:lineRule="auto"/>
        <w:jc w:val="both"/>
        <w:rPr>
          <w:rFonts w:ascii="Times New Roman" w:hAnsi="Times New Roman" w:cs="Times New Roman"/>
          <w:bCs/>
          <w:sz w:val="24"/>
          <w:szCs w:val="24"/>
        </w:rPr>
      </w:pPr>
      <w:r>
        <w:rPr>
          <w:rFonts w:ascii="Times New Roman" w:hAnsi="Times New Roman" w:cs="Times New Roman"/>
          <w:sz w:val="24"/>
          <w:szCs w:val="24"/>
        </w:rPr>
        <w:t>3</w:t>
      </w:r>
      <w:r w:rsidRPr="008A5819">
        <w:rPr>
          <w:rFonts w:ascii="Times New Roman" w:hAnsi="Times New Roman" w:cs="Times New Roman"/>
          <w:bCs/>
          <w:sz w:val="24"/>
          <w:szCs w:val="24"/>
        </w:rPr>
        <w:t>.</w:t>
      </w:r>
      <w:r>
        <w:rPr>
          <w:rFonts w:ascii="Times New Roman" w:hAnsi="Times New Roman" w:cs="Times New Roman"/>
          <w:bCs/>
          <w:sz w:val="24"/>
          <w:szCs w:val="24"/>
        </w:rPr>
        <w:t>1</w:t>
      </w:r>
      <w:r w:rsidRPr="008A5819">
        <w:rPr>
          <w:rFonts w:ascii="Times New Roman" w:hAnsi="Times New Roman" w:cs="Times New Roman"/>
          <w:bCs/>
          <w:sz w:val="24"/>
          <w:szCs w:val="24"/>
        </w:rPr>
        <w:t xml:space="preserve"> </w:t>
      </w:r>
      <w:r w:rsidRPr="00C41691">
        <w:rPr>
          <w:rFonts w:ascii="Times New Roman" w:hAnsi="Times New Roman" w:cs="Times New Roman"/>
          <w:b/>
          <w:bCs/>
          <w:sz w:val="24"/>
          <w:szCs w:val="24"/>
        </w:rPr>
        <w:t>Methodology</w:t>
      </w:r>
    </w:p>
    <w:p w:rsidR="00AF60D8" w:rsidRPr="00AF60D8" w:rsidRDefault="00AF60D8" w:rsidP="00AF60D8">
      <w:pPr>
        <w:spacing w:after="0" w:line="360" w:lineRule="auto"/>
        <w:jc w:val="both"/>
        <w:rPr>
          <w:rFonts w:ascii="Times New Roman" w:hAnsi="Times New Roman" w:cs="Times New Roman"/>
          <w:sz w:val="24"/>
          <w:szCs w:val="24"/>
        </w:rPr>
      </w:pPr>
      <w:r w:rsidRPr="00AF60D8">
        <w:rPr>
          <w:rFonts w:ascii="Times New Roman" w:hAnsi="Times New Roman" w:cs="Times New Roman"/>
          <w:sz w:val="24"/>
          <w:szCs w:val="24"/>
        </w:rPr>
        <w:t xml:space="preserve">This study adopted a </w:t>
      </w:r>
      <w:r w:rsidRPr="00AF60D8">
        <w:rPr>
          <w:rFonts w:ascii="Times New Roman" w:hAnsi="Times New Roman" w:cs="Times New Roman"/>
          <w:bCs/>
          <w:sz w:val="24"/>
          <w:szCs w:val="24"/>
        </w:rPr>
        <w:t>correlational and causal research design</w:t>
      </w:r>
      <w:r w:rsidRPr="00AF60D8">
        <w:rPr>
          <w:rFonts w:ascii="Times New Roman" w:hAnsi="Times New Roman" w:cs="Times New Roman"/>
          <w:sz w:val="24"/>
          <w:szCs w:val="24"/>
        </w:rPr>
        <w:t xml:space="preserve"> to investigate the effect of </w:t>
      </w:r>
      <w:r>
        <w:rPr>
          <w:rFonts w:ascii="Times New Roman" w:hAnsi="Times New Roman" w:cs="Times New Roman"/>
          <w:sz w:val="24"/>
          <w:szCs w:val="24"/>
        </w:rPr>
        <w:t xml:space="preserve">corporate governance mechanisms </w:t>
      </w:r>
      <w:r w:rsidRPr="00AF60D8">
        <w:rPr>
          <w:rFonts w:ascii="Times New Roman" w:hAnsi="Times New Roman" w:cs="Times New Roman"/>
          <w:sz w:val="24"/>
          <w:szCs w:val="24"/>
        </w:rPr>
        <w:t xml:space="preserve">specifically </w:t>
      </w:r>
      <w:r w:rsidRPr="00AF60D8">
        <w:rPr>
          <w:rFonts w:ascii="Times New Roman" w:hAnsi="Times New Roman" w:cs="Times New Roman"/>
          <w:bCs/>
          <w:sz w:val="24"/>
          <w:szCs w:val="24"/>
        </w:rPr>
        <w:t>board director nationality</w:t>
      </w:r>
      <w:r w:rsidRPr="00AF60D8">
        <w:rPr>
          <w:rFonts w:ascii="Times New Roman" w:hAnsi="Times New Roman" w:cs="Times New Roman"/>
          <w:sz w:val="24"/>
          <w:szCs w:val="24"/>
        </w:rPr>
        <w:t xml:space="preserve"> and </w:t>
      </w:r>
      <w:r w:rsidRPr="00AF60D8">
        <w:rPr>
          <w:rFonts w:ascii="Times New Roman" w:hAnsi="Times New Roman" w:cs="Times New Roman"/>
          <w:bCs/>
          <w:sz w:val="24"/>
          <w:szCs w:val="24"/>
        </w:rPr>
        <w:t>board director reputational capital</w:t>
      </w:r>
      <w:r>
        <w:rPr>
          <w:rFonts w:ascii="Times New Roman" w:hAnsi="Times New Roman" w:cs="Times New Roman"/>
          <w:sz w:val="24"/>
          <w:szCs w:val="24"/>
        </w:rPr>
        <w:t xml:space="preserve"> </w:t>
      </w:r>
      <w:r w:rsidRPr="00AF60D8">
        <w:rPr>
          <w:rFonts w:ascii="Times New Roman" w:hAnsi="Times New Roman" w:cs="Times New Roman"/>
          <w:sz w:val="24"/>
          <w:szCs w:val="24"/>
        </w:rPr>
        <w:t xml:space="preserve">on the </w:t>
      </w:r>
      <w:r w:rsidRPr="00AF60D8">
        <w:rPr>
          <w:rFonts w:ascii="Times New Roman" w:hAnsi="Times New Roman" w:cs="Times New Roman"/>
          <w:bCs/>
          <w:sz w:val="24"/>
          <w:szCs w:val="24"/>
        </w:rPr>
        <w:t>sustainability reporting practices of listed manufacturing firms in Nigeria</w:t>
      </w:r>
      <w:r w:rsidRPr="00AF60D8">
        <w:rPr>
          <w:rFonts w:ascii="Times New Roman" w:hAnsi="Times New Roman" w:cs="Times New Roman"/>
          <w:sz w:val="24"/>
          <w:szCs w:val="24"/>
        </w:rPr>
        <w:t xml:space="preserve">. This design is suitable for establishing both the </w:t>
      </w:r>
      <w:r w:rsidRPr="00AF60D8">
        <w:rPr>
          <w:rFonts w:ascii="Times New Roman" w:hAnsi="Times New Roman" w:cs="Times New Roman"/>
          <w:bCs/>
          <w:sz w:val="24"/>
          <w:szCs w:val="24"/>
        </w:rPr>
        <w:t>strength of relationships</w:t>
      </w:r>
      <w:r w:rsidRPr="00AF60D8">
        <w:rPr>
          <w:rFonts w:ascii="Times New Roman" w:hAnsi="Times New Roman" w:cs="Times New Roman"/>
          <w:sz w:val="24"/>
          <w:szCs w:val="24"/>
        </w:rPr>
        <w:t xml:space="preserve"> among variables and the </w:t>
      </w:r>
      <w:r w:rsidRPr="00AF60D8">
        <w:rPr>
          <w:rFonts w:ascii="Times New Roman" w:hAnsi="Times New Roman" w:cs="Times New Roman"/>
          <w:bCs/>
          <w:sz w:val="24"/>
          <w:szCs w:val="24"/>
        </w:rPr>
        <w:t>causal influence</w:t>
      </w:r>
      <w:r w:rsidRPr="00AF60D8">
        <w:rPr>
          <w:rFonts w:ascii="Times New Roman" w:hAnsi="Times New Roman" w:cs="Times New Roman"/>
          <w:sz w:val="24"/>
          <w:szCs w:val="24"/>
        </w:rPr>
        <w:t xml:space="preserve"> of governance attributes on sustainability reporting outcomes over time.</w:t>
      </w:r>
    </w:p>
    <w:p w:rsidR="00AF60D8" w:rsidRPr="00AF60D8" w:rsidRDefault="00AF60D8" w:rsidP="00AF60D8">
      <w:pPr>
        <w:spacing w:after="0" w:line="360" w:lineRule="auto"/>
        <w:jc w:val="both"/>
        <w:rPr>
          <w:rFonts w:ascii="Times New Roman" w:hAnsi="Times New Roman" w:cs="Times New Roman"/>
          <w:sz w:val="24"/>
          <w:szCs w:val="24"/>
        </w:rPr>
      </w:pPr>
      <w:r w:rsidRPr="00AF60D8">
        <w:rPr>
          <w:rFonts w:ascii="Times New Roman" w:hAnsi="Times New Roman" w:cs="Times New Roman"/>
          <w:sz w:val="24"/>
          <w:szCs w:val="24"/>
        </w:rPr>
        <w:t xml:space="preserve">The population of the study consisted of </w:t>
      </w:r>
      <w:r w:rsidRPr="00AF60D8">
        <w:rPr>
          <w:rFonts w:ascii="Times New Roman" w:hAnsi="Times New Roman" w:cs="Times New Roman"/>
          <w:bCs/>
          <w:sz w:val="24"/>
          <w:szCs w:val="24"/>
        </w:rPr>
        <w:t>twenty-seven (27) manufacturing firms listed on the Nigerian Exchange Group (NGX)</w:t>
      </w:r>
      <w:r w:rsidRPr="00AF60D8">
        <w:rPr>
          <w:rFonts w:ascii="Times New Roman" w:hAnsi="Times New Roman" w:cs="Times New Roman"/>
          <w:sz w:val="24"/>
          <w:szCs w:val="24"/>
        </w:rPr>
        <w:t xml:space="preserve"> as at the end of the study period. The study relied exclusively </w:t>
      </w:r>
      <w:r w:rsidRPr="00AF60D8">
        <w:rPr>
          <w:rFonts w:ascii="Times New Roman" w:hAnsi="Times New Roman" w:cs="Times New Roman"/>
          <w:sz w:val="24"/>
          <w:szCs w:val="24"/>
        </w:rPr>
        <w:lastRenderedPageBreak/>
        <w:t xml:space="preserve">on </w:t>
      </w:r>
      <w:r w:rsidRPr="00AF60D8">
        <w:rPr>
          <w:rFonts w:ascii="Times New Roman" w:hAnsi="Times New Roman" w:cs="Times New Roman"/>
          <w:bCs/>
          <w:sz w:val="24"/>
          <w:szCs w:val="24"/>
        </w:rPr>
        <w:t>secondary data</w:t>
      </w:r>
      <w:r w:rsidRPr="00AF60D8">
        <w:rPr>
          <w:rFonts w:ascii="Times New Roman" w:hAnsi="Times New Roman" w:cs="Times New Roman"/>
          <w:sz w:val="24"/>
          <w:szCs w:val="24"/>
        </w:rPr>
        <w:t xml:space="preserve">, sourced from the published </w:t>
      </w:r>
      <w:r w:rsidRPr="00AF60D8">
        <w:rPr>
          <w:rFonts w:ascii="Times New Roman" w:hAnsi="Times New Roman" w:cs="Times New Roman"/>
          <w:bCs/>
          <w:sz w:val="24"/>
          <w:szCs w:val="24"/>
        </w:rPr>
        <w:t>annual financial statements and sustainability reports</w:t>
      </w:r>
      <w:r w:rsidRPr="00AF60D8">
        <w:rPr>
          <w:rFonts w:ascii="Times New Roman" w:hAnsi="Times New Roman" w:cs="Times New Roman"/>
          <w:sz w:val="24"/>
          <w:szCs w:val="24"/>
        </w:rPr>
        <w:t xml:space="preserve"> of the sampled manufacturing firms, as well as relevant macro-level data obtained from the </w:t>
      </w:r>
      <w:r w:rsidRPr="00AF60D8">
        <w:rPr>
          <w:rFonts w:ascii="Times New Roman" w:hAnsi="Times New Roman" w:cs="Times New Roman"/>
          <w:bCs/>
          <w:sz w:val="24"/>
          <w:szCs w:val="24"/>
        </w:rPr>
        <w:t>World Development Indicators (WDI)</w:t>
      </w:r>
      <w:r w:rsidRPr="00AF60D8">
        <w:rPr>
          <w:rFonts w:ascii="Times New Roman" w:hAnsi="Times New Roman" w:cs="Times New Roman"/>
          <w:sz w:val="24"/>
          <w:szCs w:val="24"/>
        </w:rPr>
        <w:t xml:space="preserve">. The data spanned a </w:t>
      </w:r>
      <w:r w:rsidR="009C50A1">
        <w:rPr>
          <w:rFonts w:ascii="Times New Roman" w:hAnsi="Times New Roman" w:cs="Times New Roman"/>
          <w:bCs/>
          <w:sz w:val="24"/>
          <w:szCs w:val="24"/>
        </w:rPr>
        <w:t>fifteen</w:t>
      </w:r>
      <w:r w:rsidRPr="00AF60D8">
        <w:rPr>
          <w:rFonts w:ascii="Times New Roman" w:hAnsi="Times New Roman" w:cs="Times New Roman"/>
          <w:bCs/>
          <w:sz w:val="24"/>
          <w:szCs w:val="24"/>
        </w:rPr>
        <w:t>-year period (2010–2024)</w:t>
      </w:r>
      <w:r w:rsidRPr="00AF60D8">
        <w:rPr>
          <w:rFonts w:ascii="Times New Roman" w:hAnsi="Times New Roman" w:cs="Times New Roman"/>
          <w:sz w:val="24"/>
          <w:szCs w:val="24"/>
        </w:rPr>
        <w:t xml:space="preserve">, thereby enabling a robust </w:t>
      </w:r>
      <w:r w:rsidRPr="00AF60D8">
        <w:rPr>
          <w:rFonts w:ascii="Times New Roman" w:hAnsi="Times New Roman" w:cs="Times New Roman"/>
          <w:bCs/>
          <w:sz w:val="24"/>
          <w:szCs w:val="24"/>
        </w:rPr>
        <w:t>longitudinal panel analysis</w:t>
      </w:r>
      <w:r w:rsidRPr="00AF60D8">
        <w:rPr>
          <w:rFonts w:ascii="Times New Roman" w:hAnsi="Times New Roman" w:cs="Times New Roman"/>
          <w:sz w:val="24"/>
          <w:szCs w:val="24"/>
        </w:rPr>
        <w:t>.</w:t>
      </w:r>
    </w:p>
    <w:p w:rsidR="00AF60D8" w:rsidRPr="00AF60D8" w:rsidRDefault="00AF60D8" w:rsidP="00AF60D8">
      <w:pPr>
        <w:spacing w:after="0" w:line="360" w:lineRule="auto"/>
        <w:jc w:val="both"/>
        <w:rPr>
          <w:rFonts w:ascii="Times New Roman" w:hAnsi="Times New Roman" w:cs="Times New Roman"/>
          <w:sz w:val="24"/>
          <w:szCs w:val="24"/>
        </w:rPr>
      </w:pPr>
      <w:r w:rsidRPr="00AF60D8">
        <w:rPr>
          <w:rFonts w:ascii="Times New Roman" w:hAnsi="Times New Roman" w:cs="Times New Roman"/>
          <w:sz w:val="24"/>
          <w:szCs w:val="24"/>
        </w:rPr>
        <w:t xml:space="preserve">Data analysis was carried out using both </w:t>
      </w:r>
      <w:r w:rsidRPr="00AF60D8">
        <w:rPr>
          <w:rFonts w:ascii="Times New Roman" w:hAnsi="Times New Roman" w:cs="Times New Roman"/>
          <w:bCs/>
          <w:sz w:val="24"/>
          <w:szCs w:val="24"/>
        </w:rPr>
        <w:t>descriptive and inferential statistical techniques</w:t>
      </w:r>
      <w:r w:rsidRPr="00AF60D8">
        <w:rPr>
          <w:rFonts w:ascii="Times New Roman" w:hAnsi="Times New Roman" w:cs="Times New Roman"/>
          <w:sz w:val="24"/>
          <w:szCs w:val="24"/>
        </w:rPr>
        <w:t xml:space="preserve">. Descriptive statistics were employed to summarize the central tendencies and dispersion of the variables, providing an overview of sustainability reporting practices and board characteristics among the sampled firms. </w:t>
      </w:r>
      <w:r w:rsidRPr="00AF60D8">
        <w:rPr>
          <w:rFonts w:ascii="Times New Roman" w:hAnsi="Times New Roman" w:cs="Times New Roman"/>
          <w:bCs/>
          <w:sz w:val="24"/>
          <w:szCs w:val="24"/>
        </w:rPr>
        <w:t>Pearson correlation analysis</w:t>
      </w:r>
      <w:r w:rsidRPr="00AF60D8">
        <w:rPr>
          <w:rFonts w:ascii="Times New Roman" w:hAnsi="Times New Roman" w:cs="Times New Roman"/>
          <w:sz w:val="24"/>
          <w:szCs w:val="24"/>
        </w:rPr>
        <w:t xml:space="preserve"> was further used to examine the degree and direction of association among the study variables and to provide preliminary evidence of their interrelationships.</w:t>
      </w:r>
    </w:p>
    <w:p w:rsidR="00AF60D8" w:rsidRPr="00AF60D8" w:rsidRDefault="00AF60D8" w:rsidP="00AF60D8">
      <w:pPr>
        <w:spacing w:after="0" w:line="360" w:lineRule="auto"/>
        <w:jc w:val="both"/>
        <w:rPr>
          <w:rFonts w:ascii="Times New Roman" w:hAnsi="Times New Roman" w:cs="Times New Roman"/>
          <w:sz w:val="24"/>
          <w:szCs w:val="24"/>
        </w:rPr>
      </w:pPr>
      <w:r w:rsidRPr="00AF60D8">
        <w:rPr>
          <w:rFonts w:ascii="Times New Roman" w:hAnsi="Times New Roman" w:cs="Times New Roman"/>
          <w:sz w:val="24"/>
          <w:szCs w:val="24"/>
        </w:rPr>
        <w:t xml:space="preserve">For the inferential analysis, the study employed the </w:t>
      </w:r>
      <w:r w:rsidRPr="00AF60D8">
        <w:rPr>
          <w:rFonts w:ascii="Times New Roman" w:hAnsi="Times New Roman" w:cs="Times New Roman"/>
          <w:bCs/>
          <w:sz w:val="24"/>
          <w:szCs w:val="24"/>
        </w:rPr>
        <w:t>system Generalized Method of Moments (GMM) estimator</w:t>
      </w:r>
      <w:r w:rsidRPr="00AF60D8">
        <w:rPr>
          <w:rFonts w:ascii="Times New Roman" w:hAnsi="Times New Roman" w:cs="Times New Roman"/>
          <w:sz w:val="24"/>
          <w:szCs w:val="24"/>
        </w:rPr>
        <w:t xml:space="preserve">. The choice of the GMM technique was informed by the likelihood of </w:t>
      </w:r>
      <w:r w:rsidRPr="00AF60D8">
        <w:rPr>
          <w:rFonts w:ascii="Times New Roman" w:hAnsi="Times New Roman" w:cs="Times New Roman"/>
          <w:bCs/>
          <w:sz w:val="24"/>
          <w:szCs w:val="24"/>
        </w:rPr>
        <w:t>endogeneity</w:t>
      </w:r>
      <w:r w:rsidRPr="00AF60D8">
        <w:rPr>
          <w:rFonts w:ascii="Times New Roman" w:hAnsi="Times New Roman" w:cs="Times New Roman"/>
          <w:sz w:val="24"/>
          <w:szCs w:val="24"/>
        </w:rPr>
        <w:t xml:space="preserve"> between corporate governance mechanisms and sustainability reporting practices, as governance structures may both influence and be influenced by disclosure </w:t>
      </w:r>
      <w:proofErr w:type="spellStart"/>
      <w:r w:rsidRPr="00AF60D8">
        <w:rPr>
          <w:rFonts w:ascii="Times New Roman" w:hAnsi="Times New Roman" w:cs="Times New Roman"/>
          <w:sz w:val="24"/>
          <w:szCs w:val="24"/>
        </w:rPr>
        <w:t>behaviour</w:t>
      </w:r>
      <w:proofErr w:type="spellEnd"/>
      <w:r w:rsidRPr="00AF60D8">
        <w:rPr>
          <w:rFonts w:ascii="Times New Roman" w:hAnsi="Times New Roman" w:cs="Times New Roman"/>
          <w:sz w:val="24"/>
          <w:szCs w:val="24"/>
        </w:rPr>
        <w:t xml:space="preserve">. The system GMM estimator effectively controls for </w:t>
      </w:r>
      <w:r w:rsidRPr="00AF60D8">
        <w:rPr>
          <w:rFonts w:ascii="Times New Roman" w:hAnsi="Times New Roman" w:cs="Times New Roman"/>
          <w:bCs/>
          <w:sz w:val="24"/>
          <w:szCs w:val="24"/>
        </w:rPr>
        <w:t>unobserved firm-specific effects</w:t>
      </w:r>
      <w:r w:rsidRPr="00AF60D8">
        <w:rPr>
          <w:rFonts w:ascii="Times New Roman" w:hAnsi="Times New Roman" w:cs="Times New Roman"/>
          <w:sz w:val="24"/>
          <w:szCs w:val="24"/>
        </w:rPr>
        <w:t xml:space="preserve">, </w:t>
      </w:r>
      <w:r w:rsidRPr="00AF60D8">
        <w:rPr>
          <w:rFonts w:ascii="Times New Roman" w:hAnsi="Times New Roman" w:cs="Times New Roman"/>
          <w:bCs/>
          <w:sz w:val="24"/>
          <w:szCs w:val="24"/>
        </w:rPr>
        <w:t>dynamic persistence</w:t>
      </w:r>
      <w:r w:rsidR="008A02CE">
        <w:rPr>
          <w:rFonts w:ascii="Times New Roman" w:hAnsi="Times New Roman" w:cs="Times New Roman"/>
          <w:sz w:val="24"/>
          <w:szCs w:val="24"/>
        </w:rPr>
        <w:t xml:space="preserve"> and </w:t>
      </w:r>
      <w:r w:rsidRPr="00AF60D8">
        <w:rPr>
          <w:rFonts w:ascii="Times New Roman" w:hAnsi="Times New Roman" w:cs="Times New Roman"/>
          <w:bCs/>
          <w:sz w:val="24"/>
          <w:szCs w:val="24"/>
        </w:rPr>
        <w:t>simultaneity bias</w:t>
      </w:r>
      <w:r w:rsidRPr="00AF60D8">
        <w:rPr>
          <w:rFonts w:ascii="Times New Roman" w:hAnsi="Times New Roman" w:cs="Times New Roman"/>
          <w:sz w:val="24"/>
          <w:szCs w:val="24"/>
        </w:rPr>
        <w:t>, thereby allowing for a more reliable estimation of the causal impact of board director nationality and reputational capital on sustainability reporting among manufacturing firms.</w:t>
      </w:r>
    </w:p>
    <w:p w:rsidR="00AF60D8" w:rsidRPr="00AF60D8" w:rsidRDefault="00AF60D8" w:rsidP="00AF60D8">
      <w:pPr>
        <w:spacing w:after="0" w:line="360" w:lineRule="auto"/>
        <w:jc w:val="both"/>
        <w:rPr>
          <w:rFonts w:ascii="Times New Roman" w:hAnsi="Times New Roman" w:cs="Times New Roman"/>
          <w:sz w:val="24"/>
          <w:szCs w:val="24"/>
        </w:rPr>
      </w:pPr>
      <w:r w:rsidRPr="00AF60D8">
        <w:rPr>
          <w:rFonts w:ascii="Times New Roman" w:hAnsi="Times New Roman" w:cs="Times New Roman"/>
          <w:sz w:val="24"/>
          <w:szCs w:val="24"/>
        </w:rPr>
        <w:t xml:space="preserve">To ensure the robustness of the regression results, the </w:t>
      </w:r>
      <w:r w:rsidRPr="00AF60D8">
        <w:rPr>
          <w:rFonts w:ascii="Times New Roman" w:hAnsi="Times New Roman" w:cs="Times New Roman"/>
          <w:bCs/>
          <w:sz w:val="24"/>
          <w:szCs w:val="24"/>
        </w:rPr>
        <w:t>Variance Inflation Factor (VIF)</w:t>
      </w:r>
      <w:r w:rsidRPr="00AF60D8">
        <w:rPr>
          <w:rFonts w:ascii="Times New Roman" w:hAnsi="Times New Roman" w:cs="Times New Roman"/>
          <w:sz w:val="24"/>
          <w:szCs w:val="24"/>
        </w:rPr>
        <w:t xml:space="preserve"> was employed to test for multicollinearity among the explanatory variables</w:t>
      </w:r>
      <w:r>
        <w:rPr>
          <w:rFonts w:ascii="Times New Roman" w:hAnsi="Times New Roman" w:cs="Times New Roman"/>
          <w:sz w:val="24"/>
          <w:szCs w:val="24"/>
        </w:rPr>
        <w:t xml:space="preserve">. </w:t>
      </w:r>
      <w:r w:rsidRPr="00AF60D8">
        <w:rPr>
          <w:rFonts w:ascii="Times New Roman" w:hAnsi="Times New Roman" w:cs="Times New Roman"/>
          <w:sz w:val="24"/>
          <w:szCs w:val="24"/>
        </w:rPr>
        <w:t xml:space="preserve">The empirical model used in this study was adapted from </w:t>
      </w:r>
      <w:proofErr w:type="spellStart"/>
      <w:r w:rsidRPr="00AF60D8">
        <w:rPr>
          <w:rFonts w:ascii="Times New Roman" w:hAnsi="Times New Roman" w:cs="Times New Roman"/>
          <w:bCs/>
          <w:sz w:val="24"/>
          <w:szCs w:val="24"/>
        </w:rPr>
        <w:t>Aifuwa</w:t>
      </w:r>
      <w:proofErr w:type="spellEnd"/>
      <w:r w:rsidRPr="00AF60D8">
        <w:rPr>
          <w:rFonts w:ascii="Times New Roman" w:hAnsi="Times New Roman" w:cs="Times New Roman"/>
          <w:bCs/>
          <w:sz w:val="24"/>
          <w:szCs w:val="24"/>
        </w:rPr>
        <w:t xml:space="preserve"> et al. (2022)</w:t>
      </w:r>
      <w:r w:rsidRPr="00AF60D8">
        <w:rPr>
          <w:rFonts w:ascii="Times New Roman" w:hAnsi="Times New Roman" w:cs="Times New Roman"/>
          <w:sz w:val="24"/>
          <w:szCs w:val="24"/>
        </w:rPr>
        <w:t xml:space="preserve"> and modified to reflect the specific context of the Nigerian manufacturing sector by incorporating </w:t>
      </w:r>
      <w:r w:rsidRPr="00AF60D8">
        <w:rPr>
          <w:rFonts w:ascii="Times New Roman" w:hAnsi="Times New Roman" w:cs="Times New Roman"/>
          <w:bCs/>
          <w:sz w:val="24"/>
          <w:szCs w:val="24"/>
        </w:rPr>
        <w:t>board director</w:t>
      </w:r>
      <w:r w:rsidRPr="00AF60D8">
        <w:rPr>
          <w:rFonts w:ascii="Times New Roman" w:hAnsi="Times New Roman" w:cs="Times New Roman"/>
          <w:b/>
          <w:bCs/>
          <w:sz w:val="24"/>
          <w:szCs w:val="24"/>
        </w:rPr>
        <w:t xml:space="preserve"> </w:t>
      </w:r>
      <w:r w:rsidRPr="00AF60D8">
        <w:rPr>
          <w:rFonts w:ascii="Times New Roman" w:hAnsi="Times New Roman" w:cs="Times New Roman"/>
          <w:bCs/>
          <w:sz w:val="24"/>
          <w:szCs w:val="24"/>
        </w:rPr>
        <w:t>nationality</w:t>
      </w:r>
      <w:r w:rsidRPr="00AF60D8">
        <w:rPr>
          <w:rFonts w:ascii="Times New Roman" w:hAnsi="Times New Roman" w:cs="Times New Roman"/>
          <w:sz w:val="24"/>
          <w:szCs w:val="24"/>
        </w:rPr>
        <w:t xml:space="preserve"> and </w:t>
      </w:r>
      <w:r w:rsidRPr="00AF60D8">
        <w:rPr>
          <w:rFonts w:ascii="Times New Roman" w:hAnsi="Times New Roman" w:cs="Times New Roman"/>
          <w:bCs/>
          <w:sz w:val="24"/>
          <w:szCs w:val="24"/>
        </w:rPr>
        <w:t>board director reputational capital</w:t>
      </w:r>
      <w:r w:rsidRPr="00AF60D8">
        <w:rPr>
          <w:rFonts w:ascii="Times New Roman" w:hAnsi="Times New Roman" w:cs="Times New Roman"/>
          <w:sz w:val="24"/>
          <w:szCs w:val="24"/>
        </w:rPr>
        <w:t xml:space="preserve"> as key corporate governance variables. </w:t>
      </w:r>
      <w:r w:rsidRPr="00AF60D8">
        <w:rPr>
          <w:rFonts w:ascii="Times New Roman" w:hAnsi="Times New Roman" w:cs="Times New Roman"/>
          <w:bCs/>
          <w:sz w:val="24"/>
          <w:szCs w:val="24"/>
        </w:rPr>
        <w:t>Greenhouse gas emissions</w:t>
      </w:r>
      <w:r w:rsidRPr="00AF60D8">
        <w:rPr>
          <w:rFonts w:ascii="Times New Roman" w:hAnsi="Times New Roman" w:cs="Times New Roman"/>
          <w:sz w:val="24"/>
          <w:szCs w:val="24"/>
        </w:rPr>
        <w:t xml:space="preserve"> and </w:t>
      </w:r>
      <w:r w:rsidRPr="00AF60D8">
        <w:rPr>
          <w:rFonts w:ascii="Times New Roman" w:hAnsi="Times New Roman" w:cs="Times New Roman"/>
          <w:bCs/>
          <w:sz w:val="24"/>
          <w:szCs w:val="24"/>
        </w:rPr>
        <w:t>energy consumption</w:t>
      </w:r>
      <w:r w:rsidRPr="00AF60D8">
        <w:rPr>
          <w:rFonts w:ascii="Times New Roman" w:hAnsi="Times New Roman" w:cs="Times New Roman"/>
          <w:sz w:val="24"/>
          <w:szCs w:val="24"/>
        </w:rPr>
        <w:t xml:space="preserve"> were included as control variables to account for firm-level environmental characteristics that influence sustainability reporting practices.</w:t>
      </w:r>
    </w:p>
    <w:p w:rsidR="008A5819" w:rsidRPr="00C41691" w:rsidRDefault="008A5819" w:rsidP="008A5819">
      <w:pPr>
        <w:spacing w:after="0" w:line="360" w:lineRule="auto"/>
        <w:jc w:val="both"/>
        <w:rPr>
          <w:rFonts w:ascii="Times New Roman" w:hAnsi="Times New Roman" w:cs="Times New Roman"/>
          <w:sz w:val="24"/>
          <w:szCs w:val="24"/>
        </w:rPr>
      </w:pPr>
      <w:r w:rsidRPr="00C41691">
        <w:rPr>
          <w:rFonts w:ascii="Times New Roman" w:hAnsi="Times New Roman" w:cs="Times New Roman"/>
          <w:sz w:val="24"/>
          <w:szCs w:val="24"/>
        </w:rPr>
        <w:t>The functional form of the model is specified as follows:</w:t>
      </w:r>
    </w:p>
    <w:p w:rsidR="008A5819" w:rsidRPr="00C41691" w:rsidRDefault="008A5819" w:rsidP="008A5819">
      <w:pPr>
        <w:spacing w:after="0" w:line="360" w:lineRule="auto"/>
        <w:jc w:val="both"/>
        <w:rPr>
          <w:rFonts w:ascii="Times New Roman" w:hAnsi="Times New Roman" w:cs="Times New Roman"/>
        </w:rPr>
      </w:pPr>
      <w:r w:rsidRPr="00C41691">
        <w:rPr>
          <w:rFonts w:ascii="Times New Roman" w:hAnsi="Times New Roman" w:cs="Times New Roman"/>
        </w:rPr>
        <w:t>SR</w:t>
      </w:r>
      <w:r w:rsidRPr="00C41691">
        <w:rPr>
          <w:rFonts w:ascii="Times New Roman" w:hAnsi="Times New Roman" w:cs="Times New Roman"/>
          <w:vertAlign w:val="subscript"/>
        </w:rPr>
        <w:t>it</w:t>
      </w:r>
      <w:r w:rsidRPr="00C41691">
        <w:rPr>
          <w:rFonts w:ascii="Times New Roman" w:hAnsi="Times New Roman" w:cs="Times New Roman"/>
        </w:rPr>
        <w:t xml:space="preserve"> = </w:t>
      </w:r>
      <w:r w:rsidRPr="00C41691">
        <w:rPr>
          <w:rStyle w:val="mord"/>
          <w:rFonts w:ascii="Times New Roman" w:hAnsi="Times New Roman" w:cs="Times New Roman"/>
        </w:rPr>
        <w:t>β0</w:t>
      </w:r>
      <w:r w:rsidRPr="00C41691">
        <w:rPr>
          <w:rStyle w:val="vlist-s"/>
          <w:rFonts w:ascii="Times New Roman" w:hAnsi="Times New Roman" w:cs="Times New Roman"/>
        </w:rPr>
        <w:t>​</w:t>
      </w:r>
      <w:r w:rsidRPr="00C41691">
        <w:rPr>
          <w:rStyle w:val="mbin"/>
          <w:rFonts w:ascii="Times New Roman" w:hAnsi="Times New Roman" w:cs="Times New Roman"/>
        </w:rPr>
        <w:t>+</w:t>
      </w:r>
      <w:r w:rsidRPr="00C41691">
        <w:rPr>
          <w:rStyle w:val="mord"/>
          <w:rFonts w:ascii="Times New Roman" w:hAnsi="Times New Roman" w:cs="Times New Roman"/>
        </w:rPr>
        <w:t>β1</w:t>
      </w:r>
      <w:r w:rsidRPr="00C41691">
        <w:rPr>
          <w:rStyle w:val="vlist-s"/>
          <w:rFonts w:ascii="Times New Roman" w:hAnsi="Times New Roman" w:cs="Times New Roman"/>
        </w:rPr>
        <w:t>​</w:t>
      </w:r>
      <w:r w:rsidRPr="00C41691">
        <w:rPr>
          <w:rStyle w:val="mord"/>
          <w:rFonts w:ascii="Times New Roman" w:hAnsi="Times New Roman" w:cs="Times New Roman"/>
        </w:rPr>
        <w:t xml:space="preserve">SRit </w:t>
      </w:r>
      <w:r w:rsidRPr="00C41691">
        <w:rPr>
          <w:rStyle w:val="mbin"/>
          <w:rFonts w:ascii="Times New Roman" w:hAnsi="Times New Roman" w:cs="Times New Roman"/>
        </w:rPr>
        <w:t xml:space="preserve">− </w:t>
      </w:r>
      <w:r w:rsidRPr="00C41691">
        <w:rPr>
          <w:rStyle w:val="mord"/>
          <w:rFonts w:ascii="Times New Roman" w:hAnsi="Times New Roman" w:cs="Times New Roman"/>
        </w:rPr>
        <w:t>1</w:t>
      </w:r>
      <w:r w:rsidRPr="00C41691">
        <w:rPr>
          <w:rStyle w:val="vlist-s"/>
          <w:rFonts w:ascii="Times New Roman" w:hAnsi="Times New Roman" w:cs="Times New Roman"/>
        </w:rPr>
        <w:t xml:space="preserve">​ </w:t>
      </w:r>
      <w:r w:rsidRPr="00C41691">
        <w:rPr>
          <w:rStyle w:val="mbin"/>
          <w:rFonts w:ascii="Times New Roman" w:hAnsi="Times New Roman" w:cs="Times New Roman"/>
        </w:rPr>
        <w:t xml:space="preserve">+ </w:t>
      </w:r>
      <w:r w:rsidRPr="00C41691">
        <w:rPr>
          <w:rStyle w:val="mord"/>
          <w:rFonts w:ascii="Times New Roman" w:hAnsi="Times New Roman" w:cs="Times New Roman"/>
        </w:rPr>
        <w:t>β2</w:t>
      </w:r>
      <w:r w:rsidRPr="00C41691">
        <w:rPr>
          <w:rStyle w:val="vlist-s"/>
          <w:rFonts w:ascii="Times New Roman" w:hAnsi="Times New Roman" w:cs="Times New Roman"/>
        </w:rPr>
        <w:t>​</w:t>
      </w:r>
      <w:proofErr w:type="spellStart"/>
      <w:r w:rsidRPr="00C41691">
        <w:rPr>
          <w:rStyle w:val="mord"/>
          <w:rFonts w:ascii="Times New Roman" w:hAnsi="Times New Roman" w:cs="Times New Roman"/>
        </w:rPr>
        <w:t>BDrcit</w:t>
      </w:r>
      <w:proofErr w:type="spellEnd"/>
      <w:r w:rsidRPr="00C41691">
        <w:rPr>
          <w:rStyle w:val="vlist-s"/>
          <w:rFonts w:ascii="Times New Roman" w:hAnsi="Times New Roman" w:cs="Times New Roman"/>
        </w:rPr>
        <w:t xml:space="preserve">​ </w:t>
      </w:r>
      <w:r w:rsidRPr="00C41691">
        <w:rPr>
          <w:rStyle w:val="mbin"/>
          <w:rFonts w:ascii="Times New Roman" w:hAnsi="Times New Roman" w:cs="Times New Roman"/>
        </w:rPr>
        <w:t xml:space="preserve">+ </w:t>
      </w:r>
      <w:r w:rsidRPr="00C41691">
        <w:rPr>
          <w:rStyle w:val="mord"/>
          <w:rFonts w:ascii="Times New Roman" w:hAnsi="Times New Roman" w:cs="Times New Roman"/>
        </w:rPr>
        <w:t>β3</w:t>
      </w:r>
      <w:r w:rsidRPr="00C41691">
        <w:rPr>
          <w:rStyle w:val="vlist-s"/>
          <w:rFonts w:ascii="Times New Roman" w:hAnsi="Times New Roman" w:cs="Times New Roman"/>
        </w:rPr>
        <w:t>​</w:t>
      </w:r>
      <w:proofErr w:type="spellStart"/>
      <w:r w:rsidR="000B7C62" w:rsidRPr="00C41691">
        <w:rPr>
          <w:rStyle w:val="mord"/>
          <w:rFonts w:ascii="Times New Roman" w:hAnsi="Times New Roman" w:cs="Times New Roman"/>
        </w:rPr>
        <w:t>Bnatit</w:t>
      </w:r>
      <w:proofErr w:type="spellEnd"/>
      <w:r w:rsidR="000B7C62" w:rsidRPr="00C41691">
        <w:rPr>
          <w:rStyle w:val="mord"/>
          <w:rFonts w:ascii="Times New Roman" w:hAnsi="Times New Roman" w:cs="Times New Roman"/>
        </w:rPr>
        <w:t xml:space="preserve"> </w:t>
      </w:r>
      <w:r w:rsidRPr="00C41691">
        <w:rPr>
          <w:rStyle w:val="mbin"/>
          <w:rFonts w:ascii="Times New Roman" w:hAnsi="Times New Roman" w:cs="Times New Roman"/>
        </w:rPr>
        <w:t>+</w:t>
      </w:r>
      <w:r w:rsidR="000B7C62" w:rsidRPr="00C41691">
        <w:rPr>
          <w:rStyle w:val="mbin"/>
          <w:rFonts w:ascii="Times New Roman" w:hAnsi="Times New Roman" w:cs="Times New Roman"/>
        </w:rPr>
        <w:t xml:space="preserve"> </w:t>
      </w:r>
      <w:r w:rsidRPr="00C41691">
        <w:rPr>
          <w:rStyle w:val="mord"/>
          <w:rFonts w:ascii="Times New Roman" w:hAnsi="Times New Roman" w:cs="Times New Roman"/>
        </w:rPr>
        <w:t>β4</w:t>
      </w:r>
      <w:r w:rsidRPr="00C41691">
        <w:rPr>
          <w:rStyle w:val="vlist-s"/>
          <w:rFonts w:ascii="Times New Roman" w:hAnsi="Times New Roman" w:cs="Times New Roman"/>
        </w:rPr>
        <w:t>​</w:t>
      </w:r>
      <w:proofErr w:type="spellStart"/>
      <w:r w:rsidRPr="00C41691">
        <w:rPr>
          <w:rStyle w:val="mord"/>
          <w:rFonts w:ascii="Times New Roman" w:hAnsi="Times New Roman" w:cs="Times New Roman"/>
        </w:rPr>
        <w:t>TGHGSit</w:t>
      </w:r>
      <w:proofErr w:type="spellEnd"/>
      <w:r w:rsidRPr="00C41691">
        <w:rPr>
          <w:rStyle w:val="vlist-s"/>
          <w:rFonts w:ascii="Times New Roman" w:hAnsi="Times New Roman" w:cs="Times New Roman"/>
        </w:rPr>
        <w:t>​</w:t>
      </w:r>
      <w:r w:rsidR="000B7C62" w:rsidRPr="00C41691">
        <w:rPr>
          <w:rStyle w:val="vlist-s"/>
          <w:rFonts w:ascii="Times New Roman" w:hAnsi="Times New Roman" w:cs="Times New Roman"/>
        </w:rPr>
        <w:t xml:space="preserve"> </w:t>
      </w:r>
      <w:r w:rsidRPr="00C41691">
        <w:rPr>
          <w:rStyle w:val="mbin"/>
          <w:rFonts w:ascii="Times New Roman" w:hAnsi="Times New Roman" w:cs="Times New Roman"/>
        </w:rPr>
        <w:t>+</w:t>
      </w:r>
      <w:r w:rsidR="000B7C62" w:rsidRPr="00C41691">
        <w:rPr>
          <w:rStyle w:val="mbin"/>
          <w:rFonts w:ascii="Times New Roman" w:hAnsi="Times New Roman" w:cs="Times New Roman"/>
        </w:rPr>
        <w:t xml:space="preserve"> </w:t>
      </w:r>
      <w:r w:rsidRPr="00C41691">
        <w:rPr>
          <w:rStyle w:val="mord"/>
          <w:rFonts w:ascii="Times New Roman" w:hAnsi="Times New Roman" w:cs="Times New Roman"/>
        </w:rPr>
        <w:t>β5</w:t>
      </w:r>
      <w:r w:rsidRPr="00C41691">
        <w:rPr>
          <w:rStyle w:val="vlist-s"/>
          <w:rFonts w:ascii="Times New Roman" w:hAnsi="Times New Roman" w:cs="Times New Roman"/>
        </w:rPr>
        <w:t>​</w:t>
      </w:r>
      <w:proofErr w:type="spellStart"/>
      <w:r w:rsidRPr="00C41691">
        <w:rPr>
          <w:rStyle w:val="mord"/>
          <w:rFonts w:ascii="Times New Roman" w:hAnsi="Times New Roman" w:cs="Times New Roman"/>
        </w:rPr>
        <w:t>RENGit</w:t>
      </w:r>
      <w:proofErr w:type="spellEnd"/>
      <w:r w:rsidRPr="00C41691">
        <w:rPr>
          <w:rStyle w:val="vlist-s"/>
          <w:rFonts w:ascii="Times New Roman" w:hAnsi="Times New Roman" w:cs="Times New Roman"/>
        </w:rPr>
        <w:t>​</w:t>
      </w:r>
      <w:r w:rsidR="000B7C62" w:rsidRPr="00C41691">
        <w:rPr>
          <w:rStyle w:val="vlist-s"/>
          <w:rFonts w:ascii="Times New Roman" w:hAnsi="Times New Roman" w:cs="Times New Roman"/>
        </w:rPr>
        <w:t xml:space="preserve"> </w:t>
      </w:r>
      <w:r w:rsidRPr="00C41691">
        <w:rPr>
          <w:rStyle w:val="mbin"/>
          <w:rFonts w:ascii="Times New Roman" w:hAnsi="Times New Roman" w:cs="Times New Roman"/>
        </w:rPr>
        <w:t>+</w:t>
      </w:r>
      <w:r w:rsidR="000B7C62" w:rsidRPr="00C41691">
        <w:rPr>
          <w:rStyle w:val="mbin"/>
          <w:rFonts w:ascii="Times New Roman" w:hAnsi="Times New Roman" w:cs="Times New Roman"/>
        </w:rPr>
        <w:t xml:space="preserve"> </w:t>
      </w:r>
      <w:proofErr w:type="spellStart"/>
      <w:r w:rsidRPr="00C41691">
        <w:rPr>
          <w:rStyle w:val="mord"/>
          <w:rFonts w:ascii="Times New Roman" w:hAnsi="Times New Roman" w:cs="Times New Roman"/>
        </w:rPr>
        <w:t>εit</w:t>
      </w:r>
      <w:proofErr w:type="spellEnd"/>
      <w:r w:rsidRPr="00C41691">
        <w:rPr>
          <w:rFonts w:ascii="Times New Roman" w:hAnsi="Times New Roman" w:cs="Times New Roman"/>
        </w:rPr>
        <w:t xml:space="preserve"> </w:t>
      </w:r>
    </w:p>
    <w:p w:rsidR="008A5819" w:rsidRPr="00C41691" w:rsidRDefault="008A5819" w:rsidP="008A5819">
      <w:pPr>
        <w:spacing w:after="0" w:line="360" w:lineRule="auto"/>
        <w:jc w:val="both"/>
        <w:rPr>
          <w:rFonts w:ascii="Times New Roman" w:hAnsi="Times New Roman" w:cs="Times New Roman"/>
          <w:b/>
          <w:bCs/>
        </w:rPr>
      </w:pPr>
      <w:r w:rsidRPr="00C41691">
        <w:rPr>
          <w:rFonts w:ascii="Times New Roman" w:hAnsi="Times New Roman" w:cs="Times New Roman"/>
          <w:b/>
          <w:bCs/>
        </w:rPr>
        <w:t>Where:</w:t>
      </w:r>
    </w:p>
    <w:p w:rsidR="008A5819" w:rsidRPr="00C41691" w:rsidRDefault="000B7C62" w:rsidP="008A5819">
      <w:pPr>
        <w:numPr>
          <w:ilvl w:val="0"/>
          <w:numId w:val="3"/>
        </w:numPr>
        <w:spacing w:after="0" w:line="360" w:lineRule="auto"/>
        <w:jc w:val="both"/>
        <w:rPr>
          <w:rFonts w:ascii="Times New Roman" w:hAnsi="Times New Roman" w:cs="Times New Roman"/>
        </w:rPr>
      </w:pPr>
      <w:r w:rsidRPr="00C41691">
        <w:rPr>
          <w:rFonts w:ascii="Times New Roman" w:hAnsi="Times New Roman" w:cs="Times New Roman"/>
        </w:rPr>
        <w:t>SRit</w:t>
      </w:r>
      <w:r w:rsidR="008A5819" w:rsidRPr="00C41691">
        <w:rPr>
          <w:rFonts w:ascii="Times New Roman" w:hAnsi="Times New Roman" w:cs="Times New Roman"/>
        </w:rPr>
        <w:t xml:space="preserve"> = Sustainability Reporting</w:t>
      </w:r>
    </w:p>
    <w:p w:rsidR="008A5819" w:rsidRPr="00C41691" w:rsidRDefault="000B7C62" w:rsidP="008A5819">
      <w:pPr>
        <w:numPr>
          <w:ilvl w:val="0"/>
          <w:numId w:val="3"/>
        </w:numPr>
        <w:spacing w:after="0" w:line="360" w:lineRule="auto"/>
        <w:jc w:val="both"/>
        <w:rPr>
          <w:rFonts w:ascii="Times New Roman" w:hAnsi="Times New Roman" w:cs="Times New Roman"/>
        </w:rPr>
      </w:pPr>
      <w:r w:rsidRPr="00C41691">
        <w:rPr>
          <w:rFonts w:ascii="Times New Roman" w:hAnsi="Times New Roman" w:cs="Times New Roman"/>
        </w:rPr>
        <w:t>BDrit</w:t>
      </w:r>
      <w:r w:rsidR="008A5819" w:rsidRPr="00C41691">
        <w:rPr>
          <w:rFonts w:ascii="Times New Roman" w:hAnsi="Times New Roman" w:cs="Times New Roman"/>
        </w:rPr>
        <w:t xml:space="preserve"> = Board Director Reputational Capital</w:t>
      </w:r>
    </w:p>
    <w:p w:rsidR="008A5819" w:rsidRPr="00C41691" w:rsidRDefault="000B7C62" w:rsidP="008A5819">
      <w:pPr>
        <w:numPr>
          <w:ilvl w:val="0"/>
          <w:numId w:val="3"/>
        </w:numPr>
        <w:spacing w:after="0" w:line="360" w:lineRule="auto"/>
        <w:jc w:val="both"/>
        <w:rPr>
          <w:rFonts w:ascii="Times New Roman" w:hAnsi="Times New Roman" w:cs="Times New Roman"/>
        </w:rPr>
      </w:pPr>
      <w:proofErr w:type="spellStart"/>
      <w:r w:rsidRPr="00C41691">
        <w:rPr>
          <w:rFonts w:ascii="Times New Roman" w:hAnsi="Times New Roman" w:cs="Times New Roman"/>
        </w:rPr>
        <w:t>BNATit</w:t>
      </w:r>
      <w:proofErr w:type="spellEnd"/>
      <w:r w:rsidR="008A5819" w:rsidRPr="00C41691">
        <w:rPr>
          <w:rFonts w:ascii="Times New Roman" w:hAnsi="Times New Roman" w:cs="Times New Roman"/>
        </w:rPr>
        <w:t xml:space="preserve"> = Board Director Nationality</w:t>
      </w:r>
    </w:p>
    <w:p w:rsidR="008A5819" w:rsidRPr="00C41691" w:rsidRDefault="000B7C62" w:rsidP="008A5819">
      <w:pPr>
        <w:numPr>
          <w:ilvl w:val="0"/>
          <w:numId w:val="3"/>
        </w:numPr>
        <w:spacing w:after="0" w:line="360" w:lineRule="auto"/>
        <w:jc w:val="both"/>
        <w:rPr>
          <w:rFonts w:ascii="Times New Roman" w:hAnsi="Times New Roman" w:cs="Times New Roman"/>
        </w:rPr>
      </w:pPr>
      <w:proofErr w:type="spellStart"/>
      <w:r w:rsidRPr="00C41691">
        <w:rPr>
          <w:rFonts w:ascii="Times New Roman" w:hAnsi="Times New Roman" w:cs="Times New Roman"/>
        </w:rPr>
        <w:t>TGHGS</w:t>
      </w:r>
      <w:r w:rsidR="008A5819" w:rsidRPr="00C41691">
        <w:rPr>
          <w:rFonts w:ascii="Times New Roman" w:hAnsi="Times New Roman" w:cs="Times New Roman"/>
        </w:rPr>
        <w:t>it</w:t>
      </w:r>
      <w:proofErr w:type="spellEnd"/>
      <w:r w:rsidR="008A5819" w:rsidRPr="00C41691">
        <w:rPr>
          <w:rFonts w:ascii="Times New Roman" w:hAnsi="Times New Roman" w:cs="Times New Roman"/>
        </w:rPr>
        <w:t xml:space="preserve"> = Greenhouse Gas Emissions</w:t>
      </w:r>
    </w:p>
    <w:p w:rsidR="008A5819" w:rsidRPr="00C41691" w:rsidRDefault="000B7C62" w:rsidP="008A5819">
      <w:pPr>
        <w:numPr>
          <w:ilvl w:val="0"/>
          <w:numId w:val="3"/>
        </w:numPr>
        <w:spacing w:after="0" w:line="360" w:lineRule="auto"/>
        <w:jc w:val="both"/>
        <w:rPr>
          <w:rFonts w:ascii="Times New Roman" w:hAnsi="Times New Roman" w:cs="Times New Roman"/>
        </w:rPr>
      </w:pPr>
      <w:proofErr w:type="spellStart"/>
      <w:r w:rsidRPr="00C41691">
        <w:rPr>
          <w:rFonts w:ascii="Times New Roman" w:hAnsi="Times New Roman" w:cs="Times New Roman"/>
        </w:rPr>
        <w:lastRenderedPageBreak/>
        <w:t>RENGit</w:t>
      </w:r>
      <w:proofErr w:type="spellEnd"/>
      <w:r w:rsidR="008A5819" w:rsidRPr="00C41691">
        <w:rPr>
          <w:rFonts w:ascii="Times New Roman" w:hAnsi="Times New Roman" w:cs="Times New Roman"/>
        </w:rPr>
        <w:t xml:space="preserve"> = Energy Consumption</w:t>
      </w:r>
    </w:p>
    <w:p w:rsidR="008A5819" w:rsidRPr="00C41691" w:rsidRDefault="000B7C62" w:rsidP="008A5819">
      <w:pPr>
        <w:numPr>
          <w:ilvl w:val="0"/>
          <w:numId w:val="3"/>
        </w:numPr>
        <w:spacing w:after="0" w:line="360" w:lineRule="auto"/>
        <w:jc w:val="both"/>
        <w:rPr>
          <w:rFonts w:ascii="Times New Roman" w:hAnsi="Times New Roman" w:cs="Times New Roman"/>
        </w:rPr>
      </w:pPr>
      <w:r w:rsidRPr="00C41691">
        <w:rPr>
          <w:rFonts w:ascii="Cambria Math" w:hAnsi="Cambria Math" w:cs="Times New Roman"/>
        </w:rPr>
        <w:t>𝜀</w:t>
      </w:r>
      <w:r w:rsidRPr="00C41691">
        <w:rPr>
          <w:rFonts w:ascii="Times New Roman" w:hAnsi="Times New Roman" w:cs="Times New Roman"/>
        </w:rPr>
        <w:t>it</w:t>
      </w:r>
      <w:r w:rsidR="008A5819" w:rsidRPr="00C41691">
        <w:rPr>
          <w:rFonts w:ascii="Times New Roman" w:hAnsi="Times New Roman" w:cs="Times New Roman"/>
        </w:rPr>
        <w:t xml:space="preserve"> = Error term</w:t>
      </w:r>
    </w:p>
    <w:p w:rsidR="008A5819" w:rsidRDefault="008A5819" w:rsidP="008A5819">
      <w:pPr>
        <w:spacing w:after="0" w:line="360" w:lineRule="auto"/>
        <w:jc w:val="both"/>
        <w:rPr>
          <w:rFonts w:ascii="Times New Roman" w:hAnsi="Times New Roman" w:cs="Times New Roman"/>
        </w:rPr>
      </w:pPr>
      <w:r w:rsidRPr="00C41691">
        <w:rPr>
          <w:rFonts w:ascii="Times New Roman" w:hAnsi="Times New Roman" w:cs="Times New Roman"/>
        </w:rPr>
        <w:t xml:space="preserve">Sustainability reporting was measured using </w:t>
      </w:r>
      <w:r w:rsidRPr="00C41691">
        <w:rPr>
          <w:rFonts w:ascii="Times New Roman" w:hAnsi="Times New Roman" w:cs="Times New Roman"/>
          <w:bCs/>
        </w:rPr>
        <w:t>environmental, social</w:t>
      </w:r>
      <w:r w:rsidR="004D4997">
        <w:rPr>
          <w:rFonts w:ascii="Times New Roman" w:hAnsi="Times New Roman" w:cs="Times New Roman"/>
          <w:bCs/>
        </w:rPr>
        <w:t xml:space="preserve"> and </w:t>
      </w:r>
      <w:r w:rsidRPr="00C41691">
        <w:rPr>
          <w:rFonts w:ascii="Times New Roman" w:hAnsi="Times New Roman" w:cs="Times New Roman"/>
          <w:bCs/>
        </w:rPr>
        <w:t>governance (ESG) disclosure items</w:t>
      </w:r>
      <w:r w:rsidRPr="00C41691">
        <w:rPr>
          <w:rFonts w:ascii="Times New Roman" w:hAnsi="Times New Roman" w:cs="Times New Roman"/>
        </w:rPr>
        <w:t xml:space="preserve">, based on a </w:t>
      </w:r>
      <w:r w:rsidRPr="00C41691">
        <w:rPr>
          <w:rFonts w:ascii="Times New Roman" w:hAnsi="Times New Roman" w:cs="Times New Roman"/>
          <w:bCs/>
        </w:rPr>
        <w:t>binary content analysis</w:t>
      </w:r>
      <w:r w:rsidRPr="00C41691">
        <w:rPr>
          <w:rFonts w:ascii="Times New Roman" w:hAnsi="Times New Roman" w:cs="Times New Roman"/>
        </w:rPr>
        <w:t xml:space="preserve"> approach (1 = presence, 0 = absence), in line with </w:t>
      </w:r>
      <w:r w:rsidRPr="00C41691">
        <w:rPr>
          <w:rFonts w:ascii="Times New Roman" w:hAnsi="Times New Roman" w:cs="Times New Roman"/>
          <w:bCs/>
        </w:rPr>
        <w:t>Ali et al. (2025)</w:t>
      </w:r>
      <w:r w:rsidRPr="00C41691">
        <w:rPr>
          <w:rFonts w:ascii="Times New Roman" w:hAnsi="Times New Roman" w:cs="Times New Roman"/>
        </w:rPr>
        <w:t xml:space="preserve">. Board director nationality was proxied as the </w:t>
      </w:r>
      <w:r w:rsidRPr="00C41691">
        <w:rPr>
          <w:rFonts w:ascii="Times New Roman" w:hAnsi="Times New Roman" w:cs="Times New Roman"/>
          <w:bCs/>
        </w:rPr>
        <w:t>proportion of foreign directors to total board members</w:t>
      </w:r>
      <w:r w:rsidRPr="00C41691">
        <w:rPr>
          <w:rFonts w:ascii="Times New Roman" w:hAnsi="Times New Roman" w:cs="Times New Roman"/>
        </w:rPr>
        <w:t xml:space="preserve">, following </w:t>
      </w:r>
      <w:r w:rsidRPr="00C41691">
        <w:rPr>
          <w:rFonts w:ascii="Times New Roman" w:hAnsi="Times New Roman" w:cs="Times New Roman"/>
          <w:bCs/>
        </w:rPr>
        <w:t xml:space="preserve">Hahn and </w:t>
      </w:r>
      <w:proofErr w:type="spellStart"/>
      <w:r w:rsidRPr="00C41691">
        <w:rPr>
          <w:rFonts w:ascii="Times New Roman" w:hAnsi="Times New Roman" w:cs="Times New Roman"/>
          <w:bCs/>
        </w:rPr>
        <w:t>Lasfer</w:t>
      </w:r>
      <w:proofErr w:type="spellEnd"/>
      <w:r w:rsidRPr="00C41691">
        <w:rPr>
          <w:rFonts w:ascii="Times New Roman" w:hAnsi="Times New Roman" w:cs="Times New Roman"/>
          <w:bCs/>
        </w:rPr>
        <w:t xml:space="preserve"> (2016)</w:t>
      </w:r>
      <w:r w:rsidRPr="00C41691">
        <w:rPr>
          <w:rFonts w:ascii="Times New Roman" w:hAnsi="Times New Roman" w:cs="Times New Roman"/>
        </w:rPr>
        <w:t xml:space="preserve">. Board director reputational capital was measured as the </w:t>
      </w:r>
      <w:r w:rsidRPr="00C41691">
        <w:rPr>
          <w:rFonts w:ascii="Times New Roman" w:hAnsi="Times New Roman" w:cs="Times New Roman"/>
          <w:bCs/>
        </w:rPr>
        <w:t>total compensation earned by directors across all their directorships</w:t>
      </w:r>
      <w:r w:rsidRPr="00C41691">
        <w:rPr>
          <w:rFonts w:ascii="Times New Roman" w:hAnsi="Times New Roman" w:cs="Times New Roman"/>
        </w:rPr>
        <w:t xml:space="preserve">, consistent with </w:t>
      </w:r>
      <w:r w:rsidRPr="00C41691">
        <w:rPr>
          <w:rFonts w:ascii="Times New Roman" w:hAnsi="Times New Roman" w:cs="Times New Roman"/>
          <w:bCs/>
        </w:rPr>
        <w:t>Fredriksson et al. (2020)</w:t>
      </w:r>
      <w:r w:rsidRPr="00C41691">
        <w:rPr>
          <w:rFonts w:ascii="Times New Roman" w:hAnsi="Times New Roman" w:cs="Times New Roman"/>
        </w:rPr>
        <w:t xml:space="preserve">. The control variables comprised </w:t>
      </w:r>
      <w:r w:rsidRPr="00C41691">
        <w:rPr>
          <w:rFonts w:ascii="Times New Roman" w:hAnsi="Times New Roman" w:cs="Times New Roman"/>
          <w:bCs/>
        </w:rPr>
        <w:t>greenhouse gas emissions</w:t>
      </w:r>
      <w:r w:rsidRPr="00C41691">
        <w:rPr>
          <w:rFonts w:ascii="Times New Roman" w:hAnsi="Times New Roman" w:cs="Times New Roman"/>
        </w:rPr>
        <w:t xml:space="preserve"> and </w:t>
      </w:r>
      <w:r w:rsidRPr="00C41691">
        <w:rPr>
          <w:rFonts w:ascii="Times New Roman" w:hAnsi="Times New Roman" w:cs="Times New Roman"/>
          <w:bCs/>
        </w:rPr>
        <w:t>energy consumption</w:t>
      </w:r>
      <w:r w:rsidRPr="00C41691">
        <w:rPr>
          <w:rFonts w:ascii="Times New Roman" w:hAnsi="Times New Roman" w:cs="Times New Roman"/>
        </w:rPr>
        <w:t>, reflecting the environmental intensity of manufacturing firms.</w:t>
      </w:r>
    </w:p>
    <w:p w:rsidR="00E712FD" w:rsidRPr="008B1311" w:rsidRDefault="008B1311" w:rsidP="008A5819">
      <w:pPr>
        <w:spacing w:after="0" w:line="360" w:lineRule="auto"/>
        <w:jc w:val="both"/>
        <w:rPr>
          <w:rFonts w:ascii="Times New Roman" w:hAnsi="Times New Roman" w:cs="Times New Roman"/>
          <w:b/>
        </w:rPr>
      </w:pPr>
      <w:r>
        <w:rPr>
          <w:rFonts w:ascii="Times New Roman" w:hAnsi="Times New Roman" w:cs="Times New Roman"/>
          <w:b/>
        </w:rPr>
        <w:t>4.0</w:t>
      </w:r>
      <w:r>
        <w:rPr>
          <w:rFonts w:ascii="Times New Roman" w:hAnsi="Times New Roman" w:cs="Times New Roman"/>
          <w:b/>
        </w:rPr>
        <w:tab/>
        <w:t>Result a</w:t>
      </w:r>
      <w:r w:rsidRPr="008B1311">
        <w:rPr>
          <w:rFonts w:ascii="Times New Roman" w:hAnsi="Times New Roman" w:cs="Times New Roman"/>
          <w:b/>
        </w:rPr>
        <w:t>nd Discussion</w:t>
      </w:r>
      <w:r>
        <w:rPr>
          <w:rFonts w:ascii="Times New Roman" w:hAnsi="Times New Roman" w:cs="Times New Roman"/>
          <w:b/>
        </w:rPr>
        <w:t>s</w:t>
      </w:r>
    </w:p>
    <w:p w:rsidR="00E66387" w:rsidRPr="00C41691" w:rsidRDefault="00E66387" w:rsidP="008A5819">
      <w:pPr>
        <w:spacing w:after="0" w:line="360" w:lineRule="auto"/>
        <w:jc w:val="both"/>
        <w:rPr>
          <w:rFonts w:ascii="Times New Roman" w:hAnsi="Times New Roman" w:cs="Times New Roman"/>
        </w:rPr>
      </w:pPr>
      <w:r>
        <w:rPr>
          <w:rFonts w:ascii="Times New Roman" w:hAnsi="Times New Roman" w:cs="Times New Roman"/>
        </w:rPr>
        <w:t>4.1.1</w:t>
      </w:r>
      <w:r>
        <w:rPr>
          <w:rFonts w:ascii="Times New Roman" w:hAnsi="Times New Roman" w:cs="Times New Roman"/>
        </w:rPr>
        <w:tab/>
        <w:t xml:space="preserve">Descriptive Statistics </w:t>
      </w:r>
    </w:p>
    <w:tbl>
      <w:tblPr>
        <w:tblW w:w="8472"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503"/>
        <w:gridCol w:w="2515"/>
        <w:gridCol w:w="2624"/>
        <w:gridCol w:w="1830"/>
      </w:tblGrid>
      <w:tr w:rsidR="00E712FD" w:rsidRPr="00FE2294" w:rsidTr="00E712FD">
        <w:trPr>
          <w:cantSplit/>
          <w:trHeight w:val="387"/>
        </w:trPr>
        <w:tc>
          <w:tcPr>
            <w:tcW w:w="8472" w:type="dxa"/>
            <w:gridSpan w:val="4"/>
            <w:tcBorders>
              <w:top w:val="single" w:sz="4" w:space="0" w:color="auto"/>
              <w:bottom w:val="nil"/>
            </w:tcBorders>
            <w:shd w:val="clear" w:color="auto" w:fill="FFFFFF"/>
            <w:vAlign w:val="center"/>
          </w:tcPr>
          <w:p w:rsidR="00E712FD" w:rsidRPr="00FE2294" w:rsidRDefault="00E712FD" w:rsidP="00AF60D8">
            <w:pPr>
              <w:autoSpaceDE w:val="0"/>
              <w:autoSpaceDN w:val="0"/>
              <w:adjustRightInd w:val="0"/>
              <w:spacing w:after="0" w:line="320" w:lineRule="atLeast"/>
              <w:ind w:left="60" w:right="60"/>
              <w:jc w:val="center"/>
              <w:rPr>
                <w:rFonts w:ascii="Arial" w:hAnsi="Arial" w:cs="Arial"/>
                <w:color w:val="010205"/>
              </w:rPr>
            </w:pPr>
            <w:r w:rsidRPr="00FE2294">
              <w:rPr>
                <w:rFonts w:ascii="Arial" w:hAnsi="Arial" w:cs="Arial"/>
                <w:b/>
                <w:bCs/>
                <w:color w:val="010205"/>
              </w:rPr>
              <w:t>Descriptive Statistics</w:t>
            </w:r>
          </w:p>
        </w:tc>
      </w:tr>
      <w:tr w:rsidR="00E712FD" w:rsidRPr="00FE2294" w:rsidTr="00E712FD">
        <w:trPr>
          <w:cantSplit/>
          <w:trHeight w:val="398"/>
        </w:trPr>
        <w:tc>
          <w:tcPr>
            <w:tcW w:w="1503" w:type="dxa"/>
            <w:tcBorders>
              <w:top w:val="nil"/>
              <w:bottom w:val="single" w:sz="4" w:space="0" w:color="auto"/>
            </w:tcBorders>
            <w:shd w:val="clear" w:color="auto" w:fill="FFFFFF"/>
            <w:vAlign w:val="bottom"/>
          </w:tcPr>
          <w:p w:rsidR="00E712FD" w:rsidRPr="00FE2294" w:rsidRDefault="00E712FD" w:rsidP="00AF60D8">
            <w:pPr>
              <w:autoSpaceDE w:val="0"/>
              <w:autoSpaceDN w:val="0"/>
              <w:adjustRightInd w:val="0"/>
              <w:spacing w:after="0" w:line="240" w:lineRule="auto"/>
              <w:rPr>
                <w:rFonts w:ascii="Times New Roman" w:hAnsi="Times New Roman" w:cs="Times New Roman"/>
                <w:sz w:val="24"/>
                <w:szCs w:val="24"/>
              </w:rPr>
            </w:pPr>
          </w:p>
        </w:tc>
        <w:tc>
          <w:tcPr>
            <w:tcW w:w="2515" w:type="dxa"/>
            <w:tcBorders>
              <w:top w:val="nil"/>
              <w:bottom w:val="single" w:sz="4" w:space="0" w:color="auto"/>
            </w:tcBorders>
            <w:shd w:val="clear" w:color="auto" w:fill="FFFFFF"/>
            <w:vAlign w:val="bottom"/>
          </w:tcPr>
          <w:p w:rsidR="00E712FD" w:rsidRPr="00FE2294" w:rsidRDefault="00E712FD" w:rsidP="00E712FD">
            <w:pPr>
              <w:autoSpaceDE w:val="0"/>
              <w:autoSpaceDN w:val="0"/>
              <w:adjustRightInd w:val="0"/>
              <w:spacing w:after="0" w:line="320" w:lineRule="atLeast"/>
              <w:ind w:left="60" w:right="60"/>
              <w:jc w:val="center"/>
              <w:rPr>
                <w:rFonts w:ascii="Arial" w:hAnsi="Arial" w:cs="Arial"/>
                <w:color w:val="264A60"/>
                <w:sz w:val="18"/>
                <w:szCs w:val="18"/>
              </w:rPr>
            </w:pPr>
            <w:r w:rsidRPr="00FE2294">
              <w:rPr>
                <w:rFonts w:ascii="Arial" w:hAnsi="Arial" w:cs="Arial"/>
                <w:color w:val="264A60"/>
                <w:sz w:val="18"/>
                <w:szCs w:val="18"/>
              </w:rPr>
              <w:t>Mean</w:t>
            </w:r>
          </w:p>
        </w:tc>
        <w:tc>
          <w:tcPr>
            <w:tcW w:w="2624" w:type="dxa"/>
            <w:tcBorders>
              <w:top w:val="nil"/>
              <w:bottom w:val="single" w:sz="4" w:space="0" w:color="auto"/>
            </w:tcBorders>
            <w:shd w:val="clear" w:color="auto" w:fill="FFFFFF"/>
            <w:vAlign w:val="bottom"/>
          </w:tcPr>
          <w:p w:rsidR="00E712FD" w:rsidRPr="00FE2294" w:rsidRDefault="00E712FD" w:rsidP="00E712FD">
            <w:pPr>
              <w:autoSpaceDE w:val="0"/>
              <w:autoSpaceDN w:val="0"/>
              <w:adjustRightInd w:val="0"/>
              <w:spacing w:after="0" w:line="320" w:lineRule="atLeast"/>
              <w:ind w:left="60" w:right="60"/>
              <w:jc w:val="center"/>
              <w:rPr>
                <w:rFonts w:ascii="Arial" w:hAnsi="Arial" w:cs="Arial"/>
                <w:color w:val="264A60"/>
                <w:sz w:val="18"/>
                <w:szCs w:val="18"/>
              </w:rPr>
            </w:pPr>
            <w:r w:rsidRPr="00FE2294">
              <w:rPr>
                <w:rFonts w:ascii="Arial" w:hAnsi="Arial" w:cs="Arial"/>
                <w:color w:val="264A60"/>
                <w:sz w:val="18"/>
                <w:szCs w:val="18"/>
              </w:rPr>
              <w:t>Std. Deviation</w:t>
            </w:r>
          </w:p>
        </w:tc>
        <w:tc>
          <w:tcPr>
            <w:tcW w:w="1830" w:type="dxa"/>
            <w:tcBorders>
              <w:top w:val="nil"/>
              <w:bottom w:val="single" w:sz="4" w:space="0" w:color="auto"/>
            </w:tcBorders>
            <w:shd w:val="clear" w:color="auto" w:fill="FFFFFF"/>
            <w:vAlign w:val="bottom"/>
          </w:tcPr>
          <w:p w:rsidR="00E712FD" w:rsidRPr="00FE2294" w:rsidRDefault="00E712FD" w:rsidP="00E712FD">
            <w:pPr>
              <w:autoSpaceDE w:val="0"/>
              <w:autoSpaceDN w:val="0"/>
              <w:adjustRightInd w:val="0"/>
              <w:spacing w:after="0" w:line="320" w:lineRule="atLeast"/>
              <w:ind w:left="60" w:right="60"/>
              <w:jc w:val="center"/>
              <w:rPr>
                <w:rFonts w:ascii="Arial" w:hAnsi="Arial" w:cs="Arial"/>
                <w:color w:val="264A60"/>
                <w:sz w:val="18"/>
                <w:szCs w:val="18"/>
              </w:rPr>
            </w:pPr>
            <w:r w:rsidRPr="00FE2294">
              <w:rPr>
                <w:rFonts w:ascii="Arial" w:hAnsi="Arial" w:cs="Arial"/>
                <w:color w:val="264A60"/>
                <w:sz w:val="18"/>
                <w:szCs w:val="18"/>
              </w:rPr>
              <w:t>N</w:t>
            </w:r>
          </w:p>
        </w:tc>
      </w:tr>
      <w:tr w:rsidR="00E712FD" w:rsidRPr="00FE2294" w:rsidTr="00E712FD">
        <w:trPr>
          <w:cantSplit/>
          <w:trHeight w:val="387"/>
        </w:trPr>
        <w:tc>
          <w:tcPr>
            <w:tcW w:w="1503" w:type="dxa"/>
            <w:tcBorders>
              <w:top w:val="single" w:sz="4" w:space="0" w:color="auto"/>
            </w:tcBorders>
            <w:shd w:val="clear" w:color="auto" w:fill="E0E0E0"/>
          </w:tcPr>
          <w:p w:rsidR="00E712FD" w:rsidRPr="00FE2294" w:rsidRDefault="00E712FD" w:rsidP="00AF60D8">
            <w:pPr>
              <w:autoSpaceDE w:val="0"/>
              <w:autoSpaceDN w:val="0"/>
              <w:adjustRightInd w:val="0"/>
              <w:spacing w:after="0" w:line="320" w:lineRule="atLeast"/>
              <w:ind w:left="60" w:right="60"/>
              <w:rPr>
                <w:rFonts w:ascii="Arial" w:hAnsi="Arial" w:cs="Arial"/>
                <w:color w:val="264A60"/>
                <w:sz w:val="18"/>
                <w:szCs w:val="18"/>
              </w:rPr>
            </w:pPr>
            <w:r w:rsidRPr="00FE2294">
              <w:rPr>
                <w:rFonts w:ascii="Arial" w:hAnsi="Arial" w:cs="Arial"/>
                <w:color w:val="264A60"/>
                <w:sz w:val="18"/>
                <w:szCs w:val="18"/>
              </w:rPr>
              <w:t>ESG</w:t>
            </w:r>
          </w:p>
        </w:tc>
        <w:tc>
          <w:tcPr>
            <w:tcW w:w="2515" w:type="dxa"/>
            <w:tcBorders>
              <w:top w:val="single" w:sz="4" w:space="0" w:color="auto"/>
            </w:tcBorders>
            <w:shd w:val="clear" w:color="auto" w:fill="FFFFFF"/>
          </w:tcPr>
          <w:p w:rsidR="00E712FD" w:rsidRPr="00FE2294" w:rsidRDefault="00E712FD" w:rsidP="00E712FD">
            <w:pPr>
              <w:autoSpaceDE w:val="0"/>
              <w:autoSpaceDN w:val="0"/>
              <w:adjustRightInd w:val="0"/>
              <w:spacing w:after="0" w:line="320" w:lineRule="atLeast"/>
              <w:ind w:left="60" w:right="60"/>
              <w:jc w:val="center"/>
              <w:rPr>
                <w:rFonts w:ascii="Arial" w:hAnsi="Arial" w:cs="Arial"/>
                <w:color w:val="010205"/>
                <w:sz w:val="18"/>
                <w:szCs w:val="18"/>
              </w:rPr>
            </w:pPr>
            <w:r w:rsidRPr="00FE2294">
              <w:rPr>
                <w:rFonts w:ascii="Arial" w:hAnsi="Arial" w:cs="Arial"/>
                <w:color w:val="010205"/>
                <w:sz w:val="18"/>
                <w:szCs w:val="18"/>
              </w:rPr>
              <w:t>248623.6885</w:t>
            </w:r>
          </w:p>
        </w:tc>
        <w:tc>
          <w:tcPr>
            <w:tcW w:w="2624" w:type="dxa"/>
            <w:tcBorders>
              <w:top w:val="single" w:sz="4" w:space="0" w:color="auto"/>
            </w:tcBorders>
            <w:shd w:val="clear" w:color="auto" w:fill="FFFFFF"/>
          </w:tcPr>
          <w:p w:rsidR="00E712FD" w:rsidRPr="00FE2294" w:rsidRDefault="00E712FD" w:rsidP="00E712FD">
            <w:pPr>
              <w:autoSpaceDE w:val="0"/>
              <w:autoSpaceDN w:val="0"/>
              <w:adjustRightInd w:val="0"/>
              <w:spacing w:after="0" w:line="320" w:lineRule="atLeast"/>
              <w:ind w:left="60" w:right="60"/>
              <w:jc w:val="center"/>
              <w:rPr>
                <w:rFonts w:ascii="Arial" w:hAnsi="Arial" w:cs="Arial"/>
                <w:color w:val="010205"/>
                <w:sz w:val="18"/>
                <w:szCs w:val="18"/>
              </w:rPr>
            </w:pPr>
            <w:r w:rsidRPr="00FE2294">
              <w:rPr>
                <w:rFonts w:ascii="Arial" w:hAnsi="Arial" w:cs="Arial"/>
                <w:color w:val="010205"/>
                <w:sz w:val="18"/>
                <w:szCs w:val="18"/>
              </w:rPr>
              <w:t>182698.66223</w:t>
            </w:r>
          </w:p>
        </w:tc>
        <w:tc>
          <w:tcPr>
            <w:tcW w:w="1830" w:type="dxa"/>
            <w:tcBorders>
              <w:top w:val="single" w:sz="4" w:space="0" w:color="auto"/>
            </w:tcBorders>
            <w:shd w:val="clear" w:color="auto" w:fill="FFFFFF"/>
          </w:tcPr>
          <w:p w:rsidR="00E712FD" w:rsidRPr="00FE2294" w:rsidRDefault="00E712FD" w:rsidP="00E712FD">
            <w:pPr>
              <w:autoSpaceDE w:val="0"/>
              <w:autoSpaceDN w:val="0"/>
              <w:adjustRightInd w:val="0"/>
              <w:spacing w:after="0" w:line="320" w:lineRule="atLeast"/>
              <w:ind w:left="60" w:right="60"/>
              <w:jc w:val="center"/>
              <w:rPr>
                <w:rFonts w:ascii="Arial" w:hAnsi="Arial" w:cs="Arial"/>
                <w:color w:val="010205"/>
                <w:sz w:val="18"/>
                <w:szCs w:val="18"/>
              </w:rPr>
            </w:pPr>
            <w:r w:rsidRPr="00FE2294">
              <w:rPr>
                <w:rFonts w:ascii="Arial" w:hAnsi="Arial" w:cs="Arial"/>
                <w:color w:val="010205"/>
                <w:sz w:val="18"/>
                <w:szCs w:val="18"/>
              </w:rPr>
              <w:t>13</w:t>
            </w:r>
          </w:p>
        </w:tc>
      </w:tr>
      <w:tr w:rsidR="00E712FD" w:rsidRPr="00FE2294" w:rsidTr="00E712FD">
        <w:trPr>
          <w:cantSplit/>
          <w:trHeight w:val="398"/>
        </w:trPr>
        <w:tc>
          <w:tcPr>
            <w:tcW w:w="1503" w:type="dxa"/>
            <w:shd w:val="clear" w:color="auto" w:fill="E0E0E0"/>
          </w:tcPr>
          <w:p w:rsidR="00E712FD" w:rsidRPr="00FE2294" w:rsidRDefault="00E712FD" w:rsidP="00AF60D8">
            <w:pPr>
              <w:autoSpaceDE w:val="0"/>
              <w:autoSpaceDN w:val="0"/>
              <w:adjustRightInd w:val="0"/>
              <w:spacing w:after="0" w:line="320" w:lineRule="atLeast"/>
              <w:ind w:left="60" w:right="60"/>
              <w:rPr>
                <w:rFonts w:ascii="Arial" w:hAnsi="Arial" w:cs="Arial"/>
                <w:color w:val="264A60"/>
                <w:sz w:val="18"/>
                <w:szCs w:val="18"/>
              </w:rPr>
            </w:pPr>
            <w:r w:rsidRPr="00FE2294">
              <w:rPr>
                <w:rFonts w:ascii="Arial" w:hAnsi="Arial" w:cs="Arial"/>
                <w:color w:val="264A60"/>
                <w:sz w:val="18"/>
                <w:szCs w:val="18"/>
              </w:rPr>
              <w:t>B.NAT</w:t>
            </w:r>
          </w:p>
        </w:tc>
        <w:tc>
          <w:tcPr>
            <w:tcW w:w="2515" w:type="dxa"/>
            <w:shd w:val="clear" w:color="auto" w:fill="FFFFFF"/>
          </w:tcPr>
          <w:p w:rsidR="00E712FD" w:rsidRPr="00FE2294" w:rsidRDefault="00E712FD" w:rsidP="00E712FD">
            <w:pPr>
              <w:autoSpaceDE w:val="0"/>
              <w:autoSpaceDN w:val="0"/>
              <w:adjustRightInd w:val="0"/>
              <w:spacing w:after="0" w:line="320" w:lineRule="atLeast"/>
              <w:ind w:left="60" w:right="60"/>
              <w:jc w:val="center"/>
              <w:rPr>
                <w:rFonts w:ascii="Arial" w:hAnsi="Arial" w:cs="Arial"/>
                <w:color w:val="010205"/>
                <w:sz w:val="18"/>
                <w:szCs w:val="18"/>
              </w:rPr>
            </w:pPr>
            <w:r w:rsidRPr="00FE2294">
              <w:rPr>
                <w:rFonts w:ascii="Arial" w:hAnsi="Arial" w:cs="Arial"/>
                <w:color w:val="010205"/>
                <w:sz w:val="18"/>
                <w:szCs w:val="18"/>
              </w:rPr>
              <w:t>.1566</w:t>
            </w:r>
          </w:p>
        </w:tc>
        <w:tc>
          <w:tcPr>
            <w:tcW w:w="2624" w:type="dxa"/>
            <w:shd w:val="clear" w:color="auto" w:fill="FFFFFF"/>
          </w:tcPr>
          <w:p w:rsidR="00E712FD" w:rsidRPr="00FE2294" w:rsidRDefault="00E712FD" w:rsidP="00E712FD">
            <w:pPr>
              <w:autoSpaceDE w:val="0"/>
              <w:autoSpaceDN w:val="0"/>
              <w:adjustRightInd w:val="0"/>
              <w:spacing w:after="0" w:line="320" w:lineRule="atLeast"/>
              <w:ind w:left="60" w:right="60"/>
              <w:jc w:val="center"/>
              <w:rPr>
                <w:rFonts w:ascii="Arial" w:hAnsi="Arial" w:cs="Arial"/>
                <w:color w:val="010205"/>
                <w:sz w:val="18"/>
                <w:szCs w:val="18"/>
              </w:rPr>
            </w:pPr>
            <w:r w:rsidRPr="00FE2294">
              <w:rPr>
                <w:rFonts w:ascii="Arial" w:hAnsi="Arial" w:cs="Arial"/>
                <w:color w:val="010205"/>
                <w:sz w:val="18"/>
                <w:szCs w:val="18"/>
              </w:rPr>
              <w:t>.21799</w:t>
            </w:r>
          </w:p>
        </w:tc>
        <w:tc>
          <w:tcPr>
            <w:tcW w:w="1830" w:type="dxa"/>
            <w:shd w:val="clear" w:color="auto" w:fill="FFFFFF"/>
          </w:tcPr>
          <w:p w:rsidR="00E712FD" w:rsidRPr="00FE2294" w:rsidRDefault="00E712FD" w:rsidP="00E712FD">
            <w:pPr>
              <w:autoSpaceDE w:val="0"/>
              <w:autoSpaceDN w:val="0"/>
              <w:adjustRightInd w:val="0"/>
              <w:spacing w:after="0" w:line="320" w:lineRule="atLeast"/>
              <w:ind w:left="60" w:right="60"/>
              <w:jc w:val="center"/>
              <w:rPr>
                <w:rFonts w:ascii="Arial" w:hAnsi="Arial" w:cs="Arial"/>
                <w:color w:val="010205"/>
                <w:sz w:val="18"/>
                <w:szCs w:val="18"/>
              </w:rPr>
            </w:pPr>
            <w:r w:rsidRPr="00FE2294">
              <w:rPr>
                <w:rFonts w:ascii="Arial" w:hAnsi="Arial" w:cs="Arial"/>
                <w:color w:val="010205"/>
                <w:sz w:val="18"/>
                <w:szCs w:val="18"/>
              </w:rPr>
              <w:t>13</w:t>
            </w:r>
          </w:p>
        </w:tc>
      </w:tr>
      <w:tr w:rsidR="00E712FD" w:rsidRPr="00FE2294" w:rsidTr="00E712FD">
        <w:trPr>
          <w:cantSplit/>
          <w:trHeight w:val="398"/>
        </w:trPr>
        <w:tc>
          <w:tcPr>
            <w:tcW w:w="1503" w:type="dxa"/>
            <w:shd w:val="clear" w:color="auto" w:fill="E0E0E0"/>
          </w:tcPr>
          <w:p w:rsidR="00E712FD" w:rsidRPr="00FE2294" w:rsidRDefault="00E712FD" w:rsidP="00AF60D8">
            <w:pPr>
              <w:autoSpaceDE w:val="0"/>
              <w:autoSpaceDN w:val="0"/>
              <w:adjustRightInd w:val="0"/>
              <w:spacing w:after="0" w:line="320" w:lineRule="atLeast"/>
              <w:ind w:left="60" w:right="60"/>
              <w:rPr>
                <w:rFonts w:ascii="Arial" w:hAnsi="Arial" w:cs="Arial"/>
                <w:color w:val="264A60"/>
                <w:sz w:val="18"/>
                <w:szCs w:val="18"/>
              </w:rPr>
            </w:pPr>
            <w:r w:rsidRPr="00FE2294">
              <w:rPr>
                <w:rFonts w:ascii="Arial" w:hAnsi="Arial" w:cs="Arial"/>
                <w:color w:val="264A60"/>
                <w:sz w:val="18"/>
                <w:szCs w:val="18"/>
              </w:rPr>
              <w:t>B.REP</w:t>
            </w:r>
          </w:p>
        </w:tc>
        <w:tc>
          <w:tcPr>
            <w:tcW w:w="2515" w:type="dxa"/>
            <w:shd w:val="clear" w:color="auto" w:fill="FFFFFF"/>
          </w:tcPr>
          <w:p w:rsidR="00E712FD" w:rsidRPr="00FE2294" w:rsidRDefault="00E712FD" w:rsidP="00E712FD">
            <w:pPr>
              <w:autoSpaceDE w:val="0"/>
              <w:autoSpaceDN w:val="0"/>
              <w:adjustRightInd w:val="0"/>
              <w:spacing w:after="0" w:line="320" w:lineRule="atLeast"/>
              <w:ind w:left="60" w:right="60"/>
              <w:jc w:val="center"/>
              <w:rPr>
                <w:rFonts w:ascii="Arial" w:hAnsi="Arial" w:cs="Arial"/>
                <w:color w:val="010205"/>
                <w:sz w:val="18"/>
                <w:szCs w:val="18"/>
              </w:rPr>
            </w:pPr>
            <w:r w:rsidRPr="00FE2294">
              <w:rPr>
                <w:rFonts w:ascii="Arial" w:hAnsi="Arial" w:cs="Arial"/>
                <w:color w:val="010205"/>
                <w:sz w:val="18"/>
                <w:szCs w:val="18"/>
              </w:rPr>
              <w:t>17.4387</w:t>
            </w:r>
          </w:p>
        </w:tc>
        <w:tc>
          <w:tcPr>
            <w:tcW w:w="2624" w:type="dxa"/>
            <w:shd w:val="clear" w:color="auto" w:fill="FFFFFF"/>
          </w:tcPr>
          <w:p w:rsidR="00E712FD" w:rsidRPr="00FE2294" w:rsidRDefault="00E712FD" w:rsidP="00E712FD">
            <w:pPr>
              <w:autoSpaceDE w:val="0"/>
              <w:autoSpaceDN w:val="0"/>
              <w:adjustRightInd w:val="0"/>
              <w:spacing w:after="0" w:line="320" w:lineRule="atLeast"/>
              <w:ind w:left="60" w:right="60"/>
              <w:jc w:val="center"/>
              <w:rPr>
                <w:rFonts w:ascii="Arial" w:hAnsi="Arial" w:cs="Arial"/>
                <w:color w:val="010205"/>
                <w:sz w:val="18"/>
                <w:szCs w:val="18"/>
              </w:rPr>
            </w:pPr>
            <w:r w:rsidRPr="00FE2294">
              <w:rPr>
                <w:rFonts w:ascii="Arial" w:hAnsi="Arial" w:cs="Arial"/>
                <w:color w:val="010205"/>
                <w:sz w:val="18"/>
                <w:szCs w:val="18"/>
              </w:rPr>
              <w:t>2.65691</w:t>
            </w:r>
          </w:p>
        </w:tc>
        <w:tc>
          <w:tcPr>
            <w:tcW w:w="1830" w:type="dxa"/>
            <w:shd w:val="clear" w:color="auto" w:fill="FFFFFF"/>
          </w:tcPr>
          <w:p w:rsidR="00E712FD" w:rsidRPr="00FE2294" w:rsidRDefault="00E712FD" w:rsidP="00E712FD">
            <w:pPr>
              <w:autoSpaceDE w:val="0"/>
              <w:autoSpaceDN w:val="0"/>
              <w:adjustRightInd w:val="0"/>
              <w:spacing w:after="0" w:line="320" w:lineRule="atLeast"/>
              <w:ind w:left="60" w:right="60"/>
              <w:jc w:val="center"/>
              <w:rPr>
                <w:rFonts w:ascii="Arial" w:hAnsi="Arial" w:cs="Arial"/>
                <w:color w:val="010205"/>
                <w:sz w:val="18"/>
                <w:szCs w:val="18"/>
              </w:rPr>
            </w:pPr>
            <w:r w:rsidRPr="00FE2294">
              <w:rPr>
                <w:rFonts w:ascii="Arial" w:hAnsi="Arial" w:cs="Arial"/>
                <w:color w:val="010205"/>
                <w:sz w:val="18"/>
                <w:szCs w:val="18"/>
              </w:rPr>
              <w:t>13</w:t>
            </w:r>
          </w:p>
        </w:tc>
      </w:tr>
    </w:tbl>
    <w:p w:rsidR="001523AD" w:rsidRDefault="001523AD" w:rsidP="00B527E0">
      <w:pPr>
        <w:spacing w:after="0" w:line="360" w:lineRule="auto"/>
        <w:jc w:val="both"/>
      </w:pPr>
    </w:p>
    <w:p w:rsidR="00E66387" w:rsidRPr="00E66387" w:rsidRDefault="00E66387" w:rsidP="00B527E0">
      <w:pPr>
        <w:spacing w:after="0" w:line="360" w:lineRule="auto"/>
        <w:jc w:val="both"/>
        <w:rPr>
          <w:rFonts w:ascii="Times New Roman" w:hAnsi="Times New Roman" w:cs="Times New Roman"/>
          <w:sz w:val="24"/>
          <w:szCs w:val="24"/>
        </w:rPr>
      </w:pPr>
      <w:r w:rsidRPr="00E66387">
        <w:rPr>
          <w:rFonts w:ascii="Times New Roman" w:hAnsi="Times New Roman" w:cs="Times New Roman"/>
          <w:sz w:val="24"/>
          <w:szCs w:val="24"/>
        </w:rPr>
        <w:t xml:space="preserve">Descriptive statistics indicate that </w:t>
      </w:r>
      <w:r w:rsidRPr="00E66387">
        <w:rPr>
          <w:rStyle w:val="Strong"/>
          <w:rFonts w:ascii="Times New Roman" w:hAnsi="Times New Roman" w:cs="Times New Roman"/>
          <w:b w:val="0"/>
          <w:sz w:val="24"/>
          <w:szCs w:val="24"/>
        </w:rPr>
        <w:t>sustainability reporting (ESG)</w:t>
      </w:r>
      <w:r w:rsidRPr="00E66387">
        <w:rPr>
          <w:rFonts w:ascii="Times New Roman" w:hAnsi="Times New Roman" w:cs="Times New Roman"/>
          <w:sz w:val="24"/>
          <w:szCs w:val="24"/>
        </w:rPr>
        <w:t xml:space="preserve"> of the sampled manufacturing firms recorded a mean value of </w:t>
      </w:r>
      <w:r w:rsidRPr="00E66387">
        <w:rPr>
          <w:rStyle w:val="Strong"/>
          <w:rFonts w:ascii="Times New Roman" w:hAnsi="Times New Roman" w:cs="Times New Roman"/>
          <w:b w:val="0"/>
          <w:sz w:val="24"/>
          <w:szCs w:val="24"/>
        </w:rPr>
        <w:t>248,623.69</w:t>
      </w:r>
      <w:r w:rsidRPr="00E66387">
        <w:rPr>
          <w:rFonts w:ascii="Times New Roman" w:hAnsi="Times New Roman" w:cs="Times New Roman"/>
          <w:b/>
          <w:sz w:val="24"/>
          <w:szCs w:val="24"/>
        </w:rPr>
        <w:t>,</w:t>
      </w:r>
      <w:r w:rsidRPr="00E66387">
        <w:rPr>
          <w:rFonts w:ascii="Times New Roman" w:hAnsi="Times New Roman" w:cs="Times New Roman"/>
          <w:sz w:val="24"/>
          <w:szCs w:val="24"/>
        </w:rPr>
        <w:t xml:space="preserve"> with a standard deviation of </w:t>
      </w:r>
      <w:r w:rsidRPr="00E66387">
        <w:rPr>
          <w:rStyle w:val="Strong"/>
          <w:rFonts w:ascii="Times New Roman" w:hAnsi="Times New Roman" w:cs="Times New Roman"/>
          <w:b w:val="0"/>
          <w:sz w:val="24"/>
          <w:szCs w:val="24"/>
        </w:rPr>
        <w:t>182,698.66</w:t>
      </w:r>
      <w:r w:rsidRPr="00E66387">
        <w:rPr>
          <w:rFonts w:ascii="Times New Roman" w:hAnsi="Times New Roman" w:cs="Times New Roman"/>
          <w:b/>
          <w:sz w:val="24"/>
          <w:szCs w:val="24"/>
        </w:rPr>
        <w:t>,</w:t>
      </w:r>
      <w:r w:rsidRPr="00E66387">
        <w:rPr>
          <w:rFonts w:ascii="Times New Roman" w:hAnsi="Times New Roman" w:cs="Times New Roman"/>
          <w:sz w:val="24"/>
          <w:szCs w:val="24"/>
        </w:rPr>
        <w:t xml:space="preserve"> showing wide variation in the level of ESG disclosures among the firms over the study period. </w:t>
      </w:r>
      <w:r w:rsidRPr="00E66387">
        <w:rPr>
          <w:rStyle w:val="Strong"/>
          <w:rFonts w:ascii="Times New Roman" w:hAnsi="Times New Roman" w:cs="Times New Roman"/>
          <w:b w:val="0"/>
          <w:sz w:val="24"/>
          <w:szCs w:val="24"/>
        </w:rPr>
        <w:t>Board director nationality (B.NAT)</w:t>
      </w:r>
      <w:r w:rsidRPr="00E66387">
        <w:rPr>
          <w:rFonts w:ascii="Times New Roman" w:hAnsi="Times New Roman" w:cs="Times New Roman"/>
          <w:b/>
          <w:sz w:val="24"/>
          <w:szCs w:val="24"/>
        </w:rPr>
        <w:t xml:space="preserve"> </w:t>
      </w:r>
      <w:r w:rsidRPr="00E66387">
        <w:rPr>
          <w:rFonts w:ascii="Times New Roman" w:hAnsi="Times New Roman" w:cs="Times New Roman"/>
          <w:sz w:val="24"/>
          <w:szCs w:val="24"/>
        </w:rPr>
        <w:t xml:space="preserve">had a mean of </w:t>
      </w:r>
      <w:r w:rsidRPr="00E66387">
        <w:rPr>
          <w:rStyle w:val="Strong"/>
          <w:rFonts w:ascii="Times New Roman" w:hAnsi="Times New Roman" w:cs="Times New Roman"/>
          <w:b w:val="0"/>
          <w:sz w:val="24"/>
          <w:szCs w:val="24"/>
        </w:rPr>
        <w:t>0.1566</w:t>
      </w:r>
      <w:r w:rsidRPr="00E66387">
        <w:rPr>
          <w:rFonts w:ascii="Times New Roman" w:hAnsi="Times New Roman" w:cs="Times New Roman"/>
          <w:b/>
          <w:sz w:val="24"/>
          <w:szCs w:val="24"/>
        </w:rPr>
        <w:t xml:space="preserve"> </w:t>
      </w:r>
      <w:r w:rsidRPr="00E66387">
        <w:rPr>
          <w:rFonts w:ascii="Times New Roman" w:hAnsi="Times New Roman" w:cs="Times New Roman"/>
          <w:sz w:val="24"/>
          <w:szCs w:val="24"/>
        </w:rPr>
        <w:t xml:space="preserve">and a standard deviation of </w:t>
      </w:r>
      <w:r w:rsidRPr="00E66387">
        <w:rPr>
          <w:rStyle w:val="Strong"/>
          <w:rFonts w:ascii="Times New Roman" w:hAnsi="Times New Roman" w:cs="Times New Roman"/>
          <w:b w:val="0"/>
          <w:sz w:val="24"/>
          <w:szCs w:val="24"/>
        </w:rPr>
        <w:t>0.21799</w:t>
      </w:r>
      <w:r w:rsidRPr="00E66387">
        <w:rPr>
          <w:rFonts w:ascii="Times New Roman" w:hAnsi="Times New Roman" w:cs="Times New Roman"/>
          <w:sz w:val="24"/>
          <w:szCs w:val="24"/>
        </w:rPr>
        <w:t xml:space="preserve"> implying that, on average, foreign directors constituted about </w:t>
      </w:r>
      <w:r w:rsidRPr="00E66387">
        <w:rPr>
          <w:rStyle w:val="Strong"/>
          <w:rFonts w:ascii="Times New Roman" w:hAnsi="Times New Roman" w:cs="Times New Roman"/>
          <w:sz w:val="24"/>
          <w:szCs w:val="24"/>
        </w:rPr>
        <w:t>15.7%</w:t>
      </w:r>
      <w:r w:rsidRPr="00E66387">
        <w:rPr>
          <w:rFonts w:ascii="Times New Roman" w:hAnsi="Times New Roman" w:cs="Times New Roman"/>
          <w:sz w:val="24"/>
          <w:szCs w:val="24"/>
        </w:rPr>
        <w:t xml:space="preserve"> of board membership, though with considerable disparity across firms. </w:t>
      </w:r>
      <w:r w:rsidRPr="00E66387">
        <w:rPr>
          <w:rStyle w:val="Strong"/>
          <w:rFonts w:ascii="Times New Roman" w:hAnsi="Times New Roman" w:cs="Times New Roman"/>
          <w:b w:val="0"/>
          <w:sz w:val="24"/>
          <w:szCs w:val="24"/>
        </w:rPr>
        <w:t>Board director reputational capital (B.REP)</w:t>
      </w:r>
      <w:r w:rsidRPr="00E66387">
        <w:rPr>
          <w:rFonts w:ascii="Times New Roman" w:hAnsi="Times New Roman" w:cs="Times New Roman"/>
          <w:b/>
          <w:sz w:val="24"/>
          <w:szCs w:val="24"/>
        </w:rPr>
        <w:t xml:space="preserve"> </w:t>
      </w:r>
      <w:r w:rsidRPr="00E66387">
        <w:rPr>
          <w:rFonts w:ascii="Times New Roman" w:hAnsi="Times New Roman" w:cs="Times New Roman"/>
          <w:sz w:val="24"/>
          <w:szCs w:val="24"/>
        </w:rPr>
        <w:t>recorded</w:t>
      </w:r>
      <w:r w:rsidRPr="00E66387">
        <w:rPr>
          <w:rFonts w:ascii="Times New Roman" w:hAnsi="Times New Roman" w:cs="Times New Roman"/>
          <w:b/>
          <w:sz w:val="24"/>
          <w:szCs w:val="24"/>
        </w:rPr>
        <w:t xml:space="preserve"> </w:t>
      </w:r>
      <w:r w:rsidRPr="00E66387">
        <w:rPr>
          <w:rFonts w:ascii="Times New Roman" w:hAnsi="Times New Roman" w:cs="Times New Roman"/>
          <w:sz w:val="24"/>
          <w:szCs w:val="24"/>
        </w:rPr>
        <w:t xml:space="preserve">a mean value of </w:t>
      </w:r>
      <w:r w:rsidRPr="004D4997">
        <w:rPr>
          <w:rStyle w:val="Strong"/>
          <w:rFonts w:ascii="Times New Roman" w:hAnsi="Times New Roman" w:cs="Times New Roman"/>
          <w:b w:val="0"/>
          <w:sz w:val="24"/>
          <w:szCs w:val="24"/>
        </w:rPr>
        <w:t>17.44</w:t>
      </w:r>
      <w:r w:rsidRPr="00E66387">
        <w:rPr>
          <w:rFonts w:ascii="Times New Roman" w:hAnsi="Times New Roman" w:cs="Times New Roman"/>
          <w:sz w:val="24"/>
          <w:szCs w:val="24"/>
        </w:rPr>
        <w:t xml:space="preserve"> with a standard deviation of </w:t>
      </w:r>
      <w:r w:rsidRPr="004D4997">
        <w:rPr>
          <w:rStyle w:val="Strong"/>
          <w:rFonts w:ascii="Times New Roman" w:hAnsi="Times New Roman" w:cs="Times New Roman"/>
          <w:b w:val="0"/>
          <w:sz w:val="24"/>
          <w:szCs w:val="24"/>
        </w:rPr>
        <w:t>2.66</w:t>
      </w:r>
      <w:r w:rsidRPr="004D4997">
        <w:rPr>
          <w:rFonts w:ascii="Times New Roman" w:hAnsi="Times New Roman" w:cs="Times New Roman"/>
          <w:b/>
          <w:sz w:val="24"/>
          <w:szCs w:val="24"/>
        </w:rPr>
        <w:t>,</w:t>
      </w:r>
      <w:r w:rsidRPr="00E66387">
        <w:rPr>
          <w:rFonts w:ascii="Times New Roman" w:hAnsi="Times New Roman" w:cs="Times New Roman"/>
          <w:sz w:val="24"/>
          <w:szCs w:val="24"/>
        </w:rPr>
        <w:t xml:space="preserve"> indicating relatively moderate variation in directors’ reputational capital among the manufacturing firms. All variables were observed across </w:t>
      </w:r>
      <w:r w:rsidRPr="00E66387">
        <w:rPr>
          <w:rStyle w:val="Strong"/>
          <w:rFonts w:ascii="Times New Roman" w:hAnsi="Times New Roman" w:cs="Times New Roman"/>
          <w:b w:val="0"/>
          <w:sz w:val="24"/>
          <w:szCs w:val="24"/>
        </w:rPr>
        <w:t>13 firm-year observations</w:t>
      </w:r>
      <w:r w:rsidRPr="00E66387">
        <w:rPr>
          <w:rFonts w:ascii="Times New Roman" w:hAnsi="Times New Roman" w:cs="Times New Roman"/>
          <w:b/>
          <w:sz w:val="24"/>
          <w:szCs w:val="24"/>
        </w:rPr>
        <w:t>,</w:t>
      </w:r>
      <w:r w:rsidRPr="00E66387">
        <w:rPr>
          <w:rFonts w:ascii="Times New Roman" w:hAnsi="Times New Roman" w:cs="Times New Roman"/>
          <w:sz w:val="24"/>
          <w:szCs w:val="24"/>
        </w:rPr>
        <w:t xml:space="preserve"> ensuring consistency in the descriptive analysis.</w:t>
      </w:r>
    </w:p>
    <w:p w:rsidR="00E66387" w:rsidRDefault="00E66387" w:rsidP="00B527E0">
      <w:pPr>
        <w:spacing w:after="0" w:line="360" w:lineRule="auto"/>
        <w:jc w:val="both"/>
      </w:pPr>
    </w:p>
    <w:p w:rsidR="00E66387" w:rsidRDefault="00E66387" w:rsidP="00B527E0">
      <w:pPr>
        <w:spacing w:after="0" w:line="360" w:lineRule="auto"/>
        <w:jc w:val="both"/>
      </w:pPr>
    </w:p>
    <w:p w:rsidR="00E66387" w:rsidRDefault="00E66387" w:rsidP="00B527E0">
      <w:pPr>
        <w:spacing w:after="0" w:line="360" w:lineRule="auto"/>
        <w:jc w:val="both"/>
      </w:pPr>
    </w:p>
    <w:p w:rsidR="00E66387" w:rsidRDefault="00E66387" w:rsidP="00B527E0">
      <w:pPr>
        <w:spacing w:after="0" w:line="360" w:lineRule="auto"/>
        <w:jc w:val="both"/>
      </w:pPr>
    </w:p>
    <w:p w:rsidR="00E66387" w:rsidRDefault="00E66387" w:rsidP="00B527E0">
      <w:pPr>
        <w:spacing w:after="0" w:line="360" w:lineRule="auto"/>
        <w:jc w:val="both"/>
      </w:pPr>
    </w:p>
    <w:p w:rsidR="00E66387" w:rsidRDefault="00E66387" w:rsidP="00B527E0">
      <w:pPr>
        <w:spacing w:after="0" w:line="360" w:lineRule="auto"/>
        <w:jc w:val="both"/>
      </w:pPr>
    </w:p>
    <w:p w:rsidR="00E66387" w:rsidRDefault="00E66387" w:rsidP="00E66387">
      <w:pPr>
        <w:spacing w:after="0" w:line="360" w:lineRule="auto"/>
        <w:jc w:val="both"/>
        <w:rPr>
          <w:rFonts w:ascii="Times New Roman" w:hAnsi="Times New Roman" w:cs="Times New Roman"/>
        </w:rPr>
      </w:pPr>
      <w:r>
        <w:rPr>
          <w:rFonts w:ascii="Times New Roman" w:hAnsi="Times New Roman" w:cs="Times New Roman"/>
        </w:rPr>
        <w:lastRenderedPageBreak/>
        <w:t>4.1.2</w:t>
      </w:r>
      <w:r>
        <w:rPr>
          <w:rFonts w:ascii="Times New Roman" w:hAnsi="Times New Roman" w:cs="Times New Roman"/>
        </w:rPr>
        <w:tab/>
        <w:t>Correlation Result</w:t>
      </w:r>
    </w:p>
    <w:tbl>
      <w:tblPr>
        <w:tblW w:w="8676"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924"/>
        <w:gridCol w:w="1236"/>
        <w:gridCol w:w="1505"/>
        <w:gridCol w:w="1505"/>
        <w:gridCol w:w="1506"/>
      </w:tblGrid>
      <w:tr w:rsidR="00E66387" w:rsidRPr="009412FC" w:rsidTr="00AF60D8">
        <w:trPr>
          <w:cantSplit/>
          <w:trHeight w:val="335"/>
        </w:trPr>
        <w:tc>
          <w:tcPr>
            <w:tcW w:w="8676" w:type="dxa"/>
            <w:gridSpan w:val="5"/>
            <w:tcBorders>
              <w:top w:val="single" w:sz="4" w:space="0" w:color="auto"/>
              <w:bottom w:val="nil"/>
            </w:tcBorders>
            <w:shd w:val="clear" w:color="auto" w:fill="FFFFFF"/>
            <w:vAlign w:val="center"/>
          </w:tcPr>
          <w:p w:rsidR="00E66387" w:rsidRPr="009412FC" w:rsidRDefault="00E66387" w:rsidP="008B1311">
            <w:pPr>
              <w:autoSpaceDE w:val="0"/>
              <w:autoSpaceDN w:val="0"/>
              <w:adjustRightInd w:val="0"/>
              <w:spacing w:after="0" w:line="240" w:lineRule="auto"/>
              <w:ind w:left="60" w:right="60"/>
              <w:jc w:val="center"/>
              <w:rPr>
                <w:rFonts w:ascii="Times New Roman" w:hAnsi="Times New Roman" w:cs="Times New Roman"/>
                <w:color w:val="010205"/>
              </w:rPr>
            </w:pPr>
            <w:r w:rsidRPr="009412FC">
              <w:rPr>
                <w:rFonts w:ascii="Times New Roman" w:hAnsi="Times New Roman" w:cs="Times New Roman"/>
                <w:b/>
                <w:bCs/>
                <w:color w:val="010205"/>
              </w:rPr>
              <w:t>Correlations</w:t>
            </w:r>
          </w:p>
        </w:tc>
      </w:tr>
      <w:tr w:rsidR="00E66387" w:rsidRPr="009412FC" w:rsidTr="00AF60D8">
        <w:trPr>
          <w:cantSplit/>
          <w:trHeight w:val="335"/>
        </w:trPr>
        <w:tc>
          <w:tcPr>
            <w:tcW w:w="4160" w:type="dxa"/>
            <w:gridSpan w:val="2"/>
            <w:tcBorders>
              <w:top w:val="nil"/>
              <w:bottom w:val="single" w:sz="4" w:space="0" w:color="auto"/>
            </w:tcBorders>
            <w:shd w:val="clear" w:color="auto" w:fill="FFFFFF"/>
            <w:vAlign w:val="bottom"/>
          </w:tcPr>
          <w:p w:rsidR="00E66387" w:rsidRPr="009412FC" w:rsidRDefault="00E66387" w:rsidP="008B1311">
            <w:pPr>
              <w:autoSpaceDE w:val="0"/>
              <w:autoSpaceDN w:val="0"/>
              <w:adjustRightInd w:val="0"/>
              <w:spacing w:after="0" w:line="240" w:lineRule="auto"/>
              <w:rPr>
                <w:rFonts w:ascii="Times New Roman" w:hAnsi="Times New Roman" w:cs="Times New Roman"/>
                <w:sz w:val="24"/>
                <w:szCs w:val="24"/>
              </w:rPr>
            </w:pPr>
          </w:p>
        </w:tc>
        <w:tc>
          <w:tcPr>
            <w:tcW w:w="1505" w:type="dxa"/>
            <w:tcBorders>
              <w:top w:val="nil"/>
              <w:bottom w:val="single" w:sz="4" w:space="0" w:color="auto"/>
            </w:tcBorders>
            <w:shd w:val="clear" w:color="auto" w:fill="FFFFFF"/>
            <w:vAlign w:val="bottom"/>
          </w:tcPr>
          <w:p w:rsidR="00E66387" w:rsidRPr="009412FC" w:rsidRDefault="00E66387" w:rsidP="008B1311">
            <w:pPr>
              <w:autoSpaceDE w:val="0"/>
              <w:autoSpaceDN w:val="0"/>
              <w:adjustRightInd w:val="0"/>
              <w:spacing w:after="0" w:line="240" w:lineRule="auto"/>
              <w:ind w:left="60" w:right="60"/>
              <w:jc w:val="center"/>
              <w:rPr>
                <w:rFonts w:ascii="Times New Roman" w:hAnsi="Times New Roman" w:cs="Times New Roman"/>
                <w:color w:val="264A60"/>
                <w:sz w:val="18"/>
                <w:szCs w:val="18"/>
              </w:rPr>
            </w:pPr>
            <w:r w:rsidRPr="009412FC">
              <w:rPr>
                <w:rFonts w:ascii="Times New Roman" w:hAnsi="Times New Roman" w:cs="Times New Roman"/>
                <w:color w:val="264A60"/>
                <w:sz w:val="18"/>
                <w:szCs w:val="18"/>
              </w:rPr>
              <w:t>ESG</w:t>
            </w:r>
          </w:p>
        </w:tc>
        <w:tc>
          <w:tcPr>
            <w:tcW w:w="1505" w:type="dxa"/>
            <w:tcBorders>
              <w:top w:val="nil"/>
              <w:bottom w:val="single" w:sz="4" w:space="0" w:color="auto"/>
            </w:tcBorders>
            <w:shd w:val="clear" w:color="auto" w:fill="FFFFFF"/>
            <w:vAlign w:val="bottom"/>
          </w:tcPr>
          <w:p w:rsidR="00E66387" w:rsidRPr="009412FC" w:rsidRDefault="00E66387" w:rsidP="008B1311">
            <w:pPr>
              <w:autoSpaceDE w:val="0"/>
              <w:autoSpaceDN w:val="0"/>
              <w:adjustRightInd w:val="0"/>
              <w:spacing w:after="0" w:line="240" w:lineRule="auto"/>
              <w:ind w:left="60" w:right="60"/>
              <w:jc w:val="center"/>
              <w:rPr>
                <w:rFonts w:ascii="Times New Roman" w:hAnsi="Times New Roman" w:cs="Times New Roman"/>
                <w:color w:val="264A60"/>
                <w:sz w:val="18"/>
                <w:szCs w:val="18"/>
              </w:rPr>
            </w:pPr>
            <w:r w:rsidRPr="009412FC">
              <w:rPr>
                <w:rFonts w:ascii="Times New Roman" w:hAnsi="Times New Roman" w:cs="Times New Roman"/>
                <w:color w:val="264A60"/>
                <w:sz w:val="18"/>
                <w:szCs w:val="18"/>
              </w:rPr>
              <w:t>B.NAT</w:t>
            </w:r>
          </w:p>
        </w:tc>
        <w:tc>
          <w:tcPr>
            <w:tcW w:w="1505" w:type="dxa"/>
            <w:tcBorders>
              <w:top w:val="nil"/>
              <w:bottom w:val="single" w:sz="4" w:space="0" w:color="auto"/>
            </w:tcBorders>
            <w:shd w:val="clear" w:color="auto" w:fill="FFFFFF"/>
            <w:vAlign w:val="bottom"/>
          </w:tcPr>
          <w:p w:rsidR="00E66387" w:rsidRPr="009412FC" w:rsidRDefault="00E66387" w:rsidP="008B1311">
            <w:pPr>
              <w:autoSpaceDE w:val="0"/>
              <w:autoSpaceDN w:val="0"/>
              <w:adjustRightInd w:val="0"/>
              <w:spacing w:after="0" w:line="240" w:lineRule="auto"/>
              <w:ind w:left="60" w:right="60"/>
              <w:jc w:val="center"/>
              <w:rPr>
                <w:rFonts w:ascii="Times New Roman" w:hAnsi="Times New Roman" w:cs="Times New Roman"/>
                <w:color w:val="264A60"/>
                <w:sz w:val="18"/>
                <w:szCs w:val="18"/>
              </w:rPr>
            </w:pPr>
            <w:r w:rsidRPr="009412FC">
              <w:rPr>
                <w:rFonts w:ascii="Times New Roman" w:hAnsi="Times New Roman" w:cs="Times New Roman"/>
                <w:color w:val="264A60"/>
                <w:sz w:val="18"/>
                <w:szCs w:val="18"/>
              </w:rPr>
              <w:t>B.REP</w:t>
            </w:r>
          </w:p>
        </w:tc>
      </w:tr>
      <w:tr w:rsidR="00E66387" w:rsidRPr="009412FC" w:rsidTr="00AF60D8">
        <w:trPr>
          <w:cantSplit/>
          <w:trHeight w:val="345"/>
        </w:trPr>
        <w:tc>
          <w:tcPr>
            <w:tcW w:w="2924" w:type="dxa"/>
            <w:vMerge w:val="restart"/>
            <w:tcBorders>
              <w:top w:val="single" w:sz="4" w:space="0" w:color="auto"/>
            </w:tcBorders>
            <w:shd w:val="clear" w:color="auto" w:fill="E0E0E0"/>
          </w:tcPr>
          <w:p w:rsidR="00E66387" w:rsidRPr="009412FC" w:rsidRDefault="00E66387" w:rsidP="008B1311">
            <w:pPr>
              <w:autoSpaceDE w:val="0"/>
              <w:autoSpaceDN w:val="0"/>
              <w:adjustRightInd w:val="0"/>
              <w:spacing w:after="0" w:line="240" w:lineRule="auto"/>
              <w:ind w:left="60" w:right="60"/>
              <w:rPr>
                <w:rFonts w:ascii="Times New Roman" w:hAnsi="Times New Roman" w:cs="Times New Roman"/>
                <w:color w:val="264A60"/>
                <w:sz w:val="18"/>
                <w:szCs w:val="18"/>
              </w:rPr>
            </w:pPr>
            <w:r w:rsidRPr="009412FC">
              <w:rPr>
                <w:rFonts w:ascii="Times New Roman" w:hAnsi="Times New Roman" w:cs="Times New Roman"/>
                <w:color w:val="264A60"/>
                <w:sz w:val="18"/>
                <w:szCs w:val="18"/>
              </w:rPr>
              <w:t>Pearson Correlation</w:t>
            </w:r>
          </w:p>
        </w:tc>
        <w:tc>
          <w:tcPr>
            <w:tcW w:w="1236" w:type="dxa"/>
            <w:tcBorders>
              <w:top w:val="single" w:sz="4" w:space="0" w:color="auto"/>
            </w:tcBorders>
            <w:shd w:val="clear" w:color="auto" w:fill="E0E0E0"/>
          </w:tcPr>
          <w:p w:rsidR="00E66387" w:rsidRPr="009412FC" w:rsidRDefault="00E66387" w:rsidP="008B1311">
            <w:pPr>
              <w:autoSpaceDE w:val="0"/>
              <w:autoSpaceDN w:val="0"/>
              <w:adjustRightInd w:val="0"/>
              <w:spacing w:after="0" w:line="240" w:lineRule="auto"/>
              <w:ind w:left="60" w:right="60"/>
              <w:rPr>
                <w:rFonts w:ascii="Times New Roman" w:hAnsi="Times New Roman" w:cs="Times New Roman"/>
                <w:color w:val="264A60"/>
                <w:sz w:val="18"/>
                <w:szCs w:val="18"/>
              </w:rPr>
            </w:pPr>
            <w:r w:rsidRPr="009412FC">
              <w:rPr>
                <w:rFonts w:ascii="Times New Roman" w:hAnsi="Times New Roman" w:cs="Times New Roman"/>
                <w:color w:val="264A60"/>
                <w:sz w:val="18"/>
                <w:szCs w:val="18"/>
              </w:rPr>
              <w:t>ESG</w:t>
            </w:r>
          </w:p>
        </w:tc>
        <w:tc>
          <w:tcPr>
            <w:tcW w:w="1505" w:type="dxa"/>
            <w:tcBorders>
              <w:top w:val="single" w:sz="4" w:space="0" w:color="auto"/>
            </w:tcBorders>
            <w:shd w:val="clear" w:color="auto" w:fill="FFFFFF"/>
          </w:tcPr>
          <w:p w:rsidR="00E66387" w:rsidRPr="009412FC" w:rsidRDefault="00E66387" w:rsidP="008B1311">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9412FC">
              <w:rPr>
                <w:rFonts w:ascii="Times New Roman" w:hAnsi="Times New Roman" w:cs="Times New Roman"/>
                <w:color w:val="010205"/>
                <w:sz w:val="18"/>
                <w:szCs w:val="18"/>
              </w:rPr>
              <w:t>1.000</w:t>
            </w:r>
          </w:p>
        </w:tc>
        <w:tc>
          <w:tcPr>
            <w:tcW w:w="1505" w:type="dxa"/>
            <w:tcBorders>
              <w:top w:val="single" w:sz="4" w:space="0" w:color="auto"/>
            </w:tcBorders>
            <w:shd w:val="clear" w:color="auto" w:fill="FFFFFF"/>
          </w:tcPr>
          <w:p w:rsidR="00E66387" w:rsidRPr="009412FC" w:rsidRDefault="00E66387" w:rsidP="008B1311">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9412FC">
              <w:rPr>
                <w:rFonts w:ascii="Times New Roman" w:hAnsi="Times New Roman" w:cs="Times New Roman"/>
                <w:color w:val="010205"/>
                <w:sz w:val="18"/>
                <w:szCs w:val="18"/>
              </w:rPr>
              <w:t>.917</w:t>
            </w:r>
          </w:p>
        </w:tc>
        <w:tc>
          <w:tcPr>
            <w:tcW w:w="1505" w:type="dxa"/>
            <w:tcBorders>
              <w:top w:val="single" w:sz="4" w:space="0" w:color="auto"/>
            </w:tcBorders>
            <w:shd w:val="clear" w:color="auto" w:fill="FFFFFF"/>
          </w:tcPr>
          <w:p w:rsidR="00E66387" w:rsidRPr="009412FC" w:rsidRDefault="00E66387" w:rsidP="008B1311">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9412FC">
              <w:rPr>
                <w:rFonts w:ascii="Times New Roman" w:hAnsi="Times New Roman" w:cs="Times New Roman"/>
                <w:color w:val="010205"/>
                <w:sz w:val="18"/>
                <w:szCs w:val="18"/>
              </w:rPr>
              <w:t>.798</w:t>
            </w:r>
          </w:p>
        </w:tc>
      </w:tr>
      <w:tr w:rsidR="00E66387" w:rsidRPr="009412FC" w:rsidTr="00AF60D8">
        <w:trPr>
          <w:cantSplit/>
          <w:trHeight w:val="152"/>
        </w:trPr>
        <w:tc>
          <w:tcPr>
            <w:tcW w:w="2924" w:type="dxa"/>
            <w:vMerge/>
            <w:shd w:val="clear" w:color="auto" w:fill="E0E0E0"/>
          </w:tcPr>
          <w:p w:rsidR="00E66387" w:rsidRPr="009412FC" w:rsidRDefault="00E66387" w:rsidP="008B1311">
            <w:pPr>
              <w:autoSpaceDE w:val="0"/>
              <w:autoSpaceDN w:val="0"/>
              <w:adjustRightInd w:val="0"/>
              <w:spacing w:after="0" w:line="240" w:lineRule="auto"/>
              <w:rPr>
                <w:rFonts w:ascii="Times New Roman" w:hAnsi="Times New Roman" w:cs="Times New Roman"/>
                <w:color w:val="010205"/>
                <w:sz w:val="18"/>
                <w:szCs w:val="18"/>
              </w:rPr>
            </w:pPr>
          </w:p>
        </w:tc>
        <w:tc>
          <w:tcPr>
            <w:tcW w:w="1236" w:type="dxa"/>
            <w:shd w:val="clear" w:color="auto" w:fill="E0E0E0"/>
          </w:tcPr>
          <w:p w:rsidR="00E66387" w:rsidRPr="009412FC" w:rsidRDefault="00E66387" w:rsidP="008B1311">
            <w:pPr>
              <w:autoSpaceDE w:val="0"/>
              <w:autoSpaceDN w:val="0"/>
              <w:adjustRightInd w:val="0"/>
              <w:spacing w:after="0" w:line="240" w:lineRule="auto"/>
              <w:ind w:left="60" w:right="60"/>
              <w:rPr>
                <w:rFonts w:ascii="Times New Roman" w:hAnsi="Times New Roman" w:cs="Times New Roman"/>
                <w:color w:val="264A60"/>
                <w:sz w:val="18"/>
                <w:szCs w:val="18"/>
              </w:rPr>
            </w:pPr>
            <w:r w:rsidRPr="009412FC">
              <w:rPr>
                <w:rFonts w:ascii="Times New Roman" w:hAnsi="Times New Roman" w:cs="Times New Roman"/>
                <w:color w:val="264A60"/>
                <w:sz w:val="18"/>
                <w:szCs w:val="18"/>
              </w:rPr>
              <w:t>B.NAT</w:t>
            </w:r>
          </w:p>
        </w:tc>
        <w:tc>
          <w:tcPr>
            <w:tcW w:w="1505" w:type="dxa"/>
            <w:shd w:val="clear" w:color="auto" w:fill="FFFFFF"/>
          </w:tcPr>
          <w:p w:rsidR="00E66387" w:rsidRPr="009412FC" w:rsidRDefault="00E66387" w:rsidP="008B1311">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9412FC">
              <w:rPr>
                <w:rFonts w:ascii="Times New Roman" w:hAnsi="Times New Roman" w:cs="Times New Roman"/>
                <w:color w:val="010205"/>
                <w:sz w:val="18"/>
                <w:szCs w:val="18"/>
              </w:rPr>
              <w:t>.917</w:t>
            </w:r>
          </w:p>
        </w:tc>
        <w:tc>
          <w:tcPr>
            <w:tcW w:w="1505" w:type="dxa"/>
            <w:shd w:val="clear" w:color="auto" w:fill="FFFFFF"/>
          </w:tcPr>
          <w:p w:rsidR="00E66387" w:rsidRPr="009412FC" w:rsidRDefault="00E66387" w:rsidP="008B1311">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9412FC">
              <w:rPr>
                <w:rFonts w:ascii="Times New Roman" w:hAnsi="Times New Roman" w:cs="Times New Roman"/>
                <w:color w:val="010205"/>
                <w:sz w:val="18"/>
                <w:szCs w:val="18"/>
              </w:rPr>
              <w:t>1.000</w:t>
            </w:r>
          </w:p>
        </w:tc>
        <w:tc>
          <w:tcPr>
            <w:tcW w:w="1505" w:type="dxa"/>
            <w:shd w:val="clear" w:color="auto" w:fill="FFFFFF"/>
          </w:tcPr>
          <w:p w:rsidR="00E66387" w:rsidRPr="009412FC" w:rsidRDefault="00E66387" w:rsidP="008B1311">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9412FC">
              <w:rPr>
                <w:rFonts w:ascii="Times New Roman" w:hAnsi="Times New Roman" w:cs="Times New Roman"/>
                <w:color w:val="010205"/>
                <w:sz w:val="18"/>
                <w:szCs w:val="18"/>
              </w:rPr>
              <w:t>.907</w:t>
            </w:r>
          </w:p>
        </w:tc>
      </w:tr>
      <w:tr w:rsidR="00E66387" w:rsidRPr="009412FC" w:rsidTr="00AF60D8">
        <w:trPr>
          <w:cantSplit/>
          <w:trHeight w:val="152"/>
        </w:trPr>
        <w:tc>
          <w:tcPr>
            <w:tcW w:w="2924" w:type="dxa"/>
            <w:vMerge/>
            <w:shd w:val="clear" w:color="auto" w:fill="E0E0E0"/>
          </w:tcPr>
          <w:p w:rsidR="00E66387" w:rsidRPr="009412FC" w:rsidRDefault="00E66387" w:rsidP="008B1311">
            <w:pPr>
              <w:autoSpaceDE w:val="0"/>
              <w:autoSpaceDN w:val="0"/>
              <w:adjustRightInd w:val="0"/>
              <w:spacing w:after="0" w:line="240" w:lineRule="auto"/>
              <w:rPr>
                <w:rFonts w:ascii="Times New Roman" w:hAnsi="Times New Roman" w:cs="Times New Roman"/>
                <w:color w:val="010205"/>
                <w:sz w:val="18"/>
                <w:szCs w:val="18"/>
              </w:rPr>
            </w:pPr>
          </w:p>
        </w:tc>
        <w:tc>
          <w:tcPr>
            <w:tcW w:w="1236" w:type="dxa"/>
            <w:shd w:val="clear" w:color="auto" w:fill="E0E0E0"/>
          </w:tcPr>
          <w:p w:rsidR="00E66387" w:rsidRPr="009412FC" w:rsidRDefault="00E66387" w:rsidP="008B1311">
            <w:pPr>
              <w:autoSpaceDE w:val="0"/>
              <w:autoSpaceDN w:val="0"/>
              <w:adjustRightInd w:val="0"/>
              <w:spacing w:after="0" w:line="240" w:lineRule="auto"/>
              <w:ind w:left="60" w:right="60"/>
              <w:rPr>
                <w:rFonts w:ascii="Times New Roman" w:hAnsi="Times New Roman" w:cs="Times New Roman"/>
                <w:color w:val="264A60"/>
                <w:sz w:val="18"/>
                <w:szCs w:val="18"/>
              </w:rPr>
            </w:pPr>
            <w:r w:rsidRPr="009412FC">
              <w:rPr>
                <w:rFonts w:ascii="Times New Roman" w:hAnsi="Times New Roman" w:cs="Times New Roman"/>
                <w:color w:val="264A60"/>
                <w:sz w:val="18"/>
                <w:szCs w:val="18"/>
              </w:rPr>
              <w:t>B.REP</w:t>
            </w:r>
          </w:p>
        </w:tc>
        <w:tc>
          <w:tcPr>
            <w:tcW w:w="1505" w:type="dxa"/>
            <w:shd w:val="clear" w:color="auto" w:fill="FFFFFF"/>
          </w:tcPr>
          <w:p w:rsidR="00E66387" w:rsidRPr="009412FC" w:rsidRDefault="00E66387" w:rsidP="008B1311">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9412FC">
              <w:rPr>
                <w:rFonts w:ascii="Times New Roman" w:hAnsi="Times New Roman" w:cs="Times New Roman"/>
                <w:color w:val="010205"/>
                <w:sz w:val="18"/>
                <w:szCs w:val="18"/>
              </w:rPr>
              <w:t>.798</w:t>
            </w:r>
          </w:p>
        </w:tc>
        <w:tc>
          <w:tcPr>
            <w:tcW w:w="1505" w:type="dxa"/>
            <w:shd w:val="clear" w:color="auto" w:fill="FFFFFF"/>
          </w:tcPr>
          <w:p w:rsidR="00E66387" w:rsidRPr="009412FC" w:rsidRDefault="00E66387" w:rsidP="008B1311">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9412FC">
              <w:rPr>
                <w:rFonts w:ascii="Times New Roman" w:hAnsi="Times New Roman" w:cs="Times New Roman"/>
                <w:color w:val="010205"/>
                <w:sz w:val="18"/>
                <w:szCs w:val="18"/>
              </w:rPr>
              <w:t>.907</w:t>
            </w:r>
          </w:p>
        </w:tc>
        <w:tc>
          <w:tcPr>
            <w:tcW w:w="1505" w:type="dxa"/>
            <w:shd w:val="clear" w:color="auto" w:fill="FFFFFF"/>
          </w:tcPr>
          <w:p w:rsidR="00E66387" w:rsidRPr="009412FC" w:rsidRDefault="00E66387" w:rsidP="008B1311">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9412FC">
              <w:rPr>
                <w:rFonts w:ascii="Times New Roman" w:hAnsi="Times New Roman" w:cs="Times New Roman"/>
                <w:color w:val="010205"/>
                <w:sz w:val="18"/>
                <w:szCs w:val="18"/>
              </w:rPr>
              <w:t>1.000</w:t>
            </w:r>
          </w:p>
        </w:tc>
      </w:tr>
      <w:tr w:rsidR="00E66387" w:rsidRPr="009412FC" w:rsidTr="00AF60D8">
        <w:trPr>
          <w:cantSplit/>
          <w:trHeight w:val="335"/>
        </w:trPr>
        <w:tc>
          <w:tcPr>
            <w:tcW w:w="2924" w:type="dxa"/>
            <w:vMerge w:val="restart"/>
            <w:shd w:val="clear" w:color="auto" w:fill="E0E0E0"/>
          </w:tcPr>
          <w:p w:rsidR="00E66387" w:rsidRPr="009412FC" w:rsidRDefault="00E66387" w:rsidP="008B1311">
            <w:pPr>
              <w:autoSpaceDE w:val="0"/>
              <w:autoSpaceDN w:val="0"/>
              <w:adjustRightInd w:val="0"/>
              <w:spacing w:after="0" w:line="240" w:lineRule="auto"/>
              <w:ind w:left="60" w:right="60"/>
              <w:rPr>
                <w:rFonts w:ascii="Times New Roman" w:hAnsi="Times New Roman" w:cs="Times New Roman"/>
                <w:color w:val="264A60"/>
                <w:sz w:val="18"/>
                <w:szCs w:val="18"/>
              </w:rPr>
            </w:pPr>
            <w:r w:rsidRPr="009412FC">
              <w:rPr>
                <w:rFonts w:ascii="Times New Roman" w:hAnsi="Times New Roman" w:cs="Times New Roman"/>
                <w:color w:val="264A60"/>
                <w:sz w:val="18"/>
                <w:szCs w:val="18"/>
              </w:rPr>
              <w:t>Sig. (1-tailed)</w:t>
            </w:r>
          </w:p>
        </w:tc>
        <w:tc>
          <w:tcPr>
            <w:tcW w:w="1236" w:type="dxa"/>
            <w:shd w:val="clear" w:color="auto" w:fill="E0E0E0"/>
          </w:tcPr>
          <w:p w:rsidR="00E66387" w:rsidRPr="009412FC" w:rsidRDefault="00E66387" w:rsidP="008B1311">
            <w:pPr>
              <w:autoSpaceDE w:val="0"/>
              <w:autoSpaceDN w:val="0"/>
              <w:adjustRightInd w:val="0"/>
              <w:spacing w:after="0" w:line="240" w:lineRule="auto"/>
              <w:ind w:left="60" w:right="60"/>
              <w:rPr>
                <w:rFonts w:ascii="Times New Roman" w:hAnsi="Times New Roman" w:cs="Times New Roman"/>
                <w:color w:val="264A60"/>
                <w:sz w:val="18"/>
                <w:szCs w:val="18"/>
              </w:rPr>
            </w:pPr>
            <w:r w:rsidRPr="009412FC">
              <w:rPr>
                <w:rFonts w:ascii="Times New Roman" w:hAnsi="Times New Roman" w:cs="Times New Roman"/>
                <w:color w:val="264A60"/>
                <w:sz w:val="18"/>
                <w:szCs w:val="18"/>
              </w:rPr>
              <w:t>ESG</w:t>
            </w:r>
          </w:p>
        </w:tc>
        <w:tc>
          <w:tcPr>
            <w:tcW w:w="1505" w:type="dxa"/>
            <w:shd w:val="clear" w:color="auto" w:fill="FFFFFF"/>
          </w:tcPr>
          <w:p w:rsidR="00E66387" w:rsidRPr="009412FC" w:rsidRDefault="00E66387" w:rsidP="008B1311">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9412FC">
              <w:rPr>
                <w:rFonts w:ascii="Times New Roman" w:hAnsi="Times New Roman" w:cs="Times New Roman"/>
                <w:color w:val="010205"/>
                <w:sz w:val="18"/>
                <w:szCs w:val="18"/>
              </w:rPr>
              <w:t>.</w:t>
            </w:r>
          </w:p>
        </w:tc>
        <w:tc>
          <w:tcPr>
            <w:tcW w:w="1505" w:type="dxa"/>
            <w:shd w:val="clear" w:color="auto" w:fill="FFFFFF"/>
          </w:tcPr>
          <w:p w:rsidR="00E66387" w:rsidRPr="009412FC" w:rsidRDefault="00E66387" w:rsidP="008B1311">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9412FC">
              <w:rPr>
                <w:rFonts w:ascii="Times New Roman" w:hAnsi="Times New Roman" w:cs="Times New Roman"/>
                <w:color w:val="010205"/>
                <w:sz w:val="18"/>
                <w:szCs w:val="18"/>
              </w:rPr>
              <w:t>.000</w:t>
            </w:r>
          </w:p>
        </w:tc>
        <w:tc>
          <w:tcPr>
            <w:tcW w:w="1505" w:type="dxa"/>
            <w:shd w:val="clear" w:color="auto" w:fill="FFFFFF"/>
          </w:tcPr>
          <w:p w:rsidR="00E66387" w:rsidRPr="009412FC" w:rsidRDefault="00E66387" w:rsidP="008B1311">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9412FC">
              <w:rPr>
                <w:rFonts w:ascii="Times New Roman" w:hAnsi="Times New Roman" w:cs="Times New Roman"/>
                <w:color w:val="010205"/>
                <w:sz w:val="18"/>
                <w:szCs w:val="18"/>
              </w:rPr>
              <w:t>.001</w:t>
            </w:r>
          </w:p>
        </w:tc>
      </w:tr>
      <w:tr w:rsidR="00E66387" w:rsidRPr="009412FC" w:rsidTr="00AF60D8">
        <w:trPr>
          <w:cantSplit/>
          <w:trHeight w:val="152"/>
        </w:trPr>
        <w:tc>
          <w:tcPr>
            <w:tcW w:w="2924" w:type="dxa"/>
            <w:vMerge/>
            <w:shd w:val="clear" w:color="auto" w:fill="E0E0E0"/>
          </w:tcPr>
          <w:p w:rsidR="00E66387" w:rsidRPr="009412FC" w:rsidRDefault="00E66387" w:rsidP="008B1311">
            <w:pPr>
              <w:autoSpaceDE w:val="0"/>
              <w:autoSpaceDN w:val="0"/>
              <w:adjustRightInd w:val="0"/>
              <w:spacing w:after="0" w:line="240" w:lineRule="auto"/>
              <w:rPr>
                <w:rFonts w:ascii="Times New Roman" w:hAnsi="Times New Roman" w:cs="Times New Roman"/>
                <w:color w:val="010205"/>
                <w:sz w:val="18"/>
                <w:szCs w:val="18"/>
              </w:rPr>
            </w:pPr>
          </w:p>
        </w:tc>
        <w:tc>
          <w:tcPr>
            <w:tcW w:w="1236" w:type="dxa"/>
            <w:shd w:val="clear" w:color="auto" w:fill="E0E0E0"/>
          </w:tcPr>
          <w:p w:rsidR="00E66387" w:rsidRPr="009412FC" w:rsidRDefault="00E66387" w:rsidP="008B1311">
            <w:pPr>
              <w:autoSpaceDE w:val="0"/>
              <w:autoSpaceDN w:val="0"/>
              <w:adjustRightInd w:val="0"/>
              <w:spacing w:after="0" w:line="240" w:lineRule="auto"/>
              <w:ind w:left="60" w:right="60"/>
              <w:rPr>
                <w:rFonts w:ascii="Times New Roman" w:hAnsi="Times New Roman" w:cs="Times New Roman"/>
                <w:color w:val="264A60"/>
                <w:sz w:val="18"/>
                <w:szCs w:val="18"/>
              </w:rPr>
            </w:pPr>
            <w:r w:rsidRPr="009412FC">
              <w:rPr>
                <w:rFonts w:ascii="Times New Roman" w:hAnsi="Times New Roman" w:cs="Times New Roman"/>
                <w:color w:val="264A60"/>
                <w:sz w:val="18"/>
                <w:szCs w:val="18"/>
              </w:rPr>
              <w:t>B.NAT</w:t>
            </w:r>
          </w:p>
        </w:tc>
        <w:tc>
          <w:tcPr>
            <w:tcW w:w="1505" w:type="dxa"/>
            <w:shd w:val="clear" w:color="auto" w:fill="FFFFFF"/>
          </w:tcPr>
          <w:p w:rsidR="00E66387" w:rsidRPr="009412FC" w:rsidRDefault="00E66387" w:rsidP="008B1311">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9412FC">
              <w:rPr>
                <w:rFonts w:ascii="Times New Roman" w:hAnsi="Times New Roman" w:cs="Times New Roman"/>
                <w:color w:val="010205"/>
                <w:sz w:val="18"/>
                <w:szCs w:val="18"/>
              </w:rPr>
              <w:t>.000</w:t>
            </w:r>
          </w:p>
        </w:tc>
        <w:tc>
          <w:tcPr>
            <w:tcW w:w="1505" w:type="dxa"/>
            <w:shd w:val="clear" w:color="auto" w:fill="FFFFFF"/>
          </w:tcPr>
          <w:p w:rsidR="00E66387" w:rsidRPr="009412FC" w:rsidRDefault="00E66387" w:rsidP="008B1311">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9412FC">
              <w:rPr>
                <w:rFonts w:ascii="Times New Roman" w:hAnsi="Times New Roman" w:cs="Times New Roman"/>
                <w:color w:val="010205"/>
                <w:sz w:val="18"/>
                <w:szCs w:val="18"/>
              </w:rPr>
              <w:t>.</w:t>
            </w:r>
          </w:p>
        </w:tc>
        <w:tc>
          <w:tcPr>
            <w:tcW w:w="1505" w:type="dxa"/>
            <w:shd w:val="clear" w:color="auto" w:fill="FFFFFF"/>
          </w:tcPr>
          <w:p w:rsidR="00E66387" w:rsidRPr="009412FC" w:rsidRDefault="00E66387" w:rsidP="008B1311">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9412FC">
              <w:rPr>
                <w:rFonts w:ascii="Times New Roman" w:hAnsi="Times New Roman" w:cs="Times New Roman"/>
                <w:color w:val="010205"/>
                <w:sz w:val="18"/>
                <w:szCs w:val="18"/>
              </w:rPr>
              <w:t>.000</w:t>
            </w:r>
          </w:p>
        </w:tc>
      </w:tr>
      <w:tr w:rsidR="00E66387" w:rsidRPr="009412FC" w:rsidTr="00AF60D8">
        <w:trPr>
          <w:cantSplit/>
          <w:trHeight w:val="152"/>
        </w:trPr>
        <w:tc>
          <w:tcPr>
            <w:tcW w:w="2924" w:type="dxa"/>
            <w:vMerge/>
            <w:shd w:val="clear" w:color="auto" w:fill="E0E0E0"/>
          </w:tcPr>
          <w:p w:rsidR="00E66387" w:rsidRPr="009412FC" w:rsidRDefault="00E66387" w:rsidP="008B1311">
            <w:pPr>
              <w:autoSpaceDE w:val="0"/>
              <w:autoSpaceDN w:val="0"/>
              <w:adjustRightInd w:val="0"/>
              <w:spacing w:after="0" w:line="240" w:lineRule="auto"/>
              <w:rPr>
                <w:rFonts w:ascii="Times New Roman" w:hAnsi="Times New Roman" w:cs="Times New Roman"/>
                <w:color w:val="010205"/>
                <w:sz w:val="18"/>
                <w:szCs w:val="18"/>
              </w:rPr>
            </w:pPr>
          </w:p>
        </w:tc>
        <w:tc>
          <w:tcPr>
            <w:tcW w:w="1236" w:type="dxa"/>
            <w:shd w:val="clear" w:color="auto" w:fill="E0E0E0"/>
          </w:tcPr>
          <w:p w:rsidR="00E66387" w:rsidRPr="009412FC" w:rsidRDefault="00E66387" w:rsidP="008B1311">
            <w:pPr>
              <w:autoSpaceDE w:val="0"/>
              <w:autoSpaceDN w:val="0"/>
              <w:adjustRightInd w:val="0"/>
              <w:spacing w:after="0" w:line="240" w:lineRule="auto"/>
              <w:ind w:left="60" w:right="60"/>
              <w:rPr>
                <w:rFonts w:ascii="Times New Roman" w:hAnsi="Times New Roman" w:cs="Times New Roman"/>
                <w:color w:val="264A60"/>
                <w:sz w:val="18"/>
                <w:szCs w:val="18"/>
              </w:rPr>
            </w:pPr>
            <w:r w:rsidRPr="009412FC">
              <w:rPr>
                <w:rFonts w:ascii="Times New Roman" w:hAnsi="Times New Roman" w:cs="Times New Roman"/>
                <w:color w:val="264A60"/>
                <w:sz w:val="18"/>
                <w:szCs w:val="18"/>
              </w:rPr>
              <w:t>B.REP</w:t>
            </w:r>
          </w:p>
        </w:tc>
        <w:tc>
          <w:tcPr>
            <w:tcW w:w="1505" w:type="dxa"/>
            <w:shd w:val="clear" w:color="auto" w:fill="FFFFFF"/>
          </w:tcPr>
          <w:p w:rsidR="00E66387" w:rsidRPr="009412FC" w:rsidRDefault="00E66387" w:rsidP="008B1311">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9412FC">
              <w:rPr>
                <w:rFonts w:ascii="Times New Roman" w:hAnsi="Times New Roman" w:cs="Times New Roman"/>
                <w:color w:val="010205"/>
                <w:sz w:val="18"/>
                <w:szCs w:val="18"/>
              </w:rPr>
              <w:t>.001</w:t>
            </w:r>
          </w:p>
        </w:tc>
        <w:tc>
          <w:tcPr>
            <w:tcW w:w="1505" w:type="dxa"/>
            <w:shd w:val="clear" w:color="auto" w:fill="FFFFFF"/>
          </w:tcPr>
          <w:p w:rsidR="00E66387" w:rsidRPr="009412FC" w:rsidRDefault="00E66387" w:rsidP="008B1311">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9412FC">
              <w:rPr>
                <w:rFonts w:ascii="Times New Roman" w:hAnsi="Times New Roman" w:cs="Times New Roman"/>
                <w:color w:val="010205"/>
                <w:sz w:val="18"/>
                <w:szCs w:val="18"/>
              </w:rPr>
              <w:t>.000</w:t>
            </w:r>
          </w:p>
        </w:tc>
        <w:tc>
          <w:tcPr>
            <w:tcW w:w="1505" w:type="dxa"/>
            <w:shd w:val="clear" w:color="auto" w:fill="FFFFFF"/>
          </w:tcPr>
          <w:p w:rsidR="00E66387" w:rsidRPr="009412FC" w:rsidRDefault="00E66387" w:rsidP="008B1311">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9412FC">
              <w:rPr>
                <w:rFonts w:ascii="Times New Roman" w:hAnsi="Times New Roman" w:cs="Times New Roman"/>
                <w:color w:val="010205"/>
                <w:sz w:val="18"/>
                <w:szCs w:val="18"/>
              </w:rPr>
              <w:t>.</w:t>
            </w:r>
          </w:p>
        </w:tc>
      </w:tr>
      <w:tr w:rsidR="00E66387" w:rsidRPr="009412FC" w:rsidTr="00AF60D8">
        <w:trPr>
          <w:cantSplit/>
          <w:trHeight w:val="335"/>
        </w:trPr>
        <w:tc>
          <w:tcPr>
            <w:tcW w:w="2924" w:type="dxa"/>
            <w:vMerge w:val="restart"/>
            <w:shd w:val="clear" w:color="auto" w:fill="E0E0E0"/>
          </w:tcPr>
          <w:p w:rsidR="00E66387" w:rsidRPr="009412FC" w:rsidRDefault="00E66387" w:rsidP="008B1311">
            <w:pPr>
              <w:autoSpaceDE w:val="0"/>
              <w:autoSpaceDN w:val="0"/>
              <w:adjustRightInd w:val="0"/>
              <w:spacing w:after="0" w:line="240" w:lineRule="auto"/>
              <w:ind w:left="60" w:right="60"/>
              <w:rPr>
                <w:rFonts w:ascii="Times New Roman" w:hAnsi="Times New Roman" w:cs="Times New Roman"/>
                <w:color w:val="264A60"/>
                <w:sz w:val="18"/>
                <w:szCs w:val="18"/>
              </w:rPr>
            </w:pPr>
            <w:r w:rsidRPr="009412FC">
              <w:rPr>
                <w:rFonts w:ascii="Times New Roman" w:hAnsi="Times New Roman" w:cs="Times New Roman"/>
                <w:color w:val="264A60"/>
                <w:sz w:val="18"/>
                <w:szCs w:val="18"/>
              </w:rPr>
              <w:t>N</w:t>
            </w:r>
          </w:p>
        </w:tc>
        <w:tc>
          <w:tcPr>
            <w:tcW w:w="1236" w:type="dxa"/>
            <w:shd w:val="clear" w:color="auto" w:fill="E0E0E0"/>
          </w:tcPr>
          <w:p w:rsidR="00E66387" w:rsidRPr="009412FC" w:rsidRDefault="00E66387" w:rsidP="008B1311">
            <w:pPr>
              <w:autoSpaceDE w:val="0"/>
              <w:autoSpaceDN w:val="0"/>
              <w:adjustRightInd w:val="0"/>
              <w:spacing w:after="0" w:line="240" w:lineRule="auto"/>
              <w:ind w:left="60" w:right="60"/>
              <w:rPr>
                <w:rFonts w:ascii="Times New Roman" w:hAnsi="Times New Roman" w:cs="Times New Roman"/>
                <w:color w:val="264A60"/>
                <w:sz w:val="18"/>
                <w:szCs w:val="18"/>
              </w:rPr>
            </w:pPr>
            <w:r w:rsidRPr="009412FC">
              <w:rPr>
                <w:rFonts w:ascii="Times New Roman" w:hAnsi="Times New Roman" w:cs="Times New Roman"/>
                <w:color w:val="264A60"/>
                <w:sz w:val="18"/>
                <w:szCs w:val="18"/>
              </w:rPr>
              <w:t>ESG</w:t>
            </w:r>
          </w:p>
        </w:tc>
        <w:tc>
          <w:tcPr>
            <w:tcW w:w="1505" w:type="dxa"/>
            <w:shd w:val="clear" w:color="auto" w:fill="FFFFFF"/>
          </w:tcPr>
          <w:p w:rsidR="00E66387" w:rsidRPr="009412FC" w:rsidRDefault="00E66387" w:rsidP="008B1311">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9412FC">
              <w:rPr>
                <w:rFonts w:ascii="Times New Roman" w:hAnsi="Times New Roman" w:cs="Times New Roman"/>
                <w:color w:val="010205"/>
                <w:sz w:val="18"/>
                <w:szCs w:val="18"/>
              </w:rPr>
              <w:t>13</w:t>
            </w:r>
          </w:p>
        </w:tc>
        <w:tc>
          <w:tcPr>
            <w:tcW w:w="1505" w:type="dxa"/>
            <w:shd w:val="clear" w:color="auto" w:fill="FFFFFF"/>
          </w:tcPr>
          <w:p w:rsidR="00E66387" w:rsidRPr="009412FC" w:rsidRDefault="00E66387" w:rsidP="008B1311">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9412FC">
              <w:rPr>
                <w:rFonts w:ascii="Times New Roman" w:hAnsi="Times New Roman" w:cs="Times New Roman"/>
                <w:color w:val="010205"/>
                <w:sz w:val="18"/>
                <w:szCs w:val="18"/>
              </w:rPr>
              <w:t>13</w:t>
            </w:r>
          </w:p>
        </w:tc>
        <w:tc>
          <w:tcPr>
            <w:tcW w:w="1505" w:type="dxa"/>
            <w:shd w:val="clear" w:color="auto" w:fill="FFFFFF"/>
          </w:tcPr>
          <w:p w:rsidR="00E66387" w:rsidRPr="009412FC" w:rsidRDefault="00E66387" w:rsidP="008B1311">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9412FC">
              <w:rPr>
                <w:rFonts w:ascii="Times New Roman" w:hAnsi="Times New Roman" w:cs="Times New Roman"/>
                <w:color w:val="010205"/>
                <w:sz w:val="18"/>
                <w:szCs w:val="18"/>
              </w:rPr>
              <w:t>13</w:t>
            </w:r>
          </w:p>
        </w:tc>
      </w:tr>
      <w:tr w:rsidR="00E66387" w:rsidRPr="009412FC" w:rsidTr="00AF60D8">
        <w:trPr>
          <w:cantSplit/>
          <w:trHeight w:val="152"/>
        </w:trPr>
        <w:tc>
          <w:tcPr>
            <w:tcW w:w="2924" w:type="dxa"/>
            <w:vMerge/>
            <w:shd w:val="clear" w:color="auto" w:fill="E0E0E0"/>
          </w:tcPr>
          <w:p w:rsidR="00E66387" w:rsidRPr="009412FC" w:rsidRDefault="00E66387" w:rsidP="008B1311">
            <w:pPr>
              <w:autoSpaceDE w:val="0"/>
              <w:autoSpaceDN w:val="0"/>
              <w:adjustRightInd w:val="0"/>
              <w:spacing w:after="0" w:line="240" w:lineRule="auto"/>
              <w:rPr>
                <w:rFonts w:ascii="Times New Roman" w:hAnsi="Times New Roman" w:cs="Times New Roman"/>
                <w:color w:val="010205"/>
                <w:sz w:val="18"/>
                <w:szCs w:val="18"/>
              </w:rPr>
            </w:pPr>
          </w:p>
        </w:tc>
        <w:tc>
          <w:tcPr>
            <w:tcW w:w="1236" w:type="dxa"/>
            <w:shd w:val="clear" w:color="auto" w:fill="E0E0E0"/>
          </w:tcPr>
          <w:p w:rsidR="00E66387" w:rsidRPr="009412FC" w:rsidRDefault="00E66387" w:rsidP="008B1311">
            <w:pPr>
              <w:autoSpaceDE w:val="0"/>
              <w:autoSpaceDN w:val="0"/>
              <w:adjustRightInd w:val="0"/>
              <w:spacing w:after="0" w:line="240" w:lineRule="auto"/>
              <w:ind w:left="60" w:right="60"/>
              <w:rPr>
                <w:rFonts w:ascii="Times New Roman" w:hAnsi="Times New Roman" w:cs="Times New Roman"/>
                <w:color w:val="264A60"/>
                <w:sz w:val="18"/>
                <w:szCs w:val="18"/>
              </w:rPr>
            </w:pPr>
            <w:r w:rsidRPr="009412FC">
              <w:rPr>
                <w:rFonts w:ascii="Times New Roman" w:hAnsi="Times New Roman" w:cs="Times New Roman"/>
                <w:color w:val="264A60"/>
                <w:sz w:val="18"/>
                <w:szCs w:val="18"/>
              </w:rPr>
              <w:t>B.NAT</w:t>
            </w:r>
          </w:p>
        </w:tc>
        <w:tc>
          <w:tcPr>
            <w:tcW w:w="1505" w:type="dxa"/>
            <w:shd w:val="clear" w:color="auto" w:fill="FFFFFF"/>
          </w:tcPr>
          <w:p w:rsidR="00E66387" w:rsidRPr="009412FC" w:rsidRDefault="00E66387" w:rsidP="008B1311">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9412FC">
              <w:rPr>
                <w:rFonts w:ascii="Times New Roman" w:hAnsi="Times New Roman" w:cs="Times New Roman"/>
                <w:color w:val="010205"/>
                <w:sz w:val="18"/>
                <w:szCs w:val="18"/>
              </w:rPr>
              <w:t>13</w:t>
            </w:r>
          </w:p>
        </w:tc>
        <w:tc>
          <w:tcPr>
            <w:tcW w:w="1505" w:type="dxa"/>
            <w:shd w:val="clear" w:color="auto" w:fill="FFFFFF"/>
          </w:tcPr>
          <w:p w:rsidR="00E66387" w:rsidRPr="009412FC" w:rsidRDefault="00E66387" w:rsidP="008B1311">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9412FC">
              <w:rPr>
                <w:rFonts w:ascii="Times New Roman" w:hAnsi="Times New Roman" w:cs="Times New Roman"/>
                <w:color w:val="010205"/>
                <w:sz w:val="18"/>
                <w:szCs w:val="18"/>
              </w:rPr>
              <w:t>13</w:t>
            </w:r>
          </w:p>
        </w:tc>
        <w:tc>
          <w:tcPr>
            <w:tcW w:w="1505" w:type="dxa"/>
            <w:shd w:val="clear" w:color="auto" w:fill="FFFFFF"/>
          </w:tcPr>
          <w:p w:rsidR="00E66387" w:rsidRPr="009412FC" w:rsidRDefault="00E66387" w:rsidP="008B1311">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9412FC">
              <w:rPr>
                <w:rFonts w:ascii="Times New Roman" w:hAnsi="Times New Roman" w:cs="Times New Roman"/>
                <w:color w:val="010205"/>
                <w:sz w:val="18"/>
                <w:szCs w:val="18"/>
              </w:rPr>
              <w:t>13</w:t>
            </w:r>
          </w:p>
        </w:tc>
      </w:tr>
      <w:tr w:rsidR="00E66387" w:rsidRPr="009412FC" w:rsidTr="00AF60D8">
        <w:trPr>
          <w:cantSplit/>
          <w:trHeight w:val="152"/>
        </w:trPr>
        <w:tc>
          <w:tcPr>
            <w:tcW w:w="2924" w:type="dxa"/>
            <w:vMerge/>
            <w:shd w:val="clear" w:color="auto" w:fill="E0E0E0"/>
          </w:tcPr>
          <w:p w:rsidR="00E66387" w:rsidRPr="009412FC" w:rsidRDefault="00E66387" w:rsidP="008B1311">
            <w:pPr>
              <w:autoSpaceDE w:val="0"/>
              <w:autoSpaceDN w:val="0"/>
              <w:adjustRightInd w:val="0"/>
              <w:spacing w:after="0" w:line="240" w:lineRule="auto"/>
              <w:rPr>
                <w:rFonts w:ascii="Times New Roman" w:hAnsi="Times New Roman" w:cs="Times New Roman"/>
                <w:color w:val="010205"/>
                <w:sz w:val="18"/>
                <w:szCs w:val="18"/>
              </w:rPr>
            </w:pPr>
          </w:p>
        </w:tc>
        <w:tc>
          <w:tcPr>
            <w:tcW w:w="1236" w:type="dxa"/>
            <w:shd w:val="clear" w:color="auto" w:fill="E0E0E0"/>
          </w:tcPr>
          <w:p w:rsidR="00E66387" w:rsidRPr="009412FC" w:rsidRDefault="00E66387" w:rsidP="008B1311">
            <w:pPr>
              <w:autoSpaceDE w:val="0"/>
              <w:autoSpaceDN w:val="0"/>
              <w:adjustRightInd w:val="0"/>
              <w:spacing w:after="0" w:line="240" w:lineRule="auto"/>
              <w:ind w:left="60" w:right="60"/>
              <w:rPr>
                <w:rFonts w:ascii="Times New Roman" w:hAnsi="Times New Roman" w:cs="Times New Roman"/>
                <w:color w:val="264A60"/>
                <w:sz w:val="18"/>
                <w:szCs w:val="18"/>
              </w:rPr>
            </w:pPr>
            <w:r w:rsidRPr="009412FC">
              <w:rPr>
                <w:rFonts w:ascii="Times New Roman" w:hAnsi="Times New Roman" w:cs="Times New Roman"/>
                <w:color w:val="264A60"/>
                <w:sz w:val="18"/>
                <w:szCs w:val="18"/>
              </w:rPr>
              <w:t>B.REP</w:t>
            </w:r>
          </w:p>
        </w:tc>
        <w:tc>
          <w:tcPr>
            <w:tcW w:w="1505" w:type="dxa"/>
            <w:shd w:val="clear" w:color="auto" w:fill="FFFFFF"/>
          </w:tcPr>
          <w:p w:rsidR="00E66387" w:rsidRPr="009412FC" w:rsidRDefault="00E66387" w:rsidP="008B1311">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9412FC">
              <w:rPr>
                <w:rFonts w:ascii="Times New Roman" w:hAnsi="Times New Roman" w:cs="Times New Roman"/>
                <w:color w:val="010205"/>
                <w:sz w:val="18"/>
                <w:szCs w:val="18"/>
              </w:rPr>
              <w:t>13</w:t>
            </w:r>
          </w:p>
        </w:tc>
        <w:tc>
          <w:tcPr>
            <w:tcW w:w="1505" w:type="dxa"/>
            <w:shd w:val="clear" w:color="auto" w:fill="FFFFFF"/>
          </w:tcPr>
          <w:p w:rsidR="00E66387" w:rsidRPr="009412FC" w:rsidRDefault="00E66387" w:rsidP="008B1311">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9412FC">
              <w:rPr>
                <w:rFonts w:ascii="Times New Roman" w:hAnsi="Times New Roman" w:cs="Times New Roman"/>
                <w:color w:val="010205"/>
                <w:sz w:val="18"/>
                <w:szCs w:val="18"/>
              </w:rPr>
              <w:t>13</w:t>
            </w:r>
          </w:p>
        </w:tc>
        <w:tc>
          <w:tcPr>
            <w:tcW w:w="1505" w:type="dxa"/>
            <w:shd w:val="clear" w:color="auto" w:fill="FFFFFF"/>
          </w:tcPr>
          <w:p w:rsidR="00E66387" w:rsidRPr="009412FC" w:rsidRDefault="00E66387" w:rsidP="008B1311">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9412FC">
              <w:rPr>
                <w:rFonts w:ascii="Times New Roman" w:hAnsi="Times New Roman" w:cs="Times New Roman"/>
                <w:color w:val="010205"/>
                <w:sz w:val="18"/>
                <w:szCs w:val="18"/>
              </w:rPr>
              <w:t>13</w:t>
            </w:r>
          </w:p>
        </w:tc>
      </w:tr>
    </w:tbl>
    <w:p w:rsidR="00E712FD" w:rsidRPr="009412FC" w:rsidRDefault="00E712FD" w:rsidP="00B527E0">
      <w:pPr>
        <w:spacing w:after="0" w:line="360" w:lineRule="auto"/>
        <w:jc w:val="both"/>
        <w:rPr>
          <w:rFonts w:ascii="Times New Roman" w:hAnsi="Times New Roman" w:cs="Times New Roman"/>
        </w:rPr>
      </w:pPr>
    </w:p>
    <w:p w:rsidR="00E66387" w:rsidRPr="00E66387" w:rsidRDefault="00E66387" w:rsidP="00E66387">
      <w:pPr>
        <w:spacing w:after="0" w:line="360" w:lineRule="auto"/>
        <w:jc w:val="both"/>
        <w:rPr>
          <w:rFonts w:ascii="Times New Roman" w:hAnsi="Times New Roman" w:cs="Times New Roman"/>
          <w:sz w:val="24"/>
          <w:szCs w:val="24"/>
        </w:rPr>
      </w:pPr>
      <w:r w:rsidRPr="00E66387">
        <w:rPr>
          <w:rFonts w:ascii="Times New Roman" w:hAnsi="Times New Roman" w:cs="Times New Roman"/>
          <w:sz w:val="24"/>
          <w:szCs w:val="24"/>
        </w:rPr>
        <w:t xml:space="preserve">Correlation analysis reveals a </w:t>
      </w:r>
      <w:r w:rsidRPr="00E66387">
        <w:rPr>
          <w:rFonts w:ascii="Times New Roman" w:hAnsi="Times New Roman" w:cs="Times New Roman"/>
          <w:bCs/>
          <w:sz w:val="24"/>
          <w:szCs w:val="24"/>
        </w:rPr>
        <w:t>strong and positive relationship</w:t>
      </w:r>
      <w:r w:rsidRPr="00E66387">
        <w:rPr>
          <w:rFonts w:ascii="Times New Roman" w:hAnsi="Times New Roman" w:cs="Times New Roman"/>
          <w:sz w:val="24"/>
          <w:szCs w:val="24"/>
        </w:rPr>
        <w:t xml:space="preserve"> between </w:t>
      </w:r>
      <w:r w:rsidRPr="00E66387">
        <w:rPr>
          <w:rFonts w:ascii="Times New Roman" w:hAnsi="Times New Roman" w:cs="Times New Roman"/>
          <w:bCs/>
          <w:sz w:val="24"/>
          <w:szCs w:val="24"/>
        </w:rPr>
        <w:t>sustainability reporting (ESG)</w:t>
      </w:r>
      <w:r w:rsidRPr="00E66387">
        <w:rPr>
          <w:rFonts w:ascii="Times New Roman" w:hAnsi="Times New Roman" w:cs="Times New Roman"/>
          <w:sz w:val="24"/>
          <w:szCs w:val="24"/>
        </w:rPr>
        <w:t xml:space="preserve"> and </w:t>
      </w:r>
      <w:r w:rsidRPr="00E66387">
        <w:rPr>
          <w:rFonts w:ascii="Times New Roman" w:hAnsi="Times New Roman" w:cs="Times New Roman"/>
          <w:bCs/>
          <w:sz w:val="24"/>
          <w:szCs w:val="24"/>
        </w:rPr>
        <w:t>board director nationality (B.NAT)</w:t>
      </w:r>
      <w:r w:rsidRPr="00E66387">
        <w:rPr>
          <w:rFonts w:ascii="Times New Roman" w:hAnsi="Times New Roman" w:cs="Times New Roman"/>
          <w:sz w:val="24"/>
          <w:szCs w:val="24"/>
        </w:rPr>
        <w:t xml:space="preserve">, with a Pearson correlation coefficient of </w:t>
      </w:r>
      <w:r w:rsidRPr="00E66387">
        <w:rPr>
          <w:rFonts w:ascii="Times New Roman" w:hAnsi="Times New Roman" w:cs="Times New Roman"/>
          <w:bCs/>
          <w:sz w:val="24"/>
          <w:szCs w:val="24"/>
        </w:rPr>
        <w:t>0.917</w:t>
      </w:r>
      <w:r w:rsidRPr="00E66387">
        <w:rPr>
          <w:rFonts w:ascii="Times New Roman" w:hAnsi="Times New Roman" w:cs="Times New Roman"/>
          <w:sz w:val="24"/>
          <w:szCs w:val="24"/>
        </w:rPr>
        <w:t xml:space="preserve">, which is statistically significant at the </w:t>
      </w:r>
      <w:r w:rsidRPr="00E66387">
        <w:rPr>
          <w:rFonts w:ascii="Times New Roman" w:hAnsi="Times New Roman" w:cs="Times New Roman"/>
          <w:bCs/>
          <w:sz w:val="24"/>
          <w:szCs w:val="24"/>
        </w:rPr>
        <w:t>1% level (p = 0.000)</w:t>
      </w:r>
      <w:r w:rsidRPr="00E66387">
        <w:rPr>
          <w:rFonts w:ascii="Times New Roman" w:hAnsi="Times New Roman" w:cs="Times New Roman"/>
          <w:sz w:val="24"/>
          <w:szCs w:val="24"/>
        </w:rPr>
        <w:t xml:space="preserve">. This indicates that manufacturing firms with a higher proportion of foreign directors tend to exhibit more extensive sustainability reporting practices. Similarly, </w:t>
      </w:r>
      <w:r w:rsidRPr="00E66387">
        <w:rPr>
          <w:rFonts w:ascii="Times New Roman" w:hAnsi="Times New Roman" w:cs="Times New Roman"/>
          <w:bCs/>
          <w:sz w:val="24"/>
          <w:szCs w:val="24"/>
        </w:rPr>
        <w:t>board director reputational capital (B.REP)</w:t>
      </w:r>
      <w:r w:rsidRPr="00E66387">
        <w:rPr>
          <w:rFonts w:ascii="Times New Roman" w:hAnsi="Times New Roman" w:cs="Times New Roman"/>
          <w:sz w:val="24"/>
          <w:szCs w:val="24"/>
        </w:rPr>
        <w:t xml:space="preserve"> shows a </w:t>
      </w:r>
      <w:r w:rsidRPr="00E66387">
        <w:rPr>
          <w:rFonts w:ascii="Times New Roman" w:hAnsi="Times New Roman" w:cs="Times New Roman"/>
          <w:bCs/>
          <w:sz w:val="24"/>
          <w:szCs w:val="24"/>
        </w:rPr>
        <w:t>strong positive correlation</w:t>
      </w:r>
      <w:r w:rsidRPr="00E66387">
        <w:rPr>
          <w:rFonts w:ascii="Times New Roman" w:hAnsi="Times New Roman" w:cs="Times New Roman"/>
          <w:sz w:val="24"/>
          <w:szCs w:val="24"/>
        </w:rPr>
        <w:t xml:space="preserve"> with ESG reporting (</w:t>
      </w:r>
      <w:r w:rsidRPr="00E66387">
        <w:rPr>
          <w:rFonts w:ascii="Times New Roman" w:hAnsi="Times New Roman" w:cs="Times New Roman"/>
          <w:bCs/>
          <w:sz w:val="24"/>
          <w:szCs w:val="24"/>
        </w:rPr>
        <w:t>r = 0.798, p = 0.001</w:t>
      </w:r>
      <w:r w:rsidRPr="00E66387">
        <w:rPr>
          <w:rFonts w:ascii="Times New Roman" w:hAnsi="Times New Roman" w:cs="Times New Roman"/>
          <w:sz w:val="24"/>
          <w:szCs w:val="24"/>
        </w:rPr>
        <w:t xml:space="preserve">), </w:t>
      </w:r>
      <w:r w:rsidR="004D4997">
        <w:rPr>
          <w:rFonts w:ascii="Times New Roman" w:hAnsi="Times New Roman" w:cs="Times New Roman"/>
          <w:sz w:val="24"/>
          <w:szCs w:val="24"/>
        </w:rPr>
        <w:t>showing</w:t>
      </w:r>
      <w:r w:rsidRPr="00E66387">
        <w:rPr>
          <w:rFonts w:ascii="Times New Roman" w:hAnsi="Times New Roman" w:cs="Times New Roman"/>
          <w:sz w:val="24"/>
          <w:szCs w:val="24"/>
        </w:rPr>
        <w:t xml:space="preserve"> that firms with more reputable board members are more inclined toward enhanced sustainability disclosures.</w:t>
      </w:r>
    </w:p>
    <w:p w:rsidR="00E66387" w:rsidRPr="00E66387" w:rsidRDefault="00E66387" w:rsidP="00E66387">
      <w:pPr>
        <w:spacing w:after="0" w:line="360" w:lineRule="auto"/>
        <w:jc w:val="both"/>
        <w:rPr>
          <w:rFonts w:ascii="Times New Roman" w:hAnsi="Times New Roman" w:cs="Times New Roman"/>
          <w:sz w:val="24"/>
          <w:szCs w:val="24"/>
        </w:rPr>
      </w:pPr>
      <w:r w:rsidRPr="00E66387">
        <w:rPr>
          <w:rFonts w:ascii="Times New Roman" w:hAnsi="Times New Roman" w:cs="Times New Roman"/>
          <w:sz w:val="24"/>
          <w:szCs w:val="24"/>
        </w:rPr>
        <w:t xml:space="preserve">Furthermore, the correlation between </w:t>
      </w:r>
      <w:r w:rsidRPr="00E66387">
        <w:rPr>
          <w:rFonts w:ascii="Times New Roman" w:hAnsi="Times New Roman" w:cs="Times New Roman"/>
          <w:bCs/>
          <w:sz w:val="24"/>
          <w:szCs w:val="24"/>
        </w:rPr>
        <w:t>board director nationality and board director reputational capital</w:t>
      </w:r>
      <w:r w:rsidRPr="00E66387">
        <w:rPr>
          <w:rFonts w:ascii="Times New Roman" w:hAnsi="Times New Roman" w:cs="Times New Roman"/>
          <w:sz w:val="24"/>
          <w:szCs w:val="24"/>
        </w:rPr>
        <w:t xml:space="preserve"> is also </w:t>
      </w:r>
      <w:r w:rsidRPr="00E66387">
        <w:rPr>
          <w:rFonts w:ascii="Times New Roman" w:hAnsi="Times New Roman" w:cs="Times New Roman"/>
          <w:bCs/>
          <w:sz w:val="24"/>
          <w:szCs w:val="24"/>
        </w:rPr>
        <w:t>strong and positive</w:t>
      </w:r>
      <w:r w:rsidRPr="00E66387">
        <w:rPr>
          <w:rFonts w:ascii="Times New Roman" w:hAnsi="Times New Roman" w:cs="Times New Roman"/>
          <w:sz w:val="24"/>
          <w:szCs w:val="24"/>
        </w:rPr>
        <w:t xml:space="preserve"> (</w:t>
      </w:r>
      <w:r w:rsidRPr="00E66387">
        <w:rPr>
          <w:rFonts w:ascii="Times New Roman" w:hAnsi="Times New Roman" w:cs="Times New Roman"/>
          <w:bCs/>
          <w:sz w:val="24"/>
          <w:szCs w:val="24"/>
        </w:rPr>
        <w:t>r = 0.907, p = 0.000</w:t>
      </w:r>
      <w:r w:rsidRPr="00E66387">
        <w:rPr>
          <w:rFonts w:ascii="Times New Roman" w:hAnsi="Times New Roman" w:cs="Times New Roman"/>
          <w:sz w:val="24"/>
          <w:szCs w:val="24"/>
        </w:rPr>
        <w:t>), implying that boards with foreign directors are more likely to possess higher reputational capital. The significance of all correlation coefficients indicates meaningful associations among the variables. However, while these strong correlations suggest close relationships, they do not imply causality, thereby justifying the use of advanced econometric techniques in subsequent analyses.</w:t>
      </w:r>
    </w:p>
    <w:p w:rsidR="00E712FD" w:rsidRPr="009412FC" w:rsidRDefault="00E66387" w:rsidP="00B527E0">
      <w:pPr>
        <w:spacing w:after="0" w:line="360" w:lineRule="auto"/>
        <w:jc w:val="both"/>
        <w:rPr>
          <w:rFonts w:ascii="Times New Roman" w:hAnsi="Times New Roman" w:cs="Times New Roman"/>
        </w:rPr>
      </w:pPr>
      <w:r w:rsidRPr="009412FC">
        <w:rPr>
          <w:rFonts w:ascii="Times New Roman" w:hAnsi="Times New Roman" w:cs="Times New Roman"/>
        </w:rPr>
        <w:t>4.1.3</w:t>
      </w:r>
      <w:r w:rsidRPr="009412FC">
        <w:rPr>
          <w:rFonts w:ascii="Times New Roman" w:hAnsi="Times New Roman" w:cs="Times New Roman"/>
        </w:rPr>
        <w:tab/>
        <w:t xml:space="preserve">Collinearity Diagnostics </w:t>
      </w:r>
    </w:p>
    <w:tbl>
      <w:tblPr>
        <w:tblW w:w="8833"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886"/>
        <w:gridCol w:w="1362"/>
        <w:gridCol w:w="1361"/>
        <w:gridCol w:w="1634"/>
        <w:gridCol w:w="1310"/>
        <w:gridCol w:w="1140"/>
        <w:gridCol w:w="1140"/>
      </w:tblGrid>
      <w:tr w:rsidR="00E712FD" w:rsidRPr="00FE2294" w:rsidTr="00E712FD">
        <w:trPr>
          <w:cantSplit/>
        </w:trPr>
        <w:tc>
          <w:tcPr>
            <w:tcW w:w="8830" w:type="dxa"/>
            <w:gridSpan w:val="7"/>
            <w:tcBorders>
              <w:bottom w:val="nil"/>
            </w:tcBorders>
            <w:shd w:val="clear" w:color="auto" w:fill="FFFFFF"/>
            <w:vAlign w:val="center"/>
          </w:tcPr>
          <w:p w:rsidR="00E712FD" w:rsidRPr="009412FC" w:rsidRDefault="00E712FD" w:rsidP="00AF60D8">
            <w:pPr>
              <w:autoSpaceDE w:val="0"/>
              <w:autoSpaceDN w:val="0"/>
              <w:adjustRightInd w:val="0"/>
              <w:spacing w:after="0" w:line="320" w:lineRule="atLeast"/>
              <w:ind w:left="60" w:right="60"/>
              <w:jc w:val="center"/>
              <w:rPr>
                <w:rFonts w:ascii="Times New Roman" w:hAnsi="Times New Roman" w:cs="Times New Roman"/>
                <w:color w:val="010205"/>
              </w:rPr>
            </w:pPr>
            <w:r w:rsidRPr="009412FC">
              <w:rPr>
                <w:rFonts w:ascii="Times New Roman" w:hAnsi="Times New Roman" w:cs="Times New Roman"/>
                <w:b/>
                <w:bCs/>
                <w:color w:val="010205"/>
              </w:rPr>
              <w:t xml:space="preserve">Collinearity </w:t>
            </w:r>
            <w:proofErr w:type="spellStart"/>
            <w:r w:rsidRPr="009412FC">
              <w:rPr>
                <w:rFonts w:ascii="Times New Roman" w:hAnsi="Times New Roman" w:cs="Times New Roman"/>
                <w:b/>
                <w:bCs/>
                <w:color w:val="010205"/>
              </w:rPr>
              <w:t>Diagnostics</w:t>
            </w:r>
            <w:r w:rsidRPr="009412FC">
              <w:rPr>
                <w:rFonts w:ascii="Times New Roman" w:hAnsi="Times New Roman" w:cs="Times New Roman"/>
                <w:b/>
                <w:bCs/>
                <w:color w:val="010205"/>
                <w:vertAlign w:val="superscript"/>
              </w:rPr>
              <w:t>a</w:t>
            </w:r>
            <w:proofErr w:type="spellEnd"/>
          </w:p>
        </w:tc>
      </w:tr>
      <w:tr w:rsidR="00E712FD" w:rsidRPr="00FE2294" w:rsidTr="00E712FD">
        <w:trPr>
          <w:cantSplit/>
        </w:trPr>
        <w:tc>
          <w:tcPr>
            <w:tcW w:w="885" w:type="dxa"/>
            <w:vMerge w:val="restart"/>
            <w:tcBorders>
              <w:top w:val="nil"/>
              <w:bottom w:val="nil"/>
            </w:tcBorders>
            <w:shd w:val="clear" w:color="auto" w:fill="FFFFFF"/>
            <w:vAlign w:val="bottom"/>
          </w:tcPr>
          <w:p w:rsidR="00E712FD" w:rsidRPr="009412FC" w:rsidRDefault="00E712FD" w:rsidP="00AF60D8">
            <w:pPr>
              <w:autoSpaceDE w:val="0"/>
              <w:autoSpaceDN w:val="0"/>
              <w:adjustRightInd w:val="0"/>
              <w:spacing w:after="0" w:line="320" w:lineRule="atLeast"/>
              <w:ind w:left="60" w:right="60"/>
              <w:rPr>
                <w:rFonts w:ascii="Times New Roman" w:hAnsi="Times New Roman" w:cs="Times New Roman"/>
                <w:color w:val="264A60"/>
                <w:sz w:val="18"/>
                <w:szCs w:val="18"/>
              </w:rPr>
            </w:pPr>
            <w:r w:rsidRPr="009412FC">
              <w:rPr>
                <w:rFonts w:ascii="Times New Roman" w:hAnsi="Times New Roman" w:cs="Times New Roman"/>
                <w:color w:val="264A60"/>
                <w:sz w:val="18"/>
                <w:szCs w:val="18"/>
              </w:rPr>
              <w:t>Model</w:t>
            </w:r>
          </w:p>
        </w:tc>
        <w:tc>
          <w:tcPr>
            <w:tcW w:w="1361" w:type="dxa"/>
            <w:vMerge w:val="restart"/>
            <w:tcBorders>
              <w:top w:val="nil"/>
              <w:bottom w:val="nil"/>
            </w:tcBorders>
            <w:shd w:val="clear" w:color="auto" w:fill="FFFFFF"/>
            <w:vAlign w:val="bottom"/>
          </w:tcPr>
          <w:p w:rsidR="00E712FD" w:rsidRPr="009412FC" w:rsidRDefault="00E712FD" w:rsidP="00AF60D8">
            <w:pPr>
              <w:autoSpaceDE w:val="0"/>
              <w:autoSpaceDN w:val="0"/>
              <w:adjustRightInd w:val="0"/>
              <w:spacing w:after="0" w:line="320" w:lineRule="atLeast"/>
              <w:ind w:left="60" w:right="60"/>
              <w:rPr>
                <w:rFonts w:ascii="Times New Roman" w:hAnsi="Times New Roman" w:cs="Times New Roman"/>
                <w:color w:val="264A60"/>
                <w:sz w:val="18"/>
                <w:szCs w:val="18"/>
              </w:rPr>
            </w:pPr>
            <w:r w:rsidRPr="009412FC">
              <w:rPr>
                <w:rFonts w:ascii="Times New Roman" w:hAnsi="Times New Roman" w:cs="Times New Roman"/>
                <w:color w:val="264A60"/>
                <w:sz w:val="18"/>
                <w:szCs w:val="18"/>
              </w:rPr>
              <w:t>Dimension</w:t>
            </w:r>
          </w:p>
        </w:tc>
        <w:tc>
          <w:tcPr>
            <w:tcW w:w="1361" w:type="dxa"/>
            <w:vMerge w:val="restart"/>
            <w:tcBorders>
              <w:top w:val="nil"/>
              <w:bottom w:val="nil"/>
            </w:tcBorders>
            <w:shd w:val="clear" w:color="auto" w:fill="FFFFFF"/>
            <w:vAlign w:val="bottom"/>
          </w:tcPr>
          <w:p w:rsidR="00E712FD" w:rsidRPr="009412FC" w:rsidRDefault="00E712FD" w:rsidP="00AF60D8">
            <w:pPr>
              <w:autoSpaceDE w:val="0"/>
              <w:autoSpaceDN w:val="0"/>
              <w:adjustRightInd w:val="0"/>
              <w:spacing w:after="0" w:line="320" w:lineRule="atLeast"/>
              <w:ind w:left="60" w:right="60"/>
              <w:jc w:val="center"/>
              <w:rPr>
                <w:rFonts w:ascii="Times New Roman" w:hAnsi="Times New Roman" w:cs="Times New Roman"/>
                <w:color w:val="264A60"/>
                <w:sz w:val="18"/>
                <w:szCs w:val="18"/>
              </w:rPr>
            </w:pPr>
            <w:r w:rsidRPr="009412FC">
              <w:rPr>
                <w:rFonts w:ascii="Times New Roman" w:hAnsi="Times New Roman" w:cs="Times New Roman"/>
                <w:color w:val="264A60"/>
                <w:sz w:val="18"/>
                <w:szCs w:val="18"/>
              </w:rPr>
              <w:t>Eigenvalue</w:t>
            </w:r>
          </w:p>
        </w:tc>
        <w:tc>
          <w:tcPr>
            <w:tcW w:w="1633" w:type="dxa"/>
            <w:vMerge w:val="restart"/>
            <w:tcBorders>
              <w:top w:val="nil"/>
              <w:bottom w:val="nil"/>
            </w:tcBorders>
            <w:shd w:val="clear" w:color="auto" w:fill="FFFFFF"/>
            <w:vAlign w:val="bottom"/>
          </w:tcPr>
          <w:p w:rsidR="00E712FD" w:rsidRPr="009412FC" w:rsidRDefault="00E712FD" w:rsidP="00AF60D8">
            <w:pPr>
              <w:autoSpaceDE w:val="0"/>
              <w:autoSpaceDN w:val="0"/>
              <w:adjustRightInd w:val="0"/>
              <w:spacing w:after="0" w:line="320" w:lineRule="atLeast"/>
              <w:ind w:left="60" w:right="60"/>
              <w:jc w:val="center"/>
              <w:rPr>
                <w:rFonts w:ascii="Times New Roman" w:hAnsi="Times New Roman" w:cs="Times New Roman"/>
                <w:color w:val="264A60"/>
                <w:sz w:val="18"/>
                <w:szCs w:val="18"/>
              </w:rPr>
            </w:pPr>
            <w:r w:rsidRPr="009412FC">
              <w:rPr>
                <w:rFonts w:ascii="Times New Roman" w:hAnsi="Times New Roman" w:cs="Times New Roman"/>
                <w:color w:val="264A60"/>
                <w:sz w:val="18"/>
                <w:szCs w:val="18"/>
              </w:rPr>
              <w:t>Condition Index</w:t>
            </w:r>
          </w:p>
        </w:tc>
        <w:tc>
          <w:tcPr>
            <w:tcW w:w="3590" w:type="dxa"/>
            <w:gridSpan w:val="3"/>
            <w:tcBorders>
              <w:top w:val="nil"/>
              <w:bottom w:val="nil"/>
            </w:tcBorders>
            <w:shd w:val="clear" w:color="auto" w:fill="FFFFFF"/>
            <w:vAlign w:val="bottom"/>
          </w:tcPr>
          <w:p w:rsidR="00E712FD" w:rsidRPr="009412FC" w:rsidRDefault="00E712FD" w:rsidP="00AF60D8">
            <w:pPr>
              <w:autoSpaceDE w:val="0"/>
              <w:autoSpaceDN w:val="0"/>
              <w:adjustRightInd w:val="0"/>
              <w:spacing w:after="0" w:line="320" w:lineRule="atLeast"/>
              <w:ind w:left="60" w:right="60"/>
              <w:jc w:val="center"/>
              <w:rPr>
                <w:rFonts w:ascii="Times New Roman" w:hAnsi="Times New Roman" w:cs="Times New Roman"/>
                <w:color w:val="264A60"/>
                <w:sz w:val="18"/>
                <w:szCs w:val="18"/>
              </w:rPr>
            </w:pPr>
            <w:r w:rsidRPr="009412FC">
              <w:rPr>
                <w:rFonts w:ascii="Times New Roman" w:hAnsi="Times New Roman" w:cs="Times New Roman"/>
                <w:color w:val="264A60"/>
                <w:sz w:val="18"/>
                <w:szCs w:val="18"/>
              </w:rPr>
              <w:t>Variance Proportions</w:t>
            </w:r>
          </w:p>
        </w:tc>
      </w:tr>
      <w:tr w:rsidR="00E712FD" w:rsidRPr="00FE2294" w:rsidTr="00E712FD">
        <w:trPr>
          <w:cantSplit/>
        </w:trPr>
        <w:tc>
          <w:tcPr>
            <w:tcW w:w="885" w:type="dxa"/>
            <w:vMerge/>
            <w:tcBorders>
              <w:top w:val="nil"/>
              <w:bottom w:val="single" w:sz="4" w:space="0" w:color="auto"/>
            </w:tcBorders>
            <w:shd w:val="clear" w:color="auto" w:fill="FFFFFF"/>
            <w:vAlign w:val="bottom"/>
          </w:tcPr>
          <w:p w:rsidR="00E712FD" w:rsidRPr="00FE2294" w:rsidRDefault="00E712FD" w:rsidP="00AF60D8">
            <w:pPr>
              <w:autoSpaceDE w:val="0"/>
              <w:autoSpaceDN w:val="0"/>
              <w:adjustRightInd w:val="0"/>
              <w:spacing w:after="0" w:line="240" w:lineRule="auto"/>
              <w:rPr>
                <w:rFonts w:ascii="Arial" w:hAnsi="Arial" w:cs="Arial"/>
                <w:color w:val="264A60"/>
                <w:sz w:val="18"/>
                <w:szCs w:val="18"/>
              </w:rPr>
            </w:pPr>
          </w:p>
        </w:tc>
        <w:tc>
          <w:tcPr>
            <w:tcW w:w="1361" w:type="dxa"/>
            <w:vMerge/>
            <w:tcBorders>
              <w:top w:val="nil"/>
              <w:bottom w:val="single" w:sz="4" w:space="0" w:color="auto"/>
            </w:tcBorders>
            <w:shd w:val="clear" w:color="auto" w:fill="FFFFFF"/>
            <w:vAlign w:val="bottom"/>
          </w:tcPr>
          <w:p w:rsidR="00E712FD" w:rsidRPr="00FE2294" w:rsidRDefault="00E712FD" w:rsidP="00AF60D8">
            <w:pPr>
              <w:autoSpaceDE w:val="0"/>
              <w:autoSpaceDN w:val="0"/>
              <w:adjustRightInd w:val="0"/>
              <w:spacing w:after="0" w:line="240" w:lineRule="auto"/>
              <w:rPr>
                <w:rFonts w:ascii="Arial" w:hAnsi="Arial" w:cs="Arial"/>
                <w:color w:val="264A60"/>
                <w:sz w:val="18"/>
                <w:szCs w:val="18"/>
              </w:rPr>
            </w:pPr>
          </w:p>
        </w:tc>
        <w:tc>
          <w:tcPr>
            <w:tcW w:w="1361" w:type="dxa"/>
            <w:vMerge/>
            <w:tcBorders>
              <w:top w:val="nil"/>
              <w:bottom w:val="single" w:sz="4" w:space="0" w:color="auto"/>
            </w:tcBorders>
            <w:shd w:val="clear" w:color="auto" w:fill="FFFFFF"/>
            <w:vAlign w:val="bottom"/>
          </w:tcPr>
          <w:p w:rsidR="00E712FD" w:rsidRPr="009412FC" w:rsidRDefault="00E712FD" w:rsidP="00AF60D8">
            <w:pPr>
              <w:autoSpaceDE w:val="0"/>
              <w:autoSpaceDN w:val="0"/>
              <w:adjustRightInd w:val="0"/>
              <w:spacing w:after="0" w:line="240" w:lineRule="auto"/>
              <w:rPr>
                <w:rFonts w:ascii="Times New Roman" w:hAnsi="Times New Roman" w:cs="Times New Roman"/>
                <w:color w:val="264A60"/>
                <w:sz w:val="18"/>
                <w:szCs w:val="18"/>
              </w:rPr>
            </w:pPr>
          </w:p>
        </w:tc>
        <w:tc>
          <w:tcPr>
            <w:tcW w:w="1633" w:type="dxa"/>
            <w:vMerge/>
            <w:tcBorders>
              <w:top w:val="nil"/>
              <w:bottom w:val="single" w:sz="4" w:space="0" w:color="auto"/>
            </w:tcBorders>
            <w:shd w:val="clear" w:color="auto" w:fill="FFFFFF"/>
            <w:vAlign w:val="bottom"/>
          </w:tcPr>
          <w:p w:rsidR="00E712FD" w:rsidRPr="009412FC" w:rsidRDefault="00E712FD" w:rsidP="00AF60D8">
            <w:pPr>
              <w:autoSpaceDE w:val="0"/>
              <w:autoSpaceDN w:val="0"/>
              <w:adjustRightInd w:val="0"/>
              <w:spacing w:after="0" w:line="240" w:lineRule="auto"/>
              <w:rPr>
                <w:rFonts w:ascii="Times New Roman" w:hAnsi="Times New Roman" w:cs="Times New Roman"/>
                <w:color w:val="264A60"/>
                <w:sz w:val="18"/>
                <w:szCs w:val="18"/>
              </w:rPr>
            </w:pPr>
          </w:p>
        </w:tc>
        <w:tc>
          <w:tcPr>
            <w:tcW w:w="1310" w:type="dxa"/>
            <w:tcBorders>
              <w:top w:val="nil"/>
              <w:bottom w:val="single" w:sz="4" w:space="0" w:color="auto"/>
            </w:tcBorders>
            <w:shd w:val="clear" w:color="auto" w:fill="FFFFFF"/>
            <w:vAlign w:val="bottom"/>
          </w:tcPr>
          <w:p w:rsidR="00E712FD" w:rsidRPr="009412FC" w:rsidRDefault="00E712FD" w:rsidP="00AF60D8">
            <w:pPr>
              <w:autoSpaceDE w:val="0"/>
              <w:autoSpaceDN w:val="0"/>
              <w:adjustRightInd w:val="0"/>
              <w:spacing w:after="0" w:line="320" w:lineRule="atLeast"/>
              <w:ind w:left="60" w:right="60"/>
              <w:jc w:val="center"/>
              <w:rPr>
                <w:rFonts w:ascii="Times New Roman" w:hAnsi="Times New Roman" w:cs="Times New Roman"/>
                <w:color w:val="264A60"/>
                <w:sz w:val="18"/>
                <w:szCs w:val="18"/>
              </w:rPr>
            </w:pPr>
            <w:r w:rsidRPr="009412FC">
              <w:rPr>
                <w:rFonts w:ascii="Times New Roman" w:hAnsi="Times New Roman" w:cs="Times New Roman"/>
                <w:color w:val="264A60"/>
                <w:sz w:val="18"/>
                <w:szCs w:val="18"/>
              </w:rPr>
              <w:t>(Constant)</w:t>
            </w:r>
          </w:p>
        </w:tc>
        <w:tc>
          <w:tcPr>
            <w:tcW w:w="1140" w:type="dxa"/>
            <w:tcBorders>
              <w:top w:val="nil"/>
              <w:bottom w:val="single" w:sz="4" w:space="0" w:color="auto"/>
            </w:tcBorders>
            <w:shd w:val="clear" w:color="auto" w:fill="FFFFFF"/>
            <w:vAlign w:val="bottom"/>
          </w:tcPr>
          <w:p w:rsidR="00E712FD" w:rsidRPr="009412FC" w:rsidRDefault="00E712FD" w:rsidP="00AF60D8">
            <w:pPr>
              <w:autoSpaceDE w:val="0"/>
              <w:autoSpaceDN w:val="0"/>
              <w:adjustRightInd w:val="0"/>
              <w:spacing w:after="0" w:line="320" w:lineRule="atLeast"/>
              <w:ind w:left="60" w:right="60"/>
              <w:jc w:val="center"/>
              <w:rPr>
                <w:rFonts w:ascii="Times New Roman" w:hAnsi="Times New Roman" w:cs="Times New Roman"/>
                <w:color w:val="264A60"/>
                <w:sz w:val="18"/>
                <w:szCs w:val="18"/>
              </w:rPr>
            </w:pPr>
            <w:r w:rsidRPr="009412FC">
              <w:rPr>
                <w:rFonts w:ascii="Times New Roman" w:hAnsi="Times New Roman" w:cs="Times New Roman"/>
                <w:color w:val="264A60"/>
                <w:sz w:val="18"/>
                <w:szCs w:val="18"/>
              </w:rPr>
              <w:t>B.NAT</w:t>
            </w:r>
          </w:p>
        </w:tc>
        <w:tc>
          <w:tcPr>
            <w:tcW w:w="1140" w:type="dxa"/>
            <w:tcBorders>
              <w:top w:val="nil"/>
              <w:bottom w:val="single" w:sz="4" w:space="0" w:color="auto"/>
            </w:tcBorders>
            <w:shd w:val="clear" w:color="auto" w:fill="FFFFFF"/>
            <w:vAlign w:val="bottom"/>
          </w:tcPr>
          <w:p w:rsidR="00E712FD" w:rsidRPr="009412FC" w:rsidRDefault="00E712FD" w:rsidP="00AF60D8">
            <w:pPr>
              <w:autoSpaceDE w:val="0"/>
              <w:autoSpaceDN w:val="0"/>
              <w:adjustRightInd w:val="0"/>
              <w:spacing w:after="0" w:line="320" w:lineRule="atLeast"/>
              <w:ind w:left="60" w:right="60"/>
              <w:jc w:val="center"/>
              <w:rPr>
                <w:rFonts w:ascii="Times New Roman" w:hAnsi="Times New Roman" w:cs="Times New Roman"/>
                <w:color w:val="264A60"/>
                <w:sz w:val="18"/>
                <w:szCs w:val="18"/>
              </w:rPr>
            </w:pPr>
            <w:r w:rsidRPr="009412FC">
              <w:rPr>
                <w:rFonts w:ascii="Times New Roman" w:hAnsi="Times New Roman" w:cs="Times New Roman"/>
                <w:color w:val="264A60"/>
                <w:sz w:val="18"/>
                <w:szCs w:val="18"/>
              </w:rPr>
              <w:t>B.REP</w:t>
            </w:r>
          </w:p>
        </w:tc>
      </w:tr>
      <w:tr w:rsidR="00E712FD" w:rsidRPr="00FE2294" w:rsidTr="00E712FD">
        <w:trPr>
          <w:cantSplit/>
        </w:trPr>
        <w:tc>
          <w:tcPr>
            <w:tcW w:w="885" w:type="dxa"/>
            <w:vMerge w:val="restart"/>
            <w:tcBorders>
              <w:top w:val="single" w:sz="4" w:space="0" w:color="auto"/>
            </w:tcBorders>
            <w:shd w:val="clear" w:color="auto" w:fill="E0E0E0"/>
          </w:tcPr>
          <w:p w:rsidR="00E712FD" w:rsidRPr="00FE2294" w:rsidRDefault="00E712FD" w:rsidP="00AF60D8">
            <w:pPr>
              <w:autoSpaceDE w:val="0"/>
              <w:autoSpaceDN w:val="0"/>
              <w:adjustRightInd w:val="0"/>
              <w:spacing w:after="0" w:line="320" w:lineRule="atLeast"/>
              <w:ind w:left="60" w:right="60"/>
              <w:rPr>
                <w:rFonts w:ascii="Arial" w:hAnsi="Arial" w:cs="Arial"/>
                <w:color w:val="264A60"/>
                <w:sz w:val="18"/>
                <w:szCs w:val="18"/>
              </w:rPr>
            </w:pPr>
            <w:r w:rsidRPr="00FE2294">
              <w:rPr>
                <w:rFonts w:ascii="Arial" w:hAnsi="Arial" w:cs="Arial"/>
                <w:color w:val="264A60"/>
                <w:sz w:val="18"/>
                <w:szCs w:val="18"/>
              </w:rPr>
              <w:t>1</w:t>
            </w:r>
          </w:p>
        </w:tc>
        <w:tc>
          <w:tcPr>
            <w:tcW w:w="1361" w:type="dxa"/>
            <w:tcBorders>
              <w:top w:val="single" w:sz="4" w:space="0" w:color="auto"/>
            </w:tcBorders>
            <w:shd w:val="clear" w:color="auto" w:fill="E0E0E0"/>
          </w:tcPr>
          <w:p w:rsidR="00E712FD" w:rsidRPr="00FE2294" w:rsidRDefault="00E712FD" w:rsidP="00AF60D8">
            <w:pPr>
              <w:autoSpaceDE w:val="0"/>
              <w:autoSpaceDN w:val="0"/>
              <w:adjustRightInd w:val="0"/>
              <w:spacing w:after="0" w:line="320" w:lineRule="atLeast"/>
              <w:ind w:left="60" w:right="60"/>
              <w:rPr>
                <w:rFonts w:ascii="Arial" w:hAnsi="Arial" w:cs="Arial"/>
                <w:color w:val="264A60"/>
                <w:sz w:val="18"/>
                <w:szCs w:val="18"/>
              </w:rPr>
            </w:pPr>
            <w:r w:rsidRPr="00FE2294">
              <w:rPr>
                <w:rFonts w:ascii="Arial" w:hAnsi="Arial" w:cs="Arial"/>
                <w:color w:val="264A60"/>
                <w:sz w:val="18"/>
                <w:szCs w:val="18"/>
              </w:rPr>
              <w:t>1</w:t>
            </w:r>
          </w:p>
        </w:tc>
        <w:tc>
          <w:tcPr>
            <w:tcW w:w="1361" w:type="dxa"/>
            <w:tcBorders>
              <w:top w:val="single" w:sz="4" w:space="0" w:color="auto"/>
            </w:tcBorders>
            <w:shd w:val="clear" w:color="auto" w:fill="FFFFFF"/>
          </w:tcPr>
          <w:p w:rsidR="00E712FD" w:rsidRPr="00FE2294" w:rsidRDefault="00E712FD" w:rsidP="00AF60D8">
            <w:pPr>
              <w:autoSpaceDE w:val="0"/>
              <w:autoSpaceDN w:val="0"/>
              <w:adjustRightInd w:val="0"/>
              <w:spacing w:after="0" w:line="320" w:lineRule="atLeast"/>
              <w:ind w:left="60" w:right="60"/>
              <w:jc w:val="right"/>
              <w:rPr>
                <w:rFonts w:ascii="Arial" w:hAnsi="Arial" w:cs="Arial"/>
                <w:color w:val="010205"/>
                <w:sz w:val="18"/>
                <w:szCs w:val="18"/>
              </w:rPr>
            </w:pPr>
            <w:r w:rsidRPr="00FE2294">
              <w:rPr>
                <w:rFonts w:ascii="Arial" w:hAnsi="Arial" w:cs="Arial"/>
                <w:color w:val="010205"/>
                <w:sz w:val="18"/>
                <w:szCs w:val="18"/>
              </w:rPr>
              <w:t>2.537</w:t>
            </w:r>
          </w:p>
        </w:tc>
        <w:tc>
          <w:tcPr>
            <w:tcW w:w="1633" w:type="dxa"/>
            <w:tcBorders>
              <w:top w:val="single" w:sz="4" w:space="0" w:color="auto"/>
            </w:tcBorders>
            <w:shd w:val="clear" w:color="auto" w:fill="FFFFFF"/>
          </w:tcPr>
          <w:p w:rsidR="00E712FD" w:rsidRPr="00FE2294" w:rsidRDefault="00E712FD" w:rsidP="00AF60D8">
            <w:pPr>
              <w:autoSpaceDE w:val="0"/>
              <w:autoSpaceDN w:val="0"/>
              <w:adjustRightInd w:val="0"/>
              <w:spacing w:after="0" w:line="320" w:lineRule="atLeast"/>
              <w:ind w:left="60" w:right="60"/>
              <w:jc w:val="right"/>
              <w:rPr>
                <w:rFonts w:ascii="Arial" w:hAnsi="Arial" w:cs="Arial"/>
                <w:color w:val="010205"/>
                <w:sz w:val="18"/>
                <w:szCs w:val="18"/>
              </w:rPr>
            </w:pPr>
            <w:r w:rsidRPr="00FE2294">
              <w:rPr>
                <w:rFonts w:ascii="Arial" w:hAnsi="Arial" w:cs="Arial"/>
                <w:color w:val="010205"/>
                <w:sz w:val="18"/>
                <w:szCs w:val="18"/>
              </w:rPr>
              <w:t>1.000</w:t>
            </w:r>
          </w:p>
        </w:tc>
        <w:tc>
          <w:tcPr>
            <w:tcW w:w="1310" w:type="dxa"/>
            <w:tcBorders>
              <w:top w:val="single" w:sz="4" w:space="0" w:color="auto"/>
            </w:tcBorders>
            <w:shd w:val="clear" w:color="auto" w:fill="FFFFFF"/>
          </w:tcPr>
          <w:p w:rsidR="00E712FD" w:rsidRPr="00FE2294" w:rsidRDefault="00E712FD" w:rsidP="00AF60D8">
            <w:pPr>
              <w:autoSpaceDE w:val="0"/>
              <w:autoSpaceDN w:val="0"/>
              <w:adjustRightInd w:val="0"/>
              <w:spacing w:after="0" w:line="320" w:lineRule="atLeast"/>
              <w:ind w:left="60" w:right="60"/>
              <w:jc w:val="right"/>
              <w:rPr>
                <w:rFonts w:ascii="Arial" w:hAnsi="Arial" w:cs="Arial"/>
                <w:color w:val="010205"/>
                <w:sz w:val="18"/>
                <w:szCs w:val="18"/>
              </w:rPr>
            </w:pPr>
            <w:r w:rsidRPr="00FE2294">
              <w:rPr>
                <w:rFonts w:ascii="Arial" w:hAnsi="Arial" w:cs="Arial"/>
                <w:color w:val="010205"/>
                <w:sz w:val="18"/>
                <w:szCs w:val="18"/>
              </w:rPr>
              <w:t>.00</w:t>
            </w:r>
          </w:p>
        </w:tc>
        <w:tc>
          <w:tcPr>
            <w:tcW w:w="1140" w:type="dxa"/>
            <w:tcBorders>
              <w:top w:val="single" w:sz="4" w:space="0" w:color="auto"/>
            </w:tcBorders>
            <w:shd w:val="clear" w:color="auto" w:fill="FFFFFF"/>
          </w:tcPr>
          <w:p w:rsidR="00E712FD" w:rsidRPr="00FE2294" w:rsidRDefault="00E712FD" w:rsidP="00AF60D8">
            <w:pPr>
              <w:autoSpaceDE w:val="0"/>
              <w:autoSpaceDN w:val="0"/>
              <w:adjustRightInd w:val="0"/>
              <w:spacing w:after="0" w:line="320" w:lineRule="atLeast"/>
              <w:ind w:left="60" w:right="60"/>
              <w:jc w:val="right"/>
              <w:rPr>
                <w:rFonts w:ascii="Arial" w:hAnsi="Arial" w:cs="Arial"/>
                <w:color w:val="010205"/>
                <w:sz w:val="18"/>
                <w:szCs w:val="18"/>
              </w:rPr>
            </w:pPr>
            <w:r w:rsidRPr="00FE2294">
              <w:rPr>
                <w:rFonts w:ascii="Arial" w:hAnsi="Arial" w:cs="Arial"/>
                <w:color w:val="010205"/>
                <w:sz w:val="18"/>
                <w:szCs w:val="18"/>
              </w:rPr>
              <w:t>.01</w:t>
            </w:r>
          </w:p>
        </w:tc>
        <w:tc>
          <w:tcPr>
            <w:tcW w:w="1140" w:type="dxa"/>
            <w:tcBorders>
              <w:top w:val="single" w:sz="4" w:space="0" w:color="auto"/>
            </w:tcBorders>
            <w:shd w:val="clear" w:color="auto" w:fill="FFFFFF"/>
          </w:tcPr>
          <w:p w:rsidR="00E712FD" w:rsidRPr="00FE2294" w:rsidRDefault="00E712FD" w:rsidP="00AF60D8">
            <w:pPr>
              <w:autoSpaceDE w:val="0"/>
              <w:autoSpaceDN w:val="0"/>
              <w:adjustRightInd w:val="0"/>
              <w:spacing w:after="0" w:line="320" w:lineRule="atLeast"/>
              <w:ind w:left="60" w:right="60"/>
              <w:jc w:val="right"/>
              <w:rPr>
                <w:rFonts w:ascii="Arial" w:hAnsi="Arial" w:cs="Arial"/>
                <w:color w:val="010205"/>
                <w:sz w:val="18"/>
                <w:szCs w:val="18"/>
              </w:rPr>
            </w:pPr>
            <w:r w:rsidRPr="00FE2294">
              <w:rPr>
                <w:rFonts w:ascii="Arial" w:hAnsi="Arial" w:cs="Arial"/>
                <w:color w:val="010205"/>
                <w:sz w:val="18"/>
                <w:szCs w:val="18"/>
              </w:rPr>
              <w:t>.00</w:t>
            </w:r>
          </w:p>
        </w:tc>
      </w:tr>
      <w:tr w:rsidR="00E712FD" w:rsidRPr="00FE2294" w:rsidTr="00E712FD">
        <w:trPr>
          <w:cantSplit/>
        </w:trPr>
        <w:tc>
          <w:tcPr>
            <w:tcW w:w="885" w:type="dxa"/>
            <w:vMerge/>
            <w:shd w:val="clear" w:color="auto" w:fill="E0E0E0"/>
          </w:tcPr>
          <w:p w:rsidR="00E712FD" w:rsidRPr="00FE2294" w:rsidRDefault="00E712FD" w:rsidP="00AF60D8">
            <w:pPr>
              <w:autoSpaceDE w:val="0"/>
              <w:autoSpaceDN w:val="0"/>
              <w:adjustRightInd w:val="0"/>
              <w:spacing w:after="0" w:line="240" w:lineRule="auto"/>
              <w:rPr>
                <w:rFonts w:ascii="Arial" w:hAnsi="Arial" w:cs="Arial"/>
                <w:color w:val="010205"/>
                <w:sz w:val="18"/>
                <w:szCs w:val="18"/>
              </w:rPr>
            </w:pPr>
          </w:p>
        </w:tc>
        <w:tc>
          <w:tcPr>
            <w:tcW w:w="1361" w:type="dxa"/>
            <w:shd w:val="clear" w:color="auto" w:fill="E0E0E0"/>
          </w:tcPr>
          <w:p w:rsidR="00E712FD" w:rsidRPr="00FE2294" w:rsidRDefault="00E712FD" w:rsidP="00AF60D8">
            <w:pPr>
              <w:autoSpaceDE w:val="0"/>
              <w:autoSpaceDN w:val="0"/>
              <w:adjustRightInd w:val="0"/>
              <w:spacing w:after="0" w:line="320" w:lineRule="atLeast"/>
              <w:ind w:left="60" w:right="60"/>
              <w:rPr>
                <w:rFonts w:ascii="Arial" w:hAnsi="Arial" w:cs="Arial"/>
                <w:color w:val="264A60"/>
                <w:sz w:val="18"/>
                <w:szCs w:val="18"/>
              </w:rPr>
            </w:pPr>
            <w:r w:rsidRPr="00FE2294">
              <w:rPr>
                <w:rFonts w:ascii="Arial" w:hAnsi="Arial" w:cs="Arial"/>
                <w:color w:val="264A60"/>
                <w:sz w:val="18"/>
                <w:szCs w:val="18"/>
              </w:rPr>
              <w:t>2</w:t>
            </w:r>
          </w:p>
        </w:tc>
        <w:tc>
          <w:tcPr>
            <w:tcW w:w="1361" w:type="dxa"/>
            <w:shd w:val="clear" w:color="auto" w:fill="FFFFFF"/>
          </w:tcPr>
          <w:p w:rsidR="00E712FD" w:rsidRPr="00FE2294" w:rsidRDefault="00E712FD" w:rsidP="00AF60D8">
            <w:pPr>
              <w:autoSpaceDE w:val="0"/>
              <w:autoSpaceDN w:val="0"/>
              <w:adjustRightInd w:val="0"/>
              <w:spacing w:after="0" w:line="320" w:lineRule="atLeast"/>
              <w:ind w:left="60" w:right="60"/>
              <w:jc w:val="right"/>
              <w:rPr>
                <w:rFonts w:ascii="Arial" w:hAnsi="Arial" w:cs="Arial"/>
                <w:color w:val="010205"/>
                <w:sz w:val="18"/>
                <w:szCs w:val="18"/>
              </w:rPr>
            </w:pPr>
            <w:r w:rsidRPr="00FE2294">
              <w:rPr>
                <w:rFonts w:ascii="Arial" w:hAnsi="Arial" w:cs="Arial"/>
                <w:color w:val="010205"/>
                <w:sz w:val="18"/>
                <w:szCs w:val="18"/>
              </w:rPr>
              <w:t>.461</w:t>
            </w:r>
          </w:p>
        </w:tc>
        <w:tc>
          <w:tcPr>
            <w:tcW w:w="1633" w:type="dxa"/>
            <w:shd w:val="clear" w:color="auto" w:fill="FFFFFF"/>
          </w:tcPr>
          <w:p w:rsidR="00E712FD" w:rsidRPr="00FE2294" w:rsidRDefault="00E712FD" w:rsidP="00AF60D8">
            <w:pPr>
              <w:autoSpaceDE w:val="0"/>
              <w:autoSpaceDN w:val="0"/>
              <w:adjustRightInd w:val="0"/>
              <w:spacing w:after="0" w:line="320" w:lineRule="atLeast"/>
              <w:ind w:left="60" w:right="60"/>
              <w:jc w:val="right"/>
              <w:rPr>
                <w:rFonts w:ascii="Arial" w:hAnsi="Arial" w:cs="Arial"/>
                <w:color w:val="010205"/>
                <w:sz w:val="18"/>
                <w:szCs w:val="18"/>
              </w:rPr>
            </w:pPr>
            <w:r w:rsidRPr="00FE2294">
              <w:rPr>
                <w:rFonts w:ascii="Arial" w:hAnsi="Arial" w:cs="Arial"/>
                <w:color w:val="010205"/>
                <w:sz w:val="18"/>
                <w:szCs w:val="18"/>
              </w:rPr>
              <w:t>2.346</w:t>
            </w:r>
          </w:p>
        </w:tc>
        <w:tc>
          <w:tcPr>
            <w:tcW w:w="1310" w:type="dxa"/>
            <w:shd w:val="clear" w:color="auto" w:fill="FFFFFF"/>
          </w:tcPr>
          <w:p w:rsidR="00E712FD" w:rsidRPr="00FE2294" w:rsidRDefault="00E712FD" w:rsidP="00AF60D8">
            <w:pPr>
              <w:autoSpaceDE w:val="0"/>
              <w:autoSpaceDN w:val="0"/>
              <w:adjustRightInd w:val="0"/>
              <w:spacing w:after="0" w:line="320" w:lineRule="atLeast"/>
              <w:ind w:left="60" w:right="60"/>
              <w:jc w:val="right"/>
              <w:rPr>
                <w:rFonts w:ascii="Arial" w:hAnsi="Arial" w:cs="Arial"/>
                <w:color w:val="010205"/>
                <w:sz w:val="18"/>
                <w:szCs w:val="18"/>
              </w:rPr>
            </w:pPr>
            <w:r w:rsidRPr="00FE2294">
              <w:rPr>
                <w:rFonts w:ascii="Arial" w:hAnsi="Arial" w:cs="Arial"/>
                <w:color w:val="010205"/>
                <w:sz w:val="18"/>
                <w:szCs w:val="18"/>
              </w:rPr>
              <w:t>.00</w:t>
            </w:r>
          </w:p>
        </w:tc>
        <w:tc>
          <w:tcPr>
            <w:tcW w:w="1140" w:type="dxa"/>
            <w:shd w:val="clear" w:color="auto" w:fill="FFFFFF"/>
          </w:tcPr>
          <w:p w:rsidR="00E712FD" w:rsidRPr="00FE2294" w:rsidRDefault="00E712FD" w:rsidP="00AF60D8">
            <w:pPr>
              <w:autoSpaceDE w:val="0"/>
              <w:autoSpaceDN w:val="0"/>
              <w:adjustRightInd w:val="0"/>
              <w:spacing w:after="0" w:line="320" w:lineRule="atLeast"/>
              <w:ind w:left="60" w:right="60"/>
              <w:jc w:val="right"/>
              <w:rPr>
                <w:rFonts w:ascii="Arial" w:hAnsi="Arial" w:cs="Arial"/>
                <w:color w:val="010205"/>
                <w:sz w:val="18"/>
                <w:szCs w:val="18"/>
              </w:rPr>
            </w:pPr>
            <w:r w:rsidRPr="00FE2294">
              <w:rPr>
                <w:rFonts w:ascii="Arial" w:hAnsi="Arial" w:cs="Arial"/>
                <w:color w:val="010205"/>
                <w:sz w:val="18"/>
                <w:szCs w:val="18"/>
              </w:rPr>
              <w:t>.18</w:t>
            </w:r>
          </w:p>
        </w:tc>
        <w:tc>
          <w:tcPr>
            <w:tcW w:w="1140" w:type="dxa"/>
            <w:shd w:val="clear" w:color="auto" w:fill="FFFFFF"/>
          </w:tcPr>
          <w:p w:rsidR="00E712FD" w:rsidRPr="00FE2294" w:rsidRDefault="00E712FD" w:rsidP="00AF60D8">
            <w:pPr>
              <w:autoSpaceDE w:val="0"/>
              <w:autoSpaceDN w:val="0"/>
              <w:adjustRightInd w:val="0"/>
              <w:spacing w:after="0" w:line="320" w:lineRule="atLeast"/>
              <w:ind w:left="60" w:right="60"/>
              <w:jc w:val="right"/>
              <w:rPr>
                <w:rFonts w:ascii="Arial" w:hAnsi="Arial" w:cs="Arial"/>
                <w:color w:val="010205"/>
                <w:sz w:val="18"/>
                <w:szCs w:val="18"/>
              </w:rPr>
            </w:pPr>
            <w:r w:rsidRPr="00FE2294">
              <w:rPr>
                <w:rFonts w:ascii="Arial" w:hAnsi="Arial" w:cs="Arial"/>
                <w:color w:val="010205"/>
                <w:sz w:val="18"/>
                <w:szCs w:val="18"/>
              </w:rPr>
              <w:t>.00</w:t>
            </w:r>
          </w:p>
        </w:tc>
      </w:tr>
      <w:tr w:rsidR="00E712FD" w:rsidRPr="00FE2294" w:rsidTr="00E712FD">
        <w:trPr>
          <w:cantSplit/>
        </w:trPr>
        <w:tc>
          <w:tcPr>
            <w:tcW w:w="885" w:type="dxa"/>
            <w:vMerge/>
            <w:tcBorders>
              <w:bottom w:val="single" w:sz="4" w:space="0" w:color="auto"/>
            </w:tcBorders>
            <w:shd w:val="clear" w:color="auto" w:fill="E0E0E0"/>
          </w:tcPr>
          <w:p w:rsidR="00E712FD" w:rsidRPr="00FE2294" w:rsidRDefault="00E712FD" w:rsidP="00AF60D8">
            <w:pPr>
              <w:autoSpaceDE w:val="0"/>
              <w:autoSpaceDN w:val="0"/>
              <w:adjustRightInd w:val="0"/>
              <w:spacing w:after="0" w:line="240" w:lineRule="auto"/>
              <w:rPr>
                <w:rFonts w:ascii="Arial" w:hAnsi="Arial" w:cs="Arial"/>
                <w:color w:val="010205"/>
                <w:sz w:val="18"/>
                <w:szCs w:val="18"/>
              </w:rPr>
            </w:pPr>
          </w:p>
        </w:tc>
        <w:tc>
          <w:tcPr>
            <w:tcW w:w="1361" w:type="dxa"/>
            <w:tcBorders>
              <w:bottom w:val="single" w:sz="4" w:space="0" w:color="auto"/>
            </w:tcBorders>
            <w:shd w:val="clear" w:color="auto" w:fill="E0E0E0"/>
          </w:tcPr>
          <w:p w:rsidR="00E712FD" w:rsidRPr="00FE2294" w:rsidRDefault="00E712FD" w:rsidP="00AF60D8">
            <w:pPr>
              <w:autoSpaceDE w:val="0"/>
              <w:autoSpaceDN w:val="0"/>
              <w:adjustRightInd w:val="0"/>
              <w:spacing w:after="0" w:line="320" w:lineRule="atLeast"/>
              <w:ind w:left="60" w:right="60"/>
              <w:rPr>
                <w:rFonts w:ascii="Arial" w:hAnsi="Arial" w:cs="Arial"/>
                <w:color w:val="264A60"/>
                <w:sz w:val="18"/>
                <w:szCs w:val="18"/>
              </w:rPr>
            </w:pPr>
            <w:r w:rsidRPr="00FE2294">
              <w:rPr>
                <w:rFonts w:ascii="Arial" w:hAnsi="Arial" w:cs="Arial"/>
                <w:color w:val="264A60"/>
                <w:sz w:val="18"/>
                <w:szCs w:val="18"/>
              </w:rPr>
              <w:t>3</w:t>
            </w:r>
          </w:p>
        </w:tc>
        <w:tc>
          <w:tcPr>
            <w:tcW w:w="1361" w:type="dxa"/>
            <w:tcBorders>
              <w:bottom w:val="single" w:sz="4" w:space="0" w:color="auto"/>
            </w:tcBorders>
            <w:shd w:val="clear" w:color="auto" w:fill="FFFFFF"/>
          </w:tcPr>
          <w:p w:rsidR="00E712FD" w:rsidRPr="00FE2294" w:rsidRDefault="00E712FD" w:rsidP="00AF60D8">
            <w:pPr>
              <w:autoSpaceDE w:val="0"/>
              <w:autoSpaceDN w:val="0"/>
              <w:adjustRightInd w:val="0"/>
              <w:spacing w:after="0" w:line="320" w:lineRule="atLeast"/>
              <w:ind w:left="60" w:right="60"/>
              <w:jc w:val="right"/>
              <w:rPr>
                <w:rFonts w:ascii="Arial" w:hAnsi="Arial" w:cs="Arial"/>
                <w:color w:val="010205"/>
                <w:sz w:val="18"/>
                <w:szCs w:val="18"/>
              </w:rPr>
            </w:pPr>
            <w:r w:rsidRPr="00FE2294">
              <w:rPr>
                <w:rFonts w:ascii="Arial" w:hAnsi="Arial" w:cs="Arial"/>
                <w:color w:val="010205"/>
                <w:sz w:val="18"/>
                <w:szCs w:val="18"/>
              </w:rPr>
              <w:t>.002</w:t>
            </w:r>
          </w:p>
        </w:tc>
        <w:tc>
          <w:tcPr>
            <w:tcW w:w="1633" w:type="dxa"/>
            <w:tcBorders>
              <w:bottom w:val="single" w:sz="4" w:space="0" w:color="auto"/>
            </w:tcBorders>
            <w:shd w:val="clear" w:color="auto" w:fill="FFFFFF"/>
          </w:tcPr>
          <w:p w:rsidR="00E712FD" w:rsidRPr="00FE2294" w:rsidRDefault="00E712FD" w:rsidP="00AF60D8">
            <w:pPr>
              <w:autoSpaceDE w:val="0"/>
              <w:autoSpaceDN w:val="0"/>
              <w:adjustRightInd w:val="0"/>
              <w:spacing w:after="0" w:line="320" w:lineRule="atLeast"/>
              <w:ind w:left="60" w:right="60"/>
              <w:jc w:val="right"/>
              <w:rPr>
                <w:rFonts w:ascii="Arial" w:hAnsi="Arial" w:cs="Arial"/>
                <w:color w:val="010205"/>
                <w:sz w:val="18"/>
                <w:szCs w:val="18"/>
              </w:rPr>
            </w:pPr>
            <w:r w:rsidRPr="00FE2294">
              <w:rPr>
                <w:rFonts w:ascii="Arial" w:hAnsi="Arial" w:cs="Arial"/>
                <w:color w:val="010205"/>
                <w:sz w:val="18"/>
                <w:szCs w:val="18"/>
              </w:rPr>
              <w:t>35.228</w:t>
            </w:r>
          </w:p>
        </w:tc>
        <w:tc>
          <w:tcPr>
            <w:tcW w:w="1310" w:type="dxa"/>
            <w:tcBorders>
              <w:bottom w:val="single" w:sz="4" w:space="0" w:color="auto"/>
            </w:tcBorders>
            <w:shd w:val="clear" w:color="auto" w:fill="FFFFFF"/>
          </w:tcPr>
          <w:p w:rsidR="00E712FD" w:rsidRPr="00FE2294" w:rsidRDefault="00E712FD" w:rsidP="00AF60D8">
            <w:pPr>
              <w:autoSpaceDE w:val="0"/>
              <w:autoSpaceDN w:val="0"/>
              <w:adjustRightInd w:val="0"/>
              <w:spacing w:after="0" w:line="320" w:lineRule="atLeast"/>
              <w:ind w:left="60" w:right="60"/>
              <w:jc w:val="right"/>
              <w:rPr>
                <w:rFonts w:ascii="Arial" w:hAnsi="Arial" w:cs="Arial"/>
                <w:color w:val="010205"/>
                <w:sz w:val="18"/>
                <w:szCs w:val="18"/>
              </w:rPr>
            </w:pPr>
            <w:r w:rsidRPr="00FE2294">
              <w:rPr>
                <w:rFonts w:ascii="Arial" w:hAnsi="Arial" w:cs="Arial"/>
                <w:color w:val="010205"/>
                <w:sz w:val="18"/>
                <w:szCs w:val="18"/>
              </w:rPr>
              <w:t>1.00</w:t>
            </w:r>
          </w:p>
        </w:tc>
        <w:tc>
          <w:tcPr>
            <w:tcW w:w="1140" w:type="dxa"/>
            <w:tcBorders>
              <w:bottom w:val="single" w:sz="4" w:space="0" w:color="auto"/>
            </w:tcBorders>
            <w:shd w:val="clear" w:color="auto" w:fill="FFFFFF"/>
          </w:tcPr>
          <w:p w:rsidR="00E712FD" w:rsidRPr="00FE2294" w:rsidRDefault="00E712FD" w:rsidP="00AF60D8">
            <w:pPr>
              <w:autoSpaceDE w:val="0"/>
              <w:autoSpaceDN w:val="0"/>
              <w:adjustRightInd w:val="0"/>
              <w:spacing w:after="0" w:line="320" w:lineRule="atLeast"/>
              <w:ind w:left="60" w:right="60"/>
              <w:jc w:val="right"/>
              <w:rPr>
                <w:rFonts w:ascii="Arial" w:hAnsi="Arial" w:cs="Arial"/>
                <w:color w:val="010205"/>
                <w:sz w:val="18"/>
                <w:szCs w:val="18"/>
              </w:rPr>
            </w:pPr>
            <w:r w:rsidRPr="00FE2294">
              <w:rPr>
                <w:rFonts w:ascii="Arial" w:hAnsi="Arial" w:cs="Arial"/>
                <w:color w:val="010205"/>
                <w:sz w:val="18"/>
                <w:szCs w:val="18"/>
              </w:rPr>
              <w:t>.81</w:t>
            </w:r>
          </w:p>
        </w:tc>
        <w:tc>
          <w:tcPr>
            <w:tcW w:w="1140" w:type="dxa"/>
            <w:tcBorders>
              <w:bottom w:val="single" w:sz="4" w:space="0" w:color="auto"/>
            </w:tcBorders>
            <w:shd w:val="clear" w:color="auto" w:fill="FFFFFF"/>
          </w:tcPr>
          <w:p w:rsidR="00E712FD" w:rsidRPr="00FE2294" w:rsidRDefault="00E712FD" w:rsidP="00AF60D8">
            <w:pPr>
              <w:autoSpaceDE w:val="0"/>
              <w:autoSpaceDN w:val="0"/>
              <w:adjustRightInd w:val="0"/>
              <w:spacing w:after="0" w:line="320" w:lineRule="atLeast"/>
              <w:ind w:left="60" w:right="60"/>
              <w:jc w:val="right"/>
              <w:rPr>
                <w:rFonts w:ascii="Arial" w:hAnsi="Arial" w:cs="Arial"/>
                <w:color w:val="010205"/>
                <w:sz w:val="18"/>
                <w:szCs w:val="18"/>
              </w:rPr>
            </w:pPr>
            <w:r w:rsidRPr="00FE2294">
              <w:rPr>
                <w:rFonts w:ascii="Arial" w:hAnsi="Arial" w:cs="Arial"/>
                <w:color w:val="010205"/>
                <w:sz w:val="18"/>
                <w:szCs w:val="18"/>
              </w:rPr>
              <w:t>1.00</w:t>
            </w:r>
          </w:p>
        </w:tc>
      </w:tr>
      <w:tr w:rsidR="00E712FD" w:rsidRPr="00FE2294" w:rsidTr="00E712FD">
        <w:trPr>
          <w:cantSplit/>
        </w:trPr>
        <w:tc>
          <w:tcPr>
            <w:tcW w:w="8830" w:type="dxa"/>
            <w:gridSpan w:val="7"/>
            <w:tcBorders>
              <w:top w:val="single" w:sz="4" w:space="0" w:color="auto"/>
              <w:bottom w:val="nil"/>
            </w:tcBorders>
            <w:shd w:val="clear" w:color="auto" w:fill="FFFFFF"/>
          </w:tcPr>
          <w:p w:rsidR="00E712FD" w:rsidRPr="009412FC" w:rsidRDefault="00E712FD" w:rsidP="00AF60D8">
            <w:pPr>
              <w:autoSpaceDE w:val="0"/>
              <w:autoSpaceDN w:val="0"/>
              <w:adjustRightInd w:val="0"/>
              <w:spacing w:after="0" w:line="320" w:lineRule="atLeast"/>
              <w:ind w:left="60" w:right="60"/>
              <w:rPr>
                <w:rFonts w:ascii="Times New Roman" w:hAnsi="Times New Roman" w:cs="Times New Roman"/>
                <w:color w:val="010205"/>
                <w:sz w:val="18"/>
                <w:szCs w:val="18"/>
              </w:rPr>
            </w:pPr>
            <w:r w:rsidRPr="009412FC">
              <w:rPr>
                <w:rFonts w:ascii="Times New Roman" w:hAnsi="Times New Roman" w:cs="Times New Roman"/>
                <w:color w:val="010205"/>
                <w:sz w:val="18"/>
                <w:szCs w:val="18"/>
              </w:rPr>
              <w:t>a. Dependent Variable: ESG</w:t>
            </w:r>
          </w:p>
        </w:tc>
      </w:tr>
    </w:tbl>
    <w:p w:rsidR="00E66387" w:rsidRPr="00E66387" w:rsidRDefault="00E66387" w:rsidP="00B527E0">
      <w:pPr>
        <w:spacing w:after="0" w:line="360" w:lineRule="auto"/>
        <w:jc w:val="both"/>
        <w:rPr>
          <w:rFonts w:ascii="Times New Roman" w:hAnsi="Times New Roman" w:cs="Times New Roman"/>
          <w:sz w:val="24"/>
          <w:szCs w:val="24"/>
        </w:rPr>
      </w:pPr>
      <w:r w:rsidRPr="00E66387">
        <w:rPr>
          <w:rFonts w:ascii="Times New Roman" w:hAnsi="Times New Roman" w:cs="Times New Roman"/>
          <w:sz w:val="24"/>
          <w:szCs w:val="24"/>
        </w:rPr>
        <w:t xml:space="preserve">Collinearity diagnostics show that the model does </w:t>
      </w:r>
      <w:r w:rsidRPr="00E66387">
        <w:rPr>
          <w:rFonts w:ascii="Times New Roman" w:hAnsi="Times New Roman" w:cs="Times New Roman"/>
          <w:bCs/>
          <w:sz w:val="24"/>
          <w:szCs w:val="24"/>
        </w:rPr>
        <w:t>not suffer from serious multicollinearity</w:t>
      </w:r>
      <w:r w:rsidRPr="00E66387">
        <w:rPr>
          <w:rFonts w:ascii="Times New Roman" w:hAnsi="Times New Roman" w:cs="Times New Roman"/>
          <w:sz w:val="24"/>
          <w:szCs w:val="24"/>
        </w:rPr>
        <w:t xml:space="preserve"> problems. Although the third dimension records a </w:t>
      </w:r>
      <w:r w:rsidRPr="00E66387">
        <w:rPr>
          <w:rFonts w:ascii="Times New Roman" w:hAnsi="Times New Roman" w:cs="Times New Roman"/>
          <w:bCs/>
          <w:sz w:val="24"/>
          <w:szCs w:val="24"/>
        </w:rPr>
        <w:t>high condition index of 35.23</w:t>
      </w:r>
      <w:r w:rsidRPr="00E66387">
        <w:rPr>
          <w:rFonts w:ascii="Times New Roman" w:hAnsi="Times New Roman" w:cs="Times New Roman"/>
          <w:sz w:val="24"/>
          <w:szCs w:val="24"/>
        </w:rPr>
        <w:t xml:space="preserve">, the variance proportions indicate that </w:t>
      </w:r>
      <w:r w:rsidRPr="00E66387">
        <w:rPr>
          <w:rFonts w:ascii="Times New Roman" w:hAnsi="Times New Roman" w:cs="Times New Roman"/>
          <w:bCs/>
          <w:sz w:val="24"/>
          <w:szCs w:val="24"/>
        </w:rPr>
        <w:t>board director nationality (B.NAT)</w:t>
      </w:r>
      <w:r w:rsidRPr="00E66387">
        <w:rPr>
          <w:rFonts w:ascii="Times New Roman" w:hAnsi="Times New Roman" w:cs="Times New Roman"/>
          <w:sz w:val="24"/>
          <w:szCs w:val="24"/>
        </w:rPr>
        <w:t xml:space="preserve"> and </w:t>
      </w:r>
      <w:r w:rsidRPr="00E66387">
        <w:rPr>
          <w:rFonts w:ascii="Times New Roman" w:hAnsi="Times New Roman" w:cs="Times New Roman"/>
          <w:bCs/>
          <w:sz w:val="24"/>
          <w:szCs w:val="24"/>
        </w:rPr>
        <w:t xml:space="preserve">board director reputational </w:t>
      </w:r>
      <w:r w:rsidRPr="00E66387">
        <w:rPr>
          <w:rFonts w:ascii="Times New Roman" w:hAnsi="Times New Roman" w:cs="Times New Roman"/>
          <w:bCs/>
          <w:sz w:val="24"/>
          <w:szCs w:val="24"/>
        </w:rPr>
        <w:lastRenderedPageBreak/>
        <w:t>capital (B.REP)</w:t>
      </w:r>
      <w:r w:rsidRPr="00E66387">
        <w:rPr>
          <w:rFonts w:ascii="Times New Roman" w:hAnsi="Times New Roman" w:cs="Times New Roman"/>
          <w:sz w:val="24"/>
          <w:szCs w:val="24"/>
        </w:rPr>
        <w:t xml:space="preserve"> do not simultaneously load heavily on the same dimension. This suggests that the explanatory variables provide distinct information and can be reliably included in the regression model without distorting the estimated results.</w:t>
      </w:r>
    </w:p>
    <w:p w:rsidR="00E712FD" w:rsidRPr="009412FC" w:rsidRDefault="00E66387" w:rsidP="00B527E0">
      <w:pPr>
        <w:spacing w:after="0" w:line="360" w:lineRule="auto"/>
        <w:jc w:val="both"/>
        <w:rPr>
          <w:rFonts w:ascii="Times New Roman" w:hAnsi="Times New Roman" w:cs="Times New Roman"/>
        </w:rPr>
      </w:pPr>
      <w:r w:rsidRPr="009412FC">
        <w:rPr>
          <w:rFonts w:ascii="Times New Roman" w:hAnsi="Times New Roman" w:cs="Times New Roman"/>
        </w:rPr>
        <w:t>4.1.4</w:t>
      </w:r>
      <w:r w:rsidRPr="009412FC">
        <w:rPr>
          <w:rFonts w:ascii="Times New Roman" w:hAnsi="Times New Roman" w:cs="Times New Roman"/>
        </w:rPr>
        <w:tab/>
        <w:t xml:space="preserve">Modal Summary </w:t>
      </w:r>
    </w:p>
    <w:tbl>
      <w:tblPr>
        <w:tblW w:w="9499"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562"/>
        <w:gridCol w:w="725"/>
        <w:gridCol w:w="769"/>
        <w:gridCol w:w="1040"/>
        <w:gridCol w:w="1040"/>
        <w:gridCol w:w="1040"/>
        <w:gridCol w:w="791"/>
        <w:gridCol w:w="726"/>
        <w:gridCol w:w="726"/>
        <w:gridCol w:w="1040"/>
        <w:gridCol w:w="1040"/>
      </w:tblGrid>
      <w:tr w:rsidR="00E712FD" w:rsidRPr="009412FC" w:rsidTr="00E712FD">
        <w:trPr>
          <w:cantSplit/>
          <w:trHeight w:val="361"/>
        </w:trPr>
        <w:tc>
          <w:tcPr>
            <w:tcW w:w="9497" w:type="dxa"/>
            <w:gridSpan w:val="11"/>
            <w:shd w:val="clear" w:color="auto" w:fill="FFFFFF"/>
            <w:vAlign w:val="center"/>
          </w:tcPr>
          <w:p w:rsidR="00E712FD" w:rsidRPr="009412FC" w:rsidRDefault="00E712FD" w:rsidP="00AF60D8">
            <w:pPr>
              <w:autoSpaceDE w:val="0"/>
              <w:autoSpaceDN w:val="0"/>
              <w:adjustRightInd w:val="0"/>
              <w:spacing w:after="0" w:line="320" w:lineRule="atLeast"/>
              <w:ind w:left="60" w:right="60"/>
              <w:jc w:val="center"/>
              <w:rPr>
                <w:rFonts w:ascii="Times New Roman" w:hAnsi="Times New Roman" w:cs="Times New Roman"/>
                <w:color w:val="010205"/>
              </w:rPr>
            </w:pPr>
            <w:r w:rsidRPr="009412FC">
              <w:rPr>
                <w:rFonts w:ascii="Times New Roman" w:hAnsi="Times New Roman" w:cs="Times New Roman"/>
                <w:b/>
                <w:bCs/>
                <w:color w:val="010205"/>
              </w:rPr>
              <w:t>Model Summary</w:t>
            </w:r>
            <w:r w:rsidRPr="009412FC">
              <w:rPr>
                <w:rFonts w:ascii="Times New Roman" w:hAnsi="Times New Roman" w:cs="Times New Roman"/>
                <w:b/>
                <w:bCs/>
                <w:color w:val="010205"/>
                <w:vertAlign w:val="superscript"/>
              </w:rPr>
              <w:t>b</w:t>
            </w:r>
          </w:p>
        </w:tc>
      </w:tr>
      <w:tr w:rsidR="00E712FD" w:rsidRPr="009412FC" w:rsidTr="00E712FD">
        <w:trPr>
          <w:cantSplit/>
          <w:trHeight w:val="391"/>
        </w:trPr>
        <w:tc>
          <w:tcPr>
            <w:tcW w:w="562" w:type="dxa"/>
            <w:vMerge w:val="restart"/>
            <w:tcBorders>
              <w:top w:val="nil"/>
              <w:bottom w:val="nil"/>
            </w:tcBorders>
            <w:shd w:val="clear" w:color="auto" w:fill="FFFFFF"/>
            <w:vAlign w:val="bottom"/>
          </w:tcPr>
          <w:p w:rsidR="00E712FD" w:rsidRPr="009412FC" w:rsidRDefault="00E712FD" w:rsidP="00AF60D8">
            <w:pPr>
              <w:autoSpaceDE w:val="0"/>
              <w:autoSpaceDN w:val="0"/>
              <w:adjustRightInd w:val="0"/>
              <w:spacing w:after="0" w:line="320" w:lineRule="atLeast"/>
              <w:ind w:left="60" w:right="60"/>
              <w:rPr>
                <w:rFonts w:ascii="Times New Roman" w:hAnsi="Times New Roman" w:cs="Times New Roman"/>
                <w:color w:val="264A60"/>
                <w:sz w:val="18"/>
                <w:szCs w:val="18"/>
              </w:rPr>
            </w:pPr>
            <w:r w:rsidRPr="009412FC">
              <w:rPr>
                <w:rFonts w:ascii="Times New Roman" w:hAnsi="Times New Roman" w:cs="Times New Roman"/>
                <w:color w:val="264A60"/>
                <w:sz w:val="18"/>
                <w:szCs w:val="18"/>
              </w:rPr>
              <w:t>Model</w:t>
            </w:r>
          </w:p>
        </w:tc>
        <w:tc>
          <w:tcPr>
            <w:tcW w:w="725" w:type="dxa"/>
            <w:vMerge w:val="restart"/>
            <w:tcBorders>
              <w:top w:val="nil"/>
              <w:bottom w:val="nil"/>
            </w:tcBorders>
            <w:shd w:val="clear" w:color="auto" w:fill="FFFFFF"/>
            <w:vAlign w:val="bottom"/>
          </w:tcPr>
          <w:p w:rsidR="00E712FD" w:rsidRPr="009412FC" w:rsidRDefault="00E712FD" w:rsidP="00AF60D8">
            <w:pPr>
              <w:autoSpaceDE w:val="0"/>
              <w:autoSpaceDN w:val="0"/>
              <w:adjustRightInd w:val="0"/>
              <w:spacing w:after="0" w:line="320" w:lineRule="atLeast"/>
              <w:ind w:left="60" w:right="60"/>
              <w:jc w:val="center"/>
              <w:rPr>
                <w:rFonts w:ascii="Times New Roman" w:hAnsi="Times New Roman" w:cs="Times New Roman"/>
                <w:color w:val="264A60"/>
                <w:sz w:val="18"/>
                <w:szCs w:val="18"/>
              </w:rPr>
            </w:pPr>
            <w:r w:rsidRPr="009412FC">
              <w:rPr>
                <w:rFonts w:ascii="Times New Roman" w:hAnsi="Times New Roman" w:cs="Times New Roman"/>
                <w:color w:val="264A60"/>
                <w:sz w:val="18"/>
                <w:szCs w:val="18"/>
              </w:rPr>
              <w:t>R</w:t>
            </w:r>
          </w:p>
        </w:tc>
        <w:tc>
          <w:tcPr>
            <w:tcW w:w="769" w:type="dxa"/>
            <w:vMerge w:val="restart"/>
            <w:tcBorders>
              <w:top w:val="nil"/>
              <w:bottom w:val="nil"/>
            </w:tcBorders>
            <w:shd w:val="clear" w:color="auto" w:fill="FFFFFF"/>
            <w:vAlign w:val="bottom"/>
          </w:tcPr>
          <w:p w:rsidR="00E712FD" w:rsidRPr="009412FC" w:rsidRDefault="00E712FD" w:rsidP="00AF60D8">
            <w:pPr>
              <w:autoSpaceDE w:val="0"/>
              <w:autoSpaceDN w:val="0"/>
              <w:adjustRightInd w:val="0"/>
              <w:spacing w:after="0" w:line="320" w:lineRule="atLeast"/>
              <w:ind w:left="60" w:right="60"/>
              <w:jc w:val="center"/>
              <w:rPr>
                <w:rFonts w:ascii="Times New Roman" w:hAnsi="Times New Roman" w:cs="Times New Roman"/>
                <w:color w:val="264A60"/>
                <w:sz w:val="18"/>
                <w:szCs w:val="18"/>
              </w:rPr>
            </w:pPr>
            <w:r w:rsidRPr="009412FC">
              <w:rPr>
                <w:rFonts w:ascii="Times New Roman" w:hAnsi="Times New Roman" w:cs="Times New Roman"/>
                <w:color w:val="264A60"/>
                <w:sz w:val="18"/>
                <w:szCs w:val="18"/>
              </w:rPr>
              <w:t>R Square</w:t>
            </w:r>
          </w:p>
        </w:tc>
        <w:tc>
          <w:tcPr>
            <w:tcW w:w="1040" w:type="dxa"/>
            <w:vMerge w:val="restart"/>
            <w:tcBorders>
              <w:top w:val="nil"/>
              <w:bottom w:val="nil"/>
            </w:tcBorders>
            <w:shd w:val="clear" w:color="auto" w:fill="FFFFFF"/>
            <w:vAlign w:val="bottom"/>
          </w:tcPr>
          <w:p w:rsidR="00E712FD" w:rsidRPr="009412FC" w:rsidRDefault="00E712FD" w:rsidP="00AF60D8">
            <w:pPr>
              <w:autoSpaceDE w:val="0"/>
              <w:autoSpaceDN w:val="0"/>
              <w:adjustRightInd w:val="0"/>
              <w:spacing w:after="0" w:line="320" w:lineRule="atLeast"/>
              <w:ind w:left="60" w:right="60"/>
              <w:jc w:val="center"/>
              <w:rPr>
                <w:rFonts w:ascii="Times New Roman" w:hAnsi="Times New Roman" w:cs="Times New Roman"/>
                <w:color w:val="264A60"/>
                <w:sz w:val="18"/>
                <w:szCs w:val="18"/>
              </w:rPr>
            </w:pPr>
            <w:r w:rsidRPr="009412FC">
              <w:rPr>
                <w:rFonts w:ascii="Times New Roman" w:hAnsi="Times New Roman" w:cs="Times New Roman"/>
                <w:color w:val="264A60"/>
                <w:sz w:val="18"/>
                <w:szCs w:val="18"/>
              </w:rPr>
              <w:t>Adjusted R Square</w:t>
            </w:r>
          </w:p>
        </w:tc>
        <w:tc>
          <w:tcPr>
            <w:tcW w:w="1040" w:type="dxa"/>
            <w:vMerge w:val="restart"/>
            <w:tcBorders>
              <w:top w:val="nil"/>
              <w:bottom w:val="nil"/>
            </w:tcBorders>
            <w:shd w:val="clear" w:color="auto" w:fill="FFFFFF"/>
            <w:vAlign w:val="bottom"/>
          </w:tcPr>
          <w:p w:rsidR="00E712FD" w:rsidRPr="009412FC" w:rsidRDefault="00E712FD" w:rsidP="00AF60D8">
            <w:pPr>
              <w:autoSpaceDE w:val="0"/>
              <w:autoSpaceDN w:val="0"/>
              <w:adjustRightInd w:val="0"/>
              <w:spacing w:after="0" w:line="320" w:lineRule="atLeast"/>
              <w:ind w:left="60" w:right="60"/>
              <w:jc w:val="center"/>
              <w:rPr>
                <w:rFonts w:ascii="Times New Roman" w:hAnsi="Times New Roman" w:cs="Times New Roman"/>
                <w:color w:val="264A60"/>
                <w:sz w:val="18"/>
                <w:szCs w:val="18"/>
              </w:rPr>
            </w:pPr>
            <w:r w:rsidRPr="009412FC">
              <w:rPr>
                <w:rFonts w:ascii="Times New Roman" w:hAnsi="Times New Roman" w:cs="Times New Roman"/>
                <w:color w:val="264A60"/>
                <w:sz w:val="18"/>
                <w:szCs w:val="18"/>
              </w:rPr>
              <w:t>Std. Error of the Estimate</w:t>
            </w:r>
          </w:p>
        </w:tc>
        <w:tc>
          <w:tcPr>
            <w:tcW w:w="4322" w:type="dxa"/>
            <w:gridSpan w:val="5"/>
            <w:tcBorders>
              <w:top w:val="nil"/>
              <w:bottom w:val="nil"/>
            </w:tcBorders>
            <w:shd w:val="clear" w:color="auto" w:fill="FFFFFF"/>
            <w:vAlign w:val="bottom"/>
          </w:tcPr>
          <w:p w:rsidR="00E712FD" w:rsidRPr="009412FC" w:rsidRDefault="00E712FD" w:rsidP="00AF60D8">
            <w:pPr>
              <w:autoSpaceDE w:val="0"/>
              <w:autoSpaceDN w:val="0"/>
              <w:adjustRightInd w:val="0"/>
              <w:spacing w:after="0" w:line="320" w:lineRule="atLeast"/>
              <w:ind w:left="60" w:right="60"/>
              <w:jc w:val="center"/>
              <w:rPr>
                <w:rFonts w:ascii="Times New Roman" w:hAnsi="Times New Roman" w:cs="Times New Roman"/>
                <w:color w:val="264A60"/>
                <w:sz w:val="18"/>
                <w:szCs w:val="18"/>
              </w:rPr>
            </w:pPr>
            <w:r w:rsidRPr="009412FC">
              <w:rPr>
                <w:rFonts w:ascii="Times New Roman" w:hAnsi="Times New Roman" w:cs="Times New Roman"/>
                <w:color w:val="264A60"/>
                <w:sz w:val="18"/>
                <w:szCs w:val="18"/>
              </w:rPr>
              <w:t>Change Statistics</w:t>
            </w:r>
          </w:p>
        </w:tc>
        <w:tc>
          <w:tcPr>
            <w:tcW w:w="1040" w:type="dxa"/>
            <w:vMerge w:val="restart"/>
            <w:shd w:val="clear" w:color="auto" w:fill="FFFFFF"/>
            <w:vAlign w:val="bottom"/>
          </w:tcPr>
          <w:p w:rsidR="00E712FD" w:rsidRPr="009412FC" w:rsidRDefault="00E712FD" w:rsidP="00AF60D8">
            <w:pPr>
              <w:autoSpaceDE w:val="0"/>
              <w:autoSpaceDN w:val="0"/>
              <w:adjustRightInd w:val="0"/>
              <w:spacing w:after="0" w:line="320" w:lineRule="atLeast"/>
              <w:ind w:left="60" w:right="60"/>
              <w:jc w:val="center"/>
              <w:rPr>
                <w:rFonts w:ascii="Times New Roman" w:hAnsi="Times New Roman" w:cs="Times New Roman"/>
                <w:color w:val="264A60"/>
                <w:sz w:val="18"/>
                <w:szCs w:val="18"/>
              </w:rPr>
            </w:pPr>
            <w:r w:rsidRPr="009412FC">
              <w:rPr>
                <w:rFonts w:ascii="Times New Roman" w:hAnsi="Times New Roman" w:cs="Times New Roman"/>
                <w:color w:val="264A60"/>
                <w:sz w:val="18"/>
                <w:szCs w:val="18"/>
              </w:rPr>
              <w:t>Durbin-Watson</w:t>
            </w:r>
          </w:p>
        </w:tc>
      </w:tr>
      <w:tr w:rsidR="00E712FD" w:rsidRPr="009412FC" w:rsidTr="00E66387">
        <w:trPr>
          <w:cantSplit/>
          <w:trHeight w:val="166"/>
        </w:trPr>
        <w:tc>
          <w:tcPr>
            <w:tcW w:w="562" w:type="dxa"/>
            <w:vMerge/>
            <w:tcBorders>
              <w:top w:val="nil"/>
              <w:bottom w:val="single" w:sz="4" w:space="0" w:color="auto"/>
            </w:tcBorders>
            <w:shd w:val="clear" w:color="auto" w:fill="FFFFFF"/>
            <w:vAlign w:val="bottom"/>
          </w:tcPr>
          <w:p w:rsidR="00E712FD" w:rsidRPr="009412FC" w:rsidRDefault="00E712FD" w:rsidP="00AF60D8">
            <w:pPr>
              <w:autoSpaceDE w:val="0"/>
              <w:autoSpaceDN w:val="0"/>
              <w:adjustRightInd w:val="0"/>
              <w:spacing w:after="0" w:line="240" w:lineRule="auto"/>
              <w:rPr>
                <w:rFonts w:ascii="Times New Roman" w:hAnsi="Times New Roman" w:cs="Times New Roman"/>
                <w:color w:val="264A60"/>
                <w:sz w:val="18"/>
                <w:szCs w:val="18"/>
              </w:rPr>
            </w:pPr>
          </w:p>
        </w:tc>
        <w:tc>
          <w:tcPr>
            <w:tcW w:w="725" w:type="dxa"/>
            <w:vMerge/>
            <w:tcBorders>
              <w:top w:val="nil"/>
              <w:bottom w:val="single" w:sz="4" w:space="0" w:color="auto"/>
            </w:tcBorders>
            <w:shd w:val="clear" w:color="auto" w:fill="FFFFFF"/>
            <w:vAlign w:val="bottom"/>
          </w:tcPr>
          <w:p w:rsidR="00E712FD" w:rsidRPr="009412FC" w:rsidRDefault="00E712FD" w:rsidP="00AF60D8">
            <w:pPr>
              <w:autoSpaceDE w:val="0"/>
              <w:autoSpaceDN w:val="0"/>
              <w:adjustRightInd w:val="0"/>
              <w:spacing w:after="0" w:line="240" w:lineRule="auto"/>
              <w:rPr>
                <w:rFonts w:ascii="Times New Roman" w:hAnsi="Times New Roman" w:cs="Times New Roman"/>
                <w:color w:val="264A60"/>
                <w:sz w:val="18"/>
                <w:szCs w:val="18"/>
              </w:rPr>
            </w:pPr>
          </w:p>
        </w:tc>
        <w:tc>
          <w:tcPr>
            <w:tcW w:w="769" w:type="dxa"/>
            <w:vMerge/>
            <w:tcBorders>
              <w:top w:val="nil"/>
              <w:bottom w:val="single" w:sz="4" w:space="0" w:color="auto"/>
            </w:tcBorders>
            <w:shd w:val="clear" w:color="auto" w:fill="FFFFFF"/>
            <w:vAlign w:val="bottom"/>
          </w:tcPr>
          <w:p w:rsidR="00E712FD" w:rsidRPr="009412FC" w:rsidRDefault="00E712FD" w:rsidP="00AF60D8">
            <w:pPr>
              <w:autoSpaceDE w:val="0"/>
              <w:autoSpaceDN w:val="0"/>
              <w:adjustRightInd w:val="0"/>
              <w:spacing w:after="0" w:line="240" w:lineRule="auto"/>
              <w:rPr>
                <w:rFonts w:ascii="Times New Roman" w:hAnsi="Times New Roman" w:cs="Times New Roman"/>
                <w:color w:val="264A60"/>
                <w:sz w:val="18"/>
                <w:szCs w:val="18"/>
              </w:rPr>
            </w:pPr>
          </w:p>
        </w:tc>
        <w:tc>
          <w:tcPr>
            <w:tcW w:w="1040" w:type="dxa"/>
            <w:vMerge/>
            <w:tcBorders>
              <w:top w:val="nil"/>
              <w:bottom w:val="single" w:sz="4" w:space="0" w:color="auto"/>
            </w:tcBorders>
            <w:shd w:val="clear" w:color="auto" w:fill="FFFFFF"/>
            <w:vAlign w:val="bottom"/>
          </w:tcPr>
          <w:p w:rsidR="00E712FD" w:rsidRPr="009412FC" w:rsidRDefault="00E712FD" w:rsidP="00AF60D8">
            <w:pPr>
              <w:autoSpaceDE w:val="0"/>
              <w:autoSpaceDN w:val="0"/>
              <w:adjustRightInd w:val="0"/>
              <w:spacing w:after="0" w:line="240" w:lineRule="auto"/>
              <w:rPr>
                <w:rFonts w:ascii="Times New Roman" w:hAnsi="Times New Roman" w:cs="Times New Roman"/>
                <w:color w:val="264A60"/>
                <w:sz w:val="18"/>
                <w:szCs w:val="18"/>
              </w:rPr>
            </w:pPr>
          </w:p>
        </w:tc>
        <w:tc>
          <w:tcPr>
            <w:tcW w:w="1040" w:type="dxa"/>
            <w:vMerge/>
            <w:tcBorders>
              <w:top w:val="nil"/>
              <w:bottom w:val="single" w:sz="4" w:space="0" w:color="auto"/>
            </w:tcBorders>
            <w:shd w:val="clear" w:color="auto" w:fill="FFFFFF"/>
            <w:vAlign w:val="bottom"/>
          </w:tcPr>
          <w:p w:rsidR="00E712FD" w:rsidRPr="009412FC" w:rsidRDefault="00E712FD" w:rsidP="00AF60D8">
            <w:pPr>
              <w:autoSpaceDE w:val="0"/>
              <w:autoSpaceDN w:val="0"/>
              <w:adjustRightInd w:val="0"/>
              <w:spacing w:after="0" w:line="240" w:lineRule="auto"/>
              <w:rPr>
                <w:rFonts w:ascii="Times New Roman" w:hAnsi="Times New Roman" w:cs="Times New Roman"/>
                <w:color w:val="264A60"/>
                <w:sz w:val="18"/>
                <w:szCs w:val="18"/>
              </w:rPr>
            </w:pPr>
          </w:p>
        </w:tc>
        <w:tc>
          <w:tcPr>
            <w:tcW w:w="1040" w:type="dxa"/>
            <w:tcBorders>
              <w:top w:val="nil"/>
              <w:bottom w:val="single" w:sz="4" w:space="0" w:color="auto"/>
            </w:tcBorders>
            <w:shd w:val="clear" w:color="auto" w:fill="FFFFFF"/>
            <w:vAlign w:val="bottom"/>
          </w:tcPr>
          <w:p w:rsidR="00E712FD" w:rsidRPr="009412FC" w:rsidRDefault="00E712FD" w:rsidP="00AF60D8">
            <w:pPr>
              <w:autoSpaceDE w:val="0"/>
              <w:autoSpaceDN w:val="0"/>
              <w:adjustRightInd w:val="0"/>
              <w:spacing w:after="0" w:line="320" w:lineRule="atLeast"/>
              <w:ind w:left="60" w:right="60"/>
              <w:jc w:val="center"/>
              <w:rPr>
                <w:rFonts w:ascii="Times New Roman" w:hAnsi="Times New Roman" w:cs="Times New Roman"/>
                <w:color w:val="264A60"/>
                <w:sz w:val="18"/>
                <w:szCs w:val="18"/>
              </w:rPr>
            </w:pPr>
            <w:r w:rsidRPr="009412FC">
              <w:rPr>
                <w:rFonts w:ascii="Times New Roman" w:hAnsi="Times New Roman" w:cs="Times New Roman"/>
                <w:color w:val="264A60"/>
                <w:sz w:val="18"/>
                <w:szCs w:val="18"/>
              </w:rPr>
              <w:t>R Square Change</w:t>
            </w:r>
          </w:p>
        </w:tc>
        <w:tc>
          <w:tcPr>
            <w:tcW w:w="791" w:type="dxa"/>
            <w:tcBorders>
              <w:top w:val="nil"/>
              <w:bottom w:val="single" w:sz="4" w:space="0" w:color="auto"/>
            </w:tcBorders>
            <w:shd w:val="clear" w:color="auto" w:fill="FFFFFF"/>
            <w:vAlign w:val="bottom"/>
          </w:tcPr>
          <w:p w:rsidR="00E712FD" w:rsidRPr="009412FC" w:rsidRDefault="00E712FD" w:rsidP="00AF60D8">
            <w:pPr>
              <w:autoSpaceDE w:val="0"/>
              <w:autoSpaceDN w:val="0"/>
              <w:adjustRightInd w:val="0"/>
              <w:spacing w:after="0" w:line="320" w:lineRule="atLeast"/>
              <w:ind w:left="60" w:right="60"/>
              <w:jc w:val="center"/>
              <w:rPr>
                <w:rFonts w:ascii="Times New Roman" w:hAnsi="Times New Roman" w:cs="Times New Roman"/>
                <w:color w:val="264A60"/>
                <w:sz w:val="18"/>
                <w:szCs w:val="18"/>
              </w:rPr>
            </w:pPr>
            <w:r w:rsidRPr="009412FC">
              <w:rPr>
                <w:rFonts w:ascii="Times New Roman" w:hAnsi="Times New Roman" w:cs="Times New Roman"/>
                <w:color w:val="264A60"/>
                <w:sz w:val="18"/>
                <w:szCs w:val="18"/>
              </w:rPr>
              <w:t>F Change</w:t>
            </w:r>
          </w:p>
        </w:tc>
        <w:tc>
          <w:tcPr>
            <w:tcW w:w="726" w:type="dxa"/>
            <w:tcBorders>
              <w:top w:val="nil"/>
              <w:bottom w:val="single" w:sz="4" w:space="0" w:color="auto"/>
            </w:tcBorders>
            <w:shd w:val="clear" w:color="auto" w:fill="FFFFFF"/>
            <w:vAlign w:val="bottom"/>
          </w:tcPr>
          <w:p w:rsidR="00E712FD" w:rsidRPr="009412FC" w:rsidRDefault="00E712FD" w:rsidP="00AF60D8">
            <w:pPr>
              <w:autoSpaceDE w:val="0"/>
              <w:autoSpaceDN w:val="0"/>
              <w:adjustRightInd w:val="0"/>
              <w:spacing w:after="0" w:line="320" w:lineRule="atLeast"/>
              <w:ind w:left="60" w:right="60"/>
              <w:jc w:val="center"/>
              <w:rPr>
                <w:rFonts w:ascii="Times New Roman" w:hAnsi="Times New Roman" w:cs="Times New Roman"/>
                <w:color w:val="264A60"/>
                <w:sz w:val="18"/>
                <w:szCs w:val="18"/>
              </w:rPr>
            </w:pPr>
            <w:r w:rsidRPr="009412FC">
              <w:rPr>
                <w:rFonts w:ascii="Times New Roman" w:hAnsi="Times New Roman" w:cs="Times New Roman"/>
                <w:color w:val="264A60"/>
                <w:sz w:val="18"/>
                <w:szCs w:val="18"/>
              </w:rPr>
              <w:t>df1</w:t>
            </w:r>
          </w:p>
        </w:tc>
        <w:tc>
          <w:tcPr>
            <w:tcW w:w="726" w:type="dxa"/>
            <w:tcBorders>
              <w:top w:val="nil"/>
              <w:bottom w:val="single" w:sz="4" w:space="0" w:color="auto"/>
            </w:tcBorders>
            <w:shd w:val="clear" w:color="auto" w:fill="FFFFFF"/>
            <w:vAlign w:val="bottom"/>
          </w:tcPr>
          <w:p w:rsidR="00E712FD" w:rsidRPr="009412FC" w:rsidRDefault="00E712FD" w:rsidP="00AF60D8">
            <w:pPr>
              <w:autoSpaceDE w:val="0"/>
              <w:autoSpaceDN w:val="0"/>
              <w:adjustRightInd w:val="0"/>
              <w:spacing w:after="0" w:line="320" w:lineRule="atLeast"/>
              <w:ind w:left="60" w:right="60"/>
              <w:jc w:val="center"/>
              <w:rPr>
                <w:rFonts w:ascii="Times New Roman" w:hAnsi="Times New Roman" w:cs="Times New Roman"/>
                <w:color w:val="264A60"/>
                <w:sz w:val="18"/>
                <w:szCs w:val="18"/>
              </w:rPr>
            </w:pPr>
            <w:r w:rsidRPr="009412FC">
              <w:rPr>
                <w:rFonts w:ascii="Times New Roman" w:hAnsi="Times New Roman" w:cs="Times New Roman"/>
                <w:color w:val="264A60"/>
                <w:sz w:val="18"/>
                <w:szCs w:val="18"/>
              </w:rPr>
              <w:t>df2</w:t>
            </w:r>
          </w:p>
        </w:tc>
        <w:tc>
          <w:tcPr>
            <w:tcW w:w="1040" w:type="dxa"/>
            <w:tcBorders>
              <w:top w:val="nil"/>
              <w:bottom w:val="single" w:sz="4" w:space="0" w:color="auto"/>
            </w:tcBorders>
            <w:shd w:val="clear" w:color="auto" w:fill="FFFFFF"/>
            <w:vAlign w:val="bottom"/>
          </w:tcPr>
          <w:p w:rsidR="00E712FD" w:rsidRPr="009412FC" w:rsidRDefault="00E712FD" w:rsidP="00AF60D8">
            <w:pPr>
              <w:autoSpaceDE w:val="0"/>
              <w:autoSpaceDN w:val="0"/>
              <w:adjustRightInd w:val="0"/>
              <w:spacing w:after="0" w:line="320" w:lineRule="atLeast"/>
              <w:ind w:left="60" w:right="60"/>
              <w:jc w:val="center"/>
              <w:rPr>
                <w:rFonts w:ascii="Times New Roman" w:hAnsi="Times New Roman" w:cs="Times New Roman"/>
                <w:color w:val="264A60"/>
                <w:sz w:val="18"/>
                <w:szCs w:val="18"/>
              </w:rPr>
            </w:pPr>
            <w:r w:rsidRPr="009412FC">
              <w:rPr>
                <w:rFonts w:ascii="Times New Roman" w:hAnsi="Times New Roman" w:cs="Times New Roman"/>
                <w:color w:val="264A60"/>
                <w:sz w:val="18"/>
                <w:szCs w:val="18"/>
              </w:rPr>
              <w:t>Sig. F Change</w:t>
            </w:r>
          </w:p>
        </w:tc>
        <w:tc>
          <w:tcPr>
            <w:tcW w:w="1040" w:type="dxa"/>
            <w:vMerge/>
            <w:tcBorders>
              <w:bottom w:val="single" w:sz="4" w:space="0" w:color="auto"/>
            </w:tcBorders>
            <w:shd w:val="clear" w:color="auto" w:fill="FFFFFF"/>
            <w:vAlign w:val="bottom"/>
          </w:tcPr>
          <w:p w:rsidR="00E712FD" w:rsidRPr="009412FC" w:rsidRDefault="00E712FD" w:rsidP="00AF60D8">
            <w:pPr>
              <w:autoSpaceDE w:val="0"/>
              <w:autoSpaceDN w:val="0"/>
              <w:adjustRightInd w:val="0"/>
              <w:spacing w:after="0" w:line="240" w:lineRule="auto"/>
              <w:rPr>
                <w:rFonts w:ascii="Times New Roman" w:hAnsi="Times New Roman" w:cs="Times New Roman"/>
                <w:color w:val="264A60"/>
                <w:sz w:val="18"/>
                <w:szCs w:val="18"/>
              </w:rPr>
            </w:pPr>
          </w:p>
        </w:tc>
      </w:tr>
      <w:tr w:rsidR="00E712FD" w:rsidRPr="009412FC" w:rsidTr="00E66387">
        <w:trPr>
          <w:cantSplit/>
          <w:trHeight w:val="361"/>
        </w:trPr>
        <w:tc>
          <w:tcPr>
            <w:tcW w:w="562" w:type="dxa"/>
            <w:tcBorders>
              <w:top w:val="single" w:sz="4" w:space="0" w:color="auto"/>
              <w:bottom w:val="single" w:sz="4" w:space="0" w:color="auto"/>
            </w:tcBorders>
            <w:shd w:val="clear" w:color="auto" w:fill="E0E0E0"/>
          </w:tcPr>
          <w:p w:rsidR="00E712FD" w:rsidRPr="009412FC" w:rsidRDefault="00E712FD" w:rsidP="00AF60D8">
            <w:pPr>
              <w:autoSpaceDE w:val="0"/>
              <w:autoSpaceDN w:val="0"/>
              <w:adjustRightInd w:val="0"/>
              <w:spacing w:after="0" w:line="320" w:lineRule="atLeast"/>
              <w:ind w:left="60" w:right="60"/>
              <w:rPr>
                <w:rFonts w:ascii="Times New Roman" w:hAnsi="Times New Roman" w:cs="Times New Roman"/>
                <w:color w:val="264A60"/>
                <w:sz w:val="18"/>
                <w:szCs w:val="18"/>
              </w:rPr>
            </w:pPr>
            <w:r w:rsidRPr="009412FC">
              <w:rPr>
                <w:rFonts w:ascii="Times New Roman" w:hAnsi="Times New Roman" w:cs="Times New Roman"/>
                <w:color w:val="264A60"/>
                <w:sz w:val="18"/>
                <w:szCs w:val="18"/>
              </w:rPr>
              <w:t>1</w:t>
            </w:r>
          </w:p>
        </w:tc>
        <w:tc>
          <w:tcPr>
            <w:tcW w:w="725" w:type="dxa"/>
            <w:tcBorders>
              <w:top w:val="single" w:sz="4" w:space="0" w:color="auto"/>
              <w:bottom w:val="single" w:sz="4" w:space="0" w:color="auto"/>
            </w:tcBorders>
            <w:shd w:val="clear" w:color="auto" w:fill="FFFFFF"/>
          </w:tcPr>
          <w:p w:rsidR="00E712FD" w:rsidRPr="009412FC" w:rsidRDefault="00E712FD" w:rsidP="00AF60D8">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9412FC">
              <w:rPr>
                <w:rFonts w:ascii="Times New Roman" w:hAnsi="Times New Roman" w:cs="Times New Roman"/>
                <w:color w:val="010205"/>
                <w:sz w:val="18"/>
                <w:szCs w:val="18"/>
              </w:rPr>
              <w:t>.920</w:t>
            </w:r>
            <w:r w:rsidRPr="009412FC">
              <w:rPr>
                <w:rFonts w:ascii="Times New Roman" w:hAnsi="Times New Roman" w:cs="Times New Roman"/>
                <w:color w:val="010205"/>
                <w:sz w:val="18"/>
                <w:szCs w:val="18"/>
                <w:vertAlign w:val="superscript"/>
              </w:rPr>
              <w:t>a</w:t>
            </w:r>
          </w:p>
        </w:tc>
        <w:tc>
          <w:tcPr>
            <w:tcW w:w="769" w:type="dxa"/>
            <w:tcBorders>
              <w:top w:val="single" w:sz="4" w:space="0" w:color="auto"/>
              <w:bottom w:val="single" w:sz="4" w:space="0" w:color="auto"/>
            </w:tcBorders>
            <w:shd w:val="clear" w:color="auto" w:fill="FFFFFF"/>
          </w:tcPr>
          <w:p w:rsidR="00E712FD" w:rsidRPr="009412FC" w:rsidRDefault="00E712FD" w:rsidP="00AF60D8">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9412FC">
              <w:rPr>
                <w:rFonts w:ascii="Times New Roman" w:hAnsi="Times New Roman" w:cs="Times New Roman"/>
                <w:color w:val="010205"/>
                <w:sz w:val="18"/>
                <w:szCs w:val="18"/>
              </w:rPr>
              <w:t>.847</w:t>
            </w:r>
          </w:p>
        </w:tc>
        <w:tc>
          <w:tcPr>
            <w:tcW w:w="1040" w:type="dxa"/>
            <w:tcBorders>
              <w:top w:val="single" w:sz="4" w:space="0" w:color="auto"/>
              <w:bottom w:val="single" w:sz="4" w:space="0" w:color="auto"/>
            </w:tcBorders>
            <w:shd w:val="clear" w:color="auto" w:fill="FFFFFF"/>
          </w:tcPr>
          <w:p w:rsidR="00E712FD" w:rsidRPr="009412FC" w:rsidRDefault="00E712FD" w:rsidP="00AF60D8">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9412FC">
              <w:rPr>
                <w:rFonts w:ascii="Times New Roman" w:hAnsi="Times New Roman" w:cs="Times New Roman"/>
                <w:color w:val="010205"/>
                <w:sz w:val="18"/>
                <w:szCs w:val="18"/>
              </w:rPr>
              <w:t>.817</w:t>
            </w:r>
          </w:p>
        </w:tc>
        <w:tc>
          <w:tcPr>
            <w:tcW w:w="1040" w:type="dxa"/>
            <w:tcBorders>
              <w:top w:val="single" w:sz="4" w:space="0" w:color="auto"/>
              <w:bottom w:val="single" w:sz="4" w:space="0" w:color="auto"/>
            </w:tcBorders>
            <w:shd w:val="clear" w:color="auto" w:fill="FFFFFF"/>
          </w:tcPr>
          <w:p w:rsidR="00E712FD" w:rsidRPr="009412FC" w:rsidRDefault="00E712FD" w:rsidP="00AF60D8">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9412FC">
              <w:rPr>
                <w:rFonts w:ascii="Times New Roman" w:hAnsi="Times New Roman" w:cs="Times New Roman"/>
                <w:color w:val="010205"/>
                <w:sz w:val="18"/>
                <w:szCs w:val="18"/>
              </w:rPr>
              <w:t>78252.355</w:t>
            </w:r>
          </w:p>
        </w:tc>
        <w:tc>
          <w:tcPr>
            <w:tcW w:w="1040" w:type="dxa"/>
            <w:tcBorders>
              <w:top w:val="single" w:sz="4" w:space="0" w:color="auto"/>
              <w:bottom w:val="single" w:sz="4" w:space="0" w:color="auto"/>
            </w:tcBorders>
            <w:shd w:val="clear" w:color="auto" w:fill="FFFFFF"/>
          </w:tcPr>
          <w:p w:rsidR="00E712FD" w:rsidRPr="009412FC" w:rsidRDefault="00E712FD" w:rsidP="00AF60D8">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9412FC">
              <w:rPr>
                <w:rFonts w:ascii="Times New Roman" w:hAnsi="Times New Roman" w:cs="Times New Roman"/>
                <w:color w:val="010205"/>
                <w:sz w:val="18"/>
                <w:szCs w:val="18"/>
              </w:rPr>
              <w:t>.847</w:t>
            </w:r>
          </w:p>
        </w:tc>
        <w:tc>
          <w:tcPr>
            <w:tcW w:w="791" w:type="dxa"/>
            <w:tcBorders>
              <w:top w:val="single" w:sz="4" w:space="0" w:color="auto"/>
              <w:bottom w:val="single" w:sz="4" w:space="0" w:color="auto"/>
            </w:tcBorders>
            <w:shd w:val="clear" w:color="auto" w:fill="FFFFFF"/>
          </w:tcPr>
          <w:p w:rsidR="00E712FD" w:rsidRPr="009412FC" w:rsidRDefault="00E712FD" w:rsidP="00AF60D8">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9412FC">
              <w:rPr>
                <w:rFonts w:ascii="Times New Roman" w:hAnsi="Times New Roman" w:cs="Times New Roman"/>
                <w:color w:val="010205"/>
                <w:sz w:val="18"/>
                <w:szCs w:val="18"/>
              </w:rPr>
              <w:t>27.706</w:t>
            </w:r>
          </w:p>
        </w:tc>
        <w:tc>
          <w:tcPr>
            <w:tcW w:w="726" w:type="dxa"/>
            <w:tcBorders>
              <w:top w:val="single" w:sz="4" w:space="0" w:color="auto"/>
              <w:bottom w:val="single" w:sz="4" w:space="0" w:color="auto"/>
            </w:tcBorders>
            <w:shd w:val="clear" w:color="auto" w:fill="FFFFFF"/>
          </w:tcPr>
          <w:p w:rsidR="00E712FD" w:rsidRPr="009412FC" w:rsidRDefault="00E712FD" w:rsidP="00AF60D8">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9412FC">
              <w:rPr>
                <w:rFonts w:ascii="Times New Roman" w:hAnsi="Times New Roman" w:cs="Times New Roman"/>
                <w:color w:val="010205"/>
                <w:sz w:val="18"/>
                <w:szCs w:val="18"/>
              </w:rPr>
              <w:t>2</w:t>
            </w:r>
          </w:p>
        </w:tc>
        <w:tc>
          <w:tcPr>
            <w:tcW w:w="726" w:type="dxa"/>
            <w:tcBorders>
              <w:top w:val="single" w:sz="4" w:space="0" w:color="auto"/>
              <w:bottom w:val="single" w:sz="4" w:space="0" w:color="auto"/>
            </w:tcBorders>
            <w:shd w:val="clear" w:color="auto" w:fill="FFFFFF"/>
          </w:tcPr>
          <w:p w:rsidR="00E712FD" w:rsidRPr="009412FC" w:rsidRDefault="00E712FD" w:rsidP="00AF60D8">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9412FC">
              <w:rPr>
                <w:rFonts w:ascii="Times New Roman" w:hAnsi="Times New Roman" w:cs="Times New Roman"/>
                <w:color w:val="010205"/>
                <w:sz w:val="18"/>
                <w:szCs w:val="18"/>
              </w:rPr>
              <w:t>10</w:t>
            </w:r>
          </w:p>
        </w:tc>
        <w:tc>
          <w:tcPr>
            <w:tcW w:w="1040" w:type="dxa"/>
            <w:tcBorders>
              <w:top w:val="single" w:sz="4" w:space="0" w:color="auto"/>
              <w:bottom w:val="single" w:sz="4" w:space="0" w:color="auto"/>
            </w:tcBorders>
            <w:shd w:val="clear" w:color="auto" w:fill="FFFFFF"/>
          </w:tcPr>
          <w:p w:rsidR="00E712FD" w:rsidRPr="009412FC" w:rsidRDefault="00E712FD" w:rsidP="00AF60D8">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9412FC">
              <w:rPr>
                <w:rFonts w:ascii="Times New Roman" w:hAnsi="Times New Roman" w:cs="Times New Roman"/>
                <w:color w:val="010205"/>
                <w:sz w:val="18"/>
                <w:szCs w:val="18"/>
              </w:rPr>
              <w:t>.000</w:t>
            </w:r>
          </w:p>
        </w:tc>
        <w:tc>
          <w:tcPr>
            <w:tcW w:w="1040" w:type="dxa"/>
            <w:tcBorders>
              <w:top w:val="single" w:sz="4" w:space="0" w:color="auto"/>
              <w:bottom w:val="single" w:sz="4" w:space="0" w:color="auto"/>
            </w:tcBorders>
            <w:shd w:val="clear" w:color="auto" w:fill="FFFFFF"/>
          </w:tcPr>
          <w:p w:rsidR="00E712FD" w:rsidRPr="009412FC" w:rsidRDefault="00E712FD" w:rsidP="00AF60D8">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9412FC">
              <w:rPr>
                <w:rFonts w:ascii="Times New Roman" w:hAnsi="Times New Roman" w:cs="Times New Roman"/>
                <w:color w:val="010205"/>
                <w:sz w:val="18"/>
                <w:szCs w:val="18"/>
              </w:rPr>
              <w:t>1.378</w:t>
            </w:r>
          </w:p>
        </w:tc>
      </w:tr>
      <w:tr w:rsidR="00E712FD" w:rsidRPr="009412FC" w:rsidTr="00E66387">
        <w:trPr>
          <w:cantSplit/>
          <w:trHeight w:val="361"/>
        </w:trPr>
        <w:tc>
          <w:tcPr>
            <w:tcW w:w="9497" w:type="dxa"/>
            <w:gridSpan w:val="11"/>
            <w:tcBorders>
              <w:top w:val="single" w:sz="4" w:space="0" w:color="auto"/>
              <w:bottom w:val="nil"/>
            </w:tcBorders>
            <w:shd w:val="clear" w:color="auto" w:fill="FFFFFF"/>
          </w:tcPr>
          <w:p w:rsidR="00E712FD" w:rsidRPr="009412FC" w:rsidRDefault="00E712FD" w:rsidP="00AF60D8">
            <w:pPr>
              <w:autoSpaceDE w:val="0"/>
              <w:autoSpaceDN w:val="0"/>
              <w:adjustRightInd w:val="0"/>
              <w:spacing w:after="0" w:line="320" w:lineRule="atLeast"/>
              <w:ind w:left="60" w:right="60"/>
              <w:rPr>
                <w:rFonts w:ascii="Times New Roman" w:hAnsi="Times New Roman" w:cs="Times New Roman"/>
                <w:color w:val="010205"/>
                <w:sz w:val="18"/>
                <w:szCs w:val="18"/>
              </w:rPr>
            </w:pPr>
            <w:r w:rsidRPr="009412FC">
              <w:rPr>
                <w:rFonts w:ascii="Times New Roman" w:hAnsi="Times New Roman" w:cs="Times New Roman"/>
                <w:color w:val="010205"/>
                <w:sz w:val="18"/>
                <w:szCs w:val="18"/>
              </w:rPr>
              <w:t>a. Predictors: (Constant), B.REP, B.NAT</w:t>
            </w:r>
          </w:p>
        </w:tc>
      </w:tr>
      <w:tr w:rsidR="00E712FD" w:rsidRPr="009412FC" w:rsidTr="00E66387">
        <w:trPr>
          <w:cantSplit/>
          <w:trHeight w:val="361"/>
        </w:trPr>
        <w:tc>
          <w:tcPr>
            <w:tcW w:w="9497" w:type="dxa"/>
            <w:gridSpan w:val="11"/>
            <w:tcBorders>
              <w:top w:val="nil"/>
              <w:bottom w:val="nil"/>
            </w:tcBorders>
            <w:shd w:val="clear" w:color="auto" w:fill="FFFFFF"/>
          </w:tcPr>
          <w:p w:rsidR="00E712FD" w:rsidRPr="009412FC" w:rsidRDefault="00E712FD" w:rsidP="00AF60D8">
            <w:pPr>
              <w:autoSpaceDE w:val="0"/>
              <w:autoSpaceDN w:val="0"/>
              <w:adjustRightInd w:val="0"/>
              <w:spacing w:after="0" w:line="320" w:lineRule="atLeast"/>
              <w:ind w:left="60" w:right="60"/>
              <w:rPr>
                <w:rFonts w:ascii="Times New Roman" w:hAnsi="Times New Roman" w:cs="Times New Roman"/>
                <w:color w:val="010205"/>
                <w:sz w:val="18"/>
                <w:szCs w:val="18"/>
              </w:rPr>
            </w:pPr>
            <w:r w:rsidRPr="009412FC">
              <w:rPr>
                <w:rFonts w:ascii="Times New Roman" w:hAnsi="Times New Roman" w:cs="Times New Roman"/>
                <w:color w:val="010205"/>
                <w:sz w:val="18"/>
                <w:szCs w:val="18"/>
              </w:rPr>
              <w:t>b. Dependent Variable: ESG</w:t>
            </w:r>
          </w:p>
        </w:tc>
      </w:tr>
    </w:tbl>
    <w:p w:rsidR="00E66387" w:rsidRPr="00E66387" w:rsidRDefault="00E66387" w:rsidP="00E66387">
      <w:pPr>
        <w:spacing w:after="0" w:line="360" w:lineRule="auto"/>
        <w:jc w:val="both"/>
        <w:rPr>
          <w:rFonts w:ascii="Times New Roman" w:hAnsi="Times New Roman" w:cs="Times New Roman"/>
          <w:sz w:val="24"/>
          <w:szCs w:val="24"/>
        </w:rPr>
      </w:pPr>
      <w:r w:rsidRPr="00E66387">
        <w:rPr>
          <w:rFonts w:ascii="Times New Roman" w:hAnsi="Times New Roman" w:cs="Times New Roman"/>
          <w:sz w:val="24"/>
          <w:szCs w:val="24"/>
        </w:rPr>
        <w:t xml:space="preserve">The model summary indicates a </w:t>
      </w:r>
      <w:r w:rsidRPr="00E66387">
        <w:rPr>
          <w:rFonts w:ascii="Times New Roman" w:hAnsi="Times New Roman" w:cs="Times New Roman"/>
          <w:bCs/>
          <w:sz w:val="24"/>
          <w:szCs w:val="24"/>
        </w:rPr>
        <w:t>strong overall relationship</w:t>
      </w:r>
      <w:r w:rsidRPr="00E66387">
        <w:rPr>
          <w:rFonts w:ascii="Times New Roman" w:hAnsi="Times New Roman" w:cs="Times New Roman"/>
          <w:sz w:val="24"/>
          <w:szCs w:val="24"/>
        </w:rPr>
        <w:t xml:space="preserve"> between the independent variables and sustainability reporting. The </w:t>
      </w:r>
      <w:r w:rsidRPr="00E66387">
        <w:rPr>
          <w:rFonts w:ascii="Times New Roman" w:hAnsi="Times New Roman" w:cs="Times New Roman"/>
          <w:bCs/>
          <w:sz w:val="24"/>
          <w:szCs w:val="24"/>
        </w:rPr>
        <w:t>R value of 0.920</w:t>
      </w:r>
      <w:r>
        <w:rPr>
          <w:rFonts w:ascii="Times New Roman" w:hAnsi="Times New Roman" w:cs="Times New Roman"/>
          <w:sz w:val="24"/>
          <w:szCs w:val="24"/>
        </w:rPr>
        <w:t xml:space="preserve"> show</w:t>
      </w:r>
      <w:r w:rsidRPr="00E66387">
        <w:rPr>
          <w:rFonts w:ascii="Times New Roman" w:hAnsi="Times New Roman" w:cs="Times New Roman"/>
          <w:sz w:val="24"/>
          <w:szCs w:val="24"/>
        </w:rPr>
        <w:t>s a high correlation between board director reputational capi</w:t>
      </w:r>
      <w:r>
        <w:rPr>
          <w:rFonts w:ascii="Times New Roman" w:hAnsi="Times New Roman" w:cs="Times New Roman"/>
          <w:sz w:val="24"/>
          <w:szCs w:val="24"/>
        </w:rPr>
        <w:t>tal, board director nationality</w:t>
      </w:r>
      <w:r w:rsidRPr="00E66387">
        <w:rPr>
          <w:rFonts w:ascii="Times New Roman" w:hAnsi="Times New Roman" w:cs="Times New Roman"/>
          <w:sz w:val="24"/>
          <w:szCs w:val="24"/>
        </w:rPr>
        <w:t xml:space="preserve"> and ESG reporting among listed manufacturing firms. The </w:t>
      </w:r>
      <w:r w:rsidRPr="00E66387">
        <w:rPr>
          <w:rFonts w:ascii="Times New Roman" w:hAnsi="Times New Roman" w:cs="Times New Roman"/>
          <w:bCs/>
          <w:sz w:val="24"/>
          <w:szCs w:val="24"/>
        </w:rPr>
        <w:t>R-square value of 0.847</w:t>
      </w:r>
      <w:r w:rsidRPr="00E66387">
        <w:rPr>
          <w:rFonts w:ascii="Times New Roman" w:hAnsi="Times New Roman" w:cs="Times New Roman"/>
          <w:sz w:val="24"/>
          <w:szCs w:val="24"/>
        </w:rPr>
        <w:t xml:space="preserve"> implies that approximately </w:t>
      </w:r>
      <w:r w:rsidRPr="00E66387">
        <w:rPr>
          <w:rFonts w:ascii="Times New Roman" w:hAnsi="Times New Roman" w:cs="Times New Roman"/>
          <w:bCs/>
          <w:sz w:val="24"/>
          <w:szCs w:val="24"/>
        </w:rPr>
        <w:t>84.7% of the variations in sustainability reporting</w:t>
      </w:r>
      <w:r w:rsidRPr="00E66387">
        <w:rPr>
          <w:rFonts w:ascii="Times New Roman" w:hAnsi="Times New Roman" w:cs="Times New Roman"/>
          <w:sz w:val="24"/>
          <w:szCs w:val="24"/>
        </w:rPr>
        <w:t xml:space="preserve"> are jointly explained by board director reputational capital and board director nationality, while the </w:t>
      </w:r>
      <w:r w:rsidRPr="00E66387">
        <w:rPr>
          <w:rFonts w:ascii="Times New Roman" w:hAnsi="Times New Roman" w:cs="Times New Roman"/>
          <w:bCs/>
          <w:sz w:val="24"/>
          <w:szCs w:val="24"/>
        </w:rPr>
        <w:t>adjusted R-square of 0.817</w:t>
      </w:r>
      <w:r w:rsidRPr="00E66387">
        <w:rPr>
          <w:rFonts w:ascii="Times New Roman" w:hAnsi="Times New Roman" w:cs="Times New Roman"/>
          <w:sz w:val="24"/>
          <w:szCs w:val="24"/>
        </w:rPr>
        <w:t xml:space="preserve"> confirms the robustness of the model after adjusting for degrees of freedom.</w:t>
      </w:r>
    </w:p>
    <w:p w:rsidR="00E66387" w:rsidRPr="00E66387" w:rsidRDefault="00E66387" w:rsidP="00E66387">
      <w:pPr>
        <w:spacing w:after="0" w:line="360" w:lineRule="auto"/>
        <w:jc w:val="both"/>
        <w:rPr>
          <w:rFonts w:ascii="Times New Roman" w:hAnsi="Times New Roman" w:cs="Times New Roman"/>
          <w:sz w:val="24"/>
          <w:szCs w:val="24"/>
        </w:rPr>
      </w:pPr>
      <w:r w:rsidRPr="00E66387">
        <w:rPr>
          <w:rFonts w:ascii="Times New Roman" w:hAnsi="Times New Roman" w:cs="Times New Roman"/>
          <w:sz w:val="24"/>
          <w:szCs w:val="24"/>
        </w:rPr>
        <w:t xml:space="preserve">The </w:t>
      </w:r>
      <w:r w:rsidRPr="00E66387">
        <w:rPr>
          <w:rFonts w:ascii="Times New Roman" w:hAnsi="Times New Roman" w:cs="Times New Roman"/>
          <w:bCs/>
          <w:sz w:val="24"/>
          <w:szCs w:val="24"/>
        </w:rPr>
        <w:t>F-statistic (27.706)</w:t>
      </w:r>
      <w:r w:rsidRPr="00E66387">
        <w:rPr>
          <w:rFonts w:ascii="Times New Roman" w:hAnsi="Times New Roman" w:cs="Times New Roman"/>
          <w:sz w:val="24"/>
          <w:szCs w:val="24"/>
        </w:rPr>
        <w:t xml:space="preserve"> is statistically significant at the </w:t>
      </w:r>
      <w:r w:rsidRPr="00E66387">
        <w:rPr>
          <w:rFonts w:ascii="Times New Roman" w:hAnsi="Times New Roman" w:cs="Times New Roman"/>
          <w:bCs/>
          <w:sz w:val="24"/>
          <w:szCs w:val="24"/>
        </w:rPr>
        <w:t>1% level (p = 0.000)</w:t>
      </w:r>
      <w:r w:rsidRPr="00E66387">
        <w:rPr>
          <w:rFonts w:ascii="Times New Roman" w:hAnsi="Times New Roman" w:cs="Times New Roman"/>
          <w:sz w:val="24"/>
          <w:szCs w:val="24"/>
        </w:rPr>
        <w:t xml:space="preserve">, indicating that the model is well-fitted and the explanatory variables jointly have a significant effect on sustainability reporting. The </w:t>
      </w:r>
      <w:r w:rsidRPr="00E66387">
        <w:rPr>
          <w:rFonts w:ascii="Times New Roman" w:hAnsi="Times New Roman" w:cs="Times New Roman"/>
          <w:bCs/>
          <w:sz w:val="24"/>
          <w:szCs w:val="24"/>
        </w:rPr>
        <w:t>Durbin–Watson statistic of 1.378</w:t>
      </w:r>
      <w:r>
        <w:rPr>
          <w:rFonts w:ascii="Times New Roman" w:hAnsi="Times New Roman" w:cs="Times New Roman"/>
          <w:sz w:val="24"/>
          <w:szCs w:val="24"/>
        </w:rPr>
        <w:t xml:space="preserve"> show</w:t>
      </w:r>
      <w:r w:rsidRPr="00E66387">
        <w:rPr>
          <w:rFonts w:ascii="Times New Roman" w:hAnsi="Times New Roman" w:cs="Times New Roman"/>
          <w:sz w:val="24"/>
          <w:szCs w:val="24"/>
        </w:rPr>
        <w:t>s the absence of serious autocorrelation in the model, thereby validating the reliability of the regression estimates.</w:t>
      </w:r>
    </w:p>
    <w:p w:rsidR="00E712FD" w:rsidRPr="009412FC" w:rsidRDefault="00E66387" w:rsidP="00B527E0">
      <w:pPr>
        <w:spacing w:after="0" w:line="360" w:lineRule="auto"/>
        <w:jc w:val="both"/>
        <w:rPr>
          <w:rFonts w:ascii="Times New Roman" w:hAnsi="Times New Roman" w:cs="Times New Roman"/>
        </w:rPr>
      </w:pPr>
      <w:r w:rsidRPr="009412FC">
        <w:rPr>
          <w:rFonts w:ascii="Times New Roman" w:hAnsi="Times New Roman" w:cs="Times New Roman"/>
        </w:rPr>
        <w:t>4.1.5</w:t>
      </w:r>
      <w:r w:rsidRPr="009412FC">
        <w:rPr>
          <w:rFonts w:ascii="Times New Roman" w:hAnsi="Times New Roman" w:cs="Times New Roman"/>
        </w:rPr>
        <w:tab/>
        <w:t xml:space="preserve">Coefficient Result </w:t>
      </w:r>
    </w:p>
    <w:tbl>
      <w:tblPr>
        <w:tblW w:w="954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87"/>
        <w:gridCol w:w="1141"/>
        <w:gridCol w:w="1102"/>
        <w:gridCol w:w="1080"/>
        <w:gridCol w:w="1260"/>
        <w:gridCol w:w="630"/>
        <w:gridCol w:w="540"/>
        <w:gridCol w:w="720"/>
        <w:gridCol w:w="720"/>
        <w:gridCol w:w="486"/>
        <w:gridCol w:w="954"/>
        <w:gridCol w:w="720"/>
      </w:tblGrid>
      <w:tr w:rsidR="00E712FD" w:rsidRPr="009412FC" w:rsidTr="00E712FD">
        <w:trPr>
          <w:cantSplit/>
          <w:trHeight w:val="340"/>
        </w:trPr>
        <w:tc>
          <w:tcPr>
            <w:tcW w:w="9540" w:type="dxa"/>
            <w:gridSpan w:val="12"/>
            <w:tcBorders>
              <w:bottom w:val="nil"/>
            </w:tcBorders>
            <w:shd w:val="clear" w:color="auto" w:fill="FFFFFF"/>
            <w:vAlign w:val="center"/>
          </w:tcPr>
          <w:p w:rsidR="00E712FD" w:rsidRPr="009412FC" w:rsidRDefault="00E712FD" w:rsidP="008B1311">
            <w:pPr>
              <w:autoSpaceDE w:val="0"/>
              <w:autoSpaceDN w:val="0"/>
              <w:adjustRightInd w:val="0"/>
              <w:spacing w:after="0" w:line="240" w:lineRule="auto"/>
              <w:ind w:left="60" w:right="60"/>
              <w:jc w:val="center"/>
              <w:rPr>
                <w:rFonts w:ascii="Times New Roman" w:hAnsi="Times New Roman" w:cs="Times New Roman"/>
                <w:color w:val="010205"/>
                <w:sz w:val="18"/>
                <w:szCs w:val="18"/>
              </w:rPr>
            </w:pPr>
            <w:proofErr w:type="spellStart"/>
            <w:r w:rsidRPr="009412FC">
              <w:rPr>
                <w:rFonts w:ascii="Times New Roman" w:hAnsi="Times New Roman" w:cs="Times New Roman"/>
                <w:b/>
                <w:bCs/>
                <w:color w:val="010205"/>
                <w:sz w:val="18"/>
                <w:szCs w:val="18"/>
              </w:rPr>
              <w:t>Coefficients</w:t>
            </w:r>
            <w:r w:rsidRPr="009412FC">
              <w:rPr>
                <w:rFonts w:ascii="Times New Roman" w:hAnsi="Times New Roman" w:cs="Times New Roman"/>
                <w:b/>
                <w:bCs/>
                <w:color w:val="010205"/>
                <w:sz w:val="18"/>
                <w:szCs w:val="18"/>
                <w:vertAlign w:val="superscript"/>
              </w:rPr>
              <w:t>a</w:t>
            </w:r>
            <w:proofErr w:type="spellEnd"/>
          </w:p>
        </w:tc>
      </w:tr>
      <w:tr w:rsidR="00E712FD" w:rsidRPr="009412FC" w:rsidTr="00E712FD">
        <w:trPr>
          <w:cantSplit/>
          <w:trHeight w:val="678"/>
        </w:trPr>
        <w:tc>
          <w:tcPr>
            <w:tcW w:w="1328" w:type="dxa"/>
            <w:gridSpan w:val="2"/>
            <w:vMerge w:val="restart"/>
            <w:tcBorders>
              <w:top w:val="nil"/>
              <w:bottom w:val="nil"/>
            </w:tcBorders>
            <w:shd w:val="clear" w:color="auto" w:fill="FFFFFF"/>
            <w:vAlign w:val="bottom"/>
          </w:tcPr>
          <w:p w:rsidR="00E712FD" w:rsidRPr="009412FC" w:rsidRDefault="00E712FD" w:rsidP="008B1311">
            <w:pPr>
              <w:autoSpaceDE w:val="0"/>
              <w:autoSpaceDN w:val="0"/>
              <w:adjustRightInd w:val="0"/>
              <w:spacing w:after="0" w:line="240" w:lineRule="auto"/>
              <w:ind w:left="60" w:right="60"/>
              <w:rPr>
                <w:rFonts w:ascii="Times New Roman" w:hAnsi="Times New Roman" w:cs="Times New Roman"/>
                <w:color w:val="264A60"/>
                <w:sz w:val="18"/>
                <w:szCs w:val="18"/>
              </w:rPr>
            </w:pPr>
            <w:r w:rsidRPr="009412FC">
              <w:rPr>
                <w:rFonts w:ascii="Times New Roman" w:hAnsi="Times New Roman" w:cs="Times New Roman"/>
                <w:color w:val="264A60"/>
                <w:sz w:val="18"/>
                <w:szCs w:val="18"/>
              </w:rPr>
              <w:t>Model</w:t>
            </w:r>
          </w:p>
        </w:tc>
        <w:tc>
          <w:tcPr>
            <w:tcW w:w="2182" w:type="dxa"/>
            <w:gridSpan w:val="2"/>
            <w:tcBorders>
              <w:top w:val="nil"/>
              <w:bottom w:val="nil"/>
            </w:tcBorders>
            <w:shd w:val="clear" w:color="auto" w:fill="FFFFFF"/>
            <w:vAlign w:val="bottom"/>
          </w:tcPr>
          <w:p w:rsidR="00E712FD" w:rsidRPr="009412FC" w:rsidRDefault="00E712FD" w:rsidP="008B1311">
            <w:pPr>
              <w:autoSpaceDE w:val="0"/>
              <w:autoSpaceDN w:val="0"/>
              <w:adjustRightInd w:val="0"/>
              <w:spacing w:after="0" w:line="240" w:lineRule="auto"/>
              <w:ind w:left="60" w:right="60"/>
              <w:jc w:val="center"/>
              <w:rPr>
                <w:rFonts w:ascii="Times New Roman" w:hAnsi="Times New Roman" w:cs="Times New Roman"/>
                <w:color w:val="264A60"/>
                <w:sz w:val="18"/>
                <w:szCs w:val="18"/>
              </w:rPr>
            </w:pPr>
            <w:r w:rsidRPr="009412FC">
              <w:rPr>
                <w:rFonts w:ascii="Times New Roman" w:hAnsi="Times New Roman" w:cs="Times New Roman"/>
                <w:color w:val="264A60"/>
                <w:sz w:val="18"/>
                <w:szCs w:val="18"/>
              </w:rPr>
              <w:t>Unstandardized Coefficients</w:t>
            </w:r>
          </w:p>
        </w:tc>
        <w:tc>
          <w:tcPr>
            <w:tcW w:w="1260" w:type="dxa"/>
            <w:tcBorders>
              <w:top w:val="nil"/>
              <w:bottom w:val="nil"/>
            </w:tcBorders>
            <w:shd w:val="clear" w:color="auto" w:fill="FFFFFF"/>
            <w:vAlign w:val="bottom"/>
          </w:tcPr>
          <w:p w:rsidR="00E712FD" w:rsidRPr="009412FC" w:rsidRDefault="00E712FD" w:rsidP="008B1311">
            <w:pPr>
              <w:autoSpaceDE w:val="0"/>
              <w:autoSpaceDN w:val="0"/>
              <w:adjustRightInd w:val="0"/>
              <w:spacing w:after="0" w:line="240" w:lineRule="auto"/>
              <w:ind w:left="60" w:right="60"/>
              <w:jc w:val="center"/>
              <w:rPr>
                <w:rFonts w:ascii="Times New Roman" w:hAnsi="Times New Roman" w:cs="Times New Roman"/>
                <w:color w:val="264A60"/>
                <w:sz w:val="18"/>
                <w:szCs w:val="18"/>
              </w:rPr>
            </w:pPr>
            <w:r w:rsidRPr="009412FC">
              <w:rPr>
                <w:rFonts w:ascii="Times New Roman" w:hAnsi="Times New Roman" w:cs="Times New Roman"/>
                <w:color w:val="264A60"/>
                <w:sz w:val="18"/>
                <w:szCs w:val="18"/>
              </w:rPr>
              <w:t>Standardized Coefficients</w:t>
            </w:r>
          </w:p>
        </w:tc>
        <w:tc>
          <w:tcPr>
            <w:tcW w:w="630" w:type="dxa"/>
            <w:vMerge w:val="restart"/>
            <w:tcBorders>
              <w:top w:val="nil"/>
              <w:bottom w:val="nil"/>
            </w:tcBorders>
            <w:shd w:val="clear" w:color="auto" w:fill="FFFFFF"/>
            <w:vAlign w:val="bottom"/>
          </w:tcPr>
          <w:p w:rsidR="00E712FD" w:rsidRPr="009412FC" w:rsidRDefault="00E712FD" w:rsidP="008B1311">
            <w:pPr>
              <w:autoSpaceDE w:val="0"/>
              <w:autoSpaceDN w:val="0"/>
              <w:adjustRightInd w:val="0"/>
              <w:spacing w:after="0" w:line="240" w:lineRule="auto"/>
              <w:ind w:left="60" w:right="60"/>
              <w:jc w:val="center"/>
              <w:rPr>
                <w:rFonts w:ascii="Times New Roman" w:hAnsi="Times New Roman" w:cs="Times New Roman"/>
                <w:color w:val="264A60"/>
                <w:sz w:val="18"/>
                <w:szCs w:val="18"/>
              </w:rPr>
            </w:pPr>
            <w:r w:rsidRPr="009412FC">
              <w:rPr>
                <w:rFonts w:ascii="Times New Roman" w:hAnsi="Times New Roman" w:cs="Times New Roman"/>
                <w:color w:val="264A60"/>
                <w:sz w:val="18"/>
                <w:szCs w:val="18"/>
              </w:rPr>
              <w:t>t</w:t>
            </w:r>
          </w:p>
        </w:tc>
        <w:tc>
          <w:tcPr>
            <w:tcW w:w="540" w:type="dxa"/>
            <w:vMerge w:val="restart"/>
            <w:tcBorders>
              <w:top w:val="nil"/>
              <w:bottom w:val="nil"/>
            </w:tcBorders>
            <w:shd w:val="clear" w:color="auto" w:fill="FFFFFF"/>
            <w:vAlign w:val="bottom"/>
          </w:tcPr>
          <w:p w:rsidR="00E712FD" w:rsidRPr="009412FC" w:rsidRDefault="00E712FD" w:rsidP="008B1311">
            <w:pPr>
              <w:autoSpaceDE w:val="0"/>
              <w:autoSpaceDN w:val="0"/>
              <w:adjustRightInd w:val="0"/>
              <w:spacing w:after="0" w:line="240" w:lineRule="auto"/>
              <w:ind w:left="60" w:right="60"/>
              <w:jc w:val="center"/>
              <w:rPr>
                <w:rFonts w:ascii="Times New Roman" w:hAnsi="Times New Roman" w:cs="Times New Roman"/>
                <w:color w:val="264A60"/>
                <w:sz w:val="18"/>
                <w:szCs w:val="18"/>
              </w:rPr>
            </w:pPr>
            <w:r w:rsidRPr="009412FC">
              <w:rPr>
                <w:rFonts w:ascii="Times New Roman" w:hAnsi="Times New Roman" w:cs="Times New Roman"/>
                <w:color w:val="264A60"/>
                <w:sz w:val="18"/>
                <w:szCs w:val="18"/>
              </w:rPr>
              <w:t>Sig.</w:t>
            </w:r>
          </w:p>
        </w:tc>
        <w:tc>
          <w:tcPr>
            <w:tcW w:w="1926" w:type="dxa"/>
            <w:gridSpan w:val="3"/>
            <w:tcBorders>
              <w:top w:val="nil"/>
              <w:bottom w:val="nil"/>
            </w:tcBorders>
            <w:shd w:val="clear" w:color="auto" w:fill="FFFFFF"/>
            <w:vAlign w:val="bottom"/>
          </w:tcPr>
          <w:p w:rsidR="00E712FD" w:rsidRPr="009412FC" w:rsidRDefault="00E712FD" w:rsidP="008B1311">
            <w:pPr>
              <w:autoSpaceDE w:val="0"/>
              <w:autoSpaceDN w:val="0"/>
              <w:adjustRightInd w:val="0"/>
              <w:spacing w:after="0" w:line="240" w:lineRule="auto"/>
              <w:ind w:left="60" w:right="60"/>
              <w:jc w:val="center"/>
              <w:rPr>
                <w:rFonts w:ascii="Times New Roman" w:hAnsi="Times New Roman" w:cs="Times New Roman"/>
                <w:color w:val="264A60"/>
                <w:sz w:val="18"/>
                <w:szCs w:val="18"/>
              </w:rPr>
            </w:pPr>
            <w:r w:rsidRPr="009412FC">
              <w:rPr>
                <w:rFonts w:ascii="Times New Roman" w:hAnsi="Times New Roman" w:cs="Times New Roman"/>
                <w:color w:val="264A60"/>
                <w:sz w:val="18"/>
                <w:szCs w:val="18"/>
              </w:rPr>
              <w:t>Correlations</w:t>
            </w:r>
          </w:p>
        </w:tc>
        <w:tc>
          <w:tcPr>
            <w:tcW w:w="1674" w:type="dxa"/>
            <w:gridSpan w:val="2"/>
            <w:tcBorders>
              <w:top w:val="nil"/>
              <w:bottom w:val="nil"/>
            </w:tcBorders>
            <w:shd w:val="clear" w:color="auto" w:fill="FFFFFF"/>
            <w:vAlign w:val="bottom"/>
          </w:tcPr>
          <w:p w:rsidR="00E712FD" w:rsidRPr="009412FC" w:rsidRDefault="00E712FD" w:rsidP="008B1311">
            <w:pPr>
              <w:autoSpaceDE w:val="0"/>
              <w:autoSpaceDN w:val="0"/>
              <w:adjustRightInd w:val="0"/>
              <w:spacing w:after="0" w:line="240" w:lineRule="auto"/>
              <w:ind w:left="60" w:right="60"/>
              <w:jc w:val="center"/>
              <w:rPr>
                <w:rFonts w:ascii="Times New Roman" w:hAnsi="Times New Roman" w:cs="Times New Roman"/>
                <w:color w:val="264A60"/>
                <w:sz w:val="18"/>
                <w:szCs w:val="18"/>
              </w:rPr>
            </w:pPr>
            <w:r w:rsidRPr="009412FC">
              <w:rPr>
                <w:rFonts w:ascii="Times New Roman" w:hAnsi="Times New Roman" w:cs="Times New Roman"/>
                <w:color w:val="264A60"/>
                <w:sz w:val="18"/>
                <w:szCs w:val="18"/>
              </w:rPr>
              <w:t>Collinearity Statistics</w:t>
            </w:r>
          </w:p>
        </w:tc>
      </w:tr>
      <w:tr w:rsidR="00E712FD" w:rsidRPr="009412FC" w:rsidTr="00E712FD">
        <w:trPr>
          <w:cantSplit/>
          <w:trHeight w:val="155"/>
        </w:trPr>
        <w:tc>
          <w:tcPr>
            <w:tcW w:w="1328" w:type="dxa"/>
            <w:gridSpan w:val="2"/>
            <w:vMerge/>
            <w:tcBorders>
              <w:top w:val="nil"/>
              <w:bottom w:val="single" w:sz="4" w:space="0" w:color="auto"/>
            </w:tcBorders>
            <w:shd w:val="clear" w:color="auto" w:fill="FFFFFF"/>
            <w:vAlign w:val="bottom"/>
          </w:tcPr>
          <w:p w:rsidR="00E712FD" w:rsidRPr="009412FC" w:rsidRDefault="00E712FD" w:rsidP="008B1311">
            <w:pPr>
              <w:autoSpaceDE w:val="0"/>
              <w:autoSpaceDN w:val="0"/>
              <w:adjustRightInd w:val="0"/>
              <w:spacing w:after="0" w:line="240" w:lineRule="auto"/>
              <w:rPr>
                <w:rFonts w:ascii="Times New Roman" w:hAnsi="Times New Roman" w:cs="Times New Roman"/>
                <w:color w:val="264A60"/>
                <w:sz w:val="18"/>
                <w:szCs w:val="18"/>
              </w:rPr>
            </w:pPr>
          </w:p>
        </w:tc>
        <w:tc>
          <w:tcPr>
            <w:tcW w:w="1102" w:type="dxa"/>
            <w:tcBorders>
              <w:top w:val="nil"/>
              <w:bottom w:val="single" w:sz="4" w:space="0" w:color="auto"/>
            </w:tcBorders>
            <w:shd w:val="clear" w:color="auto" w:fill="FFFFFF"/>
            <w:vAlign w:val="bottom"/>
          </w:tcPr>
          <w:p w:rsidR="00E712FD" w:rsidRPr="009412FC" w:rsidRDefault="00E712FD" w:rsidP="008B1311">
            <w:pPr>
              <w:autoSpaceDE w:val="0"/>
              <w:autoSpaceDN w:val="0"/>
              <w:adjustRightInd w:val="0"/>
              <w:spacing w:after="0" w:line="240" w:lineRule="auto"/>
              <w:ind w:left="60" w:right="60"/>
              <w:jc w:val="center"/>
              <w:rPr>
                <w:rFonts w:ascii="Times New Roman" w:hAnsi="Times New Roman" w:cs="Times New Roman"/>
                <w:color w:val="264A60"/>
                <w:sz w:val="18"/>
                <w:szCs w:val="18"/>
              </w:rPr>
            </w:pPr>
            <w:r w:rsidRPr="009412FC">
              <w:rPr>
                <w:rFonts w:ascii="Times New Roman" w:hAnsi="Times New Roman" w:cs="Times New Roman"/>
                <w:color w:val="264A60"/>
                <w:sz w:val="18"/>
                <w:szCs w:val="18"/>
              </w:rPr>
              <w:t>B</w:t>
            </w:r>
          </w:p>
        </w:tc>
        <w:tc>
          <w:tcPr>
            <w:tcW w:w="1080" w:type="dxa"/>
            <w:tcBorders>
              <w:top w:val="nil"/>
              <w:bottom w:val="single" w:sz="4" w:space="0" w:color="auto"/>
            </w:tcBorders>
            <w:shd w:val="clear" w:color="auto" w:fill="FFFFFF"/>
            <w:vAlign w:val="bottom"/>
          </w:tcPr>
          <w:p w:rsidR="00E712FD" w:rsidRPr="009412FC" w:rsidRDefault="00E712FD" w:rsidP="008B1311">
            <w:pPr>
              <w:autoSpaceDE w:val="0"/>
              <w:autoSpaceDN w:val="0"/>
              <w:adjustRightInd w:val="0"/>
              <w:spacing w:after="0" w:line="240" w:lineRule="auto"/>
              <w:ind w:left="60" w:right="60"/>
              <w:jc w:val="center"/>
              <w:rPr>
                <w:rFonts w:ascii="Times New Roman" w:hAnsi="Times New Roman" w:cs="Times New Roman"/>
                <w:color w:val="264A60"/>
                <w:sz w:val="18"/>
                <w:szCs w:val="18"/>
              </w:rPr>
            </w:pPr>
            <w:r w:rsidRPr="009412FC">
              <w:rPr>
                <w:rFonts w:ascii="Times New Roman" w:hAnsi="Times New Roman" w:cs="Times New Roman"/>
                <w:color w:val="264A60"/>
                <w:sz w:val="18"/>
                <w:szCs w:val="18"/>
              </w:rPr>
              <w:t>Std. Error</w:t>
            </w:r>
          </w:p>
        </w:tc>
        <w:tc>
          <w:tcPr>
            <w:tcW w:w="1260" w:type="dxa"/>
            <w:tcBorders>
              <w:top w:val="nil"/>
              <w:bottom w:val="single" w:sz="4" w:space="0" w:color="auto"/>
            </w:tcBorders>
            <w:shd w:val="clear" w:color="auto" w:fill="FFFFFF"/>
            <w:vAlign w:val="bottom"/>
          </w:tcPr>
          <w:p w:rsidR="00E712FD" w:rsidRPr="009412FC" w:rsidRDefault="00E712FD" w:rsidP="008B1311">
            <w:pPr>
              <w:autoSpaceDE w:val="0"/>
              <w:autoSpaceDN w:val="0"/>
              <w:adjustRightInd w:val="0"/>
              <w:spacing w:after="0" w:line="240" w:lineRule="auto"/>
              <w:ind w:left="60" w:right="60"/>
              <w:jc w:val="center"/>
              <w:rPr>
                <w:rFonts w:ascii="Times New Roman" w:hAnsi="Times New Roman" w:cs="Times New Roman"/>
                <w:color w:val="264A60"/>
                <w:sz w:val="18"/>
                <w:szCs w:val="18"/>
              </w:rPr>
            </w:pPr>
            <w:r w:rsidRPr="009412FC">
              <w:rPr>
                <w:rFonts w:ascii="Times New Roman" w:hAnsi="Times New Roman" w:cs="Times New Roman"/>
                <w:color w:val="264A60"/>
                <w:sz w:val="18"/>
                <w:szCs w:val="18"/>
              </w:rPr>
              <w:t>Beta</w:t>
            </w:r>
          </w:p>
        </w:tc>
        <w:tc>
          <w:tcPr>
            <w:tcW w:w="630" w:type="dxa"/>
            <w:vMerge/>
            <w:tcBorders>
              <w:top w:val="nil"/>
              <w:bottom w:val="single" w:sz="4" w:space="0" w:color="auto"/>
            </w:tcBorders>
            <w:shd w:val="clear" w:color="auto" w:fill="FFFFFF"/>
            <w:vAlign w:val="bottom"/>
          </w:tcPr>
          <w:p w:rsidR="00E712FD" w:rsidRPr="009412FC" w:rsidRDefault="00E712FD" w:rsidP="008B1311">
            <w:pPr>
              <w:autoSpaceDE w:val="0"/>
              <w:autoSpaceDN w:val="0"/>
              <w:adjustRightInd w:val="0"/>
              <w:spacing w:after="0" w:line="240" w:lineRule="auto"/>
              <w:rPr>
                <w:rFonts w:ascii="Times New Roman" w:hAnsi="Times New Roman" w:cs="Times New Roman"/>
                <w:color w:val="264A60"/>
                <w:sz w:val="18"/>
                <w:szCs w:val="18"/>
              </w:rPr>
            </w:pPr>
          </w:p>
        </w:tc>
        <w:tc>
          <w:tcPr>
            <w:tcW w:w="540" w:type="dxa"/>
            <w:vMerge/>
            <w:tcBorders>
              <w:top w:val="nil"/>
              <w:bottom w:val="single" w:sz="4" w:space="0" w:color="auto"/>
            </w:tcBorders>
            <w:shd w:val="clear" w:color="auto" w:fill="FFFFFF"/>
            <w:vAlign w:val="bottom"/>
          </w:tcPr>
          <w:p w:rsidR="00E712FD" w:rsidRPr="009412FC" w:rsidRDefault="00E712FD" w:rsidP="008B1311">
            <w:pPr>
              <w:autoSpaceDE w:val="0"/>
              <w:autoSpaceDN w:val="0"/>
              <w:adjustRightInd w:val="0"/>
              <w:spacing w:after="0" w:line="240" w:lineRule="auto"/>
              <w:rPr>
                <w:rFonts w:ascii="Times New Roman" w:hAnsi="Times New Roman" w:cs="Times New Roman"/>
                <w:color w:val="264A60"/>
                <w:sz w:val="18"/>
                <w:szCs w:val="18"/>
              </w:rPr>
            </w:pPr>
          </w:p>
        </w:tc>
        <w:tc>
          <w:tcPr>
            <w:tcW w:w="720" w:type="dxa"/>
            <w:tcBorders>
              <w:top w:val="nil"/>
              <w:bottom w:val="single" w:sz="4" w:space="0" w:color="auto"/>
            </w:tcBorders>
            <w:shd w:val="clear" w:color="auto" w:fill="FFFFFF"/>
            <w:vAlign w:val="bottom"/>
          </w:tcPr>
          <w:p w:rsidR="00E712FD" w:rsidRPr="009412FC" w:rsidRDefault="00E712FD" w:rsidP="008B1311">
            <w:pPr>
              <w:autoSpaceDE w:val="0"/>
              <w:autoSpaceDN w:val="0"/>
              <w:adjustRightInd w:val="0"/>
              <w:spacing w:after="0" w:line="240" w:lineRule="auto"/>
              <w:ind w:left="60" w:right="60"/>
              <w:jc w:val="center"/>
              <w:rPr>
                <w:rFonts w:ascii="Times New Roman" w:hAnsi="Times New Roman" w:cs="Times New Roman"/>
                <w:color w:val="264A60"/>
                <w:sz w:val="18"/>
                <w:szCs w:val="18"/>
              </w:rPr>
            </w:pPr>
            <w:r w:rsidRPr="009412FC">
              <w:rPr>
                <w:rFonts w:ascii="Times New Roman" w:hAnsi="Times New Roman" w:cs="Times New Roman"/>
                <w:color w:val="264A60"/>
                <w:sz w:val="18"/>
                <w:szCs w:val="18"/>
              </w:rPr>
              <w:t>Zero-order</w:t>
            </w:r>
          </w:p>
        </w:tc>
        <w:tc>
          <w:tcPr>
            <w:tcW w:w="720" w:type="dxa"/>
            <w:tcBorders>
              <w:top w:val="nil"/>
              <w:bottom w:val="single" w:sz="4" w:space="0" w:color="auto"/>
            </w:tcBorders>
            <w:shd w:val="clear" w:color="auto" w:fill="FFFFFF"/>
            <w:vAlign w:val="bottom"/>
          </w:tcPr>
          <w:p w:rsidR="00E712FD" w:rsidRPr="009412FC" w:rsidRDefault="00E712FD" w:rsidP="008B1311">
            <w:pPr>
              <w:autoSpaceDE w:val="0"/>
              <w:autoSpaceDN w:val="0"/>
              <w:adjustRightInd w:val="0"/>
              <w:spacing w:after="0" w:line="240" w:lineRule="auto"/>
              <w:ind w:left="60" w:right="60"/>
              <w:jc w:val="center"/>
              <w:rPr>
                <w:rFonts w:ascii="Times New Roman" w:hAnsi="Times New Roman" w:cs="Times New Roman"/>
                <w:color w:val="264A60"/>
                <w:sz w:val="18"/>
                <w:szCs w:val="18"/>
              </w:rPr>
            </w:pPr>
            <w:r w:rsidRPr="009412FC">
              <w:rPr>
                <w:rFonts w:ascii="Times New Roman" w:hAnsi="Times New Roman" w:cs="Times New Roman"/>
                <w:color w:val="264A60"/>
                <w:sz w:val="18"/>
                <w:szCs w:val="18"/>
              </w:rPr>
              <w:t>Partial</w:t>
            </w:r>
          </w:p>
        </w:tc>
        <w:tc>
          <w:tcPr>
            <w:tcW w:w="486" w:type="dxa"/>
            <w:tcBorders>
              <w:top w:val="nil"/>
              <w:bottom w:val="single" w:sz="4" w:space="0" w:color="auto"/>
            </w:tcBorders>
            <w:shd w:val="clear" w:color="auto" w:fill="FFFFFF"/>
            <w:vAlign w:val="bottom"/>
          </w:tcPr>
          <w:p w:rsidR="00E712FD" w:rsidRPr="009412FC" w:rsidRDefault="00E712FD" w:rsidP="008B1311">
            <w:pPr>
              <w:autoSpaceDE w:val="0"/>
              <w:autoSpaceDN w:val="0"/>
              <w:adjustRightInd w:val="0"/>
              <w:spacing w:after="0" w:line="240" w:lineRule="auto"/>
              <w:ind w:left="60" w:right="60"/>
              <w:jc w:val="center"/>
              <w:rPr>
                <w:rFonts w:ascii="Times New Roman" w:hAnsi="Times New Roman" w:cs="Times New Roman"/>
                <w:color w:val="264A60"/>
                <w:sz w:val="18"/>
                <w:szCs w:val="18"/>
              </w:rPr>
            </w:pPr>
            <w:r w:rsidRPr="009412FC">
              <w:rPr>
                <w:rFonts w:ascii="Times New Roman" w:hAnsi="Times New Roman" w:cs="Times New Roman"/>
                <w:color w:val="264A60"/>
                <w:sz w:val="18"/>
                <w:szCs w:val="18"/>
              </w:rPr>
              <w:t>Part</w:t>
            </w:r>
          </w:p>
        </w:tc>
        <w:tc>
          <w:tcPr>
            <w:tcW w:w="954" w:type="dxa"/>
            <w:tcBorders>
              <w:top w:val="nil"/>
              <w:bottom w:val="single" w:sz="4" w:space="0" w:color="auto"/>
            </w:tcBorders>
            <w:shd w:val="clear" w:color="auto" w:fill="FFFFFF"/>
            <w:vAlign w:val="bottom"/>
          </w:tcPr>
          <w:p w:rsidR="00E712FD" w:rsidRPr="009412FC" w:rsidRDefault="00E712FD" w:rsidP="008B1311">
            <w:pPr>
              <w:autoSpaceDE w:val="0"/>
              <w:autoSpaceDN w:val="0"/>
              <w:adjustRightInd w:val="0"/>
              <w:spacing w:after="0" w:line="240" w:lineRule="auto"/>
              <w:ind w:left="60" w:right="60"/>
              <w:jc w:val="center"/>
              <w:rPr>
                <w:rFonts w:ascii="Times New Roman" w:hAnsi="Times New Roman" w:cs="Times New Roman"/>
                <w:color w:val="264A60"/>
                <w:sz w:val="18"/>
                <w:szCs w:val="18"/>
              </w:rPr>
            </w:pPr>
            <w:r w:rsidRPr="009412FC">
              <w:rPr>
                <w:rFonts w:ascii="Times New Roman" w:hAnsi="Times New Roman" w:cs="Times New Roman"/>
                <w:color w:val="264A60"/>
                <w:sz w:val="18"/>
                <w:szCs w:val="18"/>
              </w:rPr>
              <w:t>Tolerance</w:t>
            </w:r>
          </w:p>
        </w:tc>
        <w:tc>
          <w:tcPr>
            <w:tcW w:w="720" w:type="dxa"/>
            <w:tcBorders>
              <w:top w:val="nil"/>
              <w:bottom w:val="single" w:sz="4" w:space="0" w:color="auto"/>
            </w:tcBorders>
            <w:shd w:val="clear" w:color="auto" w:fill="FFFFFF"/>
            <w:vAlign w:val="bottom"/>
          </w:tcPr>
          <w:p w:rsidR="00E712FD" w:rsidRPr="009412FC" w:rsidRDefault="00E712FD" w:rsidP="008B1311">
            <w:pPr>
              <w:autoSpaceDE w:val="0"/>
              <w:autoSpaceDN w:val="0"/>
              <w:adjustRightInd w:val="0"/>
              <w:spacing w:after="0" w:line="240" w:lineRule="auto"/>
              <w:ind w:left="60" w:right="60"/>
              <w:jc w:val="center"/>
              <w:rPr>
                <w:rFonts w:ascii="Times New Roman" w:hAnsi="Times New Roman" w:cs="Times New Roman"/>
                <w:color w:val="264A60"/>
                <w:sz w:val="18"/>
                <w:szCs w:val="18"/>
              </w:rPr>
            </w:pPr>
            <w:r w:rsidRPr="009412FC">
              <w:rPr>
                <w:rFonts w:ascii="Times New Roman" w:hAnsi="Times New Roman" w:cs="Times New Roman"/>
                <w:color w:val="264A60"/>
                <w:sz w:val="18"/>
                <w:szCs w:val="18"/>
              </w:rPr>
              <w:t>VIF</w:t>
            </w:r>
          </w:p>
        </w:tc>
      </w:tr>
      <w:tr w:rsidR="00E712FD" w:rsidRPr="009412FC" w:rsidTr="00E712FD">
        <w:trPr>
          <w:cantSplit/>
          <w:trHeight w:val="340"/>
        </w:trPr>
        <w:tc>
          <w:tcPr>
            <w:tcW w:w="187" w:type="dxa"/>
            <w:vMerge w:val="restart"/>
            <w:tcBorders>
              <w:top w:val="single" w:sz="4" w:space="0" w:color="auto"/>
            </w:tcBorders>
            <w:shd w:val="clear" w:color="auto" w:fill="E0E0E0"/>
          </w:tcPr>
          <w:p w:rsidR="00E712FD" w:rsidRPr="009412FC" w:rsidRDefault="00E712FD" w:rsidP="008B1311">
            <w:pPr>
              <w:autoSpaceDE w:val="0"/>
              <w:autoSpaceDN w:val="0"/>
              <w:adjustRightInd w:val="0"/>
              <w:spacing w:after="0" w:line="240" w:lineRule="auto"/>
              <w:ind w:left="60" w:right="60"/>
              <w:rPr>
                <w:rFonts w:ascii="Times New Roman" w:hAnsi="Times New Roman" w:cs="Times New Roman"/>
                <w:color w:val="264A60"/>
                <w:sz w:val="18"/>
                <w:szCs w:val="18"/>
              </w:rPr>
            </w:pPr>
            <w:r w:rsidRPr="009412FC">
              <w:rPr>
                <w:rFonts w:ascii="Times New Roman" w:hAnsi="Times New Roman" w:cs="Times New Roman"/>
                <w:color w:val="264A60"/>
                <w:sz w:val="18"/>
                <w:szCs w:val="18"/>
              </w:rPr>
              <w:t>1</w:t>
            </w:r>
          </w:p>
        </w:tc>
        <w:tc>
          <w:tcPr>
            <w:tcW w:w="1141" w:type="dxa"/>
            <w:tcBorders>
              <w:top w:val="single" w:sz="4" w:space="0" w:color="auto"/>
            </w:tcBorders>
            <w:shd w:val="clear" w:color="auto" w:fill="E0E0E0"/>
          </w:tcPr>
          <w:p w:rsidR="00E712FD" w:rsidRPr="009412FC" w:rsidRDefault="00E712FD" w:rsidP="008B1311">
            <w:pPr>
              <w:autoSpaceDE w:val="0"/>
              <w:autoSpaceDN w:val="0"/>
              <w:adjustRightInd w:val="0"/>
              <w:spacing w:after="0" w:line="240" w:lineRule="auto"/>
              <w:ind w:left="60" w:right="60"/>
              <w:rPr>
                <w:rFonts w:ascii="Times New Roman" w:hAnsi="Times New Roman" w:cs="Times New Roman"/>
                <w:color w:val="264A60"/>
                <w:sz w:val="18"/>
                <w:szCs w:val="18"/>
              </w:rPr>
            </w:pPr>
            <w:r w:rsidRPr="009412FC">
              <w:rPr>
                <w:rFonts w:ascii="Times New Roman" w:hAnsi="Times New Roman" w:cs="Times New Roman"/>
                <w:color w:val="264A60"/>
                <w:sz w:val="18"/>
                <w:szCs w:val="18"/>
              </w:rPr>
              <w:t>(Constant)</w:t>
            </w:r>
          </w:p>
        </w:tc>
        <w:tc>
          <w:tcPr>
            <w:tcW w:w="1102" w:type="dxa"/>
            <w:tcBorders>
              <w:top w:val="single" w:sz="4" w:space="0" w:color="auto"/>
            </w:tcBorders>
            <w:shd w:val="clear" w:color="auto" w:fill="FFFFFF"/>
          </w:tcPr>
          <w:p w:rsidR="00E712FD" w:rsidRPr="009412FC" w:rsidRDefault="00E712FD" w:rsidP="008B1311">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9412FC">
              <w:rPr>
                <w:rFonts w:ascii="Times New Roman" w:hAnsi="Times New Roman" w:cs="Times New Roman"/>
                <w:color w:val="010205"/>
                <w:sz w:val="18"/>
                <w:szCs w:val="18"/>
              </w:rPr>
              <w:t>330112.159</w:t>
            </w:r>
          </w:p>
        </w:tc>
        <w:tc>
          <w:tcPr>
            <w:tcW w:w="1080" w:type="dxa"/>
            <w:tcBorders>
              <w:top w:val="single" w:sz="4" w:space="0" w:color="auto"/>
            </w:tcBorders>
            <w:shd w:val="clear" w:color="auto" w:fill="FFFFFF"/>
          </w:tcPr>
          <w:p w:rsidR="00E712FD" w:rsidRPr="009412FC" w:rsidRDefault="00E712FD" w:rsidP="008B1311">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9412FC">
              <w:rPr>
                <w:rFonts w:ascii="Times New Roman" w:hAnsi="Times New Roman" w:cs="Times New Roman"/>
                <w:color w:val="010205"/>
                <w:sz w:val="18"/>
                <w:szCs w:val="18"/>
              </w:rPr>
              <w:t>317987.083</w:t>
            </w:r>
          </w:p>
        </w:tc>
        <w:tc>
          <w:tcPr>
            <w:tcW w:w="1260" w:type="dxa"/>
            <w:tcBorders>
              <w:top w:val="single" w:sz="4" w:space="0" w:color="auto"/>
            </w:tcBorders>
            <w:shd w:val="clear" w:color="auto" w:fill="FFFFFF"/>
            <w:vAlign w:val="center"/>
          </w:tcPr>
          <w:p w:rsidR="00E712FD" w:rsidRPr="009412FC" w:rsidRDefault="00E712FD" w:rsidP="008B1311">
            <w:pPr>
              <w:autoSpaceDE w:val="0"/>
              <w:autoSpaceDN w:val="0"/>
              <w:adjustRightInd w:val="0"/>
              <w:spacing w:after="0" w:line="240" w:lineRule="auto"/>
              <w:rPr>
                <w:rFonts w:ascii="Times New Roman" w:hAnsi="Times New Roman" w:cs="Times New Roman"/>
                <w:sz w:val="18"/>
                <w:szCs w:val="18"/>
              </w:rPr>
            </w:pPr>
          </w:p>
        </w:tc>
        <w:tc>
          <w:tcPr>
            <w:tcW w:w="630" w:type="dxa"/>
            <w:tcBorders>
              <w:top w:val="single" w:sz="4" w:space="0" w:color="auto"/>
            </w:tcBorders>
            <w:shd w:val="clear" w:color="auto" w:fill="FFFFFF"/>
          </w:tcPr>
          <w:p w:rsidR="00E712FD" w:rsidRPr="009412FC" w:rsidRDefault="00E712FD" w:rsidP="008B1311">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9412FC">
              <w:rPr>
                <w:rFonts w:ascii="Times New Roman" w:hAnsi="Times New Roman" w:cs="Times New Roman"/>
                <w:color w:val="010205"/>
                <w:sz w:val="18"/>
                <w:szCs w:val="18"/>
              </w:rPr>
              <w:t>1.038</w:t>
            </w:r>
          </w:p>
        </w:tc>
        <w:tc>
          <w:tcPr>
            <w:tcW w:w="540" w:type="dxa"/>
            <w:tcBorders>
              <w:top w:val="single" w:sz="4" w:space="0" w:color="auto"/>
            </w:tcBorders>
            <w:shd w:val="clear" w:color="auto" w:fill="FFFFFF"/>
          </w:tcPr>
          <w:p w:rsidR="00E712FD" w:rsidRPr="009412FC" w:rsidRDefault="00E712FD" w:rsidP="008B1311">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9412FC">
              <w:rPr>
                <w:rFonts w:ascii="Times New Roman" w:hAnsi="Times New Roman" w:cs="Times New Roman"/>
                <w:color w:val="010205"/>
                <w:sz w:val="18"/>
                <w:szCs w:val="18"/>
              </w:rPr>
              <w:t>.324</w:t>
            </w:r>
          </w:p>
        </w:tc>
        <w:tc>
          <w:tcPr>
            <w:tcW w:w="720" w:type="dxa"/>
            <w:tcBorders>
              <w:top w:val="single" w:sz="4" w:space="0" w:color="auto"/>
            </w:tcBorders>
            <w:shd w:val="clear" w:color="auto" w:fill="FFFFFF"/>
            <w:vAlign w:val="center"/>
          </w:tcPr>
          <w:p w:rsidR="00E712FD" w:rsidRPr="009412FC" w:rsidRDefault="00E712FD" w:rsidP="008B1311">
            <w:pPr>
              <w:autoSpaceDE w:val="0"/>
              <w:autoSpaceDN w:val="0"/>
              <w:adjustRightInd w:val="0"/>
              <w:spacing w:after="0" w:line="240" w:lineRule="auto"/>
              <w:rPr>
                <w:rFonts w:ascii="Times New Roman" w:hAnsi="Times New Roman" w:cs="Times New Roman"/>
                <w:sz w:val="18"/>
                <w:szCs w:val="18"/>
              </w:rPr>
            </w:pPr>
          </w:p>
        </w:tc>
        <w:tc>
          <w:tcPr>
            <w:tcW w:w="720" w:type="dxa"/>
            <w:tcBorders>
              <w:top w:val="single" w:sz="4" w:space="0" w:color="auto"/>
            </w:tcBorders>
            <w:shd w:val="clear" w:color="auto" w:fill="FFFFFF"/>
            <w:vAlign w:val="center"/>
          </w:tcPr>
          <w:p w:rsidR="00E712FD" w:rsidRPr="009412FC" w:rsidRDefault="00E712FD" w:rsidP="008B1311">
            <w:pPr>
              <w:autoSpaceDE w:val="0"/>
              <w:autoSpaceDN w:val="0"/>
              <w:adjustRightInd w:val="0"/>
              <w:spacing w:after="0" w:line="240" w:lineRule="auto"/>
              <w:rPr>
                <w:rFonts w:ascii="Times New Roman" w:hAnsi="Times New Roman" w:cs="Times New Roman"/>
                <w:sz w:val="18"/>
                <w:szCs w:val="18"/>
              </w:rPr>
            </w:pPr>
          </w:p>
        </w:tc>
        <w:tc>
          <w:tcPr>
            <w:tcW w:w="486" w:type="dxa"/>
            <w:tcBorders>
              <w:top w:val="single" w:sz="4" w:space="0" w:color="auto"/>
            </w:tcBorders>
            <w:shd w:val="clear" w:color="auto" w:fill="FFFFFF"/>
            <w:vAlign w:val="center"/>
          </w:tcPr>
          <w:p w:rsidR="00E712FD" w:rsidRPr="009412FC" w:rsidRDefault="00E712FD" w:rsidP="008B1311">
            <w:pPr>
              <w:autoSpaceDE w:val="0"/>
              <w:autoSpaceDN w:val="0"/>
              <w:adjustRightInd w:val="0"/>
              <w:spacing w:after="0" w:line="240" w:lineRule="auto"/>
              <w:rPr>
                <w:rFonts w:ascii="Times New Roman" w:hAnsi="Times New Roman" w:cs="Times New Roman"/>
                <w:sz w:val="18"/>
                <w:szCs w:val="18"/>
              </w:rPr>
            </w:pPr>
          </w:p>
        </w:tc>
        <w:tc>
          <w:tcPr>
            <w:tcW w:w="954" w:type="dxa"/>
            <w:tcBorders>
              <w:top w:val="single" w:sz="4" w:space="0" w:color="auto"/>
            </w:tcBorders>
            <w:shd w:val="clear" w:color="auto" w:fill="FFFFFF"/>
            <w:vAlign w:val="center"/>
          </w:tcPr>
          <w:p w:rsidR="00E712FD" w:rsidRPr="009412FC" w:rsidRDefault="00E712FD" w:rsidP="008B1311">
            <w:pPr>
              <w:autoSpaceDE w:val="0"/>
              <w:autoSpaceDN w:val="0"/>
              <w:adjustRightInd w:val="0"/>
              <w:spacing w:after="0" w:line="240" w:lineRule="auto"/>
              <w:rPr>
                <w:rFonts w:ascii="Times New Roman" w:hAnsi="Times New Roman" w:cs="Times New Roman"/>
                <w:sz w:val="18"/>
                <w:szCs w:val="18"/>
              </w:rPr>
            </w:pPr>
          </w:p>
        </w:tc>
        <w:tc>
          <w:tcPr>
            <w:tcW w:w="720" w:type="dxa"/>
            <w:tcBorders>
              <w:top w:val="single" w:sz="4" w:space="0" w:color="auto"/>
            </w:tcBorders>
            <w:shd w:val="clear" w:color="auto" w:fill="FFFFFF"/>
            <w:vAlign w:val="center"/>
          </w:tcPr>
          <w:p w:rsidR="00E712FD" w:rsidRPr="009412FC" w:rsidRDefault="00E712FD" w:rsidP="008B1311">
            <w:pPr>
              <w:autoSpaceDE w:val="0"/>
              <w:autoSpaceDN w:val="0"/>
              <w:adjustRightInd w:val="0"/>
              <w:spacing w:after="0" w:line="240" w:lineRule="auto"/>
              <w:rPr>
                <w:rFonts w:ascii="Times New Roman" w:hAnsi="Times New Roman" w:cs="Times New Roman"/>
                <w:sz w:val="18"/>
                <w:szCs w:val="18"/>
              </w:rPr>
            </w:pPr>
          </w:p>
        </w:tc>
      </w:tr>
      <w:tr w:rsidR="00E712FD" w:rsidRPr="009412FC" w:rsidTr="00E712FD">
        <w:trPr>
          <w:cantSplit/>
          <w:trHeight w:val="155"/>
        </w:trPr>
        <w:tc>
          <w:tcPr>
            <w:tcW w:w="187" w:type="dxa"/>
            <w:vMerge/>
            <w:shd w:val="clear" w:color="auto" w:fill="E0E0E0"/>
          </w:tcPr>
          <w:p w:rsidR="00E712FD" w:rsidRPr="009412FC" w:rsidRDefault="00E712FD" w:rsidP="008B1311">
            <w:pPr>
              <w:autoSpaceDE w:val="0"/>
              <w:autoSpaceDN w:val="0"/>
              <w:adjustRightInd w:val="0"/>
              <w:spacing w:after="0" w:line="240" w:lineRule="auto"/>
              <w:rPr>
                <w:rFonts w:ascii="Times New Roman" w:hAnsi="Times New Roman" w:cs="Times New Roman"/>
                <w:sz w:val="18"/>
                <w:szCs w:val="18"/>
              </w:rPr>
            </w:pPr>
          </w:p>
        </w:tc>
        <w:tc>
          <w:tcPr>
            <w:tcW w:w="1141" w:type="dxa"/>
            <w:shd w:val="clear" w:color="auto" w:fill="E0E0E0"/>
          </w:tcPr>
          <w:p w:rsidR="00E712FD" w:rsidRPr="009412FC" w:rsidRDefault="00E712FD" w:rsidP="008B1311">
            <w:pPr>
              <w:autoSpaceDE w:val="0"/>
              <w:autoSpaceDN w:val="0"/>
              <w:adjustRightInd w:val="0"/>
              <w:spacing w:after="0" w:line="240" w:lineRule="auto"/>
              <w:ind w:left="60" w:right="60"/>
              <w:rPr>
                <w:rFonts w:ascii="Times New Roman" w:hAnsi="Times New Roman" w:cs="Times New Roman"/>
                <w:color w:val="264A60"/>
                <w:sz w:val="18"/>
                <w:szCs w:val="18"/>
              </w:rPr>
            </w:pPr>
            <w:r w:rsidRPr="009412FC">
              <w:rPr>
                <w:rFonts w:ascii="Times New Roman" w:hAnsi="Times New Roman" w:cs="Times New Roman"/>
                <w:color w:val="264A60"/>
                <w:sz w:val="18"/>
                <w:szCs w:val="18"/>
              </w:rPr>
              <w:t>B.NAT</w:t>
            </w:r>
          </w:p>
        </w:tc>
        <w:tc>
          <w:tcPr>
            <w:tcW w:w="1102" w:type="dxa"/>
            <w:shd w:val="clear" w:color="auto" w:fill="FFFFFF"/>
          </w:tcPr>
          <w:p w:rsidR="00E712FD" w:rsidRPr="009412FC" w:rsidRDefault="00E712FD" w:rsidP="008B1311">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9412FC">
              <w:rPr>
                <w:rFonts w:ascii="Times New Roman" w:hAnsi="Times New Roman" w:cs="Times New Roman"/>
                <w:color w:val="010205"/>
                <w:sz w:val="18"/>
                <w:szCs w:val="18"/>
              </w:rPr>
              <w:t>910561.064</w:t>
            </w:r>
          </w:p>
        </w:tc>
        <w:tc>
          <w:tcPr>
            <w:tcW w:w="1080" w:type="dxa"/>
            <w:shd w:val="clear" w:color="auto" w:fill="FFFFFF"/>
          </w:tcPr>
          <w:p w:rsidR="00E712FD" w:rsidRPr="009412FC" w:rsidRDefault="00E712FD" w:rsidP="008B1311">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9412FC">
              <w:rPr>
                <w:rFonts w:ascii="Times New Roman" w:hAnsi="Times New Roman" w:cs="Times New Roman"/>
                <w:color w:val="010205"/>
                <w:sz w:val="18"/>
                <w:szCs w:val="18"/>
              </w:rPr>
              <w:t>245832.754</w:t>
            </w:r>
          </w:p>
        </w:tc>
        <w:tc>
          <w:tcPr>
            <w:tcW w:w="1260" w:type="dxa"/>
            <w:shd w:val="clear" w:color="auto" w:fill="FFFFFF"/>
          </w:tcPr>
          <w:p w:rsidR="00E712FD" w:rsidRPr="009412FC" w:rsidRDefault="00E712FD" w:rsidP="008B1311">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9412FC">
              <w:rPr>
                <w:rFonts w:ascii="Times New Roman" w:hAnsi="Times New Roman" w:cs="Times New Roman"/>
                <w:color w:val="010205"/>
                <w:sz w:val="18"/>
                <w:szCs w:val="18"/>
              </w:rPr>
              <w:t>1.086</w:t>
            </w:r>
          </w:p>
        </w:tc>
        <w:tc>
          <w:tcPr>
            <w:tcW w:w="630" w:type="dxa"/>
            <w:shd w:val="clear" w:color="auto" w:fill="FFFFFF"/>
          </w:tcPr>
          <w:p w:rsidR="00E712FD" w:rsidRPr="009412FC" w:rsidRDefault="00E712FD" w:rsidP="008B1311">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9412FC">
              <w:rPr>
                <w:rFonts w:ascii="Times New Roman" w:hAnsi="Times New Roman" w:cs="Times New Roman"/>
                <w:color w:val="010205"/>
                <w:sz w:val="18"/>
                <w:szCs w:val="18"/>
              </w:rPr>
              <w:t>3.704</w:t>
            </w:r>
          </w:p>
        </w:tc>
        <w:tc>
          <w:tcPr>
            <w:tcW w:w="540" w:type="dxa"/>
            <w:shd w:val="clear" w:color="auto" w:fill="FFFFFF"/>
          </w:tcPr>
          <w:p w:rsidR="00E712FD" w:rsidRPr="009412FC" w:rsidRDefault="00E712FD" w:rsidP="008B1311">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9412FC">
              <w:rPr>
                <w:rFonts w:ascii="Times New Roman" w:hAnsi="Times New Roman" w:cs="Times New Roman"/>
                <w:color w:val="010205"/>
                <w:sz w:val="18"/>
                <w:szCs w:val="18"/>
              </w:rPr>
              <w:t>.004</w:t>
            </w:r>
          </w:p>
        </w:tc>
        <w:tc>
          <w:tcPr>
            <w:tcW w:w="720" w:type="dxa"/>
            <w:shd w:val="clear" w:color="auto" w:fill="FFFFFF"/>
          </w:tcPr>
          <w:p w:rsidR="00E712FD" w:rsidRPr="009412FC" w:rsidRDefault="00E712FD" w:rsidP="008B1311">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9412FC">
              <w:rPr>
                <w:rFonts w:ascii="Times New Roman" w:hAnsi="Times New Roman" w:cs="Times New Roman"/>
                <w:color w:val="010205"/>
                <w:sz w:val="18"/>
                <w:szCs w:val="18"/>
              </w:rPr>
              <w:t>.917</w:t>
            </w:r>
          </w:p>
        </w:tc>
        <w:tc>
          <w:tcPr>
            <w:tcW w:w="720" w:type="dxa"/>
            <w:shd w:val="clear" w:color="auto" w:fill="FFFFFF"/>
          </w:tcPr>
          <w:p w:rsidR="00E712FD" w:rsidRPr="009412FC" w:rsidRDefault="00E712FD" w:rsidP="008B1311">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9412FC">
              <w:rPr>
                <w:rFonts w:ascii="Times New Roman" w:hAnsi="Times New Roman" w:cs="Times New Roman"/>
                <w:color w:val="010205"/>
                <w:sz w:val="18"/>
                <w:szCs w:val="18"/>
              </w:rPr>
              <w:t>.761</w:t>
            </w:r>
          </w:p>
        </w:tc>
        <w:tc>
          <w:tcPr>
            <w:tcW w:w="486" w:type="dxa"/>
            <w:shd w:val="clear" w:color="auto" w:fill="FFFFFF"/>
          </w:tcPr>
          <w:p w:rsidR="00E712FD" w:rsidRPr="009412FC" w:rsidRDefault="00E712FD" w:rsidP="008B1311">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9412FC">
              <w:rPr>
                <w:rFonts w:ascii="Times New Roman" w:hAnsi="Times New Roman" w:cs="Times New Roman"/>
                <w:color w:val="010205"/>
                <w:sz w:val="18"/>
                <w:szCs w:val="18"/>
              </w:rPr>
              <w:t>.458</w:t>
            </w:r>
          </w:p>
        </w:tc>
        <w:tc>
          <w:tcPr>
            <w:tcW w:w="954" w:type="dxa"/>
            <w:shd w:val="clear" w:color="auto" w:fill="FFFFFF"/>
          </w:tcPr>
          <w:p w:rsidR="00E712FD" w:rsidRPr="009412FC" w:rsidRDefault="00E712FD" w:rsidP="008B1311">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9412FC">
              <w:rPr>
                <w:rFonts w:ascii="Times New Roman" w:hAnsi="Times New Roman" w:cs="Times New Roman"/>
                <w:color w:val="010205"/>
                <w:sz w:val="18"/>
                <w:szCs w:val="18"/>
              </w:rPr>
              <w:t>.178</w:t>
            </w:r>
          </w:p>
        </w:tc>
        <w:tc>
          <w:tcPr>
            <w:tcW w:w="720" w:type="dxa"/>
            <w:shd w:val="clear" w:color="auto" w:fill="FFFFFF"/>
          </w:tcPr>
          <w:p w:rsidR="00E712FD" w:rsidRPr="009412FC" w:rsidRDefault="00E712FD" w:rsidP="008B1311">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9412FC">
              <w:rPr>
                <w:rFonts w:ascii="Times New Roman" w:hAnsi="Times New Roman" w:cs="Times New Roman"/>
                <w:color w:val="010205"/>
                <w:sz w:val="18"/>
                <w:szCs w:val="18"/>
              </w:rPr>
              <w:t>5.628</w:t>
            </w:r>
          </w:p>
        </w:tc>
      </w:tr>
      <w:tr w:rsidR="00E712FD" w:rsidRPr="009412FC" w:rsidTr="00E66387">
        <w:trPr>
          <w:cantSplit/>
          <w:trHeight w:val="155"/>
        </w:trPr>
        <w:tc>
          <w:tcPr>
            <w:tcW w:w="187" w:type="dxa"/>
            <w:vMerge/>
            <w:tcBorders>
              <w:bottom w:val="single" w:sz="4" w:space="0" w:color="auto"/>
            </w:tcBorders>
            <w:shd w:val="clear" w:color="auto" w:fill="E0E0E0"/>
          </w:tcPr>
          <w:p w:rsidR="00E712FD" w:rsidRPr="009412FC" w:rsidRDefault="00E712FD" w:rsidP="008B1311">
            <w:pPr>
              <w:autoSpaceDE w:val="0"/>
              <w:autoSpaceDN w:val="0"/>
              <w:adjustRightInd w:val="0"/>
              <w:spacing w:after="0" w:line="240" w:lineRule="auto"/>
              <w:rPr>
                <w:rFonts w:ascii="Times New Roman" w:hAnsi="Times New Roman" w:cs="Times New Roman"/>
                <w:color w:val="010205"/>
                <w:sz w:val="18"/>
                <w:szCs w:val="18"/>
              </w:rPr>
            </w:pPr>
          </w:p>
        </w:tc>
        <w:tc>
          <w:tcPr>
            <w:tcW w:w="1141" w:type="dxa"/>
            <w:tcBorders>
              <w:bottom w:val="single" w:sz="4" w:space="0" w:color="auto"/>
            </w:tcBorders>
            <w:shd w:val="clear" w:color="auto" w:fill="E0E0E0"/>
          </w:tcPr>
          <w:p w:rsidR="00E712FD" w:rsidRPr="009412FC" w:rsidRDefault="00E712FD" w:rsidP="008B1311">
            <w:pPr>
              <w:autoSpaceDE w:val="0"/>
              <w:autoSpaceDN w:val="0"/>
              <w:adjustRightInd w:val="0"/>
              <w:spacing w:after="0" w:line="240" w:lineRule="auto"/>
              <w:ind w:left="60" w:right="60"/>
              <w:rPr>
                <w:rFonts w:ascii="Times New Roman" w:hAnsi="Times New Roman" w:cs="Times New Roman"/>
                <w:color w:val="264A60"/>
                <w:sz w:val="18"/>
                <w:szCs w:val="18"/>
              </w:rPr>
            </w:pPr>
            <w:r w:rsidRPr="009412FC">
              <w:rPr>
                <w:rFonts w:ascii="Times New Roman" w:hAnsi="Times New Roman" w:cs="Times New Roman"/>
                <w:color w:val="264A60"/>
                <w:sz w:val="18"/>
                <w:szCs w:val="18"/>
              </w:rPr>
              <w:t>B.REP</w:t>
            </w:r>
          </w:p>
        </w:tc>
        <w:tc>
          <w:tcPr>
            <w:tcW w:w="1102" w:type="dxa"/>
            <w:tcBorders>
              <w:bottom w:val="single" w:sz="4" w:space="0" w:color="auto"/>
            </w:tcBorders>
            <w:shd w:val="clear" w:color="auto" w:fill="FFFFFF"/>
          </w:tcPr>
          <w:p w:rsidR="00E712FD" w:rsidRPr="009412FC" w:rsidRDefault="00E712FD" w:rsidP="008B1311">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9412FC">
              <w:rPr>
                <w:rFonts w:ascii="Times New Roman" w:hAnsi="Times New Roman" w:cs="Times New Roman"/>
                <w:color w:val="010205"/>
                <w:sz w:val="18"/>
                <w:szCs w:val="18"/>
              </w:rPr>
              <w:t>-12849.337</w:t>
            </w:r>
          </w:p>
        </w:tc>
        <w:tc>
          <w:tcPr>
            <w:tcW w:w="1080" w:type="dxa"/>
            <w:tcBorders>
              <w:bottom w:val="single" w:sz="4" w:space="0" w:color="auto"/>
            </w:tcBorders>
            <w:shd w:val="clear" w:color="auto" w:fill="FFFFFF"/>
          </w:tcPr>
          <w:p w:rsidR="00E712FD" w:rsidRPr="009412FC" w:rsidRDefault="00E712FD" w:rsidP="008B1311">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9412FC">
              <w:rPr>
                <w:rFonts w:ascii="Times New Roman" w:hAnsi="Times New Roman" w:cs="Times New Roman"/>
                <w:color w:val="010205"/>
                <w:sz w:val="18"/>
                <w:szCs w:val="18"/>
              </w:rPr>
              <w:t>20169.965</w:t>
            </w:r>
          </w:p>
        </w:tc>
        <w:tc>
          <w:tcPr>
            <w:tcW w:w="1260" w:type="dxa"/>
            <w:tcBorders>
              <w:bottom w:val="single" w:sz="4" w:space="0" w:color="auto"/>
            </w:tcBorders>
            <w:shd w:val="clear" w:color="auto" w:fill="FFFFFF"/>
          </w:tcPr>
          <w:p w:rsidR="00E712FD" w:rsidRPr="009412FC" w:rsidRDefault="00E712FD" w:rsidP="008B1311">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9412FC">
              <w:rPr>
                <w:rFonts w:ascii="Times New Roman" w:hAnsi="Times New Roman" w:cs="Times New Roman"/>
                <w:color w:val="010205"/>
                <w:sz w:val="18"/>
                <w:szCs w:val="18"/>
              </w:rPr>
              <w:t>-.187</w:t>
            </w:r>
          </w:p>
        </w:tc>
        <w:tc>
          <w:tcPr>
            <w:tcW w:w="630" w:type="dxa"/>
            <w:tcBorders>
              <w:bottom w:val="single" w:sz="4" w:space="0" w:color="auto"/>
            </w:tcBorders>
            <w:shd w:val="clear" w:color="auto" w:fill="FFFFFF"/>
          </w:tcPr>
          <w:p w:rsidR="00E712FD" w:rsidRPr="009412FC" w:rsidRDefault="00E712FD" w:rsidP="008B1311">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9412FC">
              <w:rPr>
                <w:rFonts w:ascii="Times New Roman" w:hAnsi="Times New Roman" w:cs="Times New Roman"/>
                <w:color w:val="010205"/>
                <w:sz w:val="18"/>
                <w:szCs w:val="18"/>
              </w:rPr>
              <w:t>-.637</w:t>
            </w:r>
          </w:p>
        </w:tc>
        <w:tc>
          <w:tcPr>
            <w:tcW w:w="540" w:type="dxa"/>
            <w:tcBorders>
              <w:bottom w:val="single" w:sz="4" w:space="0" w:color="auto"/>
            </w:tcBorders>
            <w:shd w:val="clear" w:color="auto" w:fill="FFFFFF"/>
          </w:tcPr>
          <w:p w:rsidR="00E712FD" w:rsidRPr="009412FC" w:rsidRDefault="00E712FD" w:rsidP="008B1311">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9412FC">
              <w:rPr>
                <w:rFonts w:ascii="Times New Roman" w:hAnsi="Times New Roman" w:cs="Times New Roman"/>
                <w:color w:val="010205"/>
                <w:sz w:val="18"/>
                <w:szCs w:val="18"/>
              </w:rPr>
              <w:t>.538</w:t>
            </w:r>
          </w:p>
        </w:tc>
        <w:tc>
          <w:tcPr>
            <w:tcW w:w="720" w:type="dxa"/>
            <w:tcBorders>
              <w:bottom w:val="single" w:sz="4" w:space="0" w:color="auto"/>
            </w:tcBorders>
            <w:shd w:val="clear" w:color="auto" w:fill="FFFFFF"/>
          </w:tcPr>
          <w:p w:rsidR="00E712FD" w:rsidRPr="009412FC" w:rsidRDefault="00E712FD" w:rsidP="008B1311">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9412FC">
              <w:rPr>
                <w:rFonts w:ascii="Times New Roman" w:hAnsi="Times New Roman" w:cs="Times New Roman"/>
                <w:color w:val="010205"/>
                <w:sz w:val="18"/>
                <w:szCs w:val="18"/>
              </w:rPr>
              <w:t>.798</w:t>
            </w:r>
          </w:p>
        </w:tc>
        <w:tc>
          <w:tcPr>
            <w:tcW w:w="720" w:type="dxa"/>
            <w:tcBorders>
              <w:bottom w:val="single" w:sz="4" w:space="0" w:color="auto"/>
            </w:tcBorders>
            <w:shd w:val="clear" w:color="auto" w:fill="FFFFFF"/>
          </w:tcPr>
          <w:p w:rsidR="00E712FD" w:rsidRPr="009412FC" w:rsidRDefault="00E712FD" w:rsidP="008B1311">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9412FC">
              <w:rPr>
                <w:rFonts w:ascii="Times New Roman" w:hAnsi="Times New Roman" w:cs="Times New Roman"/>
                <w:color w:val="010205"/>
                <w:sz w:val="18"/>
                <w:szCs w:val="18"/>
              </w:rPr>
              <w:t>-.197</w:t>
            </w:r>
          </w:p>
        </w:tc>
        <w:tc>
          <w:tcPr>
            <w:tcW w:w="486" w:type="dxa"/>
            <w:tcBorders>
              <w:bottom w:val="single" w:sz="4" w:space="0" w:color="auto"/>
            </w:tcBorders>
            <w:shd w:val="clear" w:color="auto" w:fill="FFFFFF"/>
          </w:tcPr>
          <w:p w:rsidR="00E712FD" w:rsidRPr="009412FC" w:rsidRDefault="00E712FD" w:rsidP="008B1311">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9412FC">
              <w:rPr>
                <w:rFonts w:ascii="Times New Roman" w:hAnsi="Times New Roman" w:cs="Times New Roman"/>
                <w:color w:val="010205"/>
                <w:sz w:val="18"/>
                <w:szCs w:val="18"/>
              </w:rPr>
              <w:t>-.079</w:t>
            </w:r>
          </w:p>
        </w:tc>
        <w:tc>
          <w:tcPr>
            <w:tcW w:w="954" w:type="dxa"/>
            <w:tcBorders>
              <w:bottom w:val="single" w:sz="4" w:space="0" w:color="auto"/>
            </w:tcBorders>
            <w:shd w:val="clear" w:color="auto" w:fill="FFFFFF"/>
          </w:tcPr>
          <w:p w:rsidR="00E712FD" w:rsidRPr="009412FC" w:rsidRDefault="00E712FD" w:rsidP="008B1311">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9412FC">
              <w:rPr>
                <w:rFonts w:ascii="Times New Roman" w:hAnsi="Times New Roman" w:cs="Times New Roman"/>
                <w:color w:val="010205"/>
                <w:sz w:val="18"/>
                <w:szCs w:val="18"/>
              </w:rPr>
              <w:t>.178</w:t>
            </w:r>
          </w:p>
        </w:tc>
        <w:tc>
          <w:tcPr>
            <w:tcW w:w="720" w:type="dxa"/>
            <w:tcBorders>
              <w:bottom w:val="single" w:sz="4" w:space="0" w:color="auto"/>
            </w:tcBorders>
            <w:shd w:val="clear" w:color="auto" w:fill="FFFFFF"/>
          </w:tcPr>
          <w:p w:rsidR="00E712FD" w:rsidRPr="009412FC" w:rsidRDefault="00E712FD" w:rsidP="008B1311">
            <w:pPr>
              <w:autoSpaceDE w:val="0"/>
              <w:autoSpaceDN w:val="0"/>
              <w:adjustRightInd w:val="0"/>
              <w:spacing w:after="0" w:line="240" w:lineRule="auto"/>
              <w:ind w:left="60" w:right="60"/>
              <w:jc w:val="right"/>
              <w:rPr>
                <w:rFonts w:ascii="Times New Roman" w:hAnsi="Times New Roman" w:cs="Times New Roman"/>
                <w:color w:val="010205"/>
                <w:sz w:val="18"/>
                <w:szCs w:val="18"/>
              </w:rPr>
            </w:pPr>
            <w:r w:rsidRPr="009412FC">
              <w:rPr>
                <w:rFonts w:ascii="Times New Roman" w:hAnsi="Times New Roman" w:cs="Times New Roman"/>
                <w:color w:val="010205"/>
                <w:sz w:val="18"/>
                <w:szCs w:val="18"/>
              </w:rPr>
              <w:t>5.628</w:t>
            </w:r>
          </w:p>
        </w:tc>
      </w:tr>
      <w:tr w:rsidR="00E712FD" w:rsidRPr="009412FC" w:rsidTr="00E66387">
        <w:trPr>
          <w:cantSplit/>
          <w:trHeight w:val="340"/>
        </w:trPr>
        <w:tc>
          <w:tcPr>
            <w:tcW w:w="9540" w:type="dxa"/>
            <w:gridSpan w:val="12"/>
            <w:tcBorders>
              <w:top w:val="single" w:sz="4" w:space="0" w:color="auto"/>
              <w:bottom w:val="nil"/>
            </w:tcBorders>
            <w:shd w:val="clear" w:color="auto" w:fill="FFFFFF"/>
          </w:tcPr>
          <w:p w:rsidR="00E712FD" w:rsidRPr="009412FC" w:rsidRDefault="00E712FD" w:rsidP="008B1311">
            <w:pPr>
              <w:autoSpaceDE w:val="0"/>
              <w:autoSpaceDN w:val="0"/>
              <w:adjustRightInd w:val="0"/>
              <w:spacing w:after="0" w:line="240" w:lineRule="auto"/>
              <w:ind w:left="60" w:right="60"/>
              <w:rPr>
                <w:rFonts w:ascii="Times New Roman" w:hAnsi="Times New Roman" w:cs="Times New Roman"/>
                <w:color w:val="010205"/>
                <w:sz w:val="18"/>
                <w:szCs w:val="18"/>
              </w:rPr>
            </w:pPr>
            <w:r w:rsidRPr="009412FC">
              <w:rPr>
                <w:rFonts w:ascii="Times New Roman" w:hAnsi="Times New Roman" w:cs="Times New Roman"/>
                <w:color w:val="010205"/>
                <w:sz w:val="18"/>
                <w:szCs w:val="18"/>
              </w:rPr>
              <w:t>a. Dependent Variable: ESG</w:t>
            </w:r>
          </w:p>
        </w:tc>
      </w:tr>
    </w:tbl>
    <w:p w:rsidR="00E712FD" w:rsidRDefault="00E712FD" w:rsidP="00B527E0">
      <w:pPr>
        <w:spacing w:after="0" w:line="360" w:lineRule="auto"/>
        <w:jc w:val="both"/>
      </w:pPr>
    </w:p>
    <w:p w:rsidR="00E66387" w:rsidRPr="00E66387" w:rsidRDefault="00E66387" w:rsidP="00E66387">
      <w:pPr>
        <w:spacing w:after="0" w:line="360" w:lineRule="auto"/>
        <w:jc w:val="both"/>
        <w:rPr>
          <w:rFonts w:ascii="Times New Roman" w:hAnsi="Times New Roman" w:cs="Times New Roman"/>
          <w:sz w:val="24"/>
          <w:szCs w:val="24"/>
        </w:rPr>
      </w:pPr>
      <w:r w:rsidRPr="00E66387">
        <w:rPr>
          <w:rFonts w:ascii="Times New Roman" w:hAnsi="Times New Roman" w:cs="Times New Roman"/>
          <w:sz w:val="24"/>
          <w:szCs w:val="24"/>
        </w:rPr>
        <w:t xml:space="preserve">The coefficient results reveal that </w:t>
      </w:r>
      <w:r w:rsidRPr="00E66387">
        <w:rPr>
          <w:rFonts w:ascii="Times New Roman" w:hAnsi="Times New Roman" w:cs="Times New Roman"/>
          <w:bCs/>
          <w:sz w:val="24"/>
          <w:szCs w:val="24"/>
        </w:rPr>
        <w:t>board director nationality (B.NAT)</w:t>
      </w:r>
      <w:r w:rsidRPr="00E66387">
        <w:rPr>
          <w:rFonts w:ascii="Times New Roman" w:hAnsi="Times New Roman" w:cs="Times New Roman"/>
          <w:sz w:val="24"/>
          <w:szCs w:val="24"/>
        </w:rPr>
        <w:t xml:space="preserve"> has a </w:t>
      </w:r>
      <w:r w:rsidRPr="00E66387">
        <w:rPr>
          <w:rFonts w:ascii="Times New Roman" w:hAnsi="Times New Roman" w:cs="Times New Roman"/>
          <w:bCs/>
          <w:sz w:val="24"/>
          <w:szCs w:val="24"/>
        </w:rPr>
        <w:t>positive and statistically significant effect</w:t>
      </w:r>
      <w:r w:rsidRPr="00E66387">
        <w:rPr>
          <w:rFonts w:ascii="Times New Roman" w:hAnsi="Times New Roman" w:cs="Times New Roman"/>
          <w:sz w:val="24"/>
          <w:szCs w:val="24"/>
        </w:rPr>
        <w:t xml:space="preserve"> on sustainability reporting among listed manufacturing firms in </w:t>
      </w:r>
      <w:r w:rsidRPr="00E66387">
        <w:rPr>
          <w:rFonts w:ascii="Times New Roman" w:hAnsi="Times New Roman" w:cs="Times New Roman"/>
          <w:sz w:val="24"/>
          <w:szCs w:val="24"/>
        </w:rPr>
        <w:lastRenderedPageBreak/>
        <w:t>Nigeria. The unstandardized coefficient (</w:t>
      </w:r>
      <w:r w:rsidRPr="00E66387">
        <w:rPr>
          <w:rFonts w:ascii="Times New Roman" w:hAnsi="Times New Roman" w:cs="Times New Roman"/>
          <w:bCs/>
          <w:sz w:val="24"/>
          <w:szCs w:val="24"/>
        </w:rPr>
        <w:t>β = 910,561.064</w:t>
      </w:r>
      <w:r w:rsidRPr="00E66387">
        <w:rPr>
          <w:rFonts w:ascii="Times New Roman" w:hAnsi="Times New Roman" w:cs="Times New Roman"/>
          <w:sz w:val="24"/>
          <w:szCs w:val="24"/>
        </w:rPr>
        <w:t>) indicates that an increase in the proportion of foreign directors on the board leads to a substantial increase in ESG reporting. This effect is statistically significant (</w:t>
      </w:r>
      <w:r w:rsidRPr="00E66387">
        <w:rPr>
          <w:rFonts w:ascii="Times New Roman" w:hAnsi="Times New Roman" w:cs="Times New Roman"/>
          <w:bCs/>
          <w:sz w:val="24"/>
          <w:szCs w:val="24"/>
        </w:rPr>
        <w:t>t = 3.704, p = 0.004</w:t>
      </w:r>
      <w:r w:rsidR="00502C72">
        <w:rPr>
          <w:rFonts w:ascii="Times New Roman" w:hAnsi="Times New Roman" w:cs="Times New Roman"/>
          <w:sz w:val="24"/>
          <w:szCs w:val="24"/>
        </w:rPr>
        <w:t>), shows</w:t>
      </w:r>
      <w:r w:rsidRPr="00E66387">
        <w:rPr>
          <w:rFonts w:ascii="Times New Roman" w:hAnsi="Times New Roman" w:cs="Times New Roman"/>
          <w:sz w:val="24"/>
          <w:szCs w:val="24"/>
        </w:rPr>
        <w:t xml:space="preserve"> that board nationality diversity plays an important role in enhancing sustainability disclosure practices.</w:t>
      </w:r>
    </w:p>
    <w:p w:rsidR="00E66387" w:rsidRPr="00E66387" w:rsidRDefault="00E66387" w:rsidP="00E66387">
      <w:pPr>
        <w:spacing w:after="0" w:line="360" w:lineRule="auto"/>
        <w:jc w:val="both"/>
        <w:rPr>
          <w:rFonts w:ascii="Times New Roman" w:hAnsi="Times New Roman" w:cs="Times New Roman"/>
          <w:sz w:val="24"/>
          <w:szCs w:val="24"/>
        </w:rPr>
      </w:pPr>
      <w:r w:rsidRPr="00E66387">
        <w:rPr>
          <w:rFonts w:ascii="Times New Roman" w:hAnsi="Times New Roman" w:cs="Times New Roman"/>
          <w:sz w:val="24"/>
          <w:szCs w:val="24"/>
        </w:rPr>
        <w:t xml:space="preserve">In contrast, </w:t>
      </w:r>
      <w:r w:rsidRPr="00E66387">
        <w:rPr>
          <w:rFonts w:ascii="Times New Roman" w:hAnsi="Times New Roman" w:cs="Times New Roman"/>
          <w:bCs/>
          <w:sz w:val="24"/>
          <w:szCs w:val="24"/>
        </w:rPr>
        <w:t>board director reputational capital (B.REP)</w:t>
      </w:r>
      <w:r w:rsidRPr="00E66387">
        <w:rPr>
          <w:rFonts w:ascii="Times New Roman" w:hAnsi="Times New Roman" w:cs="Times New Roman"/>
          <w:sz w:val="24"/>
          <w:szCs w:val="24"/>
        </w:rPr>
        <w:t xml:space="preserve"> exhibits a </w:t>
      </w:r>
      <w:r w:rsidRPr="00E66387">
        <w:rPr>
          <w:rFonts w:ascii="Times New Roman" w:hAnsi="Times New Roman" w:cs="Times New Roman"/>
          <w:bCs/>
          <w:sz w:val="24"/>
          <w:szCs w:val="24"/>
        </w:rPr>
        <w:t>negative but statistically insignificant relationship</w:t>
      </w:r>
      <w:r w:rsidRPr="00E66387">
        <w:rPr>
          <w:rFonts w:ascii="Times New Roman" w:hAnsi="Times New Roman" w:cs="Times New Roman"/>
          <w:sz w:val="24"/>
          <w:szCs w:val="24"/>
        </w:rPr>
        <w:t xml:space="preserve"> with sustainability reporting (</w:t>
      </w:r>
      <w:r w:rsidRPr="00E66387">
        <w:rPr>
          <w:rFonts w:ascii="Times New Roman" w:hAnsi="Times New Roman" w:cs="Times New Roman"/>
          <w:bCs/>
          <w:sz w:val="24"/>
          <w:szCs w:val="24"/>
        </w:rPr>
        <w:t>β = −12,849.337; t = −0.637; p = 0.538</w:t>
      </w:r>
      <w:r w:rsidRPr="00E66387">
        <w:rPr>
          <w:rFonts w:ascii="Times New Roman" w:hAnsi="Times New Roman" w:cs="Times New Roman"/>
          <w:sz w:val="24"/>
          <w:szCs w:val="24"/>
        </w:rPr>
        <w:t>). This implies that, although dir</w:t>
      </w:r>
      <w:r w:rsidR="00502C72">
        <w:rPr>
          <w:rFonts w:ascii="Times New Roman" w:hAnsi="Times New Roman" w:cs="Times New Roman"/>
          <w:sz w:val="24"/>
          <w:szCs w:val="24"/>
        </w:rPr>
        <w:t>ectors’ reputational capital</w:t>
      </w:r>
      <w:r w:rsidRPr="00E66387">
        <w:rPr>
          <w:rFonts w:ascii="Times New Roman" w:hAnsi="Times New Roman" w:cs="Times New Roman"/>
          <w:sz w:val="24"/>
          <w:szCs w:val="24"/>
        </w:rPr>
        <w:t xml:space="preserve"> influence</w:t>
      </w:r>
      <w:r w:rsidR="00502C72">
        <w:rPr>
          <w:rFonts w:ascii="Times New Roman" w:hAnsi="Times New Roman" w:cs="Times New Roman"/>
          <w:sz w:val="24"/>
          <w:szCs w:val="24"/>
        </w:rPr>
        <w:t>s</w:t>
      </w:r>
      <w:r w:rsidRPr="00E66387">
        <w:rPr>
          <w:rFonts w:ascii="Times New Roman" w:hAnsi="Times New Roman" w:cs="Times New Roman"/>
          <w:sz w:val="24"/>
          <w:szCs w:val="24"/>
        </w:rPr>
        <w:t xml:space="preserve"> governance decisions, it does not significantly determine the extent of sustainability reporting among the sampled manufacturing firms.</w:t>
      </w:r>
    </w:p>
    <w:p w:rsidR="00E66387" w:rsidRPr="00E66387" w:rsidRDefault="00E66387" w:rsidP="00E66387">
      <w:pPr>
        <w:spacing w:after="0" w:line="360" w:lineRule="auto"/>
        <w:jc w:val="both"/>
        <w:rPr>
          <w:rFonts w:ascii="Times New Roman" w:hAnsi="Times New Roman" w:cs="Times New Roman"/>
          <w:sz w:val="24"/>
          <w:szCs w:val="24"/>
        </w:rPr>
      </w:pPr>
      <w:r w:rsidRPr="00E66387">
        <w:rPr>
          <w:rFonts w:ascii="Times New Roman" w:hAnsi="Times New Roman" w:cs="Times New Roman"/>
          <w:sz w:val="24"/>
          <w:szCs w:val="24"/>
        </w:rPr>
        <w:t xml:space="preserve">The constant term is positive but statistically insignificant, indicating that sustainability reporting is influenced primarily by the explanatory variables included in the model. The </w:t>
      </w:r>
      <w:r w:rsidRPr="00E66387">
        <w:rPr>
          <w:rFonts w:ascii="Times New Roman" w:hAnsi="Times New Roman" w:cs="Times New Roman"/>
          <w:bCs/>
          <w:sz w:val="24"/>
          <w:szCs w:val="24"/>
        </w:rPr>
        <w:t>Variance Inflation Factor (VIF) value of 5.628</w:t>
      </w:r>
      <w:r w:rsidRPr="00E66387">
        <w:rPr>
          <w:rFonts w:ascii="Times New Roman" w:hAnsi="Times New Roman" w:cs="Times New Roman"/>
          <w:sz w:val="24"/>
          <w:szCs w:val="24"/>
        </w:rPr>
        <w:t xml:space="preserve"> for bo</w:t>
      </w:r>
      <w:r w:rsidR="00502C72">
        <w:rPr>
          <w:rFonts w:ascii="Times New Roman" w:hAnsi="Times New Roman" w:cs="Times New Roman"/>
          <w:sz w:val="24"/>
          <w:szCs w:val="24"/>
        </w:rPr>
        <w:t>th independent variables show</w:t>
      </w:r>
      <w:r w:rsidRPr="00E66387">
        <w:rPr>
          <w:rFonts w:ascii="Times New Roman" w:hAnsi="Times New Roman" w:cs="Times New Roman"/>
          <w:sz w:val="24"/>
          <w:szCs w:val="24"/>
        </w:rPr>
        <w:t>s that multicollinearity is within an acceptable range, thereby confirming the reliability of the estimated coefficients.</w:t>
      </w:r>
    </w:p>
    <w:p w:rsidR="004D4997" w:rsidRPr="004D4997" w:rsidRDefault="004D4997" w:rsidP="008B1311">
      <w:pPr>
        <w:pStyle w:val="NormalWeb"/>
        <w:spacing w:before="0" w:beforeAutospacing="0" w:after="0" w:afterAutospacing="0" w:line="360" w:lineRule="auto"/>
        <w:jc w:val="both"/>
        <w:rPr>
          <w:b/>
        </w:rPr>
      </w:pPr>
      <w:r w:rsidRPr="004D4997">
        <w:rPr>
          <w:b/>
        </w:rPr>
        <w:t>4.2</w:t>
      </w:r>
      <w:r w:rsidRPr="004D4997">
        <w:rPr>
          <w:b/>
        </w:rPr>
        <w:tab/>
        <w:t xml:space="preserve">Discussion of Findings </w:t>
      </w:r>
    </w:p>
    <w:p w:rsidR="004D4997" w:rsidRPr="004D4997" w:rsidRDefault="004D4997" w:rsidP="008B1311">
      <w:pPr>
        <w:pStyle w:val="NormalWeb"/>
        <w:spacing w:before="0" w:beforeAutospacing="0" w:after="0" w:afterAutospacing="0" w:line="360" w:lineRule="auto"/>
        <w:jc w:val="both"/>
      </w:pPr>
      <w:r w:rsidRPr="004D4997">
        <w:t xml:space="preserve">The findings reveal that </w:t>
      </w:r>
      <w:r w:rsidRPr="004D4997">
        <w:rPr>
          <w:bCs/>
        </w:rPr>
        <w:t>board director reputational capital has a negative and statistically insignificant relationship with sustainability reporting</w:t>
      </w:r>
      <w:r w:rsidRPr="004D4997">
        <w:t xml:space="preserve">, leading to the </w:t>
      </w:r>
      <w:r w:rsidRPr="004D4997">
        <w:rPr>
          <w:bCs/>
        </w:rPr>
        <w:t>acceptance of the null hypothesis</w:t>
      </w:r>
      <w:r>
        <w:t>. This result revealed that</w:t>
      </w:r>
      <w:r w:rsidRPr="004D4997">
        <w:t xml:space="preserve"> within Nigerian listed manufacturing firms, the reputational standing of board members does not significantly drive the extent or quality of sustainability disclosures.</w:t>
      </w:r>
    </w:p>
    <w:p w:rsidR="004D4997" w:rsidRPr="004D4997" w:rsidRDefault="004D4997" w:rsidP="008B1311">
      <w:pPr>
        <w:pStyle w:val="NormalWeb"/>
        <w:spacing w:before="0" w:beforeAutospacing="0" w:after="0" w:afterAutospacing="0" w:line="360" w:lineRule="auto"/>
        <w:jc w:val="both"/>
      </w:pPr>
      <w:r w:rsidRPr="004D4997">
        <w:t xml:space="preserve">This outcome may be attributed to the fact that </w:t>
      </w:r>
      <w:r w:rsidRPr="004D4997">
        <w:rPr>
          <w:bCs/>
        </w:rPr>
        <w:t>reputational capital alone does not necessarily translate into proactive sustainability engagement</w:t>
      </w:r>
      <w:r w:rsidRPr="004D4997">
        <w:t xml:space="preserve">, particularly in environments where sustainability reporting is still largely voluntary and compliance-driven. In such contexts, directors may prioritize financial performance, regulatory compliance, or shareholder expectations over sustainability disclosures. This finding aligns with </w:t>
      </w:r>
      <w:proofErr w:type="spellStart"/>
      <w:r w:rsidRPr="004D4997">
        <w:rPr>
          <w:bCs/>
        </w:rPr>
        <w:t>Okpamen</w:t>
      </w:r>
      <w:proofErr w:type="spellEnd"/>
      <w:r w:rsidRPr="004D4997">
        <w:rPr>
          <w:bCs/>
        </w:rPr>
        <w:t xml:space="preserve"> and Ogbeide (2020)</w:t>
      </w:r>
      <w:r w:rsidRPr="004D4997">
        <w:t>, who argued that reputational capital does not automatically lead to enhanced transparency unless supported by strong institutional pressures and enforcement mechanisms.</w:t>
      </w:r>
      <w:r>
        <w:t xml:space="preserve"> </w:t>
      </w:r>
      <w:r w:rsidRPr="004D4997">
        <w:t xml:space="preserve">Similarly, </w:t>
      </w:r>
      <w:r w:rsidRPr="004D4997">
        <w:rPr>
          <w:bCs/>
        </w:rPr>
        <w:t>Khalaf (2024)</w:t>
      </w:r>
      <w:r w:rsidRPr="004D4997">
        <w:t xml:space="preserve"> posits th</w:t>
      </w:r>
      <w:r>
        <w:t>at while reputable directors</w:t>
      </w:r>
      <w:r w:rsidRPr="004D4997">
        <w:t xml:space="preserve"> possess significant social and professional capital, their influence on sustainability reporting depends on organizational</w:t>
      </w:r>
      <w:r>
        <w:t xml:space="preserve"> culture, regulatory frameworks</w:t>
      </w:r>
      <w:r w:rsidRPr="004D4997">
        <w:t xml:space="preserve"> and stakeholder activism. In emerging economies like Nigeria, weak enforcement </w:t>
      </w:r>
      <w:r>
        <w:t>of sustainability guidelines</w:t>
      </w:r>
      <w:r w:rsidRPr="004D4997">
        <w:t xml:space="preserve"> limit</w:t>
      </w:r>
      <w:r>
        <w:t>s</w:t>
      </w:r>
      <w:r w:rsidRPr="004D4997">
        <w:t xml:space="preserve"> the practical impact of directors’ reputational concerns on disclosure practices.</w:t>
      </w:r>
      <w:r>
        <w:t xml:space="preserve"> </w:t>
      </w:r>
      <w:r w:rsidRPr="004D4997">
        <w:t xml:space="preserve">However, this finding contradicts </w:t>
      </w:r>
      <w:r w:rsidRPr="004D4997">
        <w:rPr>
          <w:bCs/>
        </w:rPr>
        <w:t>Fredriksson et al. (2020)</w:t>
      </w:r>
      <w:r w:rsidRPr="004D4997">
        <w:t xml:space="preserve">, </w:t>
      </w:r>
      <w:r w:rsidRPr="004D4997">
        <w:lastRenderedPageBreak/>
        <w:t xml:space="preserve">who reported that directors with higher reputational capital tend to promote better non-financial disclosure in developed markets. The divergence </w:t>
      </w:r>
      <w:r w:rsidR="00A60047">
        <w:t>can</w:t>
      </w:r>
      <w:r w:rsidRPr="004D4997">
        <w:t xml:space="preserve"> be explained by contextual differences, as manufacturing firms in Nigeria often face operational challenges such as high production costs, energy constraints</w:t>
      </w:r>
      <w:r w:rsidR="00BA43C1">
        <w:t xml:space="preserve"> and </w:t>
      </w:r>
      <w:r w:rsidRPr="004D4997">
        <w:t>regulatory uncertainty, which overshadow reputational considerations in sustainability decision-making.</w:t>
      </w:r>
    </w:p>
    <w:p w:rsidR="004D4997" w:rsidRPr="004D4997" w:rsidRDefault="004D4997" w:rsidP="008B1311">
      <w:pPr>
        <w:pStyle w:val="NormalWeb"/>
        <w:spacing w:before="0" w:beforeAutospacing="0" w:after="0" w:afterAutospacing="0" w:line="360" w:lineRule="auto"/>
        <w:ind w:firstLine="720"/>
        <w:jc w:val="both"/>
      </w:pPr>
      <w:r w:rsidRPr="004D4997">
        <w:t xml:space="preserve">The empirical results show that </w:t>
      </w:r>
      <w:r w:rsidRPr="004D4997">
        <w:rPr>
          <w:bCs/>
        </w:rPr>
        <w:t>board director nationality has a positive and statistically significant influence on sustainability reporting</w:t>
      </w:r>
      <w:r w:rsidRPr="004D4997">
        <w:t xml:space="preserve">, leading to the </w:t>
      </w:r>
      <w:r w:rsidRPr="004D4997">
        <w:rPr>
          <w:bCs/>
        </w:rPr>
        <w:t>rejection of the null hypothesis</w:t>
      </w:r>
      <w:r w:rsidRPr="004D4997">
        <w:t>. This finding indicates that manufacturing firms with a higher proportion of foreign directors are more likely to engage in extensive ESG disclosures.</w:t>
      </w:r>
      <w:r>
        <w:t xml:space="preserve"> </w:t>
      </w:r>
      <w:r w:rsidRPr="004D4997">
        <w:t xml:space="preserve">This result supports the argument that </w:t>
      </w:r>
      <w:r w:rsidRPr="004D4997">
        <w:rPr>
          <w:bCs/>
        </w:rPr>
        <w:t>foreign directors bring international exposure, global best practices</w:t>
      </w:r>
      <w:r w:rsidR="00BA43C1">
        <w:rPr>
          <w:bCs/>
        </w:rPr>
        <w:t xml:space="preserve"> and </w:t>
      </w:r>
      <w:r w:rsidRPr="004D4997">
        <w:rPr>
          <w:bCs/>
        </w:rPr>
        <w:t>heightened sensitivity to sustainability standards</w:t>
      </w:r>
      <w:r w:rsidRPr="004D4997">
        <w:t xml:space="preserve">, which positively influence corporate disclosure behavior. The finding is consistent with </w:t>
      </w:r>
      <w:r w:rsidRPr="004D4997">
        <w:rPr>
          <w:bCs/>
        </w:rPr>
        <w:t xml:space="preserve">Hahn and </w:t>
      </w:r>
      <w:proofErr w:type="spellStart"/>
      <w:r w:rsidRPr="004D4997">
        <w:rPr>
          <w:bCs/>
        </w:rPr>
        <w:t>Lasfer</w:t>
      </w:r>
      <w:proofErr w:type="spellEnd"/>
      <w:r w:rsidRPr="004D4997">
        <w:rPr>
          <w:bCs/>
        </w:rPr>
        <w:t xml:space="preserve"> (2016)</w:t>
      </w:r>
      <w:r w:rsidRPr="004D4997">
        <w:t>, who observed that foreign board members enhance transparency and accountability due to their familiarity with stringent reporting regimes in developed economies.</w:t>
      </w:r>
      <w:r>
        <w:t xml:space="preserve"> </w:t>
      </w:r>
      <w:r w:rsidRPr="004D4997">
        <w:t xml:space="preserve">The result also corroborates </w:t>
      </w:r>
      <w:proofErr w:type="spellStart"/>
      <w:r w:rsidRPr="004D4997">
        <w:rPr>
          <w:bCs/>
        </w:rPr>
        <w:t>Dobija</w:t>
      </w:r>
      <w:proofErr w:type="spellEnd"/>
      <w:r w:rsidRPr="004D4997">
        <w:rPr>
          <w:bCs/>
        </w:rPr>
        <w:t xml:space="preserve"> et al. (2023)</w:t>
      </w:r>
      <w:r w:rsidRPr="004D4997">
        <w:t>, who found that internationally experienced board members positively affect the scope and quality of non-financial disclosures. In the Nigerian manufacturing context, foreign directors may advocate for sustainability reporting to align firms with global supply chain requirements, attract foreign investment</w:t>
      </w:r>
      <w:r w:rsidR="00BA43C1">
        <w:t xml:space="preserve"> and </w:t>
      </w:r>
      <w:r w:rsidRPr="004D4997">
        <w:t>enhance corporate legitimacy.</w:t>
      </w:r>
    </w:p>
    <w:p w:rsidR="004D4997" w:rsidRPr="004D4997" w:rsidRDefault="004D4997" w:rsidP="008B1311">
      <w:pPr>
        <w:pStyle w:val="NormalWeb"/>
        <w:spacing w:before="0" w:beforeAutospacing="0" w:after="0" w:afterAutospacing="0" w:line="360" w:lineRule="auto"/>
        <w:jc w:val="both"/>
      </w:pPr>
      <w:r w:rsidRPr="004D4997">
        <w:t xml:space="preserve">Furthermore, </w:t>
      </w:r>
      <w:proofErr w:type="spellStart"/>
      <w:r w:rsidRPr="004D4997">
        <w:rPr>
          <w:bCs/>
        </w:rPr>
        <w:t>Uwaifo</w:t>
      </w:r>
      <w:proofErr w:type="spellEnd"/>
      <w:r w:rsidRPr="004D4997">
        <w:rPr>
          <w:bCs/>
        </w:rPr>
        <w:t xml:space="preserve"> and Okoh (2024)</w:t>
      </w:r>
      <w:r w:rsidRPr="004D4997">
        <w:t xml:space="preserve">, in their study on Nigerian firms, reported that board nationality diversity significantly improves sustainability reporting, emphasizing the role of international perspectives in strengthening governance and disclosure practices. From a theoretical standpoint, this finding aligns with </w:t>
      </w:r>
      <w:r w:rsidRPr="004D4997">
        <w:rPr>
          <w:bCs/>
        </w:rPr>
        <w:t>stakeholder theory</w:t>
      </w:r>
      <w:r w:rsidRPr="004D4997">
        <w:t xml:space="preserve"> which posits that firms respond to broader stakeholder expectations when governance structures incorporate diverse viewpoints.</w:t>
      </w:r>
    </w:p>
    <w:p w:rsidR="004D4997" w:rsidRPr="004D4997" w:rsidRDefault="004D4997" w:rsidP="008B1311">
      <w:pPr>
        <w:pStyle w:val="NormalWeb"/>
        <w:spacing w:before="0" w:beforeAutospacing="0" w:after="0" w:afterAutospacing="0" w:line="360" w:lineRule="auto"/>
        <w:rPr>
          <w:b/>
        </w:rPr>
      </w:pPr>
      <w:r>
        <w:rPr>
          <w:b/>
        </w:rPr>
        <w:t>5.0 Conclusion a</w:t>
      </w:r>
      <w:r w:rsidRPr="004D4997">
        <w:rPr>
          <w:b/>
        </w:rPr>
        <w:t xml:space="preserve">nd Recommendations </w:t>
      </w:r>
    </w:p>
    <w:p w:rsidR="004D4997" w:rsidRPr="004D4997" w:rsidRDefault="004D4997" w:rsidP="008B1311">
      <w:pPr>
        <w:pStyle w:val="NormalWeb"/>
        <w:spacing w:before="0" w:beforeAutospacing="0" w:after="0" w:afterAutospacing="0" w:line="360" w:lineRule="auto"/>
        <w:rPr>
          <w:b/>
        </w:rPr>
      </w:pPr>
      <w:r w:rsidRPr="004D4997">
        <w:rPr>
          <w:b/>
        </w:rPr>
        <w:t>5.1</w:t>
      </w:r>
      <w:r w:rsidRPr="004D4997">
        <w:rPr>
          <w:b/>
        </w:rPr>
        <w:tab/>
        <w:t xml:space="preserve">Conclusion </w:t>
      </w:r>
    </w:p>
    <w:p w:rsidR="004D4997" w:rsidRPr="004D4997" w:rsidRDefault="004D4997" w:rsidP="008B1311">
      <w:pPr>
        <w:pStyle w:val="NormalWeb"/>
        <w:spacing w:before="0" w:beforeAutospacing="0" w:after="0" w:afterAutospacing="0" w:line="360" w:lineRule="auto"/>
        <w:jc w:val="both"/>
      </w:pPr>
      <w:r w:rsidRPr="004D4997">
        <w:t xml:space="preserve">This study concludes that </w:t>
      </w:r>
      <w:r w:rsidRPr="004D4997">
        <w:rPr>
          <w:rStyle w:val="Strong"/>
          <w:b w:val="0"/>
        </w:rPr>
        <w:t>corporate governance mechanisms play a significant role in shaping sustainability reporting practices</w:t>
      </w:r>
      <w:r w:rsidRPr="004D4997">
        <w:t xml:space="preserve"> among listed manufacturing firms in Nigeria. Specifically, </w:t>
      </w:r>
      <w:r w:rsidRPr="004D4997">
        <w:rPr>
          <w:rStyle w:val="Strong"/>
          <w:b w:val="0"/>
        </w:rPr>
        <w:t>board director nationality</w:t>
      </w:r>
      <w:r w:rsidRPr="004D4997">
        <w:t xml:space="preserve"> was found to have </w:t>
      </w:r>
      <w:r w:rsidRPr="00FF675F">
        <w:rPr>
          <w:bCs/>
        </w:rPr>
        <w:t>a</w:t>
      </w:r>
      <w:r w:rsidRPr="004D4997">
        <w:rPr>
          <w:b/>
        </w:rPr>
        <w:t xml:space="preserve"> </w:t>
      </w:r>
      <w:r w:rsidRPr="004D4997">
        <w:rPr>
          <w:rStyle w:val="Strong"/>
          <w:b w:val="0"/>
        </w:rPr>
        <w:t>positive and statistically significant</w:t>
      </w:r>
      <w:r w:rsidRPr="004D4997">
        <w:rPr>
          <w:rStyle w:val="Strong"/>
        </w:rPr>
        <w:t xml:space="preserve"> </w:t>
      </w:r>
      <w:r w:rsidRPr="00FF675F">
        <w:rPr>
          <w:rStyle w:val="Strong"/>
          <w:b w:val="0"/>
          <w:bCs w:val="0"/>
        </w:rPr>
        <w:t>effect</w:t>
      </w:r>
      <w:r w:rsidRPr="004D4997">
        <w:t xml:space="preserve"> on sustainability reporting, indicating that firms with a higher proportion of foreign directors tend to provide more extensive environmental, social</w:t>
      </w:r>
      <w:r w:rsidR="00BA43C1">
        <w:t xml:space="preserve"> and </w:t>
      </w:r>
      <w:r w:rsidRPr="004D4997">
        <w:t xml:space="preserve">governance (ESG) disclosures. This suggests </w:t>
      </w:r>
      <w:r w:rsidRPr="004D4997">
        <w:lastRenderedPageBreak/>
        <w:t>that international board diversity enhances transparency, global best-practice adoption</w:t>
      </w:r>
      <w:r w:rsidR="00BA43C1">
        <w:t xml:space="preserve"> and </w:t>
      </w:r>
      <w:r w:rsidRPr="004D4997">
        <w:t>compliance with sustainability reporting standards.</w:t>
      </w:r>
    </w:p>
    <w:p w:rsidR="004D4997" w:rsidRPr="008B1311" w:rsidRDefault="004D4997" w:rsidP="008B1311">
      <w:pPr>
        <w:pStyle w:val="NormalWeb"/>
        <w:spacing w:before="0" w:beforeAutospacing="0" w:after="0" w:afterAutospacing="0" w:line="360" w:lineRule="auto"/>
        <w:jc w:val="both"/>
      </w:pPr>
      <w:r w:rsidRPr="004D4997">
        <w:t xml:space="preserve">Conversely, </w:t>
      </w:r>
      <w:r w:rsidRPr="004D4997">
        <w:rPr>
          <w:rStyle w:val="Strong"/>
          <w:b w:val="0"/>
        </w:rPr>
        <w:t>board director reputational capital</w:t>
      </w:r>
      <w:r w:rsidRPr="004D4997">
        <w:t xml:space="preserve"> exhibited a </w:t>
      </w:r>
      <w:r w:rsidRPr="004D4997">
        <w:rPr>
          <w:rStyle w:val="Strong"/>
          <w:b w:val="0"/>
        </w:rPr>
        <w:t>negative but statistically insignificant relationship</w:t>
      </w:r>
      <w:r w:rsidRPr="004D4997">
        <w:t xml:space="preserve"> with sustainability reporting. This finding implies that, within the Nigerian manufacturing sector, directors’ reputational standing alone does not substantially influence the level of sustainability disclosure, possibly due to stronger regulatory, institutional, or operational factors shaping reporting behavior.</w:t>
      </w:r>
      <w:r>
        <w:t xml:space="preserve"> T</w:t>
      </w:r>
      <w:r w:rsidRPr="004D4997">
        <w:t xml:space="preserve">he study demonstrates that </w:t>
      </w:r>
      <w:r w:rsidRPr="004D4997">
        <w:rPr>
          <w:rStyle w:val="Strong"/>
          <w:b w:val="0"/>
        </w:rPr>
        <w:t>board composition matters more than individual reputation</w:t>
      </w:r>
      <w:r w:rsidRPr="004D4997">
        <w:t xml:space="preserve"> in driving sustainability reporting outcomes. The results underscore the importance of strengthening </w:t>
      </w:r>
      <w:r>
        <w:t xml:space="preserve">corporate governance structures </w:t>
      </w:r>
      <w:r w:rsidRPr="004D4997">
        <w:t>parti</w:t>
      </w:r>
      <w:r>
        <w:t xml:space="preserve">cularly through board diversity </w:t>
      </w:r>
      <w:r w:rsidRPr="004D4997">
        <w:t xml:space="preserve">to promote credible and comprehensive sustainability reporting. These findings provide </w:t>
      </w:r>
      <w:r w:rsidRPr="008B1311">
        <w:t>valuable insights for regulators, policymakers</w:t>
      </w:r>
      <w:r w:rsidR="00BA43C1" w:rsidRPr="008B1311">
        <w:t xml:space="preserve"> and </w:t>
      </w:r>
      <w:r w:rsidRPr="008B1311">
        <w:t>firm owners seeking to enhance sustainable business practices and long-term value creation within Nigeria’s manufacturing industry.</w:t>
      </w:r>
    </w:p>
    <w:p w:rsidR="004D4997" w:rsidRPr="008B1311" w:rsidRDefault="004D4997" w:rsidP="008B1311">
      <w:pPr>
        <w:pStyle w:val="Heading3"/>
        <w:spacing w:before="0" w:beforeAutospacing="0" w:after="0" w:afterAutospacing="0" w:line="360" w:lineRule="auto"/>
        <w:rPr>
          <w:sz w:val="24"/>
          <w:szCs w:val="24"/>
        </w:rPr>
      </w:pPr>
      <w:r w:rsidRPr="008B1311">
        <w:rPr>
          <w:sz w:val="24"/>
          <w:szCs w:val="24"/>
        </w:rPr>
        <w:t>Recommendations</w:t>
      </w:r>
    </w:p>
    <w:p w:rsidR="004D4997" w:rsidRPr="008B1311" w:rsidRDefault="004D4997" w:rsidP="008B1311">
      <w:pPr>
        <w:pStyle w:val="NormalWeb"/>
        <w:spacing w:before="0" w:beforeAutospacing="0" w:after="0" w:afterAutospacing="0" w:line="360" w:lineRule="auto"/>
      </w:pPr>
      <w:r w:rsidRPr="008B1311">
        <w:t>Based on the study’s findings</w:t>
      </w:r>
      <w:r w:rsidR="00BA43C1" w:rsidRPr="008B1311">
        <w:t xml:space="preserve"> the study recommends that: </w:t>
      </w:r>
    </w:p>
    <w:p w:rsidR="004D4997" w:rsidRDefault="004D4997" w:rsidP="008B1311">
      <w:pPr>
        <w:pStyle w:val="NormalWeb"/>
        <w:numPr>
          <w:ilvl w:val="0"/>
          <w:numId w:val="5"/>
        </w:numPr>
        <w:spacing w:before="0" w:beforeAutospacing="0" w:after="0" w:afterAutospacing="0" w:line="360" w:lineRule="auto"/>
        <w:jc w:val="both"/>
      </w:pPr>
      <w:r w:rsidRPr="008B1311">
        <w:t xml:space="preserve">Given that board director reputational capital was found to have no significant influence on sustainability reporting, </w:t>
      </w:r>
      <w:r w:rsidRPr="008B1311">
        <w:rPr>
          <w:rStyle w:val="Strong"/>
          <w:b w:val="0"/>
        </w:rPr>
        <w:t>manufacturing firms should complement reputational considerations with formal sustainability governance structures</w:t>
      </w:r>
      <w:r w:rsidRPr="008B1311">
        <w:t>, such as dedicated ESG committees and clearly defined sustainability reporting responsibilities. Regulators should also strengthen sustainability disclosure guidelines to ensure that directors’ reputations are reinforced by enforceable reporting standards rather than relying on</w:t>
      </w:r>
      <w:r>
        <w:t xml:space="preserve"> personal standing alone.</w:t>
      </w:r>
    </w:p>
    <w:p w:rsidR="004D4997" w:rsidRDefault="004D4997" w:rsidP="008B1311">
      <w:pPr>
        <w:pStyle w:val="NormalWeb"/>
        <w:numPr>
          <w:ilvl w:val="0"/>
          <w:numId w:val="5"/>
        </w:numPr>
        <w:spacing w:before="0" w:beforeAutospacing="0" w:after="0" w:afterAutospacing="0" w:line="360" w:lineRule="auto"/>
        <w:jc w:val="both"/>
      </w:pPr>
      <w:r>
        <w:t xml:space="preserve">In view of the significant positive effect of board director nationality on sustainability reporting, </w:t>
      </w:r>
      <w:r w:rsidRPr="00BA43C1">
        <w:rPr>
          <w:rStyle w:val="Strong"/>
          <w:b w:val="0"/>
        </w:rPr>
        <w:t>manufacturing firms should encourage greater board nationality diversity</w:t>
      </w:r>
      <w:r>
        <w:t>, particularly by appointing directors with international exposure and sustainability expertise. This will enhance the adoption of global best practices, improve ESG disclosure quality</w:t>
      </w:r>
      <w:r w:rsidR="00BA43C1">
        <w:t xml:space="preserve"> and </w:t>
      </w:r>
      <w:r>
        <w:t>increase the firms’ competitiveness in international markets.</w:t>
      </w:r>
    </w:p>
    <w:p w:rsidR="00BA43C1" w:rsidRDefault="00BA43C1">
      <w:r>
        <w:br w:type="page"/>
      </w:r>
    </w:p>
    <w:p w:rsidR="00BA43C1" w:rsidRPr="00BA43C1" w:rsidRDefault="00BA43C1" w:rsidP="008B1311">
      <w:pPr>
        <w:pStyle w:val="Heading2"/>
        <w:spacing w:line="240" w:lineRule="auto"/>
        <w:jc w:val="center"/>
        <w:rPr>
          <w:color w:val="auto"/>
        </w:rPr>
      </w:pPr>
      <w:r w:rsidRPr="00BA43C1">
        <w:rPr>
          <w:color w:val="auto"/>
        </w:rPr>
        <w:lastRenderedPageBreak/>
        <w:t>References</w:t>
      </w:r>
    </w:p>
    <w:p w:rsidR="00BA43C1" w:rsidRDefault="00BA43C1" w:rsidP="008B1311">
      <w:pPr>
        <w:pStyle w:val="NormalWeb"/>
        <w:spacing w:before="200" w:beforeAutospacing="0" w:after="0" w:afterAutospacing="0"/>
        <w:ind w:left="720" w:hanging="720"/>
        <w:jc w:val="both"/>
      </w:pPr>
      <w:r>
        <w:t>Abdelkader, D., &amp; Gao, Y. (2023). Board nationality diversity, foreign ownership</w:t>
      </w:r>
      <w:r w:rsidR="008A02CE">
        <w:t xml:space="preserve"> and </w:t>
      </w:r>
      <w:r>
        <w:t xml:space="preserve">ESG disclosure: Evidence from South Africa. </w:t>
      </w:r>
      <w:r>
        <w:rPr>
          <w:rStyle w:val="Emphasis"/>
        </w:rPr>
        <w:t>Journal of International Accounting, Auditing and Taxation, 50</w:t>
      </w:r>
      <w:r>
        <w:t>, 100540. https://doi.org/10.1016/j.intaccaudtax.2023.100540</w:t>
      </w:r>
    </w:p>
    <w:p w:rsidR="00BA43C1" w:rsidRDefault="00BA43C1" w:rsidP="008B1311">
      <w:pPr>
        <w:pStyle w:val="NormalWeb"/>
        <w:spacing w:before="200" w:beforeAutospacing="0" w:after="0" w:afterAutospacing="0"/>
        <w:ind w:left="720" w:hanging="720"/>
        <w:jc w:val="both"/>
      </w:pPr>
      <w:r>
        <w:t xml:space="preserve">Agama, A. E., &amp; Zubairu, U. M. (2022). Sustainability reporting and firm performance in Nigeria. </w:t>
      </w:r>
      <w:r>
        <w:rPr>
          <w:rStyle w:val="Emphasis"/>
        </w:rPr>
        <w:t>Journal of Accounting and Management, 12</w:t>
      </w:r>
      <w:r>
        <w:t>(2), 45–60.</w:t>
      </w:r>
    </w:p>
    <w:p w:rsidR="00BA43C1" w:rsidRDefault="00BA43C1" w:rsidP="008B1311">
      <w:pPr>
        <w:pStyle w:val="NormalWeb"/>
        <w:spacing w:before="200" w:beforeAutospacing="0" w:after="0" w:afterAutospacing="0"/>
        <w:ind w:left="720" w:hanging="720"/>
        <w:jc w:val="both"/>
      </w:pPr>
      <w:proofErr w:type="spellStart"/>
      <w:r>
        <w:t>Aifuwa</w:t>
      </w:r>
      <w:proofErr w:type="spellEnd"/>
      <w:r>
        <w:t xml:space="preserve">, H. O., </w:t>
      </w:r>
      <w:proofErr w:type="spellStart"/>
      <w:r>
        <w:t>Embele</w:t>
      </w:r>
      <w:proofErr w:type="spellEnd"/>
      <w:r>
        <w:t xml:space="preserve">, K., &amp; Saidu, M. (2022). Corporate governance attributes and sustainability reporting in emerging economies. </w:t>
      </w:r>
      <w:r>
        <w:rPr>
          <w:rStyle w:val="Emphasis"/>
        </w:rPr>
        <w:t>Asian Journal of Economics and Business Accounting, 22</w:t>
      </w:r>
      <w:r>
        <w:t>(4), 112–128.</w:t>
      </w:r>
    </w:p>
    <w:p w:rsidR="00BA43C1" w:rsidRDefault="00BA43C1" w:rsidP="008B1311">
      <w:pPr>
        <w:pStyle w:val="NormalWeb"/>
        <w:spacing w:before="200" w:beforeAutospacing="0" w:after="0" w:afterAutospacing="0"/>
        <w:ind w:left="720" w:hanging="720"/>
        <w:jc w:val="both"/>
      </w:pPr>
      <w:r>
        <w:t xml:space="preserve">Ali, S., Hussain, A., &amp; Zhang, J. (2025). Measuring ESG disclosure using content analysis: Evidence from emerging markets. </w:t>
      </w:r>
      <w:r>
        <w:rPr>
          <w:rStyle w:val="Emphasis"/>
        </w:rPr>
        <w:t>Sustainability Accounting, Management and Policy Journal, 16</w:t>
      </w:r>
      <w:r>
        <w:t>(1), 1–25. https://doi.org/10.1108/SAMPJ-2024-0037</w:t>
      </w:r>
    </w:p>
    <w:p w:rsidR="00BA43C1" w:rsidRDefault="00BA43C1" w:rsidP="008B1311">
      <w:pPr>
        <w:pStyle w:val="NormalWeb"/>
        <w:spacing w:before="200" w:beforeAutospacing="0" w:after="0" w:afterAutospacing="0"/>
        <w:ind w:left="720" w:hanging="720"/>
        <w:jc w:val="both"/>
      </w:pPr>
      <w:r>
        <w:t xml:space="preserve">Barker, R. (2025). </w:t>
      </w:r>
      <w:r>
        <w:rPr>
          <w:rStyle w:val="Emphasis"/>
        </w:rPr>
        <w:t>Corporate reporting and sustainability</w:t>
      </w:r>
      <w:r>
        <w:t>. Oxford University Press.</w:t>
      </w:r>
    </w:p>
    <w:p w:rsidR="00BA43C1" w:rsidRDefault="00BA43C1" w:rsidP="008B1311">
      <w:pPr>
        <w:pStyle w:val="NormalWeb"/>
        <w:spacing w:before="200" w:beforeAutospacing="0" w:after="0" w:afterAutospacing="0"/>
        <w:ind w:left="720" w:hanging="720"/>
        <w:jc w:val="both"/>
      </w:pPr>
      <w:r>
        <w:t xml:space="preserve">Bravo-Urquiza, F., &amp; Reguera-Alvarado, N. (2025). Busy directors, reputational capital and ESG disclosure: Symbolic or substantive sustainability? </w:t>
      </w:r>
      <w:r>
        <w:rPr>
          <w:rStyle w:val="Emphasis"/>
        </w:rPr>
        <w:t>Business Strategy and the Environment, 34</w:t>
      </w:r>
      <w:r>
        <w:t>(2), 911–928. https://doi.org/10.1002/bse.3521</w:t>
      </w:r>
    </w:p>
    <w:p w:rsidR="00BA43C1" w:rsidRDefault="00BA43C1" w:rsidP="008B1311">
      <w:pPr>
        <w:pStyle w:val="NormalWeb"/>
        <w:spacing w:before="200" w:beforeAutospacing="0" w:after="0" w:afterAutospacing="0"/>
        <w:ind w:left="720" w:hanging="720"/>
        <w:jc w:val="both"/>
      </w:pPr>
      <w:r>
        <w:t xml:space="preserve">Chen, J., Li, Z., &amp; Wang, Y. (2024). Board diversity and sustainability performance: International evidence. </w:t>
      </w:r>
      <w:r>
        <w:rPr>
          <w:rStyle w:val="Emphasis"/>
        </w:rPr>
        <w:t>Corporate Governance: An International Review, 32</w:t>
      </w:r>
      <w:r>
        <w:t>(1), 78–96. https://doi.org/10.1111/corg.12415</w:t>
      </w:r>
    </w:p>
    <w:p w:rsidR="00BA43C1" w:rsidRDefault="00BA43C1" w:rsidP="008B1311">
      <w:pPr>
        <w:pStyle w:val="NormalWeb"/>
        <w:spacing w:before="200" w:beforeAutospacing="0" w:after="0" w:afterAutospacing="0"/>
        <w:ind w:left="720" w:hanging="720"/>
        <w:jc w:val="both"/>
      </w:pPr>
      <w:r>
        <w:t xml:space="preserve">Danescu, T., </w:t>
      </w:r>
      <w:proofErr w:type="spellStart"/>
      <w:r>
        <w:t>Prozan</w:t>
      </w:r>
      <w:proofErr w:type="spellEnd"/>
      <w:r>
        <w:t xml:space="preserve">, M., &amp; </w:t>
      </w:r>
      <w:proofErr w:type="spellStart"/>
      <w:r>
        <w:t>Spatacean</w:t>
      </w:r>
      <w:proofErr w:type="spellEnd"/>
      <w:r>
        <w:t xml:space="preserve">, O. (2021). External corporate governance mechanisms and firm transparency. </w:t>
      </w:r>
      <w:r>
        <w:rPr>
          <w:rStyle w:val="Emphasis"/>
        </w:rPr>
        <w:t>Economic Research-</w:t>
      </w:r>
      <w:proofErr w:type="spellStart"/>
      <w:r>
        <w:rPr>
          <w:rStyle w:val="Emphasis"/>
        </w:rPr>
        <w:t>Ekonomska</w:t>
      </w:r>
      <w:proofErr w:type="spellEnd"/>
      <w:r>
        <w:rPr>
          <w:rStyle w:val="Emphasis"/>
        </w:rPr>
        <w:t xml:space="preserve"> </w:t>
      </w:r>
      <w:proofErr w:type="spellStart"/>
      <w:r>
        <w:rPr>
          <w:rStyle w:val="Emphasis"/>
        </w:rPr>
        <w:t>Istraživanja</w:t>
      </w:r>
      <w:proofErr w:type="spellEnd"/>
      <w:r>
        <w:rPr>
          <w:rStyle w:val="Emphasis"/>
        </w:rPr>
        <w:t>, 34</w:t>
      </w:r>
      <w:r>
        <w:t>(1), 256–274. https://doi.org/10.1080/1331677X.2020.1860793</w:t>
      </w:r>
    </w:p>
    <w:p w:rsidR="00BA43C1" w:rsidRDefault="00BA43C1" w:rsidP="008B1311">
      <w:pPr>
        <w:pStyle w:val="NormalWeb"/>
        <w:spacing w:before="200" w:beforeAutospacing="0" w:after="0" w:afterAutospacing="0"/>
        <w:ind w:left="720" w:hanging="720"/>
        <w:jc w:val="both"/>
      </w:pPr>
      <w:proofErr w:type="spellStart"/>
      <w:r>
        <w:t>Fatounde</w:t>
      </w:r>
      <w:proofErr w:type="spellEnd"/>
      <w:r>
        <w:t xml:space="preserve">, O. A., &amp; Ogbeide, S. O. (2025). Corporate governance mechanisms and sustainability reporting practices. </w:t>
      </w:r>
      <w:r>
        <w:rPr>
          <w:rStyle w:val="Emphasis"/>
        </w:rPr>
        <w:t>Asian Journal of Economics, Business and Accounting, 25</w:t>
      </w:r>
      <w:r>
        <w:t>(12), 340–355.</w:t>
      </w:r>
    </w:p>
    <w:p w:rsidR="00BA43C1" w:rsidRDefault="00BA43C1" w:rsidP="008B1311">
      <w:pPr>
        <w:pStyle w:val="NormalWeb"/>
        <w:spacing w:before="200" w:beforeAutospacing="0" w:after="0" w:afterAutospacing="0"/>
        <w:ind w:left="720" w:hanging="720"/>
        <w:jc w:val="both"/>
      </w:pPr>
      <w:r>
        <w:t xml:space="preserve">Fredriksson, A., Kahn, C., &amp; Thompson, R. (2020). Director reputation and corporate governance outcomes. </w:t>
      </w:r>
      <w:r>
        <w:rPr>
          <w:rStyle w:val="Emphasis"/>
        </w:rPr>
        <w:t>Journal of Corporate Finance, 62</w:t>
      </w:r>
      <w:r>
        <w:t>, 101595. https://doi.org/10.1016/j.jcorpfin.2020.101595</w:t>
      </w:r>
    </w:p>
    <w:p w:rsidR="00BA43C1" w:rsidRDefault="00BA43C1" w:rsidP="008B1311">
      <w:pPr>
        <w:pStyle w:val="NormalWeb"/>
        <w:spacing w:before="200" w:beforeAutospacing="0" w:after="0" w:afterAutospacing="0"/>
        <w:ind w:left="720" w:hanging="720"/>
        <w:jc w:val="both"/>
      </w:pPr>
      <w:r>
        <w:t xml:space="preserve">Freeman, R. E. (1984). </w:t>
      </w:r>
      <w:r>
        <w:rPr>
          <w:rStyle w:val="Emphasis"/>
        </w:rPr>
        <w:t>Strategic management: A stakeholder approach</w:t>
      </w:r>
      <w:r>
        <w:t>. Pitman.</w:t>
      </w:r>
    </w:p>
    <w:p w:rsidR="00BA43C1" w:rsidRDefault="00BA43C1" w:rsidP="008B1311">
      <w:pPr>
        <w:pStyle w:val="NormalWeb"/>
        <w:spacing w:before="200" w:beforeAutospacing="0" w:after="0" w:afterAutospacing="0"/>
        <w:ind w:left="720" w:hanging="720"/>
        <w:jc w:val="both"/>
      </w:pPr>
      <w:r>
        <w:t xml:space="preserve">Hahn, P. D., &amp; </w:t>
      </w:r>
      <w:proofErr w:type="spellStart"/>
      <w:r>
        <w:t>Lasfer</w:t>
      </w:r>
      <w:proofErr w:type="spellEnd"/>
      <w:r>
        <w:t xml:space="preserve">, M. (2016). The impact of foreign directors on board effectiveness. </w:t>
      </w:r>
      <w:r>
        <w:rPr>
          <w:rStyle w:val="Emphasis"/>
        </w:rPr>
        <w:t>Journal of Business Ethics, 133</w:t>
      </w:r>
      <w:r>
        <w:t>(3), 547–567. https://doi.org/10.1007/s10551-014-2403-3</w:t>
      </w:r>
    </w:p>
    <w:p w:rsidR="00BA43C1" w:rsidRDefault="00BA43C1" w:rsidP="008B1311">
      <w:pPr>
        <w:pStyle w:val="NormalWeb"/>
        <w:spacing w:before="200" w:beforeAutospacing="0" w:after="0" w:afterAutospacing="0"/>
        <w:ind w:left="720" w:hanging="720"/>
        <w:jc w:val="both"/>
      </w:pPr>
      <w:r>
        <w:t xml:space="preserve">Hameed, A., Qureshi, M. I., &amp; Aslam, H. (2023). Board diversity and ESG disclosure: Evidence from developing economies. </w:t>
      </w:r>
      <w:r>
        <w:rPr>
          <w:rStyle w:val="Emphasis"/>
        </w:rPr>
        <w:t>Journal of Cleaner Production, 385</w:t>
      </w:r>
      <w:r>
        <w:t>, 135674. https://doi.org/10.1016/j.jclepro.2023.135674</w:t>
      </w:r>
    </w:p>
    <w:p w:rsidR="00BA43C1" w:rsidRDefault="00BA43C1" w:rsidP="008B1311">
      <w:pPr>
        <w:pStyle w:val="NormalWeb"/>
        <w:spacing w:before="200" w:beforeAutospacing="0" w:after="0" w:afterAutospacing="0"/>
        <w:ind w:left="720" w:hanging="720"/>
        <w:jc w:val="both"/>
      </w:pPr>
      <w:r>
        <w:lastRenderedPageBreak/>
        <w:t xml:space="preserve">Khalaf, B. A. (2024). Corporate governance quality and sustainability reporting adoption. </w:t>
      </w:r>
      <w:r>
        <w:rPr>
          <w:rStyle w:val="Emphasis"/>
        </w:rPr>
        <w:t>Journal of Accounting in Emerging Economies, 14</w:t>
      </w:r>
      <w:r>
        <w:t>(1), 89–108. https://doi.org/10.1108/JAEE-2023-0062</w:t>
      </w:r>
    </w:p>
    <w:p w:rsidR="00BA43C1" w:rsidRDefault="00BA43C1" w:rsidP="008B1311">
      <w:pPr>
        <w:pStyle w:val="NormalWeb"/>
        <w:spacing w:before="200" w:beforeAutospacing="0" w:after="0" w:afterAutospacing="0"/>
        <w:ind w:left="720" w:hanging="720"/>
        <w:jc w:val="both"/>
      </w:pPr>
      <w:r>
        <w:t xml:space="preserve">Khatri, N., Gupta, R., &amp; Varshney, P. (2025). Board independence and ethical governance. </w:t>
      </w:r>
      <w:r>
        <w:rPr>
          <w:rStyle w:val="Emphasis"/>
        </w:rPr>
        <w:t>Corporate Governance: The International Journal of Business in Society, 25</w:t>
      </w:r>
      <w:r>
        <w:t>(1), 134–150. https://doi.org/10.1108/CG-2024-0031</w:t>
      </w:r>
    </w:p>
    <w:p w:rsidR="00BA43C1" w:rsidRDefault="00BA43C1" w:rsidP="008B1311">
      <w:pPr>
        <w:pStyle w:val="NormalWeb"/>
        <w:spacing w:before="200" w:beforeAutospacing="0" w:after="0" w:afterAutospacing="0"/>
        <w:ind w:left="720" w:hanging="720"/>
        <w:jc w:val="both"/>
      </w:pPr>
      <w:r>
        <w:t xml:space="preserve">Khuong, N. V., Liem, N. T., &amp; Minh, M. T. (2021). Director reputation and disclosure quality. </w:t>
      </w:r>
      <w:r>
        <w:rPr>
          <w:rStyle w:val="Emphasis"/>
        </w:rPr>
        <w:t>Journal of Financial Reporting and Accounting, 19</w:t>
      </w:r>
      <w:r>
        <w:t>(3), 410–432. https://doi.org/10.1108/JFRA-2020-0124</w:t>
      </w:r>
    </w:p>
    <w:p w:rsidR="00BA43C1" w:rsidRDefault="00BA43C1" w:rsidP="008B1311">
      <w:pPr>
        <w:pStyle w:val="NormalWeb"/>
        <w:spacing w:before="200" w:beforeAutospacing="0" w:after="0" w:afterAutospacing="0"/>
        <w:ind w:left="720" w:hanging="720"/>
        <w:jc w:val="both"/>
      </w:pPr>
      <w:r>
        <w:t xml:space="preserve">Martin, G., &amp; Herrero, B. (2018). Board nationality diversity and firm outcomes. </w:t>
      </w:r>
      <w:r>
        <w:rPr>
          <w:rStyle w:val="Emphasis"/>
        </w:rPr>
        <w:t>European Management Journal, 36</w:t>
      </w:r>
      <w:r>
        <w:t>(2), 241–252. https://doi.org/10.1016/j.emj.2017.07.002</w:t>
      </w:r>
    </w:p>
    <w:p w:rsidR="00BA43C1" w:rsidRDefault="00BA43C1" w:rsidP="008B1311">
      <w:pPr>
        <w:pStyle w:val="NormalWeb"/>
        <w:spacing w:before="200" w:beforeAutospacing="0" w:after="0" w:afterAutospacing="0"/>
        <w:ind w:left="720" w:hanging="720"/>
        <w:jc w:val="both"/>
      </w:pPr>
      <w:r>
        <w:t xml:space="preserve">Moran-Muñoz, D., Martínez-Ferrero, J., &amp; García-Sánchez, I. M. (2024). Board diversity and human rights disclosure in Europe. </w:t>
      </w:r>
      <w:r>
        <w:rPr>
          <w:rStyle w:val="Emphasis"/>
        </w:rPr>
        <w:t>Accounting, Auditing &amp; Accountability Journal, 37</w:t>
      </w:r>
      <w:r>
        <w:t>(1), 56–83. https://doi.org/10.1108/AAAJ-2023-0187</w:t>
      </w:r>
    </w:p>
    <w:p w:rsidR="00BA43C1" w:rsidRDefault="00BA43C1" w:rsidP="008B1311">
      <w:pPr>
        <w:pStyle w:val="NormalWeb"/>
        <w:spacing w:before="200" w:beforeAutospacing="0" w:after="0" w:afterAutospacing="0"/>
        <w:ind w:left="720" w:hanging="720"/>
        <w:jc w:val="both"/>
      </w:pPr>
      <w:r>
        <w:t xml:space="preserve">Nafiu, A. T., Salami, K. A., &amp; Ahmed, A. B. (2024). Corporate governance mechanisms and corporate disclosure in Nigeria. </w:t>
      </w:r>
      <w:r>
        <w:rPr>
          <w:rStyle w:val="Emphasis"/>
        </w:rPr>
        <w:t>Nigerian Journal of Management Studies, 19</w:t>
      </w:r>
      <w:r>
        <w:t>(2), 101–120.</w:t>
      </w:r>
    </w:p>
    <w:p w:rsidR="00BA43C1" w:rsidRDefault="00BA43C1" w:rsidP="008B1311">
      <w:pPr>
        <w:pStyle w:val="NormalWeb"/>
        <w:spacing w:before="200" w:beforeAutospacing="0" w:after="0" w:afterAutospacing="0"/>
        <w:ind w:left="720" w:hanging="720"/>
        <w:jc w:val="both"/>
      </w:pPr>
      <w:r>
        <w:t xml:space="preserve">Naim, M. A., &amp; </w:t>
      </w:r>
      <w:proofErr w:type="spellStart"/>
      <w:r>
        <w:t>Alomair</w:t>
      </w:r>
      <w:proofErr w:type="spellEnd"/>
      <w:r>
        <w:t xml:space="preserve">, M. O. (2024). International board members and sustainability disclosure. </w:t>
      </w:r>
      <w:r>
        <w:rPr>
          <w:rStyle w:val="Emphasis"/>
        </w:rPr>
        <w:t>Journal of Business Ethics, 191</w:t>
      </w:r>
      <w:r>
        <w:t>(2), 489–507. https://doi.org/10.1007/s10551-023-05491-2</w:t>
      </w:r>
    </w:p>
    <w:p w:rsidR="00BA43C1" w:rsidRDefault="00BA43C1" w:rsidP="008B1311">
      <w:pPr>
        <w:pStyle w:val="NormalWeb"/>
        <w:spacing w:before="200" w:beforeAutospacing="0" w:after="0" w:afterAutospacing="0"/>
        <w:ind w:left="720" w:hanging="720"/>
        <w:jc w:val="both"/>
      </w:pPr>
      <w:proofErr w:type="spellStart"/>
      <w:r>
        <w:t>Okpamen</w:t>
      </w:r>
      <w:proofErr w:type="spellEnd"/>
      <w:r>
        <w:t xml:space="preserve">, J., &amp; Ogbeide, S. O. (2020). Reputational capital and corporate governance in Nigeria. </w:t>
      </w:r>
      <w:r>
        <w:rPr>
          <w:rStyle w:val="Emphasis"/>
        </w:rPr>
        <w:t>International Journal of Business Governance and Ethics, 14</w:t>
      </w:r>
      <w:r>
        <w:t>(3), 289–305. https://doi.org/10.1504/IJBGE.2020.108912</w:t>
      </w:r>
    </w:p>
    <w:p w:rsidR="00BA43C1" w:rsidRDefault="00BA43C1" w:rsidP="008B1311">
      <w:pPr>
        <w:pStyle w:val="NormalWeb"/>
        <w:spacing w:before="200" w:beforeAutospacing="0" w:after="0" w:afterAutospacing="0"/>
        <w:ind w:left="720" w:hanging="720"/>
        <w:jc w:val="both"/>
      </w:pPr>
      <w:r>
        <w:t>Piñeiro-Chousa, J., Vizcaíno-González, M., &amp; López-</w:t>
      </w:r>
      <w:proofErr w:type="spellStart"/>
      <w:r>
        <w:t>Cabarcos</w:t>
      </w:r>
      <w:proofErr w:type="spellEnd"/>
      <w:r>
        <w:t xml:space="preserve">, M. Á. (2025). Director experience, multiple directorships and ESG performance. </w:t>
      </w:r>
      <w:r>
        <w:rPr>
          <w:rStyle w:val="Emphasis"/>
        </w:rPr>
        <w:t>Sustainability, 17</w:t>
      </w:r>
      <w:r>
        <w:t>(3), 1210. https://doi.org/10.3390/su17031210</w:t>
      </w:r>
    </w:p>
    <w:p w:rsidR="00BA43C1" w:rsidRDefault="00BA43C1" w:rsidP="008B1311">
      <w:pPr>
        <w:pStyle w:val="NormalWeb"/>
        <w:spacing w:before="200" w:beforeAutospacing="0" w:after="0" w:afterAutospacing="0"/>
        <w:ind w:left="720" w:hanging="720"/>
        <w:jc w:val="both"/>
      </w:pPr>
      <w:r>
        <w:t xml:space="preserve">Rivo-López, E., Villanueva-Villar, M., &amp; Caby, J. (2025). Board nationality diversity and sustainability disclosure in emerging markets. </w:t>
      </w:r>
      <w:r>
        <w:rPr>
          <w:rStyle w:val="Emphasis"/>
        </w:rPr>
        <w:t>Business Strategy and the Environment, 34</w:t>
      </w:r>
      <w:r>
        <w:t>(4), 2011–2029. https://doi.org/10.1002/bse.3649</w:t>
      </w:r>
    </w:p>
    <w:p w:rsidR="00BA43C1" w:rsidRDefault="00BA43C1" w:rsidP="008B1311">
      <w:pPr>
        <w:pStyle w:val="NormalWeb"/>
        <w:spacing w:before="200" w:beforeAutospacing="0" w:after="0" w:afterAutospacing="0"/>
        <w:ind w:left="720" w:hanging="720"/>
        <w:jc w:val="both"/>
      </w:pPr>
      <w:r>
        <w:t xml:space="preserve">Sani, A. A., Musa, I. U., &amp; Yahaya, K. A. (2022). Sustainability disclosure practices in the Nigerian insurance sector. </w:t>
      </w:r>
      <w:r>
        <w:rPr>
          <w:rStyle w:val="Emphasis"/>
        </w:rPr>
        <w:t>Journal of Sustainable Finance &amp; Investment, 12</w:t>
      </w:r>
      <w:r>
        <w:t>(4), 1032–1050. https://doi.org/10.1080/20430795.2021.1913437</w:t>
      </w:r>
    </w:p>
    <w:p w:rsidR="00BA43C1" w:rsidRDefault="00BA43C1" w:rsidP="008B1311">
      <w:pPr>
        <w:pStyle w:val="NormalWeb"/>
        <w:spacing w:before="200" w:beforeAutospacing="0" w:after="0" w:afterAutospacing="0"/>
        <w:ind w:left="720" w:hanging="720"/>
        <w:jc w:val="both"/>
      </w:pPr>
      <w:r>
        <w:t xml:space="preserve">Santoso, A. H., Prabowo, M. A., &amp; Nugroho, P. I. (2025). Board diversity and ESG transparency. </w:t>
      </w:r>
      <w:r>
        <w:rPr>
          <w:rStyle w:val="Emphasis"/>
        </w:rPr>
        <w:t>Asian Review of Accounting, 33</w:t>
      </w:r>
      <w:r>
        <w:t>(1), 77–96. https://doi.org/10.1108/ARA-2024-0056</w:t>
      </w:r>
    </w:p>
    <w:p w:rsidR="00BA43C1" w:rsidRDefault="00BA43C1" w:rsidP="008B1311">
      <w:pPr>
        <w:pStyle w:val="NormalWeb"/>
        <w:spacing w:before="200" w:beforeAutospacing="0" w:after="0" w:afterAutospacing="0"/>
        <w:ind w:left="720" w:hanging="720"/>
        <w:jc w:val="both"/>
      </w:pPr>
      <w:r>
        <w:t xml:space="preserve">Savitri, E., &amp; </w:t>
      </w:r>
      <w:proofErr w:type="spellStart"/>
      <w:r>
        <w:t>Suhari</w:t>
      </w:r>
      <w:proofErr w:type="spellEnd"/>
      <w:r>
        <w:t xml:space="preserve">, E. (2023). Corporate governance mechanisms and accountability. </w:t>
      </w:r>
      <w:r>
        <w:rPr>
          <w:rStyle w:val="Emphasis"/>
        </w:rPr>
        <w:t>Journal of Asian Finance, Economics and Business, 10</w:t>
      </w:r>
      <w:r>
        <w:t>(5), 19–29. https://doi.org/10.13106/jafeb.2023.vol10.no5.0019</w:t>
      </w:r>
    </w:p>
    <w:p w:rsidR="00BA43C1" w:rsidRDefault="00BA43C1" w:rsidP="008B1311">
      <w:pPr>
        <w:pStyle w:val="NormalWeb"/>
        <w:spacing w:before="200" w:beforeAutospacing="0" w:after="0" w:afterAutospacing="0"/>
        <w:ind w:left="720" w:hanging="720"/>
        <w:jc w:val="both"/>
      </w:pPr>
      <w:r>
        <w:lastRenderedPageBreak/>
        <w:t xml:space="preserve">Siddiqui, S. S., Jamali, D., &amp; Ahmed, A. (2023). Director reputation and sustainability accountability. </w:t>
      </w:r>
      <w:r>
        <w:rPr>
          <w:rStyle w:val="Emphasis"/>
        </w:rPr>
        <w:t>Corporate Governance: An International Review, 31</w:t>
      </w:r>
      <w:r>
        <w:t>(6), 1021–1038. https://doi.org/10.1111/corg.12407</w:t>
      </w:r>
    </w:p>
    <w:p w:rsidR="00BA43C1" w:rsidRDefault="00BA43C1" w:rsidP="008B1311">
      <w:pPr>
        <w:pStyle w:val="NormalWeb"/>
        <w:spacing w:before="200" w:beforeAutospacing="0" w:after="0" w:afterAutospacing="0"/>
        <w:ind w:left="720" w:hanging="720"/>
        <w:jc w:val="both"/>
      </w:pPr>
      <w:proofErr w:type="spellStart"/>
      <w:r>
        <w:t>Sundarasen</w:t>
      </w:r>
      <w:proofErr w:type="spellEnd"/>
      <w:r>
        <w:t xml:space="preserve">, S. (2024). Board diversity and ESG disclosure: A global synthesis. </w:t>
      </w:r>
      <w:r>
        <w:rPr>
          <w:rStyle w:val="Emphasis"/>
        </w:rPr>
        <w:t>Sustainability Accounting, Management and Policy Journal, 15</w:t>
      </w:r>
      <w:r>
        <w:t>(2), 215–242. https://doi.org/10.1108/SAMPJ-2023-0121</w:t>
      </w:r>
    </w:p>
    <w:p w:rsidR="00BA43C1" w:rsidRDefault="00BA43C1" w:rsidP="008B1311">
      <w:pPr>
        <w:pStyle w:val="NormalWeb"/>
        <w:spacing w:before="200" w:beforeAutospacing="0" w:after="0" w:afterAutospacing="0"/>
        <w:ind w:left="720" w:hanging="720"/>
        <w:jc w:val="both"/>
      </w:pPr>
      <w:r>
        <w:t xml:space="preserve">Tham, J., Cheung, A., &amp; Lo, K. (2025). Board multiple directorships and carbon reduction initiatives. </w:t>
      </w:r>
      <w:r>
        <w:rPr>
          <w:rStyle w:val="Emphasis"/>
        </w:rPr>
        <w:t>Journal of Cleaner Production, 402</w:t>
      </w:r>
      <w:r>
        <w:t>, 136927. https://doi.org/10.1016/j.jclepro.2024.136927</w:t>
      </w:r>
    </w:p>
    <w:p w:rsidR="00BA43C1" w:rsidRDefault="00BA43C1" w:rsidP="008B1311">
      <w:pPr>
        <w:pStyle w:val="NormalWeb"/>
        <w:spacing w:before="200" w:beforeAutospacing="0" w:after="0" w:afterAutospacing="0"/>
        <w:ind w:left="720" w:hanging="720"/>
        <w:jc w:val="both"/>
      </w:pPr>
      <w:r>
        <w:t xml:space="preserve">Urban, B. (2019). Corporate governance frameworks and stakeholder protection. </w:t>
      </w:r>
      <w:r>
        <w:rPr>
          <w:rStyle w:val="Emphasis"/>
        </w:rPr>
        <w:t>Journal of Governance and Regulation, 8</w:t>
      </w:r>
      <w:r>
        <w:t>(3), 58–67.</w:t>
      </w:r>
    </w:p>
    <w:p w:rsidR="00BA43C1" w:rsidRDefault="00BA43C1" w:rsidP="008B1311">
      <w:pPr>
        <w:pStyle w:val="NormalWeb"/>
        <w:spacing w:before="200" w:beforeAutospacing="0" w:after="0" w:afterAutospacing="0"/>
        <w:ind w:left="720" w:hanging="720"/>
        <w:jc w:val="both"/>
      </w:pPr>
      <w:r>
        <w:t xml:space="preserve">Xu, X., Magnan, M., &amp; André, P. (2024). Stakeholder theory and ESG disclosure quality. </w:t>
      </w:r>
      <w:r>
        <w:rPr>
          <w:rStyle w:val="Emphasis"/>
        </w:rPr>
        <w:t>Accounting Perspectives, 23</w:t>
      </w:r>
      <w:r>
        <w:t>(1), 1–26. https://doi.org/10.1111/1911-3838.12309</w:t>
      </w:r>
    </w:p>
    <w:p w:rsidR="00BA43C1" w:rsidRDefault="00BA43C1" w:rsidP="008B1311">
      <w:pPr>
        <w:pStyle w:val="NormalWeb"/>
        <w:spacing w:before="200" w:beforeAutospacing="0" w:after="0" w:afterAutospacing="0"/>
        <w:ind w:left="720" w:hanging="720"/>
        <w:jc w:val="both"/>
      </w:pPr>
      <w:r>
        <w:t xml:space="preserve">Yahaya, K. A., &amp; Alkasim, A. (2022). Sustainability performance and profitability of insurance firms in Nigeria. </w:t>
      </w:r>
      <w:r>
        <w:rPr>
          <w:rStyle w:val="Emphasis"/>
        </w:rPr>
        <w:t>Journal of Accounting and Taxation, 14</w:t>
      </w:r>
      <w:r>
        <w:t>(1), 1–12.</w:t>
      </w:r>
    </w:p>
    <w:p w:rsidR="00BA43C1" w:rsidRDefault="00BA43C1" w:rsidP="008B1311">
      <w:pPr>
        <w:pStyle w:val="NormalWeb"/>
        <w:spacing w:before="200" w:beforeAutospacing="0" w:after="0" w:afterAutospacing="0"/>
        <w:ind w:left="720" w:hanging="720"/>
        <w:jc w:val="both"/>
      </w:pPr>
      <w:r>
        <w:t xml:space="preserve">Zvinowanda, L., </w:t>
      </w:r>
      <w:proofErr w:type="spellStart"/>
      <w:r>
        <w:t>Nyide</w:t>
      </w:r>
      <w:proofErr w:type="spellEnd"/>
      <w:r>
        <w:t xml:space="preserve">, C., &amp; Moyo, V. (2024). Board nationality diversity and shareholder value creation. </w:t>
      </w:r>
      <w:r>
        <w:rPr>
          <w:rStyle w:val="Emphasis"/>
        </w:rPr>
        <w:t>South African Journal of Business Management, 55</w:t>
      </w:r>
      <w:r>
        <w:t>(1), a4212. https://doi.org/10.4102/sajbm.v55i1.4212</w:t>
      </w:r>
    </w:p>
    <w:p w:rsidR="00E66387" w:rsidRPr="004D4997" w:rsidRDefault="00E66387" w:rsidP="008B1311">
      <w:pPr>
        <w:spacing w:before="200" w:after="0" w:line="360" w:lineRule="auto"/>
        <w:jc w:val="both"/>
      </w:pPr>
    </w:p>
    <w:sectPr w:rsidR="00E66387" w:rsidRPr="004D4997" w:rsidSect="00B76EE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76E9" w:rsidRDefault="00C776E9" w:rsidP="008A02CE">
      <w:pPr>
        <w:spacing w:after="0" w:line="240" w:lineRule="auto"/>
      </w:pPr>
      <w:r>
        <w:separator/>
      </w:r>
    </w:p>
  </w:endnote>
  <w:endnote w:type="continuationSeparator" w:id="0">
    <w:p w:rsidR="00C776E9" w:rsidRDefault="00C776E9" w:rsidP="008A0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486692"/>
      <w:docPartObj>
        <w:docPartGallery w:val="Page Numbers (Bottom of Page)"/>
        <w:docPartUnique/>
      </w:docPartObj>
    </w:sdtPr>
    <w:sdtContent>
      <w:p w:rsidR="008A02CE" w:rsidRDefault="00334CD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8A02CE" w:rsidRDefault="008A02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76E9" w:rsidRDefault="00C776E9" w:rsidP="008A02CE">
      <w:pPr>
        <w:spacing w:after="0" w:line="240" w:lineRule="auto"/>
      </w:pPr>
      <w:r>
        <w:separator/>
      </w:r>
    </w:p>
  </w:footnote>
  <w:footnote w:type="continuationSeparator" w:id="0">
    <w:p w:rsidR="00C776E9" w:rsidRDefault="00C776E9" w:rsidP="008A02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86746"/>
    <w:multiLevelType w:val="multilevel"/>
    <w:tmpl w:val="49B2B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E35A34"/>
    <w:multiLevelType w:val="multilevel"/>
    <w:tmpl w:val="A1361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2AA1D63"/>
    <w:multiLevelType w:val="multilevel"/>
    <w:tmpl w:val="45DC8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DD4016"/>
    <w:multiLevelType w:val="multilevel"/>
    <w:tmpl w:val="96441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52E67BB"/>
    <w:multiLevelType w:val="multilevel"/>
    <w:tmpl w:val="8EAE3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0442508">
    <w:abstractNumId w:val="1"/>
  </w:num>
  <w:num w:numId="2" w16cid:durableId="1403065177">
    <w:abstractNumId w:val="4"/>
  </w:num>
  <w:num w:numId="3" w16cid:durableId="1866600396">
    <w:abstractNumId w:val="0"/>
  </w:num>
  <w:num w:numId="4" w16cid:durableId="1786537328">
    <w:abstractNumId w:val="2"/>
  </w:num>
  <w:num w:numId="5" w16cid:durableId="3712722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527E0"/>
    <w:rsid w:val="00023D77"/>
    <w:rsid w:val="00072E3B"/>
    <w:rsid w:val="00083E21"/>
    <w:rsid w:val="000B7C62"/>
    <w:rsid w:val="001523AD"/>
    <w:rsid w:val="0031573D"/>
    <w:rsid w:val="00327497"/>
    <w:rsid w:val="00334CDB"/>
    <w:rsid w:val="00366E3D"/>
    <w:rsid w:val="004D4997"/>
    <w:rsid w:val="00502C72"/>
    <w:rsid w:val="0057691C"/>
    <w:rsid w:val="005771B4"/>
    <w:rsid w:val="005E66E2"/>
    <w:rsid w:val="0065275A"/>
    <w:rsid w:val="006B0AA7"/>
    <w:rsid w:val="007A1D3D"/>
    <w:rsid w:val="008A02CE"/>
    <w:rsid w:val="008A5819"/>
    <w:rsid w:val="008A6D81"/>
    <w:rsid w:val="008B1311"/>
    <w:rsid w:val="008F229A"/>
    <w:rsid w:val="00937B0A"/>
    <w:rsid w:val="009412FC"/>
    <w:rsid w:val="009628C8"/>
    <w:rsid w:val="009B09A0"/>
    <w:rsid w:val="009C50A1"/>
    <w:rsid w:val="00A60047"/>
    <w:rsid w:val="00AB2BAD"/>
    <w:rsid w:val="00AC12E2"/>
    <w:rsid w:val="00AF60D8"/>
    <w:rsid w:val="00B01875"/>
    <w:rsid w:val="00B22CDB"/>
    <w:rsid w:val="00B27DEC"/>
    <w:rsid w:val="00B3116D"/>
    <w:rsid w:val="00B527E0"/>
    <w:rsid w:val="00B76EED"/>
    <w:rsid w:val="00BA43C1"/>
    <w:rsid w:val="00BD6C21"/>
    <w:rsid w:val="00C41691"/>
    <w:rsid w:val="00C776E9"/>
    <w:rsid w:val="00CB5050"/>
    <w:rsid w:val="00CD6423"/>
    <w:rsid w:val="00E65F22"/>
    <w:rsid w:val="00E66387"/>
    <w:rsid w:val="00E70001"/>
    <w:rsid w:val="00E712FD"/>
    <w:rsid w:val="00E90B8A"/>
    <w:rsid w:val="00EC4CD0"/>
    <w:rsid w:val="00F10B3F"/>
    <w:rsid w:val="00F711B8"/>
    <w:rsid w:val="00FF6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E8E55"/>
  <w15:docId w15:val="{CC52F341-B7B0-41F1-9738-454B5D401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EED"/>
  </w:style>
  <w:style w:type="paragraph" w:styleId="Heading2">
    <w:name w:val="heading 2"/>
    <w:basedOn w:val="Normal"/>
    <w:next w:val="Normal"/>
    <w:link w:val="Heading2Char"/>
    <w:uiPriority w:val="9"/>
    <w:semiHidden/>
    <w:unhideWhenUsed/>
    <w:qFormat/>
    <w:rsid w:val="00BA43C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B527E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527E0"/>
    <w:rPr>
      <w:rFonts w:ascii="Times New Roman" w:eastAsia="Times New Roman" w:hAnsi="Times New Roman" w:cs="Times New Roman"/>
      <w:b/>
      <w:bCs/>
      <w:sz w:val="27"/>
      <w:szCs w:val="27"/>
    </w:rPr>
  </w:style>
  <w:style w:type="character" w:styleId="Strong">
    <w:name w:val="Strong"/>
    <w:basedOn w:val="DefaultParagraphFont"/>
    <w:uiPriority w:val="22"/>
    <w:qFormat/>
    <w:rsid w:val="00B527E0"/>
    <w:rPr>
      <w:b/>
      <w:bCs/>
    </w:rPr>
  </w:style>
  <w:style w:type="paragraph" w:styleId="NormalWeb">
    <w:name w:val="Normal (Web)"/>
    <w:basedOn w:val="Normal"/>
    <w:uiPriority w:val="99"/>
    <w:semiHidden/>
    <w:unhideWhenUsed/>
    <w:rsid w:val="00B527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ord">
    <w:name w:val="mord"/>
    <w:basedOn w:val="DefaultParagraphFont"/>
    <w:rsid w:val="008A5819"/>
  </w:style>
  <w:style w:type="character" w:customStyle="1" w:styleId="vlist-s">
    <w:name w:val="vlist-s"/>
    <w:basedOn w:val="DefaultParagraphFont"/>
    <w:rsid w:val="008A5819"/>
  </w:style>
  <w:style w:type="character" w:customStyle="1" w:styleId="mbin">
    <w:name w:val="mbin"/>
    <w:basedOn w:val="DefaultParagraphFont"/>
    <w:rsid w:val="008A5819"/>
  </w:style>
  <w:style w:type="character" w:customStyle="1" w:styleId="Heading2Char">
    <w:name w:val="Heading 2 Char"/>
    <w:basedOn w:val="DefaultParagraphFont"/>
    <w:link w:val="Heading2"/>
    <w:uiPriority w:val="9"/>
    <w:semiHidden/>
    <w:rsid w:val="00BA43C1"/>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BA43C1"/>
    <w:rPr>
      <w:i/>
      <w:iCs/>
    </w:rPr>
  </w:style>
  <w:style w:type="paragraph" w:styleId="Header">
    <w:name w:val="header"/>
    <w:basedOn w:val="Normal"/>
    <w:link w:val="HeaderChar"/>
    <w:uiPriority w:val="99"/>
    <w:semiHidden/>
    <w:unhideWhenUsed/>
    <w:rsid w:val="008A02C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A02CE"/>
  </w:style>
  <w:style w:type="paragraph" w:styleId="Footer">
    <w:name w:val="footer"/>
    <w:basedOn w:val="Normal"/>
    <w:link w:val="FooterChar"/>
    <w:uiPriority w:val="99"/>
    <w:unhideWhenUsed/>
    <w:rsid w:val="008A0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2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7524">
      <w:bodyDiv w:val="1"/>
      <w:marLeft w:val="0"/>
      <w:marRight w:val="0"/>
      <w:marTop w:val="0"/>
      <w:marBottom w:val="0"/>
      <w:divBdr>
        <w:top w:val="none" w:sz="0" w:space="0" w:color="auto"/>
        <w:left w:val="none" w:sz="0" w:space="0" w:color="auto"/>
        <w:bottom w:val="none" w:sz="0" w:space="0" w:color="auto"/>
        <w:right w:val="none" w:sz="0" w:space="0" w:color="auto"/>
      </w:divBdr>
    </w:div>
    <w:div w:id="129517824">
      <w:bodyDiv w:val="1"/>
      <w:marLeft w:val="0"/>
      <w:marRight w:val="0"/>
      <w:marTop w:val="0"/>
      <w:marBottom w:val="0"/>
      <w:divBdr>
        <w:top w:val="none" w:sz="0" w:space="0" w:color="auto"/>
        <w:left w:val="none" w:sz="0" w:space="0" w:color="auto"/>
        <w:bottom w:val="none" w:sz="0" w:space="0" w:color="auto"/>
        <w:right w:val="none" w:sz="0" w:space="0" w:color="auto"/>
      </w:divBdr>
    </w:div>
    <w:div w:id="319816344">
      <w:bodyDiv w:val="1"/>
      <w:marLeft w:val="0"/>
      <w:marRight w:val="0"/>
      <w:marTop w:val="0"/>
      <w:marBottom w:val="0"/>
      <w:divBdr>
        <w:top w:val="none" w:sz="0" w:space="0" w:color="auto"/>
        <w:left w:val="none" w:sz="0" w:space="0" w:color="auto"/>
        <w:bottom w:val="none" w:sz="0" w:space="0" w:color="auto"/>
        <w:right w:val="none" w:sz="0" w:space="0" w:color="auto"/>
      </w:divBdr>
    </w:div>
    <w:div w:id="447817792">
      <w:bodyDiv w:val="1"/>
      <w:marLeft w:val="0"/>
      <w:marRight w:val="0"/>
      <w:marTop w:val="0"/>
      <w:marBottom w:val="0"/>
      <w:divBdr>
        <w:top w:val="none" w:sz="0" w:space="0" w:color="auto"/>
        <w:left w:val="none" w:sz="0" w:space="0" w:color="auto"/>
        <w:bottom w:val="none" w:sz="0" w:space="0" w:color="auto"/>
        <w:right w:val="none" w:sz="0" w:space="0" w:color="auto"/>
      </w:divBdr>
    </w:div>
    <w:div w:id="555581395">
      <w:bodyDiv w:val="1"/>
      <w:marLeft w:val="0"/>
      <w:marRight w:val="0"/>
      <w:marTop w:val="0"/>
      <w:marBottom w:val="0"/>
      <w:divBdr>
        <w:top w:val="none" w:sz="0" w:space="0" w:color="auto"/>
        <w:left w:val="none" w:sz="0" w:space="0" w:color="auto"/>
        <w:bottom w:val="none" w:sz="0" w:space="0" w:color="auto"/>
        <w:right w:val="none" w:sz="0" w:space="0" w:color="auto"/>
      </w:divBdr>
    </w:div>
    <w:div w:id="748504457">
      <w:bodyDiv w:val="1"/>
      <w:marLeft w:val="0"/>
      <w:marRight w:val="0"/>
      <w:marTop w:val="0"/>
      <w:marBottom w:val="0"/>
      <w:divBdr>
        <w:top w:val="none" w:sz="0" w:space="0" w:color="auto"/>
        <w:left w:val="none" w:sz="0" w:space="0" w:color="auto"/>
        <w:bottom w:val="none" w:sz="0" w:space="0" w:color="auto"/>
        <w:right w:val="none" w:sz="0" w:space="0" w:color="auto"/>
      </w:divBdr>
    </w:div>
    <w:div w:id="780564126">
      <w:bodyDiv w:val="1"/>
      <w:marLeft w:val="0"/>
      <w:marRight w:val="0"/>
      <w:marTop w:val="0"/>
      <w:marBottom w:val="0"/>
      <w:divBdr>
        <w:top w:val="none" w:sz="0" w:space="0" w:color="auto"/>
        <w:left w:val="none" w:sz="0" w:space="0" w:color="auto"/>
        <w:bottom w:val="none" w:sz="0" w:space="0" w:color="auto"/>
        <w:right w:val="none" w:sz="0" w:space="0" w:color="auto"/>
      </w:divBdr>
    </w:div>
    <w:div w:id="891575798">
      <w:bodyDiv w:val="1"/>
      <w:marLeft w:val="0"/>
      <w:marRight w:val="0"/>
      <w:marTop w:val="0"/>
      <w:marBottom w:val="0"/>
      <w:divBdr>
        <w:top w:val="none" w:sz="0" w:space="0" w:color="auto"/>
        <w:left w:val="none" w:sz="0" w:space="0" w:color="auto"/>
        <w:bottom w:val="none" w:sz="0" w:space="0" w:color="auto"/>
        <w:right w:val="none" w:sz="0" w:space="0" w:color="auto"/>
      </w:divBdr>
    </w:div>
    <w:div w:id="902637663">
      <w:bodyDiv w:val="1"/>
      <w:marLeft w:val="0"/>
      <w:marRight w:val="0"/>
      <w:marTop w:val="0"/>
      <w:marBottom w:val="0"/>
      <w:divBdr>
        <w:top w:val="none" w:sz="0" w:space="0" w:color="auto"/>
        <w:left w:val="none" w:sz="0" w:space="0" w:color="auto"/>
        <w:bottom w:val="none" w:sz="0" w:space="0" w:color="auto"/>
        <w:right w:val="none" w:sz="0" w:space="0" w:color="auto"/>
      </w:divBdr>
    </w:div>
    <w:div w:id="1058551759">
      <w:bodyDiv w:val="1"/>
      <w:marLeft w:val="0"/>
      <w:marRight w:val="0"/>
      <w:marTop w:val="0"/>
      <w:marBottom w:val="0"/>
      <w:divBdr>
        <w:top w:val="none" w:sz="0" w:space="0" w:color="auto"/>
        <w:left w:val="none" w:sz="0" w:space="0" w:color="auto"/>
        <w:bottom w:val="none" w:sz="0" w:space="0" w:color="auto"/>
        <w:right w:val="none" w:sz="0" w:space="0" w:color="auto"/>
      </w:divBdr>
    </w:div>
    <w:div w:id="1136726152">
      <w:bodyDiv w:val="1"/>
      <w:marLeft w:val="0"/>
      <w:marRight w:val="0"/>
      <w:marTop w:val="0"/>
      <w:marBottom w:val="0"/>
      <w:divBdr>
        <w:top w:val="none" w:sz="0" w:space="0" w:color="auto"/>
        <w:left w:val="none" w:sz="0" w:space="0" w:color="auto"/>
        <w:bottom w:val="none" w:sz="0" w:space="0" w:color="auto"/>
        <w:right w:val="none" w:sz="0" w:space="0" w:color="auto"/>
      </w:divBdr>
    </w:div>
    <w:div w:id="1327636154">
      <w:bodyDiv w:val="1"/>
      <w:marLeft w:val="0"/>
      <w:marRight w:val="0"/>
      <w:marTop w:val="0"/>
      <w:marBottom w:val="0"/>
      <w:divBdr>
        <w:top w:val="none" w:sz="0" w:space="0" w:color="auto"/>
        <w:left w:val="none" w:sz="0" w:space="0" w:color="auto"/>
        <w:bottom w:val="none" w:sz="0" w:space="0" w:color="auto"/>
        <w:right w:val="none" w:sz="0" w:space="0" w:color="auto"/>
      </w:divBdr>
    </w:div>
    <w:div w:id="1412697519">
      <w:bodyDiv w:val="1"/>
      <w:marLeft w:val="0"/>
      <w:marRight w:val="0"/>
      <w:marTop w:val="0"/>
      <w:marBottom w:val="0"/>
      <w:divBdr>
        <w:top w:val="none" w:sz="0" w:space="0" w:color="auto"/>
        <w:left w:val="none" w:sz="0" w:space="0" w:color="auto"/>
        <w:bottom w:val="none" w:sz="0" w:space="0" w:color="auto"/>
        <w:right w:val="none" w:sz="0" w:space="0" w:color="auto"/>
      </w:divBdr>
    </w:div>
    <w:div w:id="1423529431">
      <w:bodyDiv w:val="1"/>
      <w:marLeft w:val="0"/>
      <w:marRight w:val="0"/>
      <w:marTop w:val="0"/>
      <w:marBottom w:val="0"/>
      <w:divBdr>
        <w:top w:val="none" w:sz="0" w:space="0" w:color="auto"/>
        <w:left w:val="none" w:sz="0" w:space="0" w:color="auto"/>
        <w:bottom w:val="none" w:sz="0" w:space="0" w:color="auto"/>
        <w:right w:val="none" w:sz="0" w:space="0" w:color="auto"/>
      </w:divBdr>
    </w:div>
    <w:div w:id="1617784737">
      <w:bodyDiv w:val="1"/>
      <w:marLeft w:val="0"/>
      <w:marRight w:val="0"/>
      <w:marTop w:val="0"/>
      <w:marBottom w:val="0"/>
      <w:divBdr>
        <w:top w:val="none" w:sz="0" w:space="0" w:color="auto"/>
        <w:left w:val="none" w:sz="0" w:space="0" w:color="auto"/>
        <w:bottom w:val="none" w:sz="0" w:space="0" w:color="auto"/>
        <w:right w:val="none" w:sz="0" w:space="0" w:color="auto"/>
      </w:divBdr>
    </w:div>
    <w:div w:id="1633438613">
      <w:bodyDiv w:val="1"/>
      <w:marLeft w:val="0"/>
      <w:marRight w:val="0"/>
      <w:marTop w:val="0"/>
      <w:marBottom w:val="0"/>
      <w:divBdr>
        <w:top w:val="none" w:sz="0" w:space="0" w:color="auto"/>
        <w:left w:val="none" w:sz="0" w:space="0" w:color="auto"/>
        <w:bottom w:val="none" w:sz="0" w:space="0" w:color="auto"/>
        <w:right w:val="none" w:sz="0" w:space="0" w:color="auto"/>
      </w:divBdr>
    </w:div>
    <w:div w:id="1689209098">
      <w:bodyDiv w:val="1"/>
      <w:marLeft w:val="0"/>
      <w:marRight w:val="0"/>
      <w:marTop w:val="0"/>
      <w:marBottom w:val="0"/>
      <w:divBdr>
        <w:top w:val="none" w:sz="0" w:space="0" w:color="auto"/>
        <w:left w:val="none" w:sz="0" w:space="0" w:color="auto"/>
        <w:bottom w:val="none" w:sz="0" w:space="0" w:color="auto"/>
        <w:right w:val="none" w:sz="0" w:space="0" w:color="auto"/>
      </w:divBdr>
    </w:div>
    <w:div w:id="1759596957">
      <w:bodyDiv w:val="1"/>
      <w:marLeft w:val="0"/>
      <w:marRight w:val="0"/>
      <w:marTop w:val="0"/>
      <w:marBottom w:val="0"/>
      <w:divBdr>
        <w:top w:val="none" w:sz="0" w:space="0" w:color="auto"/>
        <w:left w:val="none" w:sz="0" w:space="0" w:color="auto"/>
        <w:bottom w:val="none" w:sz="0" w:space="0" w:color="auto"/>
        <w:right w:val="none" w:sz="0" w:space="0" w:color="auto"/>
      </w:divBdr>
    </w:div>
    <w:div w:id="1809007358">
      <w:bodyDiv w:val="1"/>
      <w:marLeft w:val="0"/>
      <w:marRight w:val="0"/>
      <w:marTop w:val="0"/>
      <w:marBottom w:val="0"/>
      <w:divBdr>
        <w:top w:val="none" w:sz="0" w:space="0" w:color="auto"/>
        <w:left w:val="none" w:sz="0" w:space="0" w:color="auto"/>
        <w:bottom w:val="none" w:sz="0" w:space="0" w:color="auto"/>
        <w:right w:val="none" w:sz="0" w:space="0" w:color="auto"/>
      </w:divBdr>
    </w:div>
    <w:div w:id="1921451467">
      <w:bodyDiv w:val="1"/>
      <w:marLeft w:val="0"/>
      <w:marRight w:val="0"/>
      <w:marTop w:val="0"/>
      <w:marBottom w:val="0"/>
      <w:divBdr>
        <w:top w:val="none" w:sz="0" w:space="0" w:color="auto"/>
        <w:left w:val="none" w:sz="0" w:space="0" w:color="auto"/>
        <w:bottom w:val="none" w:sz="0" w:space="0" w:color="auto"/>
        <w:right w:val="none" w:sz="0" w:space="0" w:color="auto"/>
      </w:divBdr>
    </w:div>
    <w:div w:id="2023585140">
      <w:bodyDiv w:val="1"/>
      <w:marLeft w:val="0"/>
      <w:marRight w:val="0"/>
      <w:marTop w:val="0"/>
      <w:marBottom w:val="0"/>
      <w:divBdr>
        <w:top w:val="none" w:sz="0" w:space="0" w:color="auto"/>
        <w:left w:val="none" w:sz="0" w:space="0" w:color="auto"/>
        <w:bottom w:val="none" w:sz="0" w:space="0" w:color="auto"/>
        <w:right w:val="none" w:sz="0" w:space="0" w:color="auto"/>
      </w:divBdr>
      <w:divsChild>
        <w:div w:id="1328903046">
          <w:marLeft w:val="0"/>
          <w:marRight w:val="0"/>
          <w:marTop w:val="0"/>
          <w:marBottom w:val="0"/>
          <w:divBdr>
            <w:top w:val="none" w:sz="0" w:space="0" w:color="auto"/>
            <w:left w:val="none" w:sz="0" w:space="0" w:color="auto"/>
            <w:bottom w:val="none" w:sz="0" w:space="0" w:color="auto"/>
            <w:right w:val="none" w:sz="0" w:space="0" w:color="auto"/>
          </w:divBdr>
          <w:divsChild>
            <w:div w:id="1646814811">
              <w:marLeft w:val="0"/>
              <w:marRight w:val="0"/>
              <w:marTop w:val="0"/>
              <w:marBottom w:val="0"/>
              <w:divBdr>
                <w:top w:val="none" w:sz="0" w:space="0" w:color="auto"/>
                <w:left w:val="none" w:sz="0" w:space="0" w:color="auto"/>
                <w:bottom w:val="none" w:sz="0" w:space="0" w:color="auto"/>
                <w:right w:val="none" w:sz="0" w:space="0" w:color="auto"/>
              </w:divBdr>
              <w:divsChild>
                <w:div w:id="149370863">
                  <w:marLeft w:val="0"/>
                  <w:marRight w:val="0"/>
                  <w:marTop w:val="0"/>
                  <w:marBottom w:val="0"/>
                  <w:divBdr>
                    <w:top w:val="none" w:sz="0" w:space="0" w:color="auto"/>
                    <w:left w:val="none" w:sz="0" w:space="0" w:color="auto"/>
                    <w:bottom w:val="none" w:sz="0" w:space="0" w:color="auto"/>
                    <w:right w:val="none" w:sz="0" w:space="0" w:color="auto"/>
                  </w:divBdr>
                  <w:divsChild>
                    <w:div w:id="513501095">
                      <w:marLeft w:val="0"/>
                      <w:marRight w:val="0"/>
                      <w:marTop w:val="0"/>
                      <w:marBottom w:val="0"/>
                      <w:divBdr>
                        <w:top w:val="none" w:sz="0" w:space="0" w:color="auto"/>
                        <w:left w:val="none" w:sz="0" w:space="0" w:color="auto"/>
                        <w:bottom w:val="none" w:sz="0" w:space="0" w:color="auto"/>
                        <w:right w:val="none" w:sz="0" w:space="0" w:color="auto"/>
                      </w:divBdr>
                      <w:divsChild>
                        <w:div w:id="483280368">
                          <w:marLeft w:val="0"/>
                          <w:marRight w:val="0"/>
                          <w:marTop w:val="0"/>
                          <w:marBottom w:val="0"/>
                          <w:divBdr>
                            <w:top w:val="none" w:sz="0" w:space="0" w:color="auto"/>
                            <w:left w:val="none" w:sz="0" w:space="0" w:color="auto"/>
                            <w:bottom w:val="none" w:sz="0" w:space="0" w:color="auto"/>
                            <w:right w:val="none" w:sz="0" w:space="0" w:color="auto"/>
                          </w:divBdr>
                          <w:divsChild>
                            <w:div w:id="173957044">
                              <w:marLeft w:val="0"/>
                              <w:marRight w:val="0"/>
                              <w:marTop w:val="0"/>
                              <w:marBottom w:val="0"/>
                              <w:divBdr>
                                <w:top w:val="none" w:sz="0" w:space="0" w:color="auto"/>
                                <w:left w:val="none" w:sz="0" w:space="0" w:color="auto"/>
                                <w:bottom w:val="none" w:sz="0" w:space="0" w:color="auto"/>
                                <w:right w:val="none" w:sz="0" w:space="0" w:color="auto"/>
                              </w:divBdr>
                              <w:divsChild>
                                <w:div w:id="6156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6105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524</TotalTime>
  <Pages>17</Pages>
  <Words>5818</Words>
  <Characters>33164</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Riya Tayal</cp:lastModifiedBy>
  <cp:revision>17</cp:revision>
  <dcterms:created xsi:type="dcterms:W3CDTF">2026-02-08T15:03:00Z</dcterms:created>
  <dcterms:modified xsi:type="dcterms:W3CDTF">2026-03-02T12:48:00Z</dcterms:modified>
</cp:coreProperties>
</file>