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A18A" w14:textId="77777777" w:rsidR="004E1EAB" w:rsidRDefault="004E1EAB" w:rsidP="004E1EAB">
      <w:pPr>
        <w:spacing w:line="362" w:lineRule="exact"/>
        <w:ind w:left="854" w:right="3"/>
        <w:rPr>
          <w:b/>
          <w:bCs/>
          <w:sz w:val="32"/>
          <w:szCs w:val="32"/>
        </w:rPr>
      </w:pPr>
    </w:p>
    <w:p w14:paraId="5BDF495F" w14:textId="34BC7FB0" w:rsidR="00187C2D" w:rsidRPr="00E00DBE" w:rsidRDefault="000C2A31" w:rsidP="004E1EAB">
      <w:pPr>
        <w:spacing w:line="362" w:lineRule="exact"/>
        <w:ind w:left="854" w:right="3"/>
        <w:jc w:val="center"/>
        <w:rPr>
          <w:sz w:val="36"/>
          <w:szCs w:val="36"/>
        </w:rPr>
      </w:pPr>
      <w:r w:rsidRPr="00E00DBE">
        <w:rPr>
          <w:b/>
          <w:bCs/>
          <w:sz w:val="36"/>
          <w:szCs w:val="36"/>
        </w:rPr>
        <w:t>Analyzing The Impact of Programme Outcome Performance on Adjustments in Continuous Assessment Scores in Water and Wastewater Engineering Course</w:t>
      </w:r>
    </w:p>
    <w:p w14:paraId="200E9A4E" w14:textId="77777777" w:rsidR="00187C2D" w:rsidRDefault="00187C2D">
      <w:pPr>
        <w:pStyle w:val="BodyText"/>
        <w:spacing w:before="1"/>
        <w:ind w:left="0"/>
        <w:jc w:val="left"/>
        <w:rPr>
          <w:sz w:val="32"/>
        </w:rPr>
      </w:pPr>
    </w:p>
    <w:p w14:paraId="6B425F2D" w14:textId="0069B341" w:rsidR="00187C2D" w:rsidRPr="00621CB1" w:rsidRDefault="000C2A31">
      <w:pPr>
        <w:pStyle w:val="Heading1"/>
        <w:spacing w:line="279" w:lineRule="exact"/>
        <w:rPr>
          <w:position w:val="8"/>
          <w:sz w:val="16"/>
          <w:vertAlign w:val="superscript"/>
        </w:rPr>
      </w:pPr>
      <w:r w:rsidRPr="000C2A31">
        <w:t/>
      </w:r>
      <w:r w:rsidRPr="000C2A31">
        <w:rPr>
          <w:vertAlign w:val="superscript"/>
        </w:rPr>
        <w:t/>
      </w:r>
      <w:r w:rsidRPr="000C2A31">
        <w:t/>
      </w:r>
      <w:r w:rsidR="00621CB1">
        <w:t/>
      </w:r>
      <w:r w:rsidRPr="000C2A31">
        <w:t xml:space="preserve"/>
      </w:r>
      <w:r w:rsidRPr="000C2A31">
        <w:rPr>
          <w:vertAlign w:val="superscript"/>
        </w:rPr>
        <w:t/>
      </w:r>
      <w:r w:rsidR="00621CB1">
        <w:t xml:space="preserve"/>
      </w:r>
      <w:r w:rsidR="00621CB1">
        <w:rPr>
          <w:vertAlign w:val="superscript"/>
        </w:rPr>
        <w:t/>
      </w:r>
    </w:p>
    <w:p w14:paraId="6C4A2E11" w14:textId="5BE17588" w:rsidR="00187C2D" w:rsidRDefault="00187C2D">
      <w:pPr>
        <w:pStyle w:val="Heading2"/>
        <w:spacing w:line="274" w:lineRule="exact"/>
        <w:ind w:left="1518" w:right="666"/>
        <w:jc w:val="center"/>
      </w:pPr>
    </w:p>
    <w:p w14:paraId="74D63197" w14:textId="594C8758" w:rsidR="000C2A31" w:rsidRPr="00E00DBE" w:rsidRDefault="00000000" w:rsidP="000C2A31">
      <w:pPr>
        <w:pStyle w:val="BodyText"/>
        <w:spacing w:before="2"/>
        <w:ind w:left="1736" w:right="886" w:firstLine="3"/>
        <w:jc w:val="center"/>
        <w:rPr>
          <w:b/>
          <w:bCs/>
          <w:sz w:val="24"/>
          <w:szCs w:val="24"/>
        </w:rPr>
      </w:pPr>
      <w:r w:rsidRPr="00E00DBE">
        <w:rPr>
          <w:b/>
          <w:bCs/>
          <w:sz w:val="24"/>
          <w:szCs w:val="24"/>
          <w:vertAlign w:val="superscript"/>
        </w:rPr>
        <w:t/>
      </w:r>
      <w:r w:rsidR="000C2A31" w:rsidRPr="00E00DBE">
        <w:rPr>
          <w:b/>
          <w:bCs/>
          <w:sz w:val="24"/>
          <w:szCs w:val="24"/>
          <w:vertAlign w:val="superscript"/>
        </w:rPr>
        <w:t/>
      </w:r>
      <w:r w:rsidR="00621CB1">
        <w:rPr>
          <w:b/>
          <w:bCs/>
          <w:sz w:val="24"/>
          <w:szCs w:val="24"/>
          <w:vertAlign w:val="superscript"/>
        </w:rPr>
        <w:t/>
      </w:r>
      <w:r w:rsidR="000C2A31" w:rsidRPr="00E00DBE">
        <w:rPr>
          <w:b/>
          <w:bCs/>
          <w:sz w:val="24"/>
          <w:szCs w:val="24"/>
        </w:rPr>
        <w:t/>
      </w:r>
    </w:p>
    <w:p w14:paraId="2ED58079" w14:textId="02395AFC" w:rsidR="00187C2D" w:rsidRDefault="00000000" w:rsidP="000C2A31">
      <w:pPr>
        <w:pStyle w:val="BodyText"/>
        <w:ind w:left="1516" w:right="666"/>
        <w:jc w:val="center"/>
      </w:pPr>
      <w:r>
        <w:t xml:space="preserve"> </w:t>
      </w:r>
    </w:p>
    <w:p w14:paraId="4FAE6BD6" w14:textId="0F83E44F" w:rsidR="00187C2D" w:rsidRPr="00E00DBE" w:rsidRDefault="00000000">
      <w:pPr>
        <w:pStyle w:val="BodyText"/>
        <w:spacing w:line="252" w:lineRule="exact"/>
        <w:ind w:left="854" w:right="4"/>
        <w:jc w:val="center"/>
        <w:rPr>
          <w:b/>
          <w:bCs/>
          <w:sz w:val="24"/>
          <w:szCs w:val="24"/>
        </w:rPr>
      </w:pPr>
      <w:r w:rsidRPr="00E00DBE">
        <w:rPr>
          <w:b/>
          <w:bCs/>
          <w:sz w:val="24"/>
          <w:szCs w:val="24"/>
        </w:rPr>
        <w:t/>
      </w:r>
      <w:r w:rsidRPr="00E00DBE">
        <w:rPr>
          <w:b/>
          <w:bCs/>
          <w:spacing w:val="-10"/>
          <w:sz w:val="24"/>
          <w:szCs w:val="24"/>
        </w:rPr>
        <w:t xml:space="preserve"/>
      </w:r>
      <w:r w:rsidR="000C2A31" w:rsidRPr="00E00DBE">
        <w:rPr>
          <w:b/>
          <w:bCs/>
          <w:sz w:val="24"/>
          <w:szCs w:val="24"/>
        </w:rPr>
        <w:t/>
      </w:r>
    </w:p>
    <w:p w14:paraId="716BCE53" w14:textId="77777777" w:rsidR="00187C2D" w:rsidRDefault="00187C2D">
      <w:pPr>
        <w:pStyle w:val="BodyText"/>
        <w:ind w:left="0"/>
        <w:jc w:val="left"/>
      </w:pPr>
    </w:p>
    <w:p w14:paraId="4FD74155" w14:textId="77777777" w:rsidR="00187C2D" w:rsidRDefault="00187C2D">
      <w:pPr>
        <w:pStyle w:val="BodyText"/>
        <w:spacing w:before="1"/>
        <w:ind w:left="0"/>
        <w:jc w:val="left"/>
      </w:pPr>
    </w:p>
    <w:p w14:paraId="59696885" w14:textId="7CEAF9D7" w:rsidR="00187C2D" w:rsidRDefault="00187C2D">
      <w:pPr>
        <w:spacing w:before="3"/>
        <w:ind w:left="874"/>
        <w:jc w:val="both"/>
        <w:rPr>
          <w:b/>
          <w:sz w:val="20"/>
        </w:rPr>
      </w:pPr>
    </w:p>
    <w:p w14:paraId="3BDB8CC9" w14:textId="2E6D071D" w:rsidR="00187C2D" w:rsidRDefault="00E00DBE">
      <w:pPr>
        <w:pStyle w:val="Heading1"/>
        <w:spacing w:before="229"/>
        <w:ind w:left="874"/>
        <w:jc w:val="both"/>
        <w:rPr>
          <w:spacing w:val="-2"/>
          <w:sz w:val="28"/>
          <w:szCs w:val="28"/>
        </w:rPr>
      </w:pPr>
      <w:r w:rsidRPr="00E00DBE">
        <w:rPr>
          <w:sz w:val="28"/>
          <w:szCs w:val="28"/>
        </w:rPr>
        <w:t>ABSTRACT</w:t>
      </w:r>
      <w:r w:rsidRPr="00E00DBE">
        <w:rPr>
          <w:spacing w:val="-2"/>
          <w:sz w:val="28"/>
          <w:szCs w:val="28"/>
        </w:rPr>
        <w:t xml:space="preserve"> </w:t>
      </w:r>
    </w:p>
    <w:p w14:paraId="140DC840" w14:textId="77777777" w:rsidR="00014C36" w:rsidRPr="00014C36" w:rsidRDefault="00014C36">
      <w:pPr>
        <w:pStyle w:val="Heading1"/>
        <w:spacing w:before="229"/>
        <w:ind w:left="874"/>
        <w:jc w:val="both"/>
      </w:pPr>
    </w:p>
    <w:p w14:paraId="70B4C605" w14:textId="195A68BF" w:rsidR="00187C2D" w:rsidRPr="00E00DBE" w:rsidRDefault="00766F82" w:rsidP="000E7A0F">
      <w:pPr>
        <w:pStyle w:val="BodyText"/>
        <w:spacing w:before="273"/>
        <w:ind w:left="851" w:right="659"/>
        <w:rPr>
          <w:spacing w:val="-4"/>
          <w:sz w:val="24"/>
          <w:szCs w:val="24"/>
          <w:lang w:val="en-MY"/>
        </w:rPr>
      </w:pPr>
      <w:r w:rsidRPr="00E00DBE">
        <w:rPr>
          <w:spacing w:val="-4"/>
          <w:sz w:val="24"/>
          <w:szCs w:val="24"/>
          <w:lang w:val="en-MY"/>
        </w:rPr>
        <w:t>Programme Outcomes (POs) serve as a standard for assessing the effectiveness of engineering education, particularly in outcome-based education (OBE) frameworks</w:t>
      </w:r>
      <w:r w:rsidR="007B6B05" w:rsidRPr="00E00DBE">
        <w:rPr>
          <w:spacing w:val="-4"/>
          <w:sz w:val="24"/>
          <w:szCs w:val="24"/>
          <w:lang w:val="en-MY"/>
        </w:rPr>
        <w:t xml:space="preserve"> (Amirtharaj et al</w:t>
      </w:r>
      <w:r w:rsidRPr="00E00DBE">
        <w:rPr>
          <w:spacing w:val="-4"/>
          <w:sz w:val="24"/>
          <w:szCs w:val="24"/>
          <w:lang w:val="en-MY"/>
        </w:rPr>
        <w:t>.</w:t>
      </w:r>
      <w:r w:rsidR="007B6B05" w:rsidRPr="00E00DBE">
        <w:rPr>
          <w:spacing w:val="-4"/>
          <w:sz w:val="24"/>
          <w:szCs w:val="24"/>
          <w:lang w:val="en-MY"/>
        </w:rPr>
        <w:t>, 2022)</w:t>
      </w:r>
      <w:r w:rsidRPr="00E00DBE">
        <w:rPr>
          <w:spacing w:val="-4"/>
          <w:sz w:val="24"/>
          <w:szCs w:val="24"/>
          <w:lang w:val="en-MY"/>
        </w:rPr>
        <w:t xml:space="preserve"> Continuous assessment serves as a vital component of engineering education, enabling instructors to monitor student learning, provide timely feedback, and encourage consistent engagement with course materials. In courses such as Water and Wastewater Engineering, CA often includes diverse elements such as test and assignments. This study investigates the relationship between the achievement of the Programme Outcomes and the adjustments made to the Continuous Assessment (CA) scores for this course. The selected POs performance involved in this research are PO3 and PO7. PO3 represent the design and development of solutions that covers in the test and final exam while PO7 characterize the understanding and evaluating the sustainability and impact of engineering that covers in the assignment. With the adjustments of the continuous assessment scores, a quantitative study is being made to determine whether such changes make an impact in the POs performance. The findings indicate a significant change in the POs performance for both POs involved in this course. Both POs shows an increment in the percentage which are for PO3 32% while for PO7 is 12%. The failure rate of students also displays a significant reduction which is from 24% to 0.5%.</w:t>
      </w:r>
    </w:p>
    <w:p w14:paraId="2F9AB37E" w14:textId="77777777" w:rsidR="00766F82" w:rsidRPr="00E00DBE" w:rsidRDefault="00000000" w:rsidP="00766F82">
      <w:pPr>
        <w:spacing w:before="207"/>
        <w:ind w:left="874"/>
        <w:jc w:val="both"/>
        <w:rPr>
          <w:sz w:val="24"/>
          <w:szCs w:val="24"/>
          <w:lang w:val="en-MY"/>
        </w:rPr>
      </w:pPr>
      <w:r w:rsidRPr="00E00DBE">
        <w:rPr>
          <w:b/>
          <w:sz w:val="24"/>
          <w:szCs w:val="24"/>
        </w:rPr>
        <w:t>Keywords:</w:t>
      </w:r>
      <w:r w:rsidRPr="00E00DBE">
        <w:rPr>
          <w:b/>
          <w:spacing w:val="-6"/>
          <w:sz w:val="24"/>
          <w:szCs w:val="24"/>
        </w:rPr>
        <w:t xml:space="preserve"> </w:t>
      </w:r>
      <w:r w:rsidR="00766F82" w:rsidRPr="00E00DBE">
        <w:rPr>
          <w:sz w:val="24"/>
          <w:szCs w:val="24"/>
          <w:lang w:val="en-MY"/>
        </w:rPr>
        <w:t>continuous assessment, outcome-based education, programme outcomes, Water and Wastewater Engineering</w:t>
      </w:r>
    </w:p>
    <w:p w14:paraId="26A43342" w14:textId="58627BC0" w:rsidR="00187C2D" w:rsidRPr="00E00DBE" w:rsidRDefault="00187C2D" w:rsidP="00766F82">
      <w:pPr>
        <w:spacing w:before="6"/>
        <w:jc w:val="both"/>
        <w:rPr>
          <w:sz w:val="24"/>
          <w:szCs w:val="24"/>
        </w:rPr>
      </w:pPr>
    </w:p>
    <w:p w14:paraId="523C20B3" w14:textId="77777777" w:rsidR="00D72446" w:rsidRPr="00E00DBE" w:rsidRDefault="00D72446" w:rsidP="00766F82">
      <w:pPr>
        <w:spacing w:before="6"/>
        <w:jc w:val="both"/>
        <w:rPr>
          <w:b/>
          <w:sz w:val="24"/>
          <w:szCs w:val="24"/>
        </w:rPr>
      </w:pPr>
    </w:p>
    <w:p w14:paraId="1CC04D09" w14:textId="77777777" w:rsidR="00A94FFE" w:rsidRDefault="00A94FFE" w:rsidP="00766F82">
      <w:pPr>
        <w:spacing w:before="6"/>
        <w:jc w:val="both"/>
        <w:rPr>
          <w:b/>
          <w:sz w:val="24"/>
          <w:szCs w:val="24"/>
        </w:rPr>
      </w:pPr>
    </w:p>
    <w:p w14:paraId="748C0C17" w14:textId="77777777" w:rsidR="00E00DBE" w:rsidRDefault="00E00DBE" w:rsidP="00766F82">
      <w:pPr>
        <w:spacing w:before="6"/>
        <w:jc w:val="both"/>
        <w:rPr>
          <w:b/>
          <w:sz w:val="24"/>
          <w:szCs w:val="24"/>
        </w:rPr>
      </w:pPr>
    </w:p>
    <w:p w14:paraId="3B495C2A" w14:textId="77777777" w:rsidR="00E00DBE" w:rsidRDefault="00E00DBE" w:rsidP="00766F82">
      <w:pPr>
        <w:spacing w:before="6"/>
        <w:jc w:val="both"/>
        <w:rPr>
          <w:b/>
          <w:sz w:val="24"/>
          <w:szCs w:val="24"/>
        </w:rPr>
      </w:pPr>
    </w:p>
    <w:p w14:paraId="1F64BC26" w14:textId="77777777" w:rsidR="00E00DBE" w:rsidRDefault="00E00DBE" w:rsidP="00766F82">
      <w:pPr>
        <w:spacing w:before="6"/>
        <w:jc w:val="both"/>
        <w:rPr>
          <w:b/>
          <w:sz w:val="24"/>
          <w:szCs w:val="24"/>
        </w:rPr>
      </w:pPr>
    </w:p>
    <w:p w14:paraId="75FDF96F" w14:textId="77777777" w:rsidR="00E00DBE" w:rsidRDefault="00E00DBE" w:rsidP="00766F82">
      <w:pPr>
        <w:spacing w:before="6"/>
        <w:jc w:val="both"/>
        <w:rPr>
          <w:b/>
          <w:sz w:val="24"/>
          <w:szCs w:val="24"/>
        </w:rPr>
      </w:pPr>
    </w:p>
    <w:p w14:paraId="485F1A15" w14:textId="77777777" w:rsidR="00E00DBE" w:rsidRDefault="00E00DBE" w:rsidP="00766F82">
      <w:pPr>
        <w:spacing w:before="6"/>
        <w:jc w:val="both"/>
        <w:rPr>
          <w:b/>
          <w:sz w:val="24"/>
          <w:szCs w:val="24"/>
        </w:rPr>
      </w:pPr>
    </w:p>
    <w:p w14:paraId="3D66C89F" w14:textId="77777777" w:rsidR="00E00DBE" w:rsidRDefault="00E00DBE" w:rsidP="00766F82">
      <w:pPr>
        <w:spacing w:before="6"/>
        <w:jc w:val="both"/>
        <w:rPr>
          <w:b/>
          <w:sz w:val="24"/>
          <w:szCs w:val="24"/>
        </w:rPr>
      </w:pPr>
    </w:p>
    <w:p w14:paraId="37FE6C70" w14:textId="77777777" w:rsidR="00E00DBE" w:rsidRDefault="00E00DBE" w:rsidP="00766F82">
      <w:pPr>
        <w:spacing w:before="6"/>
        <w:jc w:val="both"/>
        <w:rPr>
          <w:b/>
          <w:sz w:val="24"/>
          <w:szCs w:val="24"/>
        </w:rPr>
      </w:pPr>
    </w:p>
    <w:p w14:paraId="3A6A1E7C" w14:textId="77777777" w:rsidR="00E00DBE" w:rsidRDefault="00E00DBE" w:rsidP="00766F82">
      <w:pPr>
        <w:spacing w:before="6"/>
        <w:jc w:val="both"/>
        <w:rPr>
          <w:b/>
          <w:sz w:val="24"/>
          <w:szCs w:val="24"/>
        </w:rPr>
      </w:pPr>
    </w:p>
    <w:p w14:paraId="360989C9" w14:textId="77777777" w:rsidR="00E00DBE" w:rsidRDefault="00E00DBE" w:rsidP="00766F82">
      <w:pPr>
        <w:spacing w:before="6"/>
        <w:jc w:val="both"/>
        <w:rPr>
          <w:b/>
          <w:sz w:val="24"/>
          <w:szCs w:val="24"/>
        </w:rPr>
      </w:pPr>
    </w:p>
    <w:p w14:paraId="09275381" w14:textId="77777777" w:rsidR="00E00DBE" w:rsidRPr="00E00DBE" w:rsidRDefault="00E00DBE" w:rsidP="00766F82">
      <w:pPr>
        <w:spacing w:before="6"/>
        <w:jc w:val="both"/>
        <w:rPr>
          <w:b/>
          <w:sz w:val="24"/>
          <w:szCs w:val="24"/>
        </w:rPr>
      </w:pPr>
    </w:p>
    <w:p w14:paraId="1CB0F518" w14:textId="310C776E" w:rsidR="00014C36" w:rsidRDefault="00000000" w:rsidP="00014C36">
      <w:pPr>
        <w:spacing w:before="224"/>
        <w:ind w:left="874" w:right="3618"/>
        <w:jc w:val="both"/>
        <w:rPr>
          <w:b/>
          <w:spacing w:val="-8"/>
          <w:sz w:val="28"/>
          <w:szCs w:val="28"/>
        </w:rPr>
      </w:pPr>
      <w:r w:rsidRPr="00E00DBE">
        <w:rPr>
          <w:b/>
          <w:sz w:val="28"/>
          <w:szCs w:val="28"/>
        </w:rPr>
        <w:lastRenderedPageBreak/>
        <w:t>INTRODUCTION</w:t>
      </w:r>
      <w:r w:rsidRPr="00E00DBE">
        <w:rPr>
          <w:b/>
          <w:spacing w:val="-8"/>
          <w:sz w:val="28"/>
          <w:szCs w:val="28"/>
        </w:rPr>
        <w:t xml:space="preserve"> </w:t>
      </w:r>
    </w:p>
    <w:p w14:paraId="4E9A3FB4" w14:textId="77777777" w:rsidR="00014C36" w:rsidRPr="00014C36" w:rsidRDefault="00014C36" w:rsidP="00014C36">
      <w:pPr>
        <w:spacing w:before="224"/>
        <w:ind w:left="874" w:right="3618"/>
        <w:jc w:val="both"/>
        <w:rPr>
          <w:b/>
          <w:spacing w:val="-8"/>
          <w:sz w:val="24"/>
          <w:szCs w:val="24"/>
        </w:rPr>
      </w:pPr>
    </w:p>
    <w:p w14:paraId="7B4800D4" w14:textId="77777777" w:rsidR="004E1EAB" w:rsidRPr="00E00DBE" w:rsidRDefault="004E1EAB" w:rsidP="00A94FFE">
      <w:pPr>
        <w:ind w:left="874" w:right="3618"/>
        <w:jc w:val="both"/>
        <w:rPr>
          <w:color w:val="FF0000"/>
          <w:sz w:val="24"/>
          <w:szCs w:val="24"/>
        </w:rPr>
      </w:pPr>
    </w:p>
    <w:p w14:paraId="14970B2B" w14:textId="06AE0A8E" w:rsidR="00766F82" w:rsidRPr="00E00DBE" w:rsidRDefault="00766F82" w:rsidP="00D32AE3">
      <w:pPr>
        <w:pStyle w:val="BodyText"/>
        <w:ind w:right="14" w:firstLine="566"/>
        <w:rPr>
          <w:b/>
          <w:sz w:val="24"/>
          <w:szCs w:val="24"/>
          <w:lang w:val="en-MY"/>
        </w:rPr>
      </w:pPr>
      <w:r w:rsidRPr="00E00DBE">
        <w:rPr>
          <w:sz w:val="24"/>
          <w:szCs w:val="24"/>
          <w:lang w:val="en-MY"/>
        </w:rPr>
        <w:t xml:space="preserve">Outcome-Based Education (OBE) has become a central framework in engineering education worldwide, emphasizing the achievement of predefined Programme Outcomes (POs) over traditional input-based metrics (Spady, 1994; ABET, 2022). </w:t>
      </w:r>
      <w:r w:rsidR="004270BC" w:rsidRPr="00E00DBE">
        <w:rPr>
          <w:sz w:val="24"/>
          <w:szCs w:val="24"/>
          <w:lang w:val="en-MY"/>
        </w:rPr>
        <w:t xml:space="preserve">OBE </w:t>
      </w:r>
      <w:r w:rsidR="004270BC" w:rsidRPr="00E00DBE">
        <w:rPr>
          <w:sz w:val="24"/>
          <w:szCs w:val="24"/>
        </w:rPr>
        <w:t>emphasis on the development of students potential and soft skills, aiming to produce graduates who possess not only a solid foundation in engineering but also knowledge of engineering technologies and practices.</w:t>
      </w:r>
      <w:r w:rsidR="00060590" w:rsidRPr="00E00DBE">
        <w:rPr>
          <w:sz w:val="24"/>
          <w:szCs w:val="24"/>
        </w:rPr>
        <w:t xml:space="preserve"> Moreover, OBE enhances student learning  </w:t>
      </w:r>
      <w:r w:rsidR="00D72446" w:rsidRPr="00E00DBE">
        <w:rPr>
          <w:sz w:val="24"/>
          <w:szCs w:val="24"/>
        </w:rPr>
        <w:t xml:space="preserve"> outcomes, fosters</w:t>
      </w:r>
      <w:r w:rsidR="00060590" w:rsidRPr="00E00DBE">
        <w:rPr>
          <w:sz w:val="24"/>
          <w:szCs w:val="24"/>
        </w:rPr>
        <w:t xml:space="preserve">   continuous   quality   </w:t>
      </w:r>
      <w:r w:rsidR="00D72446" w:rsidRPr="00E00DBE">
        <w:rPr>
          <w:sz w:val="24"/>
          <w:szCs w:val="24"/>
        </w:rPr>
        <w:t>improvement, and</w:t>
      </w:r>
      <w:r w:rsidR="00060590" w:rsidRPr="00E00DBE">
        <w:rPr>
          <w:sz w:val="24"/>
          <w:szCs w:val="24"/>
        </w:rPr>
        <w:t xml:space="preserve">   contributes   to   the </w:t>
      </w:r>
      <w:r w:rsidR="00D72446" w:rsidRPr="00E00DBE">
        <w:rPr>
          <w:sz w:val="24"/>
          <w:szCs w:val="24"/>
        </w:rPr>
        <w:t>sustainability of academic</w:t>
      </w:r>
      <w:r w:rsidR="00060590" w:rsidRPr="00E00DBE">
        <w:rPr>
          <w:sz w:val="24"/>
          <w:szCs w:val="24"/>
        </w:rPr>
        <w:t xml:space="preserve"> programs by ensuring that they remain relevant and effective (Hamsan et al., 2021; Qadir et al., 2020).</w:t>
      </w:r>
      <w:r w:rsidR="004270BC" w:rsidRPr="00E00DBE">
        <w:rPr>
          <w:sz w:val="24"/>
          <w:szCs w:val="24"/>
        </w:rPr>
        <w:t xml:space="preserve"> As a result, graduates are better equipped to respond responsibly to changes in their surroundings, including social, environmental, and community related developments </w:t>
      </w:r>
      <w:r w:rsidR="004270BC" w:rsidRPr="00E00DBE">
        <w:rPr>
          <w:sz w:val="24"/>
          <w:szCs w:val="24"/>
          <w:lang w:val="en-MY"/>
        </w:rPr>
        <w:t>(Embi 2010; Nor et al., 2005; Heywood, 1997; Palmer et al., 2008)</w:t>
      </w:r>
      <w:r w:rsidR="004270BC" w:rsidRPr="00E00DBE">
        <w:rPr>
          <w:sz w:val="24"/>
          <w:szCs w:val="24"/>
        </w:rPr>
        <w:t>.</w:t>
      </w:r>
      <w:r w:rsidRPr="00E00DBE">
        <w:rPr>
          <w:sz w:val="24"/>
          <w:szCs w:val="24"/>
          <w:lang w:val="en-MY"/>
        </w:rPr>
        <w:t>In Malaysia and many other countries adopting OBE, engineering programmes are rigorously evaluated based on how well students demonstrate competence across a range of POs including problem</w:t>
      </w:r>
      <w:r w:rsidR="004270BC" w:rsidRPr="00E00DBE">
        <w:rPr>
          <w:sz w:val="24"/>
          <w:szCs w:val="24"/>
          <w:lang w:val="en-MY"/>
        </w:rPr>
        <w:t xml:space="preserve"> </w:t>
      </w:r>
      <w:r w:rsidRPr="00E00DBE">
        <w:rPr>
          <w:sz w:val="24"/>
          <w:szCs w:val="24"/>
          <w:lang w:val="en-MY"/>
        </w:rPr>
        <w:t>solving, design skills, communication, and ethical responsibility as outlined by bodies such as the Engineering Accreditation Council (EAC, 2020).</w:t>
      </w:r>
    </w:p>
    <w:p w14:paraId="0E02AA03" w14:textId="77777777" w:rsidR="006A453E" w:rsidRPr="00E00DBE" w:rsidRDefault="006A453E" w:rsidP="006A453E">
      <w:pPr>
        <w:pStyle w:val="BodyText"/>
        <w:ind w:left="851" w:right="14" w:firstLine="589"/>
        <w:rPr>
          <w:sz w:val="24"/>
          <w:szCs w:val="24"/>
          <w:lang w:val="en-MY"/>
        </w:rPr>
      </w:pPr>
      <w:r w:rsidRPr="00E00DBE">
        <w:rPr>
          <w:sz w:val="24"/>
          <w:szCs w:val="24"/>
          <w:lang w:val="en-MY"/>
        </w:rPr>
        <w:t>Within this framework, Continuous Assessment (CA) plays a pivotal role in measuring and supporting student learning throughout a course. CA typically includes assignments, quizzes, laboratory work, and other formative activities, has been recognized as an effective means of promoting active learning, diagnosing student difficulties early, and fostering consistent academic engagement (Boud &amp; Falchikov, 2007; Yorke, 2003). In technical fields such as civil and environmental engineering, CA is especially important as it reflects not only knowledge acquisition but also the application of complex design principles and problem-solving skills.</w:t>
      </w:r>
    </w:p>
    <w:p w14:paraId="01E2D86D" w14:textId="547C42C6" w:rsidR="006A453E" w:rsidRPr="00E00DBE" w:rsidRDefault="006A453E" w:rsidP="006A453E">
      <w:pPr>
        <w:pStyle w:val="BodyText"/>
        <w:ind w:right="14" w:firstLine="719"/>
        <w:rPr>
          <w:sz w:val="24"/>
          <w:szCs w:val="24"/>
          <w:lang w:val="en-MY"/>
        </w:rPr>
      </w:pPr>
      <w:r w:rsidRPr="00E00DBE">
        <w:rPr>
          <w:sz w:val="24"/>
          <w:szCs w:val="24"/>
          <w:lang w:val="en-MY"/>
        </w:rPr>
        <w:t>However, challenges arise when student performance in CAs does not align with expected PO achievement levels</w:t>
      </w:r>
      <w:r w:rsidR="00532146" w:rsidRPr="00E00DBE">
        <w:rPr>
          <w:sz w:val="24"/>
          <w:szCs w:val="24"/>
          <w:lang w:val="en-MY"/>
        </w:rPr>
        <w:t xml:space="preserve"> (David, 2025)</w:t>
      </w:r>
      <w:r w:rsidRPr="00E00DBE">
        <w:rPr>
          <w:sz w:val="24"/>
          <w:szCs w:val="24"/>
          <w:lang w:val="en-MY"/>
        </w:rPr>
        <w:t>. In such cases, resource persons or programme coordinators may adjust CA scores to better reflect or meet PO attainment targets. While adjustments are sometimes justified due to external factors for examples the difficulty of assessment tasks and grading inconsistencies. Those factors may also obscure actual learning gaps if not supported by robust analysis.</w:t>
      </w:r>
    </w:p>
    <w:p w14:paraId="76958C16" w14:textId="77777777" w:rsidR="006A453E" w:rsidRPr="00E00DBE" w:rsidRDefault="006A453E" w:rsidP="006A453E">
      <w:pPr>
        <w:pStyle w:val="BodyText"/>
        <w:ind w:right="14" w:firstLine="719"/>
        <w:rPr>
          <w:sz w:val="24"/>
          <w:szCs w:val="24"/>
          <w:lang w:val="en-MY"/>
        </w:rPr>
      </w:pPr>
      <w:r w:rsidRPr="00E00DBE">
        <w:rPr>
          <w:sz w:val="24"/>
          <w:szCs w:val="24"/>
          <w:lang w:val="en-MY"/>
        </w:rPr>
        <w:t xml:space="preserve">This study focuses on a final year course Water and Wastewater Engineering which integrates several critical POs such as PO3 which is the design or development of Solutions and PO7 which is the environment and sustainability. These outcomes are assessed through both formative and summative methods, yet past course reviews have noted recurring discrepancies between PO attainment and raw CA scores. </w:t>
      </w:r>
    </w:p>
    <w:p w14:paraId="622C1490" w14:textId="5119B847" w:rsidR="006A453E" w:rsidRPr="00E00DBE" w:rsidRDefault="006A453E" w:rsidP="006A453E">
      <w:pPr>
        <w:pStyle w:val="BodyText"/>
        <w:ind w:right="14" w:firstLine="719"/>
        <w:rPr>
          <w:sz w:val="24"/>
          <w:szCs w:val="24"/>
          <w:lang w:val="en-MY"/>
        </w:rPr>
      </w:pPr>
      <w:r w:rsidRPr="00E00DBE">
        <w:rPr>
          <w:sz w:val="24"/>
          <w:szCs w:val="24"/>
          <w:lang w:val="en-MY"/>
        </w:rPr>
        <w:t>The primary objective of this research aims to systematically evaluate the impact of PO performance on the CA score adjustments. Through quantitative analysis of student performance data over multiple semesters, the study aims to assess the patterns in PO performance relative to CA adjustments and determine the relationship between raw and adjusted CA scores and final exam outcomes.</w:t>
      </w:r>
    </w:p>
    <w:p w14:paraId="31050EC6" w14:textId="77777777" w:rsidR="006A453E" w:rsidRPr="00E00DBE" w:rsidRDefault="006A453E" w:rsidP="005B4F81">
      <w:pPr>
        <w:spacing w:before="224"/>
        <w:ind w:right="3618"/>
        <w:jc w:val="both"/>
        <w:rPr>
          <w:sz w:val="24"/>
          <w:szCs w:val="24"/>
          <w:lang w:val="en-MY"/>
        </w:rPr>
      </w:pPr>
    </w:p>
    <w:p w14:paraId="7CA6FC1B" w14:textId="77777777" w:rsidR="00060590" w:rsidRPr="00E00DBE" w:rsidRDefault="00060590" w:rsidP="005B4F81">
      <w:pPr>
        <w:spacing w:before="224"/>
        <w:ind w:right="3618"/>
        <w:jc w:val="both"/>
        <w:rPr>
          <w:sz w:val="24"/>
          <w:szCs w:val="24"/>
          <w:lang w:val="en-MY"/>
        </w:rPr>
      </w:pPr>
    </w:p>
    <w:p w14:paraId="60298A90" w14:textId="77777777" w:rsidR="00060590" w:rsidRDefault="00060590" w:rsidP="005B4F81">
      <w:pPr>
        <w:spacing w:before="224"/>
        <w:ind w:right="3618"/>
        <w:jc w:val="both"/>
        <w:rPr>
          <w:lang w:val="en-MY"/>
        </w:rPr>
      </w:pPr>
    </w:p>
    <w:p w14:paraId="3411BF1C" w14:textId="77777777" w:rsidR="00014C36" w:rsidRDefault="00014C36" w:rsidP="005B4F81">
      <w:pPr>
        <w:spacing w:before="224"/>
        <w:ind w:right="3618"/>
        <w:jc w:val="both"/>
        <w:rPr>
          <w:lang w:val="en-MY"/>
        </w:rPr>
      </w:pPr>
    </w:p>
    <w:p w14:paraId="72B3F1E2" w14:textId="77777777" w:rsidR="00014C36" w:rsidRDefault="00014C36" w:rsidP="005B4F81">
      <w:pPr>
        <w:spacing w:before="224"/>
        <w:ind w:right="3618"/>
        <w:jc w:val="both"/>
        <w:rPr>
          <w:lang w:val="en-MY"/>
        </w:rPr>
      </w:pPr>
    </w:p>
    <w:p w14:paraId="6B62A31F" w14:textId="77777777" w:rsidR="000E7A0F" w:rsidRDefault="000E7A0F" w:rsidP="005B4F81">
      <w:pPr>
        <w:spacing w:before="224"/>
        <w:ind w:right="3618"/>
        <w:jc w:val="both"/>
        <w:rPr>
          <w:lang w:val="en-MY"/>
        </w:rPr>
      </w:pPr>
    </w:p>
    <w:p w14:paraId="05C2F00F" w14:textId="77777777" w:rsidR="006D225A" w:rsidRDefault="006D225A" w:rsidP="006D225A">
      <w:pPr>
        <w:ind w:left="854" w:right="3"/>
        <w:jc w:val="right"/>
        <w:rPr>
          <w:i/>
          <w:sz w:val="20"/>
        </w:rPr>
      </w:pPr>
    </w:p>
    <w:p w14:paraId="6FE8916E" w14:textId="29C622D0" w:rsidR="00DE3F6D" w:rsidRPr="00E00DBE" w:rsidRDefault="00DE3F6D" w:rsidP="00DE3F6D">
      <w:pPr>
        <w:tabs>
          <w:tab w:val="left" w:pos="5310"/>
        </w:tabs>
        <w:ind w:left="851"/>
        <w:rPr>
          <w:sz w:val="28"/>
          <w:szCs w:val="28"/>
        </w:rPr>
      </w:pPr>
      <w:r w:rsidRPr="00E00DBE">
        <w:rPr>
          <w:b/>
          <w:sz w:val="28"/>
          <w:szCs w:val="28"/>
        </w:rPr>
        <w:lastRenderedPageBreak/>
        <w:t>METHOD</w:t>
      </w:r>
      <w:r w:rsidR="00D32AE3">
        <w:rPr>
          <w:b/>
          <w:sz w:val="28"/>
          <w:szCs w:val="28"/>
        </w:rPr>
        <w:t>OLOGY</w:t>
      </w:r>
      <w:r w:rsidRPr="00E00DBE">
        <w:rPr>
          <w:b/>
          <w:spacing w:val="-15"/>
          <w:sz w:val="28"/>
          <w:szCs w:val="28"/>
        </w:rPr>
        <w:t xml:space="preserve"> </w:t>
      </w:r>
    </w:p>
    <w:p w14:paraId="01CFF55C" w14:textId="77777777" w:rsidR="00DE3F6D" w:rsidRPr="00DE3F6D" w:rsidRDefault="00DE3F6D" w:rsidP="00A94FFE">
      <w:pPr>
        <w:ind w:right="3618"/>
        <w:jc w:val="both"/>
        <w:rPr>
          <w:lang w:val="en-MY"/>
        </w:rPr>
      </w:pPr>
    </w:p>
    <w:p w14:paraId="22046B05" w14:textId="5976D06A" w:rsidR="00DE3F6D" w:rsidRPr="00014C36" w:rsidRDefault="00DE3F6D" w:rsidP="00DE3F6D">
      <w:pPr>
        <w:pStyle w:val="BodyText"/>
        <w:spacing w:before="2"/>
        <w:ind w:left="851" w:right="23"/>
        <w:rPr>
          <w:b/>
          <w:bCs/>
          <w:sz w:val="24"/>
          <w:szCs w:val="24"/>
          <w:lang w:val="en-MY"/>
        </w:rPr>
      </w:pPr>
      <w:r w:rsidRPr="00014C36">
        <w:rPr>
          <w:b/>
          <w:bCs/>
          <w:sz w:val="24"/>
          <w:szCs w:val="24"/>
          <w:lang w:val="en-MY"/>
        </w:rPr>
        <w:t>Outcome-Based Education (OBE) and Programme Outcomes (POs)</w:t>
      </w:r>
    </w:p>
    <w:p w14:paraId="4F5B7B45" w14:textId="77777777" w:rsidR="006D225A" w:rsidRPr="00DE3F6D" w:rsidRDefault="006D225A" w:rsidP="00DE3F6D">
      <w:pPr>
        <w:pStyle w:val="BodyText"/>
        <w:spacing w:before="2"/>
        <w:ind w:left="851" w:right="23"/>
        <w:rPr>
          <w:lang w:val="en-MY"/>
        </w:rPr>
      </w:pPr>
    </w:p>
    <w:p w14:paraId="5BB447C0" w14:textId="466CAFF9" w:rsidR="00060590" w:rsidRPr="00014C36" w:rsidRDefault="006D225A" w:rsidP="006D225A">
      <w:pPr>
        <w:spacing w:after="120"/>
        <w:jc w:val="center"/>
        <w:rPr>
          <w:rFonts w:asciiTheme="majorBidi" w:hAnsiTheme="majorBidi" w:cstheme="majorBidi"/>
          <w:sz w:val="24"/>
          <w:szCs w:val="24"/>
        </w:rPr>
      </w:pPr>
      <w:r w:rsidRPr="00014C36">
        <w:rPr>
          <w:rFonts w:asciiTheme="majorBidi" w:hAnsiTheme="majorBidi" w:cstheme="majorBidi"/>
          <w:sz w:val="24"/>
          <w:szCs w:val="24"/>
        </w:rPr>
        <w:t>Table 1: Programme Outcomes (POs) according to Washington Accord framework</w:t>
      </w:r>
    </w:p>
    <w:tbl>
      <w:tblPr>
        <w:tblpPr w:leftFromText="180" w:rightFromText="180" w:vertAnchor="text" w:horzAnchor="margin" w:tblpXSpec="center" w:tblpY="83"/>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6785"/>
      </w:tblGrid>
      <w:tr w:rsidR="00D32AE3" w:rsidRPr="006A453E" w14:paraId="75C15F71" w14:textId="77777777" w:rsidTr="00D32AE3">
        <w:trPr>
          <w:trHeight w:val="100"/>
        </w:trPr>
        <w:tc>
          <w:tcPr>
            <w:tcW w:w="1148" w:type="dxa"/>
            <w:tcBorders>
              <w:left w:val="single" w:sz="4" w:space="0" w:color="auto"/>
            </w:tcBorders>
            <w:shd w:val="clear" w:color="auto" w:fill="A6A6A6"/>
          </w:tcPr>
          <w:p w14:paraId="31FE61A5" w14:textId="77777777" w:rsidR="00D32AE3" w:rsidRPr="00D32AE3" w:rsidRDefault="00D32AE3" w:rsidP="00D32AE3">
            <w:pPr>
              <w:pStyle w:val="BodyText"/>
              <w:spacing w:before="2"/>
              <w:ind w:left="-97" w:right="23"/>
              <w:jc w:val="center"/>
              <w:rPr>
                <w:b/>
                <w:sz w:val="24"/>
                <w:szCs w:val="24"/>
                <w:lang w:val="en-MY"/>
              </w:rPr>
            </w:pPr>
            <w:r w:rsidRPr="00D32AE3">
              <w:rPr>
                <w:b/>
                <w:sz w:val="24"/>
                <w:szCs w:val="24"/>
                <w:lang w:val="en-MY"/>
              </w:rPr>
              <w:t>PO</w:t>
            </w:r>
          </w:p>
        </w:tc>
        <w:tc>
          <w:tcPr>
            <w:tcW w:w="6785" w:type="dxa"/>
            <w:tcBorders>
              <w:left w:val="single" w:sz="4" w:space="0" w:color="auto"/>
            </w:tcBorders>
            <w:shd w:val="clear" w:color="auto" w:fill="A6A6A6"/>
            <w:vAlign w:val="center"/>
          </w:tcPr>
          <w:p w14:paraId="06F4BB48" w14:textId="77777777" w:rsidR="00D32AE3" w:rsidRPr="00D32AE3" w:rsidRDefault="00D32AE3" w:rsidP="00D32AE3">
            <w:pPr>
              <w:pStyle w:val="BodyText"/>
              <w:spacing w:before="2"/>
              <w:ind w:left="-97" w:right="23"/>
              <w:jc w:val="center"/>
              <w:rPr>
                <w:b/>
                <w:sz w:val="24"/>
                <w:szCs w:val="24"/>
                <w:lang w:val="en-MY"/>
              </w:rPr>
            </w:pPr>
            <w:r w:rsidRPr="00D32AE3">
              <w:rPr>
                <w:b/>
                <w:sz w:val="24"/>
                <w:szCs w:val="24"/>
                <w:lang w:val="en-MY"/>
              </w:rPr>
              <w:t>PO STATEMENT</w:t>
            </w:r>
          </w:p>
        </w:tc>
      </w:tr>
      <w:tr w:rsidR="00D32AE3" w:rsidRPr="006A453E" w14:paraId="1CE786D2" w14:textId="77777777" w:rsidTr="00D32AE3">
        <w:trPr>
          <w:trHeight w:val="991"/>
        </w:trPr>
        <w:tc>
          <w:tcPr>
            <w:tcW w:w="1148" w:type="dxa"/>
            <w:tcBorders>
              <w:left w:val="single" w:sz="4" w:space="0" w:color="auto"/>
            </w:tcBorders>
          </w:tcPr>
          <w:p w14:paraId="16776B4A" w14:textId="77777777" w:rsidR="00D32AE3" w:rsidRPr="00D32AE3" w:rsidRDefault="00D32AE3" w:rsidP="00D32AE3">
            <w:pPr>
              <w:pStyle w:val="BodyText"/>
              <w:spacing w:before="2"/>
              <w:ind w:left="45" w:right="23"/>
              <w:jc w:val="center"/>
              <w:rPr>
                <w:b/>
                <w:sz w:val="24"/>
                <w:szCs w:val="24"/>
                <w:lang w:val="en-MY"/>
              </w:rPr>
            </w:pPr>
            <w:r w:rsidRPr="00D32AE3">
              <w:rPr>
                <w:b/>
                <w:sz w:val="24"/>
                <w:szCs w:val="24"/>
                <w:lang w:val="en-MY"/>
              </w:rPr>
              <w:t>PO1</w:t>
            </w:r>
          </w:p>
        </w:tc>
        <w:tc>
          <w:tcPr>
            <w:tcW w:w="6785" w:type="dxa"/>
            <w:tcBorders>
              <w:left w:val="single" w:sz="4" w:space="0" w:color="auto"/>
            </w:tcBorders>
            <w:vAlign w:val="center"/>
          </w:tcPr>
          <w:p w14:paraId="7E5BA575" w14:textId="77777777" w:rsidR="00D32AE3" w:rsidRPr="00D32AE3" w:rsidRDefault="00D32AE3" w:rsidP="00D32AE3">
            <w:pPr>
              <w:pStyle w:val="BodyText"/>
              <w:spacing w:before="2"/>
              <w:ind w:left="45" w:right="23"/>
              <w:jc w:val="center"/>
              <w:rPr>
                <w:sz w:val="24"/>
                <w:szCs w:val="24"/>
                <w:lang w:val="en-MY"/>
              </w:rPr>
            </w:pPr>
            <w:r w:rsidRPr="00D32AE3">
              <w:rPr>
                <w:b/>
                <w:sz w:val="24"/>
                <w:szCs w:val="24"/>
                <w:lang w:val="en-MY"/>
              </w:rPr>
              <w:t xml:space="preserve">Knowledge: </w:t>
            </w:r>
            <w:r w:rsidRPr="00D32AE3">
              <w:rPr>
                <w:sz w:val="24"/>
                <w:szCs w:val="24"/>
                <w:lang w:val="en-MY"/>
              </w:rPr>
              <w:t>Apply knowledge of applied mathematics, applied science, engineering fundamentals and an engineering specialisation as specified in DK1 to DK4 respectively to wide practical procedures and practices</w:t>
            </w:r>
          </w:p>
        </w:tc>
      </w:tr>
      <w:tr w:rsidR="00D32AE3" w:rsidRPr="006A453E" w14:paraId="27AEAB8D" w14:textId="77777777" w:rsidTr="00D32AE3">
        <w:trPr>
          <w:trHeight w:val="888"/>
        </w:trPr>
        <w:tc>
          <w:tcPr>
            <w:tcW w:w="1148" w:type="dxa"/>
            <w:tcBorders>
              <w:left w:val="single" w:sz="4" w:space="0" w:color="auto"/>
            </w:tcBorders>
          </w:tcPr>
          <w:p w14:paraId="792BEFF1"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PO2</w:t>
            </w:r>
          </w:p>
        </w:tc>
        <w:tc>
          <w:tcPr>
            <w:tcW w:w="6785" w:type="dxa"/>
            <w:tcBorders>
              <w:left w:val="single" w:sz="4" w:space="0" w:color="auto"/>
            </w:tcBorders>
            <w:vAlign w:val="center"/>
          </w:tcPr>
          <w:p w14:paraId="25A0DF99"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 xml:space="preserve">Problem analysis: </w:t>
            </w:r>
            <w:r w:rsidRPr="00D32AE3">
              <w:rPr>
                <w:sz w:val="24"/>
                <w:szCs w:val="24"/>
                <w:lang w:val="en-MY"/>
              </w:rPr>
              <w:t>Identify and analyse well-defined engineering problems reaching substantiated conclusions using codified methods of analysis specific to their field of activity (DK1 to DK4)</w:t>
            </w:r>
          </w:p>
        </w:tc>
      </w:tr>
      <w:tr w:rsidR="00D32AE3" w:rsidRPr="006A453E" w14:paraId="42EE7C3F" w14:textId="77777777" w:rsidTr="00D32AE3">
        <w:trPr>
          <w:trHeight w:val="974"/>
        </w:trPr>
        <w:tc>
          <w:tcPr>
            <w:tcW w:w="1148" w:type="dxa"/>
            <w:tcBorders>
              <w:left w:val="single" w:sz="4" w:space="0" w:color="auto"/>
            </w:tcBorders>
          </w:tcPr>
          <w:p w14:paraId="72F81830"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PO3</w:t>
            </w:r>
          </w:p>
        </w:tc>
        <w:tc>
          <w:tcPr>
            <w:tcW w:w="6785" w:type="dxa"/>
            <w:tcBorders>
              <w:left w:val="single" w:sz="4" w:space="0" w:color="auto"/>
            </w:tcBorders>
            <w:vAlign w:val="center"/>
          </w:tcPr>
          <w:p w14:paraId="32C4CCB8" w14:textId="77777777" w:rsidR="00D32AE3" w:rsidRPr="00D32AE3" w:rsidRDefault="00D32AE3" w:rsidP="00D32AE3">
            <w:pPr>
              <w:pStyle w:val="BodyText"/>
              <w:spacing w:before="2"/>
              <w:ind w:left="0" w:right="23"/>
              <w:jc w:val="center"/>
              <w:rPr>
                <w:sz w:val="24"/>
                <w:szCs w:val="24"/>
                <w:lang w:val="en-MY"/>
              </w:rPr>
            </w:pPr>
            <w:bookmarkStart w:id="0" w:name="_heading=h.1fob9te" w:colFirst="0" w:colLast="0"/>
            <w:bookmarkEnd w:id="0"/>
            <w:r w:rsidRPr="00D32AE3">
              <w:rPr>
                <w:b/>
                <w:sz w:val="24"/>
                <w:szCs w:val="24"/>
                <w:lang w:val="en-MY"/>
              </w:rPr>
              <w:t xml:space="preserve">Design/development of solutions: </w:t>
            </w:r>
            <w:r w:rsidRPr="00D32AE3">
              <w:rPr>
                <w:sz w:val="24"/>
                <w:szCs w:val="24"/>
                <w:lang w:val="en-MY"/>
              </w:rPr>
              <w:t>Design solutions for well-defined technical problems and assist with the design of systems, components or processes to meet specified needs with appropriate consideration for public health and safety, cultural, societal, and environmental considerations (DK5)</w:t>
            </w:r>
          </w:p>
        </w:tc>
      </w:tr>
      <w:tr w:rsidR="00D32AE3" w:rsidRPr="006A453E" w14:paraId="385F9D5C" w14:textId="77777777" w:rsidTr="00D32AE3">
        <w:trPr>
          <w:trHeight w:val="770"/>
        </w:trPr>
        <w:tc>
          <w:tcPr>
            <w:tcW w:w="1148" w:type="dxa"/>
            <w:tcBorders>
              <w:left w:val="single" w:sz="4" w:space="0" w:color="auto"/>
            </w:tcBorders>
          </w:tcPr>
          <w:p w14:paraId="522148B7"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PO4</w:t>
            </w:r>
          </w:p>
        </w:tc>
        <w:tc>
          <w:tcPr>
            <w:tcW w:w="6785" w:type="dxa"/>
            <w:tcBorders>
              <w:left w:val="single" w:sz="4" w:space="0" w:color="auto"/>
            </w:tcBorders>
            <w:vAlign w:val="center"/>
          </w:tcPr>
          <w:p w14:paraId="61EF676D"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Investigation</w:t>
            </w:r>
            <w:r w:rsidRPr="00D32AE3">
              <w:rPr>
                <w:sz w:val="24"/>
                <w:szCs w:val="24"/>
                <w:lang w:val="en-MY"/>
              </w:rPr>
              <w:t>: Conduct investigations of well-defined problems; locate and search relevant codes and catalogues, conduct standard tests and measurements</w:t>
            </w:r>
          </w:p>
        </w:tc>
      </w:tr>
      <w:tr w:rsidR="00D32AE3" w:rsidRPr="006A453E" w14:paraId="2BA2F7B2" w14:textId="77777777" w:rsidTr="00D32AE3">
        <w:trPr>
          <w:trHeight w:val="863"/>
        </w:trPr>
        <w:tc>
          <w:tcPr>
            <w:tcW w:w="1148" w:type="dxa"/>
            <w:tcBorders>
              <w:left w:val="single" w:sz="4" w:space="0" w:color="auto"/>
            </w:tcBorders>
          </w:tcPr>
          <w:p w14:paraId="4724A751"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PO5</w:t>
            </w:r>
          </w:p>
        </w:tc>
        <w:tc>
          <w:tcPr>
            <w:tcW w:w="6785" w:type="dxa"/>
            <w:tcBorders>
              <w:left w:val="single" w:sz="4" w:space="0" w:color="auto"/>
            </w:tcBorders>
            <w:vAlign w:val="center"/>
          </w:tcPr>
          <w:p w14:paraId="6433A08C"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Modern Tool Usage</w:t>
            </w:r>
            <w:r w:rsidRPr="00D32AE3">
              <w:rPr>
                <w:sz w:val="24"/>
                <w:szCs w:val="24"/>
                <w:lang w:val="en-MY"/>
              </w:rPr>
              <w:t>: Apply appropriate techniques, resources, and modern engineering and IT tools to well-defined engineering problems, with an awareness of the limitations (DK6)</w:t>
            </w:r>
          </w:p>
        </w:tc>
      </w:tr>
      <w:tr w:rsidR="00D32AE3" w:rsidRPr="006A453E" w14:paraId="16FD6336" w14:textId="77777777" w:rsidTr="00D32AE3">
        <w:trPr>
          <w:trHeight w:val="845"/>
        </w:trPr>
        <w:tc>
          <w:tcPr>
            <w:tcW w:w="1148" w:type="dxa"/>
            <w:tcBorders>
              <w:left w:val="single" w:sz="4" w:space="0" w:color="auto"/>
            </w:tcBorders>
          </w:tcPr>
          <w:p w14:paraId="26054387"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PO6</w:t>
            </w:r>
          </w:p>
        </w:tc>
        <w:tc>
          <w:tcPr>
            <w:tcW w:w="6785" w:type="dxa"/>
            <w:tcBorders>
              <w:left w:val="single" w:sz="4" w:space="0" w:color="auto"/>
            </w:tcBorders>
            <w:vAlign w:val="center"/>
          </w:tcPr>
          <w:p w14:paraId="32FC600B"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The Engineer and Society</w:t>
            </w:r>
            <w:r w:rsidRPr="00D32AE3">
              <w:rPr>
                <w:sz w:val="24"/>
                <w:szCs w:val="24"/>
                <w:lang w:val="en-MY"/>
              </w:rPr>
              <w:t>: Demonstrate knowledge of the societal, health, safety, legal and cultural issues and the consequent responsibilities relevant to engineering technician practice and solutions to well-defined engineering problems (DK7)</w:t>
            </w:r>
          </w:p>
        </w:tc>
      </w:tr>
      <w:tr w:rsidR="00D32AE3" w:rsidRPr="006A453E" w14:paraId="55CB63E7" w14:textId="77777777" w:rsidTr="00D32AE3">
        <w:trPr>
          <w:trHeight w:val="845"/>
        </w:trPr>
        <w:tc>
          <w:tcPr>
            <w:tcW w:w="1148" w:type="dxa"/>
            <w:tcBorders>
              <w:left w:val="single" w:sz="4" w:space="0" w:color="auto"/>
            </w:tcBorders>
          </w:tcPr>
          <w:p w14:paraId="11D3C099"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PO7</w:t>
            </w:r>
          </w:p>
        </w:tc>
        <w:tc>
          <w:tcPr>
            <w:tcW w:w="6785" w:type="dxa"/>
            <w:tcBorders>
              <w:left w:val="single" w:sz="4" w:space="0" w:color="auto"/>
            </w:tcBorders>
            <w:vAlign w:val="center"/>
          </w:tcPr>
          <w:p w14:paraId="039066FB" w14:textId="77777777" w:rsidR="00D32AE3" w:rsidRPr="00D32AE3" w:rsidRDefault="00D32AE3" w:rsidP="00D32AE3">
            <w:pPr>
              <w:pStyle w:val="BodyText"/>
              <w:spacing w:before="2"/>
              <w:ind w:left="0" w:right="23"/>
              <w:jc w:val="center"/>
              <w:rPr>
                <w:sz w:val="24"/>
                <w:szCs w:val="24"/>
                <w:lang w:val="en-MY"/>
              </w:rPr>
            </w:pPr>
            <w:bookmarkStart w:id="1" w:name="_heading=h.3znysh7" w:colFirst="0" w:colLast="0"/>
            <w:bookmarkEnd w:id="1"/>
            <w:r w:rsidRPr="00D32AE3">
              <w:rPr>
                <w:b/>
                <w:sz w:val="24"/>
                <w:szCs w:val="24"/>
                <w:lang w:val="en-MY"/>
              </w:rPr>
              <w:t>Environment and Sustainability</w:t>
            </w:r>
            <w:r w:rsidRPr="00D32AE3">
              <w:rPr>
                <w:sz w:val="24"/>
                <w:szCs w:val="24"/>
                <w:lang w:val="en-MY"/>
              </w:rPr>
              <w:t>: Understand and evaluate the sustainability and impact of engineering technician work in the solution of well-defined engineering problems in societal and environmental contexts (DK7)</w:t>
            </w:r>
          </w:p>
        </w:tc>
      </w:tr>
      <w:tr w:rsidR="00D32AE3" w:rsidRPr="006A453E" w14:paraId="3D430B2C" w14:textId="77777777" w:rsidTr="00D32AE3">
        <w:trPr>
          <w:trHeight w:val="475"/>
        </w:trPr>
        <w:tc>
          <w:tcPr>
            <w:tcW w:w="1148" w:type="dxa"/>
            <w:tcBorders>
              <w:left w:val="single" w:sz="4" w:space="0" w:color="auto"/>
            </w:tcBorders>
          </w:tcPr>
          <w:p w14:paraId="76C48203"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PO8</w:t>
            </w:r>
          </w:p>
        </w:tc>
        <w:tc>
          <w:tcPr>
            <w:tcW w:w="6785" w:type="dxa"/>
            <w:tcBorders>
              <w:left w:val="single" w:sz="4" w:space="0" w:color="auto"/>
            </w:tcBorders>
            <w:vAlign w:val="center"/>
          </w:tcPr>
          <w:p w14:paraId="6BBC98E9"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Ethics</w:t>
            </w:r>
            <w:r w:rsidRPr="00D32AE3">
              <w:rPr>
                <w:sz w:val="24"/>
                <w:szCs w:val="24"/>
                <w:lang w:val="en-MY"/>
              </w:rPr>
              <w:t>: Understand and commit to professional ethics and responsibilities and norms of technician practice; (DK7)</w:t>
            </w:r>
          </w:p>
        </w:tc>
      </w:tr>
      <w:tr w:rsidR="00D32AE3" w:rsidRPr="006A453E" w14:paraId="3CA4DBA8" w14:textId="77777777" w:rsidTr="00D32AE3">
        <w:trPr>
          <w:trHeight w:val="512"/>
        </w:trPr>
        <w:tc>
          <w:tcPr>
            <w:tcW w:w="1148" w:type="dxa"/>
            <w:tcBorders>
              <w:left w:val="single" w:sz="4" w:space="0" w:color="auto"/>
            </w:tcBorders>
          </w:tcPr>
          <w:p w14:paraId="50105972"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PO9</w:t>
            </w:r>
          </w:p>
        </w:tc>
        <w:tc>
          <w:tcPr>
            <w:tcW w:w="6785" w:type="dxa"/>
            <w:tcBorders>
              <w:left w:val="single" w:sz="4" w:space="0" w:color="auto"/>
            </w:tcBorders>
            <w:vAlign w:val="center"/>
          </w:tcPr>
          <w:p w14:paraId="1E4448AD"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Individual and Teamwork</w:t>
            </w:r>
            <w:r w:rsidRPr="00D32AE3">
              <w:rPr>
                <w:sz w:val="24"/>
                <w:szCs w:val="24"/>
                <w:lang w:val="en-MY"/>
              </w:rPr>
              <w:t>: Function effectively as an individual, and as a member in diverse technical teams</w:t>
            </w:r>
          </w:p>
        </w:tc>
      </w:tr>
      <w:tr w:rsidR="00D32AE3" w:rsidRPr="006A453E" w14:paraId="1537D18A" w14:textId="77777777" w:rsidTr="00D32AE3">
        <w:trPr>
          <w:trHeight w:val="1205"/>
        </w:trPr>
        <w:tc>
          <w:tcPr>
            <w:tcW w:w="1148" w:type="dxa"/>
            <w:tcBorders>
              <w:left w:val="single" w:sz="4" w:space="0" w:color="auto"/>
            </w:tcBorders>
          </w:tcPr>
          <w:p w14:paraId="1B8B8876"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PO10</w:t>
            </w:r>
          </w:p>
        </w:tc>
        <w:tc>
          <w:tcPr>
            <w:tcW w:w="6785" w:type="dxa"/>
            <w:tcBorders>
              <w:left w:val="single" w:sz="4" w:space="0" w:color="auto"/>
            </w:tcBorders>
            <w:vAlign w:val="center"/>
          </w:tcPr>
          <w:p w14:paraId="52FED4D5"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Communications</w:t>
            </w:r>
            <w:r w:rsidRPr="00D32AE3">
              <w:rPr>
                <w:sz w:val="24"/>
                <w:szCs w:val="24"/>
                <w:lang w:val="en-MY"/>
              </w:rPr>
              <w:t>: Communicate effectively on well-defined engineering activities with the engineering community and with society at large, by being able to comprehend the work of others, document their own work, and give and receive clear instructions</w:t>
            </w:r>
          </w:p>
        </w:tc>
      </w:tr>
      <w:tr w:rsidR="00D32AE3" w:rsidRPr="006A453E" w14:paraId="3CB6B034" w14:textId="77777777" w:rsidTr="00D32AE3">
        <w:trPr>
          <w:trHeight w:val="914"/>
        </w:trPr>
        <w:tc>
          <w:tcPr>
            <w:tcW w:w="1148" w:type="dxa"/>
            <w:tcBorders>
              <w:left w:val="single" w:sz="4" w:space="0" w:color="auto"/>
            </w:tcBorders>
          </w:tcPr>
          <w:p w14:paraId="196E4CAA"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PO11</w:t>
            </w:r>
          </w:p>
        </w:tc>
        <w:tc>
          <w:tcPr>
            <w:tcW w:w="6785" w:type="dxa"/>
            <w:tcBorders>
              <w:left w:val="single" w:sz="4" w:space="0" w:color="auto"/>
            </w:tcBorders>
            <w:vAlign w:val="center"/>
          </w:tcPr>
          <w:p w14:paraId="377FCBB5"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Project Management and Finance</w:t>
            </w:r>
            <w:r w:rsidRPr="00D32AE3">
              <w:rPr>
                <w:sz w:val="24"/>
                <w:szCs w:val="24"/>
                <w:lang w:val="en-MY"/>
              </w:rPr>
              <w:t>: Demonstrate knowledge and understanding of engineering management principles and apply these to one’s own work, as a member or leader in a technical team and to manage projects in multidisciplinary environments</w:t>
            </w:r>
          </w:p>
        </w:tc>
      </w:tr>
      <w:tr w:rsidR="00D32AE3" w:rsidRPr="006A453E" w14:paraId="19DA7FDD" w14:textId="77777777" w:rsidTr="00D32AE3">
        <w:trPr>
          <w:trHeight w:val="726"/>
        </w:trPr>
        <w:tc>
          <w:tcPr>
            <w:tcW w:w="1148" w:type="dxa"/>
            <w:tcBorders>
              <w:left w:val="single" w:sz="4" w:space="0" w:color="auto"/>
            </w:tcBorders>
          </w:tcPr>
          <w:p w14:paraId="47927F60" w14:textId="77777777" w:rsidR="00D32AE3" w:rsidRPr="00D32AE3" w:rsidRDefault="00D32AE3" w:rsidP="00D32AE3">
            <w:pPr>
              <w:pStyle w:val="BodyText"/>
              <w:spacing w:before="2"/>
              <w:ind w:left="0" w:right="23"/>
              <w:jc w:val="center"/>
              <w:rPr>
                <w:b/>
                <w:sz w:val="24"/>
                <w:szCs w:val="24"/>
                <w:lang w:val="en-MY"/>
              </w:rPr>
            </w:pPr>
            <w:r w:rsidRPr="00D32AE3">
              <w:rPr>
                <w:b/>
                <w:sz w:val="24"/>
                <w:szCs w:val="24"/>
                <w:lang w:val="en-MY"/>
              </w:rPr>
              <w:t>PO12</w:t>
            </w:r>
          </w:p>
        </w:tc>
        <w:tc>
          <w:tcPr>
            <w:tcW w:w="6785" w:type="dxa"/>
            <w:tcBorders>
              <w:left w:val="single" w:sz="4" w:space="0" w:color="auto"/>
            </w:tcBorders>
            <w:vAlign w:val="center"/>
          </w:tcPr>
          <w:p w14:paraId="5A2D6076" w14:textId="77777777" w:rsidR="00D32AE3" w:rsidRPr="00D32AE3" w:rsidRDefault="00D32AE3" w:rsidP="00D32AE3">
            <w:pPr>
              <w:pStyle w:val="BodyText"/>
              <w:spacing w:before="2"/>
              <w:ind w:left="0" w:right="23"/>
              <w:jc w:val="center"/>
              <w:rPr>
                <w:sz w:val="24"/>
                <w:szCs w:val="24"/>
                <w:lang w:val="en-MY"/>
              </w:rPr>
            </w:pPr>
            <w:r w:rsidRPr="00D32AE3">
              <w:rPr>
                <w:b/>
                <w:sz w:val="24"/>
                <w:szCs w:val="24"/>
                <w:lang w:val="en-MY"/>
              </w:rPr>
              <w:t>Life Long Learning</w:t>
            </w:r>
            <w:r w:rsidRPr="00D32AE3">
              <w:rPr>
                <w:sz w:val="24"/>
                <w:szCs w:val="24"/>
                <w:lang w:val="en-MY"/>
              </w:rPr>
              <w:t>: Recognise the need for, and have the ability to engage in independent updating in the context of specialised technical knowledge</w:t>
            </w:r>
          </w:p>
        </w:tc>
      </w:tr>
    </w:tbl>
    <w:p w14:paraId="1ADE03D4" w14:textId="77777777" w:rsidR="00060590" w:rsidRDefault="00060590" w:rsidP="00060590">
      <w:pPr>
        <w:pStyle w:val="BodyText"/>
        <w:spacing w:before="2"/>
        <w:ind w:left="851" w:right="23" w:firstLine="566"/>
        <w:rPr>
          <w:lang w:val="en-MY"/>
        </w:rPr>
      </w:pPr>
    </w:p>
    <w:p w14:paraId="54536747" w14:textId="77777777" w:rsidR="00060590" w:rsidRDefault="00060590" w:rsidP="00060590">
      <w:pPr>
        <w:pStyle w:val="BodyText"/>
        <w:spacing w:before="2"/>
        <w:ind w:left="851" w:right="23" w:firstLine="566"/>
        <w:rPr>
          <w:lang w:val="en-MY"/>
        </w:rPr>
      </w:pPr>
    </w:p>
    <w:p w14:paraId="1154F9EE" w14:textId="77777777" w:rsidR="00060590" w:rsidRDefault="00060590" w:rsidP="00060590">
      <w:pPr>
        <w:pStyle w:val="BodyText"/>
        <w:spacing w:before="2"/>
        <w:ind w:left="851" w:right="23" w:firstLine="566"/>
        <w:rPr>
          <w:lang w:val="en-MY"/>
        </w:rPr>
      </w:pPr>
    </w:p>
    <w:p w14:paraId="4B0B511B" w14:textId="77777777" w:rsidR="00060590" w:rsidRDefault="00060590" w:rsidP="00060590">
      <w:pPr>
        <w:pStyle w:val="BodyText"/>
        <w:spacing w:before="2"/>
        <w:ind w:left="851" w:right="23" w:firstLine="566"/>
        <w:rPr>
          <w:lang w:val="en-MY"/>
        </w:rPr>
      </w:pPr>
    </w:p>
    <w:p w14:paraId="27AE9F36" w14:textId="77777777" w:rsidR="00060590" w:rsidRDefault="00060590" w:rsidP="00060590">
      <w:pPr>
        <w:pStyle w:val="BodyText"/>
        <w:spacing w:before="2"/>
        <w:ind w:left="851" w:right="23" w:firstLine="566"/>
        <w:rPr>
          <w:lang w:val="en-MY"/>
        </w:rPr>
      </w:pPr>
    </w:p>
    <w:p w14:paraId="401DB3C6" w14:textId="77777777" w:rsidR="00060590" w:rsidRDefault="00060590" w:rsidP="00060590">
      <w:pPr>
        <w:pStyle w:val="BodyText"/>
        <w:spacing w:before="2"/>
        <w:ind w:left="851" w:right="23" w:firstLine="566"/>
        <w:rPr>
          <w:lang w:val="en-MY"/>
        </w:rPr>
      </w:pPr>
    </w:p>
    <w:p w14:paraId="629B9257" w14:textId="77777777" w:rsidR="00014C36" w:rsidRDefault="00014C36" w:rsidP="00060590">
      <w:pPr>
        <w:pStyle w:val="BodyText"/>
        <w:spacing w:before="2"/>
        <w:ind w:left="851" w:right="23" w:firstLine="566"/>
        <w:rPr>
          <w:lang w:val="en-MY"/>
        </w:rPr>
      </w:pPr>
    </w:p>
    <w:p w14:paraId="04658F34" w14:textId="77777777" w:rsidR="00014C36" w:rsidRDefault="00014C36" w:rsidP="00060590">
      <w:pPr>
        <w:pStyle w:val="BodyText"/>
        <w:spacing w:before="2"/>
        <w:ind w:left="851" w:right="23" w:firstLine="566"/>
        <w:rPr>
          <w:lang w:val="en-MY"/>
        </w:rPr>
      </w:pPr>
    </w:p>
    <w:p w14:paraId="1DC45B7A" w14:textId="77777777" w:rsidR="00014C36" w:rsidRDefault="00014C36" w:rsidP="00060590">
      <w:pPr>
        <w:pStyle w:val="BodyText"/>
        <w:spacing w:before="2"/>
        <w:ind w:left="851" w:right="23" w:firstLine="566"/>
        <w:rPr>
          <w:lang w:val="en-MY"/>
        </w:rPr>
      </w:pPr>
    </w:p>
    <w:p w14:paraId="49A74A2E" w14:textId="77777777" w:rsidR="00014C36" w:rsidRDefault="00014C36" w:rsidP="00060590">
      <w:pPr>
        <w:pStyle w:val="BodyText"/>
        <w:spacing w:before="2"/>
        <w:ind w:left="851" w:right="23" w:firstLine="566"/>
        <w:rPr>
          <w:lang w:val="en-MY"/>
        </w:rPr>
      </w:pPr>
    </w:p>
    <w:p w14:paraId="696C2AB0" w14:textId="77777777" w:rsidR="00014C36" w:rsidRDefault="00014C36" w:rsidP="00060590">
      <w:pPr>
        <w:pStyle w:val="BodyText"/>
        <w:spacing w:before="2"/>
        <w:ind w:left="851" w:right="23" w:firstLine="566"/>
        <w:rPr>
          <w:lang w:val="en-MY"/>
        </w:rPr>
      </w:pPr>
    </w:p>
    <w:p w14:paraId="4624E10C" w14:textId="77777777" w:rsidR="00014C36" w:rsidRDefault="00014C36" w:rsidP="00060590">
      <w:pPr>
        <w:pStyle w:val="BodyText"/>
        <w:spacing w:before="2"/>
        <w:ind w:left="851" w:right="23" w:firstLine="566"/>
        <w:rPr>
          <w:lang w:val="en-MY"/>
        </w:rPr>
      </w:pPr>
    </w:p>
    <w:p w14:paraId="455F0CC1" w14:textId="77777777" w:rsidR="00014C36" w:rsidRDefault="00014C36" w:rsidP="00060590">
      <w:pPr>
        <w:pStyle w:val="BodyText"/>
        <w:spacing w:before="2"/>
        <w:ind w:left="851" w:right="23" w:firstLine="566"/>
        <w:rPr>
          <w:lang w:val="en-MY"/>
        </w:rPr>
      </w:pPr>
    </w:p>
    <w:p w14:paraId="453D921F" w14:textId="77777777" w:rsidR="00014C36" w:rsidRDefault="00014C36" w:rsidP="00060590">
      <w:pPr>
        <w:pStyle w:val="BodyText"/>
        <w:spacing w:before="2"/>
        <w:ind w:left="851" w:right="23" w:firstLine="566"/>
        <w:rPr>
          <w:lang w:val="en-MY"/>
        </w:rPr>
      </w:pPr>
    </w:p>
    <w:p w14:paraId="49957A0C" w14:textId="77777777" w:rsidR="00014C36" w:rsidRDefault="00014C36" w:rsidP="00060590">
      <w:pPr>
        <w:pStyle w:val="BodyText"/>
        <w:spacing w:before="2"/>
        <w:ind w:left="851" w:right="23" w:firstLine="566"/>
        <w:rPr>
          <w:lang w:val="en-MY"/>
        </w:rPr>
      </w:pPr>
    </w:p>
    <w:p w14:paraId="45063C5A" w14:textId="77777777" w:rsidR="00014C36" w:rsidRDefault="00014C36" w:rsidP="00060590">
      <w:pPr>
        <w:pStyle w:val="BodyText"/>
        <w:spacing w:before="2"/>
        <w:ind w:left="851" w:right="23" w:firstLine="566"/>
        <w:rPr>
          <w:lang w:val="en-MY"/>
        </w:rPr>
      </w:pPr>
    </w:p>
    <w:p w14:paraId="6D992893" w14:textId="77777777" w:rsidR="00014C36" w:rsidRDefault="00014C36" w:rsidP="00060590">
      <w:pPr>
        <w:pStyle w:val="BodyText"/>
        <w:spacing w:before="2"/>
        <w:ind w:left="851" w:right="23" w:firstLine="566"/>
        <w:rPr>
          <w:lang w:val="en-MY"/>
        </w:rPr>
      </w:pPr>
    </w:p>
    <w:p w14:paraId="217C4163" w14:textId="77777777" w:rsidR="00014C36" w:rsidRDefault="00014C36" w:rsidP="00060590">
      <w:pPr>
        <w:pStyle w:val="BodyText"/>
        <w:spacing w:before="2"/>
        <w:ind w:left="851" w:right="23" w:firstLine="566"/>
        <w:rPr>
          <w:lang w:val="en-MY"/>
        </w:rPr>
      </w:pPr>
    </w:p>
    <w:p w14:paraId="1098E7DF" w14:textId="77777777" w:rsidR="00014C36" w:rsidRDefault="00014C36" w:rsidP="00060590">
      <w:pPr>
        <w:pStyle w:val="BodyText"/>
        <w:spacing w:before="2"/>
        <w:ind w:left="851" w:right="23" w:firstLine="566"/>
        <w:rPr>
          <w:lang w:val="en-MY"/>
        </w:rPr>
      </w:pPr>
    </w:p>
    <w:p w14:paraId="189EDE8E" w14:textId="77777777" w:rsidR="00014C36" w:rsidRDefault="00014C36" w:rsidP="00060590">
      <w:pPr>
        <w:pStyle w:val="BodyText"/>
        <w:spacing w:before="2"/>
        <w:ind w:left="851" w:right="23" w:firstLine="566"/>
        <w:rPr>
          <w:lang w:val="en-MY"/>
        </w:rPr>
      </w:pPr>
    </w:p>
    <w:p w14:paraId="46B561A9" w14:textId="77777777" w:rsidR="00014C36" w:rsidRDefault="00014C36" w:rsidP="00060590">
      <w:pPr>
        <w:pStyle w:val="BodyText"/>
        <w:spacing w:before="2"/>
        <w:ind w:left="851" w:right="23" w:firstLine="566"/>
        <w:rPr>
          <w:lang w:val="en-MY"/>
        </w:rPr>
      </w:pPr>
    </w:p>
    <w:p w14:paraId="6D580099" w14:textId="77777777" w:rsidR="00014C36" w:rsidRDefault="00014C36" w:rsidP="00060590">
      <w:pPr>
        <w:pStyle w:val="BodyText"/>
        <w:spacing w:before="2"/>
        <w:ind w:left="851" w:right="23" w:firstLine="566"/>
        <w:rPr>
          <w:lang w:val="en-MY"/>
        </w:rPr>
      </w:pPr>
    </w:p>
    <w:p w14:paraId="1BF1870D" w14:textId="77777777" w:rsidR="00014C36" w:rsidRDefault="00014C36" w:rsidP="00060590">
      <w:pPr>
        <w:pStyle w:val="BodyText"/>
        <w:spacing w:before="2"/>
        <w:ind w:left="851" w:right="23" w:firstLine="566"/>
        <w:rPr>
          <w:lang w:val="en-MY"/>
        </w:rPr>
      </w:pPr>
    </w:p>
    <w:p w14:paraId="187DCA80" w14:textId="77777777" w:rsidR="00014C36" w:rsidRDefault="00014C36" w:rsidP="00060590">
      <w:pPr>
        <w:pStyle w:val="BodyText"/>
        <w:spacing w:before="2"/>
        <w:ind w:left="851" w:right="23" w:firstLine="566"/>
        <w:rPr>
          <w:lang w:val="en-MY"/>
        </w:rPr>
      </w:pPr>
    </w:p>
    <w:p w14:paraId="02C76054" w14:textId="77777777" w:rsidR="00014C36" w:rsidRDefault="00014C36" w:rsidP="00060590">
      <w:pPr>
        <w:pStyle w:val="BodyText"/>
        <w:spacing w:before="2"/>
        <w:ind w:left="851" w:right="23" w:firstLine="566"/>
        <w:rPr>
          <w:lang w:val="en-MY"/>
        </w:rPr>
      </w:pPr>
    </w:p>
    <w:p w14:paraId="3535605A" w14:textId="77777777" w:rsidR="00014C36" w:rsidRDefault="00014C36" w:rsidP="00060590">
      <w:pPr>
        <w:pStyle w:val="BodyText"/>
        <w:spacing w:before="2"/>
        <w:ind w:left="851" w:right="23" w:firstLine="566"/>
        <w:rPr>
          <w:lang w:val="en-MY"/>
        </w:rPr>
      </w:pPr>
    </w:p>
    <w:p w14:paraId="2BDFF033" w14:textId="77777777" w:rsidR="00014C36" w:rsidRDefault="00014C36" w:rsidP="00060590">
      <w:pPr>
        <w:pStyle w:val="BodyText"/>
        <w:spacing w:before="2"/>
        <w:ind w:left="851" w:right="23" w:firstLine="566"/>
        <w:rPr>
          <w:lang w:val="en-MY"/>
        </w:rPr>
      </w:pPr>
    </w:p>
    <w:p w14:paraId="531BDFA1" w14:textId="77777777" w:rsidR="00014C36" w:rsidRDefault="00014C36" w:rsidP="00060590">
      <w:pPr>
        <w:pStyle w:val="BodyText"/>
        <w:spacing w:before="2"/>
        <w:ind w:left="851" w:right="23" w:firstLine="566"/>
        <w:rPr>
          <w:lang w:val="en-MY"/>
        </w:rPr>
      </w:pPr>
    </w:p>
    <w:p w14:paraId="2CFDB099" w14:textId="77777777" w:rsidR="00014C36" w:rsidRDefault="00014C36" w:rsidP="00060590">
      <w:pPr>
        <w:pStyle w:val="BodyText"/>
        <w:spacing w:before="2"/>
        <w:ind w:left="851" w:right="23" w:firstLine="566"/>
        <w:rPr>
          <w:lang w:val="en-MY"/>
        </w:rPr>
      </w:pPr>
    </w:p>
    <w:p w14:paraId="34528115" w14:textId="77777777" w:rsidR="00014C36" w:rsidRDefault="00014C36" w:rsidP="00060590">
      <w:pPr>
        <w:pStyle w:val="BodyText"/>
        <w:spacing w:before="2"/>
        <w:ind w:left="851" w:right="23" w:firstLine="566"/>
        <w:rPr>
          <w:lang w:val="en-MY"/>
        </w:rPr>
      </w:pPr>
    </w:p>
    <w:p w14:paraId="08B0A89A" w14:textId="77777777" w:rsidR="00014C36" w:rsidRDefault="00014C36" w:rsidP="00060590">
      <w:pPr>
        <w:pStyle w:val="BodyText"/>
        <w:spacing w:before="2"/>
        <w:ind w:left="851" w:right="23" w:firstLine="566"/>
        <w:rPr>
          <w:lang w:val="en-MY"/>
        </w:rPr>
      </w:pPr>
    </w:p>
    <w:p w14:paraId="5F229FBB" w14:textId="77777777" w:rsidR="00014C36" w:rsidRDefault="00014C36" w:rsidP="00060590">
      <w:pPr>
        <w:pStyle w:val="BodyText"/>
        <w:spacing w:before="2"/>
        <w:ind w:left="851" w:right="23" w:firstLine="566"/>
        <w:rPr>
          <w:lang w:val="en-MY"/>
        </w:rPr>
      </w:pPr>
    </w:p>
    <w:p w14:paraId="6E084814" w14:textId="77777777" w:rsidR="00014C36" w:rsidRDefault="00014C36" w:rsidP="00060590">
      <w:pPr>
        <w:pStyle w:val="BodyText"/>
        <w:spacing w:before="2"/>
        <w:ind w:left="851" w:right="23" w:firstLine="566"/>
        <w:rPr>
          <w:lang w:val="en-MY"/>
        </w:rPr>
      </w:pPr>
    </w:p>
    <w:p w14:paraId="0A00B1E1" w14:textId="77777777" w:rsidR="00014C36" w:rsidRDefault="00014C36" w:rsidP="00060590">
      <w:pPr>
        <w:pStyle w:val="BodyText"/>
        <w:spacing w:before="2"/>
        <w:ind w:left="851" w:right="23" w:firstLine="566"/>
        <w:rPr>
          <w:lang w:val="en-MY"/>
        </w:rPr>
      </w:pPr>
    </w:p>
    <w:p w14:paraId="49E3D4F9" w14:textId="77777777" w:rsidR="00014C36" w:rsidRDefault="00014C36" w:rsidP="00060590">
      <w:pPr>
        <w:pStyle w:val="BodyText"/>
        <w:spacing w:before="2"/>
        <w:ind w:left="851" w:right="23" w:firstLine="566"/>
        <w:rPr>
          <w:lang w:val="en-MY"/>
        </w:rPr>
      </w:pPr>
    </w:p>
    <w:p w14:paraId="524087CA" w14:textId="77777777" w:rsidR="00014C36" w:rsidRDefault="00014C36" w:rsidP="00060590">
      <w:pPr>
        <w:pStyle w:val="BodyText"/>
        <w:spacing w:before="2"/>
        <w:ind w:left="851" w:right="23" w:firstLine="566"/>
        <w:rPr>
          <w:lang w:val="en-MY"/>
        </w:rPr>
      </w:pPr>
    </w:p>
    <w:p w14:paraId="522FF88F" w14:textId="77777777" w:rsidR="00014C36" w:rsidRDefault="00014C36" w:rsidP="00060590">
      <w:pPr>
        <w:pStyle w:val="BodyText"/>
        <w:spacing w:before="2"/>
        <w:ind w:left="851" w:right="23" w:firstLine="566"/>
        <w:rPr>
          <w:lang w:val="en-MY"/>
        </w:rPr>
      </w:pPr>
    </w:p>
    <w:p w14:paraId="07CDAFD7" w14:textId="77777777" w:rsidR="00014C36" w:rsidRDefault="00014C36" w:rsidP="00060590">
      <w:pPr>
        <w:pStyle w:val="BodyText"/>
        <w:spacing w:before="2"/>
        <w:ind w:left="851" w:right="23" w:firstLine="566"/>
        <w:rPr>
          <w:lang w:val="en-MY"/>
        </w:rPr>
      </w:pPr>
    </w:p>
    <w:p w14:paraId="33EAAA91" w14:textId="77777777" w:rsidR="00014C36" w:rsidRDefault="00014C36" w:rsidP="00060590">
      <w:pPr>
        <w:pStyle w:val="BodyText"/>
        <w:spacing w:before="2"/>
        <w:ind w:left="851" w:right="23" w:firstLine="566"/>
        <w:rPr>
          <w:lang w:val="en-MY"/>
        </w:rPr>
      </w:pPr>
    </w:p>
    <w:p w14:paraId="6DDD807D" w14:textId="77777777" w:rsidR="00014C36" w:rsidRDefault="00014C36" w:rsidP="00060590">
      <w:pPr>
        <w:pStyle w:val="BodyText"/>
        <w:spacing w:before="2"/>
        <w:ind w:left="851" w:right="23" w:firstLine="566"/>
        <w:rPr>
          <w:lang w:val="en-MY"/>
        </w:rPr>
      </w:pPr>
    </w:p>
    <w:p w14:paraId="75750C2D" w14:textId="77777777" w:rsidR="00014C36" w:rsidRDefault="00014C36" w:rsidP="00060590">
      <w:pPr>
        <w:pStyle w:val="BodyText"/>
        <w:spacing w:before="2"/>
        <w:ind w:left="851" w:right="23" w:firstLine="566"/>
        <w:rPr>
          <w:lang w:val="en-MY"/>
        </w:rPr>
      </w:pPr>
    </w:p>
    <w:p w14:paraId="753ED0A9" w14:textId="77777777" w:rsidR="00014C36" w:rsidRDefault="00014C36" w:rsidP="00060590">
      <w:pPr>
        <w:pStyle w:val="BodyText"/>
        <w:spacing w:before="2"/>
        <w:ind w:left="851" w:right="23" w:firstLine="566"/>
        <w:rPr>
          <w:lang w:val="en-MY"/>
        </w:rPr>
      </w:pPr>
    </w:p>
    <w:p w14:paraId="44E7660D" w14:textId="77777777" w:rsidR="00014C36" w:rsidRDefault="00014C36" w:rsidP="00060590">
      <w:pPr>
        <w:pStyle w:val="BodyText"/>
        <w:spacing w:before="2"/>
        <w:ind w:left="851" w:right="23" w:firstLine="566"/>
        <w:rPr>
          <w:lang w:val="en-MY"/>
        </w:rPr>
      </w:pPr>
    </w:p>
    <w:p w14:paraId="2DCA20D6" w14:textId="77777777" w:rsidR="00014C36" w:rsidRDefault="00014C36" w:rsidP="00060590">
      <w:pPr>
        <w:pStyle w:val="BodyText"/>
        <w:spacing w:before="2"/>
        <w:ind w:left="851" w:right="23" w:firstLine="566"/>
        <w:rPr>
          <w:lang w:val="en-MY"/>
        </w:rPr>
      </w:pPr>
    </w:p>
    <w:p w14:paraId="314AF494" w14:textId="77777777" w:rsidR="00014C36" w:rsidRDefault="00014C36" w:rsidP="00060590">
      <w:pPr>
        <w:pStyle w:val="BodyText"/>
        <w:spacing w:before="2"/>
        <w:ind w:left="851" w:right="23" w:firstLine="566"/>
        <w:rPr>
          <w:lang w:val="en-MY"/>
        </w:rPr>
      </w:pPr>
    </w:p>
    <w:p w14:paraId="406F24C6" w14:textId="77777777" w:rsidR="00014C36" w:rsidRDefault="00014C36" w:rsidP="00060590">
      <w:pPr>
        <w:pStyle w:val="BodyText"/>
        <w:spacing w:before="2"/>
        <w:ind w:left="851" w:right="23" w:firstLine="566"/>
        <w:rPr>
          <w:lang w:val="en-MY"/>
        </w:rPr>
      </w:pPr>
    </w:p>
    <w:p w14:paraId="493AB75C" w14:textId="77777777" w:rsidR="00014C36" w:rsidRDefault="00014C36" w:rsidP="00060590">
      <w:pPr>
        <w:pStyle w:val="BodyText"/>
        <w:spacing w:before="2"/>
        <w:ind w:left="851" w:right="23" w:firstLine="566"/>
        <w:rPr>
          <w:lang w:val="en-MY"/>
        </w:rPr>
      </w:pPr>
    </w:p>
    <w:p w14:paraId="4A784A03" w14:textId="77777777" w:rsidR="00014C36" w:rsidRDefault="00014C36" w:rsidP="00060590">
      <w:pPr>
        <w:pStyle w:val="BodyText"/>
        <w:spacing w:before="2"/>
        <w:ind w:left="851" w:right="23" w:firstLine="566"/>
        <w:rPr>
          <w:lang w:val="en-MY"/>
        </w:rPr>
      </w:pPr>
    </w:p>
    <w:p w14:paraId="67105EBB" w14:textId="77777777" w:rsidR="00014C36" w:rsidRDefault="00014C36" w:rsidP="00060590">
      <w:pPr>
        <w:pStyle w:val="BodyText"/>
        <w:spacing w:before="2"/>
        <w:ind w:left="851" w:right="23" w:firstLine="566"/>
        <w:rPr>
          <w:lang w:val="en-MY"/>
        </w:rPr>
      </w:pPr>
    </w:p>
    <w:p w14:paraId="19084491" w14:textId="77777777" w:rsidR="00D32AE3" w:rsidRDefault="00D32AE3" w:rsidP="00060590">
      <w:pPr>
        <w:pStyle w:val="BodyText"/>
        <w:spacing w:before="2"/>
        <w:ind w:left="851" w:right="23" w:firstLine="566"/>
        <w:rPr>
          <w:lang w:val="en-MY"/>
        </w:rPr>
      </w:pPr>
    </w:p>
    <w:p w14:paraId="121852A5" w14:textId="77777777" w:rsidR="00D32AE3" w:rsidRDefault="00D32AE3" w:rsidP="00060590">
      <w:pPr>
        <w:pStyle w:val="BodyText"/>
        <w:spacing w:before="2"/>
        <w:ind w:left="851" w:right="23" w:firstLine="566"/>
        <w:rPr>
          <w:lang w:val="en-MY"/>
        </w:rPr>
      </w:pPr>
    </w:p>
    <w:p w14:paraId="5BD0E933" w14:textId="77777777" w:rsidR="00D32AE3" w:rsidRDefault="00D32AE3" w:rsidP="00060590">
      <w:pPr>
        <w:pStyle w:val="BodyText"/>
        <w:spacing w:before="2"/>
        <w:ind w:left="851" w:right="23" w:firstLine="566"/>
        <w:rPr>
          <w:lang w:val="en-MY"/>
        </w:rPr>
      </w:pPr>
    </w:p>
    <w:p w14:paraId="1A6BB7E6" w14:textId="77777777" w:rsidR="00060590" w:rsidRDefault="00060590" w:rsidP="00060590">
      <w:pPr>
        <w:pStyle w:val="BodyText"/>
        <w:spacing w:before="2"/>
        <w:ind w:left="851" w:right="23" w:firstLine="566"/>
        <w:rPr>
          <w:lang w:val="en-MY"/>
        </w:rPr>
      </w:pPr>
    </w:p>
    <w:p w14:paraId="16F5D9B0" w14:textId="5DA13699" w:rsidR="00060590" w:rsidRPr="00D32AE3" w:rsidRDefault="006D225A" w:rsidP="00D32AE3">
      <w:pPr>
        <w:pStyle w:val="BodyText"/>
        <w:spacing w:before="2"/>
        <w:ind w:left="851" w:right="23"/>
        <w:rPr>
          <w:sz w:val="24"/>
          <w:szCs w:val="24"/>
          <w:lang w:val="en-MY"/>
        </w:rPr>
      </w:pPr>
      <w:r w:rsidRPr="00D32AE3">
        <w:rPr>
          <w:sz w:val="24"/>
          <w:szCs w:val="24"/>
          <w:lang w:val="en-MY"/>
        </w:rPr>
        <w:lastRenderedPageBreak/>
        <w:t>Outcome-Based Education (OBE) is an educational approach where all teaching, assessment, and curricular design focus on ensuring students achieve specific, measurable outcomes (Spady, 1994). OBE is particularly emphasized in engineering education worldwide, driven by bodies like the Washington Accord, which outlines graduate attributes to be achieved by accredited programs (Washington Accord, 2013).</w:t>
      </w:r>
      <w:r w:rsidR="00D32AE3">
        <w:rPr>
          <w:sz w:val="24"/>
          <w:szCs w:val="24"/>
          <w:lang w:val="en-MY"/>
        </w:rPr>
        <w:t xml:space="preserve"> </w:t>
      </w:r>
      <w:r w:rsidR="00060590" w:rsidRPr="00D32AE3">
        <w:rPr>
          <w:sz w:val="24"/>
          <w:szCs w:val="24"/>
          <w:lang w:val="en-MY"/>
        </w:rPr>
        <w:t xml:space="preserve">In Malaysia, the Engineering Accreditation Council (EAC) has adopted the Washington Accord framework, defining 12 Programme Outcomes (POs) that engineering graduates must demonstrate shown in Table 1 </w:t>
      </w:r>
      <w:r w:rsidRPr="00D32AE3">
        <w:rPr>
          <w:sz w:val="24"/>
          <w:szCs w:val="24"/>
          <w:lang w:val="en-MY"/>
        </w:rPr>
        <w:t>above.</w:t>
      </w:r>
    </w:p>
    <w:p w14:paraId="4F0E21DB" w14:textId="77777777" w:rsidR="006D225A" w:rsidRPr="00D32AE3" w:rsidRDefault="006D225A" w:rsidP="006D225A">
      <w:pPr>
        <w:pStyle w:val="BodyText"/>
        <w:spacing w:before="2"/>
        <w:ind w:right="23"/>
        <w:rPr>
          <w:sz w:val="24"/>
          <w:szCs w:val="24"/>
          <w:lang w:val="en-MY"/>
        </w:rPr>
      </w:pPr>
    </w:p>
    <w:p w14:paraId="63E01ED4" w14:textId="77777777" w:rsidR="006D225A" w:rsidRPr="00D32AE3" w:rsidRDefault="006D225A" w:rsidP="006D225A">
      <w:pPr>
        <w:pStyle w:val="BodyText"/>
        <w:ind w:right="23"/>
        <w:rPr>
          <w:sz w:val="24"/>
          <w:szCs w:val="24"/>
          <w:lang w:val="en-MY"/>
        </w:rPr>
      </w:pPr>
    </w:p>
    <w:p w14:paraId="263C6B1C" w14:textId="1900B2F2" w:rsidR="006D225A" w:rsidRPr="00D32AE3" w:rsidRDefault="006D225A" w:rsidP="006D225A">
      <w:pPr>
        <w:pStyle w:val="BodyText"/>
        <w:spacing w:before="2"/>
        <w:ind w:left="851" w:right="23"/>
        <w:rPr>
          <w:b/>
          <w:bCs/>
          <w:sz w:val="24"/>
          <w:szCs w:val="24"/>
          <w:lang w:val="en-MY"/>
        </w:rPr>
      </w:pPr>
      <w:r w:rsidRPr="00D32AE3">
        <w:rPr>
          <w:b/>
          <w:bCs/>
          <w:sz w:val="24"/>
          <w:szCs w:val="24"/>
          <w:lang w:val="en-MY"/>
        </w:rPr>
        <w:t>The Role of Continuous Assessment in Engineering Education</w:t>
      </w:r>
    </w:p>
    <w:p w14:paraId="76E5CCA9" w14:textId="77777777" w:rsidR="006D225A" w:rsidRPr="00D32AE3" w:rsidRDefault="006D225A" w:rsidP="006D225A">
      <w:pPr>
        <w:pStyle w:val="BodyText"/>
        <w:spacing w:before="2"/>
        <w:ind w:left="154" w:right="23" w:firstLine="720"/>
        <w:rPr>
          <w:sz w:val="24"/>
          <w:szCs w:val="24"/>
          <w:lang w:val="en-MY"/>
        </w:rPr>
      </w:pPr>
    </w:p>
    <w:p w14:paraId="68E97823" w14:textId="77777777" w:rsidR="006D225A" w:rsidRPr="00D32AE3" w:rsidRDefault="006D225A" w:rsidP="006D225A">
      <w:pPr>
        <w:pStyle w:val="BodyText"/>
        <w:spacing w:before="2"/>
        <w:ind w:right="23"/>
        <w:rPr>
          <w:sz w:val="24"/>
          <w:szCs w:val="24"/>
        </w:rPr>
      </w:pPr>
      <w:r w:rsidRPr="00D32AE3">
        <w:rPr>
          <w:sz w:val="24"/>
          <w:szCs w:val="24"/>
        </w:rPr>
        <w:t>Assessment for learning is a formative and ongoing process used during instruction to monitor students' understanding, progress, and learning needs (Sankaran &amp; Low, 2025). Rather than focusing solely on grading or measuring final achievement, it provides information that helps teachers adjust their teaching strategies and helps students identify areas for improvement. Assessment for learning continuously tracks student progress, enabling both teachers and learners to improve their practices and achieve better learning outcomes (Morris et al., 2021).</w:t>
      </w:r>
    </w:p>
    <w:p w14:paraId="5FB2C396" w14:textId="77777777" w:rsidR="006D225A" w:rsidRPr="00D32AE3" w:rsidRDefault="006D225A" w:rsidP="006D225A">
      <w:pPr>
        <w:pStyle w:val="BodyText"/>
        <w:spacing w:before="2"/>
        <w:ind w:right="23"/>
        <w:rPr>
          <w:sz w:val="24"/>
          <w:szCs w:val="24"/>
          <w:lang w:val="en-MY"/>
        </w:rPr>
      </w:pPr>
      <w:r w:rsidRPr="00D32AE3">
        <w:rPr>
          <w:sz w:val="24"/>
          <w:szCs w:val="24"/>
          <w:lang w:val="en-MY"/>
        </w:rPr>
        <w:t>Continuous assessment (CA) has emerged as a central pedagogical tool in modern higher education, particularly in engineering disciplines where it is used to support formative learning and enhance academic engagement. The shift from purely summative evaluation toward blended assessment systems reflects a broader educational philosophy that values continuous feedback, skill development, and authentic learning experiences (Yorke, 2003; Boud &amp; Falchikov, 2007).</w:t>
      </w:r>
    </w:p>
    <w:p w14:paraId="68062868" w14:textId="77777777" w:rsidR="006D225A" w:rsidRPr="00D32AE3" w:rsidRDefault="006D225A" w:rsidP="006D225A">
      <w:pPr>
        <w:pStyle w:val="BodyText"/>
        <w:spacing w:before="2"/>
        <w:ind w:right="23" w:firstLine="566"/>
        <w:rPr>
          <w:sz w:val="24"/>
          <w:szCs w:val="24"/>
          <w:lang w:val="en-MY"/>
        </w:rPr>
      </w:pPr>
      <w:r w:rsidRPr="00D32AE3">
        <w:rPr>
          <w:sz w:val="24"/>
          <w:szCs w:val="24"/>
          <w:lang w:val="en-MY"/>
        </w:rPr>
        <w:t>Research highlights that when properly implemented, CA enhances student motivation, provides early feedback, and helps bridge gaps in learning before high-stakes exams (Black &amp; Wiliam, 1998). However, these benefits are contingent upon transparent grading criteria, consistency across evaluators, and alignment with learning outcomes (Rust, 2002).</w:t>
      </w:r>
    </w:p>
    <w:p w14:paraId="7EAE894C" w14:textId="77777777" w:rsidR="006D225A" w:rsidRPr="00D32AE3" w:rsidRDefault="006D225A" w:rsidP="006D225A">
      <w:pPr>
        <w:pStyle w:val="BodyText"/>
        <w:spacing w:before="2"/>
        <w:ind w:right="23" w:firstLine="566"/>
        <w:rPr>
          <w:sz w:val="24"/>
          <w:szCs w:val="24"/>
          <w:lang w:val="en-MY"/>
        </w:rPr>
      </w:pPr>
    </w:p>
    <w:p w14:paraId="1EE6C4B0" w14:textId="32A51517" w:rsidR="006D225A" w:rsidRPr="00D32AE3" w:rsidRDefault="006D225A" w:rsidP="006D225A">
      <w:pPr>
        <w:pStyle w:val="BodyText"/>
        <w:spacing w:before="2"/>
        <w:ind w:right="23"/>
        <w:rPr>
          <w:b/>
          <w:bCs/>
          <w:sz w:val="24"/>
          <w:szCs w:val="24"/>
          <w:lang w:val="en-MY"/>
        </w:rPr>
      </w:pPr>
      <w:r w:rsidRPr="00D32AE3">
        <w:rPr>
          <w:b/>
          <w:bCs/>
          <w:sz w:val="24"/>
          <w:szCs w:val="24"/>
          <w:lang w:val="en-MY"/>
        </w:rPr>
        <w:t>Score Adjustment Practices: Necessity vs. Equity</w:t>
      </w:r>
    </w:p>
    <w:p w14:paraId="16144E03" w14:textId="77777777" w:rsidR="006D225A" w:rsidRPr="00D32AE3" w:rsidRDefault="006D225A" w:rsidP="006D225A">
      <w:pPr>
        <w:pStyle w:val="BodyText"/>
        <w:spacing w:before="2"/>
        <w:ind w:right="23"/>
        <w:rPr>
          <w:b/>
          <w:bCs/>
          <w:sz w:val="24"/>
          <w:szCs w:val="24"/>
          <w:lang w:val="en-MY"/>
        </w:rPr>
      </w:pPr>
    </w:p>
    <w:p w14:paraId="240173CD" w14:textId="77777777" w:rsidR="006D225A" w:rsidRPr="00D32AE3" w:rsidRDefault="006D225A" w:rsidP="006D225A">
      <w:pPr>
        <w:pStyle w:val="BodyText"/>
        <w:spacing w:before="2"/>
        <w:ind w:right="23"/>
        <w:rPr>
          <w:sz w:val="24"/>
          <w:szCs w:val="24"/>
          <w:lang w:val="en-MY"/>
        </w:rPr>
      </w:pPr>
      <w:r w:rsidRPr="00D32AE3">
        <w:rPr>
          <w:sz w:val="24"/>
          <w:szCs w:val="24"/>
          <w:lang w:val="en-MY"/>
        </w:rPr>
        <w:t>Adjusting continuous assessment scores—whether for standardization, compensation, or moderation—is not uncommon in higher education. However, these practices often lack formal guidelines or may be applied inconsistently (Bearman et al., 2017). While moderation is essential to address discrepancies between assessors or between course components, it must be grounded in objective data and aligned with institutional policy to ensure fairness (Bloxham, Hughes, &amp; Adie, 2016).</w:t>
      </w:r>
    </w:p>
    <w:p w14:paraId="66C4477A" w14:textId="77777777" w:rsidR="006D225A" w:rsidRPr="00D32AE3" w:rsidRDefault="006D225A" w:rsidP="006D225A">
      <w:pPr>
        <w:pStyle w:val="BodyText"/>
        <w:spacing w:before="2"/>
        <w:ind w:right="23" w:firstLine="566"/>
        <w:rPr>
          <w:sz w:val="24"/>
          <w:szCs w:val="24"/>
          <w:lang w:val="en-MY"/>
        </w:rPr>
      </w:pPr>
      <w:r w:rsidRPr="00D32AE3">
        <w:rPr>
          <w:sz w:val="24"/>
          <w:szCs w:val="24"/>
          <w:lang w:val="en-MY"/>
        </w:rPr>
        <w:t>There is limited empirical research on the systematic analysis of CA score adjustments relative to student performance metrics such as final exam results. Some evidence suggests that instructors may subconsciously "normalize" grades to match expected distributions or to reward perceived effort rather than output (Brookhart, 2011). This can inadvertently favour certain student profiles and disadvantage others, raising ethical and pedagogical concerns.</w:t>
      </w:r>
    </w:p>
    <w:p w14:paraId="0B86D534" w14:textId="6D92B5C2" w:rsidR="006D225A" w:rsidRPr="00766F82" w:rsidRDefault="006D225A" w:rsidP="000E7A0F">
      <w:pPr>
        <w:pStyle w:val="BodyText"/>
        <w:spacing w:before="2"/>
        <w:ind w:left="0" w:right="23"/>
        <w:rPr>
          <w:lang w:val="en-MY"/>
        </w:rPr>
        <w:sectPr w:rsidR="006D225A" w:rsidRPr="00766F82" w:rsidSect="00014C36">
          <w:pgSz w:w="11910" w:h="16840" w:code="9"/>
          <w:pgMar w:top="1094" w:right="607" w:bottom="607" w:left="607" w:header="346" w:footer="403" w:gutter="720"/>
          <w:cols w:space="720"/>
          <w:docGrid w:linePitch="299"/>
        </w:sectPr>
      </w:pPr>
    </w:p>
    <w:p w14:paraId="5D12258F" w14:textId="77777777" w:rsidR="005B4F81" w:rsidRPr="00D32AE3" w:rsidRDefault="005B4F81" w:rsidP="006D225A">
      <w:pPr>
        <w:pStyle w:val="BodyText"/>
        <w:spacing w:before="2"/>
        <w:ind w:left="0" w:right="23"/>
        <w:rPr>
          <w:b/>
          <w:bCs/>
          <w:lang w:val="en-MY"/>
        </w:rPr>
      </w:pPr>
    </w:p>
    <w:p w14:paraId="1C37B558" w14:textId="26C312BD" w:rsidR="005B4F81" w:rsidRPr="00D32AE3" w:rsidRDefault="005B4F81" w:rsidP="005B4F81">
      <w:pPr>
        <w:pStyle w:val="BodyText"/>
        <w:spacing w:before="2"/>
        <w:ind w:right="23"/>
        <w:rPr>
          <w:rFonts w:asciiTheme="majorBidi" w:hAnsiTheme="majorBidi" w:cstheme="majorBidi"/>
          <w:b/>
          <w:bCs/>
          <w:sz w:val="24"/>
          <w:szCs w:val="24"/>
          <w:lang w:val="en-MY"/>
        </w:rPr>
      </w:pPr>
      <w:r w:rsidRPr="00D32AE3">
        <w:rPr>
          <w:rFonts w:asciiTheme="majorBidi" w:hAnsiTheme="majorBidi" w:cstheme="majorBidi"/>
          <w:b/>
          <w:bCs/>
          <w:sz w:val="24"/>
          <w:szCs w:val="24"/>
          <w:lang w:val="en-MY"/>
        </w:rPr>
        <w:t>Research Design</w:t>
      </w:r>
    </w:p>
    <w:p w14:paraId="7705F497" w14:textId="77777777" w:rsidR="00110818" w:rsidRPr="00D32AE3" w:rsidRDefault="00110818" w:rsidP="005B4F81">
      <w:pPr>
        <w:pStyle w:val="BodyText"/>
        <w:spacing w:before="2"/>
        <w:ind w:right="23"/>
        <w:rPr>
          <w:rFonts w:asciiTheme="majorBidi" w:hAnsiTheme="majorBidi" w:cstheme="majorBidi"/>
          <w:b/>
          <w:bCs/>
          <w:sz w:val="24"/>
          <w:szCs w:val="24"/>
          <w:lang w:val="en-MY"/>
        </w:rPr>
      </w:pPr>
    </w:p>
    <w:p w14:paraId="65FE1BE0" w14:textId="77777777" w:rsidR="00110818" w:rsidRPr="00D32AE3" w:rsidRDefault="005B4F81" w:rsidP="005B4F81">
      <w:pPr>
        <w:pStyle w:val="BodyText"/>
        <w:spacing w:before="2"/>
        <w:ind w:right="23"/>
        <w:rPr>
          <w:rFonts w:asciiTheme="majorBidi" w:hAnsiTheme="majorBidi" w:cstheme="majorBidi"/>
          <w:sz w:val="24"/>
          <w:szCs w:val="24"/>
          <w:lang w:val="en-MY"/>
        </w:rPr>
      </w:pPr>
      <w:r w:rsidRPr="00D32AE3">
        <w:rPr>
          <w:rFonts w:asciiTheme="majorBidi" w:hAnsiTheme="majorBidi" w:cstheme="majorBidi"/>
          <w:sz w:val="24"/>
          <w:szCs w:val="24"/>
          <w:lang w:val="en-MY"/>
        </w:rPr>
        <w:t>This study employs a quantitative research approach to investigate the relationship between student performance and adjustments made to continuous assessment (CA) scores in a Water and Wastewater Engineering course. This course is typically offered to the fifth semester or final year students for civil engineering diploma program. The course includes both calculation and theoretical components, with CA constituting 40% and the final examination 60% of the total course grade.The methodology is designed to evaluate whether such adjustments are data-driven, performance-justified, and equitably applied.</w:t>
      </w:r>
    </w:p>
    <w:p w14:paraId="3C835DD8" w14:textId="679B4049" w:rsidR="00187C2D" w:rsidRPr="00D32AE3" w:rsidRDefault="005B4F81" w:rsidP="00110818">
      <w:pPr>
        <w:pStyle w:val="BodyText"/>
        <w:spacing w:before="2"/>
        <w:ind w:right="23" w:firstLine="566"/>
        <w:rPr>
          <w:rFonts w:asciiTheme="majorBidi" w:hAnsiTheme="majorBidi" w:cstheme="majorBidi"/>
          <w:sz w:val="24"/>
          <w:szCs w:val="24"/>
        </w:rPr>
      </w:pPr>
      <w:r w:rsidRPr="00D32AE3">
        <w:rPr>
          <w:rFonts w:asciiTheme="majorBidi" w:hAnsiTheme="majorBidi" w:cstheme="majorBidi"/>
          <w:sz w:val="24"/>
          <w:szCs w:val="24"/>
          <w:lang w:val="en-MY"/>
        </w:rPr>
        <w:t>The adjustment of the CA for the course is given in the Table 2 below. Historical data from Universiti Teknologi Mara (UiTM) Pasir Gudang Civil Engineering Diploma programme student were collected for two consecutive academic sessions. The academic sessions involved in this study were March – July 2024 and October 2024 – February 2025. The performance of the related POs, students final course grade and failure rate for the pre and post adjustment data is analysed.</w:t>
      </w:r>
      <w:r w:rsidR="00110818" w:rsidRPr="00D32AE3">
        <w:rPr>
          <w:rFonts w:asciiTheme="majorBidi" w:hAnsiTheme="majorBidi" w:cstheme="majorBidi"/>
          <w:sz w:val="24"/>
          <w:szCs w:val="24"/>
          <w:lang w:val="en-MY"/>
        </w:rPr>
        <w:t xml:space="preserve"> </w:t>
      </w:r>
      <w:r w:rsidRPr="00D32AE3">
        <w:rPr>
          <w:rFonts w:asciiTheme="majorBidi" w:hAnsiTheme="majorBidi" w:cstheme="majorBidi"/>
          <w:sz w:val="24"/>
          <w:szCs w:val="24"/>
        </w:rPr>
        <w:t xml:space="preserve">The analysis technique used is content analysis with the data validity test using the triangulation theory. </w:t>
      </w:r>
    </w:p>
    <w:p w14:paraId="0642F0F9" w14:textId="77777777" w:rsidR="006D225A" w:rsidRPr="00D32AE3" w:rsidRDefault="006D225A" w:rsidP="006D225A">
      <w:pPr>
        <w:pStyle w:val="BodyText"/>
        <w:ind w:left="0"/>
        <w:rPr>
          <w:rFonts w:asciiTheme="majorBidi" w:hAnsiTheme="majorBidi" w:cstheme="majorBidi"/>
          <w:sz w:val="24"/>
          <w:szCs w:val="24"/>
        </w:rPr>
      </w:pPr>
    </w:p>
    <w:tbl>
      <w:tblPr>
        <w:tblStyle w:val="TableGrid"/>
        <w:tblpPr w:leftFromText="180" w:rightFromText="180" w:vertAnchor="text" w:horzAnchor="page" w:tblpX="3343" w:tblpY="483"/>
        <w:tblW w:w="0" w:type="auto"/>
        <w:tblLook w:val="04A0" w:firstRow="1" w:lastRow="0" w:firstColumn="1" w:lastColumn="0" w:noHBand="0" w:noVBand="1"/>
      </w:tblPr>
      <w:tblGrid>
        <w:gridCol w:w="1866"/>
        <w:gridCol w:w="2346"/>
        <w:gridCol w:w="2551"/>
      </w:tblGrid>
      <w:tr w:rsidR="006D225A" w:rsidRPr="00D32AE3" w14:paraId="23F1C079" w14:textId="77777777" w:rsidTr="006D225A">
        <w:tc>
          <w:tcPr>
            <w:tcW w:w="1765" w:type="dxa"/>
          </w:tcPr>
          <w:p w14:paraId="2DEF2DD6" w14:textId="77777777" w:rsidR="006D225A" w:rsidRPr="00D32AE3" w:rsidRDefault="006D225A" w:rsidP="006D225A">
            <w:pPr>
              <w:ind w:left="-109"/>
              <w:jc w:val="center"/>
              <w:rPr>
                <w:rFonts w:asciiTheme="majorBidi" w:hAnsiTheme="majorBidi" w:cstheme="majorBidi"/>
                <w:b/>
                <w:bCs/>
                <w:sz w:val="24"/>
                <w:szCs w:val="24"/>
              </w:rPr>
            </w:pPr>
            <w:r w:rsidRPr="00D32AE3">
              <w:rPr>
                <w:rFonts w:asciiTheme="majorBidi" w:hAnsiTheme="majorBidi" w:cstheme="majorBidi"/>
                <w:b/>
                <w:bCs/>
                <w:sz w:val="24"/>
                <w:szCs w:val="24"/>
              </w:rPr>
              <w:t>ACADEMIC SESSION</w:t>
            </w:r>
          </w:p>
        </w:tc>
        <w:tc>
          <w:tcPr>
            <w:tcW w:w="2346" w:type="dxa"/>
          </w:tcPr>
          <w:p w14:paraId="4BBE421C" w14:textId="77777777" w:rsidR="006D225A" w:rsidRPr="00D32AE3" w:rsidRDefault="006D225A" w:rsidP="006D225A">
            <w:pPr>
              <w:jc w:val="center"/>
              <w:rPr>
                <w:rFonts w:asciiTheme="majorBidi" w:hAnsiTheme="majorBidi" w:cstheme="majorBidi"/>
                <w:b/>
                <w:bCs/>
                <w:sz w:val="24"/>
                <w:szCs w:val="24"/>
              </w:rPr>
            </w:pPr>
            <w:r w:rsidRPr="00D32AE3">
              <w:rPr>
                <w:rFonts w:asciiTheme="majorBidi" w:hAnsiTheme="majorBidi" w:cstheme="majorBidi"/>
                <w:b/>
                <w:bCs/>
                <w:sz w:val="24"/>
                <w:szCs w:val="24"/>
              </w:rPr>
              <w:t>MARCH – JULY 2024</w:t>
            </w:r>
          </w:p>
        </w:tc>
        <w:tc>
          <w:tcPr>
            <w:tcW w:w="2551" w:type="dxa"/>
          </w:tcPr>
          <w:p w14:paraId="5CFAFE11" w14:textId="77777777" w:rsidR="006D225A" w:rsidRPr="00D32AE3" w:rsidRDefault="006D225A" w:rsidP="006D225A">
            <w:pPr>
              <w:jc w:val="center"/>
              <w:rPr>
                <w:rFonts w:asciiTheme="majorBidi" w:hAnsiTheme="majorBidi" w:cstheme="majorBidi"/>
                <w:b/>
                <w:bCs/>
                <w:sz w:val="24"/>
                <w:szCs w:val="24"/>
              </w:rPr>
            </w:pPr>
            <w:r w:rsidRPr="00D32AE3">
              <w:rPr>
                <w:rFonts w:asciiTheme="majorBidi" w:hAnsiTheme="majorBidi" w:cstheme="majorBidi"/>
                <w:b/>
                <w:bCs/>
                <w:sz w:val="24"/>
                <w:szCs w:val="24"/>
              </w:rPr>
              <w:t>OCTOBER 2024 – FEBRUARY 2025</w:t>
            </w:r>
          </w:p>
        </w:tc>
      </w:tr>
      <w:tr w:rsidR="006D225A" w:rsidRPr="00D32AE3" w14:paraId="06E842AF" w14:textId="77777777" w:rsidTr="006D225A">
        <w:tc>
          <w:tcPr>
            <w:tcW w:w="1765" w:type="dxa"/>
          </w:tcPr>
          <w:p w14:paraId="0C71A3D3" w14:textId="77777777" w:rsidR="006D225A" w:rsidRPr="00D32AE3" w:rsidRDefault="006D225A" w:rsidP="006D225A">
            <w:pPr>
              <w:jc w:val="center"/>
              <w:rPr>
                <w:rFonts w:asciiTheme="majorBidi" w:hAnsiTheme="majorBidi" w:cstheme="majorBidi"/>
                <w:b/>
                <w:bCs/>
                <w:sz w:val="24"/>
                <w:szCs w:val="24"/>
              </w:rPr>
            </w:pPr>
            <w:r w:rsidRPr="00D32AE3">
              <w:rPr>
                <w:rFonts w:asciiTheme="majorBidi" w:hAnsiTheme="majorBidi" w:cstheme="majorBidi"/>
                <w:b/>
                <w:bCs/>
                <w:sz w:val="24"/>
                <w:szCs w:val="24"/>
              </w:rPr>
              <w:t>CONTINUOS ASSESSMENT:</w:t>
            </w:r>
          </w:p>
          <w:p w14:paraId="7EA67C29" w14:textId="77777777" w:rsidR="006D225A" w:rsidRPr="00D32AE3" w:rsidRDefault="006D225A" w:rsidP="006D225A">
            <w:pPr>
              <w:jc w:val="center"/>
              <w:rPr>
                <w:rFonts w:asciiTheme="majorBidi" w:hAnsiTheme="majorBidi" w:cstheme="majorBidi"/>
                <w:b/>
                <w:bCs/>
                <w:sz w:val="24"/>
                <w:szCs w:val="24"/>
              </w:rPr>
            </w:pPr>
          </w:p>
          <w:p w14:paraId="53F63F08" w14:textId="77777777" w:rsidR="006D225A" w:rsidRPr="00D32AE3" w:rsidRDefault="006D225A" w:rsidP="006D225A">
            <w:pPr>
              <w:jc w:val="center"/>
              <w:rPr>
                <w:rFonts w:asciiTheme="majorBidi" w:hAnsiTheme="majorBidi" w:cstheme="majorBidi"/>
                <w:b/>
                <w:bCs/>
                <w:sz w:val="24"/>
                <w:szCs w:val="24"/>
              </w:rPr>
            </w:pPr>
            <w:r w:rsidRPr="00D32AE3">
              <w:rPr>
                <w:rFonts w:asciiTheme="majorBidi" w:hAnsiTheme="majorBidi" w:cstheme="majorBidi"/>
                <w:b/>
                <w:bCs/>
                <w:sz w:val="24"/>
                <w:szCs w:val="24"/>
              </w:rPr>
              <w:t>TEST</w:t>
            </w:r>
          </w:p>
          <w:p w14:paraId="28DD05C7" w14:textId="77777777" w:rsidR="006D225A" w:rsidRPr="00D32AE3" w:rsidRDefault="006D225A" w:rsidP="006D225A">
            <w:pPr>
              <w:jc w:val="center"/>
              <w:rPr>
                <w:rFonts w:asciiTheme="majorBidi" w:hAnsiTheme="majorBidi" w:cstheme="majorBidi"/>
                <w:b/>
                <w:bCs/>
                <w:sz w:val="24"/>
                <w:szCs w:val="24"/>
              </w:rPr>
            </w:pPr>
          </w:p>
          <w:p w14:paraId="42335E09" w14:textId="77777777" w:rsidR="006D225A" w:rsidRPr="00D32AE3" w:rsidRDefault="006D225A" w:rsidP="006D225A">
            <w:pPr>
              <w:jc w:val="center"/>
              <w:rPr>
                <w:rFonts w:asciiTheme="majorBidi" w:hAnsiTheme="majorBidi" w:cstheme="majorBidi"/>
                <w:sz w:val="24"/>
                <w:szCs w:val="24"/>
              </w:rPr>
            </w:pPr>
            <w:r w:rsidRPr="00D32AE3">
              <w:rPr>
                <w:rFonts w:asciiTheme="majorBidi" w:hAnsiTheme="majorBidi" w:cstheme="majorBidi"/>
                <w:b/>
                <w:bCs/>
                <w:sz w:val="24"/>
                <w:szCs w:val="24"/>
              </w:rPr>
              <w:t>ASSIGNMENT</w:t>
            </w:r>
          </w:p>
        </w:tc>
        <w:tc>
          <w:tcPr>
            <w:tcW w:w="2346" w:type="dxa"/>
          </w:tcPr>
          <w:p w14:paraId="47AB68B2" w14:textId="77777777" w:rsidR="006D225A" w:rsidRPr="00D32AE3" w:rsidRDefault="006D225A" w:rsidP="006D225A">
            <w:pPr>
              <w:jc w:val="center"/>
              <w:rPr>
                <w:rFonts w:asciiTheme="majorBidi" w:hAnsiTheme="majorBidi" w:cstheme="majorBidi"/>
                <w:sz w:val="24"/>
                <w:szCs w:val="24"/>
              </w:rPr>
            </w:pPr>
          </w:p>
          <w:p w14:paraId="15DC3DF2" w14:textId="77777777" w:rsidR="006D225A" w:rsidRPr="00D32AE3" w:rsidRDefault="006D225A" w:rsidP="006D225A">
            <w:pPr>
              <w:jc w:val="center"/>
              <w:rPr>
                <w:rFonts w:asciiTheme="majorBidi" w:hAnsiTheme="majorBidi" w:cstheme="majorBidi"/>
                <w:sz w:val="24"/>
                <w:szCs w:val="24"/>
              </w:rPr>
            </w:pPr>
          </w:p>
          <w:p w14:paraId="3D41391E" w14:textId="77777777" w:rsidR="006D225A" w:rsidRPr="00D32AE3" w:rsidRDefault="006D225A" w:rsidP="006D225A">
            <w:pPr>
              <w:jc w:val="center"/>
              <w:rPr>
                <w:rFonts w:asciiTheme="majorBidi" w:hAnsiTheme="majorBidi" w:cstheme="majorBidi"/>
                <w:sz w:val="24"/>
                <w:szCs w:val="24"/>
              </w:rPr>
            </w:pPr>
          </w:p>
          <w:p w14:paraId="0A390353" w14:textId="77777777" w:rsidR="006D225A" w:rsidRPr="00D32AE3" w:rsidRDefault="006D225A" w:rsidP="006D225A">
            <w:pPr>
              <w:jc w:val="center"/>
              <w:rPr>
                <w:rFonts w:asciiTheme="majorBidi" w:hAnsiTheme="majorBidi" w:cstheme="majorBidi"/>
                <w:sz w:val="24"/>
                <w:szCs w:val="24"/>
              </w:rPr>
            </w:pPr>
            <w:r w:rsidRPr="00D32AE3">
              <w:rPr>
                <w:rFonts w:asciiTheme="majorBidi" w:hAnsiTheme="majorBidi" w:cstheme="majorBidi"/>
                <w:sz w:val="24"/>
                <w:szCs w:val="24"/>
              </w:rPr>
              <w:t>30</w:t>
            </w:r>
          </w:p>
          <w:p w14:paraId="48414F4F" w14:textId="77777777" w:rsidR="006D225A" w:rsidRPr="00D32AE3" w:rsidRDefault="006D225A" w:rsidP="006D225A">
            <w:pPr>
              <w:jc w:val="center"/>
              <w:rPr>
                <w:rFonts w:asciiTheme="majorBidi" w:hAnsiTheme="majorBidi" w:cstheme="majorBidi"/>
                <w:sz w:val="24"/>
                <w:szCs w:val="24"/>
              </w:rPr>
            </w:pPr>
          </w:p>
          <w:p w14:paraId="0C8C6078" w14:textId="77777777" w:rsidR="006D225A" w:rsidRPr="00D32AE3" w:rsidRDefault="006D225A" w:rsidP="006D225A">
            <w:pPr>
              <w:jc w:val="center"/>
              <w:rPr>
                <w:rFonts w:asciiTheme="majorBidi" w:hAnsiTheme="majorBidi" w:cstheme="majorBidi"/>
                <w:sz w:val="24"/>
                <w:szCs w:val="24"/>
              </w:rPr>
            </w:pPr>
            <w:r w:rsidRPr="00D32AE3">
              <w:rPr>
                <w:rFonts w:asciiTheme="majorBidi" w:hAnsiTheme="majorBidi" w:cstheme="majorBidi"/>
                <w:sz w:val="24"/>
                <w:szCs w:val="24"/>
              </w:rPr>
              <w:t>10</w:t>
            </w:r>
          </w:p>
        </w:tc>
        <w:tc>
          <w:tcPr>
            <w:tcW w:w="2551" w:type="dxa"/>
          </w:tcPr>
          <w:p w14:paraId="005D9C1C" w14:textId="77777777" w:rsidR="006D225A" w:rsidRPr="00D32AE3" w:rsidRDefault="006D225A" w:rsidP="006D225A">
            <w:pPr>
              <w:jc w:val="center"/>
              <w:rPr>
                <w:rFonts w:asciiTheme="majorBidi" w:hAnsiTheme="majorBidi" w:cstheme="majorBidi"/>
                <w:sz w:val="24"/>
                <w:szCs w:val="24"/>
              </w:rPr>
            </w:pPr>
          </w:p>
          <w:p w14:paraId="223AA0B6" w14:textId="77777777" w:rsidR="006D225A" w:rsidRPr="00D32AE3" w:rsidRDefault="006D225A" w:rsidP="006D225A">
            <w:pPr>
              <w:jc w:val="center"/>
              <w:rPr>
                <w:rFonts w:asciiTheme="majorBidi" w:hAnsiTheme="majorBidi" w:cstheme="majorBidi"/>
                <w:sz w:val="24"/>
                <w:szCs w:val="24"/>
              </w:rPr>
            </w:pPr>
          </w:p>
          <w:p w14:paraId="3E3424FC" w14:textId="77777777" w:rsidR="006D225A" w:rsidRPr="00D32AE3" w:rsidRDefault="006D225A" w:rsidP="006D225A">
            <w:pPr>
              <w:jc w:val="center"/>
              <w:rPr>
                <w:rFonts w:asciiTheme="majorBidi" w:hAnsiTheme="majorBidi" w:cstheme="majorBidi"/>
                <w:sz w:val="24"/>
                <w:szCs w:val="24"/>
              </w:rPr>
            </w:pPr>
          </w:p>
          <w:p w14:paraId="717BA89E" w14:textId="77777777" w:rsidR="006D225A" w:rsidRPr="00D32AE3" w:rsidRDefault="006D225A" w:rsidP="006D225A">
            <w:pPr>
              <w:jc w:val="center"/>
              <w:rPr>
                <w:rFonts w:asciiTheme="majorBidi" w:hAnsiTheme="majorBidi" w:cstheme="majorBidi"/>
                <w:sz w:val="24"/>
                <w:szCs w:val="24"/>
              </w:rPr>
            </w:pPr>
            <w:r w:rsidRPr="00D32AE3">
              <w:rPr>
                <w:rFonts w:asciiTheme="majorBidi" w:hAnsiTheme="majorBidi" w:cstheme="majorBidi"/>
                <w:sz w:val="24"/>
                <w:szCs w:val="24"/>
              </w:rPr>
              <w:t>20</w:t>
            </w:r>
          </w:p>
          <w:p w14:paraId="3000A3C5" w14:textId="77777777" w:rsidR="006D225A" w:rsidRPr="00D32AE3" w:rsidRDefault="006D225A" w:rsidP="006D225A">
            <w:pPr>
              <w:jc w:val="center"/>
              <w:rPr>
                <w:rFonts w:asciiTheme="majorBidi" w:hAnsiTheme="majorBidi" w:cstheme="majorBidi"/>
                <w:sz w:val="24"/>
                <w:szCs w:val="24"/>
              </w:rPr>
            </w:pPr>
          </w:p>
          <w:p w14:paraId="23978579" w14:textId="77777777" w:rsidR="006D225A" w:rsidRPr="00D32AE3" w:rsidRDefault="006D225A" w:rsidP="006D225A">
            <w:pPr>
              <w:jc w:val="center"/>
              <w:rPr>
                <w:rFonts w:asciiTheme="majorBidi" w:hAnsiTheme="majorBidi" w:cstheme="majorBidi"/>
                <w:sz w:val="24"/>
                <w:szCs w:val="24"/>
              </w:rPr>
            </w:pPr>
            <w:r w:rsidRPr="00D32AE3">
              <w:rPr>
                <w:rFonts w:asciiTheme="majorBidi" w:hAnsiTheme="majorBidi" w:cstheme="majorBidi"/>
                <w:sz w:val="24"/>
                <w:szCs w:val="24"/>
              </w:rPr>
              <w:t>20</w:t>
            </w:r>
          </w:p>
        </w:tc>
      </w:tr>
    </w:tbl>
    <w:p w14:paraId="7B6BB450" w14:textId="77777777" w:rsidR="006D225A" w:rsidRPr="00D32AE3" w:rsidRDefault="006D225A" w:rsidP="006D225A">
      <w:pPr>
        <w:pStyle w:val="BodyText"/>
        <w:jc w:val="center"/>
        <w:rPr>
          <w:rFonts w:asciiTheme="majorBidi" w:hAnsiTheme="majorBidi" w:cstheme="majorBidi"/>
          <w:sz w:val="24"/>
          <w:szCs w:val="24"/>
        </w:rPr>
      </w:pPr>
      <w:r w:rsidRPr="00D32AE3">
        <w:rPr>
          <w:rFonts w:asciiTheme="majorBidi" w:hAnsiTheme="majorBidi" w:cstheme="majorBidi"/>
          <w:sz w:val="24"/>
          <w:szCs w:val="24"/>
        </w:rPr>
        <w:t xml:space="preserve"> Table 2: Course Assessment (CA) adjustment</w:t>
      </w:r>
    </w:p>
    <w:p w14:paraId="60E25760" w14:textId="77777777" w:rsidR="006D225A" w:rsidRPr="00D32AE3" w:rsidRDefault="006D225A" w:rsidP="006D225A">
      <w:pPr>
        <w:rPr>
          <w:rFonts w:asciiTheme="majorBidi" w:hAnsiTheme="majorBidi" w:cstheme="majorBidi"/>
          <w:sz w:val="24"/>
          <w:szCs w:val="24"/>
        </w:rPr>
      </w:pPr>
    </w:p>
    <w:p w14:paraId="1744B25B" w14:textId="77777777" w:rsidR="006D225A" w:rsidRPr="00D32AE3" w:rsidRDefault="006D225A" w:rsidP="006D225A">
      <w:pPr>
        <w:rPr>
          <w:rFonts w:asciiTheme="majorBidi" w:hAnsiTheme="majorBidi" w:cstheme="majorBidi"/>
          <w:sz w:val="24"/>
          <w:szCs w:val="24"/>
        </w:rPr>
      </w:pPr>
    </w:p>
    <w:p w14:paraId="2B316702" w14:textId="77777777" w:rsidR="006D225A" w:rsidRPr="00D32AE3" w:rsidRDefault="006D225A" w:rsidP="006D225A">
      <w:pPr>
        <w:rPr>
          <w:rFonts w:asciiTheme="majorBidi" w:hAnsiTheme="majorBidi" w:cstheme="majorBidi"/>
          <w:sz w:val="24"/>
          <w:szCs w:val="24"/>
        </w:rPr>
      </w:pPr>
    </w:p>
    <w:p w14:paraId="192C755C" w14:textId="004D1ADA" w:rsidR="006D225A" w:rsidRPr="00D32AE3" w:rsidRDefault="006D225A" w:rsidP="006D225A">
      <w:pPr>
        <w:rPr>
          <w:rFonts w:asciiTheme="majorBidi" w:hAnsiTheme="majorBidi" w:cstheme="majorBidi"/>
          <w:sz w:val="24"/>
          <w:szCs w:val="24"/>
        </w:rPr>
      </w:pPr>
    </w:p>
    <w:p w14:paraId="4287FD59" w14:textId="77777777" w:rsidR="006D225A" w:rsidRPr="00D32AE3" w:rsidRDefault="006D225A" w:rsidP="006D225A">
      <w:pPr>
        <w:rPr>
          <w:rFonts w:asciiTheme="majorBidi" w:hAnsiTheme="majorBidi" w:cstheme="majorBidi"/>
          <w:sz w:val="24"/>
          <w:szCs w:val="24"/>
        </w:rPr>
      </w:pPr>
    </w:p>
    <w:p w14:paraId="3D92EFA8" w14:textId="77777777" w:rsidR="006D225A" w:rsidRPr="00D32AE3" w:rsidRDefault="006D225A" w:rsidP="006D225A">
      <w:pPr>
        <w:rPr>
          <w:rFonts w:asciiTheme="majorBidi" w:hAnsiTheme="majorBidi" w:cstheme="majorBidi"/>
          <w:sz w:val="24"/>
          <w:szCs w:val="24"/>
        </w:rPr>
      </w:pPr>
    </w:p>
    <w:p w14:paraId="3E0130B9" w14:textId="77777777" w:rsidR="006D225A" w:rsidRPr="00D32AE3" w:rsidRDefault="006D225A" w:rsidP="006D225A">
      <w:pPr>
        <w:rPr>
          <w:rFonts w:asciiTheme="majorBidi" w:hAnsiTheme="majorBidi" w:cstheme="majorBidi"/>
          <w:sz w:val="24"/>
          <w:szCs w:val="24"/>
        </w:rPr>
      </w:pPr>
    </w:p>
    <w:p w14:paraId="67D8B2E8" w14:textId="77777777" w:rsidR="006D225A" w:rsidRPr="00D32AE3" w:rsidRDefault="006D225A" w:rsidP="006D225A">
      <w:pPr>
        <w:rPr>
          <w:rFonts w:asciiTheme="majorBidi" w:hAnsiTheme="majorBidi" w:cstheme="majorBidi"/>
          <w:sz w:val="24"/>
          <w:szCs w:val="24"/>
        </w:rPr>
      </w:pPr>
    </w:p>
    <w:p w14:paraId="62117FE5" w14:textId="2D244B18" w:rsidR="006D225A" w:rsidRPr="00D32AE3" w:rsidRDefault="006D225A" w:rsidP="006D225A">
      <w:pPr>
        <w:rPr>
          <w:rFonts w:asciiTheme="majorBidi" w:hAnsiTheme="majorBidi" w:cstheme="majorBidi"/>
          <w:sz w:val="24"/>
          <w:szCs w:val="24"/>
        </w:rPr>
      </w:pPr>
    </w:p>
    <w:p w14:paraId="2848CC9D" w14:textId="77777777" w:rsidR="006D225A" w:rsidRPr="00D32AE3" w:rsidRDefault="006D225A" w:rsidP="006D225A">
      <w:pPr>
        <w:rPr>
          <w:rFonts w:asciiTheme="majorBidi" w:hAnsiTheme="majorBidi" w:cstheme="majorBidi"/>
          <w:sz w:val="24"/>
          <w:szCs w:val="24"/>
        </w:rPr>
      </w:pPr>
    </w:p>
    <w:p w14:paraId="6DE2D7A7" w14:textId="7DEF21FE" w:rsidR="006D225A" w:rsidRPr="00D32AE3" w:rsidRDefault="006D225A" w:rsidP="006D225A">
      <w:pPr>
        <w:rPr>
          <w:rFonts w:asciiTheme="majorBidi" w:hAnsiTheme="majorBidi" w:cstheme="majorBidi"/>
          <w:sz w:val="24"/>
          <w:szCs w:val="24"/>
        </w:rPr>
      </w:pPr>
    </w:p>
    <w:p w14:paraId="3FF11794" w14:textId="51A4F353" w:rsidR="006D225A" w:rsidRPr="00D32AE3" w:rsidRDefault="006D225A" w:rsidP="006D225A">
      <w:pPr>
        <w:ind w:left="874"/>
        <w:jc w:val="both"/>
        <w:rPr>
          <w:rFonts w:asciiTheme="majorBidi" w:hAnsiTheme="majorBidi" w:cstheme="majorBidi"/>
          <w:sz w:val="28"/>
          <w:szCs w:val="28"/>
        </w:rPr>
      </w:pPr>
      <w:r w:rsidRPr="00D32AE3">
        <w:rPr>
          <w:rFonts w:asciiTheme="majorBidi" w:hAnsiTheme="majorBidi" w:cstheme="majorBidi"/>
          <w:b/>
          <w:sz w:val="28"/>
          <w:szCs w:val="28"/>
        </w:rPr>
        <w:t>RESULT</w:t>
      </w:r>
      <w:r w:rsidRPr="00D32AE3">
        <w:rPr>
          <w:rFonts w:asciiTheme="majorBidi" w:hAnsiTheme="majorBidi" w:cstheme="majorBidi"/>
          <w:b/>
          <w:spacing w:val="-2"/>
          <w:sz w:val="28"/>
          <w:szCs w:val="28"/>
        </w:rPr>
        <w:t xml:space="preserve"> </w:t>
      </w:r>
      <w:r w:rsidRPr="00D32AE3">
        <w:rPr>
          <w:rFonts w:asciiTheme="majorBidi" w:hAnsiTheme="majorBidi" w:cstheme="majorBidi"/>
          <w:b/>
          <w:sz w:val="28"/>
          <w:szCs w:val="28"/>
        </w:rPr>
        <w:t>AND</w:t>
      </w:r>
      <w:r w:rsidRPr="00D32AE3">
        <w:rPr>
          <w:rFonts w:asciiTheme="majorBidi" w:hAnsiTheme="majorBidi" w:cstheme="majorBidi"/>
          <w:b/>
          <w:spacing w:val="-2"/>
          <w:sz w:val="28"/>
          <w:szCs w:val="28"/>
        </w:rPr>
        <w:t xml:space="preserve"> </w:t>
      </w:r>
      <w:r w:rsidRPr="00D32AE3">
        <w:rPr>
          <w:rFonts w:asciiTheme="majorBidi" w:hAnsiTheme="majorBidi" w:cstheme="majorBidi"/>
          <w:b/>
          <w:sz w:val="28"/>
          <w:szCs w:val="28"/>
        </w:rPr>
        <w:t xml:space="preserve">DISCUSSION </w:t>
      </w:r>
    </w:p>
    <w:p w14:paraId="1F2269A6" w14:textId="77777777" w:rsidR="006D225A" w:rsidRPr="00D32AE3" w:rsidRDefault="006D225A" w:rsidP="006D225A">
      <w:pPr>
        <w:pStyle w:val="BodyText"/>
        <w:spacing w:before="2"/>
        <w:ind w:left="0"/>
        <w:jc w:val="left"/>
        <w:rPr>
          <w:rFonts w:asciiTheme="majorBidi" w:hAnsiTheme="majorBidi" w:cstheme="majorBidi"/>
          <w:sz w:val="24"/>
          <w:szCs w:val="24"/>
        </w:rPr>
      </w:pPr>
    </w:p>
    <w:p w14:paraId="063BD9D4" w14:textId="2D2E2171" w:rsidR="006D225A" w:rsidRPr="00D32AE3" w:rsidRDefault="006D225A" w:rsidP="006D225A">
      <w:pPr>
        <w:pStyle w:val="BodyText"/>
        <w:spacing w:before="1"/>
        <w:rPr>
          <w:rFonts w:asciiTheme="majorBidi" w:hAnsiTheme="majorBidi" w:cstheme="majorBidi"/>
          <w:b/>
          <w:bCs/>
          <w:sz w:val="24"/>
          <w:szCs w:val="24"/>
          <w:lang w:val="en-MY"/>
        </w:rPr>
      </w:pPr>
      <w:r w:rsidRPr="00D32AE3">
        <w:rPr>
          <w:rFonts w:asciiTheme="majorBidi" w:hAnsiTheme="majorBidi" w:cstheme="majorBidi"/>
          <w:b/>
          <w:bCs/>
          <w:sz w:val="24"/>
          <w:szCs w:val="24"/>
          <w:lang w:val="en-MY"/>
        </w:rPr>
        <w:t>Programme Outcomes (POs) performance</w:t>
      </w:r>
    </w:p>
    <w:p w14:paraId="441A4C62" w14:textId="66AD4BEB" w:rsidR="006D225A" w:rsidRPr="00D32AE3" w:rsidRDefault="006D225A" w:rsidP="006D225A">
      <w:pPr>
        <w:rPr>
          <w:rFonts w:asciiTheme="majorBidi" w:hAnsiTheme="majorBidi" w:cstheme="majorBidi"/>
          <w:sz w:val="24"/>
          <w:szCs w:val="24"/>
          <w:lang w:val="en-MY"/>
        </w:rPr>
      </w:pPr>
    </w:p>
    <w:p w14:paraId="5CA9844A" w14:textId="1E022082" w:rsidR="006D225A" w:rsidRPr="00D32AE3" w:rsidRDefault="006D225A" w:rsidP="006D225A">
      <w:pPr>
        <w:rPr>
          <w:rFonts w:asciiTheme="majorBidi" w:hAnsiTheme="majorBidi" w:cstheme="majorBidi"/>
          <w:sz w:val="24"/>
          <w:szCs w:val="24"/>
        </w:rPr>
      </w:pPr>
      <w:r w:rsidRPr="00D32AE3">
        <w:rPr>
          <w:rFonts w:asciiTheme="majorBidi" w:hAnsiTheme="majorBidi" w:cstheme="majorBidi"/>
          <w:noProof/>
          <w:sz w:val="24"/>
          <w:szCs w:val="24"/>
          <w:lang w:val="en-MY"/>
        </w:rPr>
        <w:drawing>
          <wp:anchor distT="0" distB="0" distL="114300" distR="114300" simplePos="0" relativeHeight="251654144" behindDoc="1" locked="0" layoutInCell="1" allowOverlap="1" wp14:anchorId="123481B8" wp14:editId="0A43E376">
            <wp:simplePos x="0" y="0"/>
            <wp:positionH relativeFrom="column">
              <wp:posOffset>795448</wp:posOffset>
            </wp:positionH>
            <wp:positionV relativeFrom="paragraph">
              <wp:posOffset>30480</wp:posOffset>
            </wp:positionV>
            <wp:extent cx="4524375" cy="2543175"/>
            <wp:effectExtent l="0" t="0" r="9525" b="9525"/>
            <wp:wrapThrough wrapText="bothSides">
              <wp:wrapPolygon edited="0">
                <wp:start x="0" y="0"/>
                <wp:lineTo x="0" y="21519"/>
                <wp:lineTo x="21555" y="21519"/>
                <wp:lineTo x="21555" y="0"/>
                <wp:lineTo x="0" y="0"/>
              </wp:wrapPolygon>
            </wp:wrapThrough>
            <wp:docPr id="1608077247" name="Chart 1">
              <a:extLst xmlns:a="http://schemas.openxmlformats.org/drawingml/2006/main">
                <a:ext uri="{FF2B5EF4-FFF2-40B4-BE49-F238E27FC236}">
                  <a16:creationId xmlns:a16="http://schemas.microsoft.com/office/drawing/2014/main" id="{B1748BCB-0438-C3B6-80DA-92A18A0137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C3E775E" w14:textId="77777777" w:rsidR="006D225A" w:rsidRPr="00D32AE3" w:rsidRDefault="006D225A" w:rsidP="006D225A">
      <w:pPr>
        <w:rPr>
          <w:rFonts w:asciiTheme="majorBidi" w:hAnsiTheme="majorBidi" w:cstheme="majorBidi"/>
          <w:sz w:val="24"/>
          <w:szCs w:val="24"/>
        </w:rPr>
      </w:pPr>
    </w:p>
    <w:p w14:paraId="2650A99C" w14:textId="77777777" w:rsidR="006D225A" w:rsidRPr="00D32AE3" w:rsidRDefault="006D225A" w:rsidP="006D225A">
      <w:pPr>
        <w:rPr>
          <w:rFonts w:asciiTheme="majorBidi" w:hAnsiTheme="majorBidi" w:cstheme="majorBidi"/>
          <w:sz w:val="24"/>
          <w:szCs w:val="24"/>
        </w:rPr>
      </w:pPr>
    </w:p>
    <w:p w14:paraId="10DF97B0" w14:textId="77777777" w:rsidR="006D225A" w:rsidRPr="00D32AE3" w:rsidRDefault="006D225A" w:rsidP="006D225A">
      <w:pPr>
        <w:rPr>
          <w:rFonts w:asciiTheme="majorBidi" w:hAnsiTheme="majorBidi" w:cstheme="majorBidi"/>
          <w:sz w:val="24"/>
          <w:szCs w:val="24"/>
        </w:rPr>
      </w:pPr>
    </w:p>
    <w:p w14:paraId="41261ECD" w14:textId="77777777" w:rsidR="006D225A" w:rsidRPr="00D32AE3" w:rsidRDefault="006D225A" w:rsidP="006D225A">
      <w:pPr>
        <w:rPr>
          <w:rFonts w:asciiTheme="majorBidi" w:hAnsiTheme="majorBidi" w:cstheme="majorBidi"/>
          <w:sz w:val="24"/>
          <w:szCs w:val="24"/>
        </w:rPr>
      </w:pPr>
    </w:p>
    <w:p w14:paraId="1C060542" w14:textId="77777777" w:rsidR="006D225A" w:rsidRPr="00D32AE3" w:rsidRDefault="006D225A" w:rsidP="006D225A">
      <w:pPr>
        <w:rPr>
          <w:rFonts w:asciiTheme="majorBidi" w:hAnsiTheme="majorBidi" w:cstheme="majorBidi"/>
          <w:sz w:val="24"/>
          <w:szCs w:val="24"/>
        </w:rPr>
      </w:pPr>
    </w:p>
    <w:p w14:paraId="7C21E50C" w14:textId="77777777" w:rsidR="006D225A" w:rsidRPr="00D32AE3" w:rsidRDefault="006D225A" w:rsidP="006D225A">
      <w:pPr>
        <w:rPr>
          <w:rFonts w:asciiTheme="majorBidi" w:hAnsiTheme="majorBidi" w:cstheme="majorBidi"/>
          <w:sz w:val="24"/>
          <w:szCs w:val="24"/>
        </w:rPr>
      </w:pPr>
    </w:p>
    <w:p w14:paraId="79F109A0" w14:textId="77777777" w:rsidR="006D225A" w:rsidRPr="00D32AE3" w:rsidRDefault="006D225A" w:rsidP="006D225A">
      <w:pPr>
        <w:rPr>
          <w:rFonts w:asciiTheme="majorBidi" w:hAnsiTheme="majorBidi" w:cstheme="majorBidi"/>
          <w:sz w:val="24"/>
          <w:szCs w:val="24"/>
        </w:rPr>
      </w:pPr>
    </w:p>
    <w:p w14:paraId="5B9241D1" w14:textId="77777777" w:rsidR="006D225A" w:rsidRPr="00D32AE3" w:rsidRDefault="006D225A" w:rsidP="006D225A">
      <w:pPr>
        <w:rPr>
          <w:rFonts w:asciiTheme="majorBidi" w:hAnsiTheme="majorBidi" w:cstheme="majorBidi"/>
          <w:sz w:val="24"/>
          <w:szCs w:val="24"/>
        </w:rPr>
      </w:pPr>
    </w:p>
    <w:p w14:paraId="6BF044C1" w14:textId="77777777" w:rsidR="006D225A" w:rsidRPr="00D32AE3" w:rsidRDefault="006D225A" w:rsidP="006D225A">
      <w:pPr>
        <w:rPr>
          <w:rFonts w:asciiTheme="majorBidi" w:hAnsiTheme="majorBidi" w:cstheme="majorBidi"/>
          <w:sz w:val="24"/>
          <w:szCs w:val="24"/>
        </w:rPr>
      </w:pPr>
    </w:p>
    <w:p w14:paraId="0E778926" w14:textId="77777777" w:rsidR="006D225A" w:rsidRPr="00D32AE3" w:rsidRDefault="006D225A" w:rsidP="006D225A">
      <w:pPr>
        <w:rPr>
          <w:rFonts w:asciiTheme="majorBidi" w:hAnsiTheme="majorBidi" w:cstheme="majorBidi"/>
          <w:sz w:val="24"/>
          <w:szCs w:val="24"/>
        </w:rPr>
      </w:pPr>
    </w:p>
    <w:p w14:paraId="7CB2F59F" w14:textId="77777777" w:rsidR="006D225A" w:rsidRPr="00D32AE3" w:rsidRDefault="006D225A" w:rsidP="006D225A">
      <w:pPr>
        <w:rPr>
          <w:rFonts w:asciiTheme="majorBidi" w:hAnsiTheme="majorBidi" w:cstheme="majorBidi"/>
          <w:sz w:val="24"/>
          <w:szCs w:val="24"/>
        </w:rPr>
      </w:pPr>
    </w:p>
    <w:p w14:paraId="3FDDA9C6" w14:textId="77777777" w:rsidR="006D225A" w:rsidRPr="00D32AE3" w:rsidRDefault="006D225A" w:rsidP="006D225A">
      <w:pPr>
        <w:rPr>
          <w:rFonts w:asciiTheme="majorBidi" w:hAnsiTheme="majorBidi" w:cstheme="majorBidi"/>
          <w:sz w:val="24"/>
          <w:szCs w:val="24"/>
        </w:rPr>
      </w:pPr>
    </w:p>
    <w:p w14:paraId="297A2CA4" w14:textId="77777777" w:rsidR="006D225A" w:rsidRPr="00D32AE3" w:rsidRDefault="006D225A" w:rsidP="006D225A">
      <w:pPr>
        <w:rPr>
          <w:rFonts w:asciiTheme="majorBidi" w:hAnsiTheme="majorBidi" w:cstheme="majorBidi"/>
          <w:sz w:val="24"/>
          <w:szCs w:val="24"/>
        </w:rPr>
      </w:pPr>
    </w:p>
    <w:p w14:paraId="1A04E81A" w14:textId="77777777" w:rsidR="006D225A" w:rsidRPr="00D32AE3" w:rsidRDefault="006D225A" w:rsidP="006D225A">
      <w:pPr>
        <w:rPr>
          <w:rFonts w:asciiTheme="majorBidi" w:hAnsiTheme="majorBidi" w:cstheme="majorBidi"/>
          <w:sz w:val="24"/>
          <w:szCs w:val="24"/>
        </w:rPr>
      </w:pPr>
    </w:p>
    <w:p w14:paraId="6B21EB3B" w14:textId="77777777" w:rsidR="006D225A" w:rsidRPr="00D32AE3" w:rsidRDefault="006D225A" w:rsidP="006D225A">
      <w:pPr>
        <w:pStyle w:val="BodyText"/>
        <w:jc w:val="center"/>
        <w:rPr>
          <w:rFonts w:asciiTheme="majorBidi" w:hAnsiTheme="majorBidi" w:cstheme="majorBidi"/>
          <w:sz w:val="24"/>
          <w:szCs w:val="24"/>
          <w:lang w:val="en-MY"/>
        </w:rPr>
      </w:pPr>
      <w:r w:rsidRPr="00D32AE3">
        <w:rPr>
          <w:rFonts w:asciiTheme="majorBidi" w:hAnsiTheme="majorBidi" w:cstheme="majorBidi"/>
          <w:sz w:val="24"/>
          <w:szCs w:val="24"/>
          <w:lang w:val="en-MY"/>
        </w:rPr>
        <w:t>Figure 1:PO3 and PO7 Attainment by Session</w:t>
      </w:r>
    </w:p>
    <w:p w14:paraId="039EDBE8" w14:textId="77777777" w:rsidR="00DE3F6D" w:rsidRDefault="00DE3F6D" w:rsidP="00DE3F6D">
      <w:pPr>
        <w:pStyle w:val="BodyText"/>
        <w:spacing w:before="1"/>
        <w:rPr>
          <w:rFonts w:asciiTheme="majorBidi" w:hAnsiTheme="majorBidi" w:cstheme="majorBidi"/>
          <w:i/>
          <w:iCs/>
          <w:sz w:val="24"/>
          <w:szCs w:val="24"/>
          <w:lang w:val="en-MY"/>
        </w:rPr>
      </w:pPr>
    </w:p>
    <w:p w14:paraId="50DC20C6" w14:textId="77777777" w:rsidR="00D32AE3" w:rsidRDefault="00D32AE3" w:rsidP="00DE3F6D">
      <w:pPr>
        <w:pStyle w:val="BodyText"/>
        <w:spacing w:before="1"/>
        <w:rPr>
          <w:rFonts w:asciiTheme="majorBidi" w:hAnsiTheme="majorBidi" w:cstheme="majorBidi"/>
          <w:i/>
          <w:iCs/>
          <w:sz w:val="24"/>
          <w:szCs w:val="24"/>
          <w:lang w:val="en-MY"/>
        </w:rPr>
      </w:pPr>
    </w:p>
    <w:p w14:paraId="2742F6D3" w14:textId="77777777" w:rsidR="00D32AE3" w:rsidRDefault="00D32AE3" w:rsidP="00DE3F6D">
      <w:pPr>
        <w:pStyle w:val="BodyText"/>
        <w:spacing w:before="1"/>
        <w:rPr>
          <w:rFonts w:asciiTheme="majorBidi" w:hAnsiTheme="majorBidi" w:cstheme="majorBidi"/>
          <w:i/>
          <w:iCs/>
          <w:sz w:val="24"/>
          <w:szCs w:val="24"/>
          <w:lang w:val="en-MY"/>
        </w:rPr>
      </w:pPr>
    </w:p>
    <w:p w14:paraId="5C7D08AA" w14:textId="77777777" w:rsidR="00D32AE3" w:rsidRPr="00D32AE3" w:rsidRDefault="00D32AE3" w:rsidP="00DE3F6D">
      <w:pPr>
        <w:pStyle w:val="BodyText"/>
        <w:spacing w:before="1"/>
        <w:rPr>
          <w:rFonts w:asciiTheme="majorBidi" w:hAnsiTheme="majorBidi" w:cstheme="majorBidi"/>
          <w:i/>
          <w:iCs/>
          <w:sz w:val="24"/>
          <w:szCs w:val="24"/>
          <w:lang w:val="en-MY"/>
        </w:rPr>
      </w:pPr>
    </w:p>
    <w:p w14:paraId="4816EFC1" w14:textId="789C3F79" w:rsidR="00901EC6" w:rsidRPr="00D32AE3" w:rsidRDefault="00DE3F6D" w:rsidP="00DE3F6D">
      <w:pPr>
        <w:pStyle w:val="BodyText"/>
        <w:spacing w:before="1"/>
        <w:rPr>
          <w:rFonts w:asciiTheme="majorBidi" w:hAnsiTheme="majorBidi" w:cstheme="majorBidi"/>
          <w:sz w:val="24"/>
          <w:szCs w:val="24"/>
          <w:lang w:val="en-MY"/>
        </w:rPr>
      </w:pPr>
      <w:r w:rsidRPr="00D32AE3">
        <w:rPr>
          <w:rFonts w:asciiTheme="majorBidi" w:hAnsiTheme="majorBidi" w:cstheme="majorBidi"/>
          <w:sz w:val="24"/>
          <w:szCs w:val="24"/>
          <w:lang w:val="en-MY"/>
        </w:rPr>
        <w:lastRenderedPageBreak/>
        <w:t>The analysis of Programme Outcomes (Pos) achievement was carried out across two successive academic sessions, namely March to July 2024 and October 2024 to February 2025, focusing specifically on PO3 (Design and Development of Solutions) and PO7 (Environment and Sustainability). As shown in Figure 1, the data reveal a marked enhancement in student attainment of both outcomes following the adjustment of the continuous assessment (CA) structure. For PO3, which primarily reflects students’ ability to apply design principles and technical problem</w:t>
      </w:r>
      <w:r w:rsidR="00901EC6" w:rsidRPr="00D32AE3">
        <w:rPr>
          <w:rFonts w:asciiTheme="majorBidi" w:hAnsiTheme="majorBidi" w:cstheme="majorBidi"/>
          <w:sz w:val="24"/>
          <w:szCs w:val="24"/>
          <w:lang w:val="en-MY"/>
        </w:rPr>
        <w:t xml:space="preserve"> </w:t>
      </w:r>
      <w:r w:rsidRPr="00D32AE3">
        <w:rPr>
          <w:rFonts w:asciiTheme="majorBidi" w:hAnsiTheme="majorBidi" w:cstheme="majorBidi"/>
          <w:sz w:val="24"/>
          <w:szCs w:val="24"/>
          <w:lang w:val="en-MY"/>
        </w:rPr>
        <w:t xml:space="preserve">solving in assessments such as tests and final examinations, the attainment level increased significantly from 56% to 89%. </w:t>
      </w:r>
    </w:p>
    <w:p w14:paraId="4D96E103" w14:textId="77777777" w:rsidR="006E0F25" w:rsidRPr="00D32AE3" w:rsidRDefault="00DE3F6D" w:rsidP="00901EC6">
      <w:pPr>
        <w:pStyle w:val="BodyText"/>
        <w:spacing w:before="1"/>
        <w:ind w:firstLine="566"/>
        <w:rPr>
          <w:rFonts w:asciiTheme="majorBidi" w:hAnsiTheme="majorBidi" w:cstheme="majorBidi"/>
          <w:sz w:val="24"/>
          <w:szCs w:val="24"/>
          <w:lang w:val="en-MY"/>
        </w:rPr>
      </w:pPr>
      <w:r w:rsidRPr="00D32AE3">
        <w:rPr>
          <w:rFonts w:asciiTheme="majorBidi" w:hAnsiTheme="majorBidi" w:cstheme="majorBidi"/>
          <w:sz w:val="24"/>
          <w:szCs w:val="24"/>
          <w:lang w:val="en-MY"/>
        </w:rPr>
        <w:t>This reflects an improvement of 33% points. For PO7, which evaluates students understanding of sustainability and environmental considerations through assignments, the performance rose from 88% to a complete attainment of 100%.  These improvements in PO attainment coincide with modifications made to the distribution of assessment components between the two sessions.</w:t>
      </w:r>
    </w:p>
    <w:p w14:paraId="2F5336E7" w14:textId="7EB51FE7" w:rsidR="00901EC6" w:rsidRPr="00D32AE3" w:rsidRDefault="00DE3F6D" w:rsidP="006D225A">
      <w:pPr>
        <w:pStyle w:val="BodyText"/>
        <w:spacing w:before="1"/>
        <w:ind w:firstLine="566"/>
        <w:rPr>
          <w:rFonts w:asciiTheme="majorBidi" w:hAnsiTheme="majorBidi" w:cstheme="majorBidi"/>
          <w:sz w:val="24"/>
          <w:szCs w:val="24"/>
          <w:lang w:val="en-MY"/>
        </w:rPr>
      </w:pPr>
      <w:r w:rsidRPr="00D32AE3">
        <w:rPr>
          <w:rFonts w:asciiTheme="majorBidi" w:hAnsiTheme="majorBidi" w:cstheme="majorBidi"/>
          <w:sz w:val="24"/>
          <w:szCs w:val="24"/>
          <w:lang w:val="en-MY"/>
        </w:rPr>
        <w:t xml:space="preserve">The test component, which is aligned with PO3, was reduced from 30% to 20%, while the assignment component, which maps to PO7, was increased from 10% to 20%. This </w:t>
      </w:r>
      <w:r w:rsidR="006E0F25" w:rsidRPr="00D32AE3">
        <w:rPr>
          <w:rFonts w:asciiTheme="majorBidi" w:hAnsiTheme="majorBidi" w:cstheme="majorBidi"/>
          <w:sz w:val="24"/>
          <w:szCs w:val="24"/>
          <w:lang w:val="en-MY"/>
        </w:rPr>
        <w:t xml:space="preserve">restructured distribution appears to have allowed students to </w:t>
      </w:r>
      <w:r w:rsidRPr="00D32AE3">
        <w:rPr>
          <w:rFonts w:asciiTheme="majorBidi" w:hAnsiTheme="majorBidi" w:cstheme="majorBidi"/>
          <w:sz w:val="24"/>
          <w:szCs w:val="24"/>
          <w:lang w:val="en-MY"/>
        </w:rPr>
        <w:t xml:space="preserve">engage more effectively with both the technical and sustainability – related dimensions of the course. </w:t>
      </w:r>
    </w:p>
    <w:p w14:paraId="0B54F818" w14:textId="7F1DA516" w:rsidR="00DE3F6D" w:rsidRPr="00D32AE3" w:rsidRDefault="00DE3F6D" w:rsidP="006E0F25">
      <w:pPr>
        <w:pStyle w:val="BodyText"/>
        <w:spacing w:before="1"/>
        <w:ind w:firstLine="566"/>
        <w:rPr>
          <w:rFonts w:asciiTheme="majorBidi" w:hAnsiTheme="majorBidi" w:cstheme="majorBidi"/>
          <w:sz w:val="24"/>
          <w:szCs w:val="24"/>
          <w:lang w:val="en-MY"/>
        </w:rPr>
      </w:pPr>
      <w:r w:rsidRPr="00D32AE3">
        <w:rPr>
          <w:rFonts w:asciiTheme="majorBidi" w:hAnsiTheme="majorBidi" w:cstheme="majorBidi"/>
          <w:sz w:val="24"/>
          <w:szCs w:val="24"/>
          <w:lang w:val="en-MY"/>
        </w:rPr>
        <w:t xml:space="preserve">The enhanced performance in PO3 suggests that a more focused and balanced test structure may have supported clearer demonstrations of design capabilities. Meanwhile, the complete attainment of PO7 indicates that the increased emphasis on assignment provided students with greater opportunity to explore, reflect upon, and articulate sustainability concepts within an engineering context. These findings align with the recent global evidences demonstrating that continuous realignment of assessment strategies with defined programme outcomes significantly enhances technical proficiency and sustainability understanding in engineering education </w:t>
      </w:r>
      <w:r w:rsidRPr="00D32AE3">
        <w:rPr>
          <w:rFonts w:asciiTheme="majorBidi" w:hAnsiTheme="majorBidi" w:cstheme="majorBidi"/>
          <w:sz w:val="24"/>
          <w:szCs w:val="24"/>
          <w:lang w:val="en-MY"/>
        </w:rPr>
        <w:fldChar w:fldCharType="begin"/>
      </w:r>
      <w:r w:rsidRPr="00D32AE3">
        <w:rPr>
          <w:rFonts w:asciiTheme="majorBidi" w:hAnsiTheme="majorBidi" w:cstheme="majorBidi"/>
          <w:sz w:val="24"/>
          <w:szCs w:val="24"/>
          <w:lang w:val="en-MY"/>
        </w:rPr>
        <w:instrText xml:space="preserve"> ADDIN EN.CITE &lt;EndNote&gt;&lt;Cite&gt;&lt;Author&gt;Pacher&lt;/Author&gt;&lt;Year&gt;2024&lt;/Year&gt;&lt;RecNum&gt;289&lt;/RecNum&gt;&lt;DisplayText&gt;(Pacher et al., 2024)&lt;/DisplayText&gt;&lt;record&gt;&lt;rec-number&gt;289&lt;/rec-number&gt;&lt;foreign-keys&gt;&lt;key app="EN" db-id="xztp25p9z0xwz4e0vfjxwzprfw52v5zra259" timestamp="1752459191"&gt;289&lt;/key&gt;&lt;/foreign-keys&gt;&lt;ref-type name="Journal Article"&gt;17&lt;/ref-type&gt;&lt;contributors&gt;&lt;authors&gt;&lt;author&gt;Pacher, Corina&lt;/author&gt;&lt;author&gt;Woschank, Manuel&lt;/author&gt;&lt;author&gt;Zunk, Bernd M&lt;/author&gt;&lt;author&gt;Gruber, Elke&lt;/author&gt;&lt;/authors&gt;&lt;/contributors&gt;&lt;titles&gt;&lt;title&gt;Engineering education 5.0: a systematic literature review on competence-based education in the industrial engineering and management discipline&lt;/title&gt;&lt;secondary-title&gt;Production &amp;amp; Manufacturing Research&lt;/secondary-title&gt;&lt;/titles&gt;&lt;periodical&gt;&lt;full-title&gt;Production &amp;amp; Manufacturing Research&lt;/full-title&gt;&lt;/periodical&gt;&lt;pages&gt;2337224&lt;/pages&gt;&lt;volume&gt;12&lt;/volume&gt;&lt;number&gt;1&lt;/number&gt;&lt;dates&gt;&lt;year&gt;2024&lt;/year&gt;&lt;/dates&gt;&lt;isbn&gt;2169-3277&lt;/isbn&gt;&lt;urls&gt;&lt;/urls&gt;&lt;/record&gt;&lt;/Cite&gt;&lt;/EndNote&gt;</w:instrText>
      </w:r>
      <w:r w:rsidRPr="00D32AE3">
        <w:rPr>
          <w:rFonts w:asciiTheme="majorBidi" w:hAnsiTheme="majorBidi" w:cstheme="majorBidi"/>
          <w:sz w:val="24"/>
          <w:szCs w:val="24"/>
          <w:lang w:val="en-MY"/>
        </w:rPr>
        <w:fldChar w:fldCharType="separate"/>
      </w:r>
      <w:r w:rsidRPr="00D32AE3">
        <w:rPr>
          <w:rFonts w:asciiTheme="majorBidi" w:hAnsiTheme="majorBidi" w:cstheme="majorBidi"/>
          <w:sz w:val="24"/>
          <w:szCs w:val="24"/>
          <w:lang w:val="en-MY"/>
        </w:rPr>
        <w:t>(Pacher et al., 2024)</w:t>
      </w:r>
      <w:r w:rsidRPr="00D32AE3">
        <w:rPr>
          <w:rFonts w:asciiTheme="majorBidi" w:hAnsiTheme="majorBidi" w:cstheme="majorBidi"/>
          <w:sz w:val="24"/>
          <w:szCs w:val="24"/>
        </w:rPr>
        <w:fldChar w:fldCharType="end"/>
      </w:r>
      <w:r w:rsidRPr="00D32AE3">
        <w:rPr>
          <w:rFonts w:asciiTheme="majorBidi" w:hAnsiTheme="majorBidi" w:cstheme="majorBidi"/>
          <w:sz w:val="24"/>
          <w:szCs w:val="24"/>
          <w:lang w:val="en-MY"/>
        </w:rPr>
        <w:t>.</w:t>
      </w:r>
    </w:p>
    <w:p w14:paraId="55BE58F2" w14:textId="77777777" w:rsidR="00DE3F6D" w:rsidRPr="00D32AE3" w:rsidRDefault="00DE3F6D" w:rsidP="00DE3F6D">
      <w:pPr>
        <w:pStyle w:val="BodyText"/>
        <w:spacing w:before="1"/>
        <w:rPr>
          <w:rFonts w:asciiTheme="majorBidi" w:hAnsiTheme="majorBidi" w:cstheme="majorBidi"/>
          <w:b/>
          <w:bCs/>
          <w:sz w:val="24"/>
          <w:szCs w:val="24"/>
          <w:lang w:val="en-MY"/>
        </w:rPr>
      </w:pPr>
    </w:p>
    <w:p w14:paraId="02671B41" w14:textId="04C3CA3C" w:rsidR="00DE3F6D" w:rsidRPr="00D32AE3" w:rsidRDefault="00DE3F6D" w:rsidP="00DE3F6D">
      <w:pPr>
        <w:pStyle w:val="BodyText"/>
        <w:spacing w:before="1"/>
        <w:rPr>
          <w:rFonts w:asciiTheme="majorBidi" w:hAnsiTheme="majorBidi" w:cstheme="majorBidi"/>
          <w:b/>
          <w:bCs/>
          <w:sz w:val="24"/>
          <w:szCs w:val="24"/>
          <w:lang w:val="en-MY"/>
        </w:rPr>
      </w:pPr>
      <w:r w:rsidRPr="00D32AE3">
        <w:rPr>
          <w:rFonts w:asciiTheme="majorBidi" w:hAnsiTheme="majorBidi" w:cstheme="majorBidi"/>
          <w:b/>
          <w:bCs/>
          <w:sz w:val="24"/>
          <w:szCs w:val="24"/>
          <w:lang w:val="en-MY"/>
        </w:rPr>
        <w:t>Failure rate of students</w:t>
      </w:r>
    </w:p>
    <w:p w14:paraId="488D494E" w14:textId="77777777" w:rsidR="00DE3F6D" w:rsidRPr="00D32AE3" w:rsidRDefault="00DE3F6D" w:rsidP="00DE3F6D">
      <w:pPr>
        <w:pStyle w:val="BodyText"/>
        <w:spacing w:before="1"/>
        <w:rPr>
          <w:rFonts w:asciiTheme="majorBidi" w:hAnsiTheme="majorBidi" w:cstheme="majorBidi"/>
          <w:b/>
          <w:bCs/>
          <w:sz w:val="24"/>
          <w:szCs w:val="24"/>
          <w:lang w:val="en-MY"/>
        </w:rPr>
      </w:pPr>
    </w:p>
    <w:p w14:paraId="6F42141F" w14:textId="3D293044" w:rsidR="00DE3F6D" w:rsidRPr="00D32AE3" w:rsidRDefault="00901EC6" w:rsidP="00DE3F6D">
      <w:pPr>
        <w:pStyle w:val="BodyText"/>
        <w:spacing w:before="1"/>
        <w:rPr>
          <w:rFonts w:asciiTheme="majorBidi" w:hAnsiTheme="majorBidi" w:cstheme="majorBidi"/>
          <w:b/>
          <w:bCs/>
          <w:sz w:val="24"/>
          <w:szCs w:val="24"/>
          <w:lang w:val="en-MY"/>
        </w:rPr>
      </w:pPr>
      <w:r w:rsidRPr="00D32AE3">
        <w:rPr>
          <w:rFonts w:asciiTheme="majorBidi" w:hAnsiTheme="majorBidi" w:cstheme="majorBidi"/>
          <w:noProof/>
          <w:sz w:val="24"/>
          <w:szCs w:val="24"/>
          <w:lang w:val="en-MY"/>
        </w:rPr>
        <w:drawing>
          <wp:anchor distT="0" distB="0" distL="114300" distR="114300" simplePos="0" relativeHeight="251661312" behindDoc="0" locked="0" layoutInCell="1" allowOverlap="1" wp14:anchorId="3F4A4155" wp14:editId="2AB99DCA">
            <wp:simplePos x="0" y="0"/>
            <wp:positionH relativeFrom="column">
              <wp:posOffset>495300</wp:posOffset>
            </wp:positionH>
            <wp:positionV relativeFrom="paragraph">
              <wp:posOffset>19685</wp:posOffset>
            </wp:positionV>
            <wp:extent cx="4572000" cy="2466975"/>
            <wp:effectExtent l="0" t="0" r="0" b="9525"/>
            <wp:wrapThrough wrapText="bothSides">
              <wp:wrapPolygon edited="0">
                <wp:start x="0" y="0"/>
                <wp:lineTo x="0" y="21517"/>
                <wp:lineTo x="21510" y="21517"/>
                <wp:lineTo x="21510" y="0"/>
                <wp:lineTo x="0" y="0"/>
              </wp:wrapPolygon>
            </wp:wrapThrough>
            <wp:docPr id="543079087" name="Chart 1">
              <a:extLst xmlns:a="http://schemas.openxmlformats.org/drawingml/2006/main">
                <a:ext uri="{FF2B5EF4-FFF2-40B4-BE49-F238E27FC236}">
                  <a16:creationId xmlns:a16="http://schemas.microsoft.com/office/drawing/2014/main" id="{9393E82A-A7A4-D57F-32BE-7076979AA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550AD17C" w14:textId="77777777" w:rsidR="00DE3F6D" w:rsidRPr="00D32AE3" w:rsidRDefault="00DE3F6D" w:rsidP="00DE3F6D">
      <w:pPr>
        <w:pStyle w:val="BodyText"/>
        <w:spacing w:before="1"/>
        <w:rPr>
          <w:rFonts w:asciiTheme="majorBidi" w:hAnsiTheme="majorBidi" w:cstheme="majorBidi"/>
          <w:b/>
          <w:bCs/>
          <w:sz w:val="24"/>
          <w:szCs w:val="24"/>
          <w:lang w:val="en-MY"/>
        </w:rPr>
      </w:pPr>
    </w:p>
    <w:p w14:paraId="1B13755D" w14:textId="77777777" w:rsidR="00DE3F6D" w:rsidRPr="00D32AE3" w:rsidRDefault="00DE3F6D" w:rsidP="00DE3F6D">
      <w:pPr>
        <w:pStyle w:val="BodyText"/>
        <w:spacing w:before="1"/>
        <w:rPr>
          <w:rFonts w:asciiTheme="majorBidi" w:hAnsiTheme="majorBidi" w:cstheme="majorBidi"/>
          <w:b/>
          <w:bCs/>
          <w:sz w:val="24"/>
          <w:szCs w:val="24"/>
          <w:lang w:val="en-MY"/>
        </w:rPr>
      </w:pPr>
    </w:p>
    <w:p w14:paraId="548A392A" w14:textId="77777777" w:rsidR="00DE3F6D" w:rsidRPr="00D32AE3" w:rsidRDefault="00DE3F6D" w:rsidP="00DE3F6D">
      <w:pPr>
        <w:pStyle w:val="BodyText"/>
        <w:spacing w:before="1"/>
        <w:rPr>
          <w:rFonts w:asciiTheme="majorBidi" w:hAnsiTheme="majorBidi" w:cstheme="majorBidi"/>
          <w:b/>
          <w:bCs/>
          <w:sz w:val="24"/>
          <w:szCs w:val="24"/>
          <w:lang w:val="en-MY"/>
        </w:rPr>
      </w:pPr>
    </w:p>
    <w:p w14:paraId="55BFEBEE" w14:textId="77777777" w:rsidR="00DE3F6D" w:rsidRPr="00D32AE3" w:rsidRDefault="00DE3F6D" w:rsidP="00DE3F6D">
      <w:pPr>
        <w:pStyle w:val="BodyText"/>
        <w:spacing w:before="1"/>
        <w:rPr>
          <w:rFonts w:asciiTheme="majorBidi" w:hAnsiTheme="majorBidi" w:cstheme="majorBidi"/>
          <w:b/>
          <w:bCs/>
          <w:sz w:val="24"/>
          <w:szCs w:val="24"/>
          <w:lang w:val="en-MY"/>
        </w:rPr>
      </w:pPr>
    </w:p>
    <w:p w14:paraId="3ECAE3FA" w14:textId="77777777" w:rsidR="00DE3F6D" w:rsidRPr="00D32AE3" w:rsidRDefault="00DE3F6D" w:rsidP="00DE3F6D">
      <w:pPr>
        <w:pStyle w:val="BodyText"/>
        <w:spacing w:before="1"/>
        <w:rPr>
          <w:rFonts w:asciiTheme="majorBidi" w:hAnsiTheme="majorBidi" w:cstheme="majorBidi"/>
          <w:b/>
          <w:bCs/>
          <w:sz w:val="24"/>
          <w:szCs w:val="24"/>
          <w:lang w:val="en-MY"/>
        </w:rPr>
      </w:pPr>
    </w:p>
    <w:p w14:paraId="0898B17C" w14:textId="77777777" w:rsidR="00DE3F6D" w:rsidRPr="00D32AE3" w:rsidRDefault="00DE3F6D" w:rsidP="00DE3F6D">
      <w:pPr>
        <w:pStyle w:val="BodyText"/>
        <w:spacing w:before="1"/>
        <w:rPr>
          <w:rFonts w:asciiTheme="majorBidi" w:hAnsiTheme="majorBidi" w:cstheme="majorBidi"/>
          <w:b/>
          <w:bCs/>
          <w:sz w:val="24"/>
          <w:szCs w:val="24"/>
          <w:lang w:val="en-MY"/>
        </w:rPr>
      </w:pPr>
    </w:p>
    <w:p w14:paraId="64DD9658" w14:textId="77777777" w:rsidR="00DE3F6D" w:rsidRPr="00D32AE3" w:rsidRDefault="00DE3F6D" w:rsidP="00DE3F6D">
      <w:pPr>
        <w:pStyle w:val="BodyText"/>
        <w:spacing w:before="1"/>
        <w:rPr>
          <w:rFonts w:asciiTheme="majorBidi" w:hAnsiTheme="majorBidi" w:cstheme="majorBidi"/>
          <w:i/>
          <w:iCs/>
          <w:sz w:val="24"/>
          <w:szCs w:val="24"/>
          <w:lang w:val="en-MY"/>
        </w:rPr>
      </w:pPr>
    </w:p>
    <w:p w14:paraId="23DDA5EE" w14:textId="77777777" w:rsidR="00DE3F6D" w:rsidRPr="00D32AE3" w:rsidRDefault="00DE3F6D" w:rsidP="00DE3F6D">
      <w:pPr>
        <w:pStyle w:val="BodyText"/>
        <w:spacing w:before="1"/>
        <w:rPr>
          <w:rFonts w:asciiTheme="majorBidi" w:hAnsiTheme="majorBidi" w:cstheme="majorBidi"/>
          <w:i/>
          <w:iCs/>
          <w:sz w:val="24"/>
          <w:szCs w:val="24"/>
          <w:lang w:val="en-MY"/>
        </w:rPr>
      </w:pPr>
    </w:p>
    <w:p w14:paraId="09336DE3" w14:textId="77777777" w:rsidR="00DE3F6D" w:rsidRPr="00D32AE3" w:rsidRDefault="00DE3F6D" w:rsidP="00DE3F6D">
      <w:pPr>
        <w:pStyle w:val="BodyText"/>
        <w:spacing w:before="1"/>
        <w:rPr>
          <w:rFonts w:asciiTheme="majorBidi" w:hAnsiTheme="majorBidi" w:cstheme="majorBidi"/>
          <w:i/>
          <w:iCs/>
          <w:sz w:val="24"/>
          <w:szCs w:val="24"/>
          <w:lang w:val="en-MY"/>
        </w:rPr>
      </w:pPr>
    </w:p>
    <w:p w14:paraId="78A925E1" w14:textId="77777777" w:rsidR="00901EC6" w:rsidRPr="00D32AE3" w:rsidRDefault="00901EC6" w:rsidP="00901EC6">
      <w:pPr>
        <w:pStyle w:val="BodyText"/>
        <w:spacing w:before="1"/>
        <w:jc w:val="center"/>
        <w:rPr>
          <w:rFonts w:asciiTheme="majorBidi" w:hAnsiTheme="majorBidi" w:cstheme="majorBidi"/>
          <w:i/>
          <w:iCs/>
          <w:sz w:val="24"/>
          <w:szCs w:val="24"/>
          <w:lang w:val="en-MY"/>
        </w:rPr>
      </w:pPr>
    </w:p>
    <w:p w14:paraId="236F6BEB" w14:textId="77777777" w:rsidR="00901EC6" w:rsidRPr="00D32AE3" w:rsidRDefault="00901EC6" w:rsidP="00901EC6">
      <w:pPr>
        <w:pStyle w:val="BodyText"/>
        <w:spacing w:before="1"/>
        <w:jc w:val="center"/>
        <w:rPr>
          <w:rFonts w:asciiTheme="majorBidi" w:hAnsiTheme="majorBidi" w:cstheme="majorBidi"/>
          <w:i/>
          <w:iCs/>
          <w:sz w:val="24"/>
          <w:szCs w:val="24"/>
          <w:lang w:val="en-MY"/>
        </w:rPr>
      </w:pPr>
    </w:p>
    <w:p w14:paraId="05EA4C0C" w14:textId="77777777" w:rsidR="00901EC6" w:rsidRPr="00D32AE3" w:rsidRDefault="00901EC6" w:rsidP="00901EC6">
      <w:pPr>
        <w:pStyle w:val="BodyText"/>
        <w:spacing w:before="1"/>
        <w:jc w:val="center"/>
        <w:rPr>
          <w:rFonts w:asciiTheme="majorBidi" w:hAnsiTheme="majorBidi" w:cstheme="majorBidi"/>
          <w:i/>
          <w:iCs/>
          <w:sz w:val="24"/>
          <w:szCs w:val="24"/>
          <w:lang w:val="en-MY"/>
        </w:rPr>
      </w:pPr>
    </w:p>
    <w:p w14:paraId="540907FF" w14:textId="77777777" w:rsidR="00901EC6" w:rsidRPr="00D32AE3" w:rsidRDefault="00901EC6" w:rsidP="00D32AE3">
      <w:pPr>
        <w:pStyle w:val="BodyText"/>
        <w:spacing w:before="1"/>
        <w:ind w:left="0"/>
        <w:rPr>
          <w:rFonts w:asciiTheme="majorBidi" w:hAnsiTheme="majorBidi" w:cstheme="majorBidi"/>
          <w:i/>
          <w:iCs/>
          <w:sz w:val="24"/>
          <w:szCs w:val="24"/>
          <w:lang w:val="en-MY"/>
        </w:rPr>
      </w:pPr>
    </w:p>
    <w:p w14:paraId="6F618816" w14:textId="77777777" w:rsidR="00901EC6" w:rsidRPr="00D32AE3" w:rsidRDefault="00901EC6" w:rsidP="00901EC6">
      <w:pPr>
        <w:pStyle w:val="BodyText"/>
        <w:spacing w:before="1"/>
        <w:jc w:val="center"/>
        <w:rPr>
          <w:rFonts w:asciiTheme="majorBidi" w:hAnsiTheme="majorBidi" w:cstheme="majorBidi"/>
          <w:i/>
          <w:iCs/>
          <w:sz w:val="24"/>
          <w:szCs w:val="24"/>
          <w:lang w:val="en-MY"/>
        </w:rPr>
      </w:pPr>
    </w:p>
    <w:p w14:paraId="150B4973" w14:textId="79849BFF" w:rsidR="00DE3F6D" w:rsidRPr="00D32AE3" w:rsidRDefault="00DE3F6D" w:rsidP="00901EC6">
      <w:pPr>
        <w:pStyle w:val="BodyText"/>
        <w:spacing w:before="1"/>
        <w:jc w:val="center"/>
        <w:rPr>
          <w:rFonts w:asciiTheme="majorBidi" w:hAnsiTheme="majorBidi" w:cstheme="majorBidi"/>
          <w:sz w:val="24"/>
          <w:szCs w:val="24"/>
          <w:lang w:val="en-MY"/>
        </w:rPr>
      </w:pPr>
      <w:r w:rsidRPr="00D32AE3">
        <w:rPr>
          <w:rFonts w:asciiTheme="majorBidi" w:hAnsiTheme="majorBidi" w:cstheme="majorBidi"/>
          <w:sz w:val="24"/>
          <w:szCs w:val="24"/>
          <w:lang w:val="en-MY"/>
        </w:rPr>
        <w:t>Figure 2: Students failure rates before and after CA adjustments</w:t>
      </w:r>
    </w:p>
    <w:p w14:paraId="6D0D8C27" w14:textId="77777777" w:rsidR="00DE3F6D" w:rsidRPr="00D32AE3" w:rsidRDefault="00DE3F6D" w:rsidP="00DE3F6D">
      <w:pPr>
        <w:pStyle w:val="BodyText"/>
        <w:spacing w:before="1"/>
        <w:rPr>
          <w:rFonts w:asciiTheme="majorBidi" w:hAnsiTheme="majorBidi" w:cstheme="majorBidi"/>
          <w:i/>
          <w:iCs/>
          <w:sz w:val="24"/>
          <w:szCs w:val="24"/>
          <w:lang w:val="en-MY"/>
        </w:rPr>
      </w:pPr>
    </w:p>
    <w:p w14:paraId="69B62706" w14:textId="565A8E67" w:rsidR="00901EC6" w:rsidRDefault="00DE3F6D" w:rsidP="00D32AE3">
      <w:pPr>
        <w:pStyle w:val="BodyText"/>
        <w:spacing w:before="1"/>
        <w:rPr>
          <w:rFonts w:asciiTheme="majorBidi" w:hAnsiTheme="majorBidi" w:cstheme="majorBidi"/>
          <w:sz w:val="24"/>
          <w:szCs w:val="24"/>
          <w:lang w:val="en-MY"/>
        </w:rPr>
      </w:pPr>
      <w:r w:rsidRPr="00D32AE3">
        <w:rPr>
          <w:rFonts w:asciiTheme="majorBidi" w:hAnsiTheme="majorBidi" w:cstheme="majorBidi"/>
          <w:sz w:val="24"/>
          <w:szCs w:val="24"/>
          <w:lang w:val="en-MY"/>
        </w:rPr>
        <w:t xml:space="preserve"> A comparative analysis of student failure rates across two academic sessions revealed a marked improvement following targeted adjustments in Continuous Assessment (CA) components. As shown in Figure 2, the failure rate during March to July 2024 academic session stood at 24%, signifying a concerning proportion of students unable to meet the minimum course requirements. In contrast, after refining the CA structure in the October to February session, particularly by redistributing the weighting between tests and assignments from 30:10 to 20:20, the failure rate dramatically dropped to just 0.5%. This 23.5% highlights the positive impact of aligning assessment design with intended learning outcomes. </w:t>
      </w:r>
    </w:p>
    <w:p w14:paraId="436E8E2A" w14:textId="77777777" w:rsidR="00D32AE3" w:rsidRPr="00D32AE3" w:rsidRDefault="00D32AE3" w:rsidP="00D32AE3">
      <w:pPr>
        <w:pStyle w:val="BodyText"/>
        <w:spacing w:before="1"/>
        <w:rPr>
          <w:rFonts w:asciiTheme="majorBidi" w:hAnsiTheme="majorBidi" w:cstheme="majorBidi"/>
          <w:sz w:val="24"/>
          <w:szCs w:val="24"/>
          <w:lang w:val="en-MY"/>
        </w:rPr>
      </w:pPr>
    </w:p>
    <w:p w14:paraId="084B5986" w14:textId="691480A4" w:rsidR="00901EC6" w:rsidRPr="00D32AE3" w:rsidRDefault="00DE3F6D" w:rsidP="00901EC6">
      <w:pPr>
        <w:pStyle w:val="BodyText"/>
        <w:spacing w:before="1"/>
        <w:ind w:firstLine="566"/>
        <w:rPr>
          <w:rFonts w:asciiTheme="majorBidi" w:hAnsiTheme="majorBidi" w:cstheme="majorBidi"/>
          <w:sz w:val="24"/>
          <w:szCs w:val="24"/>
          <w:lang w:val="en-MY"/>
        </w:rPr>
      </w:pPr>
      <w:r w:rsidRPr="00D32AE3">
        <w:rPr>
          <w:rFonts w:asciiTheme="majorBidi" w:hAnsiTheme="majorBidi" w:cstheme="majorBidi"/>
          <w:sz w:val="24"/>
          <w:szCs w:val="24"/>
          <w:lang w:val="en-MY"/>
        </w:rPr>
        <w:lastRenderedPageBreak/>
        <w:t>The adjustments</w:t>
      </w:r>
      <w:r w:rsidR="00901EC6" w:rsidRPr="00D32AE3">
        <w:rPr>
          <w:rFonts w:asciiTheme="majorBidi" w:hAnsiTheme="majorBidi" w:cstheme="majorBidi"/>
          <w:sz w:val="24"/>
          <w:szCs w:val="24"/>
          <w:lang w:val="en-MY"/>
        </w:rPr>
        <w:t xml:space="preserve"> not only resulted</w:t>
      </w:r>
      <w:r w:rsidRPr="00D32AE3">
        <w:rPr>
          <w:rFonts w:asciiTheme="majorBidi" w:hAnsiTheme="majorBidi" w:cstheme="majorBidi"/>
          <w:sz w:val="24"/>
          <w:szCs w:val="24"/>
          <w:lang w:val="en-MY"/>
        </w:rPr>
        <w:t xml:space="preserve"> in a fairer distribution of assessment tasks but also strengthened the alignment between student performance and Programme Outcomes, especially PO3 (design and development of solutions) and PO7 (environment and sustainability). These findings align with prior studies that emphasize the importance of continuous assessment and moderation in supporting academic equity and accurately reflecting student competence </w:t>
      </w:r>
      <w:r w:rsidRPr="00D32AE3">
        <w:rPr>
          <w:rFonts w:asciiTheme="majorBidi" w:hAnsiTheme="majorBidi" w:cstheme="majorBidi"/>
          <w:sz w:val="24"/>
          <w:szCs w:val="24"/>
          <w:lang w:val="en-MY"/>
        </w:rPr>
        <w:fldChar w:fldCharType="begin"/>
      </w:r>
      <w:r w:rsidRPr="00D32AE3">
        <w:rPr>
          <w:rFonts w:asciiTheme="majorBidi" w:hAnsiTheme="majorBidi" w:cstheme="majorBidi"/>
          <w:sz w:val="24"/>
          <w:szCs w:val="24"/>
          <w:lang w:val="en-MY"/>
        </w:rPr>
        <w:instrText xml:space="preserve"> ADDIN EN.CITE &lt;EndNote&gt;&lt;Cite&gt;&lt;Author&gt;Bloxham&lt;/Author&gt;&lt;Year&gt;2016&lt;/Year&gt;&lt;RecNum&gt;290&lt;/RecNum&gt;&lt;DisplayText&gt;(Bloxham et al., 2016; Boud et al., 2018)&lt;/DisplayText&gt;&lt;record&gt;&lt;rec-number&gt;290&lt;/rec-number&gt;&lt;foreign-keys&gt;&lt;key app="EN" db-id="xztp25p9z0xwz4e0vfjxwzprfw52v5zra259" timestamp="1752460909"&gt;290&lt;/key&gt;&lt;/foreign-keys&gt;&lt;ref-type name="Journal Article"&gt;17&lt;/ref-type&gt;&lt;contributors&gt;&lt;authors&gt;&lt;author&gt;Bloxham, Sue&lt;/author&gt;&lt;author&gt;Hughes, Clair&lt;/author&gt;&lt;author&gt;Adie, Lenore&lt;/author&gt;&lt;/authors&gt;&lt;/contributors&gt;&lt;titles&gt;&lt;title&gt;What’s the point of moderation? A discussion of the purposes achieved through contemporary moderation practices&lt;/title&gt;&lt;secondary-title&gt;Assessment &amp;amp; Evaluation in Higher Education&lt;/secondary-title&gt;&lt;/titles&gt;&lt;periodical&gt;&lt;full-title&gt;Assessment &amp;amp; Evaluation in Higher Education&lt;/full-title&gt;&lt;/periodical&gt;&lt;pages&gt;638-653&lt;/pages&gt;&lt;volume&gt;41&lt;/volume&gt;&lt;number&gt;4&lt;/number&gt;&lt;dates&gt;&lt;year&gt;2016&lt;/year&gt;&lt;/dates&gt;&lt;isbn&gt;0260-2938&lt;/isbn&gt;&lt;urls&gt;&lt;/urls&gt;&lt;/record&gt;&lt;/Cite&gt;&lt;Cite&gt;&lt;Author&gt;Boud&lt;/Author&gt;&lt;Year&gt;2018&lt;/Year&gt;&lt;RecNum&gt;291&lt;/RecNum&gt;&lt;record&gt;&lt;rec-number&gt;291&lt;/rec-number&gt;&lt;foreign-keys&gt;&lt;key app="EN" db-id="xztp25p9z0xwz4e0vfjxwzprfw52v5zra259" timestamp="1752460942"&gt;291&lt;/key&gt;&lt;/foreign-keys&gt;&lt;ref-type name="Journal Article"&gt;17&lt;/ref-type&gt;&lt;contributors&gt;&lt;authors&gt;&lt;author&gt;Boud, David&lt;/author&gt;&lt;author&gt;Dawson, Phillip&lt;/author&gt;&lt;author&gt;Bearman, Margaret&lt;/author&gt;&lt;author&gt;Bennett, Sue&lt;/author&gt;&lt;author&gt;Joughin, Gordon&lt;/author&gt;&lt;author&gt;Molloy, Elizabeth&lt;/author&gt;&lt;/authors&gt;&lt;/contributors&gt;&lt;titles&gt;&lt;title&gt;Reframing assessment research: through a practice perspective&lt;/title&gt;&lt;secondary-title&gt;Studies in Higher Education&lt;/secondary-title&gt;&lt;/titles&gt;&lt;periodical&gt;&lt;full-title&gt;Studies in Higher Education&lt;/full-title&gt;&lt;/periodical&gt;&lt;pages&gt;1107-1118&lt;/pages&gt;&lt;volume&gt;43&lt;/volume&gt;&lt;number&gt;7&lt;/number&gt;&lt;dates&gt;&lt;year&gt;2018&lt;/year&gt;&lt;/dates&gt;&lt;isbn&gt;0307-5079&lt;/isbn&gt;&lt;urls&gt;&lt;/urls&gt;&lt;/record&gt;&lt;/Cite&gt;&lt;/EndNote&gt;</w:instrText>
      </w:r>
      <w:r w:rsidRPr="00D32AE3">
        <w:rPr>
          <w:rFonts w:asciiTheme="majorBidi" w:hAnsiTheme="majorBidi" w:cstheme="majorBidi"/>
          <w:sz w:val="24"/>
          <w:szCs w:val="24"/>
          <w:lang w:val="en-MY"/>
        </w:rPr>
        <w:fldChar w:fldCharType="separate"/>
      </w:r>
      <w:r w:rsidRPr="00D32AE3">
        <w:rPr>
          <w:rFonts w:asciiTheme="majorBidi" w:hAnsiTheme="majorBidi" w:cstheme="majorBidi"/>
          <w:sz w:val="24"/>
          <w:szCs w:val="24"/>
          <w:lang w:val="en-MY"/>
        </w:rPr>
        <w:t>(Bloxham et al., 2016; Boud et al., 2018)</w:t>
      </w:r>
      <w:r w:rsidRPr="00D32AE3">
        <w:rPr>
          <w:rFonts w:asciiTheme="majorBidi" w:hAnsiTheme="majorBidi" w:cstheme="majorBidi"/>
          <w:sz w:val="24"/>
          <w:szCs w:val="24"/>
        </w:rPr>
        <w:fldChar w:fldCharType="end"/>
      </w:r>
      <w:r w:rsidRPr="00D32AE3">
        <w:rPr>
          <w:rFonts w:asciiTheme="majorBidi" w:hAnsiTheme="majorBidi" w:cstheme="majorBidi"/>
          <w:sz w:val="24"/>
          <w:szCs w:val="24"/>
          <w:lang w:val="en-MY"/>
        </w:rPr>
        <w:t>. Furthermore, the use of assessment strategies based on empirical data supports the principle of Outcomes Based Education, which</w:t>
      </w:r>
      <w:r w:rsidR="00901EC6" w:rsidRPr="00D32AE3">
        <w:rPr>
          <w:rFonts w:asciiTheme="majorBidi" w:hAnsiTheme="majorBidi" w:cstheme="majorBidi"/>
          <w:sz w:val="24"/>
          <w:szCs w:val="24"/>
          <w:lang w:val="en-MY"/>
        </w:rPr>
        <w:t xml:space="preserve"> promotes measurable and transparent outcomes in engineering education (ABET 2022).</w:t>
      </w:r>
    </w:p>
    <w:p w14:paraId="08348137" w14:textId="77777777" w:rsidR="00901EC6" w:rsidRPr="00D32AE3" w:rsidRDefault="00901EC6" w:rsidP="00901EC6">
      <w:pPr>
        <w:ind w:left="854" w:right="3"/>
        <w:jc w:val="right"/>
        <w:rPr>
          <w:rFonts w:asciiTheme="majorBidi" w:hAnsiTheme="majorBidi" w:cstheme="majorBidi"/>
          <w:i/>
          <w:sz w:val="24"/>
          <w:szCs w:val="24"/>
        </w:rPr>
      </w:pPr>
    </w:p>
    <w:p w14:paraId="4F75C41B" w14:textId="61F12166" w:rsidR="00DE3F6D" w:rsidRPr="00D32AE3" w:rsidRDefault="00DE3F6D" w:rsidP="00D32AE3">
      <w:pPr>
        <w:pStyle w:val="BodyText"/>
        <w:spacing w:before="1"/>
        <w:rPr>
          <w:rFonts w:asciiTheme="majorBidi" w:hAnsiTheme="majorBidi" w:cstheme="majorBidi"/>
          <w:b/>
          <w:bCs/>
          <w:sz w:val="24"/>
          <w:szCs w:val="24"/>
          <w:lang w:val="en-MY"/>
        </w:rPr>
      </w:pPr>
      <w:r w:rsidRPr="00D32AE3">
        <w:rPr>
          <w:rFonts w:asciiTheme="majorBidi" w:hAnsiTheme="majorBidi" w:cstheme="majorBidi"/>
          <w:b/>
          <w:bCs/>
          <w:sz w:val="24"/>
          <w:szCs w:val="24"/>
          <w:lang w:val="en-MY"/>
        </w:rPr>
        <w:t>Students Final Course Grade</w:t>
      </w:r>
    </w:p>
    <w:p w14:paraId="73F1196C" w14:textId="77777777" w:rsidR="00DE3F6D" w:rsidRPr="00D32AE3" w:rsidRDefault="00DE3F6D" w:rsidP="00DE3F6D">
      <w:pPr>
        <w:pStyle w:val="BodyText"/>
        <w:spacing w:before="1"/>
        <w:rPr>
          <w:rFonts w:asciiTheme="majorBidi" w:hAnsiTheme="majorBidi" w:cstheme="majorBidi"/>
          <w:b/>
          <w:bCs/>
          <w:sz w:val="24"/>
          <w:szCs w:val="24"/>
          <w:lang w:val="en-MY"/>
        </w:rPr>
      </w:pPr>
    </w:p>
    <w:p w14:paraId="0369275E" w14:textId="4E0FF161" w:rsidR="00DE3F6D" w:rsidRPr="00D32AE3" w:rsidRDefault="00901EC6" w:rsidP="00DE3F6D">
      <w:pPr>
        <w:pStyle w:val="BodyText"/>
        <w:spacing w:before="1"/>
        <w:rPr>
          <w:rFonts w:asciiTheme="majorBidi" w:hAnsiTheme="majorBidi" w:cstheme="majorBidi"/>
          <w:sz w:val="24"/>
          <w:szCs w:val="24"/>
          <w:lang w:val="en-MY"/>
        </w:rPr>
      </w:pPr>
      <w:r w:rsidRPr="00D32AE3">
        <w:rPr>
          <w:rFonts w:asciiTheme="majorBidi" w:hAnsiTheme="majorBidi" w:cstheme="majorBidi"/>
          <w:noProof/>
          <w:sz w:val="24"/>
          <w:szCs w:val="24"/>
          <w:lang w:val="en-MY"/>
        </w:rPr>
        <w:drawing>
          <wp:anchor distT="0" distB="0" distL="114300" distR="114300" simplePos="0" relativeHeight="251668480" behindDoc="0" locked="0" layoutInCell="1" allowOverlap="1" wp14:anchorId="43F8F4E2" wp14:editId="3304B32D">
            <wp:simplePos x="0" y="0"/>
            <wp:positionH relativeFrom="column">
              <wp:posOffset>666750</wp:posOffset>
            </wp:positionH>
            <wp:positionV relativeFrom="paragraph">
              <wp:posOffset>12700</wp:posOffset>
            </wp:positionV>
            <wp:extent cx="5124450" cy="2743200"/>
            <wp:effectExtent l="0" t="0" r="0" b="0"/>
            <wp:wrapThrough wrapText="bothSides">
              <wp:wrapPolygon edited="0">
                <wp:start x="0" y="0"/>
                <wp:lineTo x="0" y="21450"/>
                <wp:lineTo x="21520" y="21450"/>
                <wp:lineTo x="21520" y="0"/>
                <wp:lineTo x="0" y="0"/>
              </wp:wrapPolygon>
            </wp:wrapThrough>
            <wp:docPr id="828705610" name="Chart 1">
              <a:extLst xmlns:a="http://schemas.openxmlformats.org/drawingml/2006/main">
                <a:ext uri="{FF2B5EF4-FFF2-40B4-BE49-F238E27FC236}">
                  <a16:creationId xmlns:a16="http://schemas.microsoft.com/office/drawing/2014/main" id="{A2D1E997-098C-54DA-0B05-4CE999F2F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7418009C" w14:textId="77777777" w:rsidR="00DE3F6D" w:rsidRPr="00D32AE3" w:rsidRDefault="00DE3F6D" w:rsidP="00DE3F6D">
      <w:pPr>
        <w:pStyle w:val="BodyText"/>
        <w:spacing w:before="1"/>
        <w:rPr>
          <w:rFonts w:asciiTheme="majorBidi" w:hAnsiTheme="majorBidi" w:cstheme="majorBidi"/>
          <w:sz w:val="24"/>
          <w:szCs w:val="24"/>
          <w:lang w:val="en-MY"/>
        </w:rPr>
      </w:pPr>
    </w:p>
    <w:p w14:paraId="57DC5B1B" w14:textId="77777777" w:rsidR="00DE3F6D" w:rsidRPr="00D32AE3" w:rsidRDefault="00DE3F6D" w:rsidP="00DE3F6D">
      <w:pPr>
        <w:pStyle w:val="BodyText"/>
        <w:spacing w:before="1"/>
        <w:rPr>
          <w:rFonts w:asciiTheme="majorBidi" w:hAnsiTheme="majorBidi" w:cstheme="majorBidi"/>
          <w:sz w:val="24"/>
          <w:szCs w:val="24"/>
          <w:lang w:val="en-MY"/>
        </w:rPr>
      </w:pPr>
    </w:p>
    <w:p w14:paraId="3B9FED28" w14:textId="77777777" w:rsidR="00DE3F6D" w:rsidRPr="00D32AE3" w:rsidRDefault="00DE3F6D" w:rsidP="00DE3F6D">
      <w:pPr>
        <w:pStyle w:val="BodyText"/>
        <w:spacing w:before="1"/>
        <w:rPr>
          <w:rFonts w:asciiTheme="majorBidi" w:hAnsiTheme="majorBidi" w:cstheme="majorBidi"/>
          <w:sz w:val="24"/>
          <w:szCs w:val="24"/>
          <w:lang w:val="en-MY"/>
        </w:rPr>
      </w:pPr>
    </w:p>
    <w:p w14:paraId="0159E2EA" w14:textId="77777777" w:rsidR="00DE3F6D" w:rsidRPr="00D32AE3" w:rsidRDefault="00DE3F6D" w:rsidP="00DE3F6D">
      <w:pPr>
        <w:pStyle w:val="BodyText"/>
        <w:spacing w:before="1"/>
        <w:rPr>
          <w:rFonts w:asciiTheme="majorBidi" w:hAnsiTheme="majorBidi" w:cstheme="majorBidi"/>
          <w:sz w:val="24"/>
          <w:szCs w:val="24"/>
          <w:lang w:val="en-MY"/>
        </w:rPr>
      </w:pPr>
    </w:p>
    <w:p w14:paraId="7062D424" w14:textId="77777777" w:rsidR="00DE3F6D" w:rsidRPr="00D32AE3" w:rsidRDefault="00DE3F6D" w:rsidP="00DE3F6D">
      <w:pPr>
        <w:pStyle w:val="BodyText"/>
        <w:spacing w:before="1"/>
        <w:rPr>
          <w:rFonts w:asciiTheme="majorBidi" w:hAnsiTheme="majorBidi" w:cstheme="majorBidi"/>
          <w:sz w:val="24"/>
          <w:szCs w:val="24"/>
          <w:lang w:val="en-MY"/>
        </w:rPr>
      </w:pPr>
    </w:p>
    <w:p w14:paraId="1A715E92" w14:textId="77777777" w:rsidR="00DE3F6D" w:rsidRPr="00D32AE3" w:rsidRDefault="00DE3F6D" w:rsidP="00DE3F6D">
      <w:pPr>
        <w:pStyle w:val="BodyText"/>
        <w:spacing w:before="1"/>
        <w:rPr>
          <w:rFonts w:asciiTheme="majorBidi" w:hAnsiTheme="majorBidi" w:cstheme="majorBidi"/>
          <w:sz w:val="24"/>
          <w:szCs w:val="24"/>
          <w:lang w:val="en-MY"/>
        </w:rPr>
      </w:pPr>
    </w:p>
    <w:p w14:paraId="0A45BEDD" w14:textId="77777777" w:rsidR="00DE3F6D" w:rsidRPr="00D32AE3" w:rsidRDefault="00DE3F6D" w:rsidP="00DE3F6D">
      <w:pPr>
        <w:pStyle w:val="BodyText"/>
        <w:spacing w:before="1"/>
        <w:rPr>
          <w:rFonts w:asciiTheme="majorBidi" w:hAnsiTheme="majorBidi" w:cstheme="majorBidi"/>
          <w:sz w:val="24"/>
          <w:szCs w:val="24"/>
          <w:lang w:val="en-MY"/>
        </w:rPr>
      </w:pPr>
    </w:p>
    <w:p w14:paraId="30B7E420" w14:textId="77777777" w:rsidR="00DE3F6D" w:rsidRPr="00D32AE3" w:rsidRDefault="00DE3F6D" w:rsidP="00DE3F6D">
      <w:pPr>
        <w:pStyle w:val="BodyText"/>
        <w:spacing w:before="1"/>
        <w:rPr>
          <w:rFonts w:asciiTheme="majorBidi" w:hAnsiTheme="majorBidi" w:cstheme="majorBidi"/>
          <w:i/>
          <w:iCs/>
          <w:sz w:val="24"/>
          <w:szCs w:val="24"/>
          <w:lang w:val="en-MY"/>
        </w:rPr>
      </w:pPr>
    </w:p>
    <w:p w14:paraId="19B7702D" w14:textId="77777777" w:rsidR="00DE3F6D" w:rsidRDefault="00DE3F6D" w:rsidP="00DE3F6D">
      <w:pPr>
        <w:pStyle w:val="BodyText"/>
        <w:spacing w:before="1"/>
        <w:rPr>
          <w:rFonts w:asciiTheme="majorBidi" w:hAnsiTheme="majorBidi" w:cstheme="majorBidi"/>
          <w:i/>
          <w:iCs/>
          <w:sz w:val="24"/>
          <w:szCs w:val="24"/>
          <w:lang w:val="en-MY"/>
        </w:rPr>
      </w:pPr>
    </w:p>
    <w:p w14:paraId="2C4CE37D" w14:textId="77777777" w:rsidR="00D32AE3" w:rsidRDefault="00D32AE3" w:rsidP="00DE3F6D">
      <w:pPr>
        <w:pStyle w:val="BodyText"/>
        <w:spacing w:before="1"/>
        <w:rPr>
          <w:rFonts w:asciiTheme="majorBidi" w:hAnsiTheme="majorBidi" w:cstheme="majorBidi"/>
          <w:i/>
          <w:iCs/>
          <w:sz w:val="24"/>
          <w:szCs w:val="24"/>
          <w:lang w:val="en-MY"/>
        </w:rPr>
      </w:pPr>
    </w:p>
    <w:p w14:paraId="0CBCFAC8" w14:textId="77777777" w:rsidR="00D32AE3" w:rsidRDefault="00D32AE3" w:rsidP="00DE3F6D">
      <w:pPr>
        <w:pStyle w:val="BodyText"/>
        <w:spacing w:before="1"/>
        <w:rPr>
          <w:rFonts w:asciiTheme="majorBidi" w:hAnsiTheme="majorBidi" w:cstheme="majorBidi"/>
          <w:i/>
          <w:iCs/>
          <w:sz w:val="24"/>
          <w:szCs w:val="24"/>
          <w:lang w:val="en-MY"/>
        </w:rPr>
      </w:pPr>
    </w:p>
    <w:p w14:paraId="5ADE8695" w14:textId="77777777" w:rsidR="00D32AE3" w:rsidRDefault="00D32AE3" w:rsidP="00DE3F6D">
      <w:pPr>
        <w:pStyle w:val="BodyText"/>
        <w:spacing w:before="1"/>
        <w:rPr>
          <w:rFonts w:asciiTheme="majorBidi" w:hAnsiTheme="majorBidi" w:cstheme="majorBidi"/>
          <w:i/>
          <w:iCs/>
          <w:sz w:val="24"/>
          <w:szCs w:val="24"/>
          <w:lang w:val="en-MY"/>
        </w:rPr>
      </w:pPr>
    </w:p>
    <w:p w14:paraId="4C242111" w14:textId="77777777" w:rsidR="00D32AE3" w:rsidRDefault="00D32AE3" w:rsidP="00DE3F6D">
      <w:pPr>
        <w:pStyle w:val="BodyText"/>
        <w:spacing w:before="1"/>
        <w:rPr>
          <w:rFonts w:asciiTheme="majorBidi" w:hAnsiTheme="majorBidi" w:cstheme="majorBidi"/>
          <w:i/>
          <w:iCs/>
          <w:sz w:val="24"/>
          <w:szCs w:val="24"/>
          <w:lang w:val="en-MY"/>
        </w:rPr>
      </w:pPr>
    </w:p>
    <w:p w14:paraId="4C1FC6A7" w14:textId="77777777" w:rsidR="00D32AE3" w:rsidRDefault="00D32AE3" w:rsidP="00DE3F6D">
      <w:pPr>
        <w:pStyle w:val="BodyText"/>
        <w:spacing w:before="1"/>
        <w:rPr>
          <w:rFonts w:asciiTheme="majorBidi" w:hAnsiTheme="majorBidi" w:cstheme="majorBidi"/>
          <w:i/>
          <w:iCs/>
          <w:sz w:val="24"/>
          <w:szCs w:val="24"/>
          <w:lang w:val="en-MY"/>
        </w:rPr>
      </w:pPr>
    </w:p>
    <w:p w14:paraId="1D9F49DB" w14:textId="77777777" w:rsidR="00D32AE3" w:rsidRPr="00D32AE3" w:rsidRDefault="00D32AE3" w:rsidP="00DE3F6D">
      <w:pPr>
        <w:pStyle w:val="BodyText"/>
        <w:spacing w:before="1"/>
        <w:rPr>
          <w:rFonts w:asciiTheme="majorBidi" w:hAnsiTheme="majorBidi" w:cstheme="majorBidi"/>
          <w:i/>
          <w:iCs/>
          <w:sz w:val="24"/>
          <w:szCs w:val="24"/>
          <w:lang w:val="en-MY"/>
        </w:rPr>
      </w:pPr>
    </w:p>
    <w:p w14:paraId="2D572BF1" w14:textId="77777777" w:rsidR="00DE3F6D" w:rsidRPr="00D32AE3" w:rsidRDefault="00DE3F6D" w:rsidP="00901EC6">
      <w:pPr>
        <w:pStyle w:val="BodyText"/>
        <w:spacing w:before="1"/>
        <w:jc w:val="center"/>
        <w:rPr>
          <w:rFonts w:asciiTheme="majorBidi" w:hAnsiTheme="majorBidi" w:cstheme="majorBidi"/>
          <w:sz w:val="24"/>
          <w:szCs w:val="24"/>
          <w:lang w:val="en-MY"/>
        </w:rPr>
      </w:pPr>
      <w:r w:rsidRPr="00D32AE3">
        <w:rPr>
          <w:rFonts w:asciiTheme="majorBidi" w:hAnsiTheme="majorBidi" w:cstheme="majorBidi"/>
          <w:sz w:val="24"/>
          <w:szCs w:val="24"/>
          <w:lang w:val="en-MY"/>
        </w:rPr>
        <w:t>Figure 3: Distribution of student’s final course grades across the two academic session.</w:t>
      </w:r>
    </w:p>
    <w:p w14:paraId="4ABF0469" w14:textId="77777777" w:rsidR="00D32AE3" w:rsidRPr="00D32AE3" w:rsidRDefault="00D32AE3" w:rsidP="00DE3F6D">
      <w:pPr>
        <w:pStyle w:val="BodyText"/>
        <w:spacing w:before="1"/>
        <w:rPr>
          <w:rFonts w:asciiTheme="majorBidi" w:hAnsiTheme="majorBidi" w:cstheme="majorBidi"/>
          <w:i/>
          <w:iCs/>
          <w:sz w:val="24"/>
          <w:szCs w:val="24"/>
          <w:lang w:val="en-MY"/>
        </w:rPr>
      </w:pPr>
    </w:p>
    <w:p w14:paraId="45C5B9C8" w14:textId="77777777" w:rsidR="00DE3F6D" w:rsidRPr="00D32AE3" w:rsidRDefault="00DE3F6D" w:rsidP="00DE3F6D">
      <w:pPr>
        <w:pStyle w:val="BodyText"/>
        <w:spacing w:before="1"/>
        <w:rPr>
          <w:rFonts w:asciiTheme="majorBidi" w:hAnsiTheme="majorBidi" w:cstheme="majorBidi"/>
          <w:sz w:val="24"/>
          <w:szCs w:val="24"/>
          <w:lang w:val="en-MY"/>
        </w:rPr>
      </w:pPr>
      <w:r w:rsidRPr="00D32AE3">
        <w:rPr>
          <w:rFonts w:asciiTheme="majorBidi" w:hAnsiTheme="majorBidi" w:cstheme="majorBidi"/>
          <w:sz w:val="24"/>
          <w:szCs w:val="24"/>
          <w:lang w:val="en-MY"/>
        </w:rPr>
        <w:t xml:space="preserve">The analysis of final course grades between the two academic sessions reveals a distinct shift in student performance patterns following the adjustment of Continuous Assessment (CA) components. As illustrated in Figure 3, during the March to July 2024 session, most students clustered in the B minus to C plus range, with fewer students achieving grades in the higher bands of A minus and above. Additionally, a notable number of students fell within the lower range of C minus to E, reflecting a broader distribution of weaker academic outcomes. In contrast, the October 2024 to February 2025 session exhibited a significant improvement in grade distribution. The proportion of students earning grades in the A - to B range increased substantially, while those in the C - to E range declined sharply. </w:t>
      </w:r>
    </w:p>
    <w:p w14:paraId="4D750818" w14:textId="26BC9B29" w:rsidR="00DE3F6D" w:rsidRPr="00D32AE3" w:rsidRDefault="00DE3F6D" w:rsidP="000E7A0F">
      <w:pPr>
        <w:pStyle w:val="BodyText"/>
        <w:spacing w:before="1"/>
        <w:ind w:firstLine="566"/>
        <w:rPr>
          <w:rFonts w:asciiTheme="majorBidi" w:hAnsiTheme="majorBidi" w:cstheme="majorBidi"/>
          <w:sz w:val="24"/>
          <w:szCs w:val="24"/>
          <w:lang w:val="en-MY"/>
        </w:rPr>
      </w:pPr>
      <w:r w:rsidRPr="00D32AE3">
        <w:rPr>
          <w:rFonts w:asciiTheme="majorBidi" w:hAnsiTheme="majorBidi" w:cstheme="majorBidi"/>
          <w:sz w:val="24"/>
          <w:szCs w:val="24"/>
          <w:lang w:val="en-MY"/>
        </w:rPr>
        <w:t>This shift is supported by the data, which shows that students achieving A and A+ grades rose from 0 in the first session to nearly 10 in the second session. Similarly, those in the A- to B increased from approximately 20 students to mo</w:t>
      </w:r>
      <w:r w:rsidR="00A917A9" w:rsidRPr="00D32AE3">
        <w:rPr>
          <w:rFonts w:asciiTheme="majorBidi" w:hAnsiTheme="majorBidi" w:cstheme="majorBidi"/>
          <w:sz w:val="24"/>
          <w:szCs w:val="24"/>
          <w:lang w:val="en-MY"/>
        </w:rPr>
        <w:t>r</w:t>
      </w:r>
      <w:r w:rsidRPr="00D32AE3">
        <w:rPr>
          <w:rFonts w:asciiTheme="majorBidi" w:hAnsiTheme="majorBidi" w:cstheme="majorBidi"/>
          <w:sz w:val="24"/>
          <w:szCs w:val="24"/>
          <w:lang w:val="en-MY"/>
        </w:rPr>
        <w:t>e than 50. The C- to E group, which included about 25 students in the earlier session, dropped to fewer</w:t>
      </w:r>
      <w:r w:rsidR="000E7A0F">
        <w:rPr>
          <w:rFonts w:asciiTheme="majorBidi" w:hAnsiTheme="majorBidi" w:cstheme="majorBidi"/>
          <w:sz w:val="24"/>
          <w:szCs w:val="24"/>
          <w:lang w:val="en-MY"/>
        </w:rPr>
        <w:t xml:space="preserve"> </w:t>
      </w:r>
      <w:r w:rsidRPr="00D32AE3">
        <w:rPr>
          <w:rFonts w:asciiTheme="majorBidi" w:hAnsiTheme="majorBidi" w:cstheme="majorBidi"/>
          <w:sz w:val="24"/>
          <w:szCs w:val="24"/>
          <w:lang w:val="en-MY"/>
        </w:rPr>
        <w:t>than 5, indicating a substantial reduction in low- performing students. The B- to C+ group also saw a moderate reduction, indicating that some of these students likely progressed to higher grade bands.</w:t>
      </w:r>
    </w:p>
    <w:p w14:paraId="1DC463C7" w14:textId="77777777" w:rsidR="00DE3F6D" w:rsidRPr="00D32AE3" w:rsidRDefault="00DE3F6D" w:rsidP="00901EC6">
      <w:pPr>
        <w:pStyle w:val="BodyText"/>
        <w:spacing w:before="1"/>
        <w:ind w:firstLine="566"/>
        <w:rPr>
          <w:rFonts w:asciiTheme="majorBidi" w:hAnsiTheme="majorBidi" w:cstheme="majorBidi"/>
          <w:sz w:val="24"/>
          <w:szCs w:val="24"/>
          <w:lang w:val="en-MY"/>
        </w:rPr>
      </w:pPr>
      <w:r w:rsidRPr="00D32AE3">
        <w:rPr>
          <w:rFonts w:asciiTheme="majorBidi" w:hAnsiTheme="majorBidi" w:cstheme="majorBidi"/>
          <w:sz w:val="24"/>
          <w:szCs w:val="24"/>
          <w:lang w:val="en-MY"/>
        </w:rPr>
        <w:t>This upward shift suggests that the revised CA structure not only mitigated the failure rate but also enhanced overall academic achievement. The redistribution of assessment weighting likely contributed to more balanced evaluations, enabling students to demonstrate their competencies more effectively across diverse tasks aligned with Programme Outcomes (PO3 and PO7). These results support the view that strategic calibration of assessment design can lead to more representative and equitable academic performance (Rebecca et al., 2024).</w:t>
      </w:r>
    </w:p>
    <w:p w14:paraId="608851BD" w14:textId="77777777" w:rsidR="006E0F25" w:rsidRDefault="006E0F25" w:rsidP="00A917A9">
      <w:pPr>
        <w:ind w:right="3"/>
        <w:rPr>
          <w:rFonts w:asciiTheme="majorBidi" w:hAnsiTheme="majorBidi" w:cstheme="majorBidi"/>
          <w:i/>
          <w:iCs/>
          <w:sz w:val="24"/>
          <w:szCs w:val="24"/>
        </w:rPr>
      </w:pPr>
    </w:p>
    <w:p w14:paraId="78930C8D" w14:textId="77777777" w:rsidR="000E7A0F" w:rsidRDefault="000E7A0F" w:rsidP="00A917A9">
      <w:pPr>
        <w:ind w:right="3"/>
        <w:rPr>
          <w:rFonts w:asciiTheme="majorBidi" w:hAnsiTheme="majorBidi" w:cstheme="majorBidi"/>
          <w:i/>
          <w:iCs/>
          <w:sz w:val="24"/>
          <w:szCs w:val="24"/>
        </w:rPr>
      </w:pPr>
    </w:p>
    <w:p w14:paraId="34AB87F0" w14:textId="77777777" w:rsidR="000E7A0F" w:rsidRPr="00D32AE3" w:rsidRDefault="000E7A0F" w:rsidP="00A917A9">
      <w:pPr>
        <w:ind w:right="3"/>
        <w:rPr>
          <w:rFonts w:asciiTheme="majorBidi" w:hAnsiTheme="majorBidi" w:cstheme="majorBidi"/>
          <w:i/>
          <w:iCs/>
          <w:sz w:val="24"/>
          <w:szCs w:val="24"/>
        </w:rPr>
      </w:pPr>
    </w:p>
    <w:p w14:paraId="3E5A6D67" w14:textId="2E23D452" w:rsidR="006E0F25" w:rsidRPr="00D32AE3" w:rsidRDefault="00000000" w:rsidP="006E0F25">
      <w:pPr>
        <w:spacing w:before="252"/>
        <w:ind w:left="874" w:right="3909"/>
        <w:jc w:val="both"/>
        <w:rPr>
          <w:rFonts w:asciiTheme="majorBidi" w:hAnsiTheme="majorBidi" w:cstheme="majorBidi"/>
          <w:color w:val="FF0000"/>
          <w:sz w:val="28"/>
          <w:szCs w:val="28"/>
        </w:rPr>
      </w:pPr>
      <w:r w:rsidRPr="00D32AE3">
        <w:rPr>
          <w:rFonts w:asciiTheme="majorBidi" w:hAnsiTheme="majorBidi" w:cstheme="majorBidi"/>
          <w:b/>
          <w:sz w:val="28"/>
          <w:szCs w:val="28"/>
        </w:rPr>
        <w:lastRenderedPageBreak/>
        <w:t>CONCLUSION</w:t>
      </w:r>
      <w:r w:rsidRPr="00D32AE3">
        <w:rPr>
          <w:rFonts w:asciiTheme="majorBidi" w:hAnsiTheme="majorBidi" w:cstheme="majorBidi"/>
          <w:b/>
          <w:spacing w:val="-9"/>
          <w:sz w:val="28"/>
          <w:szCs w:val="28"/>
        </w:rPr>
        <w:t xml:space="preserve"> </w:t>
      </w:r>
    </w:p>
    <w:p w14:paraId="3A08D3AA" w14:textId="77777777" w:rsidR="006E0F25" w:rsidRPr="00D32AE3" w:rsidRDefault="006E0F25" w:rsidP="006E0F25">
      <w:pPr>
        <w:pStyle w:val="BodyText"/>
        <w:spacing w:before="1"/>
        <w:ind w:left="0" w:right="19"/>
        <w:rPr>
          <w:rFonts w:asciiTheme="majorBidi" w:hAnsiTheme="majorBidi" w:cstheme="majorBidi"/>
          <w:sz w:val="24"/>
          <w:szCs w:val="24"/>
          <w:lang w:val="en-MY"/>
        </w:rPr>
      </w:pPr>
    </w:p>
    <w:p w14:paraId="12A057C4" w14:textId="73C079AD" w:rsidR="006E0F25" w:rsidRPr="00D32AE3" w:rsidRDefault="006E0F25" w:rsidP="006E0F25">
      <w:pPr>
        <w:pStyle w:val="BodyText"/>
        <w:spacing w:before="1"/>
        <w:ind w:left="851" w:right="19"/>
        <w:rPr>
          <w:rFonts w:asciiTheme="majorBidi" w:hAnsiTheme="majorBidi" w:cstheme="majorBidi"/>
          <w:sz w:val="24"/>
          <w:szCs w:val="24"/>
          <w:lang w:val="en-MY"/>
        </w:rPr>
      </w:pPr>
      <w:r w:rsidRPr="00D32AE3">
        <w:rPr>
          <w:rFonts w:asciiTheme="majorBidi" w:hAnsiTheme="majorBidi" w:cstheme="majorBidi"/>
          <w:sz w:val="24"/>
          <w:szCs w:val="24"/>
          <w:lang w:val="en-MY"/>
        </w:rPr>
        <w:t>This study has provided clear and compelling evidence that reforming the structure of Continuous Assessment contributes significantly to the achievement of educational objectives in engineering programmes (Palaposki et al., 2024). Through the case of the Water and Wastewater Engineering course, the results demonstrate that adjusting the balance between test and assignment components led to measurable improvements in both Programme Outcome performance and overall student achievement. When the test weighting was reduced from 30% to 20% and the assignment weighting was increased from 10% to 20%, the effect on student outcomes was substantial.</w:t>
      </w:r>
    </w:p>
    <w:p w14:paraId="2C53A5BD" w14:textId="77777777" w:rsidR="006E0F25" w:rsidRPr="00D32AE3" w:rsidRDefault="006E0F25" w:rsidP="006E0F25">
      <w:pPr>
        <w:pStyle w:val="BodyText"/>
        <w:spacing w:before="1"/>
        <w:ind w:right="19" w:firstLine="566"/>
        <w:rPr>
          <w:rFonts w:asciiTheme="majorBidi" w:hAnsiTheme="majorBidi" w:cstheme="majorBidi"/>
          <w:sz w:val="24"/>
          <w:szCs w:val="24"/>
          <w:lang w:val="en-MY"/>
        </w:rPr>
      </w:pPr>
      <w:r w:rsidRPr="00D32AE3">
        <w:rPr>
          <w:rFonts w:asciiTheme="majorBidi" w:hAnsiTheme="majorBidi" w:cstheme="majorBidi"/>
          <w:sz w:val="24"/>
          <w:szCs w:val="24"/>
          <w:lang w:val="en-MY"/>
        </w:rPr>
        <w:t>Programme Outcomes three (PO3), which assesses student ability in the design and development of engineering solutions, increased in attainment from 56% to 89%, representing a gain of 33% points. Similarly, Programme Outcomes seven (PO7), which reflects student understanding of environmental impact and sustainability principles, improved from 88% to full attainment at 100%. These results show that realigning assessment weightings can empower students to better demonstrate complex skill when those assessments are aligned with their strengths and the intended outcomes.</w:t>
      </w:r>
    </w:p>
    <w:p w14:paraId="200A0B98" w14:textId="77777777" w:rsidR="006E0F25" w:rsidRPr="00D32AE3" w:rsidRDefault="006E0F25" w:rsidP="006E0F25">
      <w:pPr>
        <w:pStyle w:val="BodyText"/>
        <w:spacing w:before="1"/>
        <w:ind w:right="19" w:firstLine="566"/>
        <w:rPr>
          <w:rFonts w:asciiTheme="majorBidi" w:hAnsiTheme="majorBidi" w:cstheme="majorBidi"/>
          <w:sz w:val="24"/>
          <w:szCs w:val="24"/>
          <w:lang w:val="en-MY"/>
        </w:rPr>
      </w:pPr>
      <w:r w:rsidRPr="00D32AE3">
        <w:rPr>
          <w:rFonts w:asciiTheme="majorBidi" w:hAnsiTheme="majorBidi" w:cstheme="majorBidi"/>
          <w:sz w:val="24"/>
          <w:szCs w:val="24"/>
          <w:lang w:val="en-MY"/>
        </w:rPr>
        <w:t xml:space="preserve">In addition to these gains in outcomes performance, the data also revealed a significant improvement in overall academic standing. The failure rate dropped from 24% in the March to July session to 0.5% in the October to February session. This reduction of 23.5% reflects a major shift in student success rates. Furthermore, the distribution of final course grades showed a clear trend toward higher academic performance, with more students achieving results in the A and B categories and fewer students earning lower grades. This pattern indicates that assessment reform not only reduced failure but also elevated the academic standard across the cohort. </w:t>
      </w:r>
    </w:p>
    <w:p w14:paraId="3C6B8815" w14:textId="77777777" w:rsidR="006E0F25" w:rsidRPr="00D32AE3" w:rsidRDefault="006E0F25" w:rsidP="006E0F25">
      <w:pPr>
        <w:pStyle w:val="BodyText"/>
        <w:spacing w:before="1"/>
        <w:ind w:right="19" w:firstLine="566"/>
        <w:rPr>
          <w:rFonts w:asciiTheme="majorBidi" w:hAnsiTheme="majorBidi" w:cstheme="majorBidi"/>
          <w:sz w:val="24"/>
          <w:szCs w:val="24"/>
          <w:lang w:val="en-MY"/>
        </w:rPr>
      </w:pPr>
      <w:r w:rsidRPr="00D32AE3">
        <w:rPr>
          <w:rFonts w:asciiTheme="majorBidi" w:hAnsiTheme="majorBidi" w:cstheme="majorBidi"/>
          <w:sz w:val="24"/>
          <w:szCs w:val="24"/>
          <w:lang w:val="en-MY"/>
        </w:rPr>
        <w:t xml:space="preserve">These findings affirm the core principles of Outcomes Based Education, which emphasize the alignment of assessment, teaching, and learning outcomes (Spady1994, ABET 2022). They also validate the importance of continuous assessment as a tool for guiding and improving student learning when it is grounded in transparency, equity, and pedagogical </w:t>
      </w:r>
      <w:r w:rsidRPr="00D32AE3">
        <w:rPr>
          <w:rFonts w:asciiTheme="majorBidi" w:hAnsiTheme="majorBidi" w:cstheme="majorBidi"/>
          <w:sz w:val="24"/>
          <w:szCs w:val="24"/>
          <w:lang w:val="en-MY"/>
        </w:rPr>
        <w:fldChar w:fldCharType="begin"/>
      </w:r>
      <w:r w:rsidRPr="00D32AE3">
        <w:rPr>
          <w:rFonts w:asciiTheme="majorBidi" w:hAnsiTheme="majorBidi" w:cstheme="majorBidi"/>
          <w:sz w:val="24"/>
          <w:szCs w:val="24"/>
          <w:lang w:val="en-MY"/>
        </w:rPr>
        <w:instrText xml:space="preserve"> ADDIN EN.CITE &lt;EndNote&gt;&lt;Cite&gt;&lt;Author&gt;Boud&lt;/Author&gt;&lt;Year&gt;2018&lt;/Year&gt;&lt;RecNum&gt;291&lt;/RecNum&gt;&lt;DisplayText&gt;(Boud et al., 2018)&lt;/DisplayText&gt;&lt;record&gt;&lt;rec-number&gt;291&lt;/rec-number&gt;&lt;foreign-keys&gt;&lt;key app="EN" db-id="xztp25p9z0xwz4e0vfjxwzprfw52v5zra259" timestamp="1752460942"&gt;291&lt;/key&gt;&lt;/foreign-keys&gt;&lt;ref-type name="Journal Article"&gt;17&lt;/ref-type&gt;&lt;contributors&gt;&lt;authors&gt;&lt;author&gt;Boud, David&lt;/author&gt;&lt;author&gt;Dawson, Phillip&lt;/author&gt;&lt;author&gt;Bearman, Margaret&lt;/author&gt;&lt;author&gt;Bennett, Sue&lt;/author&gt;&lt;author&gt;Joughin, Gordon&lt;/author&gt;&lt;author&gt;Molloy, Elizabeth&lt;/author&gt;&lt;/authors&gt;&lt;/contributors&gt;&lt;titles&gt;&lt;title&gt;Reframing assessment research: through a practice perspective&lt;/title&gt;&lt;secondary-title&gt;Studies in Higher Education&lt;/secondary-title&gt;&lt;/titles&gt;&lt;periodical&gt;&lt;full-title&gt;Studies in Higher Education&lt;/full-title&gt;&lt;/periodical&gt;&lt;pages&gt;1107-1118&lt;/pages&gt;&lt;volume&gt;43&lt;/volume&gt;&lt;number&gt;7&lt;/number&gt;&lt;dates&gt;&lt;year&gt;2018&lt;/year&gt;&lt;/dates&gt;&lt;isbn&gt;0307-5079&lt;/isbn&gt;&lt;urls&gt;&lt;/urls&gt;&lt;/record&gt;&lt;/Cite&gt;&lt;/EndNote&gt;</w:instrText>
      </w:r>
      <w:r w:rsidRPr="00D32AE3">
        <w:rPr>
          <w:rFonts w:asciiTheme="majorBidi" w:hAnsiTheme="majorBidi" w:cstheme="majorBidi"/>
          <w:sz w:val="24"/>
          <w:szCs w:val="24"/>
          <w:lang w:val="en-MY"/>
        </w:rPr>
        <w:fldChar w:fldCharType="separate"/>
      </w:r>
      <w:r w:rsidRPr="00D32AE3">
        <w:rPr>
          <w:rFonts w:asciiTheme="majorBidi" w:hAnsiTheme="majorBidi" w:cstheme="majorBidi"/>
          <w:sz w:val="24"/>
          <w:szCs w:val="24"/>
          <w:lang w:val="en-MY"/>
        </w:rPr>
        <w:t>(Boud et al., 2018)</w:t>
      </w:r>
      <w:r w:rsidRPr="00D32AE3">
        <w:rPr>
          <w:rFonts w:asciiTheme="majorBidi" w:hAnsiTheme="majorBidi" w:cstheme="majorBidi"/>
          <w:sz w:val="24"/>
          <w:szCs w:val="24"/>
        </w:rPr>
        <w:fldChar w:fldCharType="end"/>
      </w:r>
      <w:r w:rsidRPr="00D32AE3">
        <w:rPr>
          <w:rFonts w:asciiTheme="majorBidi" w:hAnsiTheme="majorBidi" w:cstheme="majorBidi"/>
          <w:sz w:val="24"/>
          <w:szCs w:val="24"/>
          <w:lang w:val="en-MY"/>
        </w:rPr>
        <w:t xml:space="preserve">. The improvement observed in this study reflects the growing international consensus that educational programmes must adapt assessment strategies to ensure that they support meaningful learning, promote fairness, and prepare students for real world challenges </w:t>
      </w:r>
      <w:r w:rsidRPr="00D32AE3">
        <w:rPr>
          <w:rFonts w:asciiTheme="majorBidi" w:hAnsiTheme="majorBidi" w:cstheme="majorBidi"/>
          <w:sz w:val="24"/>
          <w:szCs w:val="24"/>
          <w:lang w:val="en-MY"/>
        </w:rPr>
        <w:fldChar w:fldCharType="begin"/>
      </w:r>
      <w:r w:rsidRPr="00D32AE3">
        <w:rPr>
          <w:rFonts w:asciiTheme="majorBidi" w:hAnsiTheme="majorBidi" w:cstheme="majorBidi"/>
          <w:sz w:val="24"/>
          <w:szCs w:val="24"/>
          <w:lang w:val="en-MY"/>
        </w:rPr>
        <w:instrText xml:space="preserve"> ADDIN EN.CITE &lt;EndNote&gt;&lt;Cite&gt;&lt;Author&gt;Bloxham&lt;/Author&gt;&lt;Year&gt;2016&lt;/Year&gt;&lt;RecNum&gt;290&lt;/RecNum&gt;&lt;DisplayText&gt;(Bloxham et al., 2016)&lt;/DisplayText&gt;&lt;record&gt;&lt;rec-number&gt;290&lt;/rec-number&gt;&lt;foreign-keys&gt;&lt;key app="EN" db-id="xztp25p9z0xwz4e0vfjxwzprfw52v5zra259" timestamp="1752460909"&gt;290&lt;/key&gt;&lt;/foreign-keys&gt;&lt;ref-type name="Journal Article"&gt;17&lt;/ref-type&gt;&lt;contributors&gt;&lt;authors&gt;&lt;author&gt;Bloxham, Sue&lt;/author&gt;&lt;author&gt;Hughes, Clair&lt;/author&gt;&lt;author&gt;Adie, Lenore&lt;/author&gt;&lt;/authors&gt;&lt;/contributors&gt;&lt;titles&gt;&lt;title&gt;What’s the point of moderation? A discussion of the purposes achieved through contemporary moderation practices&lt;/title&gt;&lt;secondary-title&gt;Assessment &amp;amp; Evaluation in Higher Education&lt;/secondary-title&gt;&lt;/titles&gt;&lt;periodical&gt;&lt;full-title&gt;Assessment &amp;amp; Evaluation in Higher Education&lt;/full-title&gt;&lt;/periodical&gt;&lt;pages&gt;638-653&lt;/pages&gt;&lt;volume&gt;41&lt;/volume&gt;&lt;number&gt;4&lt;/number&gt;&lt;dates&gt;&lt;year&gt;2016&lt;/year&gt;&lt;/dates&gt;&lt;isbn&gt;0260-2938&lt;/isbn&gt;&lt;urls&gt;&lt;/urls&gt;&lt;/record&gt;&lt;/Cite&gt;&lt;/EndNote&gt;</w:instrText>
      </w:r>
      <w:r w:rsidRPr="00D32AE3">
        <w:rPr>
          <w:rFonts w:asciiTheme="majorBidi" w:hAnsiTheme="majorBidi" w:cstheme="majorBidi"/>
          <w:sz w:val="24"/>
          <w:szCs w:val="24"/>
          <w:lang w:val="en-MY"/>
        </w:rPr>
        <w:fldChar w:fldCharType="separate"/>
      </w:r>
      <w:r w:rsidRPr="00D32AE3">
        <w:rPr>
          <w:rFonts w:asciiTheme="majorBidi" w:hAnsiTheme="majorBidi" w:cstheme="majorBidi"/>
          <w:sz w:val="24"/>
          <w:szCs w:val="24"/>
          <w:lang w:val="en-MY"/>
        </w:rPr>
        <w:t>(Bloxham et al., 2016)</w:t>
      </w:r>
      <w:r w:rsidRPr="00D32AE3">
        <w:rPr>
          <w:rFonts w:asciiTheme="majorBidi" w:hAnsiTheme="majorBidi" w:cstheme="majorBidi"/>
          <w:sz w:val="24"/>
          <w:szCs w:val="24"/>
        </w:rPr>
        <w:fldChar w:fldCharType="end"/>
      </w:r>
    </w:p>
    <w:p w14:paraId="04505A82" w14:textId="18B5AC02" w:rsidR="006E0F25" w:rsidRDefault="006E0F25" w:rsidP="006E0F25">
      <w:pPr>
        <w:pStyle w:val="BodyText"/>
        <w:spacing w:before="1"/>
        <w:ind w:right="19" w:firstLine="566"/>
        <w:rPr>
          <w:rFonts w:asciiTheme="majorBidi" w:hAnsiTheme="majorBidi" w:cstheme="majorBidi"/>
          <w:sz w:val="24"/>
          <w:szCs w:val="24"/>
          <w:lang w:val="en-MY"/>
        </w:rPr>
      </w:pPr>
      <w:r w:rsidRPr="00D32AE3">
        <w:rPr>
          <w:rFonts w:asciiTheme="majorBidi" w:hAnsiTheme="majorBidi" w:cstheme="majorBidi"/>
          <w:sz w:val="24"/>
          <w:szCs w:val="24"/>
          <w:lang w:val="en-MY"/>
        </w:rPr>
        <w:t>In conclusion, this research highlights the value of continuous improvement in assessment design. When assessment strategies are based on empirical evidence and aligned with programme outcomes, they can significantly enhance both the quality and equity of education</w:t>
      </w:r>
      <w:r w:rsidR="009A292C" w:rsidRPr="00D32AE3">
        <w:rPr>
          <w:rFonts w:asciiTheme="majorBidi" w:hAnsiTheme="majorBidi" w:cstheme="majorBidi"/>
          <w:sz w:val="24"/>
          <w:szCs w:val="24"/>
          <w:lang w:val="en-MY"/>
        </w:rPr>
        <w:t xml:space="preserve"> (Sambell t al., 2012)</w:t>
      </w:r>
      <w:r w:rsidRPr="00D32AE3">
        <w:rPr>
          <w:rFonts w:asciiTheme="majorBidi" w:hAnsiTheme="majorBidi" w:cstheme="majorBidi"/>
          <w:sz w:val="24"/>
          <w:szCs w:val="24"/>
          <w:lang w:val="en-MY"/>
        </w:rPr>
        <w:t>. Institutions seeking to improve academic performance and graduate competence should consider similar approaches as a path toward excellence in engineering educations.</w:t>
      </w:r>
    </w:p>
    <w:p w14:paraId="63CC3ACA" w14:textId="77777777" w:rsidR="00D32AE3" w:rsidRPr="00D32AE3" w:rsidRDefault="00D32AE3" w:rsidP="006E0F25">
      <w:pPr>
        <w:pStyle w:val="BodyText"/>
        <w:spacing w:before="1"/>
        <w:ind w:right="19" w:firstLine="566"/>
        <w:rPr>
          <w:rFonts w:asciiTheme="majorBidi" w:hAnsiTheme="majorBidi" w:cstheme="majorBidi"/>
          <w:sz w:val="24"/>
          <w:szCs w:val="24"/>
          <w:lang w:val="en-MY"/>
        </w:rPr>
      </w:pPr>
    </w:p>
    <w:p w14:paraId="7A70CF00" w14:textId="7852253D" w:rsidR="00187C2D" w:rsidRPr="00D32AE3" w:rsidRDefault="00000000" w:rsidP="006E0F25">
      <w:pPr>
        <w:spacing w:before="251"/>
        <w:ind w:left="874" w:right="2845"/>
        <w:jc w:val="both"/>
        <w:rPr>
          <w:rFonts w:asciiTheme="majorBidi" w:hAnsiTheme="majorBidi" w:cstheme="majorBidi"/>
          <w:color w:val="FF0000"/>
          <w:sz w:val="24"/>
          <w:szCs w:val="24"/>
        </w:rPr>
      </w:pPr>
      <w:r w:rsidRPr="00D32AE3">
        <w:rPr>
          <w:rFonts w:asciiTheme="majorBidi" w:hAnsiTheme="majorBidi" w:cstheme="majorBidi"/>
          <w:b/>
          <w:sz w:val="24"/>
          <w:szCs w:val="24"/>
        </w:rPr>
        <w:t>ACKNOWLEDGEMENT</w:t>
      </w:r>
      <w:r w:rsidRPr="00D32AE3">
        <w:rPr>
          <w:rFonts w:asciiTheme="majorBidi" w:hAnsiTheme="majorBidi" w:cstheme="majorBidi"/>
          <w:b/>
          <w:spacing w:val="-8"/>
          <w:sz w:val="24"/>
          <w:szCs w:val="24"/>
        </w:rPr>
        <w:t xml:space="preserve"> </w:t>
      </w:r>
    </w:p>
    <w:p w14:paraId="2CF61C4E" w14:textId="77777777" w:rsidR="006E0F25" w:rsidRPr="00D32AE3" w:rsidRDefault="006E0F25" w:rsidP="00A94FFE">
      <w:pPr>
        <w:ind w:left="874" w:right="2845"/>
        <w:jc w:val="both"/>
        <w:rPr>
          <w:rFonts w:asciiTheme="majorBidi" w:hAnsiTheme="majorBidi" w:cstheme="majorBidi"/>
          <w:color w:val="FF0000"/>
          <w:sz w:val="24"/>
          <w:szCs w:val="24"/>
        </w:rPr>
      </w:pPr>
    </w:p>
    <w:p w14:paraId="17505698" w14:textId="77777777" w:rsidR="006E0F25" w:rsidRPr="00D32AE3" w:rsidRDefault="006E0F25" w:rsidP="006E0F25">
      <w:pPr>
        <w:pStyle w:val="BodyText"/>
        <w:spacing w:before="2"/>
        <w:ind w:right="18"/>
        <w:rPr>
          <w:rFonts w:asciiTheme="majorBidi" w:hAnsiTheme="majorBidi" w:cstheme="majorBidi"/>
          <w:bCs/>
          <w:sz w:val="24"/>
          <w:szCs w:val="24"/>
          <w:lang w:val="en-MY"/>
        </w:rPr>
      </w:pPr>
      <w:r w:rsidRPr="00D32AE3">
        <w:rPr>
          <w:rFonts w:asciiTheme="majorBidi" w:hAnsiTheme="majorBidi" w:cstheme="majorBidi"/>
          <w:bCs/>
          <w:sz w:val="24"/>
          <w:szCs w:val="24"/>
          <w:lang w:val="en-MY"/>
        </w:rPr>
        <w:t>The authors would like to thank the management of Universiti Teknologi Mara (UiTM) Johor Pasir Gudang Branch, Malaysia for providing the supports for this study. The authors also wish to thank all family and friends who help to do this research directly or indirectly. Contributions from all relevant parties involved in the study are gratefully acknowledged.</w:t>
      </w:r>
    </w:p>
    <w:p w14:paraId="17AE45BC" w14:textId="77777777" w:rsidR="00187C2D" w:rsidRPr="00D32AE3" w:rsidRDefault="00187C2D">
      <w:pPr>
        <w:pStyle w:val="BodyText"/>
        <w:rPr>
          <w:rFonts w:asciiTheme="majorBidi" w:hAnsiTheme="majorBidi" w:cstheme="majorBidi"/>
          <w:sz w:val="24"/>
          <w:szCs w:val="24"/>
        </w:rPr>
      </w:pPr>
    </w:p>
    <w:p w14:paraId="77D3F2A0" w14:textId="2D7B0AF5" w:rsidR="00187C2D" w:rsidRPr="00D32AE3" w:rsidRDefault="00A917A9">
      <w:pPr>
        <w:pStyle w:val="Heading2"/>
        <w:ind w:right="4418"/>
        <w:rPr>
          <w:rFonts w:asciiTheme="majorBidi" w:hAnsiTheme="majorBidi" w:cstheme="majorBidi"/>
        </w:rPr>
      </w:pPr>
      <w:r w:rsidRPr="00D32AE3">
        <w:rPr>
          <w:rFonts w:asciiTheme="majorBidi" w:hAnsiTheme="majorBidi" w:cstheme="majorBidi"/>
          <w:b/>
        </w:rPr>
        <w:t>FUNDING</w:t>
      </w:r>
      <w:r w:rsidRPr="00D32AE3">
        <w:rPr>
          <w:rFonts w:asciiTheme="majorBidi" w:hAnsiTheme="majorBidi" w:cstheme="majorBidi"/>
          <w:b/>
          <w:spacing w:val="-10"/>
        </w:rPr>
        <w:t xml:space="preserve"> </w:t>
      </w:r>
    </w:p>
    <w:p w14:paraId="114CE120" w14:textId="43465E8B" w:rsidR="00187C2D" w:rsidRPr="00D32AE3" w:rsidRDefault="00187C2D" w:rsidP="006E0F25">
      <w:pPr>
        <w:pStyle w:val="BodyText"/>
        <w:spacing w:before="3"/>
        <w:ind w:right="22"/>
        <w:rPr>
          <w:rFonts w:asciiTheme="majorBidi" w:hAnsiTheme="majorBidi" w:cstheme="majorBidi"/>
          <w:sz w:val="24"/>
          <w:szCs w:val="24"/>
        </w:rPr>
      </w:pPr>
    </w:p>
    <w:p w14:paraId="21050308" w14:textId="72D234EF" w:rsidR="00187C2D" w:rsidRPr="00D32AE3" w:rsidRDefault="00000000" w:rsidP="006E0F25">
      <w:pPr>
        <w:pStyle w:val="BodyText"/>
        <w:spacing w:before="1"/>
        <w:jc w:val="left"/>
        <w:rPr>
          <w:rFonts w:asciiTheme="majorBidi" w:hAnsiTheme="majorBidi" w:cstheme="majorBidi"/>
          <w:sz w:val="24"/>
          <w:szCs w:val="24"/>
        </w:rPr>
      </w:pPr>
      <w:r w:rsidRPr="00D32AE3">
        <w:rPr>
          <w:rFonts w:asciiTheme="majorBidi" w:hAnsiTheme="majorBidi" w:cstheme="majorBidi"/>
          <w:sz w:val="24"/>
          <w:szCs w:val="24"/>
        </w:rPr>
        <w:t>This</w:t>
      </w:r>
      <w:r w:rsidRPr="00D32AE3">
        <w:rPr>
          <w:rFonts w:asciiTheme="majorBidi" w:hAnsiTheme="majorBidi" w:cstheme="majorBidi"/>
          <w:spacing w:val="-3"/>
          <w:sz w:val="24"/>
          <w:szCs w:val="24"/>
        </w:rPr>
        <w:t xml:space="preserve"> </w:t>
      </w:r>
      <w:r w:rsidRPr="00D32AE3">
        <w:rPr>
          <w:rFonts w:asciiTheme="majorBidi" w:hAnsiTheme="majorBidi" w:cstheme="majorBidi"/>
          <w:sz w:val="24"/>
          <w:szCs w:val="24"/>
        </w:rPr>
        <w:t>study</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was</w:t>
      </w:r>
      <w:r w:rsidRPr="00D32AE3">
        <w:rPr>
          <w:rFonts w:asciiTheme="majorBidi" w:hAnsiTheme="majorBidi" w:cstheme="majorBidi"/>
          <w:spacing w:val="-3"/>
          <w:sz w:val="24"/>
          <w:szCs w:val="24"/>
        </w:rPr>
        <w:t xml:space="preserve"> </w:t>
      </w:r>
      <w:r w:rsidRPr="00D32AE3">
        <w:rPr>
          <w:rFonts w:asciiTheme="majorBidi" w:hAnsiTheme="majorBidi" w:cstheme="majorBidi"/>
          <w:sz w:val="24"/>
          <w:szCs w:val="24"/>
        </w:rPr>
        <w:t>not</w:t>
      </w:r>
      <w:r w:rsidRPr="00D32AE3">
        <w:rPr>
          <w:rFonts w:asciiTheme="majorBidi" w:hAnsiTheme="majorBidi" w:cstheme="majorBidi"/>
          <w:spacing w:val="-5"/>
          <w:sz w:val="24"/>
          <w:szCs w:val="24"/>
        </w:rPr>
        <w:t xml:space="preserve"> </w:t>
      </w:r>
      <w:r w:rsidRPr="00D32AE3">
        <w:rPr>
          <w:rFonts w:asciiTheme="majorBidi" w:hAnsiTheme="majorBidi" w:cstheme="majorBidi"/>
          <w:sz w:val="24"/>
          <w:szCs w:val="24"/>
        </w:rPr>
        <w:t>supported</w:t>
      </w:r>
      <w:r w:rsidRPr="00D32AE3">
        <w:rPr>
          <w:rFonts w:asciiTheme="majorBidi" w:hAnsiTheme="majorBidi" w:cstheme="majorBidi"/>
          <w:spacing w:val="-3"/>
          <w:sz w:val="24"/>
          <w:szCs w:val="24"/>
        </w:rPr>
        <w:t xml:space="preserve"> </w:t>
      </w:r>
      <w:r w:rsidRPr="00D32AE3">
        <w:rPr>
          <w:rFonts w:asciiTheme="majorBidi" w:hAnsiTheme="majorBidi" w:cstheme="majorBidi"/>
          <w:sz w:val="24"/>
          <w:szCs w:val="24"/>
        </w:rPr>
        <w:t>by</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any</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grants</w:t>
      </w:r>
      <w:r w:rsidRPr="00D32AE3">
        <w:rPr>
          <w:rFonts w:asciiTheme="majorBidi" w:hAnsiTheme="majorBidi" w:cstheme="majorBidi"/>
          <w:spacing w:val="-3"/>
          <w:sz w:val="24"/>
          <w:szCs w:val="24"/>
        </w:rPr>
        <w:t xml:space="preserve"> </w:t>
      </w:r>
      <w:r w:rsidRPr="00D32AE3">
        <w:rPr>
          <w:rFonts w:asciiTheme="majorBidi" w:hAnsiTheme="majorBidi" w:cstheme="majorBidi"/>
          <w:sz w:val="24"/>
          <w:szCs w:val="24"/>
        </w:rPr>
        <w:t>from</w:t>
      </w:r>
      <w:r w:rsidRPr="00D32AE3">
        <w:rPr>
          <w:rFonts w:asciiTheme="majorBidi" w:hAnsiTheme="majorBidi" w:cstheme="majorBidi"/>
          <w:spacing w:val="-7"/>
          <w:sz w:val="24"/>
          <w:szCs w:val="24"/>
        </w:rPr>
        <w:t xml:space="preserve"> </w:t>
      </w:r>
      <w:r w:rsidRPr="00D32AE3">
        <w:rPr>
          <w:rFonts w:asciiTheme="majorBidi" w:hAnsiTheme="majorBidi" w:cstheme="majorBidi"/>
          <w:sz w:val="24"/>
          <w:szCs w:val="24"/>
        </w:rPr>
        <w:t>funding</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bodies</w:t>
      </w:r>
      <w:r w:rsidRPr="00D32AE3">
        <w:rPr>
          <w:rFonts w:asciiTheme="majorBidi" w:hAnsiTheme="majorBidi" w:cstheme="majorBidi"/>
          <w:spacing w:val="-5"/>
          <w:sz w:val="24"/>
          <w:szCs w:val="24"/>
        </w:rPr>
        <w:t xml:space="preserve"> </w:t>
      </w:r>
      <w:r w:rsidRPr="00D32AE3">
        <w:rPr>
          <w:rFonts w:asciiTheme="majorBidi" w:hAnsiTheme="majorBidi" w:cstheme="majorBidi"/>
          <w:sz w:val="24"/>
          <w:szCs w:val="24"/>
        </w:rPr>
        <w:t>in</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the</w:t>
      </w:r>
      <w:r w:rsidRPr="00D32AE3">
        <w:rPr>
          <w:rFonts w:asciiTheme="majorBidi" w:hAnsiTheme="majorBidi" w:cstheme="majorBidi"/>
          <w:spacing w:val="-3"/>
          <w:sz w:val="24"/>
          <w:szCs w:val="24"/>
        </w:rPr>
        <w:t xml:space="preserve"> </w:t>
      </w:r>
      <w:r w:rsidRPr="00D32AE3">
        <w:rPr>
          <w:rFonts w:asciiTheme="majorBidi" w:hAnsiTheme="majorBidi" w:cstheme="majorBidi"/>
          <w:sz w:val="24"/>
          <w:szCs w:val="24"/>
        </w:rPr>
        <w:t>public,</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private,</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or</w:t>
      </w:r>
      <w:r w:rsidRPr="00D32AE3">
        <w:rPr>
          <w:rFonts w:asciiTheme="majorBidi" w:hAnsiTheme="majorBidi" w:cstheme="majorBidi"/>
          <w:spacing w:val="-3"/>
          <w:sz w:val="24"/>
          <w:szCs w:val="24"/>
        </w:rPr>
        <w:t xml:space="preserve"> </w:t>
      </w:r>
      <w:r w:rsidR="006E0F25" w:rsidRPr="00D32AE3">
        <w:rPr>
          <w:rFonts w:asciiTheme="majorBidi" w:hAnsiTheme="majorBidi" w:cstheme="majorBidi"/>
          <w:sz w:val="24"/>
          <w:szCs w:val="24"/>
        </w:rPr>
        <w:t>non</w:t>
      </w:r>
      <w:r w:rsidRPr="00D32AE3">
        <w:rPr>
          <w:rFonts w:asciiTheme="majorBidi" w:hAnsiTheme="majorBidi" w:cstheme="majorBidi"/>
          <w:sz w:val="24"/>
          <w:szCs w:val="24"/>
        </w:rPr>
        <w:t xml:space="preserve">-profit </w:t>
      </w:r>
      <w:r w:rsidRPr="00D32AE3">
        <w:rPr>
          <w:rFonts w:asciiTheme="majorBidi" w:hAnsiTheme="majorBidi" w:cstheme="majorBidi"/>
          <w:spacing w:val="-2"/>
          <w:sz w:val="24"/>
          <w:szCs w:val="24"/>
        </w:rPr>
        <w:t>sectors.</w:t>
      </w:r>
      <w:r w:rsidR="006E0F25" w:rsidRPr="00D32AE3">
        <w:rPr>
          <w:rFonts w:asciiTheme="majorBidi" w:hAnsiTheme="majorBidi" w:cstheme="majorBidi"/>
          <w:spacing w:val="-2"/>
          <w:sz w:val="24"/>
          <w:szCs w:val="24"/>
        </w:rPr>
        <w:t xml:space="preserve"> </w:t>
      </w:r>
      <w:r w:rsidRPr="00D32AE3">
        <w:rPr>
          <w:rFonts w:asciiTheme="majorBidi" w:hAnsiTheme="majorBidi" w:cstheme="majorBidi"/>
          <w:sz w:val="24"/>
          <w:szCs w:val="24"/>
        </w:rPr>
        <w:t>The</w:t>
      </w:r>
      <w:r w:rsidRPr="00D32AE3">
        <w:rPr>
          <w:rFonts w:asciiTheme="majorBidi" w:hAnsiTheme="majorBidi" w:cstheme="majorBidi"/>
          <w:spacing w:val="-7"/>
          <w:sz w:val="24"/>
          <w:szCs w:val="24"/>
        </w:rPr>
        <w:t xml:space="preserve"> </w:t>
      </w:r>
      <w:r w:rsidRPr="00D32AE3">
        <w:rPr>
          <w:rFonts w:asciiTheme="majorBidi" w:hAnsiTheme="majorBidi" w:cstheme="majorBidi"/>
          <w:sz w:val="24"/>
          <w:szCs w:val="24"/>
        </w:rPr>
        <w:t>authors</w:t>
      </w:r>
      <w:r w:rsidRPr="00D32AE3">
        <w:rPr>
          <w:rFonts w:asciiTheme="majorBidi" w:hAnsiTheme="majorBidi" w:cstheme="majorBidi"/>
          <w:spacing w:val="-4"/>
          <w:sz w:val="24"/>
          <w:szCs w:val="24"/>
        </w:rPr>
        <w:t xml:space="preserve"> </w:t>
      </w:r>
      <w:r w:rsidRPr="00D32AE3">
        <w:rPr>
          <w:rFonts w:asciiTheme="majorBidi" w:hAnsiTheme="majorBidi" w:cstheme="majorBidi"/>
          <w:sz w:val="24"/>
          <w:szCs w:val="24"/>
        </w:rPr>
        <w:t>declare</w:t>
      </w:r>
      <w:r w:rsidRPr="00D32AE3">
        <w:rPr>
          <w:rFonts w:asciiTheme="majorBidi" w:hAnsiTheme="majorBidi" w:cstheme="majorBidi"/>
          <w:spacing w:val="-4"/>
          <w:sz w:val="24"/>
          <w:szCs w:val="24"/>
        </w:rPr>
        <w:t xml:space="preserve"> </w:t>
      </w:r>
      <w:r w:rsidRPr="00D32AE3">
        <w:rPr>
          <w:rFonts w:asciiTheme="majorBidi" w:hAnsiTheme="majorBidi" w:cstheme="majorBidi"/>
          <w:sz w:val="24"/>
          <w:szCs w:val="24"/>
        </w:rPr>
        <w:t>that</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no</w:t>
      </w:r>
      <w:r w:rsidRPr="00D32AE3">
        <w:rPr>
          <w:rFonts w:asciiTheme="majorBidi" w:hAnsiTheme="majorBidi" w:cstheme="majorBidi"/>
          <w:spacing w:val="-7"/>
          <w:sz w:val="24"/>
          <w:szCs w:val="24"/>
        </w:rPr>
        <w:t xml:space="preserve"> </w:t>
      </w:r>
      <w:r w:rsidRPr="00D32AE3">
        <w:rPr>
          <w:rFonts w:asciiTheme="majorBidi" w:hAnsiTheme="majorBidi" w:cstheme="majorBidi"/>
          <w:sz w:val="24"/>
          <w:szCs w:val="24"/>
        </w:rPr>
        <w:t>financial</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support</w:t>
      </w:r>
      <w:r w:rsidRPr="00D32AE3">
        <w:rPr>
          <w:rFonts w:asciiTheme="majorBidi" w:hAnsiTheme="majorBidi" w:cstheme="majorBidi"/>
          <w:spacing w:val="-4"/>
          <w:sz w:val="24"/>
          <w:szCs w:val="24"/>
        </w:rPr>
        <w:t xml:space="preserve"> </w:t>
      </w:r>
      <w:r w:rsidRPr="00D32AE3">
        <w:rPr>
          <w:rFonts w:asciiTheme="majorBidi" w:hAnsiTheme="majorBidi" w:cstheme="majorBidi"/>
          <w:sz w:val="24"/>
          <w:szCs w:val="24"/>
        </w:rPr>
        <w:t>was</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received</w:t>
      </w:r>
      <w:r w:rsidRPr="00D32AE3">
        <w:rPr>
          <w:rFonts w:asciiTheme="majorBidi" w:hAnsiTheme="majorBidi" w:cstheme="majorBidi"/>
          <w:spacing w:val="-4"/>
          <w:sz w:val="24"/>
          <w:szCs w:val="24"/>
        </w:rPr>
        <w:t xml:space="preserve"> </w:t>
      </w:r>
      <w:r w:rsidRPr="00D32AE3">
        <w:rPr>
          <w:rFonts w:asciiTheme="majorBidi" w:hAnsiTheme="majorBidi" w:cstheme="majorBidi"/>
          <w:sz w:val="24"/>
          <w:szCs w:val="24"/>
        </w:rPr>
        <w:t>for</w:t>
      </w:r>
      <w:r w:rsidRPr="00D32AE3">
        <w:rPr>
          <w:rFonts w:asciiTheme="majorBidi" w:hAnsiTheme="majorBidi" w:cstheme="majorBidi"/>
          <w:spacing w:val="-6"/>
          <w:sz w:val="24"/>
          <w:szCs w:val="24"/>
        </w:rPr>
        <w:t xml:space="preserve"> </w:t>
      </w:r>
      <w:r w:rsidRPr="00D32AE3">
        <w:rPr>
          <w:rFonts w:asciiTheme="majorBidi" w:hAnsiTheme="majorBidi" w:cstheme="majorBidi"/>
          <w:sz w:val="24"/>
          <w:szCs w:val="24"/>
        </w:rPr>
        <w:t>the</w:t>
      </w:r>
      <w:r w:rsidRPr="00D32AE3">
        <w:rPr>
          <w:rFonts w:asciiTheme="majorBidi" w:hAnsiTheme="majorBidi" w:cstheme="majorBidi"/>
          <w:spacing w:val="-7"/>
          <w:sz w:val="24"/>
          <w:szCs w:val="24"/>
        </w:rPr>
        <w:t xml:space="preserve"> </w:t>
      </w:r>
      <w:r w:rsidRPr="00D32AE3">
        <w:rPr>
          <w:rFonts w:asciiTheme="majorBidi" w:hAnsiTheme="majorBidi" w:cstheme="majorBidi"/>
          <w:sz w:val="24"/>
          <w:szCs w:val="24"/>
        </w:rPr>
        <w:t>research,</w:t>
      </w:r>
      <w:r w:rsidRPr="00D32AE3">
        <w:rPr>
          <w:rFonts w:asciiTheme="majorBidi" w:hAnsiTheme="majorBidi" w:cstheme="majorBidi"/>
          <w:spacing w:val="-7"/>
          <w:sz w:val="24"/>
          <w:szCs w:val="24"/>
        </w:rPr>
        <w:t xml:space="preserve"> </w:t>
      </w:r>
      <w:r w:rsidRPr="00D32AE3">
        <w:rPr>
          <w:rFonts w:asciiTheme="majorBidi" w:hAnsiTheme="majorBidi" w:cstheme="majorBidi"/>
          <w:sz w:val="24"/>
          <w:szCs w:val="24"/>
        </w:rPr>
        <w:t>authorship,</w:t>
      </w:r>
      <w:r w:rsidRPr="00D32AE3">
        <w:rPr>
          <w:rFonts w:asciiTheme="majorBidi" w:hAnsiTheme="majorBidi" w:cstheme="majorBidi"/>
          <w:spacing w:val="-7"/>
          <w:sz w:val="24"/>
          <w:szCs w:val="24"/>
        </w:rPr>
        <w:t xml:space="preserve"> </w:t>
      </w:r>
      <w:r w:rsidRPr="00D32AE3">
        <w:rPr>
          <w:rFonts w:asciiTheme="majorBidi" w:hAnsiTheme="majorBidi" w:cstheme="majorBidi"/>
          <w:sz w:val="24"/>
          <w:szCs w:val="24"/>
        </w:rPr>
        <w:t>and</w:t>
      </w:r>
      <w:r w:rsidRPr="00D32AE3">
        <w:rPr>
          <w:rFonts w:asciiTheme="majorBidi" w:hAnsiTheme="majorBidi" w:cstheme="majorBidi"/>
          <w:spacing w:val="-7"/>
          <w:sz w:val="24"/>
          <w:szCs w:val="24"/>
        </w:rPr>
        <w:t xml:space="preserve"> </w:t>
      </w:r>
      <w:r w:rsidRPr="00D32AE3">
        <w:rPr>
          <w:rFonts w:asciiTheme="majorBidi" w:hAnsiTheme="majorBidi" w:cstheme="majorBidi"/>
          <w:sz w:val="24"/>
          <w:szCs w:val="24"/>
        </w:rPr>
        <w:t>publication of this article.</w:t>
      </w:r>
    </w:p>
    <w:p w14:paraId="6B3C80C3" w14:textId="6F3B9252" w:rsidR="00187C2D" w:rsidRPr="00D32AE3" w:rsidRDefault="00187C2D" w:rsidP="000E7A0F">
      <w:pPr>
        <w:pStyle w:val="BodyText"/>
        <w:ind w:left="0"/>
        <w:rPr>
          <w:rFonts w:asciiTheme="majorBidi" w:hAnsiTheme="majorBidi" w:cstheme="majorBidi"/>
          <w:sz w:val="24"/>
          <w:szCs w:val="24"/>
        </w:rPr>
      </w:pPr>
    </w:p>
    <w:p w14:paraId="0B24AF9B" w14:textId="399DA364" w:rsidR="00187C2D" w:rsidRPr="00D32AE3" w:rsidRDefault="00000000" w:rsidP="00E92561">
      <w:pPr>
        <w:spacing w:before="252" w:after="240"/>
        <w:ind w:left="874" w:right="2603"/>
        <w:jc w:val="both"/>
        <w:rPr>
          <w:rFonts w:asciiTheme="majorBidi" w:hAnsiTheme="majorBidi" w:cstheme="majorBidi"/>
          <w:sz w:val="24"/>
          <w:szCs w:val="24"/>
        </w:rPr>
      </w:pPr>
      <w:r w:rsidRPr="00D32AE3">
        <w:rPr>
          <w:rFonts w:asciiTheme="majorBidi" w:hAnsiTheme="majorBidi" w:cstheme="majorBidi"/>
          <w:b/>
          <w:sz w:val="24"/>
          <w:szCs w:val="24"/>
        </w:rPr>
        <w:lastRenderedPageBreak/>
        <w:t>CONFLICT</w:t>
      </w:r>
      <w:r w:rsidRPr="00D32AE3">
        <w:rPr>
          <w:rFonts w:asciiTheme="majorBidi" w:hAnsiTheme="majorBidi" w:cstheme="majorBidi"/>
          <w:b/>
          <w:spacing w:val="-6"/>
          <w:sz w:val="24"/>
          <w:szCs w:val="24"/>
        </w:rPr>
        <w:t xml:space="preserve"> </w:t>
      </w:r>
      <w:r w:rsidRPr="00D32AE3">
        <w:rPr>
          <w:rFonts w:asciiTheme="majorBidi" w:hAnsiTheme="majorBidi" w:cstheme="majorBidi"/>
          <w:b/>
          <w:sz w:val="24"/>
          <w:szCs w:val="24"/>
        </w:rPr>
        <w:t>OF</w:t>
      </w:r>
      <w:r w:rsidRPr="00D32AE3">
        <w:rPr>
          <w:rFonts w:asciiTheme="majorBidi" w:hAnsiTheme="majorBidi" w:cstheme="majorBidi"/>
          <w:b/>
          <w:spacing w:val="-9"/>
          <w:sz w:val="24"/>
          <w:szCs w:val="24"/>
        </w:rPr>
        <w:t xml:space="preserve"> </w:t>
      </w:r>
      <w:r w:rsidRPr="00D32AE3">
        <w:rPr>
          <w:rFonts w:asciiTheme="majorBidi" w:hAnsiTheme="majorBidi" w:cstheme="majorBidi"/>
          <w:b/>
          <w:sz w:val="24"/>
          <w:szCs w:val="24"/>
        </w:rPr>
        <w:t>INTEREST</w:t>
      </w:r>
    </w:p>
    <w:p w14:paraId="19717D0A" w14:textId="35F720A5" w:rsidR="00187C2D" w:rsidRPr="00D32AE3" w:rsidRDefault="00000000">
      <w:pPr>
        <w:pStyle w:val="BodyText"/>
        <w:spacing w:before="2"/>
        <w:ind w:right="19"/>
        <w:rPr>
          <w:rFonts w:asciiTheme="majorBidi" w:hAnsiTheme="majorBidi" w:cstheme="majorBidi"/>
          <w:sz w:val="24"/>
          <w:szCs w:val="24"/>
        </w:rPr>
      </w:pPr>
      <w:r w:rsidRPr="00D32AE3">
        <w:rPr>
          <w:rFonts w:asciiTheme="majorBidi" w:hAnsiTheme="majorBidi" w:cstheme="majorBidi"/>
          <w:sz w:val="24"/>
          <w:szCs w:val="24"/>
        </w:rPr>
        <w:t>The authors declare no conflicts of interest" should be included if there is no conflict of interest.</w:t>
      </w:r>
    </w:p>
    <w:p w14:paraId="31D6B729" w14:textId="1B80D489" w:rsidR="00187C2D" w:rsidRPr="00D32AE3" w:rsidRDefault="00187C2D">
      <w:pPr>
        <w:pStyle w:val="BodyText"/>
        <w:spacing w:line="252" w:lineRule="exact"/>
        <w:rPr>
          <w:rFonts w:asciiTheme="majorBidi" w:hAnsiTheme="majorBidi" w:cstheme="majorBidi"/>
          <w:sz w:val="24"/>
          <w:szCs w:val="24"/>
        </w:rPr>
      </w:pPr>
    </w:p>
    <w:p w14:paraId="153D6129" w14:textId="771F3502" w:rsidR="00187C2D" w:rsidRPr="00D32AE3" w:rsidRDefault="00000000">
      <w:pPr>
        <w:spacing w:before="252"/>
        <w:ind w:left="874" w:right="3864"/>
        <w:rPr>
          <w:rFonts w:asciiTheme="majorBidi" w:hAnsiTheme="majorBidi" w:cstheme="majorBidi"/>
          <w:b/>
          <w:spacing w:val="-7"/>
          <w:sz w:val="24"/>
          <w:szCs w:val="24"/>
        </w:rPr>
      </w:pPr>
      <w:r w:rsidRPr="00D32AE3">
        <w:rPr>
          <w:rFonts w:asciiTheme="majorBidi" w:hAnsiTheme="majorBidi" w:cstheme="majorBidi"/>
          <w:b/>
          <w:sz w:val="24"/>
          <w:szCs w:val="24"/>
        </w:rPr>
        <w:t>REFERENCES</w:t>
      </w:r>
      <w:r w:rsidRPr="00D32AE3">
        <w:rPr>
          <w:rFonts w:asciiTheme="majorBidi" w:hAnsiTheme="majorBidi" w:cstheme="majorBidi"/>
          <w:b/>
          <w:spacing w:val="-7"/>
          <w:sz w:val="24"/>
          <w:szCs w:val="24"/>
        </w:rPr>
        <w:t xml:space="preserve"> </w:t>
      </w:r>
    </w:p>
    <w:p w14:paraId="5A2C52E6" w14:textId="77777777" w:rsidR="00A917A9" w:rsidRPr="00D32AE3" w:rsidRDefault="00A917A9" w:rsidP="00A917A9">
      <w:pPr>
        <w:ind w:left="874" w:right="3864"/>
        <w:rPr>
          <w:rFonts w:asciiTheme="majorBidi" w:hAnsiTheme="majorBidi" w:cstheme="majorBidi"/>
          <w:sz w:val="24"/>
          <w:szCs w:val="24"/>
        </w:rPr>
      </w:pPr>
    </w:p>
    <w:p w14:paraId="2E48F077" w14:textId="7A8E4D6B" w:rsidR="00E92561" w:rsidRPr="000E7A0F" w:rsidRDefault="00E92561" w:rsidP="000E7A0F">
      <w:pPr>
        <w:pStyle w:val="BodyText"/>
        <w:numPr>
          <w:ilvl w:val="0"/>
          <w:numId w:val="2"/>
        </w:numPr>
        <w:rPr>
          <w:rFonts w:asciiTheme="majorBidi" w:hAnsiTheme="majorBidi" w:cstheme="majorBidi"/>
          <w:sz w:val="24"/>
          <w:szCs w:val="24"/>
        </w:rPr>
      </w:pPr>
      <w:r w:rsidRPr="00D32AE3">
        <w:rPr>
          <w:rFonts w:asciiTheme="majorBidi" w:hAnsiTheme="majorBidi" w:cstheme="majorBidi"/>
          <w:sz w:val="24"/>
          <w:szCs w:val="24"/>
          <w:lang w:val="en-MY"/>
        </w:rPr>
        <w:t xml:space="preserve">ABET. (2022). </w:t>
      </w:r>
      <w:r w:rsidRPr="00D32AE3">
        <w:rPr>
          <w:rFonts w:asciiTheme="majorBidi" w:hAnsiTheme="majorBidi" w:cstheme="majorBidi"/>
          <w:i/>
          <w:iCs/>
          <w:sz w:val="24"/>
          <w:szCs w:val="24"/>
          <w:lang w:val="en-MY"/>
        </w:rPr>
        <w:t>Criteria for accrediting engineering programs</w:t>
      </w:r>
      <w:r w:rsidRPr="00D32AE3">
        <w:rPr>
          <w:rFonts w:asciiTheme="majorBidi" w:hAnsiTheme="majorBidi" w:cstheme="majorBidi"/>
          <w:sz w:val="24"/>
          <w:szCs w:val="24"/>
          <w:lang w:val="en-MY"/>
        </w:rPr>
        <w:t>. Accreditation Board for      Engineering and Technology.</w:t>
      </w:r>
      <w:r w:rsidRPr="000E7A0F">
        <w:rPr>
          <w:rFonts w:asciiTheme="majorBidi" w:hAnsiTheme="majorBidi" w:cstheme="majorBidi"/>
          <w:sz w:val="24"/>
          <w:szCs w:val="24"/>
          <w:lang w:val="en-MY"/>
        </w:rPr>
        <w:t xml:space="preserve"> </w:t>
      </w:r>
      <w:hyperlink r:id="rId10" w:history="1">
        <w:r w:rsidRPr="000E7A0F">
          <w:rPr>
            <w:rStyle w:val="Hyperlink"/>
            <w:rFonts w:asciiTheme="majorBidi" w:hAnsiTheme="majorBidi" w:cstheme="majorBidi"/>
            <w:color w:val="auto"/>
            <w:sz w:val="24"/>
            <w:szCs w:val="24"/>
            <w:lang w:val="en-MY"/>
          </w:rPr>
          <w:t>https://www.abet.org/accreditation/accreditation-criteria/</w:t>
        </w:r>
      </w:hyperlink>
    </w:p>
    <w:p w14:paraId="5D61FC73" w14:textId="20F746F8" w:rsidR="007B6B05" w:rsidRPr="000E7A0F" w:rsidRDefault="007B6B05"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Amirtharaj, S., Chandrasekaran, G., Thirumoorthy, K., Muneeswaran, K., &amp; Id, O. (2021). A Systematic Approach for Assessment of Attainment in Outcome-based Education. </w:t>
      </w:r>
      <w:r w:rsidRPr="000E7A0F">
        <w:rPr>
          <w:rFonts w:asciiTheme="majorBidi" w:hAnsiTheme="majorBidi" w:cstheme="majorBidi"/>
          <w:i/>
          <w:iCs/>
          <w:sz w:val="24"/>
          <w:szCs w:val="24"/>
        </w:rPr>
        <w:t>Higher Education for the Future, 9</w:t>
      </w:r>
      <w:r w:rsidRPr="000E7A0F">
        <w:rPr>
          <w:rFonts w:asciiTheme="majorBidi" w:hAnsiTheme="majorBidi" w:cstheme="majorBidi"/>
          <w:sz w:val="24"/>
          <w:szCs w:val="24"/>
        </w:rPr>
        <w:t>, 8 - 29.</w:t>
      </w:r>
      <w:r w:rsidRPr="000E7A0F">
        <w:rPr>
          <w:rFonts w:asciiTheme="majorBidi" w:hAnsiTheme="majorBidi" w:cstheme="majorBidi"/>
          <w:i/>
          <w:iCs/>
          <w:sz w:val="24"/>
          <w:szCs w:val="24"/>
        </w:rPr>
        <w:t>.</w:t>
      </w:r>
    </w:p>
    <w:p w14:paraId="77741037"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Bearman, M., Ajjawi, R., Boud, D., &amp; Tai, J. (2017). Reframing assessment research: Through a practice theory lens. </w:t>
      </w:r>
      <w:r w:rsidRPr="000E7A0F">
        <w:rPr>
          <w:rFonts w:asciiTheme="majorBidi" w:hAnsiTheme="majorBidi" w:cstheme="majorBidi"/>
          <w:i/>
          <w:iCs/>
          <w:sz w:val="24"/>
          <w:szCs w:val="24"/>
          <w:lang w:val="en-MY"/>
        </w:rPr>
        <w:t>Studies in Higher Education</w:t>
      </w:r>
      <w:r w:rsidRPr="000E7A0F">
        <w:rPr>
          <w:rFonts w:asciiTheme="majorBidi" w:hAnsiTheme="majorBidi" w:cstheme="majorBidi"/>
          <w:sz w:val="24"/>
          <w:szCs w:val="24"/>
          <w:lang w:val="en-MY"/>
        </w:rPr>
        <w:t xml:space="preserve">, 42(7), 1298–1312. </w:t>
      </w:r>
      <w:hyperlink r:id="rId11" w:history="1">
        <w:r w:rsidRPr="000E7A0F">
          <w:rPr>
            <w:rStyle w:val="Hyperlink"/>
            <w:rFonts w:asciiTheme="majorBidi" w:hAnsiTheme="majorBidi" w:cstheme="majorBidi"/>
            <w:color w:val="auto"/>
            <w:sz w:val="24"/>
            <w:szCs w:val="24"/>
            <w:lang w:val="en-MY"/>
          </w:rPr>
          <w:t>https://doi.org/10.1080/03075079.2015.1092893</w:t>
        </w:r>
      </w:hyperlink>
    </w:p>
    <w:p w14:paraId="4699EAF6"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Black, P., &amp; Wiliam, D. (1998). Assessment and classroom learning. </w:t>
      </w:r>
      <w:r w:rsidRPr="000E7A0F">
        <w:rPr>
          <w:rFonts w:asciiTheme="majorBidi" w:hAnsiTheme="majorBidi" w:cstheme="majorBidi"/>
          <w:i/>
          <w:iCs/>
          <w:sz w:val="24"/>
          <w:szCs w:val="24"/>
          <w:lang w:val="en-MY"/>
        </w:rPr>
        <w:t>Assessment in Education: Principles, Policy &amp; Practice</w:t>
      </w:r>
      <w:r w:rsidRPr="000E7A0F">
        <w:rPr>
          <w:rFonts w:asciiTheme="majorBidi" w:hAnsiTheme="majorBidi" w:cstheme="majorBidi"/>
          <w:sz w:val="24"/>
          <w:szCs w:val="24"/>
          <w:lang w:val="en-MY"/>
        </w:rPr>
        <w:t xml:space="preserve">, 5(1), 7–74. </w:t>
      </w:r>
      <w:hyperlink r:id="rId12" w:history="1">
        <w:r w:rsidRPr="000E7A0F">
          <w:rPr>
            <w:rStyle w:val="Hyperlink"/>
            <w:rFonts w:asciiTheme="majorBidi" w:hAnsiTheme="majorBidi" w:cstheme="majorBidi"/>
            <w:color w:val="auto"/>
            <w:sz w:val="24"/>
            <w:szCs w:val="24"/>
            <w:lang w:val="en-MY"/>
          </w:rPr>
          <w:t>https://doi.org/10.1080/0969595980050102</w:t>
        </w:r>
      </w:hyperlink>
    </w:p>
    <w:p w14:paraId="47989E47"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Bloxham, S., Hughes, J., &amp; Adie, L. (2016). What’s the point of moderation? A discussion of the purposes achieved through contemporary assessment moderation practices. </w:t>
      </w:r>
      <w:r w:rsidRPr="000E7A0F">
        <w:rPr>
          <w:rFonts w:asciiTheme="majorBidi" w:hAnsiTheme="majorBidi" w:cstheme="majorBidi"/>
          <w:i/>
          <w:iCs/>
          <w:sz w:val="24"/>
          <w:szCs w:val="24"/>
          <w:lang w:val="en-MY"/>
        </w:rPr>
        <w:t>Assessment &amp; Evaluation in Higher Education</w:t>
      </w:r>
      <w:r w:rsidRPr="000E7A0F">
        <w:rPr>
          <w:rFonts w:asciiTheme="majorBidi" w:hAnsiTheme="majorBidi" w:cstheme="majorBidi"/>
          <w:sz w:val="24"/>
          <w:szCs w:val="24"/>
          <w:lang w:val="en-MY"/>
        </w:rPr>
        <w:t xml:space="preserve">, 41(4), 638–653. </w:t>
      </w:r>
      <w:hyperlink r:id="rId13" w:history="1">
        <w:r w:rsidRPr="000E7A0F">
          <w:rPr>
            <w:rStyle w:val="Hyperlink"/>
            <w:rFonts w:asciiTheme="majorBidi" w:hAnsiTheme="majorBidi" w:cstheme="majorBidi"/>
            <w:color w:val="auto"/>
            <w:sz w:val="24"/>
            <w:szCs w:val="24"/>
            <w:lang w:val="en-MY"/>
          </w:rPr>
          <w:t>https://doi.org/10.1080/02602938.2015.1039932</w:t>
        </w:r>
      </w:hyperlink>
    </w:p>
    <w:p w14:paraId="1B1EBEB8"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Brookhart, S. M. (2011). Grading and learning: Practices that support student achievement.  </w:t>
      </w:r>
      <w:r w:rsidRPr="000E7A0F">
        <w:rPr>
          <w:rFonts w:asciiTheme="majorBidi" w:hAnsiTheme="majorBidi" w:cstheme="majorBidi"/>
          <w:i/>
          <w:iCs/>
          <w:sz w:val="24"/>
          <w:szCs w:val="24"/>
          <w:lang w:val="en-MY"/>
        </w:rPr>
        <w:t>Solution Tree Press</w:t>
      </w:r>
      <w:r w:rsidRPr="000E7A0F">
        <w:rPr>
          <w:rFonts w:asciiTheme="majorBidi" w:hAnsiTheme="majorBidi" w:cstheme="majorBidi"/>
          <w:sz w:val="24"/>
          <w:szCs w:val="24"/>
          <w:lang w:val="en-MY"/>
        </w:rPr>
        <w:t>.</w:t>
      </w:r>
    </w:p>
    <w:p w14:paraId="22FCC4D9"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Boud, D., &amp; Falchikov, N. (2007). </w:t>
      </w:r>
      <w:r w:rsidRPr="000E7A0F">
        <w:rPr>
          <w:rFonts w:asciiTheme="majorBidi" w:hAnsiTheme="majorBidi" w:cstheme="majorBidi"/>
          <w:i/>
          <w:iCs/>
          <w:sz w:val="24"/>
          <w:szCs w:val="24"/>
          <w:lang w:val="en-MY"/>
        </w:rPr>
        <w:t>Rethinking assessment in higher education: Learning for the longer term</w:t>
      </w:r>
      <w:r w:rsidRPr="000E7A0F">
        <w:rPr>
          <w:rFonts w:asciiTheme="majorBidi" w:hAnsiTheme="majorBidi" w:cstheme="majorBidi"/>
          <w:sz w:val="24"/>
          <w:szCs w:val="24"/>
          <w:lang w:val="en-MY"/>
        </w:rPr>
        <w:t>. Routledge.</w:t>
      </w:r>
    </w:p>
    <w:p w14:paraId="1039FDCA"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 xml:space="preserve">Boud, D., Dawson, P., Bearman, M., Bennett, S., Joughin, G., &amp; Molloy, E. (2018). Reframing assessment research: through a practice perspective. </w:t>
      </w:r>
      <w:r w:rsidRPr="000E7A0F">
        <w:rPr>
          <w:rFonts w:asciiTheme="majorBidi" w:hAnsiTheme="majorBidi" w:cstheme="majorBidi"/>
          <w:i/>
          <w:sz w:val="24"/>
          <w:szCs w:val="24"/>
        </w:rPr>
        <w:t>Studies in Higher Education</w:t>
      </w:r>
      <w:r w:rsidRPr="000E7A0F">
        <w:rPr>
          <w:rFonts w:asciiTheme="majorBidi" w:hAnsiTheme="majorBidi" w:cstheme="majorBidi"/>
          <w:sz w:val="24"/>
          <w:szCs w:val="24"/>
        </w:rPr>
        <w:t>,</w:t>
      </w:r>
      <w:r w:rsidRPr="000E7A0F">
        <w:rPr>
          <w:rFonts w:asciiTheme="majorBidi" w:hAnsiTheme="majorBidi" w:cstheme="majorBidi"/>
          <w:i/>
          <w:sz w:val="24"/>
          <w:szCs w:val="24"/>
        </w:rPr>
        <w:t xml:space="preserve"> 43</w:t>
      </w:r>
      <w:r w:rsidRPr="000E7A0F">
        <w:rPr>
          <w:rFonts w:asciiTheme="majorBidi" w:hAnsiTheme="majorBidi" w:cstheme="majorBidi"/>
          <w:sz w:val="24"/>
          <w:szCs w:val="24"/>
        </w:rPr>
        <w:t xml:space="preserve">(7), 1107-1118. </w:t>
      </w:r>
    </w:p>
    <w:p w14:paraId="35F68695" w14:textId="77083083" w:rsidR="00532146" w:rsidRPr="000E7A0F" w:rsidRDefault="00532146"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Dr. David Augustine Bull. (2025). Impact of Curriculum Misalignment and Assessment Practices on Student Learning Outcomes in Higher Education: A PRISMA-Guided Qualitative Content Synthesis. Impact of Curriculum Misalignment and Assessment Practices on Student Learning Outcomes in Higher Education: A PRISMA-Guided Qualitative Content Synthesis, 13(3), 65–87. </w:t>
      </w:r>
      <w:hyperlink r:id="rId14" w:tgtFrame="_blank" w:history="1">
        <w:r w:rsidRPr="000E7A0F">
          <w:rPr>
            <w:rStyle w:val="Hyperlink"/>
            <w:rFonts w:asciiTheme="majorBidi" w:hAnsiTheme="majorBidi" w:cstheme="majorBidi"/>
            <w:color w:val="auto"/>
            <w:sz w:val="24"/>
            <w:szCs w:val="24"/>
          </w:rPr>
          <w:t>https://doi.org/10.5281/zenodo.16262451</w:t>
        </w:r>
      </w:hyperlink>
    </w:p>
    <w:p w14:paraId="7C813ED0" w14:textId="77777777" w:rsidR="000E7A0F" w:rsidRPr="000E7A0F" w:rsidRDefault="004270BC"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Embi, M. A. (2010). Panduan Amalan Pengajaran &amp; Pembelajaran Berkesan. Universiti Kebangsaan Malaysia </w:t>
      </w:r>
    </w:p>
    <w:p w14:paraId="4CB84EEF" w14:textId="77777777" w:rsid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Engineering Accreditation Council. (2020). </w:t>
      </w:r>
      <w:r w:rsidRPr="000E7A0F">
        <w:rPr>
          <w:rFonts w:asciiTheme="majorBidi" w:hAnsiTheme="majorBidi" w:cstheme="majorBidi"/>
          <w:i/>
          <w:iCs/>
          <w:sz w:val="24"/>
          <w:szCs w:val="24"/>
          <w:lang w:val="en-MY"/>
        </w:rPr>
        <w:t>Engineering programme accreditation standard 2024</w:t>
      </w:r>
      <w:r w:rsidRPr="000E7A0F">
        <w:rPr>
          <w:rFonts w:asciiTheme="majorBidi" w:hAnsiTheme="majorBidi" w:cstheme="majorBidi"/>
          <w:sz w:val="24"/>
          <w:szCs w:val="24"/>
          <w:lang w:val="en-MY"/>
        </w:rPr>
        <w:t xml:space="preserve"> (EAC Standard 2020). Engineering Accreditation Council Malaysia.</w:t>
      </w:r>
    </w:p>
    <w:p w14:paraId="214BAA16" w14:textId="5CBCA950" w:rsidR="00060590" w:rsidRDefault="00060590"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 xml:space="preserve">Hamsan, R.  Bin, Mei, C.  S., Mohammad, S., &amp; Zaidi, J.  (2021). Outcome Based Education Implementation and Continuous Quality Improvement For Diploma In Management. Psychology and Education, 58(2), 9731–9740. </w:t>
      </w:r>
      <w:hyperlink r:id="rId15" w:history="1">
        <w:r w:rsidRPr="000E7A0F">
          <w:rPr>
            <w:rStyle w:val="Hyperlink"/>
            <w:rFonts w:asciiTheme="majorBidi" w:hAnsiTheme="majorBidi" w:cstheme="majorBidi"/>
            <w:color w:val="auto"/>
            <w:sz w:val="24"/>
            <w:szCs w:val="24"/>
          </w:rPr>
          <w:t>www.psychologyandedu</w:t>
        </w:r>
      </w:hyperlink>
    </w:p>
    <w:p w14:paraId="736A38A9" w14:textId="77777777" w:rsidR="000E7A0F" w:rsidRDefault="004270BC"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Heywood, J. (1997). Outcomes Based Engineering Education I: Theory and Practice in the Derivation of "Outcomes" A European Historical Perspective. </w:t>
      </w:r>
      <w:r w:rsidRPr="000E7A0F">
        <w:rPr>
          <w:rFonts w:asciiTheme="majorBidi" w:hAnsiTheme="majorBidi" w:cstheme="majorBidi"/>
          <w:i/>
          <w:iCs/>
          <w:sz w:val="24"/>
          <w:szCs w:val="24"/>
          <w:lang w:val="en-MY"/>
        </w:rPr>
        <w:t>ASEE/IEEE Frontiers in Education Conference</w:t>
      </w:r>
      <w:r w:rsidRPr="000E7A0F">
        <w:rPr>
          <w:rFonts w:asciiTheme="majorBidi" w:hAnsiTheme="majorBidi" w:cstheme="majorBidi"/>
          <w:sz w:val="24"/>
          <w:szCs w:val="24"/>
          <w:lang w:val="en-MY"/>
        </w:rPr>
        <w:t xml:space="preserve">, 1-8 </w:t>
      </w:r>
      <w:r w:rsidR="000E7A0F">
        <w:rPr>
          <w:rFonts w:asciiTheme="majorBidi" w:hAnsiTheme="majorBidi" w:cstheme="majorBidi"/>
          <w:sz w:val="24"/>
          <w:szCs w:val="24"/>
        </w:rPr>
        <w:t xml:space="preserve"> </w:t>
      </w:r>
    </w:p>
    <w:p w14:paraId="6D4DD940" w14:textId="77777777" w:rsidR="000E7A0F" w:rsidRDefault="0077634F"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 xml:space="preserve">Morris, R., Perry, T., &amp; Wardle, L. (2021). Formative assessment and feedback for learning in higher education: A systematic review. Assessment &amp; Evaluation in Higher Education, 46(8), 1240-1258. </w:t>
      </w:r>
    </w:p>
    <w:p w14:paraId="536AE7C6" w14:textId="77777777" w:rsidR="000E7A0F" w:rsidRDefault="004270BC"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Nor, M. J. M., Hamzah, N., &amp; Basri, H. (2005). Pembelajaran berasaskan hasil: Prinsip dan cabaran. </w:t>
      </w:r>
      <w:r w:rsidRPr="000E7A0F">
        <w:rPr>
          <w:rFonts w:asciiTheme="majorBidi" w:hAnsiTheme="majorBidi" w:cstheme="majorBidi"/>
          <w:i/>
          <w:iCs/>
          <w:sz w:val="24"/>
          <w:szCs w:val="24"/>
          <w:lang w:val="en-MY"/>
        </w:rPr>
        <w:t>Seminar Pengajaran dan Pembelajaran Berkesan</w:t>
      </w:r>
      <w:r w:rsidRPr="000E7A0F">
        <w:rPr>
          <w:rFonts w:asciiTheme="majorBidi" w:hAnsiTheme="majorBidi" w:cstheme="majorBidi"/>
          <w:sz w:val="24"/>
          <w:szCs w:val="24"/>
          <w:lang w:val="en-MY"/>
        </w:rPr>
        <w:t xml:space="preserve">, 54-62. </w:t>
      </w:r>
    </w:p>
    <w:p w14:paraId="378CAAEE" w14:textId="77777777" w:rsid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 xml:space="preserve">Pacher, C., Woschank, M., Zunk, B. M., &amp; Gruber, E. (2024). Engineering education 5.0: a systematic literature review on competence-based education in the industrial engineering and management discipline. </w:t>
      </w:r>
      <w:r w:rsidRPr="000E7A0F">
        <w:rPr>
          <w:rFonts w:asciiTheme="majorBidi" w:hAnsiTheme="majorBidi" w:cstheme="majorBidi"/>
          <w:i/>
          <w:sz w:val="24"/>
          <w:szCs w:val="24"/>
        </w:rPr>
        <w:t>Production &amp; Manufacturing Research</w:t>
      </w:r>
      <w:r w:rsidRPr="000E7A0F">
        <w:rPr>
          <w:rFonts w:asciiTheme="majorBidi" w:hAnsiTheme="majorBidi" w:cstheme="majorBidi"/>
          <w:sz w:val="24"/>
          <w:szCs w:val="24"/>
        </w:rPr>
        <w:t>,</w:t>
      </w:r>
      <w:r w:rsidRPr="000E7A0F">
        <w:rPr>
          <w:rFonts w:asciiTheme="majorBidi" w:hAnsiTheme="majorBidi" w:cstheme="majorBidi"/>
          <w:i/>
          <w:sz w:val="24"/>
          <w:szCs w:val="24"/>
        </w:rPr>
        <w:t xml:space="preserve"> 12</w:t>
      </w:r>
      <w:r w:rsidRPr="000E7A0F">
        <w:rPr>
          <w:rFonts w:asciiTheme="majorBidi" w:hAnsiTheme="majorBidi" w:cstheme="majorBidi"/>
          <w:sz w:val="24"/>
          <w:szCs w:val="24"/>
        </w:rPr>
        <w:t xml:space="preserve">(1), 2337224. </w:t>
      </w:r>
    </w:p>
    <w:p w14:paraId="79BFE69C" w14:textId="77777777" w:rsidR="000E7A0F" w:rsidRDefault="000E7A0F" w:rsidP="000E7A0F">
      <w:pPr>
        <w:pStyle w:val="BodyText"/>
        <w:rPr>
          <w:rFonts w:asciiTheme="majorBidi" w:hAnsiTheme="majorBidi" w:cstheme="majorBidi"/>
          <w:sz w:val="24"/>
          <w:szCs w:val="24"/>
        </w:rPr>
      </w:pPr>
    </w:p>
    <w:p w14:paraId="4890414A"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lastRenderedPageBreak/>
        <w:t>Paloposki, T., Virtanen, V., &amp; Clavert, M. (2024). From a final exam to continuous assessment on a large Bachelor level engineering course. </w:t>
      </w:r>
      <w:r w:rsidRPr="000E7A0F">
        <w:rPr>
          <w:rFonts w:asciiTheme="majorBidi" w:hAnsiTheme="majorBidi" w:cstheme="majorBidi"/>
          <w:i/>
          <w:iCs/>
          <w:sz w:val="24"/>
          <w:szCs w:val="24"/>
          <w:lang w:val="en-MY"/>
        </w:rPr>
        <w:t>European Journal of Engineering Education</w:t>
      </w:r>
      <w:r w:rsidRPr="000E7A0F">
        <w:rPr>
          <w:rFonts w:asciiTheme="majorBidi" w:hAnsiTheme="majorBidi" w:cstheme="majorBidi"/>
          <w:sz w:val="24"/>
          <w:szCs w:val="24"/>
          <w:lang w:val="en-MY"/>
        </w:rPr>
        <w:t>, </w:t>
      </w:r>
      <w:r w:rsidRPr="000E7A0F">
        <w:rPr>
          <w:rFonts w:asciiTheme="majorBidi" w:hAnsiTheme="majorBidi" w:cstheme="majorBidi"/>
          <w:i/>
          <w:iCs/>
          <w:sz w:val="24"/>
          <w:szCs w:val="24"/>
          <w:lang w:val="en-MY"/>
        </w:rPr>
        <w:t>50</w:t>
      </w:r>
      <w:r w:rsidRPr="000E7A0F">
        <w:rPr>
          <w:rFonts w:asciiTheme="majorBidi" w:hAnsiTheme="majorBidi" w:cstheme="majorBidi"/>
          <w:sz w:val="24"/>
          <w:szCs w:val="24"/>
          <w:lang w:val="en-MY"/>
        </w:rPr>
        <w:t xml:space="preserve">(1), 164–177. </w:t>
      </w:r>
      <w:hyperlink r:id="rId16" w:history="1">
        <w:r w:rsidRPr="000E7A0F">
          <w:rPr>
            <w:rStyle w:val="Hyperlink"/>
            <w:rFonts w:asciiTheme="majorBidi" w:hAnsiTheme="majorBidi" w:cstheme="majorBidi"/>
            <w:color w:val="auto"/>
            <w:sz w:val="24"/>
            <w:szCs w:val="24"/>
            <w:lang w:val="en-MY"/>
          </w:rPr>
          <w:t>https://doi.org/10.1080/03043797.2024.2334728</w:t>
        </w:r>
      </w:hyperlink>
    </w:p>
    <w:p w14:paraId="61259BE2" w14:textId="77777777" w:rsidR="000E7A0F" w:rsidRPr="000E7A0F" w:rsidRDefault="000E7A0F" w:rsidP="000E7A0F">
      <w:pPr>
        <w:pStyle w:val="ListParagraph"/>
        <w:rPr>
          <w:rFonts w:asciiTheme="majorBidi" w:hAnsiTheme="majorBidi" w:cstheme="majorBidi"/>
          <w:sz w:val="24"/>
          <w:szCs w:val="24"/>
        </w:rPr>
      </w:pPr>
    </w:p>
    <w:p w14:paraId="21C3E33C" w14:textId="26DBED00" w:rsidR="000E7A0F" w:rsidRPr="000E7A0F" w:rsidRDefault="00060590"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 xml:space="preserve">Qadir, J., Al-Fuqaha, A., Lim, K.-, Yau, A., Shafi, A., Taha, A.-E. M., Ponciano, J., Hussain, S., Imran, M. A., Sheikh Muhammad, S., Naveed Bin Rais, R., Rashid, M., &amp; Tan, B. L.   (2020,  June).   Outcome-Based   Engineering   Education:   A   Global   Report of International OBE Accreditation and Assessment Practices. 2020 ASEE Virtual Annual Conference Content Access. </w:t>
      </w:r>
      <w:hyperlink r:id="rId17" w:history="1">
        <w:r w:rsidRPr="000E7A0F">
          <w:rPr>
            <w:rStyle w:val="Hyperlink"/>
            <w:rFonts w:asciiTheme="majorBidi" w:hAnsiTheme="majorBidi" w:cstheme="majorBidi"/>
            <w:color w:val="auto"/>
            <w:sz w:val="24"/>
            <w:szCs w:val="24"/>
          </w:rPr>
          <w:t>https://doi.org/10.35542/osf.io/rde62</w:t>
        </w:r>
      </w:hyperlink>
    </w:p>
    <w:p w14:paraId="3B871B72" w14:textId="77777777" w:rsidR="000E7A0F"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Rebekkah M., Kelly L., Carolyn A., Helen P., Suzanne B., Carley J., &amp; Kaye R. (2024). Understanding the processes, practices and influences of calibration on feedback literacy in higher education marking: A qualitative study, Nurse Education Today, Volume 135,2024,106106,ISSN0260-6917,https://doi.org/10.1016/j.nedt.2024.106106.(</w:t>
      </w:r>
      <w:hyperlink r:id="rId18" w:history="1">
        <w:r w:rsidRPr="000E7A0F">
          <w:rPr>
            <w:rStyle w:val="Hyperlink"/>
            <w:rFonts w:asciiTheme="majorBidi" w:hAnsiTheme="majorBidi" w:cstheme="majorBidi"/>
            <w:color w:val="auto"/>
            <w:sz w:val="24"/>
            <w:szCs w:val="24"/>
          </w:rPr>
          <w:t>https://www.sciencedirect.com/science/article/pii/S0260691724000169</w:t>
        </w:r>
      </w:hyperlink>
      <w:r w:rsidRPr="000E7A0F">
        <w:rPr>
          <w:rFonts w:asciiTheme="majorBidi" w:hAnsiTheme="majorBidi" w:cstheme="majorBidi"/>
          <w:sz w:val="24"/>
          <w:szCs w:val="24"/>
        </w:rPr>
        <w:t>)</w:t>
      </w:r>
    </w:p>
    <w:p w14:paraId="52E335FA" w14:textId="77777777" w:rsidR="000E7A0F" w:rsidRPr="000E7A0F" w:rsidRDefault="009A292C"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rPr>
        <w:t>Sambell, K., McDowell, L., &amp; Montgomery, C. (2012). Assessment for Learning in Higher Education (1st ed.). Routledge. https://doi.org/10.4324/9780203818268</w:t>
      </w:r>
      <w:r w:rsidR="0077634F" w:rsidRPr="000E7A0F">
        <w:rPr>
          <w:rFonts w:asciiTheme="majorBidi" w:hAnsiTheme="majorBidi" w:cstheme="majorBidi"/>
          <w:sz w:val="24"/>
          <w:szCs w:val="24"/>
        </w:rPr>
        <w:t>Sankaran, S., &amp; Low, S. F. (2025). Effectiveness of Feedback on Continuous Assessment: Students’ Views. </w:t>
      </w:r>
      <w:r w:rsidR="0077634F" w:rsidRPr="000E7A0F">
        <w:rPr>
          <w:rFonts w:asciiTheme="majorBidi" w:hAnsiTheme="majorBidi" w:cstheme="majorBidi"/>
          <w:i/>
          <w:iCs/>
          <w:sz w:val="24"/>
          <w:szCs w:val="24"/>
        </w:rPr>
        <w:t>Asian Journal of Assessment in Teaching and Learning</w:t>
      </w:r>
      <w:r w:rsidR="0077634F" w:rsidRPr="000E7A0F">
        <w:rPr>
          <w:rFonts w:asciiTheme="majorBidi" w:hAnsiTheme="majorBidi" w:cstheme="majorBidi"/>
          <w:sz w:val="24"/>
          <w:szCs w:val="24"/>
        </w:rPr>
        <w:t>, </w:t>
      </w:r>
      <w:r w:rsidR="0077634F" w:rsidRPr="000E7A0F">
        <w:rPr>
          <w:rFonts w:asciiTheme="majorBidi" w:hAnsiTheme="majorBidi" w:cstheme="majorBidi"/>
          <w:i/>
          <w:iCs/>
          <w:sz w:val="24"/>
          <w:szCs w:val="24"/>
        </w:rPr>
        <w:t>15</w:t>
      </w:r>
      <w:r w:rsidR="0077634F" w:rsidRPr="000E7A0F">
        <w:rPr>
          <w:rFonts w:asciiTheme="majorBidi" w:hAnsiTheme="majorBidi" w:cstheme="majorBidi"/>
          <w:sz w:val="24"/>
          <w:szCs w:val="24"/>
        </w:rPr>
        <w:t>(1), 49-62. </w:t>
      </w:r>
      <w:hyperlink r:id="rId19" w:history="1">
        <w:r w:rsidR="0077634F" w:rsidRPr="000E7A0F">
          <w:rPr>
            <w:rStyle w:val="Hyperlink"/>
            <w:rFonts w:asciiTheme="majorBidi" w:hAnsiTheme="majorBidi" w:cstheme="majorBidi"/>
            <w:b/>
            <w:bCs/>
            <w:color w:val="auto"/>
            <w:sz w:val="24"/>
            <w:szCs w:val="24"/>
          </w:rPr>
          <w:t>https://doi.org/10.37134/ajatel.vol15.1.4.2025</w:t>
        </w:r>
      </w:hyperlink>
    </w:p>
    <w:p w14:paraId="7790496A" w14:textId="77777777" w:rsid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Spady, W. G. (1994). </w:t>
      </w:r>
      <w:r w:rsidRPr="000E7A0F">
        <w:rPr>
          <w:rFonts w:asciiTheme="majorBidi" w:hAnsiTheme="majorBidi" w:cstheme="majorBidi"/>
          <w:i/>
          <w:iCs/>
          <w:sz w:val="24"/>
          <w:szCs w:val="24"/>
          <w:lang w:val="en-MY"/>
        </w:rPr>
        <w:t>Outcome-based education: Critical issues and answers</w:t>
      </w:r>
      <w:r w:rsidRPr="000E7A0F">
        <w:rPr>
          <w:rFonts w:asciiTheme="majorBidi" w:hAnsiTheme="majorBidi" w:cstheme="majorBidi"/>
          <w:sz w:val="24"/>
          <w:szCs w:val="24"/>
          <w:lang w:val="en-MY"/>
        </w:rPr>
        <w:t>. American Association of School Administrators.</w:t>
      </w:r>
    </w:p>
    <w:p w14:paraId="27F53766" w14:textId="1554F6E4" w:rsidR="00E92561" w:rsidRPr="000E7A0F" w:rsidRDefault="00E92561" w:rsidP="000E7A0F">
      <w:pPr>
        <w:pStyle w:val="BodyText"/>
        <w:numPr>
          <w:ilvl w:val="0"/>
          <w:numId w:val="2"/>
        </w:numPr>
        <w:rPr>
          <w:rFonts w:asciiTheme="majorBidi" w:hAnsiTheme="majorBidi" w:cstheme="majorBidi"/>
          <w:sz w:val="24"/>
          <w:szCs w:val="24"/>
        </w:rPr>
      </w:pPr>
      <w:r w:rsidRPr="000E7A0F">
        <w:rPr>
          <w:rFonts w:asciiTheme="majorBidi" w:hAnsiTheme="majorBidi" w:cstheme="majorBidi"/>
          <w:sz w:val="24"/>
          <w:szCs w:val="24"/>
          <w:lang w:val="en-MY"/>
        </w:rPr>
        <w:t xml:space="preserve">Washington Accord. (2013). </w:t>
      </w:r>
      <w:r w:rsidRPr="000E7A0F">
        <w:rPr>
          <w:rFonts w:asciiTheme="majorBidi" w:hAnsiTheme="majorBidi" w:cstheme="majorBidi"/>
          <w:i/>
          <w:iCs/>
          <w:sz w:val="24"/>
          <w:szCs w:val="24"/>
          <w:lang w:val="en-MY"/>
        </w:rPr>
        <w:t>Graduate attributes and professional competencies</w:t>
      </w:r>
      <w:r w:rsidRPr="000E7A0F">
        <w:rPr>
          <w:rFonts w:asciiTheme="majorBidi" w:hAnsiTheme="majorBidi" w:cstheme="majorBidi"/>
          <w:sz w:val="24"/>
          <w:szCs w:val="24"/>
          <w:lang w:val="en-MY"/>
        </w:rPr>
        <w:t xml:space="preserve">. International Engineering Alliance. </w:t>
      </w:r>
      <w:hyperlink r:id="rId20" w:history="1">
        <w:r w:rsidRPr="000E7A0F">
          <w:rPr>
            <w:rStyle w:val="Hyperlink"/>
            <w:rFonts w:asciiTheme="majorBidi" w:hAnsiTheme="majorBidi" w:cstheme="majorBidi"/>
            <w:color w:val="auto"/>
            <w:sz w:val="24"/>
            <w:szCs w:val="24"/>
            <w:lang w:val="en-MY"/>
          </w:rPr>
          <w:t>https://www.ieagreements.org/assets/Uploads/Documents/Policy/Graduate-Attributes-and-Professional-Competencies-2021.pdf</w:t>
        </w:r>
      </w:hyperlink>
    </w:p>
    <w:p w14:paraId="055B03E6" w14:textId="77777777" w:rsidR="00E92561" w:rsidRPr="00D32AE3" w:rsidRDefault="00E92561" w:rsidP="00E92561">
      <w:pPr>
        <w:pStyle w:val="BodyText"/>
        <w:jc w:val="left"/>
        <w:rPr>
          <w:rFonts w:asciiTheme="majorBidi" w:hAnsiTheme="majorBidi" w:cstheme="majorBidi"/>
          <w:sz w:val="24"/>
          <w:szCs w:val="24"/>
          <w:lang w:val="en-MY"/>
        </w:rPr>
      </w:pPr>
    </w:p>
    <w:p w14:paraId="0FB138BE" w14:textId="77777777" w:rsidR="00E92561" w:rsidRPr="00D32AE3" w:rsidRDefault="00E92561" w:rsidP="00E92561">
      <w:pPr>
        <w:pStyle w:val="BodyText"/>
        <w:jc w:val="left"/>
        <w:rPr>
          <w:rFonts w:asciiTheme="majorBidi" w:hAnsiTheme="majorBidi" w:cstheme="majorBidi"/>
          <w:sz w:val="24"/>
          <w:szCs w:val="24"/>
        </w:rPr>
      </w:pPr>
    </w:p>
    <w:p w14:paraId="30EE273A" w14:textId="034188FD" w:rsidR="00187C2D" w:rsidRPr="00D32AE3" w:rsidRDefault="00187C2D">
      <w:pPr>
        <w:pStyle w:val="BodyText"/>
        <w:spacing w:before="70"/>
        <w:ind w:left="0"/>
        <w:jc w:val="left"/>
        <w:rPr>
          <w:rFonts w:asciiTheme="majorBidi" w:hAnsiTheme="majorBidi" w:cstheme="majorBidi"/>
          <w:sz w:val="24"/>
          <w:szCs w:val="24"/>
        </w:rPr>
      </w:pPr>
    </w:p>
    <w:sectPr w:rsidR="00187C2D" w:rsidRPr="00D32AE3" w:rsidSect="00E00DBE">
      <w:footerReference w:type="default" r:id="rId21"/>
      <w:pgSz w:w="11910" w:h="16840" w:code="9"/>
      <w:pgMar w:top="1094" w:right="607" w:bottom="607" w:left="607" w:header="0" w:footer="758"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2A80" w14:textId="77777777" w:rsidR="00852E29" w:rsidRDefault="00852E29">
      <w:r>
        <w:separator/>
      </w:r>
    </w:p>
  </w:endnote>
  <w:endnote w:type="continuationSeparator" w:id="0">
    <w:p w14:paraId="039722C9" w14:textId="77777777" w:rsidR="00852E29" w:rsidRDefault="0085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D510" w14:textId="77777777" w:rsidR="00187C2D" w:rsidRDefault="00000000">
    <w:pPr>
      <w:pStyle w:val="BodyText"/>
      <w:spacing w:line="14" w:lineRule="auto"/>
      <w:ind w:left="0"/>
      <w:jc w:val="left"/>
      <w:rPr>
        <w:sz w:val="20"/>
      </w:rPr>
    </w:pPr>
    <w:r>
      <w:rPr>
        <w:noProof/>
        <w:sz w:val="20"/>
      </w:rPr>
      <mc:AlternateContent>
        <mc:Choice Requires="wps">
          <w:drawing>
            <wp:anchor distT="0" distB="0" distL="0" distR="0" simplePos="0" relativeHeight="251673600" behindDoc="1" locked="0" layoutInCell="1" allowOverlap="1" wp14:anchorId="718BCA4F" wp14:editId="1ADD1C5B">
              <wp:simplePos x="0" y="0"/>
              <wp:positionH relativeFrom="page">
                <wp:posOffset>3707003</wp:posOffset>
              </wp:positionH>
              <wp:positionV relativeFrom="page">
                <wp:posOffset>10071329</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26CCD1A" w14:textId="77777777" w:rsidR="00187C2D" w:rsidRDefault="00000000">
                          <w:pPr>
                            <w:pStyle w:val="BodyText"/>
                            <w:spacing w:before="11"/>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18BCA4F" id="_x0000_t202" coordsize="21600,21600" o:spt="202" path="m,l,21600r21600,l21600,xe">
              <v:stroke joinstyle="miter"/>
              <v:path gradientshapeok="t" o:connecttype="rect"/>
            </v:shapetype>
            <v:shape id="Textbox 1" o:spid="_x0000_s1026" type="#_x0000_t202" style="position:absolute;margin-left:291.9pt;margin-top:793pt;width:12.55pt;height:14.2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" filled="f" stroked="f">
              <v:textbox inset="0,0,0,0">
                <w:txbxContent>
                  <w:p w14:paraId="726CCD1A" w14:textId="77777777" w:rsidR="00187C2D" w:rsidRDefault="00000000">
                    <w:pPr>
                      <w:pStyle w:val="BodyText"/>
                      <w:spacing w:before="11"/>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3F6E" w14:textId="77777777" w:rsidR="00852E29" w:rsidRDefault="00852E29">
      <w:r>
        <w:separator/>
      </w:r>
    </w:p>
  </w:footnote>
  <w:footnote w:type="continuationSeparator" w:id="0">
    <w:p w14:paraId="0AC2D9D1" w14:textId="77777777" w:rsidR="00852E29" w:rsidRDefault="00852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ACD"/>
    <w:multiLevelType w:val="hybridMultilevel"/>
    <w:tmpl w:val="D21E86BA"/>
    <w:lvl w:ilvl="0" w:tplc="4409000F">
      <w:start w:val="1"/>
      <w:numFmt w:val="decimal"/>
      <w:lvlText w:val="%1."/>
      <w:lvlJc w:val="left"/>
      <w:pPr>
        <w:ind w:left="1571" w:hanging="360"/>
      </w:pPr>
    </w:lvl>
    <w:lvl w:ilvl="1" w:tplc="44090019" w:tentative="1">
      <w:start w:val="1"/>
      <w:numFmt w:val="lowerLetter"/>
      <w:lvlText w:val="%2."/>
      <w:lvlJc w:val="left"/>
      <w:pPr>
        <w:ind w:left="2291" w:hanging="360"/>
      </w:pPr>
    </w:lvl>
    <w:lvl w:ilvl="2" w:tplc="4409001B" w:tentative="1">
      <w:start w:val="1"/>
      <w:numFmt w:val="lowerRoman"/>
      <w:lvlText w:val="%3."/>
      <w:lvlJc w:val="right"/>
      <w:pPr>
        <w:ind w:left="3011" w:hanging="180"/>
      </w:pPr>
    </w:lvl>
    <w:lvl w:ilvl="3" w:tplc="4409000F" w:tentative="1">
      <w:start w:val="1"/>
      <w:numFmt w:val="decimal"/>
      <w:lvlText w:val="%4."/>
      <w:lvlJc w:val="left"/>
      <w:pPr>
        <w:ind w:left="3731" w:hanging="360"/>
      </w:pPr>
    </w:lvl>
    <w:lvl w:ilvl="4" w:tplc="44090019" w:tentative="1">
      <w:start w:val="1"/>
      <w:numFmt w:val="lowerLetter"/>
      <w:lvlText w:val="%5."/>
      <w:lvlJc w:val="left"/>
      <w:pPr>
        <w:ind w:left="4451" w:hanging="360"/>
      </w:pPr>
    </w:lvl>
    <w:lvl w:ilvl="5" w:tplc="4409001B" w:tentative="1">
      <w:start w:val="1"/>
      <w:numFmt w:val="lowerRoman"/>
      <w:lvlText w:val="%6."/>
      <w:lvlJc w:val="right"/>
      <w:pPr>
        <w:ind w:left="5171" w:hanging="180"/>
      </w:pPr>
    </w:lvl>
    <w:lvl w:ilvl="6" w:tplc="4409000F" w:tentative="1">
      <w:start w:val="1"/>
      <w:numFmt w:val="decimal"/>
      <w:lvlText w:val="%7."/>
      <w:lvlJc w:val="left"/>
      <w:pPr>
        <w:ind w:left="5891" w:hanging="360"/>
      </w:pPr>
    </w:lvl>
    <w:lvl w:ilvl="7" w:tplc="44090019" w:tentative="1">
      <w:start w:val="1"/>
      <w:numFmt w:val="lowerLetter"/>
      <w:lvlText w:val="%8."/>
      <w:lvlJc w:val="left"/>
      <w:pPr>
        <w:ind w:left="6611" w:hanging="360"/>
      </w:pPr>
    </w:lvl>
    <w:lvl w:ilvl="8" w:tplc="4409001B" w:tentative="1">
      <w:start w:val="1"/>
      <w:numFmt w:val="lowerRoman"/>
      <w:lvlText w:val="%9."/>
      <w:lvlJc w:val="right"/>
      <w:pPr>
        <w:ind w:left="7331" w:hanging="180"/>
      </w:pPr>
    </w:lvl>
  </w:abstractNum>
  <w:abstractNum w:abstractNumId="1" w15:restartNumberingAfterBreak="0">
    <w:nsid w:val="55A449C0"/>
    <w:multiLevelType w:val="hybridMultilevel"/>
    <w:tmpl w:val="F692C6E2"/>
    <w:lvl w:ilvl="0" w:tplc="44C47B54">
      <w:numFmt w:val="bullet"/>
      <w:lvlText w:val="-"/>
      <w:lvlJc w:val="left"/>
      <w:pPr>
        <w:ind w:left="874"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A28A230E">
      <w:numFmt w:val="bullet"/>
      <w:lvlText w:val="•"/>
      <w:lvlJc w:val="left"/>
      <w:pPr>
        <w:ind w:left="1784" w:hanging="128"/>
      </w:pPr>
      <w:rPr>
        <w:rFonts w:hint="default"/>
        <w:lang w:val="en-US" w:eastAsia="en-US" w:bidi="ar-SA"/>
      </w:rPr>
    </w:lvl>
    <w:lvl w:ilvl="2" w:tplc="3AD426C0">
      <w:numFmt w:val="bullet"/>
      <w:lvlText w:val="•"/>
      <w:lvlJc w:val="left"/>
      <w:pPr>
        <w:ind w:left="2688" w:hanging="128"/>
      </w:pPr>
      <w:rPr>
        <w:rFonts w:hint="default"/>
        <w:lang w:val="en-US" w:eastAsia="en-US" w:bidi="ar-SA"/>
      </w:rPr>
    </w:lvl>
    <w:lvl w:ilvl="3" w:tplc="DF4E70CE">
      <w:numFmt w:val="bullet"/>
      <w:lvlText w:val="•"/>
      <w:lvlJc w:val="left"/>
      <w:pPr>
        <w:ind w:left="3593" w:hanging="128"/>
      </w:pPr>
      <w:rPr>
        <w:rFonts w:hint="default"/>
        <w:lang w:val="en-US" w:eastAsia="en-US" w:bidi="ar-SA"/>
      </w:rPr>
    </w:lvl>
    <w:lvl w:ilvl="4" w:tplc="FD48549E">
      <w:numFmt w:val="bullet"/>
      <w:lvlText w:val="•"/>
      <w:lvlJc w:val="left"/>
      <w:pPr>
        <w:ind w:left="4497" w:hanging="128"/>
      </w:pPr>
      <w:rPr>
        <w:rFonts w:hint="default"/>
        <w:lang w:val="en-US" w:eastAsia="en-US" w:bidi="ar-SA"/>
      </w:rPr>
    </w:lvl>
    <w:lvl w:ilvl="5" w:tplc="A65ECFAE">
      <w:numFmt w:val="bullet"/>
      <w:lvlText w:val="•"/>
      <w:lvlJc w:val="left"/>
      <w:pPr>
        <w:ind w:left="5401" w:hanging="128"/>
      </w:pPr>
      <w:rPr>
        <w:rFonts w:hint="default"/>
        <w:lang w:val="en-US" w:eastAsia="en-US" w:bidi="ar-SA"/>
      </w:rPr>
    </w:lvl>
    <w:lvl w:ilvl="6" w:tplc="E21291D8">
      <w:numFmt w:val="bullet"/>
      <w:lvlText w:val="•"/>
      <w:lvlJc w:val="left"/>
      <w:pPr>
        <w:ind w:left="6306" w:hanging="128"/>
      </w:pPr>
      <w:rPr>
        <w:rFonts w:hint="default"/>
        <w:lang w:val="en-US" w:eastAsia="en-US" w:bidi="ar-SA"/>
      </w:rPr>
    </w:lvl>
    <w:lvl w:ilvl="7" w:tplc="924E246A">
      <w:numFmt w:val="bullet"/>
      <w:lvlText w:val="•"/>
      <w:lvlJc w:val="left"/>
      <w:pPr>
        <w:ind w:left="7210" w:hanging="128"/>
      </w:pPr>
      <w:rPr>
        <w:rFonts w:hint="default"/>
        <w:lang w:val="en-US" w:eastAsia="en-US" w:bidi="ar-SA"/>
      </w:rPr>
    </w:lvl>
    <w:lvl w:ilvl="8" w:tplc="5394C956">
      <w:numFmt w:val="bullet"/>
      <w:lvlText w:val="•"/>
      <w:lvlJc w:val="left"/>
      <w:pPr>
        <w:ind w:left="8114" w:hanging="128"/>
      </w:pPr>
      <w:rPr>
        <w:rFonts w:hint="default"/>
        <w:lang w:val="en-US" w:eastAsia="en-US" w:bidi="ar-SA"/>
      </w:rPr>
    </w:lvl>
  </w:abstractNum>
  <w:num w:numId="1" w16cid:durableId="1461222553">
    <w:abstractNumId w:val="1"/>
  </w:num>
  <w:num w:numId="2" w16cid:durableId="101707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2D"/>
    <w:rsid w:val="00014C36"/>
    <w:rsid w:val="00060590"/>
    <w:rsid w:val="000C2A31"/>
    <w:rsid w:val="000E7A0F"/>
    <w:rsid w:val="00110818"/>
    <w:rsid w:val="001276FB"/>
    <w:rsid w:val="00187C2D"/>
    <w:rsid w:val="004270BC"/>
    <w:rsid w:val="004D3AA6"/>
    <w:rsid w:val="004E1EAB"/>
    <w:rsid w:val="005018C3"/>
    <w:rsid w:val="00532146"/>
    <w:rsid w:val="0057165A"/>
    <w:rsid w:val="005B4F81"/>
    <w:rsid w:val="00621CB1"/>
    <w:rsid w:val="006A3C49"/>
    <w:rsid w:val="006A453E"/>
    <w:rsid w:val="006D225A"/>
    <w:rsid w:val="006E0F25"/>
    <w:rsid w:val="00766F82"/>
    <w:rsid w:val="0077634F"/>
    <w:rsid w:val="007B6B05"/>
    <w:rsid w:val="00852E29"/>
    <w:rsid w:val="00901EC6"/>
    <w:rsid w:val="00975324"/>
    <w:rsid w:val="009A292C"/>
    <w:rsid w:val="00A917A9"/>
    <w:rsid w:val="00A94FFE"/>
    <w:rsid w:val="00D32AE3"/>
    <w:rsid w:val="00D72446"/>
    <w:rsid w:val="00DE3F6D"/>
    <w:rsid w:val="00E00DBE"/>
    <w:rsid w:val="00E9256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3876"/>
  <w15:docId w15:val="{6D8376ED-D9B0-4469-B5EE-4EE6F9B2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54"/>
      <w:jc w:val="center"/>
      <w:outlineLvl w:val="0"/>
    </w:pPr>
    <w:rPr>
      <w:b/>
      <w:bCs/>
      <w:sz w:val="24"/>
      <w:szCs w:val="24"/>
    </w:rPr>
  </w:style>
  <w:style w:type="paragraph" w:styleId="Heading2">
    <w:name w:val="heading 2"/>
    <w:basedOn w:val="Normal"/>
    <w:uiPriority w:val="9"/>
    <w:unhideWhenUsed/>
    <w:qFormat/>
    <w:pPr>
      <w:ind w:left="874"/>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4"/>
      <w:jc w:val="both"/>
    </w:pPr>
  </w:style>
  <w:style w:type="paragraph" w:styleId="Title">
    <w:name w:val="Title"/>
    <w:basedOn w:val="Normal"/>
    <w:uiPriority w:val="10"/>
    <w:qFormat/>
    <w:pPr>
      <w:spacing w:before="273"/>
      <w:ind w:left="854" w:right="8"/>
      <w:jc w:val="center"/>
    </w:pPr>
    <w:rPr>
      <w:b/>
      <w:bCs/>
      <w:sz w:val="32"/>
      <w:szCs w:val="32"/>
    </w:rPr>
  </w:style>
  <w:style w:type="paragraph" w:styleId="ListParagraph">
    <w:name w:val="List Paragraph"/>
    <w:basedOn w:val="Normal"/>
    <w:uiPriority w:val="1"/>
    <w:qFormat/>
    <w:pPr>
      <w:ind w:left="1000" w:hanging="12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0818"/>
    <w:pPr>
      <w:tabs>
        <w:tab w:val="center" w:pos="4513"/>
        <w:tab w:val="right" w:pos="9026"/>
      </w:tabs>
    </w:pPr>
  </w:style>
  <w:style w:type="character" w:customStyle="1" w:styleId="HeaderChar">
    <w:name w:val="Header Char"/>
    <w:basedOn w:val="DefaultParagraphFont"/>
    <w:link w:val="Header"/>
    <w:uiPriority w:val="99"/>
    <w:rsid w:val="00110818"/>
    <w:rPr>
      <w:rFonts w:ascii="Times New Roman" w:eastAsia="Times New Roman" w:hAnsi="Times New Roman" w:cs="Times New Roman"/>
    </w:rPr>
  </w:style>
  <w:style w:type="paragraph" w:styleId="Footer">
    <w:name w:val="footer"/>
    <w:basedOn w:val="Normal"/>
    <w:link w:val="FooterChar"/>
    <w:uiPriority w:val="99"/>
    <w:unhideWhenUsed/>
    <w:rsid w:val="00110818"/>
    <w:pPr>
      <w:tabs>
        <w:tab w:val="center" w:pos="4513"/>
        <w:tab w:val="right" w:pos="9026"/>
      </w:tabs>
    </w:pPr>
  </w:style>
  <w:style w:type="character" w:customStyle="1" w:styleId="FooterChar">
    <w:name w:val="Footer Char"/>
    <w:basedOn w:val="DefaultParagraphFont"/>
    <w:link w:val="Footer"/>
    <w:uiPriority w:val="99"/>
    <w:rsid w:val="00110818"/>
    <w:rPr>
      <w:rFonts w:ascii="Times New Roman" w:eastAsia="Times New Roman" w:hAnsi="Times New Roman" w:cs="Times New Roman"/>
    </w:rPr>
  </w:style>
  <w:style w:type="table" w:styleId="TableGrid">
    <w:name w:val="Table Grid"/>
    <w:basedOn w:val="TableNormal"/>
    <w:uiPriority w:val="39"/>
    <w:rsid w:val="00DE3F6D"/>
    <w:pPr>
      <w:widowControl/>
      <w:autoSpaceDE/>
      <w:autoSpaceDN/>
    </w:pPr>
    <w:rPr>
      <w:kern w:val="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561"/>
    <w:rPr>
      <w:color w:val="0000FF" w:themeColor="hyperlink"/>
      <w:u w:val="single"/>
    </w:rPr>
  </w:style>
  <w:style w:type="character" w:styleId="UnresolvedMention">
    <w:name w:val="Unresolved Mention"/>
    <w:basedOn w:val="DefaultParagraphFont"/>
    <w:uiPriority w:val="99"/>
    <w:semiHidden/>
    <w:unhideWhenUsed/>
    <w:rsid w:val="00E92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80/02602938.2015.1039932" TargetMode="External"/><Relationship Id="rId18" Type="http://schemas.openxmlformats.org/officeDocument/2006/relationships/hyperlink" Target="https://www.sciencedirect.com/science/article/pii/S026069172400016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80/0969595980050102" TargetMode="External"/><Relationship Id="rId17" Type="http://schemas.openxmlformats.org/officeDocument/2006/relationships/hyperlink" Target="https://doi.org/10.35542/osf.io/rde62" TargetMode="External"/><Relationship Id="rId2" Type="http://schemas.openxmlformats.org/officeDocument/2006/relationships/styles" Target="styles.xml"/><Relationship Id="rId16" Type="http://schemas.openxmlformats.org/officeDocument/2006/relationships/hyperlink" Target="https://doi.org/10.1080/03043797.2024.2334728" TargetMode="External"/><Relationship Id="rId20" Type="http://schemas.openxmlformats.org/officeDocument/2006/relationships/hyperlink" Target="https://www.ieagreements.org/assets/Uploads/Documents/Policy/Graduate-Attributes-and-Professional-Competencies-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075079.2015.1092893" TargetMode="External"/><Relationship Id="rId5" Type="http://schemas.openxmlformats.org/officeDocument/2006/relationships/footnotes" Target="footnotes.xml"/><Relationship Id="rId15" Type="http://schemas.openxmlformats.org/officeDocument/2006/relationships/hyperlink" Target="http://www.psychologyandedu" TargetMode="External"/><Relationship Id="rId23" Type="http://schemas.openxmlformats.org/officeDocument/2006/relationships/theme" Target="theme/theme1.xml"/><Relationship Id="rId10" Type="http://schemas.openxmlformats.org/officeDocument/2006/relationships/hyperlink" Target="https://www.abet.org/accreditation/accreditation-criteria/" TargetMode="External"/><Relationship Id="rId19" Type="http://schemas.openxmlformats.org/officeDocument/2006/relationships/hyperlink" Target="https://doi.org/10.37134/ajatel.vol15.1.4.2025"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5281/zenodo.1626245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oraf\Desktop\RP%20ECW331\template%20graf%20CDL%20CQI%20%20ETAC%20ECW33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oraf\Desktop\RP%20ECW331\template%20graf%20CDL%20CQI%20%20ETAC%20ECW33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oraf\Desktop\RP%20ECW331\template%20graf%20CDL%20CQI%20%20ETAC%20ECW33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Sheet4!$W$16</c:f>
              <c:strCache>
                <c:ptCount val="1"/>
                <c:pt idx="0">
                  <c:v>March - July 2024</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Sheet4!$X$15:$Y$15</c:f>
              <c:strCache>
                <c:ptCount val="2"/>
                <c:pt idx="0">
                  <c:v>PO3</c:v>
                </c:pt>
                <c:pt idx="1">
                  <c:v>PO7</c:v>
                </c:pt>
              </c:strCache>
            </c:strRef>
          </c:cat>
          <c:val>
            <c:numRef>
              <c:f>Sheet4!$X$16:$Y$16</c:f>
              <c:numCache>
                <c:formatCode>General</c:formatCode>
                <c:ptCount val="2"/>
                <c:pt idx="0">
                  <c:v>56</c:v>
                </c:pt>
                <c:pt idx="1">
                  <c:v>88</c:v>
                </c:pt>
              </c:numCache>
            </c:numRef>
          </c:val>
          <c:extLst>
            <c:ext xmlns:c16="http://schemas.microsoft.com/office/drawing/2014/chart" uri="{C3380CC4-5D6E-409C-BE32-E72D297353CC}">
              <c16:uniqueId val="{00000000-04C7-47C0-ACC1-D26D7F1711C4}"/>
            </c:ext>
          </c:extLst>
        </c:ser>
        <c:ser>
          <c:idx val="1"/>
          <c:order val="1"/>
          <c:tx>
            <c:strRef>
              <c:f>Sheet4!$W$17</c:f>
              <c:strCache>
                <c:ptCount val="1"/>
                <c:pt idx="0">
                  <c:v>Oct 2024 - Feb 2025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Sheet4!$X$15:$Y$15</c:f>
              <c:strCache>
                <c:ptCount val="2"/>
                <c:pt idx="0">
                  <c:v>PO3</c:v>
                </c:pt>
                <c:pt idx="1">
                  <c:v>PO7</c:v>
                </c:pt>
              </c:strCache>
            </c:strRef>
          </c:cat>
          <c:val>
            <c:numRef>
              <c:f>Sheet4!$X$17:$Y$17</c:f>
              <c:numCache>
                <c:formatCode>General</c:formatCode>
                <c:ptCount val="2"/>
                <c:pt idx="0">
                  <c:v>89</c:v>
                </c:pt>
                <c:pt idx="1">
                  <c:v>100</c:v>
                </c:pt>
              </c:numCache>
            </c:numRef>
          </c:val>
          <c:extLst>
            <c:ext xmlns:c16="http://schemas.microsoft.com/office/drawing/2014/chart" uri="{C3380CC4-5D6E-409C-BE32-E72D297353CC}">
              <c16:uniqueId val="{00000001-04C7-47C0-ACC1-D26D7F1711C4}"/>
            </c:ext>
          </c:extLst>
        </c:ser>
        <c:dLbls>
          <c:dLblPos val="outEnd"/>
          <c:showLegendKey val="0"/>
          <c:showVal val="1"/>
          <c:showCatName val="0"/>
          <c:showSerName val="0"/>
          <c:showPercent val="0"/>
          <c:showBubbleSize val="0"/>
        </c:dLbls>
        <c:gapWidth val="100"/>
        <c:overlap val="-24"/>
        <c:axId val="819478720"/>
        <c:axId val="819479200"/>
      </c:barChart>
      <c:catAx>
        <c:axId val="8194787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MY"/>
                  <a:t>Programme Outcome (PO)</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479200"/>
        <c:crosses val="autoZero"/>
        <c:auto val="1"/>
        <c:lblAlgn val="ctr"/>
        <c:lblOffset val="100"/>
        <c:noMultiLvlLbl val="0"/>
      </c:catAx>
      <c:valAx>
        <c:axId val="81947920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MY"/>
                  <a:t>% of POs Attainment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47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Sheet4!$E$37</c:f>
              <c:strCache>
                <c:ptCount val="1"/>
                <c:pt idx="0">
                  <c:v>Failure Rate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Sheet4!$D$38:$D$39</c:f>
              <c:strCache>
                <c:ptCount val="2"/>
                <c:pt idx="0">
                  <c:v>March - July 2024</c:v>
                </c:pt>
                <c:pt idx="1">
                  <c:v>Oct 2024 - Feb 2025</c:v>
                </c:pt>
              </c:strCache>
            </c:strRef>
          </c:cat>
          <c:val>
            <c:numRef>
              <c:f>Sheet4!$E$38:$E$39</c:f>
              <c:numCache>
                <c:formatCode>General</c:formatCode>
                <c:ptCount val="2"/>
                <c:pt idx="0">
                  <c:v>24</c:v>
                </c:pt>
                <c:pt idx="1">
                  <c:v>0.5</c:v>
                </c:pt>
              </c:numCache>
            </c:numRef>
          </c:val>
          <c:extLst>
            <c:ext xmlns:c16="http://schemas.microsoft.com/office/drawing/2014/chart" uri="{C3380CC4-5D6E-409C-BE32-E72D297353CC}">
              <c16:uniqueId val="{00000000-4DF7-4E1F-96EE-4B67DC14680A}"/>
            </c:ext>
          </c:extLst>
        </c:ser>
        <c:dLbls>
          <c:dLblPos val="outEnd"/>
          <c:showLegendKey val="0"/>
          <c:showVal val="1"/>
          <c:showCatName val="0"/>
          <c:showSerName val="0"/>
          <c:showPercent val="0"/>
          <c:showBubbleSize val="0"/>
        </c:dLbls>
        <c:gapWidth val="100"/>
        <c:overlap val="-24"/>
        <c:axId val="1991983984"/>
        <c:axId val="1991995984"/>
      </c:barChart>
      <c:catAx>
        <c:axId val="19919839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MY"/>
                  <a:t>Academic Session</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995984"/>
        <c:crosses val="autoZero"/>
        <c:auto val="1"/>
        <c:lblAlgn val="ctr"/>
        <c:lblOffset val="100"/>
        <c:noMultiLvlLbl val="0"/>
      </c:catAx>
      <c:valAx>
        <c:axId val="199199598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MY"/>
                  <a:t>% of Failure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983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Sheet4!$W$38</c:f>
              <c:strCache>
                <c:ptCount val="1"/>
                <c:pt idx="0">
                  <c:v>March - July 2024</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Sheet4!$X$37:$AA$37</c:f>
              <c:strCache>
                <c:ptCount val="4"/>
                <c:pt idx="0">
                  <c:v>A+,A</c:v>
                </c:pt>
                <c:pt idx="1">
                  <c:v>A-,B+,B</c:v>
                </c:pt>
                <c:pt idx="2">
                  <c:v>B-,C+,C</c:v>
                </c:pt>
                <c:pt idx="3">
                  <c:v>C-,D+,D,E</c:v>
                </c:pt>
              </c:strCache>
            </c:strRef>
          </c:cat>
          <c:val>
            <c:numRef>
              <c:f>Sheet4!$X$38:$AA$38</c:f>
              <c:numCache>
                <c:formatCode>General</c:formatCode>
                <c:ptCount val="4"/>
                <c:pt idx="0">
                  <c:v>0</c:v>
                </c:pt>
                <c:pt idx="1">
                  <c:v>20</c:v>
                </c:pt>
                <c:pt idx="2">
                  <c:v>56</c:v>
                </c:pt>
                <c:pt idx="3">
                  <c:v>24</c:v>
                </c:pt>
              </c:numCache>
            </c:numRef>
          </c:val>
          <c:extLst>
            <c:ext xmlns:c16="http://schemas.microsoft.com/office/drawing/2014/chart" uri="{C3380CC4-5D6E-409C-BE32-E72D297353CC}">
              <c16:uniqueId val="{00000000-22CA-49D5-819E-66B0EDFA73B9}"/>
            </c:ext>
          </c:extLst>
        </c:ser>
        <c:ser>
          <c:idx val="1"/>
          <c:order val="1"/>
          <c:tx>
            <c:strRef>
              <c:f>Sheet4!$W$39</c:f>
              <c:strCache>
                <c:ptCount val="1"/>
                <c:pt idx="0">
                  <c:v>Oct 2024 - Feb 2025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Sheet4!$X$37:$AA$37</c:f>
              <c:strCache>
                <c:ptCount val="4"/>
                <c:pt idx="0">
                  <c:v>A+,A</c:v>
                </c:pt>
                <c:pt idx="1">
                  <c:v>A-,B+,B</c:v>
                </c:pt>
                <c:pt idx="2">
                  <c:v>B-,C+,C</c:v>
                </c:pt>
                <c:pt idx="3">
                  <c:v>C-,D+,D,E</c:v>
                </c:pt>
              </c:strCache>
            </c:strRef>
          </c:cat>
          <c:val>
            <c:numRef>
              <c:f>Sheet4!$X$39:$AA$39</c:f>
              <c:numCache>
                <c:formatCode>General</c:formatCode>
                <c:ptCount val="4"/>
                <c:pt idx="0">
                  <c:v>7</c:v>
                </c:pt>
                <c:pt idx="1">
                  <c:v>52</c:v>
                </c:pt>
                <c:pt idx="2">
                  <c:v>39</c:v>
                </c:pt>
                <c:pt idx="3">
                  <c:v>2</c:v>
                </c:pt>
              </c:numCache>
            </c:numRef>
          </c:val>
          <c:extLst>
            <c:ext xmlns:c16="http://schemas.microsoft.com/office/drawing/2014/chart" uri="{C3380CC4-5D6E-409C-BE32-E72D297353CC}">
              <c16:uniqueId val="{00000001-22CA-49D5-819E-66B0EDFA73B9}"/>
            </c:ext>
          </c:extLst>
        </c:ser>
        <c:dLbls>
          <c:showLegendKey val="0"/>
          <c:showVal val="0"/>
          <c:showCatName val="0"/>
          <c:showSerName val="0"/>
          <c:showPercent val="0"/>
          <c:showBubbleSize val="0"/>
        </c:dLbls>
        <c:gapWidth val="100"/>
        <c:overlap val="-24"/>
        <c:axId val="1736998368"/>
        <c:axId val="1730612224"/>
      </c:barChart>
      <c:catAx>
        <c:axId val="17369983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MY"/>
                  <a:t>Students Final Grade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612224"/>
        <c:crosses val="autoZero"/>
        <c:auto val="1"/>
        <c:lblAlgn val="ctr"/>
        <c:lblOffset val="100"/>
        <c:noMultiLvlLbl val="0"/>
      </c:catAx>
      <c:valAx>
        <c:axId val="17306122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MY"/>
                  <a:t>No of Students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99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Nora Farina</cp:lastModifiedBy>
  <cp:revision>3</cp:revision>
  <dcterms:created xsi:type="dcterms:W3CDTF">2026-06-30T04:51:00Z</dcterms:created>
  <dcterms:modified xsi:type="dcterms:W3CDTF">2026-06-30T04:57:00Z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2016</vt:lpwstr>
  </property>
  <property fmtid="{D5CDD505-2E9C-101B-9397-08002B2CF9AE}" pid="4" name="LastSaved">
    <vt:filetime>2026-06-09T00:00:00Z</vt:filetime>
  </property>
  <property fmtid="{D5CDD505-2E9C-101B-9397-08002B2CF9AE}" pid="5" name="Producer">
    <vt:lpwstr>Microsoft® Word 2016</vt:lpwstr>
  </property>
</Properties>
</file>