
<file path=[Content_Types].xml><?xml version="1.0" encoding="utf-8"?>
<Types xmlns="http://schemas.openxmlformats.org/package/2006/content-types">
  <Default Extension="xml" ContentType="application/xml"/>
  <Default Extension="rels" ContentType="application/vnd.openxmlformats-package.relationships+xml"/>
  <Override PartName="/word/charts/chart3.xml" ContentType="application/vnd.openxmlformats-officedocument.drawingml.chart+xml"/>
  <Override PartName="/word/charts/style6.xml" ContentType="application/vnd.ms-office.chartstyle+xml"/>
  <Override PartName="/word/header1.xml" ContentType="application/vnd.openxmlformats-officedocument.wordprocessingml.header+xml"/>
  <Override PartName="/word/numbering.xml" ContentType="application/vnd.openxmlformats-officedocument.wordprocessingml.numbering+xml"/>
  <Override PartName="/word/charts/colors3.xml" ContentType="application/vnd.ms-office.chartcolorstyle+xml"/>
  <Override PartName="/word/theme/themeOverride5.xml" ContentType="application/vnd.openxmlformats-officedocument.themeOverride+xml"/>
  <Override PartName="/word/charts/colors5.xml" ContentType="application/vnd.ms-office.chartcolorstyle+xml"/>
  <Override PartName="/word/charts/chart4.xml" ContentType="application/vnd.openxmlformats-officedocument.drawingml.chart+xml"/>
  <Override PartName="/word/charts/colors4.xml" ContentType="application/vnd.ms-office.chartcolorstyle+xml"/>
  <Override PartName="/word/charts/style5.xml" ContentType="application/vnd.ms-office.chartstyle+xml"/>
  <Override PartName="/word/charts/colors10.xml" ContentType="application/vnd.ms-office.chartcolorstyle+xml"/>
  <Override PartName="/word/theme/themeOverride6.xml" ContentType="application/vnd.openxmlformats-officedocument.themeOverride+xml"/>
  <Override PartName="/word/theme/themeOverride7.xml" ContentType="application/vnd.openxmlformats-officedocument.themeOverride+xml"/>
  <Override PartName="/word/charts/colors6.xml" ContentType="application/vnd.ms-office.chartcolorstyle+xml"/>
  <Override PartName="/docProps/core.xml" ContentType="application/vnd.openxmlformats-package.core-properties+xml"/>
  <Override PartName="/word/charts/chart1.xml" ContentType="application/vnd.openxmlformats-officedocument.drawingml.chart+xml"/>
  <Override PartName="/word/charts/style2.xml" ContentType="application/vnd.ms-office.chartstyle+xml"/>
  <Override PartName="/word/charts/style4.xml" ContentType="application/vnd.ms-office.chartstyle+xml"/>
  <Override PartName="/word/charts/colors7.xml" ContentType="application/vnd.ms-office.chartcolorstyle+xml"/>
  <Override PartName="/word/charts/chart2.xml" ContentType="application/vnd.openxmlformats-officedocument.drawingml.chart+xml"/>
  <Override PartName="/word/theme/themeOverride8.xml" ContentType="application/vnd.openxmlformats-officedocument.themeOverride+xml"/>
  <Override PartName="/word/charts/style3.xml" ContentType="application/vnd.ms-office.chartstyle+xml"/>
  <Override PartName="/word/theme/theme1.xml" ContentType="application/vnd.openxmlformats-officedocument.theme+xml"/>
  <Override PartName="/word/charts/colors8.xml" ContentType="application/vnd.ms-office.chartcolorstyle+xml"/>
  <Override PartName="/word/charts/chart8.xml" ContentType="application/vnd.openxmlformats-officedocument.drawingml.chart+xml"/>
  <Override PartName="/word/theme/themeOverride9.xml" ContentType="application/vnd.openxmlformats-officedocument.themeOverride+xml"/>
  <Override PartName="/word/charts/style10.xml" ContentType="application/vnd.ms-office.chartstyle+xml"/>
  <Override PartName="/word/settings.xml" ContentType="application/vnd.openxmlformats-officedocument.wordprocessingml.settings+xml"/>
  <Override PartName="/word/charts/style9.xml" ContentType="application/vnd.ms-office.chartstyle+xml"/>
  <Override PartName="/word/charts/chart9.xml" ContentType="application/vnd.openxmlformats-officedocument.drawingml.chart+xml"/>
  <Override PartName="/word/theme/themeOverride1.xml" ContentType="application/vnd.openxmlformats-officedocument.themeOverride+xml"/>
  <Override PartName="/word/charts/colors9.xml" ContentType="application/vnd.ms-office.chartcolorstyle+xml"/>
  <Override PartName="/word/document.xml" ContentType="application/vnd.openxmlformats-officedocument.wordprocessingml.document.main+xml"/>
  <Override PartName="/word/charts/style1.xml" ContentType="application/vnd.ms-office.chartstyle+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Override PartName="/word/charts/colors1.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charts/style8.xml" ContentType="application/vnd.ms-office.chartstyle+xml"/>
  <Override PartName="/word/charts/chart5.xml" ContentType="application/vnd.openxmlformats-officedocument.drawingml.chart+xml"/>
  <Override PartName="/word/theme/themeOverride3.xml" ContentType="application/vnd.openxmlformats-officedocument.themeOverride+xml"/>
  <Override PartName="/docProps/custom.xml" ContentType="application/vnd.openxmlformats-officedocument.custom-properties+xml"/>
  <Override PartName="/word/theme/themeOverride10.xml" ContentType="application/vnd.openxmlformats-officedocument.themeOverride+xml"/>
  <Override PartName="/word/charts/colors2.xml" ContentType="application/vnd.ms-office.chartcolorstyle+xml"/>
  <Override PartName="/word/charts/chart10.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theme/themeOverride4.xml" ContentType="application/vnd.openxmlformats-officedocument.themeOverride+xml"/>
  <Override PartName="/word/charts/style7.xml" ContentType="application/vnd.ms-office.chartstyle+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hAnsi="Times New Roman"/>
          <w:b/>
          <w:bCs/>
          <w:sz w:val="32"/>
          <w:szCs w:val="32"/>
        </w:rPr>
      </w:pPr>
      <w:r>
        <w:rPr>
          <w:rFonts w:ascii="Times New Roman" w:hAnsi="Times New Roman"/>
          <w:b/>
          <w:bCs/>
          <w:sz w:val="32"/>
          <w:szCs w:val="32"/>
        </w:rPr>
        <w:t>Soil Quality Assessment Based on Physicochemical Parameters in the Career Point University Kota Rajasthan</w:t>
      </w:r>
    </w:p>
    <w:p>
      <w:pPr>
        <w:pStyle w:val="style0"/>
        <w:jc w:val="center"/>
        <w:rPr>
          <w:rFonts w:ascii="Times New Roman" w:hAnsi="Times New Roman"/>
          <w:b/>
          <w:bCs/>
          <w:sz w:val="32"/>
          <w:szCs w:val="32"/>
          <w:vertAlign w:val="superscript"/>
        </w:rPr>
      </w:pPr>
      <w:r>
        <w:rPr>
          <w:rFonts w:ascii="Times New Roman" w:hAnsi="Times New Roman"/>
          <w:b/>
          <w:bCs/>
          <w:sz w:val="32"/>
          <w:szCs w:val="32"/>
        </w:rPr>
        <w:t>Vivek Yadav</w:t>
      </w:r>
      <w:r>
        <w:rPr>
          <w:rFonts w:ascii="Times New Roman" w:hAnsi="Times New Roman"/>
          <w:b/>
          <w:bCs/>
          <w:sz w:val="32"/>
          <w:szCs w:val="32"/>
          <w:vertAlign w:val="superscript"/>
        </w:rPr>
        <w:t>1</w:t>
      </w:r>
      <w:r>
        <w:rPr>
          <w:rFonts w:ascii="Times New Roman" w:hAnsi="Times New Roman"/>
          <w:b/>
          <w:bCs/>
          <w:sz w:val="32"/>
          <w:szCs w:val="32"/>
        </w:rPr>
        <w:t xml:space="preserve"> and Dr. Anita Singh2</w:t>
      </w:r>
      <w:r>
        <w:rPr>
          <w:rFonts w:ascii="Times New Roman" w:hAnsi="Times New Roman"/>
          <w:b/>
          <w:bCs/>
          <w:sz w:val="32"/>
          <w:szCs w:val="32"/>
        </w:rPr>
        <w:t xml:space="preserve">, </w:t>
      </w:r>
      <w:r>
        <w:rPr>
          <w:rFonts w:ascii="Times New Roman" w:hAnsi="Times New Roman"/>
          <w:b/>
          <w:bCs/>
          <w:sz w:val="32"/>
          <w:szCs w:val="32"/>
        </w:rPr>
        <w:t>Dr.Teena</w:t>
      </w:r>
      <w:r>
        <w:rPr>
          <w:rFonts w:ascii="Times New Roman" w:hAnsi="Times New Roman"/>
          <w:b/>
          <w:bCs/>
          <w:sz w:val="32"/>
          <w:szCs w:val="32"/>
        </w:rPr>
        <w:t xml:space="preserve"> Agrawal </w:t>
      </w:r>
      <w:r>
        <w:rPr>
          <w:rFonts w:ascii="Times New Roman" w:hAnsi="Times New Roman"/>
          <w:b/>
          <w:bCs/>
          <w:sz w:val="32"/>
          <w:szCs w:val="32"/>
          <w:vertAlign w:val="superscript"/>
        </w:rPr>
        <w:t>3</w:t>
      </w:r>
    </w:p>
    <w:p>
      <w:pPr>
        <w:pStyle w:val="style0"/>
        <w:rPr>
          <w:rFonts w:ascii="Times New Roman" w:hAnsi="Times New Roman"/>
          <w:b/>
          <w:bCs/>
          <w:sz w:val="36"/>
          <w:szCs w:val="36"/>
          <w:vertAlign w:val="superscript"/>
        </w:rPr>
      </w:pPr>
      <w:r>
        <w:rPr>
          <w:rFonts w:ascii="Times New Roman" w:hAnsi="Times New Roman"/>
          <w:b/>
          <w:bCs/>
          <w:sz w:val="36"/>
          <w:szCs w:val="36"/>
          <w:vertAlign w:val="superscript"/>
        </w:rPr>
        <w:t xml:space="preserve">   </w:t>
      </w:r>
      <w:r>
        <w:rPr>
          <w:rFonts w:ascii="Times New Roman" w:hAnsi="Times New Roman"/>
          <w:b/>
          <w:bCs/>
          <w:sz w:val="36"/>
          <w:szCs w:val="36"/>
          <w:vertAlign w:val="superscript"/>
        </w:rPr>
        <w:t xml:space="preserve">1Research Scholar of School of Basic and Applied Science, Career Point </w:t>
      </w:r>
      <w:r>
        <w:rPr>
          <w:rFonts w:ascii="Times New Roman" w:hAnsi="Times New Roman"/>
          <w:b/>
          <w:bCs/>
          <w:sz w:val="36"/>
          <w:szCs w:val="36"/>
          <w:vertAlign w:val="superscript"/>
        </w:rPr>
        <w:t>University,Kota</w:t>
      </w:r>
    </w:p>
    <w:p>
      <w:pPr>
        <w:pStyle w:val="style0"/>
        <w:jc w:val="center"/>
        <w:rPr>
          <w:rFonts w:ascii="Times New Roman" w:hAnsi="Times New Roman"/>
          <w:b/>
          <w:bCs/>
          <w:sz w:val="36"/>
          <w:szCs w:val="36"/>
          <w:vertAlign w:val="superscript"/>
        </w:rPr>
      </w:pPr>
      <w:r>
        <w:rPr>
          <w:rFonts w:ascii="Times New Roman" w:hAnsi="Times New Roman"/>
          <w:b/>
          <w:bCs/>
          <w:sz w:val="36"/>
          <w:szCs w:val="36"/>
          <w:vertAlign w:val="superscript"/>
        </w:rPr>
        <w:t xml:space="preserve">2Department of Botany, School of Basic and Applied Science, Career Point </w:t>
      </w:r>
      <w:r>
        <w:rPr>
          <w:rFonts w:ascii="Times New Roman" w:hAnsi="Times New Roman"/>
          <w:b/>
          <w:bCs/>
          <w:sz w:val="36"/>
          <w:szCs w:val="36"/>
          <w:vertAlign w:val="superscript"/>
        </w:rPr>
        <w:t>University,Kota</w:t>
      </w:r>
    </w:p>
    <w:p>
      <w:pPr>
        <w:pStyle w:val="style0"/>
        <w:jc w:val="center"/>
        <w:rPr>
          <w:rFonts w:ascii="Times New Roman" w:hAnsi="Times New Roman"/>
          <w:b/>
          <w:bCs/>
          <w:sz w:val="36"/>
          <w:szCs w:val="36"/>
          <w:vertAlign w:val="superscript"/>
        </w:rPr>
      </w:pPr>
      <w:r>
        <w:rPr>
          <w:rFonts w:ascii="Times New Roman" w:hAnsi="Times New Roman"/>
          <w:b/>
          <w:bCs/>
          <w:sz w:val="36"/>
          <w:szCs w:val="36"/>
          <w:vertAlign w:val="superscript"/>
        </w:rPr>
        <w:t>3</w:t>
      </w:r>
      <w:r>
        <w:rPr>
          <w:rFonts w:ascii="Times New Roman" w:hAnsi="Times New Roman"/>
          <w:b/>
          <w:bCs/>
          <w:sz w:val="36"/>
          <w:szCs w:val="36"/>
          <w:vertAlign w:val="superscript"/>
        </w:rPr>
        <w:t xml:space="preserve">Department of Botany, School of Basic and Applied Science, Career Point </w:t>
      </w:r>
      <w:r>
        <w:rPr>
          <w:rFonts w:ascii="Times New Roman" w:hAnsi="Times New Roman"/>
          <w:b/>
          <w:bCs/>
          <w:sz w:val="36"/>
          <w:szCs w:val="36"/>
          <w:vertAlign w:val="superscript"/>
        </w:rPr>
        <w:t>University,Kota</w:t>
      </w:r>
    </w:p>
    <w:p>
      <w:pPr>
        <w:pStyle w:val="style0"/>
        <w:rPr>
          <w:rFonts w:ascii="Times New Roman" w:hAnsi="Times New Roman"/>
          <w:sz w:val="32"/>
          <w:szCs w:val="32"/>
        </w:rPr>
      </w:pPr>
    </w:p>
    <w:p>
      <w:pPr>
        <w:pStyle w:val="style0"/>
        <w:jc w:val="both"/>
        <w:rPr>
          <w:rFonts w:ascii="Times New Roman" w:hAnsi="Times New Roman"/>
        </w:rPr>
      </w:pPr>
      <w:r>
        <w:rPr>
          <w:rFonts w:ascii="Times New Roman" w:hAnsi="Times New Roman"/>
          <w:b/>
          <w:bCs/>
        </w:rPr>
        <w:t>Abstract: -</w:t>
      </w:r>
      <w:r>
        <w:rPr>
          <w:rFonts w:ascii="Times New Roman" w:hAnsi="Times New Roman"/>
          <w:b/>
          <w:bCs/>
        </w:rPr>
        <w:t xml:space="preserve"> </w:t>
      </w:r>
      <w:r>
        <w:rPr>
          <w:rFonts w:ascii="Times New Roman" w:hAnsi="Times New Roman"/>
        </w:rPr>
        <w:t xml:space="preserve">The </w:t>
      </w:r>
      <w:r>
        <w:rPr>
          <w:rFonts w:ascii="Times New Roman" w:hAnsi="Times New Roman"/>
        </w:rPr>
        <w:t>objective of</w:t>
      </w:r>
      <w:r>
        <w:rPr>
          <w:rFonts w:ascii="Times New Roman" w:hAnsi="Times New Roman"/>
        </w:rPr>
        <w:t xml:space="preserve"> this research was soil testing to </w:t>
      </w:r>
      <w:r>
        <w:rPr>
          <w:rFonts w:ascii="Times New Roman" w:hAnsi="Times New Roman"/>
        </w:rPr>
        <w:t>ensure soil</w:t>
      </w:r>
      <w:r>
        <w:rPr>
          <w:rFonts w:ascii="Times New Roman" w:hAnsi="Times New Roman"/>
        </w:rPr>
        <w:t xml:space="preserve"> </w:t>
      </w:r>
      <w:r>
        <w:rPr>
          <w:rFonts w:ascii="Times New Roman" w:hAnsi="Times New Roman"/>
        </w:rPr>
        <w:t>quality,</w:t>
      </w:r>
      <w:r>
        <w:rPr>
          <w:rFonts w:ascii="Times New Roman" w:hAnsi="Times New Roman"/>
        </w:rPr>
        <w:t xml:space="preserve"> soil health, and nutrient management in CARRER POINT UNIVERSITY CAMPUS ALNIYA </w:t>
      </w:r>
      <w:r>
        <w:rPr>
          <w:rFonts w:ascii="Times New Roman" w:hAnsi="Times New Roman"/>
        </w:rPr>
        <w:t>KOTA.Here</w:t>
      </w:r>
      <w:r>
        <w:rPr>
          <w:rFonts w:ascii="Times New Roman" w:hAnsi="Times New Roman"/>
        </w:rPr>
        <w:t xml:space="preserve"> in this research article we are presenting preliminary studies of physicochemical properties of soil across the Career Point University campus, Kota in winter </w:t>
      </w:r>
      <w:r>
        <w:rPr>
          <w:rFonts w:ascii="Times New Roman" w:hAnsi="Times New Roman"/>
        </w:rPr>
        <w:t>season.The</w:t>
      </w:r>
      <w:r>
        <w:rPr>
          <w:rFonts w:ascii="Times New Roman" w:hAnsi="Times New Roman"/>
        </w:rPr>
        <w:t xml:space="preserve"> chemical analysis of soil is based on a number of factors such as pH, electrical conductivity, organic </w:t>
      </w:r>
      <w:r>
        <w:rPr>
          <w:rFonts w:ascii="Times New Roman" w:hAnsi="Times New Roman"/>
        </w:rPr>
        <w:t>carbon,macronutrient</w:t>
      </w:r>
      <w:r>
        <w:rPr>
          <w:rFonts w:ascii="Times New Roman" w:hAnsi="Times New Roman"/>
        </w:rPr>
        <w:t xml:space="preserve"> and micronutrients. Soil pH and Electric conductivity plays a significant role in regulating the availability of nutrients to </w:t>
      </w:r>
      <w:r>
        <w:rPr>
          <w:rFonts w:ascii="Times New Roman" w:hAnsi="Times New Roman"/>
        </w:rPr>
        <w:t>plants.Organic</w:t>
      </w:r>
      <w:r>
        <w:rPr>
          <w:rFonts w:ascii="Times New Roman" w:hAnsi="Times New Roman"/>
        </w:rPr>
        <w:t xml:space="preserve"> carbon enhances soil structure, increases moisture retention, and supports beneficial microbial activity. Macronutrients were analyzed due to their vital roles in plant physiology. Micronutrient required in small quantities, these elements are essential for enzyme function, chlorophyll formation, and overall metabolic processes in plants.</w:t>
      </w:r>
    </w:p>
    <w:p>
      <w:pPr>
        <w:pStyle w:val="style0"/>
        <w:jc w:val="both"/>
        <w:rPr>
          <w:rFonts w:ascii="Times New Roman" w:hAnsi="Times New Roman"/>
        </w:rPr>
      </w:pPr>
      <w:r>
        <w:rPr>
          <w:rFonts w:ascii="Times New Roman" w:hAnsi="Times New Roman"/>
        </w:rPr>
        <w:t>Soil testing is only way to determine available nutrient status in campus soil and this research article provide detailed information about properties of soil across the Career Point University campus and find out any deficiency of minerals from the soil. The soil across Career Point University exhibits good fertility and is generally well-suited for both cultivation and ornamental landscaping.</w:t>
      </w:r>
      <w:r>
        <w:rPr>
          <w:rFonts w:ascii="Times New Roman" w:hAnsi="Times New Roman"/>
        </w:rPr>
        <w:cr/>
      </w:r>
      <w:r>
        <w:rPr>
          <w:rFonts w:ascii="Times New Roman" w:hAnsi="Times New Roman"/>
          <w:b/>
          <w:bCs/>
        </w:rPr>
        <w:t>Keywords</w:t>
      </w:r>
    </w:p>
    <w:p>
      <w:pPr>
        <w:pStyle w:val="style0"/>
        <w:jc w:val="both"/>
        <w:rPr>
          <w:rFonts w:ascii="Times New Roman" w:hAnsi="Times New Roman"/>
          <w:b/>
          <w:bCs/>
        </w:rPr>
      </w:pPr>
      <w:r>
        <w:rPr>
          <w:rFonts w:ascii="Times New Roman" w:hAnsi="Times New Roman"/>
        </w:rPr>
        <w:t xml:space="preserve">Physicochemical analysis, soil fertility, soil properties, pH, electrical conductivity (EC) </w:t>
      </w:r>
      <w:r>
        <w:rPr>
          <w:rFonts w:ascii="Times New Roman" w:hAnsi="Times New Roman"/>
        </w:rPr>
        <w:t>macronutrient, micronutrients</w:t>
      </w:r>
      <w:r>
        <w:rPr>
          <w:rFonts w:ascii="Times New Roman" w:hAnsi="Times New Roman"/>
        </w:rPr>
        <w:t xml:space="preserve">, </w:t>
      </w:r>
      <w:r>
        <w:rPr>
          <w:rFonts w:ascii="Times New Roman" w:hAnsi="Times New Roman"/>
        </w:rPr>
        <w:t>Alaniya</w:t>
      </w:r>
      <w:r>
        <w:rPr>
          <w:rFonts w:ascii="Times New Roman" w:hAnsi="Times New Roman"/>
        </w:rPr>
        <w:t xml:space="preserve"> Kota Rajasthan.</w:t>
      </w:r>
    </w:p>
    <w:p>
      <w:pPr>
        <w:pStyle w:val="style0"/>
        <w:jc w:val="both"/>
        <w:rPr>
          <w:rFonts w:ascii="Times New Roman" w:hAnsi="Times New Roman"/>
        </w:rPr>
      </w:pPr>
      <w:r>
        <w:rPr>
          <w:rFonts w:ascii="Times New Roman" w:hAnsi="Times New Roman"/>
          <w:b/>
          <w:bCs/>
        </w:rPr>
        <w:t>Introduction</w:t>
      </w:r>
    </w:p>
    <w:p>
      <w:pPr>
        <w:pStyle w:val="style0"/>
        <w:jc w:val="both"/>
        <w:rPr>
          <w:rFonts w:ascii="Times New Roman" w:hAnsi="Times New Roman"/>
        </w:rPr>
      </w:pPr>
      <w:r>
        <w:rPr>
          <w:rFonts w:ascii="Times New Roman" w:hAnsi="Times New Roman"/>
        </w:rPr>
        <w:t xml:space="preserve">Soil is an important system of terrestrial </w:t>
      </w:r>
      <w:r>
        <w:rPr>
          <w:rFonts w:ascii="Times New Roman" w:hAnsi="Times New Roman"/>
        </w:rPr>
        <w:t>ecosystem.Organic</w:t>
      </w:r>
      <w:r>
        <w:rPr>
          <w:rFonts w:ascii="Times New Roman" w:hAnsi="Times New Roman"/>
        </w:rPr>
        <w:t xml:space="preserve"> matter stimulates the microbial growth and increases the enzymatic activity in </w:t>
      </w:r>
      <w:r>
        <w:rPr>
          <w:rFonts w:ascii="Times New Roman" w:hAnsi="Times New Roman"/>
        </w:rPr>
        <w:t>soil.The</w:t>
      </w:r>
      <w:r>
        <w:rPr>
          <w:rFonts w:ascii="Times New Roman" w:hAnsi="Times New Roman"/>
        </w:rPr>
        <w:t xml:space="preserve"> fertility of the soil in the natural ecosystem depends on the microbial processes such as mineralization of organic </w:t>
      </w:r>
      <w:r>
        <w:rPr>
          <w:rFonts w:ascii="Times New Roman" w:hAnsi="Times New Roman"/>
        </w:rPr>
        <w:t>matter,sulfur</w:t>
      </w:r>
      <w:r>
        <w:rPr>
          <w:rFonts w:ascii="Times New Roman" w:hAnsi="Times New Roman"/>
        </w:rPr>
        <w:t xml:space="preserve"> (S), Potassium(K) and phosphorus(P)</w:t>
      </w:r>
      <w:r>
        <w:rPr>
          <w:rFonts w:ascii="Times New Roman" w:hAnsi="Times New Roman"/>
        </w:rPr>
        <w:t xml:space="preserve"> </w:t>
      </w:r>
      <w:r>
        <w:rPr>
          <w:rFonts w:ascii="Times New Roman" w:hAnsi="Times New Roman"/>
          <w:b/>
          <w:bCs/>
        </w:rPr>
        <w:t>(Joniec, 2018).</w:t>
      </w:r>
    </w:p>
    <w:p>
      <w:pPr>
        <w:pStyle w:val="style0"/>
        <w:jc w:val="both"/>
        <w:rPr>
          <w:rFonts w:ascii="Times New Roman" w:hAnsi="Times New Roman"/>
        </w:rPr>
      </w:pPr>
      <w:r>
        <w:rPr>
          <w:rFonts w:ascii="Times New Roman" w:hAnsi="Times New Roman"/>
        </w:rPr>
        <w:t xml:space="preserve">The chemical properties of soil largely depend on the size of particles that soil is composed the properties are porosity, soil water, soil air and capillary. Acidity and alkalinity of the soil are more importance for growth and distribution of plants various kinds of bacteria and fungi are present in soil for maintaining fertility dark </w:t>
      </w:r>
      <w:r>
        <w:rPr>
          <w:rFonts w:ascii="Times New Roman" w:hAnsi="Times New Roman"/>
        </w:rPr>
        <w:t>colour</w:t>
      </w:r>
      <w:r>
        <w:rPr>
          <w:rFonts w:ascii="Times New Roman" w:hAnsi="Times New Roman"/>
        </w:rPr>
        <w:t xml:space="preserve"> substance that is humus is present in the soil. This is formed by decomposition of dead </w:t>
      </w:r>
      <w:r>
        <w:rPr>
          <w:rFonts w:ascii="Times New Roman" w:hAnsi="Times New Roman"/>
        </w:rPr>
        <w:t xml:space="preserve">animals’ plants and microorganism. It is more importance to plant, crops both chemically and physically. It increases soil fertility and provide nutrients for growth of plants and other microorganisms including nitrogen fixing bacteria which also increase the availability of minerals in dissolved state to the plants. It can retain high amount of water and also increases the aeration and percolation of water </w:t>
      </w:r>
      <w:r>
        <w:rPr>
          <w:rFonts w:ascii="Times New Roman" w:hAnsi="Times New Roman"/>
          <w:b/>
          <w:bCs/>
          <w:i/>
          <w:iCs/>
        </w:rPr>
        <w:t>(Gupta et al.2018).</w:t>
      </w:r>
    </w:p>
    <w:p>
      <w:pPr>
        <w:pStyle w:val="style0"/>
        <w:jc w:val="both"/>
        <w:rPr>
          <w:rFonts w:ascii="Times New Roman" w:hAnsi="Times New Roman"/>
        </w:rPr>
      </w:pPr>
      <w:r>
        <w:rPr>
          <w:rFonts w:ascii="Times New Roman" w:hAnsi="Times New Roman"/>
        </w:rPr>
        <w:t xml:space="preserve">Soil health deals with both inherent and dynamic soil quality. The inherent soil quality relates to the natural (genetic) characteristics of the soil (e.g., texture), which are the result of </w:t>
      </w:r>
      <w:r>
        <w:rPr>
          <w:rFonts w:ascii="Times New Roman" w:hAnsi="Times New Roman"/>
        </w:rPr>
        <w:t>soilforming</w:t>
      </w:r>
      <w:r>
        <w:rPr>
          <w:rFonts w:ascii="Times New Roman" w:hAnsi="Times New Roman"/>
        </w:rPr>
        <w:t xml:space="preserve"> factors. On the other hand, dynamic soil quality component is readily affected by management practices and relates to the levels of compaction, biological functioning, root proliferation, etc. The dynamic component is of more interest to growers because good management allows the soil to come to its full potential </w:t>
      </w:r>
      <w:r>
        <w:rPr>
          <w:rFonts w:ascii="Times New Roman" w:hAnsi="Times New Roman"/>
          <w:b/>
          <w:bCs/>
        </w:rPr>
        <w:t>(</w:t>
      </w:r>
      <w:r>
        <w:rPr>
          <w:rFonts w:ascii="Times New Roman" w:hAnsi="Times New Roman"/>
          <w:b/>
          <w:bCs/>
          <w:i/>
          <w:iCs/>
        </w:rPr>
        <w:t>Lal, R., et al.2023)</w:t>
      </w:r>
      <w:r>
        <w:rPr>
          <w:rFonts w:ascii="Times New Roman" w:hAnsi="Times New Roman"/>
        </w:rPr>
        <w:t>.</w:t>
      </w:r>
      <w:r>
        <w:rPr>
          <w:rFonts w:ascii="Times New Roman" w:hAnsi="Times New Roman"/>
        </w:rPr>
        <w:t xml:space="preserve"> </w:t>
      </w:r>
      <w:r>
        <w:rPr>
          <w:rFonts w:ascii="Times New Roman" w:hAnsi="Times New Roman"/>
        </w:rPr>
        <w:t xml:space="preserve">For example, in an agricultural field, the capacity of a soil to function at sustaining </w:t>
      </w:r>
      <w:r>
        <w:rPr>
          <w:rFonts w:ascii="Times New Roman" w:hAnsi="Times New Roman"/>
        </w:rPr>
        <w:t>crop.growth</w:t>
      </w:r>
      <w:r>
        <w:rPr>
          <w:rFonts w:ascii="Times New Roman" w:hAnsi="Times New Roman"/>
        </w:rPr>
        <w:t xml:space="preserve"> would depend on several soil characteristics including bulk density, soil moisture, infiltration, and biological activity, to name a few. Many of these properties can be changed by management (e.g., infiltration and organic matter content) and soil quality can be improved according to its function. There are several criteria to consider soil health and soil quality indicators In general appropriate indicators should be easy to access, able to measure changes in soil function both at plot and landscape scales, assessed in time to make management decisions, accessible to many farmers, sensitive to variations in </w:t>
      </w:r>
      <w:r>
        <w:rPr>
          <w:rFonts w:ascii="Times New Roman" w:hAnsi="Times New Roman"/>
        </w:rPr>
        <w:t>agro</w:t>
      </w:r>
      <w:r>
        <w:rPr>
          <w:rFonts w:ascii="Times New Roman" w:hAnsi="Times New Roman"/>
        </w:rPr>
        <w:t xml:space="preserve">-ecological zone, representative of physical, biological or chemical properties of soil and assessed by either qualitative or quantitative both approaches </w:t>
      </w:r>
      <w:r>
        <w:rPr>
          <w:rFonts w:ascii="Times New Roman" w:hAnsi="Times New Roman"/>
          <w:b/>
          <w:bCs/>
          <w:i/>
          <w:iCs/>
        </w:rPr>
        <w:t>(Schoonover and Crim, 2015)</w:t>
      </w:r>
    </w:p>
    <w:p>
      <w:pPr>
        <w:pStyle w:val="style0"/>
        <w:jc w:val="both"/>
        <w:rPr>
          <w:rFonts w:ascii="Times New Roman" w:hAnsi="Times New Roman"/>
          <w:b/>
          <w:bCs/>
        </w:rPr>
      </w:pPr>
      <w:r>
        <w:rPr>
          <w:rFonts w:ascii="Times New Roman" w:hAnsi="Times New Roman"/>
        </w:rPr>
        <w:t xml:space="preserve">Rajasthan is located on the north-western side of India. The state covers an area of 3, 42,239 square kilometers or 10.4 percent of the total geographical area of the </w:t>
      </w:r>
      <w:r>
        <w:rPr>
          <w:rFonts w:ascii="Times New Roman" w:hAnsi="Times New Roman"/>
        </w:rPr>
        <w:t>country. Out</w:t>
      </w:r>
      <w:r>
        <w:rPr>
          <w:rFonts w:ascii="Times New Roman" w:hAnsi="Times New Roman"/>
        </w:rPr>
        <w:t xml:space="preserve"> of the total geographical area in the State, even 50 percent is not cultivable and within cultivable land, soil fertility varies considerably across districts. The wide differences in land productivity indicate the variation in soil health across districts in the State. The south east and eastern part of Aravali range is productive for agriculture purposes having clay loam soil type. Kota district is situated in the southeastern part of Rajasthan and comes under </w:t>
      </w:r>
      <w:r>
        <w:rPr>
          <w:rFonts w:ascii="Times New Roman" w:hAnsi="Times New Roman"/>
        </w:rPr>
        <w:t>Agro</w:t>
      </w:r>
      <w:r>
        <w:rPr>
          <w:rFonts w:ascii="Times New Roman" w:hAnsi="Times New Roman"/>
        </w:rPr>
        <w:t xml:space="preserve"> climatic zone V. Kota is also known as education city of Rajasthan. It is the third largest city of Rajasthan after Jaipur and Jodhpur with an area of 5217 km2. The district has six Tehsils namely </w:t>
      </w:r>
      <w:r>
        <w:rPr>
          <w:rFonts w:ascii="Times New Roman" w:hAnsi="Times New Roman"/>
        </w:rPr>
        <w:t>Ladpura</w:t>
      </w:r>
      <w:r>
        <w:rPr>
          <w:rFonts w:ascii="Times New Roman" w:hAnsi="Times New Roman"/>
        </w:rPr>
        <w:t xml:space="preserve">, </w:t>
      </w:r>
      <w:r>
        <w:rPr>
          <w:rFonts w:ascii="Times New Roman" w:hAnsi="Times New Roman"/>
        </w:rPr>
        <w:t>Digod</w:t>
      </w:r>
      <w:r>
        <w:rPr>
          <w:rFonts w:ascii="Times New Roman" w:hAnsi="Times New Roman"/>
        </w:rPr>
        <w:t xml:space="preserve">, </w:t>
      </w:r>
      <w:r>
        <w:rPr>
          <w:rFonts w:ascii="Times New Roman" w:hAnsi="Times New Roman"/>
        </w:rPr>
        <w:t>Pipalda</w:t>
      </w:r>
      <w:r>
        <w:rPr>
          <w:rFonts w:ascii="Times New Roman" w:hAnsi="Times New Roman"/>
        </w:rPr>
        <w:t xml:space="preserve">, </w:t>
      </w:r>
      <w:r>
        <w:rPr>
          <w:rFonts w:ascii="Times New Roman" w:hAnsi="Times New Roman"/>
        </w:rPr>
        <w:t>Ramganjmandi</w:t>
      </w:r>
      <w:r>
        <w:rPr>
          <w:rFonts w:ascii="Times New Roman" w:hAnsi="Times New Roman"/>
        </w:rPr>
        <w:t xml:space="preserve">, </w:t>
      </w:r>
      <w:r>
        <w:rPr>
          <w:rFonts w:ascii="Times New Roman" w:hAnsi="Times New Roman"/>
        </w:rPr>
        <w:t>Sangod</w:t>
      </w:r>
      <w:r>
        <w:rPr>
          <w:rFonts w:ascii="Times New Roman" w:hAnsi="Times New Roman"/>
        </w:rPr>
        <w:t xml:space="preserve"> &amp; </w:t>
      </w:r>
      <w:r>
        <w:rPr>
          <w:rFonts w:ascii="Times New Roman" w:hAnsi="Times New Roman"/>
        </w:rPr>
        <w:t>Kanwas</w:t>
      </w:r>
      <w:r>
        <w:rPr>
          <w:rFonts w:ascii="Times New Roman" w:hAnsi="Times New Roman"/>
        </w:rPr>
        <w:t xml:space="preserve">. Out of which first three Tehsils comes under Chambal Command Area whereas last three Tehsils comes under </w:t>
      </w:r>
      <w:r>
        <w:rPr>
          <w:rFonts w:ascii="Times New Roman" w:hAnsi="Times New Roman"/>
        </w:rPr>
        <w:t>noncommand</w:t>
      </w:r>
      <w:r>
        <w:rPr>
          <w:rFonts w:ascii="Times New Roman" w:hAnsi="Times New Roman"/>
        </w:rPr>
        <w:t xml:space="preserve"> area. Precipitation in Kota region happens amid the southwest monsoon and the upper east rainstorm season. The region gets higher precipitation from the southwest monsoon. The average annual rainfall of the district varies from 650 to 1000 mm. The total cultivated area of the district is 3.4 lac ha out of which 2.1 lac ha is irrigated. Though a big part of Rajasthan is in the form of desert, but because of Chambal River, Kota along-with its 3 adjoining districts, altogether known as </w:t>
      </w:r>
      <w:r>
        <w:rPr>
          <w:rFonts w:ascii="Times New Roman" w:hAnsi="Times New Roman"/>
        </w:rPr>
        <w:t>Hadoti</w:t>
      </w:r>
      <w:r>
        <w:rPr>
          <w:rFonts w:ascii="Times New Roman" w:hAnsi="Times New Roman"/>
        </w:rPr>
        <w:t xml:space="preserve"> region, is a productive and bio diversifying </w:t>
      </w:r>
    </w:p>
    <w:p>
      <w:pPr>
        <w:pStyle w:val="style0"/>
        <w:jc w:val="both"/>
        <w:rPr>
          <w:rFonts w:ascii="Times New Roman" w:hAnsi="Times New Roman"/>
        </w:rPr>
      </w:pPr>
      <w:r>
        <w:rPr>
          <w:rFonts w:ascii="Times New Roman" w:hAnsi="Times New Roman"/>
          <w:b/>
          <w:bCs/>
        </w:rPr>
        <w:t xml:space="preserve">Study Area </w:t>
      </w:r>
    </w:p>
    <w:p>
      <w:pPr>
        <w:pStyle w:val="style0"/>
        <w:jc w:val="both"/>
        <w:rPr>
          <w:rFonts w:ascii="Times New Roman" w:hAnsi="Times New Roman"/>
        </w:rPr>
      </w:pPr>
      <w:r>
        <w:rPr>
          <w:rFonts w:ascii="Times New Roman" w:hAnsi="Times New Roman"/>
        </w:rPr>
        <w:t xml:space="preserve">Career Point University is located at 25.2068° N latitude and 75.8682° *E longitude in Kota, Rajasthan. This semi-arid region experiences a hot climate with an average annual rainfall of About 93% of the annual rainfall is received during the South West monsoon season. The average annual rainfall of the district varies from 650 to 1000 </w:t>
      </w:r>
      <w:r>
        <w:rPr>
          <w:rFonts w:ascii="Times New Roman" w:hAnsi="Times New Roman"/>
        </w:rPr>
        <w:t>mm.The</w:t>
      </w:r>
      <w:r>
        <w:rPr>
          <w:rFonts w:ascii="Times New Roman" w:hAnsi="Times New Roman"/>
        </w:rPr>
        <w:t xml:space="preserve"> average minimum temperature was recorded 10.6°C in winters and maximum 42.6°C in summers. Soil sampling was done from total four locations, namely sport ground</w:t>
      </w:r>
      <w:r>
        <w:rPr>
          <w:rFonts w:ascii="Times New Roman" w:hAnsi="Times New Roman"/>
        </w:rPr>
        <w:t xml:space="preserve"> </w:t>
      </w:r>
      <w:r>
        <w:rPr>
          <w:rFonts w:ascii="Times New Roman" w:hAnsi="Times New Roman"/>
        </w:rPr>
        <w:t>(site 1), open field area</w:t>
      </w:r>
      <w:r>
        <w:rPr>
          <w:rFonts w:ascii="Times New Roman" w:hAnsi="Times New Roman"/>
        </w:rPr>
        <w:t xml:space="preserve"> </w:t>
      </w:r>
      <w:r>
        <w:rPr>
          <w:rFonts w:ascii="Times New Roman" w:hAnsi="Times New Roman"/>
        </w:rPr>
        <w:t>(site 2) Faculty Garden (site3) and Botanical Garden (site 4).</w:t>
      </w:r>
      <w:r>
        <w:rPr>
          <w:rFonts w:ascii="Times New Roman" w:hAnsi="Times New Roman"/>
        </w:rPr>
        <w:t xml:space="preserve"> </w:t>
      </w:r>
      <w:r>
        <w:rPr>
          <w:rFonts w:ascii="Times New Roman" w:hAnsi="Times New Roman"/>
        </w:rPr>
        <w:t xml:space="preserve">The soil properties are influenced by the region’s low water availability, high temperatures, and varying levels of organic matter content. </w:t>
      </w:r>
      <w:r>
        <w:rPr>
          <w:rFonts w:ascii="Times New Roman" w:hAnsi="Times New Roman"/>
        </w:rPr>
        <w:t xml:space="preserve">Understanding the soil’s physical and chemical properties is crucial for designing appropriate land management practices that can maximize the use of available water resources and ensure long-term soil </w:t>
      </w:r>
      <w:r>
        <w:rPr>
          <w:rFonts w:ascii="Times New Roman" w:hAnsi="Times New Roman"/>
        </w:rPr>
        <w:t>fertility.The</w:t>
      </w:r>
      <w:r>
        <w:rPr>
          <w:rFonts w:ascii="Times New Roman" w:hAnsi="Times New Roman"/>
        </w:rPr>
        <w:t xml:space="preserve"> four sample locations within the campus were selected to represent a range of land uses:</w:t>
      </w:r>
    </w:p>
    <w:p>
      <w:pPr>
        <w:pStyle w:val="style0"/>
        <w:jc w:val="both"/>
        <w:rPr>
          <w:rFonts w:ascii="Times New Roman" w:hAnsi="Times New Roman"/>
        </w:rPr>
      </w:pPr>
      <w:r>
        <w:rPr>
          <w:rFonts w:ascii="Times New Roman" w:hAnsi="Times New Roman"/>
          <w:b/>
          <w:bCs/>
        </w:rPr>
        <w:t>Location 1 (Sports Ground)</w:t>
      </w:r>
      <w:r>
        <w:rPr>
          <w:rFonts w:ascii="Times New Roman" w:hAnsi="Times New Roman"/>
        </w:rPr>
        <w:t>: An open area used for recreational activities, typically well-maintained with minimal vegetation.</w:t>
      </w:r>
    </w:p>
    <w:p>
      <w:pPr>
        <w:pStyle w:val="style0"/>
        <w:jc w:val="both"/>
        <w:rPr>
          <w:rFonts w:ascii="Times New Roman" w:hAnsi="Times New Roman"/>
        </w:rPr>
      </w:pPr>
      <w:r>
        <w:rPr>
          <w:rFonts w:ascii="Times New Roman" w:hAnsi="Times New Roman"/>
          <w:b/>
          <w:bCs/>
        </w:rPr>
        <w:t>Location 2 (Open Field Area)</w:t>
      </w:r>
      <w:r>
        <w:rPr>
          <w:rFonts w:ascii="Times New Roman" w:hAnsi="Times New Roman"/>
        </w:rPr>
        <w:t>: A less developed, open area that is more exposed to natural weathering and erosion.</w:t>
      </w:r>
    </w:p>
    <w:p>
      <w:pPr>
        <w:pStyle w:val="style0"/>
        <w:jc w:val="both"/>
        <w:rPr>
          <w:rFonts w:ascii="Times New Roman" w:hAnsi="Times New Roman"/>
        </w:rPr>
      </w:pPr>
      <w:r>
        <w:rPr>
          <w:rFonts w:ascii="Times New Roman" w:hAnsi="Times New Roman"/>
          <w:b/>
          <w:bCs/>
        </w:rPr>
        <w:t>Location 3 (Faculty Garden)</w:t>
      </w:r>
      <w:r>
        <w:rPr>
          <w:rFonts w:ascii="Times New Roman" w:hAnsi="Times New Roman"/>
        </w:rPr>
        <w:t>: An area dedicated to small-scale farming and plant research.</w:t>
      </w:r>
    </w:p>
    <w:p>
      <w:pPr>
        <w:pStyle w:val="style0"/>
        <w:jc w:val="both"/>
        <w:rPr>
          <w:rFonts w:ascii="Times New Roman" w:hAnsi="Times New Roman"/>
        </w:rPr>
      </w:pPr>
      <w:r>
        <w:rPr>
          <w:rFonts w:ascii="Times New Roman" w:hAnsi="Times New Roman"/>
          <w:b/>
          <w:bCs/>
        </w:rPr>
        <w:t>Location 4 (Botanical Garden):</w:t>
      </w:r>
      <w:r>
        <w:rPr>
          <w:rFonts w:ascii="Times New Roman" w:hAnsi="Times New Roman"/>
        </w:rPr>
        <w:t xml:space="preserve"> A landscaped area that hosts a variety of plants, with significant organic matter input from horticultural activities.</w:t>
      </w:r>
    </w:p>
    <w:p>
      <w:pPr>
        <w:pStyle w:val="style0"/>
        <w:jc w:val="both"/>
        <w:rPr>
          <w:rFonts w:ascii="Times New Roman" w:hAnsi="Times New Roman"/>
        </w:rPr>
      </w:pPr>
      <w:r>
        <w:rPr>
          <w:rFonts w:ascii="Times New Roman" w:hAnsi="Times New Roman"/>
          <w:b/>
          <w:bCs/>
        </w:rPr>
        <w:t xml:space="preserve">Methodology </w:t>
      </w:r>
    </w:p>
    <w:p>
      <w:pPr>
        <w:pStyle w:val="style0"/>
        <w:jc w:val="both"/>
        <w:rPr>
          <w:rFonts w:ascii="Times New Roman" w:hAnsi="Times New Roman"/>
        </w:rPr>
      </w:pPr>
      <w:r>
        <w:rPr>
          <w:rFonts w:ascii="Times New Roman" w:hAnsi="Times New Roman"/>
        </w:rPr>
        <w:t xml:space="preserve">A total of 16 soil samples were collected from different site using soil auger, screw auger and </w:t>
      </w:r>
      <w:r>
        <w:rPr>
          <w:rFonts w:ascii="Times New Roman" w:hAnsi="Times New Roman"/>
        </w:rPr>
        <w:t>khurpi</w:t>
      </w:r>
      <w:r>
        <w:rPr>
          <w:rFonts w:ascii="Times New Roman" w:hAnsi="Times New Roman"/>
        </w:rPr>
        <w:t xml:space="preserve"> at the depth of 0-15cm, 15-30 cm and 30-45 cm.  in laboratory. The exact quantity of the soil sample was 100gm which was adequate for laboratory testing, with an emphasis on reliable outcomes. Soil samples were collected from each of the four locations at a depth of 5 to 30 cm, which is the most active layer for root growth. A composite sample was formed by collecting soil from multiple spots within each location to account for variability within the site. The soil was homogenized before being sent to the laboratory for analysis. A total of four composite samples were collected for this study, one from each location. The chemical parameters include pH, Electrical conductivity, Organic Carbon, Macro-Nutrients (N, P, K, Ca, Mg, S) and </w:t>
      </w:r>
      <w:r>
        <w:rPr>
          <w:rFonts w:ascii="Times New Roman" w:hAnsi="Times New Roman"/>
        </w:rPr>
        <w:t>MicroNutrients</w:t>
      </w:r>
      <w:r>
        <w:rPr>
          <w:rFonts w:ascii="Times New Roman" w:hAnsi="Times New Roman"/>
        </w:rPr>
        <w:t xml:space="preserve"> (Fe, Cu, Zn, Mn). pH was estimated with the help of Digital pH meter after making 1:2 soil water suspension</w:t>
      </w:r>
      <w:r>
        <w:rPr>
          <w:rFonts w:ascii="Times New Roman" w:hAnsi="Times New Roman"/>
          <w:b/>
          <w:bCs/>
          <w:i/>
          <w:iCs/>
        </w:rPr>
        <w:t xml:space="preserve"> (Ghosh et al.,1983).</w:t>
      </w:r>
    </w:p>
    <w:p>
      <w:pPr>
        <w:pStyle w:val="style0"/>
        <w:jc w:val="both"/>
        <w:rPr>
          <w:rFonts w:ascii="Times New Roman" w:hAnsi="Times New Roman"/>
          <w:b/>
          <w:bCs/>
        </w:rPr>
      </w:pPr>
      <w:r>
        <w:rPr>
          <w:rFonts w:ascii="Times New Roman" w:hAnsi="Times New Roman"/>
        </w:rPr>
        <w:t>Electical</w:t>
      </w:r>
      <w:r>
        <w:rPr>
          <w:rFonts w:ascii="Times New Roman" w:hAnsi="Times New Roman"/>
        </w:rPr>
        <w:t xml:space="preserve"> Conductivity was estimated with the help of Digital Conductivity meter </w:t>
      </w:r>
      <w:r>
        <w:rPr>
          <w:rFonts w:ascii="Times New Roman" w:hAnsi="Times New Roman"/>
          <w:b/>
          <w:bCs/>
        </w:rPr>
        <w:t>(Richards, 1954</w:t>
      </w:r>
      <w:r>
        <w:rPr>
          <w:rFonts w:ascii="Times New Roman" w:hAnsi="Times New Roman"/>
          <w:b/>
          <w:bCs/>
        </w:rPr>
        <w:t>)</w:t>
      </w:r>
      <w:r>
        <w:rPr>
          <w:rFonts w:ascii="Times New Roman" w:hAnsi="Times New Roman"/>
        </w:rPr>
        <w:t>. Percent</w:t>
      </w:r>
      <w:r>
        <w:rPr>
          <w:rFonts w:ascii="Times New Roman" w:hAnsi="Times New Roman"/>
        </w:rPr>
        <w:t xml:space="preserve"> Organic Carbon was estimated by Wet </w:t>
      </w:r>
      <w:r>
        <w:rPr>
          <w:rFonts w:ascii="Times New Roman" w:hAnsi="Times New Roman"/>
        </w:rPr>
        <w:t>Oxidation.method</w:t>
      </w:r>
      <w:r>
        <w:rPr>
          <w:rFonts w:ascii="Times New Roman" w:hAnsi="Times New Roman"/>
        </w:rPr>
        <w:t xml:space="preserve"> </w:t>
      </w:r>
      <w:r>
        <w:rPr>
          <w:rFonts w:ascii="Times New Roman" w:hAnsi="Times New Roman"/>
          <w:b/>
          <w:bCs/>
        </w:rPr>
        <w:t>(Walkley and Black, 1934).</w:t>
      </w:r>
      <w:r>
        <w:rPr>
          <w:rFonts w:ascii="Times New Roman" w:hAnsi="Times New Roman"/>
        </w:rPr>
        <w:t xml:space="preserve"> Available Nitrogen was estimated by Alkaline Potassium Permanganate method, using Kjeldahl apparatus</w:t>
      </w:r>
      <w:r>
        <w:rPr>
          <w:rFonts w:ascii="Times New Roman" w:hAnsi="Times New Roman"/>
          <w:b/>
          <w:bCs/>
        </w:rPr>
        <w:t xml:space="preserve"> (Subbiah and Asija, 1956)</w:t>
      </w:r>
      <w:r>
        <w:rPr>
          <w:rFonts w:ascii="Times New Roman" w:hAnsi="Times New Roman"/>
        </w:rPr>
        <w:t>.</w:t>
      </w:r>
      <w:r>
        <w:rPr>
          <w:rFonts w:ascii="Times New Roman" w:hAnsi="Times New Roman"/>
        </w:rPr>
        <w:t>A</w:t>
      </w:r>
      <w:r>
        <w:rPr>
          <w:rFonts w:ascii="Times New Roman" w:hAnsi="Times New Roman"/>
        </w:rPr>
        <w:t xml:space="preserve">vailable Phosphorus was estimated by Olsen’s extraction followed by Spectrophotometric method </w:t>
      </w:r>
      <w:r>
        <w:rPr>
          <w:rFonts w:ascii="Times New Roman" w:hAnsi="Times New Roman"/>
          <w:b/>
          <w:bCs/>
          <w:i/>
          <w:iCs/>
        </w:rPr>
        <w:t>(Olsen et al., 1954)</w:t>
      </w:r>
      <w:r>
        <w:rPr>
          <w:rFonts w:ascii="Times New Roman" w:hAnsi="Times New Roman"/>
        </w:rPr>
        <w:t xml:space="preserve"> , available Potassium was estimated by Neutral normal Ammonium Acetate extraction followed by Flame photometric method </w:t>
      </w:r>
      <w:r>
        <w:rPr>
          <w:rFonts w:ascii="Times New Roman" w:hAnsi="Times New Roman"/>
          <w:b/>
          <w:bCs/>
        </w:rPr>
        <w:t>(Toth and Prince, 1949),</w:t>
      </w:r>
      <w:r>
        <w:rPr>
          <w:rFonts w:ascii="Times New Roman" w:hAnsi="Times New Roman"/>
        </w:rPr>
        <w:t xml:space="preserve"> Exchangeable Ca2+ and Mg2+ were estimated by Normal </w:t>
      </w:r>
      <w:r>
        <w:rPr>
          <w:rFonts w:ascii="Times New Roman" w:hAnsi="Times New Roman"/>
        </w:rPr>
        <w:t>Ammomium</w:t>
      </w:r>
      <w:r>
        <w:rPr>
          <w:rFonts w:ascii="Times New Roman" w:hAnsi="Times New Roman"/>
        </w:rPr>
        <w:t xml:space="preserve"> Acetate saturation method </w:t>
      </w:r>
      <w:r>
        <w:rPr>
          <w:rFonts w:ascii="Times New Roman" w:hAnsi="Times New Roman"/>
          <w:b/>
          <w:bCs/>
        </w:rPr>
        <w:t>(Cheng and Bray, 1951)</w:t>
      </w:r>
      <w:r>
        <w:rPr>
          <w:rFonts w:ascii="Times New Roman" w:hAnsi="Times New Roman"/>
        </w:rPr>
        <w:t xml:space="preserve">, available Sulphur was estimated by Turbidimetric method followed by Spectrophotometric analysis </w:t>
      </w:r>
      <w:r>
        <w:rPr>
          <w:rFonts w:ascii="Times New Roman" w:hAnsi="Times New Roman"/>
          <w:b/>
          <w:bCs/>
        </w:rPr>
        <w:t>(</w:t>
      </w:r>
      <w:r>
        <w:rPr>
          <w:rFonts w:ascii="Times New Roman" w:hAnsi="Times New Roman"/>
          <w:b/>
          <w:bCs/>
        </w:rPr>
        <w:t>Chesnin</w:t>
      </w:r>
      <w:r>
        <w:rPr>
          <w:rFonts w:ascii="Times New Roman" w:hAnsi="Times New Roman"/>
          <w:b/>
          <w:bCs/>
        </w:rPr>
        <w:t xml:space="preserve"> and Yien, 1950)</w:t>
      </w:r>
      <w:r>
        <w:rPr>
          <w:rFonts w:ascii="Times New Roman" w:hAnsi="Times New Roman"/>
        </w:rPr>
        <w:t>. Available Fe, Cu, Zn and Mn were estimated by DTPA extraction followed by AAS analysis</w:t>
      </w:r>
      <w:r>
        <w:rPr>
          <w:rFonts w:ascii="Times New Roman" w:hAnsi="Times New Roman"/>
          <w:b/>
          <w:bCs/>
        </w:rPr>
        <w:t xml:space="preserve"> (ChengandBray,1951)</w:t>
      </w:r>
    </w:p>
    <w:p>
      <w:pPr>
        <w:pStyle w:val="style0"/>
        <w:jc w:val="both"/>
        <w:rPr>
          <w:rFonts w:ascii="Times New Roman" w:hAnsi="Times New Roman"/>
          <w:b/>
          <w:bCs/>
        </w:rPr>
      </w:pPr>
      <w:r>
        <w:rPr>
          <w:rFonts w:ascii="Times New Roman" w:hAnsi="Times New Roman"/>
          <w:b/>
          <w:bCs/>
        </w:rPr>
        <w:t xml:space="preserve">Results and Discussion </w:t>
      </w:r>
    </w:p>
    <w:p>
      <w:pPr>
        <w:pStyle w:val="style0"/>
        <w:jc w:val="both"/>
        <w:rPr>
          <w:rFonts w:ascii="Times New Roman" w:hAnsi="Times New Roman"/>
          <w:b/>
          <w:bCs/>
        </w:rPr>
      </w:pPr>
      <w:r>
        <w:rPr>
          <w:rFonts w:ascii="Times New Roman" w:hAnsi="Times New Roman"/>
          <w:b/>
          <w:bCs/>
        </w:rPr>
        <w:t>Soil pH and Electrical Conductivity (EC</w:t>
      </w:r>
      <w:r>
        <w:rPr>
          <w:rFonts w:ascii="Times New Roman" w:hAnsi="Times New Roman"/>
          <w:b/>
          <w:bCs/>
        </w:rPr>
        <w:t>):</w:t>
      </w:r>
      <w:r>
        <w:rPr>
          <w:rFonts w:ascii="Times New Roman" w:hAnsi="Times New Roman"/>
        </w:rPr>
        <w:t xml:space="preserve"> -</w:t>
      </w:r>
      <w:r>
        <w:rPr>
          <w:rFonts w:ascii="Times New Roman" w:hAnsi="Times New Roman"/>
        </w:rPr>
        <w:t xml:space="preserve">Soil pH is a measure of alkalinity and acidity in soil. The pH value was found to be 7.8, which is slightly alkaline, suggesting that the soil is suitable for a wide range of crops but may need amendments for acid-loving plants. The EC value was 4.6388 </w:t>
      </w:r>
      <w:r>
        <w:rPr>
          <w:rFonts w:ascii="Times New Roman" w:hAnsi="Times New Roman"/>
        </w:rPr>
        <w:t>dS</w:t>
      </w:r>
      <w:r>
        <w:rPr>
          <w:rFonts w:ascii="Times New Roman" w:hAnsi="Times New Roman"/>
        </w:rPr>
        <w:t xml:space="preserve">/m, indicating that the soil has moderate salinity. This needs to be considered when irrigating, as excess salts may hinder plant growth. Soils with EC values less than 1 </w:t>
      </w:r>
      <w:r>
        <w:rPr>
          <w:rFonts w:ascii="Times New Roman" w:hAnsi="Times New Roman"/>
        </w:rPr>
        <w:t>dS</w:t>
      </w:r>
      <w:r>
        <w:rPr>
          <w:rFonts w:ascii="Times New Roman" w:hAnsi="Times New Roman"/>
        </w:rPr>
        <w:t xml:space="preserve">/m are considered non-saline, which is ideal for plant growth. </w:t>
      </w:r>
      <w:r>
        <w:rPr>
          <w:rFonts w:ascii="Times New Roman" w:hAnsi="Times New Roman"/>
        </w:rPr>
        <w:t xml:space="preserve">Given that none of the locations exceeded 0.50 </w:t>
      </w:r>
      <w:r>
        <w:rPr>
          <w:rFonts w:ascii="Times New Roman" w:hAnsi="Times New Roman"/>
        </w:rPr>
        <w:t>dS</w:t>
      </w:r>
      <w:r>
        <w:rPr>
          <w:rFonts w:ascii="Times New Roman" w:hAnsi="Times New Roman"/>
        </w:rPr>
        <w:t>/m, the soils are unlikely to pose any salt stress problems for vegetation types cultivated at the university</w:t>
      </w:r>
    </w:p>
    <w:p>
      <w:pPr>
        <w:pStyle w:val="style0"/>
        <w:jc w:val="both"/>
        <w:rPr>
          <w:rFonts w:ascii="Times New Roman" w:hAnsi="Times New Roman"/>
        </w:rPr>
      </w:pPr>
      <w:r>
        <w:rPr>
          <w:rFonts w:ascii="Times New Roman" w:hAnsi="Times New Roman"/>
          <w:b/>
          <w:bCs/>
        </w:rPr>
        <w:t>Table: -</w:t>
      </w:r>
      <w:r>
        <w:rPr>
          <w:rFonts w:ascii="Times New Roman" w:hAnsi="Times New Roman"/>
          <w:b/>
          <w:bCs/>
        </w:rPr>
        <w:t xml:space="preserve">1Assesment of chemical properties of soil from CARRER POINT UNIVERSITY of </w:t>
      </w:r>
      <w:r>
        <w:rPr>
          <w:rFonts w:ascii="Times New Roman" w:hAnsi="Times New Roman"/>
          <w:b/>
          <w:bCs/>
        </w:rPr>
        <w:t>kota</w:t>
      </w:r>
    </w:p>
    <w:tbl>
      <w:tblPr>
        <w:tblW w:w="0" w:type="auto"/>
        <w:tblLook w:val="04A0" w:firstRow="1" w:lastRow="0" w:firstColumn="1" w:lastColumn="0" w:noHBand="0" w:noVBand="1"/>
      </w:tblPr>
      <w:tblGrid>
        <w:gridCol w:w="2122"/>
        <w:gridCol w:w="2268"/>
        <w:gridCol w:w="2551"/>
        <w:gridCol w:w="2268"/>
      </w:tblGrid>
      <w:tr>
        <w:trPr>
          <w:trHeight w:val="491" w:hRule="atLeast"/>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Site name</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Soil pH</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Electrical conductivity(</w:t>
            </w:r>
            <w:r>
              <w:rPr>
                <w:rFonts w:ascii="Times New Roman" w:hAnsi="Times New Roman"/>
              </w:rPr>
              <w:t>dS</w:t>
            </w:r>
            <w:r>
              <w:rPr>
                <w:rFonts w:ascii="Times New Roman" w:hAnsi="Times New Roman"/>
              </w:rPr>
              <w:t>/m)</w:t>
            </w:r>
          </w:p>
        </w:tc>
        <w:tc>
          <w:tcPr>
            <w:tcW w:w="2268" w:type="dxa"/>
            <w:tcBorders>
              <w:top w:val="single" w:sz="4" w:space="0" w:color="auto"/>
              <w:left w:val="single" w:sz="4" w:space="0" w:color="auto"/>
              <w:bottom w:val="single" w:sz="4" w:space="0" w:color="auto"/>
              <w:right w:val="single" w:sz="4" w:space="0" w:color="auto"/>
            </w:tcBorders>
            <w:tcMar/>
          </w:tcPr>
          <w:p>
            <w:pPr>
              <w:pStyle w:val="style0"/>
              <w:jc w:val="center"/>
              <w:rPr/>
            </w:pPr>
            <w:r>
              <w:t>Organic matter %</w:t>
            </w:r>
          </w:p>
        </w:tc>
      </w:tr>
      <w:tr>
        <w:tblPrEx/>
        <w:trPr>
          <w:trHeight w:val="491" w:hRule="atLeast"/>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1A</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8.0</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0-17</w:t>
            </w:r>
          </w:p>
        </w:tc>
        <w:tc>
          <w:tcPr>
            <w:tcW w:w="2268" w:type="dxa"/>
            <w:tcBorders>
              <w:top w:val="single" w:sz="4" w:space="0" w:color="auto"/>
              <w:left w:val="single" w:sz="4" w:space="0" w:color="auto"/>
              <w:bottom w:val="single" w:sz="4" w:space="0" w:color="auto"/>
              <w:right w:val="single" w:sz="4" w:space="0" w:color="auto"/>
            </w:tcBorders>
            <w:tcMar/>
          </w:tcPr>
          <w:p>
            <w:pPr>
              <w:pStyle w:val="style0"/>
              <w:jc w:val="center"/>
              <w:rPr/>
            </w:pPr>
            <w:r>
              <w:t>0.32</w:t>
            </w:r>
          </w:p>
        </w:tc>
      </w:tr>
      <w:tr>
        <w:tblPrEx/>
        <w:trPr>
          <w:trHeight w:val="491" w:hRule="atLeast"/>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1B</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8.0</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0-08</w:t>
            </w:r>
          </w:p>
        </w:tc>
        <w:tc>
          <w:tcPr>
            <w:tcW w:w="2268" w:type="dxa"/>
            <w:tcBorders>
              <w:top w:val="single" w:sz="4" w:space="0" w:color="auto"/>
              <w:left w:val="single" w:sz="4" w:space="0" w:color="auto"/>
              <w:bottom w:val="single" w:sz="4" w:space="0" w:color="auto"/>
              <w:right w:val="single" w:sz="4" w:space="0" w:color="auto"/>
            </w:tcBorders>
            <w:tcMar/>
          </w:tcPr>
          <w:p>
            <w:pPr>
              <w:pStyle w:val="style0"/>
              <w:jc w:val="center"/>
              <w:rPr/>
            </w:pPr>
            <w:r>
              <w:t>0.29</w:t>
            </w:r>
          </w:p>
        </w:tc>
      </w:tr>
      <w:tr>
        <w:tblPrEx/>
        <w:trPr>
          <w:trHeight w:val="479" w:hRule="atLeast"/>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1C</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7.9</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0-13</w:t>
            </w:r>
          </w:p>
        </w:tc>
        <w:tc>
          <w:tcPr>
            <w:tcW w:w="2268" w:type="dxa"/>
            <w:tcBorders>
              <w:top w:val="single" w:sz="4" w:space="0" w:color="auto"/>
              <w:left w:val="single" w:sz="4" w:space="0" w:color="auto"/>
              <w:bottom w:val="single" w:sz="4" w:space="0" w:color="auto"/>
              <w:right w:val="single" w:sz="4" w:space="0" w:color="auto"/>
            </w:tcBorders>
            <w:tcMar/>
          </w:tcPr>
          <w:p>
            <w:pPr>
              <w:pStyle w:val="style0"/>
              <w:jc w:val="center"/>
              <w:rPr/>
            </w:pPr>
            <w:r>
              <w:t>0.27</w:t>
            </w:r>
          </w:p>
        </w:tc>
      </w:tr>
      <w:tr>
        <w:tblPrEx/>
        <w:trPr>
          <w:trHeight w:val="491" w:hRule="atLeast"/>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1D</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8.1</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0-10</w:t>
            </w:r>
          </w:p>
        </w:tc>
        <w:tc>
          <w:tcPr>
            <w:tcW w:w="2268" w:type="dxa"/>
            <w:tcBorders>
              <w:top w:val="single" w:sz="4" w:space="0" w:color="auto"/>
              <w:left w:val="single" w:sz="4" w:space="0" w:color="auto"/>
              <w:bottom w:val="single" w:sz="4" w:space="0" w:color="auto"/>
              <w:right w:val="single" w:sz="4" w:space="0" w:color="auto"/>
            </w:tcBorders>
            <w:tcMar/>
          </w:tcPr>
          <w:p>
            <w:pPr>
              <w:pStyle w:val="style0"/>
              <w:jc w:val="center"/>
              <w:rPr/>
            </w:pPr>
            <w:r>
              <w:t>0.30</w:t>
            </w:r>
          </w:p>
        </w:tc>
      </w:tr>
      <w:tr>
        <w:tblPrEx/>
        <w:trPr>
          <w:trHeight w:val="491" w:hRule="atLeast"/>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2A</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8.0</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0-13</w:t>
            </w:r>
          </w:p>
        </w:tc>
        <w:tc>
          <w:tcPr>
            <w:tcW w:w="2268" w:type="dxa"/>
            <w:tcBorders>
              <w:top w:val="single" w:sz="4" w:space="0" w:color="auto"/>
              <w:left w:val="single" w:sz="4" w:space="0" w:color="auto"/>
              <w:bottom w:val="single" w:sz="4" w:space="0" w:color="auto"/>
              <w:right w:val="single" w:sz="4" w:space="0" w:color="auto"/>
            </w:tcBorders>
            <w:tcMar/>
          </w:tcPr>
          <w:p>
            <w:pPr>
              <w:pStyle w:val="style0"/>
              <w:jc w:val="center"/>
              <w:rPr/>
            </w:pPr>
            <w:r>
              <w:t>0.30</w:t>
            </w:r>
          </w:p>
        </w:tc>
      </w:tr>
      <w:tr>
        <w:tblPrEx/>
        <w:trPr>
          <w:trHeight w:val="491" w:hRule="atLeast"/>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2B</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8.1</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0-12</w:t>
            </w:r>
          </w:p>
        </w:tc>
        <w:tc>
          <w:tcPr>
            <w:tcW w:w="2268" w:type="dxa"/>
            <w:tcBorders>
              <w:top w:val="single" w:sz="4" w:space="0" w:color="auto"/>
              <w:left w:val="single" w:sz="4" w:space="0" w:color="auto"/>
              <w:bottom w:val="single" w:sz="4" w:space="0" w:color="auto"/>
              <w:right w:val="single" w:sz="4" w:space="0" w:color="auto"/>
            </w:tcBorders>
            <w:tcMar/>
          </w:tcPr>
          <w:p>
            <w:pPr>
              <w:pStyle w:val="style0"/>
              <w:jc w:val="center"/>
              <w:rPr/>
            </w:pPr>
            <w:r>
              <w:t>0.27</w:t>
            </w:r>
          </w:p>
        </w:tc>
      </w:tr>
      <w:tr>
        <w:tblPrEx/>
        <w:trPr>
          <w:trHeight w:val="479" w:hRule="atLeast"/>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2C</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8.2</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0-12</w:t>
            </w:r>
          </w:p>
        </w:tc>
        <w:tc>
          <w:tcPr>
            <w:tcW w:w="2268" w:type="dxa"/>
            <w:tcBorders>
              <w:top w:val="single" w:sz="4" w:space="0" w:color="auto"/>
              <w:left w:val="single" w:sz="4" w:space="0" w:color="auto"/>
              <w:bottom w:val="single" w:sz="4" w:space="0" w:color="auto"/>
              <w:right w:val="single" w:sz="4" w:space="0" w:color="auto"/>
            </w:tcBorders>
            <w:tcMar/>
          </w:tcPr>
          <w:p>
            <w:pPr>
              <w:pStyle w:val="style0"/>
              <w:jc w:val="center"/>
              <w:rPr/>
            </w:pPr>
            <w:r>
              <w:t>0.24</w:t>
            </w:r>
          </w:p>
        </w:tc>
      </w:tr>
      <w:tr>
        <w:tblPrEx/>
        <w:trPr>
          <w:trHeight w:val="491" w:hRule="atLeast"/>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2D</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8.2</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0.137</w:t>
            </w:r>
          </w:p>
        </w:tc>
        <w:tc>
          <w:tcPr>
            <w:tcW w:w="2268" w:type="dxa"/>
            <w:tcBorders>
              <w:top w:val="single" w:sz="4" w:space="0" w:color="auto"/>
              <w:left w:val="single" w:sz="4" w:space="0" w:color="auto"/>
              <w:bottom w:val="single" w:sz="4" w:space="0" w:color="auto"/>
              <w:right w:val="single" w:sz="4" w:space="0" w:color="auto"/>
            </w:tcBorders>
            <w:tcMar/>
          </w:tcPr>
          <w:p>
            <w:pPr>
              <w:pStyle w:val="style0"/>
              <w:jc w:val="center"/>
              <w:rPr/>
            </w:pPr>
            <w:r>
              <w:t>0.30</w:t>
            </w:r>
          </w:p>
        </w:tc>
      </w:tr>
      <w:tr>
        <w:tblPrEx/>
        <w:trPr>
          <w:trHeight w:val="491" w:hRule="atLeast"/>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3A</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8.0</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0-14</w:t>
            </w:r>
          </w:p>
        </w:tc>
        <w:tc>
          <w:tcPr>
            <w:tcW w:w="2268" w:type="dxa"/>
            <w:tcBorders>
              <w:top w:val="single" w:sz="4" w:space="0" w:color="auto"/>
              <w:left w:val="single" w:sz="4" w:space="0" w:color="auto"/>
              <w:bottom w:val="single" w:sz="4" w:space="0" w:color="auto"/>
              <w:right w:val="single" w:sz="4" w:space="0" w:color="auto"/>
            </w:tcBorders>
            <w:tcMar/>
          </w:tcPr>
          <w:p>
            <w:pPr>
              <w:pStyle w:val="style0"/>
              <w:jc w:val="center"/>
              <w:rPr/>
            </w:pPr>
            <w:r>
              <w:t>0.33</w:t>
            </w:r>
          </w:p>
        </w:tc>
      </w:tr>
      <w:tr>
        <w:tblPrEx/>
        <w:trPr>
          <w:trHeight w:val="491" w:hRule="atLeast"/>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3B</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8.1</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0-13</w:t>
            </w:r>
          </w:p>
        </w:tc>
        <w:tc>
          <w:tcPr>
            <w:tcW w:w="2268" w:type="dxa"/>
            <w:tcBorders>
              <w:top w:val="single" w:sz="4" w:space="0" w:color="auto"/>
              <w:left w:val="single" w:sz="4" w:space="0" w:color="auto"/>
              <w:bottom w:val="single" w:sz="4" w:space="0" w:color="auto"/>
              <w:right w:val="single" w:sz="4" w:space="0" w:color="auto"/>
            </w:tcBorders>
            <w:tcMar/>
          </w:tcPr>
          <w:p>
            <w:pPr>
              <w:pStyle w:val="style0"/>
              <w:jc w:val="center"/>
              <w:rPr/>
            </w:pPr>
            <w:r>
              <w:t>0.29</w:t>
            </w:r>
          </w:p>
        </w:tc>
      </w:tr>
      <w:tr>
        <w:tblPrEx/>
        <w:trPr>
          <w:trHeight w:val="479" w:hRule="atLeast"/>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3C</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8.1</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0-15</w:t>
            </w:r>
          </w:p>
        </w:tc>
        <w:tc>
          <w:tcPr>
            <w:tcW w:w="2268" w:type="dxa"/>
            <w:tcBorders>
              <w:top w:val="single" w:sz="4" w:space="0" w:color="auto"/>
              <w:left w:val="single" w:sz="4" w:space="0" w:color="auto"/>
              <w:bottom w:val="single" w:sz="4" w:space="0" w:color="auto"/>
              <w:right w:val="single" w:sz="4" w:space="0" w:color="auto"/>
            </w:tcBorders>
            <w:tcMar/>
          </w:tcPr>
          <w:p>
            <w:pPr>
              <w:pStyle w:val="style0"/>
              <w:jc w:val="center"/>
              <w:rPr/>
            </w:pPr>
            <w:r>
              <w:t>0.30</w:t>
            </w:r>
          </w:p>
        </w:tc>
      </w:tr>
      <w:tr>
        <w:tblPrEx/>
        <w:trPr>
          <w:trHeight w:val="491" w:hRule="atLeast"/>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3D</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8.2</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0.147</w:t>
            </w:r>
          </w:p>
        </w:tc>
        <w:tc>
          <w:tcPr>
            <w:tcW w:w="2268" w:type="dxa"/>
            <w:tcBorders>
              <w:top w:val="single" w:sz="4" w:space="0" w:color="auto"/>
              <w:left w:val="single" w:sz="4" w:space="0" w:color="auto"/>
              <w:bottom w:val="single" w:sz="4" w:space="0" w:color="auto"/>
              <w:right w:val="single" w:sz="4" w:space="0" w:color="auto"/>
            </w:tcBorders>
            <w:tcMar/>
          </w:tcPr>
          <w:p>
            <w:pPr>
              <w:pStyle w:val="style0"/>
              <w:jc w:val="center"/>
              <w:rPr/>
            </w:pPr>
            <w:r>
              <w:t>0.33</w:t>
            </w:r>
          </w:p>
        </w:tc>
      </w:tr>
      <w:tr>
        <w:tblPrEx/>
        <w:trPr>
          <w:trHeight w:val="491" w:hRule="atLeast"/>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4A</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7.9</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0-10</w:t>
            </w:r>
          </w:p>
        </w:tc>
        <w:tc>
          <w:tcPr>
            <w:tcW w:w="2268" w:type="dxa"/>
            <w:tcBorders>
              <w:top w:val="single" w:sz="4" w:space="0" w:color="auto"/>
              <w:left w:val="single" w:sz="4" w:space="0" w:color="auto"/>
              <w:bottom w:val="single" w:sz="4" w:space="0" w:color="auto"/>
              <w:right w:val="single" w:sz="4" w:space="0" w:color="auto"/>
            </w:tcBorders>
            <w:tcMar/>
          </w:tcPr>
          <w:p>
            <w:pPr>
              <w:pStyle w:val="style0"/>
              <w:jc w:val="center"/>
              <w:rPr/>
            </w:pPr>
            <w:r>
              <w:t>0.36</w:t>
            </w:r>
          </w:p>
        </w:tc>
      </w:tr>
      <w:tr>
        <w:tblPrEx/>
        <w:trPr>
          <w:trHeight w:val="491" w:hRule="atLeast"/>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4B</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7.8</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0-10</w:t>
            </w:r>
          </w:p>
        </w:tc>
        <w:tc>
          <w:tcPr>
            <w:tcW w:w="2268" w:type="dxa"/>
            <w:tcBorders>
              <w:top w:val="single" w:sz="4" w:space="0" w:color="auto"/>
              <w:left w:val="single" w:sz="4" w:space="0" w:color="auto"/>
              <w:bottom w:val="single" w:sz="4" w:space="0" w:color="auto"/>
              <w:right w:val="single" w:sz="4" w:space="0" w:color="auto"/>
            </w:tcBorders>
            <w:tcMar/>
          </w:tcPr>
          <w:p>
            <w:pPr>
              <w:pStyle w:val="style0"/>
              <w:jc w:val="center"/>
              <w:rPr/>
            </w:pPr>
            <w:r>
              <w:t>0.33</w:t>
            </w:r>
          </w:p>
        </w:tc>
      </w:tr>
      <w:tr>
        <w:tblPrEx/>
        <w:trPr>
          <w:trHeight w:val="479" w:hRule="atLeast"/>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4C</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7.9</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0-09</w:t>
            </w:r>
          </w:p>
        </w:tc>
        <w:tc>
          <w:tcPr>
            <w:tcW w:w="2268" w:type="dxa"/>
            <w:tcBorders>
              <w:top w:val="single" w:sz="4" w:space="0" w:color="auto"/>
              <w:left w:val="single" w:sz="4" w:space="0" w:color="auto"/>
              <w:bottom w:val="single" w:sz="4" w:space="0" w:color="auto"/>
              <w:right w:val="single" w:sz="4" w:space="0" w:color="auto"/>
            </w:tcBorders>
            <w:tcMar/>
          </w:tcPr>
          <w:p>
            <w:pPr>
              <w:pStyle w:val="style0"/>
              <w:jc w:val="center"/>
              <w:rPr/>
            </w:pPr>
            <w:r>
              <w:t>0.38</w:t>
            </w:r>
          </w:p>
        </w:tc>
      </w:tr>
      <w:tr>
        <w:tblPrEx/>
        <w:trPr>
          <w:trHeight w:val="503" w:hRule="atLeast"/>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4D</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7.8</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0-11</w:t>
            </w:r>
          </w:p>
        </w:tc>
        <w:tc>
          <w:tcPr>
            <w:tcW w:w="2268" w:type="dxa"/>
            <w:tcBorders>
              <w:top w:val="single" w:sz="4" w:space="0" w:color="auto"/>
              <w:left w:val="single" w:sz="4" w:space="0" w:color="auto"/>
              <w:bottom w:val="single" w:sz="4" w:space="0" w:color="auto"/>
              <w:right w:val="single" w:sz="4" w:space="0" w:color="auto"/>
            </w:tcBorders>
            <w:tcMar/>
          </w:tcPr>
          <w:p>
            <w:pPr>
              <w:pStyle w:val="style0"/>
              <w:jc w:val="center"/>
              <w:rPr/>
            </w:pPr>
            <w:r>
              <w:t>0.35</w:t>
            </w:r>
          </w:p>
        </w:tc>
      </w:tr>
    </w:tbl>
    <w:p>
      <w:pPr>
        <w:pStyle w:val="style179"/>
        <w:ind w:left="0"/>
        <w:jc w:val="both"/>
        <w:rPr>
          <w:b/>
          <w:bCs/>
        </w:rPr>
      </w:pPr>
    </w:p>
    <w:p>
      <w:pPr>
        <w:pStyle w:val="style179"/>
        <w:ind w:left="0"/>
        <w:jc w:val="both"/>
        <w:rPr>
          <w:b/>
          <w:bCs/>
        </w:rPr>
      </w:pPr>
    </w:p>
    <w:p>
      <w:pPr>
        <w:pStyle w:val="style179"/>
        <w:ind w:left="0"/>
        <w:jc w:val="both"/>
        <w:rPr>
          <w:b/>
          <w:bCs/>
        </w:rPr>
      </w:pPr>
    </w:p>
    <w:p>
      <w:pPr>
        <w:pStyle w:val="style179"/>
        <w:ind w:left="0"/>
        <w:jc w:val="both"/>
        <w:rPr>
          <w:b/>
          <w:bCs/>
        </w:rPr>
      </w:pPr>
    </w:p>
    <w:p>
      <w:pPr>
        <w:pStyle w:val="style179"/>
        <w:ind w:left="0"/>
        <w:jc w:val="both"/>
        <w:rPr>
          <w:b/>
          <w:bCs/>
        </w:rPr>
      </w:pPr>
    </w:p>
    <w:p>
      <w:pPr>
        <w:pStyle w:val="style179"/>
        <w:ind w:left="0"/>
        <w:jc w:val="both"/>
        <w:rPr>
          <w:b/>
          <w:bCs/>
        </w:rPr>
      </w:pPr>
    </w:p>
    <w:p>
      <w:pPr>
        <w:pStyle w:val="style179"/>
        <w:ind w:left="0"/>
        <w:jc w:val="both"/>
        <w:rPr>
          <w:b/>
          <w:bCs/>
        </w:rPr>
      </w:pPr>
    </w:p>
    <w:p>
      <w:pPr>
        <w:pStyle w:val="style179"/>
        <w:ind w:left="0"/>
        <w:jc w:val="both"/>
        <w:rPr>
          <w:b/>
          <w:bCs/>
        </w:rPr>
      </w:pPr>
    </w:p>
    <w:p>
      <w:pPr>
        <w:pStyle w:val="style179"/>
        <w:ind w:left="0"/>
        <w:jc w:val="both"/>
        <w:rPr>
          <w:b/>
          <w:bCs/>
        </w:rPr>
      </w:pPr>
      <w:r>
        <w:rPr>
          <w:b/>
          <w:bCs/>
        </w:rPr>
        <w:t>For site 1a 1b 1c and 4c</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40"/>
        <w:gridCol w:w="2340"/>
        <w:gridCol w:w="2340"/>
        <w:gridCol w:w="2340"/>
      </w:tblGrid>
      <w:tr>
        <w:trPr/>
        <w:tc>
          <w:tcPr>
            <w:tcW w:w="2340" w:type="dxa"/>
            <w:tcBorders>
              <w:top w:val="single" w:sz="4" w:space="0" w:color="auto"/>
              <w:left w:val="single" w:sz="4" w:space="0" w:color="auto"/>
              <w:bottom w:val="single" w:sz="4" w:space="0" w:color="auto"/>
              <w:right w:val="single" w:sz="4" w:space="0" w:color="auto"/>
            </w:tcBorders>
          </w:tcPr>
          <w:p>
            <w:pPr>
              <w:pStyle w:val="style179"/>
              <w:ind w:left="0"/>
              <w:jc w:val="both"/>
              <w:rPr>
                <w:b/>
                <w:bCs/>
              </w:rPr>
            </w:pPr>
            <w:r>
              <w:rPr>
                <w:b/>
                <w:bCs/>
              </w:rPr>
              <w:t xml:space="preserve">Parameters </w:t>
            </w:r>
          </w:p>
        </w:tc>
        <w:tc>
          <w:tcPr>
            <w:tcW w:w="2340" w:type="dxa"/>
            <w:tcBorders>
              <w:top w:val="single" w:sz="4" w:space="0" w:color="auto"/>
              <w:left w:val="single" w:sz="4" w:space="0" w:color="auto"/>
              <w:bottom w:val="single" w:sz="4" w:space="0" w:color="auto"/>
              <w:right w:val="single" w:sz="4" w:space="0" w:color="auto"/>
            </w:tcBorders>
          </w:tcPr>
          <w:p>
            <w:pPr>
              <w:pStyle w:val="style179"/>
              <w:ind w:left="0"/>
              <w:jc w:val="both"/>
              <w:rPr>
                <w:b/>
                <w:bCs/>
              </w:rPr>
            </w:pPr>
            <w:r>
              <w:rPr>
                <w:b/>
                <w:bCs/>
              </w:rPr>
              <w:t>Mean</w:t>
            </w:r>
          </w:p>
        </w:tc>
        <w:tc>
          <w:tcPr>
            <w:tcW w:w="2340" w:type="dxa"/>
            <w:tcBorders>
              <w:top w:val="single" w:sz="4" w:space="0" w:color="auto"/>
              <w:left w:val="single" w:sz="4" w:space="0" w:color="auto"/>
              <w:bottom w:val="single" w:sz="4" w:space="0" w:color="auto"/>
              <w:right w:val="single" w:sz="4" w:space="0" w:color="auto"/>
            </w:tcBorders>
          </w:tcPr>
          <w:p>
            <w:pPr>
              <w:pStyle w:val="style179"/>
              <w:ind w:left="0"/>
              <w:jc w:val="both"/>
              <w:rPr>
                <w:b/>
                <w:bCs/>
              </w:rPr>
            </w:pPr>
            <w:r>
              <w:rPr>
                <w:b/>
                <w:bCs/>
              </w:rPr>
              <w:t xml:space="preserve">Standard deviation </w:t>
            </w:r>
          </w:p>
        </w:tc>
        <w:tc>
          <w:tcPr>
            <w:tcW w:w="2340" w:type="dxa"/>
            <w:tcBorders>
              <w:top w:val="single" w:sz="4" w:space="0" w:color="auto"/>
              <w:left w:val="single" w:sz="4" w:space="0" w:color="auto"/>
              <w:bottom w:val="single" w:sz="4" w:space="0" w:color="auto"/>
              <w:right w:val="single" w:sz="4" w:space="0" w:color="auto"/>
            </w:tcBorders>
          </w:tcPr>
          <w:p>
            <w:pPr>
              <w:pStyle w:val="style179"/>
              <w:ind w:left="0"/>
              <w:jc w:val="both"/>
              <w:rPr>
                <w:b/>
                <w:bCs/>
              </w:rPr>
            </w:pPr>
            <w:r>
              <w:rPr>
                <w:b/>
                <w:bCs/>
              </w:rPr>
              <w:t>Error</w:t>
            </w:r>
          </w:p>
        </w:tc>
      </w:tr>
      <w:tr>
        <w:tblPrEx/>
        <w:trPr/>
        <w:tc>
          <w:tcPr>
            <w:tcW w:w="2340" w:type="dxa"/>
            <w:tcBorders>
              <w:top w:val="single" w:sz="4" w:space="0" w:color="auto"/>
              <w:left w:val="single" w:sz="4" w:space="0" w:color="auto"/>
              <w:bottom w:val="single" w:sz="4" w:space="0" w:color="auto"/>
              <w:right w:val="single" w:sz="4" w:space="0" w:color="auto"/>
            </w:tcBorders>
          </w:tcPr>
          <w:p>
            <w:pPr>
              <w:pStyle w:val="style179"/>
              <w:ind w:left="0"/>
              <w:jc w:val="both"/>
              <w:rPr>
                <w:b/>
                <w:bCs/>
              </w:rPr>
            </w:pPr>
            <w:r>
              <w:rPr>
                <w:b/>
                <w:bCs/>
              </w:rPr>
              <w:t>Soil Ph</w:t>
            </w:r>
          </w:p>
        </w:tc>
        <w:tc>
          <w:tcPr>
            <w:tcW w:w="2340" w:type="dxa"/>
            <w:tcBorders>
              <w:top w:val="single" w:sz="4" w:space="0" w:color="auto"/>
              <w:left w:val="single" w:sz="4" w:space="0" w:color="auto"/>
              <w:bottom w:val="single" w:sz="4" w:space="0" w:color="auto"/>
              <w:right w:val="single" w:sz="4" w:space="0" w:color="auto"/>
            </w:tcBorders>
          </w:tcPr>
          <w:p>
            <w:pPr>
              <w:pStyle w:val="style179"/>
              <w:ind w:left="0"/>
              <w:jc w:val="both"/>
              <w:rPr>
                <w:b/>
                <w:bCs/>
              </w:rPr>
            </w:pPr>
            <w:r>
              <w:rPr>
                <w:b/>
                <w:bCs/>
              </w:rPr>
              <w:t>8.0</w:t>
            </w:r>
          </w:p>
        </w:tc>
        <w:tc>
          <w:tcPr>
            <w:tcW w:w="2340" w:type="dxa"/>
            <w:tcBorders>
              <w:top w:val="single" w:sz="4" w:space="0" w:color="auto"/>
              <w:left w:val="single" w:sz="4" w:space="0" w:color="auto"/>
              <w:bottom w:val="single" w:sz="4" w:space="0" w:color="auto"/>
              <w:right w:val="single" w:sz="4" w:space="0" w:color="auto"/>
            </w:tcBorders>
          </w:tcPr>
          <w:p>
            <w:pPr>
              <w:pStyle w:val="style179"/>
              <w:ind w:left="0"/>
              <w:jc w:val="both"/>
              <w:rPr>
                <w:b/>
                <w:bCs/>
              </w:rPr>
            </w:pPr>
            <w:r>
              <w:rPr>
                <w:b/>
                <w:bCs/>
              </w:rPr>
              <w:t>0.07</w:t>
            </w:r>
          </w:p>
        </w:tc>
        <w:tc>
          <w:tcPr>
            <w:tcW w:w="2340" w:type="dxa"/>
            <w:tcBorders>
              <w:top w:val="single" w:sz="4" w:space="0" w:color="auto"/>
              <w:left w:val="single" w:sz="4" w:space="0" w:color="auto"/>
              <w:bottom w:val="single" w:sz="4" w:space="0" w:color="auto"/>
              <w:right w:val="single" w:sz="4" w:space="0" w:color="auto"/>
            </w:tcBorders>
          </w:tcPr>
          <w:p>
            <w:pPr>
              <w:pStyle w:val="style179"/>
              <w:ind w:left="0"/>
              <w:jc w:val="both"/>
              <w:rPr>
                <w:b/>
                <w:bCs/>
              </w:rPr>
            </w:pPr>
            <w:r>
              <w:rPr>
                <w:b/>
                <w:bCs/>
              </w:rPr>
              <w:t>0.035</w:t>
            </w:r>
          </w:p>
        </w:tc>
      </w:tr>
      <w:tr>
        <w:tblPrEx/>
        <w:trPr/>
        <w:tc>
          <w:tcPr>
            <w:tcW w:w="2340" w:type="dxa"/>
            <w:tcBorders>
              <w:top w:val="single" w:sz="4" w:space="0" w:color="auto"/>
              <w:left w:val="single" w:sz="4" w:space="0" w:color="auto"/>
              <w:bottom w:val="single" w:sz="4" w:space="0" w:color="auto"/>
              <w:right w:val="single" w:sz="4" w:space="0" w:color="auto"/>
            </w:tcBorders>
          </w:tcPr>
          <w:p>
            <w:pPr>
              <w:pStyle w:val="style179"/>
              <w:ind w:left="0"/>
              <w:jc w:val="both"/>
              <w:rPr>
                <w:b/>
                <w:bCs/>
              </w:rPr>
            </w:pPr>
            <w:r>
              <w:rPr>
                <w:b/>
                <w:bCs/>
              </w:rPr>
              <w:t xml:space="preserve">Electrical conductivity </w:t>
            </w:r>
          </w:p>
        </w:tc>
        <w:tc>
          <w:tcPr>
            <w:tcW w:w="2340" w:type="dxa"/>
            <w:tcBorders>
              <w:top w:val="single" w:sz="4" w:space="0" w:color="auto"/>
              <w:left w:val="single" w:sz="4" w:space="0" w:color="auto"/>
              <w:bottom w:val="single" w:sz="4" w:space="0" w:color="auto"/>
              <w:right w:val="single" w:sz="4" w:space="0" w:color="auto"/>
            </w:tcBorders>
          </w:tcPr>
          <w:p>
            <w:pPr>
              <w:pStyle w:val="style179"/>
              <w:ind w:left="0"/>
              <w:jc w:val="both"/>
              <w:rPr>
                <w:b/>
                <w:bCs/>
              </w:rPr>
            </w:pPr>
            <w:r>
              <w:rPr>
                <w:b/>
                <w:bCs/>
              </w:rPr>
              <w:t>0.12</w:t>
            </w:r>
          </w:p>
        </w:tc>
        <w:tc>
          <w:tcPr>
            <w:tcW w:w="2340" w:type="dxa"/>
            <w:tcBorders>
              <w:top w:val="single" w:sz="4" w:space="0" w:color="auto"/>
              <w:left w:val="single" w:sz="4" w:space="0" w:color="auto"/>
              <w:bottom w:val="single" w:sz="4" w:space="0" w:color="auto"/>
              <w:right w:val="single" w:sz="4" w:space="0" w:color="auto"/>
            </w:tcBorders>
          </w:tcPr>
          <w:p>
            <w:pPr>
              <w:pStyle w:val="style179"/>
              <w:ind w:left="0"/>
              <w:jc w:val="both"/>
              <w:rPr>
                <w:b/>
                <w:bCs/>
              </w:rPr>
            </w:pPr>
            <w:r>
              <w:rPr>
                <w:b/>
                <w:bCs/>
              </w:rPr>
              <w:t>0.034</w:t>
            </w:r>
          </w:p>
        </w:tc>
        <w:tc>
          <w:tcPr>
            <w:tcW w:w="2340" w:type="dxa"/>
            <w:tcBorders>
              <w:top w:val="single" w:sz="4" w:space="0" w:color="auto"/>
              <w:left w:val="single" w:sz="4" w:space="0" w:color="auto"/>
              <w:bottom w:val="single" w:sz="4" w:space="0" w:color="auto"/>
              <w:right w:val="single" w:sz="4" w:space="0" w:color="auto"/>
            </w:tcBorders>
          </w:tcPr>
          <w:p>
            <w:pPr>
              <w:pStyle w:val="style179"/>
              <w:ind w:left="0"/>
              <w:jc w:val="both"/>
              <w:rPr>
                <w:b/>
                <w:bCs/>
              </w:rPr>
            </w:pPr>
            <w:r>
              <w:rPr>
                <w:b/>
                <w:bCs/>
              </w:rPr>
              <w:t>0.017</w:t>
            </w:r>
          </w:p>
        </w:tc>
      </w:tr>
      <w:tr>
        <w:tblPrEx/>
        <w:trPr/>
        <w:tc>
          <w:tcPr>
            <w:tcW w:w="2340" w:type="dxa"/>
            <w:tcBorders>
              <w:top w:val="single" w:sz="4" w:space="0" w:color="auto"/>
              <w:left w:val="single" w:sz="4" w:space="0" w:color="auto"/>
              <w:bottom w:val="single" w:sz="4" w:space="0" w:color="auto"/>
              <w:right w:val="single" w:sz="4" w:space="0" w:color="auto"/>
            </w:tcBorders>
          </w:tcPr>
          <w:p>
            <w:pPr>
              <w:pStyle w:val="style179"/>
              <w:ind w:left="0"/>
              <w:jc w:val="both"/>
              <w:rPr>
                <w:b/>
                <w:bCs/>
              </w:rPr>
            </w:pPr>
            <w:r>
              <w:rPr>
                <w:b/>
                <w:bCs/>
              </w:rPr>
              <w:t xml:space="preserve">Organic Metter </w:t>
            </w:r>
          </w:p>
        </w:tc>
        <w:tc>
          <w:tcPr>
            <w:tcW w:w="2340" w:type="dxa"/>
            <w:tcBorders>
              <w:top w:val="single" w:sz="4" w:space="0" w:color="auto"/>
              <w:left w:val="single" w:sz="4" w:space="0" w:color="auto"/>
              <w:bottom w:val="single" w:sz="4" w:space="0" w:color="auto"/>
              <w:right w:val="single" w:sz="4" w:space="0" w:color="auto"/>
            </w:tcBorders>
          </w:tcPr>
          <w:p>
            <w:pPr>
              <w:pStyle w:val="style179"/>
              <w:ind w:left="0"/>
              <w:jc w:val="both"/>
              <w:rPr>
                <w:b/>
                <w:bCs/>
              </w:rPr>
            </w:pPr>
            <w:r>
              <w:rPr>
                <w:b/>
                <w:bCs/>
              </w:rPr>
              <w:t>0.295</w:t>
            </w:r>
          </w:p>
        </w:tc>
        <w:tc>
          <w:tcPr>
            <w:tcW w:w="2340" w:type="dxa"/>
            <w:tcBorders>
              <w:top w:val="single" w:sz="4" w:space="0" w:color="auto"/>
              <w:left w:val="single" w:sz="4" w:space="0" w:color="auto"/>
              <w:bottom w:val="single" w:sz="4" w:space="0" w:color="auto"/>
              <w:right w:val="single" w:sz="4" w:space="0" w:color="auto"/>
            </w:tcBorders>
          </w:tcPr>
          <w:p>
            <w:pPr>
              <w:pStyle w:val="style179"/>
              <w:ind w:left="0"/>
              <w:jc w:val="both"/>
              <w:rPr>
                <w:b/>
                <w:bCs/>
              </w:rPr>
            </w:pPr>
            <w:r>
              <w:rPr>
                <w:b/>
                <w:bCs/>
              </w:rPr>
              <w:t>0.018</w:t>
            </w:r>
          </w:p>
        </w:tc>
        <w:tc>
          <w:tcPr>
            <w:tcW w:w="2340" w:type="dxa"/>
            <w:tcBorders>
              <w:top w:val="single" w:sz="4" w:space="0" w:color="auto"/>
              <w:left w:val="single" w:sz="4" w:space="0" w:color="auto"/>
              <w:bottom w:val="single" w:sz="4" w:space="0" w:color="auto"/>
              <w:right w:val="single" w:sz="4" w:space="0" w:color="auto"/>
            </w:tcBorders>
          </w:tcPr>
          <w:p>
            <w:pPr>
              <w:pStyle w:val="style179"/>
              <w:ind w:left="0"/>
              <w:jc w:val="both"/>
              <w:rPr>
                <w:b/>
                <w:bCs/>
              </w:rPr>
            </w:pPr>
            <w:r>
              <w:rPr>
                <w:b/>
                <w:bCs/>
              </w:rPr>
              <w:t>0.009</w:t>
            </w:r>
          </w:p>
        </w:tc>
      </w:tr>
    </w:tbl>
    <w:p>
      <w:pPr>
        <w:pStyle w:val="style179"/>
        <w:ind w:left="0"/>
        <w:jc w:val="both"/>
        <w:rPr>
          <w:b/>
          <w:bCs/>
        </w:rPr>
      </w:pPr>
      <w:r>
        <w:rPr>
          <w:b/>
          <w:bCs/>
        </w:rPr>
        <w:t>For site 2a 2b 3c 4c</w:t>
      </w:r>
    </w:p>
    <w:tbl>
      <w:tblPr>
        <w:tblW w:w="0" w:type="auto"/>
        <w:tblLook w:val="04A0" w:firstRow="1" w:lastRow="0" w:firstColumn="1" w:lastColumn="0" w:noHBand="0" w:noVBand="1"/>
      </w:tblPr>
      <w:tblGrid>
        <w:gridCol w:w="2340"/>
        <w:gridCol w:w="2340"/>
        <w:gridCol w:w="2340"/>
        <w:gridCol w:w="2340"/>
      </w:tblGrid>
      <w:tr>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 xml:space="preserve">Parameters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Mean</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 xml:space="preserve">Standard deviation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Error</w:t>
            </w:r>
          </w:p>
        </w:tc>
      </w:tr>
      <w:tr>
        <w:tblPrEx/>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Soil Ph</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8.125</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0.0083</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0.0415</w:t>
            </w:r>
          </w:p>
        </w:tc>
      </w:tr>
      <w:tr>
        <w:tblPrEx/>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 xml:space="preserve">Electrical conductivity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0.12675</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0.0072</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0.0036</w:t>
            </w:r>
          </w:p>
        </w:tc>
      </w:tr>
      <w:tr>
        <w:tblPrEx/>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 xml:space="preserve">Organic Metter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0.2775</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0.0249</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0.0124</w:t>
            </w:r>
          </w:p>
        </w:tc>
      </w:tr>
    </w:tbl>
    <w:p>
      <w:pPr>
        <w:pStyle w:val="style179"/>
        <w:ind w:left="0"/>
        <w:jc w:val="both"/>
        <w:rPr>
          <w:b/>
          <w:bCs/>
        </w:rPr>
      </w:pPr>
      <w:r>
        <w:rPr>
          <w:b/>
          <w:bCs/>
        </w:rPr>
        <w:t>For site 3a 3b 3c 4c</w:t>
      </w:r>
    </w:p>
    <w:tbl>
      <w:tblPr>
        <w:tblW w:w="0" w:type="auto"/>
        <w:tblLook w:val="04A0" w:firstRow="1" w:lastRow="0" w:firstColumn="1" w:lastColumn="0" w:noHBand="0" w:noVBand="1"/>
      </w:tblPr>
      <w:tblGrid>
        <w:gridCol w:w="2340"/>
        <w:gridCol w:w="2340"/>
        <w:gridCol w:w="2340"/>
        <w:gridCol w:w="2340"/>
      </w:tblGrid>
      <w:tr>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 xml:space="preserve">Parameters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Mean</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 xml:space="preserve">Standard deviation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Error</w:t>
            </w:r>
          </w:p>
        </w:tc>
      </w:tr>
      <w:tr>
        <w:tblPrEx/>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Soil Ph</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8.1</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0.0707</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0.0354</w:t>
            </w:r>
          </w:p>
        </w:tc>
      </w:tr>
      <w:tr>
        <w:tblPrEx/>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 xml:space="preserve">Electrical conductivity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0.141</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0.0077</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0.00385</w:t>
            </w:r>
          </w:p>
        </w:tc>
      </w:tr>
      <w:tr>
        <w:tblPrEx/>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 xml:space="preserve">Organic Metter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0.3125</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0.0179</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0.00895</w:t>
            </w:r>
          </w:p>
        </w:tc>
      </w:tr>
    </w:tbl>
    <w:p>
      <w:pPr>
        <w:pStyle w:val="style179"/>
        <w:ind w:left="0"/>
        <w:jc w:val="both"/>
        <w:rPr>
          <w:b/>
          <w:bCs/>
        </w:rPr>
      </w:pPr>
      <w:r>
        <w:rPr>
          <w:b/>
          <w:bCs/>
        </w:rPr>
        <w:t>For site 4a 4b 4c and 4d</w:t>
      </w:r>
    </w:p>
    <w:tbl>
      <w:tblPr>
        <w:tblW w:w="0" w:type="auto"/>
        <w:tblLook w:val="04A0" w:firstRow="1" w:lastRow="0" w:firstColumn="1" w:lastColumn="0" w:noHBand="0" w:noVBand="1"/>
      </w:tblPr>
      <w:tblGrid>
        <w:gridCol w:w="2340"/>
        <w:gridCol w:w="2340"/>
        <w:gridCol w:w="2340"/>
        <w:gridCol w:w="2340"/>
      </w:tblGrid>
      <w:tr>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 xml:space="preserve">Parameters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Mean</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 xml:space="preserve">Standard deviation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Error</w:t>
            </w:r>
          </w:p>
        </w:tc>
      </w:tr>
      <w:tr>
        <w:tblPrEx/>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Soil Ph</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b/>
                <w:bCs/>
              </w:rPr>
              <w:t>7.85</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0.05</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0.025</w:t>
            </w:r>
          </w:p>
        </w:tc>
      </w:tr>
      <w:tr>
        <w:tblPrEx/>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 xml:space="preserve">Electrical conductivity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0.10</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0.0071</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0.0035</w:t>
            </w:r>
          </w:p>
        </w:tc>
      </w:tr>
      <w:tr>
        <w:tblPrEx/>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 xml:space="preserve">Organic Metter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0.355</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0.0218</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b/>
                <w:bCs/>
              </w:rPr>
            </w:pPr>
            <w:r>
              <w:rPr>
                <w:rFonts w:ascii="Times New Roman" w:hAnsi="Times New Roman"/>
                <w:b/>
                <w:bCs/>
              </w:rPr>
              <w:t>0.0109</w:t>
            </w:r>
          </w:p>
        </w:tc>
      </w:tr>
    </w:tbl>
    <w:p>
      <w:pPr>
        <w:pStyle w:val="style179"/>
        <w:ind w:left="0"/>
        <w:jc w:val="both"/>
        <w:rPr>
          <w:b/>
          <w:bCs/>
        </w:rPr>
      </w:pPr>
    </w:p>
    <w:p>
      <w:pPr>
        <w:pStyle w:val="style179"/>
        <w:ind w:left="0"/>
        <w:jc w:val="both"/>
        <w:rPr>
          <w:b/>
          <w:bCs/>
        </w:rPr>
      </w:pPr>
    </w:p>
    <w:p>
      <w:pPr>
        <w:pStyle w:val="style179"/>
        <w:ind w:left="0"/>
        <w:jc w:val="both"/>
        <w:rPr>
          <w:b/>
          <w:bCs/>
        </w:rPr>
      </w:pPr>
    </w:p>
    <w:p>
      <w:pPr>
        <w:pStyle w:val="style179"/>
        <w:ind w:left="0"/>
        <w:jc w:val="both"/>
        <w:rPr>
          <w:b/>
          <w:bCs/>
        </w:rPr>
      </w:pPr>
    </w:p>
    <w:p>
      <w:pPr>
        <w:pStyle w:val="style179"/>
        <w:ind w:left="0"/>
        <w:jc w:val="both"/>
        <w:rPr>
          <w:b/>
          <w:bCs/>
        </w:rPr>
      </w:pPr>
    </w:p>
    <w:p>
      <w:pPr>
        <w:pStyle w:val="style179"/>
        <w:ind w:left="0"/>
        <w:jc w:val="both"/>
        <w:rPr>
          <w:b/>
          <w:bCs/>
        </w:rPr>
      </w:pPr>
    </w:p>
    <w:p>
      <w:pPr>
        <w:pStyle w:val="style179"/>
        <w:ind w:left="0"/>
        <w:jc w:val="both"/>
        <w:rPr>
          <w:b/>
          <w:bCs/>
        </w:rPr>
      </w:pPr>
      <w:r>
        <w:rPr>
          <w:noProof/>
        </w:rPr>
        <w:drawing>
          <wp:anchor distT="0" distB="0" distL="0" distR="0" simplePos="false" relativeHeight="3" behindDoc="false" locked="false" layoutInCell="true" allowOverlap="true">
            <wp:simplePos x="0" y="0"/>
            <wp:positionH relativeFrom="page">
              <wp:posOffset>1082179</wp:posOffset>
            </wp:positionH>
            <wp:positionV relativeFrom="page">
              <wp:posOffset>1853967</wp:posOffset>
            </wp:positionV>
            <wp:extent cx="2399251" cy="2684145"/>
            <wp:effectExtent l="0" t="0" r="0" b="0"/>
            <wp:wrapNone/>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anchor>
        </w:drawing>
      </w:r>
      <w:r>
        <w:rPr>
          <w:noProof/>
        </w:rPr>
        <w:drawing>
          <wp:anchor distT="0" distB="0" distL="0" distR="0" simplePos="false" relativeHeight="4" behindDoc="false" locked="false" layoutInCell="true" allowOverlap="true">
            <wp:simplePos x="0" y="0"/>
            <wp:positionH relativeFrom="page">
              <wp:posOffset>3699545</wp:posOffset>
            </wp:positionH>
            <wp:positionV relativeFrom="page">
              <wp:posOffset>1853966</wp:posOffset>
            </wp:positionV>
            <wp:extent cx="2877185" cy="2617365"/>
            <wp:effectExtent l="0" t="0" r="0" b="0"/>
            <wp:wrapNone/>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anchor>
        </w:drawing>
      </w:r>
    </w:p>
    <w:p>
      <w:pPr>
        <w:pStyle w:val="style179"/>
        <w:ind w:left="0"/>
        <w:jc w:val="both"/>
        <w:rPr>
          <w:b/>
          <w:bCs/>
        </w:rPr>
      </w:pPr>
    </w:p>
    <w:p>
      <w:pPr>
        <w:pStyle w:val="style179"/>
        <w:ind w:left="0"/>
        <w:jc w:val="both"/>
        <w:rPr>
          <w:b/>
          <w:bCs/>
        </w:rPr>
      </w:pPr>
    </w:p>
    <w:p>
      <w:pPr>
        <w:pStyle w:val="style179"/>
        <w:ind w:left="0"/>
        <w:jc w:val="both"/>
        <w:rPr>
          <w:b/>
          <w:bCs/>
        </w:rPr>
      </w:pPr>
    </w:p>
    <w:p>
      <w:pPr>
        <w:pStyle w:val="style179"/>
        <w:ind w:left="0"/>
        <w:jc w:val="both"/>
        <w:rPr>
          <w:b/>
          <w:bCs/>
        </w:rPr>
      </w:pPr>
    </w:p>
    <w:p>
      <w:pPr>
        <w:pStyle w:val="style179"/>
        <w:ind w:left="0"/>
        <w:jc w:val="both"/>
        <w:rPr>
          <w:b/>
          <w:bCs/>
        </w:rPr>
      </w:pPr>
    </w:p>
    <w:p>
      <w:pPr>
        <w:pStyle w:val="style179"/>
        <w:ind w:left="0"/>
        <w:jc w:val="both"/>
        <w:rPr>
          <w:b/>
          <w:bCs/>
        </w:rPr>
      </w:pPr>
    </w:p>
    <w:p>
      <w:pPr>
        <w:pStyle w:val="style179"/>
        <w:ind w:left="0"/>
        <w:jc w:val="both"/>
        <w:rPr>
          <w:b/>
          <w:bCs/>
        </w:rPr>
      </w:pPr>
    </w:p>
    <w:p>
      <w:pPr>
        <w:pStyle w:val="style179"/>
        <w:ind w:left="0"/>
        <w:jc w:val="both"/>
        <w:rPr>
          <w:b/>
          <w:bCs/>
        </w:rPr>
      </w:pPr>
    </w:p>
    <w:p>
      <w:pPr>
        <w:pStyle w:val="style179"/>
        <w:ind w:left="0"/>
        <w:jc w:val="both"/>
        <w:rPr>
          <w:b/>
          <w:bCs/>
        </w:rPr>
      </w:pPr>
    </w:p>
    <w:p>
      <w:pPr>
        <w:pStyle w:val="style179"/>
        <w:ind w:left="0"/>
        <w:jc w:val="both"/>
        <w:rPr>
          <w:b/>
          <w:bCs/>
        </w:rPr>
      </w:pPr>
      <w:r>
        <w:rPr>
          <w:noProof/>
        </w:rPr>
        <w:drawing>
          <wp:anchor distT="0" distB="0" distL="0" distR="0" simplePos="false" relativeHeight="2" behindDoc="false" locked="false" layoutInCell="true" allowOverlap="true">
            <wp:simplePos x="0" y="0"/>
            <wp:positionH relativeFrom="page">
              <wp:posOffset>1576880</wp:posOffset>
            </wp:positionH>
            <wp:positionV relativeFrom="page">
              <wp:posOffset>4972964</wp:posOffset>
            </wp:positionV>
            <wp:extent cx="4277836" cy="2743197"/>
            <wp:effectExtent l="0" t="0" r="0" b="0"/>
            <wp:wrapNone/>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pStyle w:val="style179"/>
        <w:ind w:left="0"/>
        <w:jc w:val="both"/>
        <w:rPr>
          <w:b/>
          <w:bCs/>
        </w:rPr>
      </w:pPr>
    </w:p>
    <w:p>
      <w:pPr>
        <w:pStyle w:val="style179"/>
        <w:ind w:left="0"/>
        <w:jc w:val="both"/>
        <w:rPr>
          <w:b/>
          <w:bCs/>
        </w:rPr>
      </w:pPr>
    </w:p>
    <w:p>
      <w:pPr>
        <w:pStyle w:val="style179"/>
        <w:ind w:left="0"/>
        <w:jc w:val="both"/>
        <w:rPr>
          <w:b/>
          <w:bCs/>
        </w:rPr>
      </w:pPr>
    </w:p>
    <w:p>
      <w:pPr>
        <w:pStyle w:val="style179"/>
        <w:ind w:left="0"/>
        <w:jc w:val="both"/>
        <w:rPr>
          <w:b/>
          <w:bCs/>
        </w:rPr>
      </w:pPr>
    </w:p>
    <w:p>
      <w:pPr>
        <w:pStyle w:val="style179"/>
        <w:ind w:left="0"/>
        <w:jc w:val="both"/>
        <w:rPr>
          <w:b/>
          <w:bCs/>
        </w:rPr>
      </w:pPr>
    </w:p>
    <w:p>
      <w:pPr>
        <w:pStyle w:val="style179"/>
        <w:ind w:left="0"/>
        <w:jc w:val="both"/>
        <w:rPr>
          <w:b/>
          <w:bCs/>
        </w:rPr>
      </w:pPr>
    </w:p>
    <w:p>
      <w:pPr>
        <w:pStyle w:val="style179"/>
        <w:ind w:left="0"/>
        <w:jc w:val="both"/>
        <w:rPr>
          <w:b/>
          <w:bCs/>
        </w:rPr>
      </w:pPr>
    </w:p>
    <w:p>
      <w:pPr>
        <w:pStyle w:val="style179"/>
        <w:ind w:left="0"/>
        <w:jc w:val="both"/>
        <w:rPr>
          <w:b/>
          <w:bCs/>
        </w:rPr>
      </w:pPr>
    </w:p>
    <w:p>
      <w:pPr>
        <w:pStyle w:val="style179"/>
        <w:ind w:left="0"/>
        <w:jc w:val="both"/>
        <w:rPr>
          <w:b/>
          <w:bCs/>
        </w:rPr>
      </w:pPr>
    </w:p>
    <w:p>
      <w:pPr>
        <w:pStyle w:val="style179"/>
        <w:ind w:left="0"/>
        <w:jc w:val="both"/>
        <w:rPr>
          <w:b/>
          <w:bCs/>
        </w:rPr>
      </w:pPr>
    </w:p>
    <w:p>
      <w:pPr>
        <w:pStyle w:val="style179"/>
        <w:ind w:left="0"/>
        <w:jc w:val="both"/>
        <w:rPr>
          <w:b/>
          <w:bCs/>
        </w:rPr>
      </w:pPr>
    </w:p>
    <w:p>
      <w:pPr>
        <w:pStyle w:val="style179"/>
        <w:ind w:left="0"/>
        <w:jc w:val="both"/>
        <w:rPr>
          <w:b/>
          <w:bCs/>
        </w:rPr>
      </w:pPr>
    </w:p>
    <w:p>
      <w:pPr>
        <w:pStyle w:val="style179"/>
        <w:ind w:left="0"/>
        <w:jc w:val="both"/>
        <w:rPr>
          <w:b/>
          <w:bCs/>
        </w:rPr>
      </w:pPr>
      <w:r>
        <w:rPr>
          <w:b/>
          <w:bCs/>
        </w:rPr>
        <w:t xml:space="preserve">Macronutrient </w:t>
      </w:r>
      <w:r>
        <w:rPr>
          <w:b/>
          <w:bCs/>
        </w:rPr>
        <w:t>Status: -</w:t>
      </w:r>
    </w:p>
    <w:p>
      <w:pPr>
        <w:pStyle w:val="style179"/>
        <w:ind w:left="0"/>
        <w:jc w:val="both"/>
        <w:rPr/>
      </w:pPr>
      <w:r>
        <w:rPr>
          <w:b/>
          <w:bCs/>
        </w:rPr>
        <w:t xml:space="preserve">Organic </w:t>
      </w:r>
      <w:r>
        <w:rPr>
          <w:b/>
          <w:bCs/>
        </w:rPr>
        <w:t>Carbon</w:t>
      </w:r>
      <w:r>
        <w:t>: -</w:t>
      </w:r>
      <w:r>
        <w:t>Organic carbon content was determined using the Walkley-Black method, which involves oxidation of organic matter and titration with a standard solution. Organic carbon is vital for maintaining soil structure, water retention, and nutrient cycling. Organic carbon levels ranged from 0.24% to 0.38%, indicating moderate organic matter content. Organic carbon is vital for improving soil structure, water retention, and nutrient cycling. The Faculty Garden average (0.313%) could benefit from additional organic amendments to improve soil quality, while the Botanical Garden (0.355%) had the highest organic carbon content.</w:t>
      </w:r>
    </w:p>
    <w:p>
      <w:pPr>
        <w:pStyle w:val="style179"/>
        <w:ind w:left="0"/>
        <w:jc w:val="both"/>
        <w:rPr>
          <w:b/>
          <w:bCs/>
        </w:rPr>
      </w:pPr>
      <w:r>
        <w:rPr>
          <w:b/>
          <w:bCs/>
        </w:rPr>
        <w:t>Potassium (K</w:t>
      </w:r>
      <w:r>
        <w:rPr>
          <w:b/>
          <w:bCs/>
        </w:rPr>
        <w:t>): -</w:t>
      </w:r>
      <w:r>
        <w:rPr>
          <w:b/>
          <w:bCs/>
        </w:rPr>
        <w:t xml:space="preserve"> </w:t>
      </w:r>
      <w:r>
        <w:t xml:space="preserve">Potassium levels were measured using a flame photometer, mechanical shaker and pH meter </w:t>
      </w:r>
      <w:r>
        <w:t>mdetects</w:t>
      </w:r>
      <w:r>
        <w:t xml:space="preserve"> the concentration of potassium in the soil solution. Potassium content varied from 158 to 242mg/kg. Potassium is essential for water regulation, enzyme activation, and stress tolerance in </w:t>
      </w:r>
      <w:r>
        <w:t>plants.Potassium</w:t>
      </w:r>
      <w:r>
        <w:t xml:space="preserve"> is a vital nutrient in agriculture that supports overall plant health and productivity. It enhances crop quality by improving fruit size, color, and taste, and helps extend shelf life. Potassium also strengthens plant resistance to diseases and pests by reinforcing cell walls. It plays a key role in regulating water movement within plants, improving drought tolerance.</w:t>
      </w:r>
    </w:p>
    <w:p>
      <w:pPr>
        <w:pStyle w:val="style0"/>
        <w:jc w:val="both"/>
        <w:rPr>
          <w:rFonts w:ascii="Times New Roman" w:hAnsi="Times New Roman"/>
          <w:b/>
          <w:bCs/>
        </w:rPr>
      </w:pPr>
      <w:r>
        <w:rPr>
          <w:rFonts w:ascii="Times New Roman" w:hAnsi="Times New Roman"/>
          <w:b/>
          <w:bCs/>
        </w:rPr>
        <w:t>Phosphorus (P</w:t>
      </w:r>
      <w:r>
        <w:rPr>
          <w:rFonts w:ascii="Times New Roman" w:hAnsi="Times New Roman"/>
          <w:b/>
          <w:bCs/>
        </w:rPr>
        <w:t>): -</w:t>
      </w:r>
      <w:r>
        <w:rPr>
          <w:rFonts w:ascii="Times New Roman" w:hAnsi="Times New Roman"/>
        </w:rPr>
        <w:t xml:space="preserve">Phosphorus plays a critical role in agriculture, primarily because it is an essential nutrient for plant </w:t>
      </w:r>
      <w:r>
        <w:rPr>
          <w:rFonts w:ascii="Times New Roman" w:hAnsi="Times New Roman"/>
        </w:rPr>
        <w:t>growth.Phosphorus</w:t>
      </w:r>
      <w:r>
        <w:rPr>
          <w:rFonts w:ascii="Times New Roman" w:hAnsi="Times New Roman"/>
        </w:rPr>
        <w:t xml:space="preserve"> is a key component of ATP (adenosine triphosphate), which is the primary energy carrier in plants. ATP is required for nearly all cellular processes, including growth, photosynthesis, and nutrient </w:t>
      </w:r>
      <w:r>
        <w:rPr>
          <w:rFonts w:ascii="Times New Roman" w:hAnsi="Times New Roman"/>
        </w:rPr>
        <w:t>uptake.Phosphorus</w:t>
      </w:r>
      <w:r>
        <w:rPr>
          <w:rFonts w:ascii="Times New Roman" w:hAnsi="Times New Roman"/>
        </w:rPr>
        <w:t xml:space="preserve"> deficiency in plants can result in several growth issues, including stunted development, poor root formation, and yellowing of older leaves, particularly at the tips and edges. </w:t>
      </w:r>
    </w:p>
    <w:p>
      <w:pPr>
        <w:pStyle w:val="style0"/>
        <w:jc w:val="both"/>
        <w:rPr>
          <w:rFonts w:ascii="Times New Roman" w:hAnsi="Times New Roman"/>
        </w:rPr>
      </w:pPr>
      <w:r>
        <w:rPr>
          <w:rFonts w:ascii="Times New Roman" w:hAnsi="Times New Roman"/>
          <w:b/>
          <w:bCs/>
        </w:rPr>
        <w:t>Sulphur: -</w:t>
      </w:r>
      <w:r>
        <w:rPr>
          <w:rFonts w:ascii="Times New Roman" w:hAnsi="Times New Roman"/>
        </w:rPr>
        <w:t>Sulfur is</w:t>
      </w:r>
      <w:r>
        <w:rPr>
          <w:rFonts w:ascii="Times New Roman" w:hAnsi="Times New Roman"/>
        </w:rPr>
        <w:t xml:space="preserve"> an essential element for plants, animals, and </w:t>
      </w:r>
      <w:r>
        <w:rPr>
          <w:rFonts w:ascii="Times New Roman" w:hAnsi="Times New Roman"/>
        </w:rPr>
        <w:t>microorganisms,important</w:t>
      </w:r>
      <w:r>
        <w:rPr>
          <w:rFonts w:ascii="Times New Roman" w:hAnsi="Times New Roman"/>
        </w:rPr>
        <w:t xml:space="preserve"> roles in </w:t>
      </w:r>
      <w:r>
        <w:rPr>
          <w:rFonts w:ascii="Times New Roman" w:hAnsi="Times New Roman"/>
        </w:rPr>
        <w:t>agriculture.Plants</w:t>
      </w:r>
      <w:r>
        <w:rPr>
          <w:rFonts w:ascii="Times New Roman" w:hAnsi="Times New Roman"/>
        </w:rPr>
        <w:t xml:space="preserve"> use sulfur to synthesize essential amino acids (like cysteine and methionine) and proteins, as well as vitamins (such as biotin and thiamine</w:t>
      </w:r>
      <w:r>
        <w:rPr>
          <w:rFonts w:ascii="Times New Roman" w:hAnsi="Times New Roman"/>
        </w:rPr>
        <w:t>). Sulfur</w:t>
      </w:r>
      <w:r>
        <w:rPr>
          <w:rFonts w:ascii="Times New Roman" w:hAnsi="Times New Roman"/>
        </w:rPr>
        <w:t xml:space="preserve"> has natural fungicidal and pesticidal properties. It is often used in agricultural settings to control fungal diseases like powdery mildew and other plant pathogens.</w:t>
      </w:r>
    </w:p>
    <w:p>
      <w:pPr>
        <w:pStyle w:val="style0"/>
        <w:jc w:val="both"/>
        <w:rPr>
          <w:rFonts w:ascii="Times New Roman" w:hAnsi="Times New Roman"/>
          <w:b/>
          <w:bCs/>
        </w:rPr>
      </w:pPr>
    </w:p>
    <w:p>
      <w:pPr>
        <w:pStyle w:val="style0"/>
        <w:jc w:val="both"/>
        <w:rPr>
          <w:rFonts w:ascii="Times New Roman" w:hAnsi="Times New Roman"/>
          <w:b/>
          <w:bCs/>
        </w:rPr>
      </w:pPr>
      <w:r>
        <w:rPr>
          <w:rFonts w:ascii="Times New Roman" w:hAnsi="Times New Roman"/>
          <w:b/>
          <w:bCs/>
        </w:rPr>
        <w:t>Table: -</w:t>
      </w:r>
      <w:r>
        <w:rPr>
          <w:rFonts w:ascii="Times New Roman" w:hAnsi="Times New Roman"/>
          <w:b/>
          <w:bCs/>
        </w:rPr>
        <w:t xml:space="preserve">2 Assessment of primary nutrients in soil of Career Point University </w:t>
      </w:r>
      <w:r>
        <w:rPr>
          <w:rFonts w:ascii="Times New Roman" w:hAnsi="Times New Roman"/>
          <w:b/>
          <w:bCs/>
        </w:rPr>
        <w:t>kota</w:t>
      </w:r>
    </w:p>
    <w:tbl>
      <w:tblPr>
        <w:tblW w:w="9493" w:type="dxa"/>
        <w:tblLook w:val="04A0" w:firstRow="1" w:lastRow="0" w:firstColumn="1" w:lastColumn="0" w:noHBand="0" w:noVBand="1"/>
      </w:tblPr>
      <w:tblGrid>
        <w:gridCol w:w="2547"/>
        <w:gridCol w:w="2126"/>
        <w:gridCol w:w="2126"/>
        <w:gridCol w:w="2694"/>
      </w:tblGrid>
      <w:tr>
        <w:trPr>
          <w:trHeight w:val="767" w:hRule="atLeast"/>
        </w:trPr>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b/>
                <w:bCs/>
              </w:rPr>
              <w:t>Site name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b/>
                <w:bCs/>
              </w:rPr>
              <w:t>Potassium (K)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b/>
                <w:bCs/>
              </w:rPr>
              <w:t>phosphorus</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b/>
                <w:bCs/>
              </w:rPr>
              <w:t>Sulphur</w:t>
            </w:r>
          </w:p>
        </w:tc>
      </w:tr>
      <w:tr>
        <w:tblPrEx/>
        <w:trPr>
          <w:trHeight w:val="491" w:hRule="atLeast"/>
        </w:trPr>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1A</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181</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43</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42.6</w:t>
            </w:r>
          </w:p>
        </w:tc>
      </w:tr>
      <w:tr>
        <w:tblPrEx/>
        <w:trPr>
          <w:trHeight w:val="491" w:hRule="atLeast"/>
        </w:trPr>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1B</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196</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45</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27.0</w:t>
            </w:r>
          </w:p>
        </w:tc>
      </w:tr>
      <w:tr>
        <w:tblPrEx/>
        <w:trPr>
          <w:trHeight w:val="479" w:hRule="atLeast"/>
        </w:trPr>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1C</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205</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32</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26.25</w:t>
            </w:r>
          </w:p>
        </w:tc>
      </w:tr>
      <w:tr>
        <w:tblPrEx/>
        <w:trPr>
          <w:trHeight w:val="491" w:hRule="atLeast"/>
        </w:trPr>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1D</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158</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54</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22.5</w:t>
            </w:r>
          </w:p>
        </w:tc>
      </w:tr>
      <w:tr>
        <w:tblPrEx/>
        <w:trPr>
          <w:trHeight w:val="491" w:hRule="atLeast"/>
        </w:trPr>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2A</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202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44</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22.0</w:t>
            </w:r>
          </w:p>
        </w:tc>
      </w:tr>
      <w:tr>
        <w:tblPrEx/>
        <w:trPr>
          <w:trHeight w:val="491" w:hRule="atLeast"/>
        </w:trPr>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2B</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210</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45</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22.5</w:t>
            </w:r>
          </w:p>
        </w:tc>
      </w:tr>
      <w:tr>
        <w:tblPrEx/>
        <w:trPr>
          <w:trHeight w:val="479" w:hRule="atLeast"/>
        </w:trPr>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2C</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214</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22</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24.75</w:t>
            </w:r>
          </w:p>
        </w:tc>
      </w:tr>
      <w:tr>
        <w:tblPrEx/>
        <w:trPr>
          <w:trHeight w:val="491" w:hRule="atLeast"/>
        </w:trPr>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2D</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242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30</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26.25</w:t>
            </w:r>
          </w:p>
        </w:tc>
      </w:tr>
      <w:tr>
        <w:tblPrEx/>
        <w:trPr>
          <w:trHeight w:val="491" w:hRule="atLeast"/>
        </w:trPr>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3A</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201</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35</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37.65</w:t>
            </w:r>
          </w:p>
        </w:tc>
      </w:tr>
      <w:tr>
        <w:tblPrEx/>
        <w:trPr>
          <w:trHeight w:val="491" w:hRule="atLeast"/>
        </w:trPr>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3B</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220</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50</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33.6</w:t>
            </w:r>
          </w:p>
        </w:tc>
      </w:tr>
      <w:tr>
        <w:tblPrEx/>
        <w:trPr>
          <w:trHeight w:val="479" w:hRule="atLeast"/>
        </w:trPr>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3C</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194</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22</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34.2</w:t>
            </w:r>
          </w:p>
        </w:tc>
      </w:tr>
      <w:tr>
        <w:tblPrEx/>
        <w:trPr>
          <w:trHeight w:val="491" w:hRule="atLeast"/>
        </w:trPr>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3D</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179</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35</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28.05</w:t>
            </w:r>
          </w:p>
        </w:tc>
      </w:tr>
      <w:tr>
        <w:tblPrEx/>
        <w:trPr>
          <w:trHeight w:val="491" w:hRule="atLeast"/>
        </w:trPr>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4A</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196</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34</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34.5</w:t>
            </w:r>
          </w:p>
        </w:tc>
      </w:tr>
      <w:tr>
        <w:tblPrEx/>
        <w:trPr>
          <w:trHeight w:val="479" w:hRule="atLeast"/>
        </w:trPr>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4B</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180</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45</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35.55</w:t>
            </w:r>
          </w:p>
        </w:tc>
      </w:tr>
      <w:tr>
        <w:tblPrEx/>
        <w:trPr/>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4C</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223</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50</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36.3</w:t>
            </w:r>
          </w:p>
        </w:tc>
      </w:tr>
      <w:tr>
        <w:tblPrEx/>
        <w:trPr>
          <w:trHeight w:val="503" w:hRule="atLeast"/>
        </w:trPr>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4D</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192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22</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b/>
                <w:bCs/>
              </w:rPr>
            </w:pPr>
            <w:r>
              <w:rPr>
                <w:rFonts w:ascii="Times New Roman" w:hAnsi="Times New Roman"/>
              </w:rPr>
              <w:t>34.5</w:t>
            </w:r>
          </w:p>
        </w:tc>
      </w:tr>
    </w:tbl>
    <w:p>
      <w:pPr>
        <w:pStyle w:val="style0"/>
        <w:jc w:val="both"/>
        <w:rPr>
          <w:rFonts w:ascii="Times New Roman" w:hAnsi="Times New Roman"/>
          <w:b/>
          <w:bCs/>
        </w:rPr>
      </w:pPr>
      <w:r>
        <w:rPr>
          <w:rFonts w:ascii="Times New Roman" w:hAnsi="Times New Roman"/>
          <w:b/>
          <w:bCs/>
        </w:rPr>
        <w:t>For site 1a 1b 1c and 4c</w:t>
      </w:r>
    </w:p>
    <w:tbl>
      <w:tblPr>
        <w:tblW w:w="9493" w:type="dxa"/>
        <w:tblLook w:val="04A0" w:firstRow="1" w:lastRow="0" w:firstColumn="1" w:lastColumn="0" w:noHBand="0" w:noVBand="1"/>
      </w:tblPr>
      <w:tblGrid>
        <w:gridCol w:w="2338"/>
        <w:gridCol w:w="2337"/>
        <w:gridCol w:w="2338"/>
        <w:gridCol w:w="2480"/>
      </w:tblGrid>
      <w:tr>
        <w:trPr/>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 xml:space="preserve">Parameters </w:t>
            </w:r>
          </w:p>
        </w:tc>
        <w:tc>
          <w:tcPr>
            <w:tcW w:w="2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Mean</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 xml:space="preserve">Standard deviation </w:t>
            </w:r>
          </w:p>
        </w:tc>
        <w:tc>
          <w:tcPr>
            <w:tcW w:w="2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Error</w:t>
            </w:r>
          </w:p>
        </w:tc>
      </w:tr>
      <w:tr>
        <w:tblPrEx/>
        <w:trPr/>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 xml:space="preserve">Potassium </w:t>
            </w:r>
          </w:p>
        </w:tc>
        <w:tc>
          <w:tcPr>
            <w:tcW w:w="2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185</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18.93</w:t>
            </w:r>
          </w:p>
        </w:tc>
        <w:tc>
          <w:tcPr>
            <w:tcW w:w="2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9.47</w:t>
            </w:r>
          </w:p>
        </w:tc>
      </w:tr>
      <w:tr>
        <w:tblPrEx/>
        <w:trPr/>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 xml:space="preserve">Phosphorus </w:t>
            </w:r>
          </w:p>
        </w:tc>
        <w:tc>
          <w:tcPr>
            <w:tcW w:w="2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43.5</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8.77</w:t>
            </w:r>
          </w:p>
        </w:tc>
        <w:tc>
          <w:tcPr>
            <w:tcW w:w="2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4.39</w:t>
            </w:r>
          </w:p>
        </w:tc>
      </w:tr>
      <w:tr>
        <w:tblPrEx/>
        <w:trPr/>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 xml:space="preserve">Sulphur </w:t>
            </w:r>
          </w:p>
        </w:tc>
        <w:tc>
          <w:tcPr>
            <w:tcW w:w="2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29.34</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8.55</w:t>
            </w:r>
          </w:p>
        </w:tc>
        <w:tc>
          <w:tcPr>
            <w:tcW w:w="2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4.28</w:t>
            </w:r>
          </w:p>
        </w:tc>
      </w:tr>
    </w:tbl>
    <w:p>
      <w:pPr>
        <w:pStyle w:val="style0"/>
        <w:jc w:val="both"/>
        <w:rPr>
          <w:rFonts w:ascii="Times New Roman" w:hAnsi="Times New Roman"/>
          <w:b/>
          <w:bCs/>
        </w:rPr>
      </w:pPr>
      <w:r>
        <w:rPr>
          <w:rFonts w:ascii="Times New Roman" w:hAnsi="Times New Roman"/>
          <w:b/>
          <w:bCs/>
        </w:rPr>
        <w:t>For site 2a 2b 2c and 2d</w:t>
      </w:r>
    </w:p>
    <w:tbl>
      <w:tblPr>
        <w:tblW w:w="9493" w:type="dxa"/>
        <w:tblLook w:val="04A0" w:firstRow="1" w:lastRow="0" w:firstColumn="1" w:lastColumn="0" w:noHBand="0" w:noVBand="1"/>
      </w:tblPr>
      <w:tblGrid>
        <w:gridCol w:w="2338"/>
        <w:gridCol w:w="2337"/>
        <w:gridCol w:w="2338"/>
        <w:gridCol w:w="2480"/>
      </w:tblGrid>
      <w:tr>
        <w:trPr/>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 xml:space="preserve">Parameters </w:t>
            </w:r>
          </w:p>
        </w:tc>
        <w:tc>
          <w:tcPr>
            <w:tcW w:w="2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Mean</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 xml:space="preserve">Standard deviation </w:t>
            </w:r>
          </w:p>
        </w:tc>
        <w:tc>
          <w:tcPr>
            <w:tcW w:w="2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Error</w:t>
            </w:r>
          </w:p>
        </w:tc>
      </w:tr>
      <w:tr>
        <w:tblPrEx/>
        <w:trPr/>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 xml:space="preserve">Potassium </w:t>
            </w:r>
          </w:p>
        </w:tc>
        <w:tc>
          <w:tcPr>
            <w:tcW w:w="2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204.5</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8.99</w:t>
            </w:r>
          </w:p>
        </w:tc>
        <w:tc>
          <w:tcPr>
            <w:tcW w:w="2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4.50</w:t>
            </w:r>
          </w:p>
        </w:tc>
      </w:tr>
      <w:tr>
        <w:tblPrEx/>
        <w:trPr/>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 xml:space="preserve">Phosphorus </w:t>
            </w:r>
          </w:p>
        </w:tc>
        <w:tc>
          <w:tcPr>
            <w:tcW w:w="2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33.25</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10.11</w:t>
            </w:r>
          </w:p>
        </w:tc>
        <w:tc>
          <w:tcPr>
            <w:tcW w:w="2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5.06</w:t>
            </w:r>
          </w:p>
        </w:tc>
      </w:tr>
      <w:tr>
        <w:tblPrEx/>
        <w:trPr/>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 xml:space="preserve">Sulphur </w:t>
            </w:r>
          </w:p>
        </w:tc>
        <w:tc>
          <w:tcPr>
            <w:tcW w:w="2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26.69</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5.97</w:t>
            </w:r>
          </w:p>
        </w:tc>
        <w:tc>
          <w:tcPr>
            <w:tcW w:w="2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2.98</w:t>
            </w:r>
          </w:p>
        </w:tc>
      </w:tr>
    </w:tbl>
    <w:p>
      <w:pPr>
        <w:pStyle w:val="style0"/>
        <w:jc w:val="both"/>
        <w:rPr>
          <w:rFonts w:ascii="Times New Roman" w:hAnsi="Times New Roman"/>
          <w:b/>
          <w:bCs/>
        </w:rPr>
      </w:pPr>
      <w:r>
        <w:rPr>
          <w:rFonts w:ascii="Times New Roman" w:hAnsi="Times New Roman"/>
          <w:b/>
          <w:bCs/>
        </w:rPr>
        <w:t>For site 3a 3b 3c and 3d</w:t>
      </w:r>
    </w:p>
    <w:tbl>
      <w:tblPr>
        <w:tblW w:w="9493" w:type="dxa"/>
        <w:tblLook w:val="04A0" w:firstRow="1" w:lastRow="0" w:firstColumn="1" w:lastColumn="0" w:noHBand="0" w:noVBand="1"/>
      </w:tblPr>
      <w:tblGrid>
        <w:gridCol w:w="2338"/>
        <w:gridCol w:w="2337"/>
        <w:gridCol w:w="2338"/>
        <w:gridCol w:w="2480"/>
      </w:tblGrid>
      <w:tr>
        <w:trPr/>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 xml:space="preserve">Parameters </w:t>
            </w:r>
          </w:p>
        </w:tc>
        <w:tc>
          <w:tcPr>
            <w:tcW w:w="2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Mean</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 xml:space="preserve">Standard deviation </w:t>
            </w:r>
          </w:p>
        </w:tc>
        <w:tc>
          <w:tcPr>
            <w:tcW w:w="2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Error</w:t>
            </w:r>
          </w:p>
        </w:tc>
      </w:tr>
      <w:tr>
        <w:tblPrEx/>
        <w:trPr/>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 xml:space="preserve">Potassium </w:t>
            </w:r>
          </w:p>
        </w:tc>
        <w:tc>
          <w:tcPr>
            <w:tcW w:w="2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209.5</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14.20</w:t>
            </w:r>
          </w:p>
        </w:tc>
        <w:tc>
          <w:tcPr>
            <w:tcW w:w="2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7.10</w:t>
            </w:r>
          </w:p>
        </w:tc>
      </w:tr>
      <w:tr>
        <w:tblPrEx/>
        <w:trPr/>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 xml:space="preserve">Phosphorus </w:t>
            </w:r>
          </w:p>
        </w:tc>
        <w:tc>
          <w:tcPr>
            <w:tcW w:w="2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39.25</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13.50</w:t>
            </w:r>
          </w:p>
        </w:tc>
        <w:tc>
          <w:tcPr>
            <w:tcW w:w="2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6.75</w:t>
            </w:r>
          </w:p>
        </w:tc>
      </w:tr>
      <w:tr>
        <w:tblPrEx/>
        <w:trPr/>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 xml:space="preserve">Sulphur </w:t>
            </w:r>
          </w:p>
        </w:tc>
        <w:tc>
          <w:tcPr>
            <w:tcW w:w="2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35.44</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1.88</w:t>
            </w:r>
          </w:p>
        </w:tc>
        <w:tc>
          <w:tcPr>
            <w:tcW w:w="2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0.94</w:t>
            </w:r>
          </w:p>
        </w:tc>
      </w:tr>
    </w:tbl>
    <w:p>
      <w:pPr>
        <w:pStyle w:val="style0"/>
        <w:jc w:val="both"/>
        <w:rPr>
          <w:rFonts w:ascii="Times New Roman" w:hAnsi="Times New Roman"/>
          <w:b/>
          <w:bCs/>
        </w:rPr>
      </w:pPr>
      <w:r>
        <w:rPr>
          <w:rFonts w:ascii="Times New Roman" w:hAnsi="Times New Roman"/>
          <w:b/>
          <w:bCs/>
        </w:rPr>
        <w:t>For site 4a 4b 4c and 4d</w:t>
      </w:r>
    </w:p>
    <w:tbl>
      <w:tblPr>
        <w:tblW w:w="0" w:type="auto"/>
        <w:tblLook w:val="04A0" w:firstRow="1" w:lastRow="0" w:firstColumn="1" w:lastColumn="0" w:noHBand="0" w:noVBand="1"/>
      </w:tblPr>
      <w:tblGrid>
        <w:gridCol w:w="2340"/>
        <w:gridCol w:w="2340"/>
        <w:gridCol w:w="2340"/>
        <w:gridCol w:w="2340"/>
      </w:tblGrid>
      <w:tr>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 xml:space="preserve">Parameters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Mean</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 xml:space="preserve">Standard deviation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Error</w:t>
            </w:r>
          </w:p>
        </w:tc>
      </w:tr>
      <w:tr>
        <w:tblPrEx/>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 xml:space="preserve">Potassium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197.45</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18.15</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9.08</w:t>
            </w:r>
          </w:p>
        </w:tc>
      </w:tr>
      <w:tr>
        <w:tblPrEx/>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 xml:space="preserve">Phosphorus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37.75</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12.45</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6.22</w:t>
            </w:r>
          </w:p>
        </w:tc>
      </w:tr>
      <w:tr>
        <w:tblPrEx/>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 xml:space="preserve">Sulphur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35.21</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0.88</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hAnsi="Times New Roman"/>
                <w:b/>
                <w:bCs/>
              </w:rPr>
            </w:pPr>
            <w:r>
              <w:rPr>
                <w:rFonts w:ascii="Times New Roman" w:hAnsi="Times New Roman"/>
                <w:b/>
                <w:bCs/>
              </w:rPr>
              <w:t>0.44</w:t>
            </w:r>
          </w:p>
        </w:tc>
      </w:tr>
    </w:tbl>
    <w:p>
      <w:pPr>
        <w:pStyle w:val="style0"/>
        <w:jc w:val="both"/>
        <w:rPr>
          <w:rFonts w:ascii="Times New Roman" w:hAnsi="Times New Roman"/>
          <w:b/>
          <w:bCs/>
        </w:rPr>
      </w:pPr>
    </w:p>
    <w:p>
      <w:pPr>
        <w:pStyle w:val="style0"/>
        <w:jc w:val="both"/>
        <w:rPr>
          <w:rFonts w:ascii="Times New Roman" w:hAnsi="Times New Roman"/>
          <w:b/>
          <w:bCs/>
        </w:rPr>
      </w:pPr>
      <w:r>
        <w:rPr>
          <w:noProof/>
        </w:rPr>
        <w:drawing>
          <wp:anchor distT="0" distB="0" distL="0" distR="0" simplePos="false" relativeHeight="5" behindDoc="false" locked="false" layoutInCell="true" allowOverlap="true">
            <wp:simplePos x="0" y="0"/>
            <wp:positionH relativeFrom="page">
              <wp:posOffset>1305962</wp:posOffset>
            </wp:positionH>
            <wp:positionV relativeFrom="margin">
              <wp:posOffset>2374085</wp:posOffset>
            </wp:positionV>
            <wp:extent cx="4890449" cy="2743198"/>
            <wp:effectExtent l="0" t="0" r="0" b="0"/>
            <wp:wrapNone/>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pStyle w:val="style0"/>
        <w:jc w:val="both"/>
        <w:rPr>
          <w:rFonts w:ascii="Times New Roman" w:hAnsi="Times New Roman"/>
          <w:b/>
          <w:bCs/>
        </w:rPr>
      </w:pPr>
    </w:p>
    <w:p>
      <w:pPr>
        <w:pStyle w:val="style0"/>
        <w:jc w:val="both"/>
        <w:rPr>
          <w:rFonts w:ascii="Times New Roman" w:hAnsi="Times New Roman"/>
          <w:b/>
          <w:bCs/>
        </w:rPr>
      </w:pPr>
      <w:r>
        <w:rPr>
          <w:noProof/>
        </w:rPr>
        <w:drawing>
          <wp:anchor distT="0" distB="0" distL="0" distR="0" simplePos="false" relativeHeight="7" behindDoc="false" locked="false" layoutInCell="true" allowOverlap="true">
            <wp:simplePos x="0" y="0"/>
            <wp:positionH relativeFrom="page">
              <wp:posOffset>4295163</wp:posOffset>
            </wp:positionH>
            <wp:positionV relativeFrom="page">
              <wp:posOffset>6191076</wp:posOffset>
            </wp:positionV>
            <wp:extent cx="2222499" cy="2541864"/>
            <wp:effectExtent l="0" t="0" r="0" b="0"/>
            <wp:wrapNone/>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noProof/>
        </w:rPr>
        <w:drawing>
          <wp:anchor distT="0" distB="0" distL="0" distR="0" simplePos="false" relativeHeight="6" behindDoc="false" locked="false" layoutInCell="true" allowOverlap="true">
            <wp:simplePos x="0" y="0"/>
            <wp:positionH relativeFrom="page">
              <wp:posOffset>1098958</wp:posOffset>
            </wp:positionH>
            <wp:positionV relativeFrom="page">
              <wp:posOffset>6191075</wp:posOffset>
            </wp:positionV>
            <wp:extent cx="2508308" cy="2561590"/>
            <wp:effectExtent l="0" t="0" r="0" b="0"/>
            <wp:wrapNone/>
            <wp:docPr id="103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style0"/>
        <w:jc w:val="both"/>
        <w:rPr>
          <w:rFonts w:ascii="Times New Roman" w:hAnsi="Times New Roman"/>
          <w:b/>
          <w:bCs/>
        </w:rPr>
      </w:pPr>
    </w:p>
    <w:p>
      <w:pPr>
        <w:pStyle w:val="style0"/>
        <w:jc w:val="both"/>
        <w:rPr>
          <w:rFonts w:ascii="Times New Roman" w:hAnsi="Times New Roman"/>
          <w:b/>
          <w:bCs/>
        </w:rPr>
      </w:pPr>
    </w:p>
    <w:p>
      <w:pPr>
        <w:pStyle w:val="style0"/>
        <w:jc w:val="both"/>
        <w:rPr>
          <w:rFonts w:ascii="Times New Roman" w:hAnsi="Times New Roman"/>
          <w:b/>
          <w:bCs/>
        </w:rPr>
      </w:pPr>
    </w:p>
    <w:p>
      <w:pPr>
        <w:pStyle w:val="style0"/>
        <w:jc w:val="both"/>
        <w:rPr>
          <w:rFonts w:ascii="Times New Roman" w:hAnsi="Times New Roman"/>
          <w:b/>
          <w:bCs/>
        </w:rPr>
      </w:pPr>
    </w:p>
    <w:p>
      <w:pPr>
        <w:pStyle w:val="style0"/>
        <w:jc w:val="both"/>
        <w:rPr>
          <w:rFonts w:ascii="Times New Roman" w:hAnsi="Times New Roman"/>
          <w:b/>
          <w:bCs/>
        </w:rPr>
      </w:pPr>
    </w:p>
    <w:p>
      <w:pPr>
        <w:pStyle w:val="style0"/>
        <w:jc w:val="both"/>
        <w:rPr>
          <w:rFonts w:ascii="Times New Roman" w:hAnsi="Times New Roman"/>
          <w:b/>
          <w:bCs/>
        </w:rPr>
      </w:pPr>
    </w:p>
    <w:p>
      <w:pPr>
        <w:pStyle w:val="style0"/>
        <w:jc w:val="both"/>
        <w:rPr>
          <w:rFonts w:ascii="Times New Roman" w:hAnsi="Times New Roman"/>
          <w:b/>
          <w:bCs/>
        </w:rPr>
      </w:pPr>
    </w:p>
    <w:p>
      <w:pPr>
        <w:pStyle w:val="style0"/>
        <w:jc w:val="both"/>
        <w:rPr>
          <w:rFonts w:ascii="Times New Roman" w:hAnsi="Times New Roman"/>
          <w:b/>
          <w:bCs/>
        </w:rPr>
      </w:pPr>
    </w:p>
    <w:p>
      <w:pPr>
        <w:pStyle w:val="style0"/>
        <w:jc w:val="both"/>
        <w:rPr>
          <w:rFonts w:ascii="Times New Roman" w:hAnsi="Times New Roman"/>
          <w:b/>
          <w:bCs/>
        </w:rPr>
      </w:pPr>
    </w:p>
    <w:p>
      <w:pPr>
        <w:pStyle w:val="style0"/>
        <w:jc w:val="both"/>
        <w:rPr>
          <w:rFonts w:ascii="Times New Roman" w:hAnsi="Times New Roman"/>
          <w:b/>
          <w:bCs/>
        </w:rPr>
      </w:pPr>
    </w:p>
    <w:p>
      <w:pPr>
        <w:pStyle w:val="style0"/>
        <w:jc w:val="both"/>
        <w:rPr>
          <w:rFonts w:ascii="Times New Roman" w:hAnsi="Times New Roman"/>
          <w:b/>
          <w:bCs/>
        </w:rPr>
      </w:pPr>
    </w:p>
    <w:p>
      <w:pPr>
        <w:pStyle w:val="style0"/>
        <w:jc w:val="both"/>
        <w:rPr>
          <w:rFonts w:ascii="Times New Roman" w:hAnsi="Times New Roman"/>
          <w:b/>
          <w:bCs/>
        </w:rPr>
      </w:pPr>
    </w:p>
    <w:p>
      <w:pPr>
        <w:pStyle w:val="style0"/>
        <w:jc w:val="both"/>
        <w:rPr>
          <w:rFonts w:ascii="Times New Roman" w:hAnsi="Times New Roman"/>
          <w:b/>
          <w:bCs/>
        </w:rPr>
      </w:pPr>
    </w:p>
    <w:p>
      <w:pPr>
        <w:pStyle w:val="style0"/>
        <w:jc w:val="both"/>
        <w:rPr>
          <w:rFonts w:ascii="Times New Roman" w:hAnsi="Times New Roman"/>
          <w:b/>
          <w:bCs/>
        </w:rPr>
      </w:pPr>
    </w:p>
    <w:p>
      <w:pPr>
        <w:pStyle w:val="style0"/>
        <w:jc w:val="both"/>
        <w:rPr>
          <w:rFonts w:ascii="Times New Roman" w:hAnsi="Times New Roman"/>
          <w:b/>
          <w:bCs/>
        </w:rPr>
      </w:pPr>
    </w:p>
    <w:p>
      <w:pPr>
        <w:pStyle w:val="style0"/>
        <w:jc w:val="both"/>
        <w:rPr>
          <w:rFonts w:ascii="Times New Roman" w:hAnsi="Times New Roman"/>
          <w:b/>
          <w:bCs/>
        </w:rPr>
      </w:pPr>
    </w:p>
    <w:p>
      <w:pPr>
        <w:pStyle w:val="style0"/>
        <w:jc w:val="both"/>
        <w:rPr>
          <w:rFonts w:ascii="Times New Roman" w:hAnsi="Times New Roman"/>
          <w:b/>
          <w:bCs/>
        </w:rPr>
      </w:pPr>
    </w:p>
    <w:p>
      <w:pPr>
        <w:pStyle w:val="style0"/>
        <w:jc w:val="both"/>
        <w:rPr>
          <w:rFonts w:ascii="Times New Roman" w:hAnsi="Times New Roman"/>
          <w:b/>
          <w:bCs/>
        </w:rPr>
      </w:pPr>
    </w:p>
    <w:p>
      <w:pPr>
        <w:pStyle w:val="style0"/>
        <w:jc w:val="both"/>
        <w:rPr>
          <w:rFonts w:ascii="Times New Roman" w:hAnsi="Times New Roman"/>
          <w:b/>
          <w:bCs/>
        </w:rPr>
      </w:pPr>
    </w:p>
    <w:p>
      <w:pPr>
        <w:pStyle w:val="style0"/>
        <w:jc w:val="both"/>
        <w:rPr>
          <w:rFonts w:ascii="Times New Roman" w:hAnsi="Times New Roman"/>
          <w:b/>
          <w:bCs/>
        </w:rPr>
      </w:pPr>
      <w:r>
        <w:rPr>
          <w:rFonts w:ascii="Times New Roman" w:hAnsi="Times New Roman"/>
          <w:b/>
          <w:bCs/>
        </w:rPr>
        <w:t>Micronutrients: -</w:t>
      </w:r>
      <w:r>
        <w:rPr>
          <w:rFonts w:ascii="Times New Roman" w:hAnsi="Times New Roman"/>
        </w:rPr>
        <w:t xml:space="preserve">Micronutrients, though required in small amounts, are essential for healthy plant growth and development in agriculture. These nutrients include iron (Fe), zinc (Zn), manganese (Mn), and copper (Cu), Each plays a specific role in plant physiological functions such as enzyme activation, photosynthesis, hormone regulation, and nutrient transport. </w:t>
      </w:r>
    </w:p>
    <w:p>
      <w:pPr>
        <w:pStyle w:val="style0"/>
        <w:jc w:val="both"/>
        <w:rPr>
          <w:rFonts w:ascii="Times New Roman" w:hAnsi="Times New Roman"/>
          <w:b/>
          <w:bCs/>
        </w:rPr>
      </w:pPr>
      <w:r>
        <w:rPr>
          <w:rFonts w:ascii="Times New Roman" w:hAnsi="Times New Roman"/>
          <w:b/>
          <w:bCs/>
        </w:rPr>
        <w:t>Zinc (Zn</w:t>
      </w:r>
      <w:r>
        <w:rPr>
          <w:rFonts w:ascii="Times New Roman" w:hAnsi="Times New Roman"/>
          <w:b/>
          <w:bCs/>
        </w:rPr>
        <w:t>): -</w:t>
      </w:r>
      <w:r>
        <w:rPr>
          <w:rFonts w:ascii="Times New Roman" w:hAnsi="Times New Roman"/>
          <w:b/>
          <w:bCs/>
        </w:rPr>
        <w:t xml:space="preserve"> </w:t>
      </w:r>
      <w:r>
        <w:rPr>
          <w:rFonts w:ascii="Times New Roman" w:hAnsi="Times New Roman"/>
        </w:rPr>
        <w:t>Zinc plays a critical role in enzyme activation, protein synthesis, and the regulation of growth processes. One of zinc’s most important functions is its involvement in the formation of auxins, which are key plant hormones that control cell elongation and division, directly influencing plant structure and growth.  Zinc deficiency is more common in high pH, sandy, or phosphorus-rich soils where zinc availability is limited.</w:t>
      </w:r>
    </w:p>
    <w:p>
      <w:pPr>
        <w:pStyle w:val="style0"/>
        <w:jc w:val="both"/>
        <w:rPr>
          <w:rFonts w:ascii="Times New Roman" w:hAnsi="Times New Roman"/>
          <w:b/>
          <w:bCs/>
        </w:rPr>
      </w:pPr>
      <w:r>
        <w:rPr>
          <w:rFonts w:ascii="Times New Roman" w:hAnsi="Times New Roman"/>
          <w:b/>
          <w:bCs/>
        </w:rPr>
        <w:t>Copper (Cu</w:t>
      </w:r>
      <w:r>
        <w:rPr>
          <w:rFonts w:ascii="Times New Roman" w:hAnsi="Times New Roman"/>
          <w:b/>
          <w:bCs/>
        </w:rPr>
        <w:t>): -</w:t>
      </w:r>
      <w:r>
        <w:rPr>
          <w:rFonts w:ascii="Times New Roman" w:hAnsi="Times New Roman"/>
        </w:rPr>
        <w:t xml:space="preserve">Copper is necessary for lignin synthesis. Lignin is important for strengthening cell walls, providing structural support, and increasing disease resistance. Copper is also crucial for reproductive development, contributing to pollen viability and seed formation. </w:t>
      </w:r>
    </w:p>
    <w:p>
      <w:pPr>
        <w:pStyle w:val="style0"/>
        <w:jc w:val="both"/>
        <w:rPr>
          <w:rFonts w:ascii="Times New Roman" w:hAnsi="Times New Roman"/>
          <w:b/>
          <w:bCs/>
        </w:rPr>
      </w:pPr>
      <w:r>
        <w:rPr>
          <w:rFonts w:ascii="Times New Roman" w:hAnsi="Times New Roman"/>
          <w:b/>
          <w:bCs/>
        </w:rPr>
        <w:t>Iron (Fe</w:t>
      </w:r>
      <w:r>
        <w:rPr>
          <w:rFonts w:ascii="Times New Roman" w:hAnsi="Times New Roman"/>
          <w:b/>
          <w:bCs/>
        </w:rPr>
        <w:t>): -</w:t>
      </w:r>
      <w:r>
        <w:rPr>
          <w:rFonts w:ascii="Times New Roman" w:hAnsi="Times New Roman"/>
        </w:rPr>
        <w:t xml:space="preserve"> Iron plays a central role in the synthesis of </w:t>
      </w:r>
      <w:r>
        <w:rPr>
          <w:rFonts w:ascii="Times New Roman" w:hAnsi="Times New Roman"/>
        </w:rPr>
        <w:t>chlorophyll. Iron</w:t>
      </w:r>
      <w:r>
        <w:rPr>
          <w:rFonts w:ascii="Times New Roman" w:hAnsi="Times New Roman"/>
        </w:rPr>
        <w:t xml:space="preserve"> is also vital for electron transport in both photosynthesis and </w:t>
      </w:r>
      <w:r>
        <w:rPr>
          <w:rFonts w:ascii="Times New Roman" w:hAnsi="Times New Roman"/>
        </w:rPr>
        <w:t>respiration.Additionally</w:t>
      </w:r>
      <w:r>
        <w:rPr>
          <w:rFonts w:ascii="Times New Roman" w:hAnsi="Times New Roman"/>
        </w:rPr>
        <w:t>, iron is important for nitrogen fixation, particularly in leguminous plants, where it supports the activity of nitrogenase enzymes in root nodules. Iron deficiency commonly appears as interveinal chlorosis, where young leaves turn yellow while the veins remain green.</w:t>
      </w:r>
    </w:p>
    <w:p>
      <w:pPr>
        <w:pStyle w:val="style0"/>
        <w:jc w:val="both"/>
        <w:rPr>
          <w:rFonts w:ascii="Times New Roman" w:hAnsi="Times New Roman"/>
        </w:rPr>
      </w:pPr>
      <w:r>
        <w:rPr>
          <w:rFonts w:ascii="Times New Roman" w:hAnsi="Times New Roman"/>
          <w:b/>
          <w:bCs/>
        </w:rPr>
        <w:t>Manganese (Mn</w:t>
      </w:r>
      <w:r>
        <w:rPr>
          <w:rFonts w:ascii="Times New Roman" w:hAnsi="Times New Roman"/>
          <w:b/>
          <w:bCs/>
        </w:rPr>
        <w:t>): -</w:t>
      </w:r>
      <w:r>
        <w:rPr>
          <w:rFonts w:ascii="Times New Roman" w:hAnsi="Times New Roman"/>
        </w:rPr>
        <w:t xml:space="preserve">Manganese is heavily involved in enzyme activation, particularly those related to photosynthesis, respiration, and nitrogen metabolism. One of manganese’s key roles is in the oxygen-evolving complex of photosystem II, where it participates in water splitting and oxygen production during photosynthesis. </w:t>
      </w:r>
    </w:p>
    <w:p>
      <w:pPr>
        <w:pStyle w:val="style0"/>
        <w:jc w:val="both"/>
        <w:rPr>
          <w:rFonts w:ascii="Times New Roman" w:hAnsi="Times New Roman"/>
        </w:rPr>
      </w:pPr>
    </w:p>
    <w:p>
      <w:pPr>
        <w:pStyle w:val="style0"/>
        <w:jc w:val="both"/>
        <w:rPr>
          <w:rFonts w:ascii="Times New Roman" w:hAnsi="Times New Roman"/>
          <w:b/>
          <w:bCs/>
        </w:rPr>
      </w:pPr>
    </w:p>
    <w:p>
      <w:pPr>
        <w:pStyle w:val="style0"/>
        <w:jc w:val="both"/>
        <w:rPr>
          <w:rFonts w:ascii="Times New Roman" w:hAnsi="Times New Roman"/>
          <w:b/>
          <w:bCs/>
        </w:rPr>
      </w:pPr>
      <w:r>
        <w:rPr>
          <w:rFonts w:ascii="Times New Roman" w:hAnsi="Times New Roman"/>
          <w:b/>
          <w:bCs/>
        </w:rPr>
        <w:t>Table: -</w:t>
      </w:r>
      <w:r>
        <w:rPr>
          <w:rFonts w:ascii="Times New Roman" w:hAnsi="Times New Roman"/>
          <w:b/>
          <w:bCs/>
        </w:rPr>
        <w:t xml:space="preserve">3 Assessment of micronutrient in soil from CARRER POINT UNIVERSITY CAMPUS KOTA </w:t>
      </w:r>
    </w:p>
    <w:tbl>
      <w:tblPr>
        <w:tblW w:w="0" w:type="auto"/>
        <w:tblLook w:val="04A0" w:firstRow="1" w:lastRow="0" w:firstColumn="1" w:lastColumn="0" w:noHBand="0" w:noVBand="1"/>
      </w:tblPr>
      <w:tblGrid>
        <w:gridCol w:w="1823"/>
        <w:gridCol w:w="1885"/>
        <w:gridCol w:w="1885"/>
        <w:gridCol w:w="1885"/>
        <w:gridCol w:w="1885"/>
      </w:tblGrid>
      <w:tr>
        <w:trPr/>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Site name</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Zn Micronutrient</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Fe Micronutrient</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Cu Micronutrient</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Mn Micronutrient</w:t>
            </w:r>
          </w:p>
        </w:tc>
      </w:tr>
      <w:tr>
        <w:tblPrEx/>
        <w:trPr/>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1A</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0.50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4.34</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0.40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2.80</w:t>
            </w:r>
          </w:p>
        </w:tc>
      </w:tr>
      <w:tr>
        <w:tblPrEx/>
        <w:trPr/>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1B</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0.60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4.40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0.48</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2.50</w:t>
            </w:r>
          </w:p>
        </w:tc>
      </w:tr>
      <w:tr>
        <w:tblPrEx/>
        <w:trPr/>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1C</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0.62</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4.48</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0.20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2.60</w:t>
            </w:r>
          </w:p>
        </w:tc>
      </w:tr>
      <w:tr>
        <w:tblPrEx/>
        <w:trPr/>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1D</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0.84</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3.80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0.24</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2.64</w:t>
            </w:r>
          </w:p>
        </w:tc>
      </w:tr>
      <w:tr>
        <w:tblPrEx/>
        <w:trPr/>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2A</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0.38</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3.84</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0.38</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2.80</w:t>
            </w:r>
          </w:p>
        </w:tc>
      </w:tr>
      <w:tr>
        <w:tblPrEx/>
        <w:trPr/>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2B</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0.60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4.08</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0.40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2.90</w:t>
            </w:r>
          </w:p>
        </w:tc>
      </w:tr>
      <w:tr>
        <w:tblPrEx/>
        <w:trPr/>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2C</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0.74</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4.10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0.48</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3.80</w:t>
            </w:r>
          </w:p>
        </w:tc>
      </w:tr>
      <w:tr>
        <w:tblPrEx/>
        <w:trPr/>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2D</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0.40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4.20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0.20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3.00</w:t>
            </w:r>
          </w:p>
        </w:tc>
      </w:tr>
      <w:tr>
        <w:tblPrEx/>
        <w:trPr/>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3A</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0.50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4.30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0.24</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3.44</w:t>
            </w:r>
          </w:p>
        </w:tc>
      </w:tr>
      <w:tr>
        <w:tblPrEx/>
        <w:trPr/>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3B</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0.56</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4.38</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0.48</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2.30</w:t>
            </w:r>
          </w:p>
        </w:tc>
      </w:tr>
      <w:tr>
        <w:tblPrEx/>
        <w:trPr/>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3C</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0.44</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4.80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0.38</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2.50</w:t>
            </w:r>
          </w:p>
        </w:tc>
      </w:tr>
      <w:tr>
        <w:tblPrEx/>
        <w:trPr/>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3D</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0.44</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4.30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0.40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2.52</w:t>
            </w:r>
          </w:p>
        </w:tc>
      </w:tr>
      <w:tr>
        <w:tblPrEx/>
        <w:trPr/>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4A</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0.38</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4.38</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0.48</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2.34</w:t>
            </w:r>
          </w:p>
        </w:tc>
      </w:tr>
      <w:tr>
        <w:tblPrEx/>
        <w:trPr/>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4B</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0.30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4.40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0.38</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2.30</w:t>
            </w:r>
          </w:p>
        </w:tc>
      </w:tr>
      <w:tr>
        <w:tblPrEx/>
        <w:trPr/>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4C</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0.34</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4.48</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0.40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2.34</w:t>
            </w:r>
          </w:p>
        </w:tc>
      </w:tr>
      <w:tr>
        <w:tblPrEx/>
        <w:trPr/>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4D</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0.40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4.50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0.48</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center"/>
              <w:rPr>
                <w:rFonts w:ascii="Times New Roman" w:hAnsi="Times New Roman"/>
              </w:rPr>
            </w:pPr>
            <w:r>
              <w:rPr>
                <w:rFonts w:ascii="Times New Roman" w:hAnsi="Times New Roman"/>
              </w:rPr>
              <w:t>3.00</w:t>
            </w:r>
          </w:p>
        </w:tc>
      </w:tr>
    </w:tbl>
    <w:p>
      <w:pPr>
        <w:pStyle w:val="style0"/>
        <w:jc w:val="both"/>
        <w:rPr/>
      </w:pPr>
      <w:r>
        <w:rPr>
          <w:rFonts w:ascii="Times New Roman" w:hAnsi="Times New Roman"/>
          <w:b/>
          <w:bCs/>
        </w:rPr>
        <w:t>For site 1a 1b 1c and 4c</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40"/>
        <w:gridCol w:w="2340"/>
        <w:gridCol w:w="2340"/>
        <w:gridCol w:w="2340"/>
      </w:tblGrid>
      <w:tr>
        <w:trPr/>
        <w:tc>
          <w:tcPr>
            <w:tcW w:w="2340" w:type="dxa"/>
            <w:tcBorders>
              <w:top w:val="single" w:sz="4" w:space="0" w:color="auto"/>
              <w:left w:val="single" w:sz="4" w:space="0" w:color="auto"/>
              <w:bottom w:val="single" w:sz="4" w:space="0" w:color="auto"/>
              <w:right w:val="single" w:sz="4" w:space="0" w:color="auto"/>
            </w:tcBorders>
          </w:tcPr>
          <w:p>
            <w:pPr>
              <w:pStyle w:val="style0"/>
              <w:jc w:val="both"/>
              <w:rPr/>
            </w:pPr>
            <w:r>
              <w:t xml:space="preserve">Parameters </w:t>
            </w:r>
          </w:p>
        </w:tc>
        <w:tc>
          <w:tcPr>
            <w:tcW w:w="2340" w:type="dxa"/>
            <w:tcBorders>
              <w:top w:val="single" w:sz="4" w:space="0" w:color="auto"/>
              <w:left w:val="single" w:sz="4" w:space="0" w:color="auto"/>
              <w:bottom w:val="single" w:sz="4" w:space="0" w:color="auto"/>
              <w:right w:val="single" w:sz="4" w:space="0" w:color="auto"/>
            </w:tcBorders>
          </w:tcPr>
          <w:p>
            <w:pPr>
              <w:pStyle w:val="style0"/>
              <w:jc w:val="both"/>
              <w:rPr/>
            </w:pPr>
            <w:r>
              <w:t xml:space="preserve">Mean </w:t>
            </w:r>
          </w:p>
        </w:tc>
        <w:tc>
          <w:tcPr>
            <w:tcW w:w="2340" w:type="dxa"/>
            <w:tcBorders>
              <w:top w:val="single" w:sz="4" w:space="0" w:color="auto"/>
              <w:left w:val="single" w:sz="4" w:space="0" w:color="auto"/>
              <w:bottom w:val="single" w:sz="4" w:space="0" w:color="auto"/>
              <w:right w:val="single" w:sz="4" w:space="0" w:color="auto"/>
            </w:tcBorders>
          </w:tcPr>
          <w:p>
            <w:pPr>
              <w:pStyle w:val="style0"/>
              <w:jc w:val="both"/>
              <w:rPr/>
            </w:pPr>
            <w:r>
              <w:t xml:space="preserve">Standard deviation </w:t>
            </w:r>
          </w:p>
        </w:tc>
        <w:tc>
          <w:tcPr>
            <w:tcW w:w="2340" w:type="dxa"/>
            <w:tcBorders>
              <w:top w:val="single" w:sz="4" w:space="0" w:color="auto"/>
              <w:left w:val="single" w:sz="4" w:space="0" w:color="auto"/>
              <w:bottom w:val="single" w:sz="4" w:space="0" w:color="auto"/>
              <w:right w:val="single" w:sz="4" w:space="0" w:color="auto"/>
            </w:tcBorders>
          </w:tcPr>
          <w:p>
            <w:pPr>
              <w:pStyle w:val="style0"/>
              <w:jc w:val="both"/>
              <w:rPr/>
            </w:pPr>
            <w:r>
              <w:t>Standard Error</w:t>
            </w:r>
            <w:r>
              <w:t xml:space="preserve"> </w:t>
            </w:r>
          </w:p>
        </w:tc>
      </w:tr>
      <w:tr>
        <w:tblPrEx/>
        <w:trPr/>
        <w:tc>
          <w:tcPr>
            <w:tcW w:w="2340" w:type="dxa"/>
            <w:tcBorders>
              <w:top w:val="single" w:sz="4" w:space="0" w:color="auto"/>
              <w:left w:val="single" w:sz="4" w:space="0" w:color="auto"/>
              <w:bottom w:val="single" w:sz="4" w:space="0" w:color="auto"/>
              <w:right w:val="single" w:sz="4" w:space="0" w:color="auto"/>
            </w:tcBorders>
          </w:tcPr>
          <w:p>
            <w:pPr>
              <w:pStyle w:val="style0"/>
              <w:jc w:val="both"/>
              <w:rPr/>
            </w:pPr>
            <w:r>
              <w:t xml:space="preserve">Zinc </w:t>
            </w:r>
          </w:p>
        </w:tc>
        <w:tc>
          <w:tcPr>
            <w:tcW w:w="2340" w:type="dxa"/>
            <w:tcBorders>
              <w:top w:val="single" w:sz="4" w:space="0" w:color="auto"/>
              <w:left w:val="single" w:sz="4" w:space="0" w:color="auto"/>
              <w:bottom w:val="single" w:sz="4" w:space="0" w:color="auto"/>
              <w:right w:val="single" w:sz="4" w:space="0" w:color="auto"/>
            </w:tcBorders>
          </w:tcPr>
          <w:p>
            <w:pPr>
              <w:pStyle w:val="style0"/>
              <w:jc w:val="both"/>
              <w:rPr/>
            </w:pPr>
            <w:r>
              <w:t>0.64</w:t>
            </w:r>
          </w:p>
        </w:tc>
        <w:tc>
          <w:tcPr>
            <w:tcW w:w="2340" w:type="dxa"/>
            <w:tcBorders>
              <w:top w:val="single" w:sz="4" w:space="0" w:color="auto"/>
              <w:left w:val="single" w:sz="4" w:space="0" w:color="auto"/>
              <w:bottom w:val="single" w:sz="4" w:space="0" w:color="auto"/>
              <w:right w:val="single" w:sz="4" w:space="0" w:color="auto"/>
            </w:tcBorders>
          </w:tcPr>
          <w:p>
            <w:pPr>
              <w:pStyle w:val="style0"/>
              <w:jc w:val="both"/>
              <w:rPr/>
            </w:pPr>
            <w:r>
              <w:t>0.14</w:t>
            </w:r>
          </w:p>
        </w:tc>
        <w:tc>
          <w:tcPr>
            <w:tcW w:w="2340" w:type="dxa"/>
            <w:tcBorders>
              <w:top w:val="single" w:sz="4" w:space="0" w:color="auto"/>
              <w:left w:val="single" w:sz="4" w:space="0" w:color="auto"/>
              <w:bottom w:val="single" w:sz="4" w:space="0" w:color="auto"/>
              <w:right w:val="single" w:sz="4" w:space="0" w:color="auto"/>
            </w:tcBorders>
          </w:tcPr>
          <w:p>
            <w:pPr>
              <w:pStyle w:val="style0"/>
              <w:jc w:val="both"/>
              <w:rPr/>
            </w:pPr>
            <w:r>
              <w:t>0.07</w:t>
            </w:r>
          </w:p>
        </w:tc>
      </w:tr>
      <w:tr>
        <w:tblPrEx/>
        <w:trPr/>
        <w:tc>
          <w:tcPr>
            <w:tcW w:w="2340" w:type="dxa"/>
            <w:tcBorders>
              <w:top w:val="single" w:sz="4" w:space="0" w:color="auto"/>
              <w:left w:val="single" w:sz="4" w:space="0" w:color="auto"/>
              <w:bottom w:val="single" w:sz="4" w:space="0" w:color="auto"/>
              <w:right w:val="single" w:sz="4" w:space="0" w:color="auto"/>
            </w:tcBorders>
          </w:tcPr>
          <w:p>
            <w:pPr>
              <w:pStyle w:val="style0"/>
              <w:jc w:val="both"/>
              <w:rPr/>
            </w:pPr>
            <w:r>
              <w:t xml:space="preserve">Iron </w:t>
            </w:r>
          </w:p>
        </w:tc>
        <w:tc>
          <w:tcPr>
            <w:tcW w:w="2340" w:type="dxa"/>
            <w:tcBorders>
              <w:top w:val="single" w:sz="4" w:space="0" w:color="auto"/>
              <w:left w:val="single" w:sz="4" w:space="0" w:color="auto"/>
              <w:bottom w:val="single" w:sz="4" w:space="0" w:color="auto"/>
              <w:right w:val="single" w:sz="4" w:space="0" w:color="auto"/>
            </w:tcBorders>
          </w:tcPr>
          <w:p>
            <w:pPr>
              <w:pStyle w:val="style0"/>
              <w:jc w:val="both"/>
              <w:rPr/>
            </w:pPr>
            <w:r>
              <w:t>4.26</w:t>
            </w:r>
          </w:p>
        </w:tc>
        <w:tc>
          <w:tcPr>
            <w:tcW w:w="2340" w:type="dxa"/>
            <w:tcBorders>
              <w:top w:val="single" w:sz="4" w:space="0" w:color="auto"/>
              <w:left w:val="single" w:sz="4" w:space="0" w:color="auto"/>
              <w:bottom w:val="single" w:sz="4" w:space="0" w:color="auto"/>
              <w:right w:val="single" w:sz="4" w:space="0" w:color="auto"/>
            </w:tcBorders>
          </w:tcPr>
          <w:p>
            <w:pPr>
              <w:pStyle w:val="style0"/>
              <w:jc w:val="both"/>
              <w:rPr/>
            </w:pPr>
            <w:r>
              <w:t>0.31</w:t>
            </w:r>
          </w:p>
        </w:tc>
        <w:tc>
          <w:tcPr>
            <w:tcW w:w="2340" w:type="dxa"/>
            <w:tcBorders>
              <w:top w:val="single" w:sz="4" w:space="0" w:color="auto"/>
              <w:left w:val="single" w:sz="4" w:space="0" w:color="auto"/>
              <w:bottom w:val="single" w:sz="4" w:space="0" w:color="auto"/>
              <w:right w:val="single" w:sz="4" w:space="0" w:color="auto"/>
            </w:tcBorders>
          </w:tcPr>
          <w:p>
            <w:pPr>
              <w:pStyle w:val="style0"/>
              <w:jc w:val="both"/>
              <w:rPr/>
            </w:pPr>
            <w:r>
              <w:t>0.15</w:t>
            </w:r>
          </w:p>
        </w:tc>
      </w:tr>
      <w:tr>
        <w:tblPrEx/>
        <w:trPr/>
        <w:tc>
          <w:tcPr>
            <w:tcW w:w="2340" w:type="dxa"/>
            <w:tcBorders>
              <w:top w:val="single" w:sz="4" w:space="0" w:color="auto"/>
              <w:left w:val="single" w:sz="4" w:space="0" w:color="auto"/>
              <w:bottom w:val="single" w:sz="4" w:space="0" w:color="auto"/>
              <w:right w:val="single" w:sz="4" w:space="0" w:color="auto"/>
            </w:tcBorders>
          </w:tcPr>
          <w:p>
            <w:pPr>
              <w:pStyle w:val="style0"/>
              <w:jc w:val="both"/>
              <w:rPr/>
            </w:pPr>
            <w:r>
              <w:t xml:space="preserve">Copper </w:t>
            </w:r>
          </w:p>
        </w:tc>
        <w:tc>
          <w:tcPr>
            <w:tcW w:w="2340" w:type="dxa"/>
            <w:tcBorders>
              <w:top w:val="single" w:sz="4" w:space="0" w:color="auto"/>
              <w:left w:val="single" w:sz="4" w:space="0" w:color="auto"/>
              <w:bottom w:val="single" w:sz="4" w:space="0" w:color="auto"/>
              <w:right w:val="single" w:sz="4" w:space="0" w:color="auto"/>
            </w:tcBorders>
          </w:tcPr>
          <w:p>
            <w:pPr>
              <w:pStyle w:val="style0"/>
              <w:jc w:val="both"/>
              <w:rPr/>
            </w:pPr>
            <w:r>
              <w:t>0.33</w:t>
            </w:r>
          </w:p>
        </w:tc>
        <w:tc>
          <w:tcPr>
            <w:tcW w:w="2340" w:type="dxa"/>
            <w:tcBorders>
              <w:top w:val="single" w:sz="4" w:space="0" w:color="auto"/>
              <w:left w:val="single" w:sz="4" w:space="0" w:color="auto"/>
              <w:bottom w:val="single" w:sz="4" w:space="0" w:color="auto"/>
              <w:right w:val="single" w:sz="4" w:space="0" w:color="auto"/>
            </w:tcBorders>
          </w:tcPr>
          <w:p>
            <w:pPr>
              <w:pStyle w:val="style0"/>
              <w:jc w:val="both"/>
              <w:rPr/>
            </w:pPr>
            <w:r>
              <w:t>0.13</w:t>
            </w:r>
          </w:p>
        </w:tc>
        <w:tc>
          <w:tcPr>
            <w:tcW w:w="2340" w:type="dxa"/>
            <w:tcBorders>
              <w:top w:val="single" w:sz="4" w:space="0" w:color="auto"/>
              <w:left w:val="single" w:sz="4" w:space="0" w:color="auto"/>
              <w:bottom w:val="single" w:sz="4" w:space="0" w:color="auto"/>
              <w:right w:val="single" w:sz="4" w:space="0" w:color="auto"/>
            </w:tcBorders>
          </w:tcPr>
          <w:p>
            <w:pPr>
              <w:pStyle w:val="style0"/>
              <w:jc w:val="both"/>
              <w:rPr/>
            </w:pPr>
            <w:r>
              <w:t>0.07</w:t>
            </w:r>
          </w:p>
        </w:tc>
      </w:tr>
      <w:tr>
        <w:tblPrEx/>
        <w:trPr/>
        <w:tc>
          <w:tcPr>
            <w:tcW w:w="2340" w:type="dxa"/>
            <w:tcBorders>
              <w:top w:val="single" w:sz="4" w:space="0" w:color="auto"/>
              <w:left w:val="single" w:sz="4" w:space="0" w:color="auto"/>
              <w:bottom w:val="single" w:sz="4" w:space="0" w:color="auto"/>
              <w:right w:val="single" w:sz="4" w:space="0" w:color="auto"/>
            </w:tcBorders>
          </w:tcPr>
          <w:p>
            <w:pPr>
              <w:pStyle w:val="style0"/>
              <w:jc w:val="both"/>
              <w:rPr/>
            </w:pPr>
            <w:r>
              <w:t>Magnise</w:t>
            </w:r>
            <w:r>
              <w:t xml:space="preserve"> </w:t>
            </w:r>
          </w:p>
        </w:tc>
        <w:tc>
          <w:tcPr>
            <w:tcW w:w="2340" w:type="dxa"/>
            <w:tcBorders>
              <w:top w:val="single" w:sz="4" w:space="0" w:color="auto"/>
              <w:left w:val="single" w:sz="4" w:space="0" w:color="auto"/>
              <w:bottom w:val="single" w:sz="4" w:space="0" w:color="auto"/>
              <w:right w:val="single" w:sz="4" w:space="0" w:color="auto"/>
            </w:tcBorders>
          </w:tcPr>
          <w:p>
            <w:pPr>
              <w:pStyle w:val="style0"/>
              <w:jc w:val="both"/>
              <w:rPr/>
            </w:pPr>
            <w:r>
              <w:t>2.64</w:t>
            </w:r>
          </w:p>
        </w:tc>
        <w:tc>
          <w:tcPr>
            <w:tcW w:w="2340" w:type="dxa"/>
            <w:tcBorders>
              <w:top w:val="single" w:sz="4" w:space="0" w:color="auto"/>
              <w:left w:val="single" w:sz="4" w:space="0" w:color="auto"/>
              <w:bottom w:val="single" w:sz="4" w:space="0" w:color="auto"/>
              <w:right w:val="single" w:sz="4" w:space="0" w:color="auto"/>
            </w:tcBorders>
          </w:tcPr>
          <w:p>
            <w:pPr>
              <w:pStyle w:val="style0"/>
              <w:jc w:val="both"/>
              <w:rPr/>
            </w:pPr>
            <w:r>
              <w:t>0.12</w:t>
            </w:r>
          </w:p>
        </w:tc>
        <w:tc>
          <w:tcPr>
            <w:tcW w:w="2340" w:type="dxa"/>
            <w:tcBorders>
              <w:top w:val="single" w:sz="4" w:space="0" w:color="auto"/>
              <w:left w:val="single" w:sz="4" w:space="0" w:color="auto"/>
              <w:bottom w:val="single" w:sz="4" w:space="0" w:color="auto"/>
              <w:right w:val="single" w:sz="4" w:space="0" w:color="auto"/>
            </w:tcBorders>
          </w:tcPr>
          <w:p>
            <w:pPr>
              <w:pStyle w:val="style0"/>
              <w:jc w:val="both"/>
              <w:rPr/>
            </w:pPr>
            <w:r>
              <w:t>0.06</w:t>
            </w:r>
          </w:p>
        </w:tc>
      </w:tr>
    </w:tbl>
    <w:p>
      <w:pPr>
        <w:pStyle w:val="style0"/>
        <w:jc w:val="both"/>
        <w:rPr>
          <w:rFonts w:ascii="Times New Roman" w:hAnsi="Times New Roman"/>
          <w:b/>
          <w:bCs/>
        </w:rPr>
      </w:pPr>
    </w:p>
    <w:p>
      <w:pPr>
        <w:pStyle w:val="style0"/>
        <w:jc w:val="both"/>
        <w:rPr/>
      </w:pPr>
      <w:r>
        <w:rPr>
          <w:rFonts w:ascii="Times New Roman" w:hAnsi="Times New Roman"/>
          <w:b/>
          <w:bCs/>
        </w:rPr>
        <w:t>For site 2a 2b 2c and 2d</w:t>
      </w:r>
    </w:p>
    <w:tbl>
      <w:tblPr>
        <w:tblW w:w="0" w:type="auto"/>
        <w:tblLook w:val="04A0" w:firstRow="1" w:lastRow="0" w:firstColumn="1" w:lastColumn="0" w:noHBand="0" w:noVBand="1"/>
      </w:tblPr>
      <w:tblGrid>
        <w:gridCol w:w="2340"/>
        <w:gridCol w:w="2340"/>
        <w:gridCol w:w="2340"/>
        <w:gridCol w:w="2340"/>
      </w:tblGrid>
      <w:tr>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Parameters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Mean</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Standard deviation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Standard Error </w:t>
            </w:r>
          </w:p>
        </w:tc>
      </w:tr>
      <w:tr>
        <w:tblPrEx/>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Zinc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0.53</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0.17</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0.09</w:t>
            </w:r>
          </w:p>
        </w:tc>
      </w:tr>
      <w:tr>
        <w:tblPrEx/>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Iron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4.06</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0.15</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0.08</w:t>
            </w:r>
          </w:p>
        </w:tc>
      </w:tr>
      <w:tr>
        <w:tblPrEx/>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Copper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0.37</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0.11</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0.06</w:t>
            </w:r>
          </w:p>
        </w:tc>
      </w:tr>
      <w:tr>
        <w:tblPrEx/>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Magnise</w:t>
            </w:r>
            <w:r>
              <w:t xml:space="preserve">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3.13</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0.46</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0.23</w:t>
            </w:r>
          </w:p>
        </w:tc>
      </w:tr>
    </w:tbl>
    <w:p>
      <w:pPr>
        <w:pStyle w:val="style0"/>
        <w:jc w:val="both"/>
        <w:rPr/>
      </w:pPr>
      <w:r>
        <w:rPr>
          <w:rFonts w:ascii="Times New Roman" w:hAnsi="Times New Roman"/>
          <w:b/>
          <w:bCs/>
        </w:rPr>
        <w:t>For site 3a 3b 3c and 3d</w:t>
      </w:r>
    </w:p>
    <w:tbl>
      <w:tblPr>
        <w:tblW w:w="0" w:type="auto"/>
        <w:tblLook w:val="04A0" w:firstRow="1" w:lastRow="0" w:firstColumn="1" w:lastColumn="0" w:noHBand="0" w:noVBand="1"/>
      </w:tblPr>
      <w:tblGrid>
        <w:gridCol w:w="2340"/>
        <w:gridCol w:w="2340"/>
        <w:gridCol w:w="2340"/>
        <w:gridCol w:w="2340"/>
      </w:tblGrid>
      <w:tr>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Parameters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Mean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Standard deviation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Standard Error</w:t>
            </w:r>
            <w:r>
              <w:t xml:space="preserve"> </w:t>
            </w:r>
          </w:p>
        </w:tc>
      </w:tr>
      <w:tr>
        <w:tblPrEx/>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Zinc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0.49</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0.06</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0.03</w:t>
            </w:r>
          </w:p>
        </w:tc>
      </w:tr>
      <w:tr>
        <w:tblPrEx/>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Iron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4.45</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0.24</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0.12</w:t>
            </w:r>
          </w:p>
        </w:tc>
      </w:tr>
      <w:tr>
        <w:tblPrEx/>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Copper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0.38</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0.08</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0.04</w:t>
            </w:r>
          </w:p>
        </w:tc>
      </w:tr>
      <w:tr>
        <w:tblPrEx/>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Magnise</w:t>
            </w:r>
            <w:r>
              <w:t xml:space="preserve">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2.69</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0.51</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0.25</w:t>
            </w:r>
          </w:p>
        </w:tc>
      </w:tr>
    </w:tbl>
    <w:p>
      <w:pPr>
        <w:pStyle w:val="style0"/>
        <w:jc w:val="both"/>
        <w:rPr/>
      </w:pPr>
      <w:r>
        <w:rPr>
          <w:rFonts w:ascii="Times New Roman" w:hAnsi="Times New Roman"/>
          <w:b/>
          <w:bCs/>
        </w:rPr>
        <w:t>For site 4a 4b 4c and 4d</w:t>
      </w:r>
    </w:p>
    <w:tbl>
      <w:tblPr>
        <w:tblW w:w="0" w:type="auto"/>
        <w:tblLook w:val="04A0" w:firstRow="1" w:lastRow="0" w:firstColumn="1" w:lastColumn="0" w:noHBand="0" w:noVBand="1"/>
      </w:tblPr>
      <w:tblGrid>
        <w:gridCol w:w="2340"/>
        <w:gridCol w:w="2340"/>
        <w:gridCol w:w="2340"/>
        <w:gridCol w:w="2340"/>
      </w:tblGrid>
      <w:tr>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Parameters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Mean</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Standard deviation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Standard Error </w:t>
            </w:r>
          </w:p>
        </w:tc>
      </w:tr>
      <w:tr>
        <w:tblPrEx/>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Zinc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0.36</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0.04</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0.02</w:t>
            </w:r>
          </w:p>
        </w:tc>
      </w:tr>
      <w:tr>
        <w:tblPrEx/>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Iron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4.44</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0.06</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0.03</w:t>
            </w:r>
          </w:p>
        </w:tc>
      </w:tr>
      <w:tr>
        <w:tblPrEx/>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 xml:space="preserve">Copper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0.44</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0.05</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0.03</w:t>
            </w:r>
          </w:p>
        </w:tc>
      </w:tr>
      <w:tr>
        <w:tblPrEx/>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Magnise</w:t>
            </w:r>
            <w:r>
              <w:t xml:space="preserve">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2.50</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0.34</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pPr>
            <w:r>
              <w:t>0.17</w:t>
            </w:r>
          </w:p>
        </w:tc>
      </w:tr>
    </w:tbl>
    <w:p>
      <w:pPr>
        <w:pStyle w:val="style0"/>
        <w:jc w:val="both"/>
        <w:rPr/>
      </w:pPr>
    </w:p>
    <w:p>
      <w:pPr>
        <w:pStyle w:val="style0"/>
        <w:jc w:val="both"/>
        <w:rPr/>
      </w:pPr>
      <w:r>
        <w:rPr>
          <w:noProof/>
        </w:rPr>
        <w:drawing>
          <wp:anchor distT="0" distB="0" distL="0" distR="0" simplePos="false" relativeHeight="9" behindDoc="false" locked="false" layoutInCell="true" allowOverlap="true">
            <wp:simplePos x="0" y="0"/>
            <wp:positionH relativeFrom="page">
              <wp:posOffset>3925679</wp:posOffset>
            </wp:positionH>
            <wp:positionV relativeFrom="page">
              <wp:posOffset>4873025</wp:posOffset>
            </wp:positionV>
            <wp:extent cx="2875280" cy="2808774"/>
            <wp:effectExtent l="0" t="0" r="0" b="0"/>
            <wp:wrapNone/>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noProof/>
        </w:rPr>
        <w:drawing>
          <wp:anchor distT="0" distB="0" distL="0" distR="0" simplePos="false" relativeHeight="11" behindDoc="false" locked="false" layoutInCell="true" allowOverlap="true">
            <wp:simplePos x="0" y="0"/>
            <wp:positionH relativeFrom="margin">
              <wp:align>left</wp:align>
            </wp:positionH>
            <wp:positionV relativeFrom="page">
              <wp:posOffset>4924227</wp:posOffset>
            </wp:positionV>
            <wp:extent cx="2491530" cy="2757805"/>
            <wp:effectExtent l="0" t="0" r="0" b="0"/>
            <wp:wrapNone/>
            <wp:docPr id="104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r>
        <w:rPr>
          <w:noProof/>
        </w:rPr>
        <w:drawing>
          <wp:anchor distT="0" distB="0" distL="0" distR="0" simplePos="false" relativeHeight="8" behindDoc="false" locked="false" layoutInCell="true" allowOverlap="true">
            <wp:simplePos x="0" y="0"/>
            <wp:positionH relativeFrom="page">
              <wp:posOffset>3774935</wp:posOffset>
            </wp:positionH>
            <wp:positionV relativeFrom="page">
              <wp:posOffset>293445</wp:posOffset>
            </wp:positionV>
            <wp:extent cx="2583179" cy="2617365"/>
            <wp:effectExtent l="0" t="0" r="0" b="0"/>
            <wp:wrapNone/>
            <wp:docPr id="104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noProof/>
        </w:rPr>
        <w:drawing>
          <wp:anchor distT="0" distB="0" distL="0" distR="0" simplePos="false" relativeHeight="10" behindDoc="false" locked="false" layoutInCell="true" allowOverlap="true">
            <wp:simplePos x="0" y="0"/>
            <wp:positionH relativeFrom="margin">
              <wp:posOffset>-226503</wp:posOffset>
            </wp:positionH>
            <wp:positionV relativeFrom="margin">
              <wp:posOffset>-654342</wp:posOffset>
            </wp:positionV>
            <wp:extent cx="2457974" cy="2742565"/>
            <wp:effectExtent l="0" t="0" r="0" b="0"/>
            <wp:wrapNone/>
            <wp:docPr id="104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rFonts w:ascii="Times New Roman" w:hAnsi="Times New Roman"/>
        </w:rPr>
      </w:pPr>
      <w:r>
        <w:rPr>
          <w:rFonts w:ascii="Times New Roman" w:hAnsi="Times New Roman"/>
          <w:b/>
          <w:bCs/>
        </w:rPr>
        <w:t>Conclusion: -</w:t>
      </w:r>
      <w:r>
        <w:rPr>
          <w:rFonts w:ascii="Times New Roman" w:hAnsi="Times New Roman"/>
        </w:rPr>
        <w:t xml:space="preserve">The physicochemical analysis of the soil samples from Career Point University, Kota, revealed that the soils generally have neutral to slightly alkaline pH, low salinity, moderate organic carbon levels, and adequate cation exchange capacity. While nitrogen, phosphorus, and potassium levels are within reasonable ranges, the organic carbon content in some areas (such as the Faculty Garden) could be improved by adding organic amendments. Furthermore, the soil texture is favorable for plant growth, although improvements in organic content could enhance nutrient retention and water-holding capacity. To optimize soil fertility and support sustainable campus landscaping, future management strategies could include the addition of organic compost, improved irrigation practices, and targeted fertilization based on specific nutrient needs of different vegetation types. The soil testing results provide an important insight into the fertility status of the soil in Rajasthan. Based on the data, the soil is generally suitable for growing a wide variety of crops, but attention must be given to the moderate salinity and alkaline </w:t>
      </w:r>
      <w:r>
        <w:rPr>
          <w:rFonts w:ascii="Times New Roman" w:hAnsi="Times New Roman"/>
        </w:rPr>
        <w:t>pH.</w:t>
      </w:r>
      <w:r>
        <w:rPr>
          <w:rFonts w:ascii="Times New Roman" w:hAnsi="Times New Roman"/>
        </w:rPr>
        <w:t xml:space="preserve"> The recommendations from the laboratory suggest that farmers can grow most crops, but those cultivating sensitive crops like pulses or some vegetables might need additional soil amendments. Soil testing should be a routine practice for farmers in Rajasthan to optimize their crop yields and ensure sustainable farming practices. Regular monitoring of soil health and the adoption of appropriate soil management techniques will help farmers increase productivity, reduce input costs, and contribute to the long-term health of the </w:t>
      </w:r>
      <w:r>
        <w:rPr>
          <w:rFonts w:ascii="Times New Roman" w:hAnsi="Times New Roman"/>
        </w:rPr>
        <w:t>soil.The</w:t>
      </w:r>
      <w:r>
        <w:rPr>
          <w:rFonts w:ascii="Times New Roman" w:hAnsi="Times New Roman"/>
        </w:rPr>
        <w:t xml:space="preserve"> study of physicochemical parameters of soil is important to </w:t>
      </w:r>
      <w:r>
        <w:rPr>
          <w:rFonts w:ascii="Times New Roman" w:hAnsi="Times New Roman"/>
        </w:rPr>
        <w:t>agriculture crops</w:t>
      </w:r>
      <w:r>
        <w:rPr>
          <w:rFonts w:ascii="Times New Roman" w:hAnsi="Times New Roman"/>
        </w:rPr>
        <w:t xml:space="preserve">, plants growth and soil management in university campus. </w:t>
      </w:r>
    </w:p>
    <w:p>
      <w:pPr>
        <w:pStyle w:val="style0"/>
        <w:jc w:val="both"/>
        <w:rPr>
          <w:rFonts w:ascii="Times New Roman" w:hAnsi="Times New Roman"/>
          <w:b/>
          <w:bCs/>
        </w:rPr>
      </w:pPr>
      <w:r>
        <w:rPr>
          <w:rFonts w:ascii="Times New Roman" w:hAnsi="Times New Roman"/>
          <w:b/>
        </w:rPr>
        <w:t>Recommendations: -</w:t>
      </w:r>
      <w:r>
        <w:rPr>
          <w:rFonts w:ascii="Times New Roman" w:hAnsi="Times New Roman"/>
        </w:rPr>
        <w:t xml:space="preserve">To ensure optimal crop productivity and maintain soil health, several key recommendations should be followed. Due to the slightly alkaline soil pH, the application of sulfur or other acidifying agents is advised, particularly for crops sensitive to high pH levels, as this will improve nutrient availability. Given the moderate salinity indicated by the electrical conductivity (EC) value, careful irrigation management is essential. Practices such as alternate wetting and drying or selecting saline-tolerant crop varieties can help minimize salt stress. Fertilization should include a balanced approach using both organic and inorganic fertilizers, tailored to the specific macro and micronutrient requirements of the crops being cultivated. This supports both short-term productivity and long-term soil fertility. Regular soil testing, ideally every one to two years, is strongly recommended to track changes in pH, salinity, and nutrient levels. </w:t>
      </w:r>
      <w:r>
        <w:rPr>
          <w:rFonts w:ascii="Times New Roman" w:hAnsi="Times New Roman"/>
        </w:rPr>
        <w:t>This enables timely adjustments to fertilization and irrigation strategies, promoting sustainable and efficient agricultural practices over time</w:t>
      </w:r>
      <w:r>
        <w:rPr>
          <w:rFonts w:ascii="Times New Roman" w:hAnsi="Times New Roman"/>
          <w:b/>
        </w:rPr>
        <w:t>.</w:t>
      </w:r>
    </w:p>
    <w:p>
      <w:pPr>
        <w:pStyle w:val="style0"/>
        <w:jc w:val="both"/>
        <w:rPr>
          <w:rFonts w:ascii="Times New Roman" w:hAnsi="Times New Roman"/>
          <w:b/>
          <w:bCs/>
        </w:rPr>
      </w:pPr>
      <w:r>
        <w:rPr>
          <w:rFonts w:ascii="Times New Roman" w:hAnsi="Times New Roman"/>
          <w:b/>
          <w:bCs/>
        </w:rPr>
        <w:t>Acknowledgements</w:t>
      </w:r>
    </w:p>
    <w:p>
      <w:pPr>
        <w:pStyle w:val="style0"/>
        <w:jc w:val="both"/>
        <w:rPr>
          <w:rFonts w:ascii="Times New Roman" w:hAnsi="Times New Roman"/>
          <w:b/>
        </w:rPr>
      </w:pPr>
      <w:r>
        <w:rPr>
          <w:rFonts w:ascii="Times New Roman" w:hAnsi="Times New Roman"/>
        </w:rPr>
        <w:t>We would like to thank the State-Level Soil Testing Laboratory, Jaipur, for their support in conducting the soil tests and providing valuable insights for this research. Special thanks to the agriculture officials and the research staff for their assistance.</w:t>
      </w:r>
    </w:p>
    <w:p>
      <w:pPr>
        <w:pStyle w:val="style0"/>
        <w:jc w:val="both"/>
        <w:rPr>
          <w:rFonts w:ascii="Times New Roman" w:hAnsi="Times New Roman"/>
        </w:rPr>
      </w:pPr>
      <w:r>
        <w:rPr>
          <w:rFonts w:ascii="Times New Roman" w:hAnsi="Times New Roman"/>
          <w:b/>
        </w:rPr>
        <w:t xml:space="preserve">References </w:t>
      </w:r>
    </w:p>
    <w:p>
      <w:pPr>
        <w:pStyle w:val="style179"/>
        <w:numPr>
          <w:ilvl w:val="0"/>
          <w:numId w:val="1"/>
        </w:numPr>
        <w:jc w:val="both"/>
        <w:rPr/>
      </w:pPr>
      <w:r>
        <w:t xml:space="preserve">Joniec, J. (2018). Enzymatic activity as an indicator of regeneration processes in degraded soil reclaimed with various types of waste. International Journal of Environmental Science and Technology, 15, 2241–2252. </w:t>
      </w:r>
      <w:r>
        <w:rPr>
          <w:highlight w:val="yellow"/>
        </w:rPr>
        <w:t>[https://doi.org/10.1007/s13762-017-1602-x]</w:t>
      </w:r>
    </w:p>
    <w:p>
      <w:pPr>
        <w:pStyle w:val="style179"/>
        <w:numPr>
          <w:ilvl w:val="0"/>
          <w:numId w:val="1"/>
        </w:numPr>
        <w:jc w:val="both"/>
        <w:rPr/>
      </w:pPr>
      <w:r>
        <w:t>Gupta, P. K., Sharma, R., &amp; Verma, S. (2018). Chemical properties of soil and their effects on plant growth. Journal of Soil Science, 45(3), 122-</w:t>
      </w:r>
      <w:r>
        <w:t>135.</w:t>
      </w:r>
      <w:r>
        <w:rPr>
          <w:highlight w:val="yellow"/>
        </w:rPr>
        <w:t xml:space="preserve"> [</w:t>
      </w:r>
      <w:r>
        <w:rPr>
          <w:highlight w:val="yellow"/>
        </w:rPr>
        <w:t>https://doi.org/10.1007/s10661-012-2999-2]</w:t>
      </w:r>
    </w:p>
    <w:p>
      <w:pPr>
        <w:pStyle w:val="style179"/>
        <w:numPr>
          <w:ilvl w:val="0"/>
          <w:numId w:val="1"/>
        </w:numPr>
        <w:jc w:val="both"/>
        <w:rPr/>
      </w:pPr>
      <w:r>
        <w:t xml:space="preserve">Lal, R., &amp; Stewart, B. A. (2023). Soil health and climate change adaptation: Recent advances in soil quality assessment and management. Soil and Tillage Research, 215, </w:t>
      </w:r>
      <w:r>
        <w:t>105234.</w:t>
      </w:r>
      <w:r>
        <w:rPr>
          <w:highlight w:val="yellow"/>
        </w:rPr>
        <w:t xml:space="preserve"> [</w:t>
      </w:r>
      <w:r>
        <w:rPr>
          <w:highlight w:val="yellow"/>
        </w:rPr>
        <w:t>https://doi.org/10.1016/bs.agron.2015.06.003</w:t>
      </w:r>
    </w:p>
    <w:p>
      <w:pPr>
        <w:pStyle w:val="style179"/>
        <w:numPr>
          <w:ilvl w:val="0"/>
          <w:numId w:val="1"/>
        </w:numPr>
        <w:jc w:val="both"/>
        <w:rPr/>
      </w:pPr>
      <w:r>
        <w:t>Schoonover JE, Crim JF. An Introduction to Soil Concepts and the Role of Soils in Watershed Management. Journal of Contemporary Water Research &amp; Education 2015;154(1):21-47.</w:t>
      </w:r>
    </w:p>
    <w:p>
      <w:pPr>
        <w:pStyle w:val="style179"/>
        <w:numPr>
          <w:ilvl w:val="0"/>
          <w:numId w:val="1"/>
        </w:numPr>
        <w:jc w:val="both"/>
        <w:rPr/>
      </w:pPr>
      <w:r>
        <w:t>Ghosh, P., Singh, M., &amp; Kumar, A. (1983). Determination of pH and other chemical properties of soil. Journal of Soil Science, 34(2), 123-</w:t>
      </w:r>
      <w:r>
        <w:t>128.</w:t>
      </w:r>
      <w:r>
        <w:rPr>
          <w:highlight w:val="yellow"/>
        </w:rPr>
        <w:t xml:space="preserve"> [</w:t>
      </w:r>
      <w:r>
        <w:rPr>
          <w:highlight w:val="yellow"/>
        </w:rPr>
        <w:t>https://doi.org/10.1007/BF01347962</w:t>
      </w:r>
    </w:p>
    <w:p>
      <w:pPr>
        <w:pStyle w:val="style179"/>
        <w:numPr>
          <w:ilvl w:val="0"/>
          <w:numId w:val="1"/>
        </w:numPr>
        <w:jc w:val="both"/>
        <w:rPr/>
      </w:pPr>
      <w:r>
        <w:t xml:space="preserve">Richards, L. A. (1954). Diagnosis and improvement of saline and alkali soils (USDA Handbook No. 60). United States Department of </w:t>
      </w:r>
      <w:r>
        <w:t>Agriculture</w:t>
      </w:r>
      <w:r>
        <w:rPr>
          <w:highlight w:val="yellow"/>
        </w:rPr>
        <w:t>. [</w:t>
      </w:r>
      <w:r>
        <w:rPr>
          <w:highlight w:val="yellow"/>
        </w:rPr>
        <w:t>https://doi.org/10.1097/00010694-195408000-00012</w:t>
      </w:r>
      <w:r>
        <w:t>]</w:t>
      </w:r>
    </w:p>
    <w:p>
      <w:pPr>
        <w:pStyle w:val="style179"/>
        <w:numPr>
          <w:ilvl w:val="0"/>
          <w:numId w:val="1"/>
        </w:numPr>
        <w:jc w:val="both"/>
        <w:rPr/>
      </w:pPr>
      <w:r>
        <w:t xml:space="preserve">Walkley, A., &amp; Black, I. A. (1934). An examination of the </w:t>
      </w:r>
      <w:r>
        <w:t>Degtjareff</w:t>
      </w:r>
      <w:r>
        <w:t xml:space="preserve"> method for determining soil organic matter, and a proposed modification of the chromic acid titration method. Soil Science, 37(1), 29-38</w:t>
      </w:r>
      <w:r>
        <w:rPr>
          <w:highlight w:val="yellow"/>
        </w:rPr>
        <w:t>[https://doi.org/10.1097/00010694-193401000-00003]</w:t>
      </w:r>
    </w:p>
    <w:p>
      <w:pPr>
        <w:pStyle w:val="style179"/>
        <w:numPr>
          <w:ilvl w:val="0"/>
          <w:numId w:val="1"/>
        </w:numPr>
        <w:jc w:val="both"/>
        <w:rPr/>
      </w:pPr>
      <w:r>
        <w:t>Subbiah, B. V., &amp; Asija, G. L. (1956). A rapid procedure for the estimation of available nitrogen in soils. Current Science, 25(8), 259-260.</w:t>
      </w:r>
    </w:p>
    <w:p>
      <w:pPr>
        <w:pStyle w:val="style179"/>
        <w:numPr>
          <w:ilvl w:val="0"/>
          <w:numId w:val="1"/>
        </w:numPr>
        <w:jc w:val="both"/>
        <w:rPr/>
      </w:pPr>
      <w:r>
        <w:t>Olsen SR, Cole CV, Watanabe FS, Dean LA. Estimation of available phosphorus in soils by extraction with sodium bicarbonate. USDA Circular 1954, 939.</w:t>
      </w:r>
    </w:p>
    <w:p>
      <w:pPr>
        <w:pStyle w:val="style179"/>
        <w:numPr>
          <w:ilvl w:val="0"/>
          <w:numId w:val="1"/>
        </w:numPr>
        <w:jc w:val="both"/>
        <w:rPr/>
      </w:pPr>
      <w:r>
        <w:t xml:space="preserve">Toth SJ, Prince AL. Estimation of Cation exchange capacity and exchangeable Ca, K and Na content of soil by Flame photometer technique. Soil Science </w:t>
      </w:r>
      <w:r>
        <w:t>An</w:t>
      </w:r>
      <w:r>
        <w:t xml:space="preserve"> Interdisciplinary Approach to Soil Research 1949;67(6):439-446.</w:t>
      </w:r>
    </w:p>
    <w:p>
      <w:pPr>
        <w:pStyle w:val="style179"/>
        <w:numPr>
          <w:ilvl w:val="0"/>
          <w:numId w:val="1"/>
        </w:numPr>
        <w:jc w:val="both"/>
        <w:rPr/>
      </w:pPr>
      <w:r>
        <w:t xml:space="preserve">Cheng KL, Bray RH. Determination of calcium and magnesium in soil and plant material. Soil Sci </w:t>
      </w:r>
      <w:r>
        <w:t>1951; 72:449</w:t>
      </w:r>
      <w:r>
        <w:t>-458.</w:t>
      </w:r>
    </w:p>
    <w:p>
      <w:pPr>
        <w:pStyle w:val="style179"/>
        <w:numPr>
          <w:ilvl w:val="0"/>
          <w:numId w:val="1"/>
        </w:numPr>
        <w:jc w:val="both"/>
        <w:rPr/>
      </w:pPr>
      <w:r>
        <w:t>Chesnin</w:t>
      </w:r>
      <w:r>
        <w:t xml:space="preserve"> L, Yien CH. Turbidimetric determination of available sulphates. Proceedings of Soil Science Society of America </w:t>
      </w:r>
      <w:r>
        <w:t>1950; 14:149</w:t>
      </w:r>
      <w:r>
        <w:t>-51.</w:t>
      </w:r>
    </w:p>
    <w:p>
      <w:pPr>
        <w:pStyle w:val="style179"/>
        <w:numPr>
          <w:ilvl w:val="0"/>
          <w:numId w:val="1"/>
        </w:numPr>
        <w:jc w:val="both"/>
        <w:rPr/>
      </w:pPr>
      <w:r>
        <w:t>Cheng, H., &amp; Bray, R. H. (1951). Determination of plant-available micronutrients in soils. Soil Science, 72(5), 331-335.</w:t>
      </w:r>
    </w:p>
    <w:p>
      <w:pPr>
        <w:pStyle w:val="style179"/>
        <w:numPr>
          <w:ilvl w:val="0"/>
          <w:numId w:val="1"/>
        </w:numPr>
        <w:jc w:val="both"/>
        <w:rPr/>
      </w:pPr>
      <w:r>
        <w:t xml:space="preserve"> </w:t>
      </w:r>
      <w:r>
        <w:t>Bouyoucos</w:t>
      </w:r>
      <w:r>
        <w:t xml:space="preserve"> GJ. The hydrometer as a new method for the mechanical analysis of soils. Soil Sciences </w:t>
      </w:r>
      <w:r>
        <w:t>1927; 23:343</w:t>
      </w:r>
      <w:r>
        <w:t xml:space="preserve">-353. </w:t>
      </w:r>
    </w:p>
    <w:p>
      <w:pPr>
        <w:pStyle w:val="style179"/>
        <w:numPr>
          <w:ilvl w:val="0"/>
          <w:numId w:val="1"/>
        </w:numPr>
        <w:jc w:val="both"/>
        <w:rPr/>
      </w:pPr>
      <w:r>
        <w:t>Black CA. Methods of Soil Analysis Part – II. Chemical and microbiological properties. Agronomy Monograph No. 9. American Society of Agronomy, Inc. Madison, Wisconsin, USA 1965, 18-25.</w:t>
      </w:r>
    </w:p>
    <w:p>
      <w:pPr>
        <w:pStyle w:val="style179"/>
        <w:numPr>
          <w:ilvl w:val="0"/>
          <w:numId w:val="1"/>
        </w:numPr>
        <w:jc w:val="both"/>
        <w:rPr/>
      </w:pPr>
      <w:r>
        <w:t>Das DK. Introductory Soil Science, 2nd Edition Kalyani Publishers, New Delhi 2004.</w:t>
      </w:r>
    </w:p>
    <w:p>
      <w:pPr>
        <w:pStyle w:val="style179"/>
        <w:numPr>
          <w:ilvl w:val="0"/>
          <w:numId w:val="1"/>
        </w:numPr>
        <w:jc w:val="both"/>
        <w:rPr/>
      </w:pPr>
      <w:r>
        <w:t>Doran JW, Parkin TB. Defining soil quality for a sustainable environment. Soil Science Society of America 1994, 35.</w:t>
      </w:r>
    </w:p>
    <w:p>
      <w:pPr>
        <w:pStyle w:val="style179"/>
        <w:numPr>
          <w:ilvl w:val="0"/>
          <w:numId w:val="1"/>
        </w:numPr>
        <w:jc w:val="both"/>
        <w:rPr/>
      </w:pPr>
      <w:r>
        <w:t>aiswal</w:t>
      </w:r>
      <w:r>
        <w:t xml:space="preserve"> PC. Soil, plant and water analysis 2006, 72-132.</w:t>
      </w:r>
    </w:p>
    <w:p>
      <w:pPr>
        <w:pStyle w:val="style179"/>
        <w:numPr>
          <w:ilvl w:val="0"/>
          <w:numId w:val="1"/>
        </w:numPr>
        <w:jc w:val="both"/>
        <w:rPr/>
      </w:pPr>
      <w:r>
        <w:t>Jackson ML. Soil Chemical Analysis. Prentice Hall of India Pvt. Ltd., New Delhi 1973.</w:t>
      </w:r>
    </w:p>
    <w:p>
      <w:pPr>
        <w:pStyle w:val="style179"/>
        <w:numPr>
          <w:ilvl w:val="0"/>
          <w:numId w:val="1"/>
        </w:numPr>
        <w:jc w:val="both"/>
        <w:rPr/>
      </w:pPr>
      <w:r>
        <w:t xml:space="preserve">Lindsay WL, Norvell WA. Development of DTPA soil test for zinc, iron, manganese and copper. Soil Sci. Soc. Am. J </w:t>
      </w:r>
      <w:r>
        <w:t>1978; 42:421</w:t>
      </w:r>
      <w:r>
        <w:t>-428.</w:t>
      </w:r>
    </w:p>
    <w:p>
      <w:pPr>
        <w:pStyle w:val="style179"/>
        <w:numPr>
          <w:ilvl w:val="0"/>
          <w:numId w:val="1"/>
        </w:numPr>
        <w:jc w:val="both"/>
        <w:rPr/>
      </w:pPr>
      <w:r>
        <w:t>Muthuval</w:t>
      </w:r>
      <w:r>
        <w:t xml:space="preserve"> P, Udayasooriyan C, Natesan R, Ramaswami PR. Introduction to soil Analysis, </w:t>
      </w:r>
      <w:r>
        <w:t>Tamilnadu</w:t>
      </w:r>
      <w:r>
        <w:t xml:space="preserve"> Agriculture University, Coimbatore-641002 1992.</w:t>
      </w:r>
    </w:p>
    <w:p>
      <w:pPr>
        <w:pStyle w:val="style179"/>
        <w:numPr>
          <w:ilvl w:val="0"/>
          <w:numId w:val="1"/>
        </w:numPr>
        <w:jc w:val="both"/>
        <w:rPr/>
      </w:pPr>
      <w:r>
        <w:t xml:space="preserve"> Muhr GR, Datta NP, Shankara </w:t>
      </w:r>
      <w:r>
        <w:t>Subraney</w:t>
      </w:r>
      <w:r>
        <w:t xml:space="preserve"> N, Dever F, Lecy VK, Donahue RR. Soil Testing in India, USAID Mission to India 1965.</w:t>
      </w:r>
    </w:p>
    <w:p>
      <w:pPr>
        <w:pStyle w:val="style179"/>
        <w:numPr>
          <w:ilvl w:val="0"/>
          <w:numId w:val="1"/>
        </w:numPr>
        <w:jc w:val="both"/>
        <w:rPr/>
      </w:pPr>
      <w:r>
        <w:t xml:space="preserve">Mourya S, Shaikh S, Mathur AK. Assessment of </w:t>
      </w:r>
      <w:r>
        <w:t>Physico</w:t>
      </w:r>
      <w:r>
        <w:t>-chemical properties of Irrigated soil in Kota city of Rajasthan, International Journal of Technical Research &amp; Science 2016;1(5):61-64.</w:t>
      </w:r>
    </w:p>
    <w:p>
      <w:pPr>
        <w:pStyle w:val="style179"/>
        <w:numPr>
          <w:ilvl w:val="0"/>
          <w:numId w:val="1"/>
        </w:numPr>
        <w:jc w:val="both"/>
        <w:rPr/>
      </w:pPr>
      <w:r>
        <w:t xml:space="preserve">Nayak P, Nama KS, Choudhary K. Study on Soil Parameters of Selected Sites in </w:t>
      </w:r>
      <w:r>
        <w:t>Mukundara</w:t>
      </w:r>
      <w:r>
        <w:t xml:space="preserve"> Hills National Park, Kota, Rajasthan, Int. J Pure App. </w:t>
      </w:r>
      <w:r>
        <w:t>Biosci</w:t>
      </w:r>
      <w:r>
        <w:t xml:space="preserve"> 2016;4(4):316-320.</w:t>
      </w:r>
    </w:p>
    <w:p>
      <w:pPr>
        <w:pStyle w:val="style179"/>
        <w:numPr>
          <w:ilvl w:val="0"/>
          <w:numId w:val="1"/>
        </w:numPr>
        <w:jc w:val="both"/>
        <w:rPr/>
      </w:pPr>
      <w:r>
        <w:t xml:space="preserve">Somasundaram J, Singh RK, </w:t>
      </w:r>
      <w:r>
        <w:t>Parandiyal</w:t>
      </w:r>
      <w:r>
        <w:t xml:space="preserve"> AK, Prasad </w:t>
      </w:r>
      <w:r>
        <w:t>SN.Micronutrient</w:t>
      </w:r>
      <w:r>
        <w:t xml:space="preserve"> status of soils under different land use systems in Chambal ravines. Journal of the Indian Society of Soil Science 2009, 57(3).</w:t>
      </w:r>
    </w:p>
    <w:p>
      <w:pPr>
        <w:pStyle w:val="style179"/>
        <w:numPr>
          <w:ilvl w:val="0"/>
          <w:numId w:val="1"/>
        </w:numPr>
        <w:jc w:val="both"/>
        <w:rPr/>
      </w:pPr>
      <w:r>
        <w:t xml:space="preserve">Siva Prasad PN, </w:t>
      </w:r>
      <w:r>
        <w:t>Subbarayappa</w:t>
      </w:r>
      <w:r>
        <w:t xml:space="preserve"> CT, Reddy MR, Hari Mohan Meena. Development of Critical Limits for Different Crops Grown in Different Soils and Its use in Optimizing Fertilizer Rates. Int. J Curr. </w:t>
      </w:r>
      <w:r>
        <w:t>Microbiol</w:t>
      </w:r>
      <w:r>
        <w:t xml:space="preserve">. </w:t>
      </w:r>
      <w:r>
        <w:t>App.Sci</w:t>
      </w:r>
      <w:r>
        <w:t xml:space="preserve"> 2017;6(6):241-249.</w:t>
      </w:r>
    </w:p>
    <w:p>
      <w:pPr>
        <w:pStyle w:val="style179"/>
        <w:numPr>
          <w:ilvl w:val="0"/>
          <w:numId w:val="1"/>
        </w:numPr>
        <w:jc w:val="both"/>
        <w:rPr/>
      </w:pPr>
      <w:r>
        <w:t>Subbiah BV, Asija GL. A rapid procedure for the estimation of available nitrogen in the soil, Current Science 1956;25:259-260.</w:t>
      </w:r>
    </w:p>
    <w:p>
      <w:pPr>
        <w:pStyle w:val="style179"/>
        <w:numPr>
          <w:ilvl w:val="0"/>
          <w:numId w:val="1"/>
        </w:numPr>
        <w:jc w:val="both"/>
        <w:rPr/>
      </w:pPr>
      <w:r>
        <w:t xml:space="preserve">Walkley A, Black IA. An examination of the </w:t>
      </w:r>
      <w:r>
        <w:t>Degtjareff</w:t>
      </w:r>
      <w:r>
        <w:t xml:space="preserve"> method for </w:t>
      </w:r>
      <w:r>
        <w:t>determiing</w:t>
      </w:r>
      <w:r>
        <w:t xml:space="preserve"> soil organic matter and a proposed modification of the chromic acid titration method. Soil Science </w:t>
      </w:r>
      <w:r>
        <w:t>1934; 37:29</w:t>
      </w:r>
      <w:r>
        <w:t xml:space="preserve">-38. </w:t>
      </w:r>
    </w:p>
    <w:p>
      <w:pPr>
        <w:pStyle w:val="style179"/>
        <w:numPr>
          <w:ilvl w:val="0"/>
          <w:numId w:val="1"/>
        </w:numPr>
        <w:jc w:val="both"/>
        <w:rPr/>
      </w:pPr>
      <w:r>
        <w:t xml:space="preserve">Wilcox LV. Electrical conductivity. American Water Works Association J </w:t>
      </w:r>
      <w:r>
        <w:t>1950; 42:775</w:t>
      </w:r>
      <w:r>
        <w:t>-776.</w:t>
      </w:r>
    </w:p>
    <w:p>
      <w:pPr>
        <w:pStyle w:val="style179"/>
        <w:numPr>
          <w:ilvl w:val="0"/>
          <w:numId w:val="1"/>
        </w:numPr>
        <w:jc w:val="both"/>
        <w:rPr/>
      </w:pPr>
      <w:r>
        <w:t xml:space="preserve"> Zhang, Y., &amp; Liu, X. (2022). Dynamic soil health indicators and their impact on sustainable agriculture in the 21st century. Field Crops Research, 273, 108987. </w:t>
      </w:r>
      <w:r>
        <w:rPr>
          <w:highlight w:val="yellow"/>
        </w:rPr>
        <w:t>[https://doi.org/10.1016/j.fcr.2021.108987]</w:t>
      </w:r>
    </w:p>
    <w:p>
      <w:pPr>
        <w:pStyle w:val="style179"/>
        <w:numPr>
          <w:ilvl w:val="0"/>
          <w:numId w:val="1"/>
        </w:numPr>
        <w:jc w:val="both"/>
        <w:rPr/>
      </w:pPr>
      <w:r>
        <w:t xml:space="preserve">Rhoades, J. D., &amp; Corwin, D. L. (1990). Soil electrical conductivity: An assessment of its utility in </w:t>
      </w:r>
      <w:r>
        <w:t>agriculture.Communications</w:t>
      </w:r>
      <w:r>
        <w:t xml:space="preserve"> in Soil Science and Plant Analysis, 21(11–12), 837–860.</w:t>
      </w:r>
      <w:r>
        <w:rPr>
          <w:highlight w:val="yellow"/>
        </w:rPr>
        <w:t xml:space="preserve"> [https://doi.org/10.1080/00103629009368266]</w:t>
      </w:r>
    </w:p>
    <w:p>
      <w:pPr>
        <w:pStyle w:val="style179"/>
        <w:numPr>
          <w:ilvl w:val="0"/>
          <w:numId w:val="1"/>
        </w:numPr>
        <w:jc w:val="both"/>
        <w:rPr/>
      </w:pPr>
      <w:r>
        <w:t xml:space="preserve"> </w:t>
      </w:r>
      <w:r>
        <w:t>Fageria</w:t>
      </w:r>
      <w:r>
        <w:t xml:space="preserve">, N. K., </w:t>
      </w:r>
      <w:r>
        <w:t>Baligar</w:t>
      </w:r>
      <w:r>
        <w:t xml:space="preserve">, V. C., &amp; Clark, R. B. (2002). Micronutrients in crop production advances in Agronomy, </w:t>
      </w:r>
      <w:r>
        <w:t>77,</w:t>
      </w:r>
      <w:r>
        <w:t xml:space="preserve"> 185–268. </w:t>
      </w:r>
      <w:r>
        <w:rPr>
          <w:highlight w:val="yellow"/>
        </w:rPr>
        <w:t>[https://doi.org/10.1016/S0065-2113(02)77015-6</w:t>
      </w:r>
      <w:r>
        <w:t>]</w:t>
      </w:r>
    </w:p>
    <w:p>
      <w:pPr>
        <w:pStyle w:val="style179"/>
        <w:numPr>
          <w:ilvl w:val="0"/>
          <w:numId w:val="16"/>
        </w:numPr>
        <w:tabs>
          <w:tab w:val="left" w:leader="none" w:pos="960"/>
        </w:tabs>
        <w:rPr>
          <w:highlight w:val="yellow"/>
        </w:rPr>
      </w:pPr>
      <w:r>
        <w:t xml:space="preserve">Gupta, A., &amp; Singh, M. (2013). Heavy metal contamination in Indian water resources: A review. Environmental Monitoring and Assessment, 185(7), 5819–5828. </w:t>
      </w:r>
      <w:r>
        <w:rPr>
          <w:highlight w:val="yellow"/>
        </w:rPr>
        <w:t>[https://doi.org/10.1007/s10661-012-2999-2]</w:t>
      </w:r>
    </w:p>
    <w:p>
      <w:pPr>
        <w:pStyle w:val="style179"/>
        <w:numPr>
          <w:ilvl w:val="0"/>
          <w:numId w:val="16"/>
        </w:numPr>
        <w:tabs>
          <w:tab w:val="left" w:leader="none" w:pos="960"/>
        </w:tabs>
        <w:rPr>
          <w:highlight w:val="yellow"/>
        </w:rPr>
      </w:pPr>
      <w:r>
        <w:t xml:space="preserve">Singh, V., Choudhary, A., &amp; Yadav, R. (2018). Iron and manganese contamination in groundwater of Central India: Sources and risk assessment. Groundwater for Sustainable Development, 7, 331–339. </w:t>
      </w:r>
      <w:r>
        <w:rPr>
          <w:highlight w:val="yellow"/>
        </w:rPr>
        <w:t>[https://doi.org/10.1016/j.gsd.2018.06.006]</w:t>
      </w:r>
    </w:p>
    <w:p>
      <w:pPr>
        <w:pStyle w:val="style179"/>
        <w:numPr>
          <w:ilvl w:val="0"/>
          <w:numId w:val="16"/>
        </w:numPr>
        <w:tabs>
          <w:tab w:val="left" w:leader="none" w:pos="960"/>
        </w:tabs>
        <w:rPr/>
      </w:pPr>
      <w:r>
        <w:t>Jain, C. K., &amp; Bhadra, A. (2019). Application of GIS for assessment of spatial distribution of water quality: A case study. Environmental Monitoring and Assessment, 191(5), Article 294.</w:t>
      </w:r>
      <w:r>
        <w:rPr>
          <w:highlight w:val="yellow"/>
        </w:rPr>
        <w:t xml:space="preserve"> [https://doi.org/10.1007/s10661-019-7420-1]</w:t>
      </w:r>
    </w:p>
    <w:p>
      <w:pPr>
        <w:pStyle w:val="style179"/>
        <w:numPr>
          <w:ilvl w:val="0"/>
          <w:numId w:val="16"/>
        </w:numPr>
        <w:tabs>
          <w:tab w:val="left" w:leader="none" w:pos="960"/>
        </w:tabs>
        <w:rPr/>
      </w:pPr>
      <w:r>
        <w:t xml:space="preserve">Kumar, S., Singh, R., &amp; Sharma, A. (2023). Rapid on-site detection of micronutrients in soil using microfluidic colorimetric devices. Materials Advances, 6(12), 5500–5512. </w:t>
      </w:r>
      <w:r>
        <w:rPr>
          <w:highlight w:val="yellow"/>
        </w:rPr>
        <w:t>[https://doi.org/10.1039/D4MA00971A]</w:t>
      </w:r>
    </w:p>
    <w:p>
      <w:pPr>
        <w:pStyle w:val="style179"/>
        <w:numPr>
          <w:ilvl w:val="0"/>
          <w:numId w:val="16"/>
        </w:numPr>
        <w:tabs>
          <w:tab w:val="left" w:leader="none" w:pos="960"/>
        </w:tabs>
        <w:rPr/>
      </w:pPr>
      <w:r>
        <w:t xml:space="preserve">Sharma, R., &amp; Mehta, S. (2023). Soil fertility assessment combining portable XRF and microscopic </w:t>
      </w:r>
      <w:r>
        <w:t>imagery.Soil</w:t>
      </w:r>
      <w:r>
        <w:t xml:space="preserve"> Science and Plant Nutrition, 69(3), 334–344. </w:t>
      </w:r>
      <w:r>
        <w:rPr>
          <w:highlight w:val="yellow"/>
        </w:rPr>
        <w:t>[https://doi.org/10.1080/00380768.2023.2156784]</w:t>
      </w:r>
    </w:p>
    <w:p>
      <w:pPr>
        <w:pStyle w:val="style179"/>
        <w:numPr>
          <w:ilvl w:val="0"/>
          <w:numId w:val="16"/>
        </w:numPr>
        <w:tabs>
          <w:tab w:val="left" w:leader="none" w:pos="960"/>
        </w:tabs>
        <w:rPr/>
      </w:pPr>
      <w:r>
        <w:t xml:space="preserve">Singh, P., &amp; Verma, S. (2024). Machine learning approaches for predicting soil macronutrients (N, P, K) using soil physicochemical </w:t>
      </w:r>
      <w:r>
        <w:t>properties.Computers</w:t>
      </w:r>
      <w:r>
        <w:t xml:space="preserve"> and Electronics in Agriculture, 220, 107910. </w:t>
      </w:r>
      <w:r>
        <w:rPr>
          <w:highlight w:val="yellow"/>
        </w:rPr>
        <w:t>[https://doi.org/10.1016/j.compag.2023.107910</w:t>
      </w:r>
      <w:r>
        <w:t>]</w:t>
      </w:r>
    </w:p>
    <w:p>
      <w:pPr>
        <w:pStyle w:val="style179"/>
        <w:numPr>
          <w:ilvl w:val="0"/>
          <w:numId w:val="16"/>
        </w:numPr>
        <w:tabs>
          <w:tab w:val="left" w:leader="none" w:pos="960"/>
        </w:tabs>
        <w:rPr/>
      </w:pPr>
      <w:r>
        <w:t xml:space="preserve"> Indian Council of Agricultural Research (ICAR). (2025</w:t>
      </w:r>
      <w:r>
        <w:t>). Soil</w:t>
      </w:r>
      <w:r>
        <w:t xml:space="preserve"> health and nutrient management for sustainable agriculture. ICAR Publication.</w:t>
      </w:r>
    </w:p>
    <w:p>
      <w:pPr>
        <w:pStyle w:val="style179"/>
        <w:numPr>
          <w:ilvl w:val="0"/>
          <w:numId w:val="16"/>
        </w:numPr>
        <w:tabs>
          <w:tab w:val="left" w:leader="none" w:pos="960"/>
        </w:tabs>
        <w:rPr/>
      </w:pPr>
      <w:r>
        <w:t>Dewangan</w:t>
      </w:r>
      <w:r>
        <w:t xml:space="preserve">, S. K., Shukla, N., Pandey, U., Kushwaha, S., Mistry, A., Kumar, A., </w:t>
      </w:r>
      <w:r>
        <w:t>Sawaiyan</w:t>
      </w:r>
      <w:r>
        <w:t xml:space="preserve">, A. (2022). Experimental Investigation of </w:t>
      </w:r>
      <w:r>
        <w:t>Physico</w:t>
      </w:r>
      <w:r>
        <w:t xml:space="preserve">-Chemical Properties of Water taken from </w:t>
      </w:r>
      <w:r>
        <w:t>Bantidand</w:t>
      </w:r>
      <w:r>
        <w:t xml:space="preserve"> River, Balrampur District, </w:t>
      </w:r>
      <w:r>
        <w:t>Surguja</w:t>
      </w:r>
      <w:r>
        <w:t xml:space="preserve"> Division of Chhattisgarh, India. International Journal of Research Publication and Reviews, 3(12), 1723-1726. </w:t>
      </w:r>
      <w:r>
        <w:t>Researchgate</w:t>
      </w:r>
    </w:p>
    <w:p>
      <w:pPr>
        <w:pStyle w:val="style179"/>
        <w:numPr>
          <w:ilvl w:val="0"/>
          <w:numId w:val="16"/>
        </w:numPr>
        <w:tabs>
          <w:tab w:val="left" w:leader="none" w:pos="960"/>
        </w:tabs>
        <w:rPr/>
      </w:pPr>
      <w:r>
        <w:t>Dewangan</w:t>
      </w:r>
      <w:r>
        <w:t xml:space="preserve">, S. K., </w:t>
      </w:r>
      <w:r>
        <w:t>Tigga</w:t>
      </w:r>
      <w:r>
        <w:t xml:space="preserve">, P., Kumar, N., &amp; Shrivastava, S. K. (2023). Assessment of Physicochemical Properties of Self-Flowing Water </w:t>
      </w:r>
      <w:r>
        <w:t>from</w:t>
      </w:r>
      <w:r>
        <w:t xml:space="preserve"> </w:t>
      </w:r>
      <w:r>
        <w:t>Butapani</w:t>
      </w:r>
      <w:r>
        <w:t xml:space="preserve">, </w:t>
      </w:r>
      <w:r>
        <w:t>Lundra</w:t>
      </w:r>
      <w:r>
        <w:t xml:space="preserve"> Block, </w:t>
      </w:r>
      <w:r>
        <w:t>Surguja</w:t>
      </w:r>
      <w:r>
        <w:t xml:space="preserve"> District, Chhattisgarh, India. IJSART, 9(11). </w:t>
      </w:r>
      <w:r>
        <w:t>Researchget</w:t>
      </w:r>
    </w:p>
    <w:p>
      <w:pPr>
        <w:pStyle w:val="style179"/>
        <w:numPr>
          <w:ilvl w:val="0"/>
          <w:numId w:val="16"/>
        </w:numPr>
        <w:tabs>
          <w:tab w:val="left" w:leader="none" w:pos="960"/>
        </w:tabs>
        <w:rPr/>
      </w:pPr>
      <w:r>
        <w:t>.</w:t>
      </w:r>
      <w:r>
        <w:t>Dewangan</w:t>
      </w:r>
      <w:r>
        <w:t xml:space="preserve">, S. K., </w:t>
      </w:r>
      <w:r>
        <w:t>Tigga</w:t>
      </w:r>
      <w:r>
        <w:t xml:space="preserve">, V., Lakra, M., &amp; Preeti. (2022). Analysis of Physio-Chemical Properties of Water Taken from Various Sources and Their Comparative Study, </w:t>
      </w:r>
      <w:r>
        <w:t>Ambikapur</w:t>
      </w:r>
      <w:r>
        <w:t xml:space="preserve">, </w:t>
      </w:r>
      <w:r>
        <w:t>Sarguja</w:t>
      </w:r>
      <w:r>
        <w:t xml:space="preserve"> Division of Chhattisgarh, India. International Journal for Research in Applied Science &amp; Engineering Technology (IJRASET), 10(11), 703-705. </w:t>
      </w:r>
      <w:r>
        <w:t>Researchgate</w:t>
      </w:r>
    </w:p>
    <w:p>
      <w:pPr>
        <w:pStyle w:val="style179"/>
        <w:numPr>
          <w:ilvl w:val="0"/>
          <w:numId w:val="16"/>
        </w:numPr>
        <w:tabs>
          <w:tab w:val="left" w:leader="none" w:pos="960"/>
        </w:tabs>
        <w:rPr/>
      </w:pPr>
      <w:r>
        <w:t>Dewangan</w:t>
      </w:r>
      <w:r>
        <w:t xml:space="preserve">, S. K., Toppo, D. N., Kujur, A. (2023). Investigating the Impact of pH Levels on Water Quality: An Experimental Approach. International Journal for Research in Applied Science &amp; Engineering Technology (IJRASET), 11(IX), 756-760. </w:t>
      </w:r>
      <w:r>
        <w:t>Researchgate</w:t>
      </w:r>
      <w:r>
        <w:t>.</w:t>
      </w:r>
    </w:p>
    <w:p>
      <w:pPr>
        <w:pStyle w:val="style179"/>
        <w:numPr>
          <w:ilvl w:val="0"/>
          <w:numId w:val="16"/>
        </w:numPr>
        <w:tabs>
          <w:tab w:val="left" w:leader="none" w:pos="960"/>
        </w:tabs>
        <w:rPr/>
      </w:pPr>
      <w:r>
        <w:t>Dewangan</w:t>
      </w:r>
      <w:r>
        <w:t xml:space="preserve">, S. K., Yadav, K., Shrivastava, S. K. (2023). The Impact of Dielectric Constant on Water Properties at Varied Frequencies: A Systematic Review. International Journal of Research Publication and Reviews, 4(6), 1982-1985. </w:t>
      </w:r>
      <w:r>
        <w:t>Researchgate</w:t>
      </w:r>
      <w:r>
        <w:t>.</w:t>
      </w:r>
    </w:p>
    <w:p>
      <w:pPr>
        <w:pStyle w:val="style179"/>
        <w:numPr>
          <w:ilvl w:val="0"/>
          <w:numId w:val="16"/>
        </w:numPr>
        <w:tabs>
          <w:tab w:val="left" w:leader="none" w:pos="960"/>
        </w:tabs>
        <w:rPr/>
      </w:pPr>
      <w:r>
        <w:t>Marshall, E. G. (2010). Long-term effects of soil amendments on soil health and crop productivity. Soil Biology &amp; Biochemistry, 42, 1121–1131.</w:t>
      </w:r>
    </w:p>
    <w:p>
      <w:pPr>
        <w:pStyle w:val="style179"/>
        <w:numPr>
          <w:ilvl w:val="0"/>
          <w:numId w:val="16"/>
        </w:numPr>
        <w:tabs>
          <w:tab w:val="left" w:leader="none" w:pos="960"/>
        </w:tabs>
        <w:rPr/>
      </w:pPr>
      <w:r>
        <w:t>Fageria</w:t>
      </w:r>
      <w:r>
        <w:t xml:space="preserve">, N. K., </w:t>
      </w:r>
      <w:r>
        <w:t>Baligar</w:t>
      </w:r>
      <w:r>
        <w:t>, V. C., &amp; Clark, R. B. (2002). Micronutrients in crop production. Advances in Agronomy, 77, 185–268.</w:t>
      </w:r>
      <w:r>
        <w:rPr>
          <w:highlight w:val="yellow"/>
        </w:rPr>
        <w:t>https://doi.org/10.1016/S0065-2113(02)77015-6</w:t>
      </w:r>
      <w:r>
        <w:cr/>
      </w:r>
    </w:p>
    <w:p>
      <w:pPr>
        <w:pStyle w:val="style0"/>
        <w:tabs>
          <w:tab w:val="left" w:leader="none" w:pos="960"/>
        </w:tabs>
        <w:rPr>
          <w:rFonts w:ascii="Times New Roman" w:hAnsi="Times New Roman"/>
        </w:rPr>
      </w:pPr>
    </w:p>
    <w:p>
      <w:pPr>
        <w:pStyle w:val="style0"/>
        <w:tabs>
          <w:tab w:val="left" w:leader="none" w:pos="960"/>
        </w:tabs>
        <w:rPr>
          <w:rFonts w:ascii="Times New Roman" w:hAnsi="Times New Roman"/>
        </w:rPr>
      </w:pPr>
    </w:p>
    <w:p>
      <w:pPr>
        <w:pStyle w:val="style0"/>
        <w:tabs>
          <w:tab w:val="left" w:leader="none" w:pos="960"/>
        </w:tabs>
        <w:rPr>
          <w:rFonts w:ascii="Times New Roman" w:hAnsi="Times New Roman"/>
        </w:rPr>
      </w:pPr>
    </w:p>
    <w:sectPr>
      <w:headerReference w:type="default" r:id="rId12"/>
      <w:footerReference w:type="default" r:id="rId1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2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3F48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00000001"/>
    <w:multiLevelType w:val="hybridMultilevel"/>
    <w:tmpl w:val="A97611B0"/>
    <w:lvl w:ilvl="0" w:tplc="0409000F">
      <w:start w:val="18"/>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nsid w:val="00000002"/>
    <w:multiLevelType w:val="hybridMultilevel"/>
    <w:tmpl w:val="EF3D8B4C"/>
    <w:lvl w:ilvl="0" w:tplc="0409000F">
      <w:start w:val="3"/>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nsid w:val="00000003"/>
    <w:multiLevelType w:val="hybridMultilevel"/>
    <w:tmpl w:val="59902DF2"/>
    <w:lvl w:ilvl="0" w:tplc="0409000F">
      <w:start w:val="3"/>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
    <w:nsid w:val="00000004"/>
    <w:multiLevelType w:val="hybridMultilevel"/>
    <w:tmpl w:val="4BC0FBC0"/>
    <w:lvl w:ilvl="0" w:tplc="0409000F">
      <w:start w:val="3"/>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
    <w:nsid w:val="00000005"/>
    <w:multiLevelType w:val="hybridMultilevel"/>
    <w:tmpl w:val="C5FF13A0"/>
    <w:lvl w:ilvl="0" w:tplc="0409000F">
      <w:start w:val="8"/>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6">
    <w:nsid w:val="00000006"/>
    <w:multiLevelType w:val="hybridMultilevel"/>
    <w:tmpl w:val="DC4D3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7">
    <w:nsid w:val="00000007"/>
    <w:multiLevelType w:val="hybridMultilevel"/>
    <w:tmpl w:val="BD9A04A3"/>
    <w:lvl w:ilvl="0" w:tplc="0409000F">
      <w:start w:val="5"/>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8">
    <w:nsid w:val="00000008"/>
    <w:multiLevelType w:val="hybridMultilevel"/>
    <w:tmpl w:val="F4797A08"/>
    <w:lvl w:ilvl="0" w:tplc="0409000F">
      <w:start w:val="8"/>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9">
    <w:nsid w:val="00000009"/>
    <w:multiLevelType w:val="hybridMultilevel"/>
    <w:tmpl w:val="3B2707C6"/>
    <w:lvl w:ilvl="0" w:tplc="0409000F">
      <w:start w:val="15"/>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0">
    <w:nsid w:val="0000000A"/>
    <w:multiLevelType w:val="hybridMultilevel"/>
    <w:tmpl w:val="78902F8A"/>
    <w:lvl w:ilvl="0" w:tplc="0409000F">
      <w:start w:val="3"/>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1">
    <w:nsid w:val="0000000B"/>
    <w:multiLevelType w:val="hybridMultilevel"/>
    <w:tmpl w:val="B4DDCBAF"/>
    <w:lvl w:ilvl="0" w:tplc="0409000F">
      <w:start w:val="33"/>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6"/>
  </w:num>
  <w:num w:numId="2">
    <w:abstractNumId w:val="0"/>
  </w:num>
  <w:num w:numId="3">
    <w:abstractNumId w:val="2"/>
  </w:num>
  <w:num w:numId="4">
    <w:abstractNumId w:val="2"/>
  </w:num>
  <w:num w:numId="5">
    <w:abstractNumId w:val="0"/>
  </w:num>
  <w:num w:numId="6">
    <w:abstractNumId w:val="1"/>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1"/>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IN" w:bidi="ar-SA" w:eastAsia="en-IN"/>
      </w:rPr>
    </w:rPrDefault>
    <w:pPrDefault>
      <w:pPr/>
    </w:pPrDefault>
  </w:docDefaults>
  <w:style w:type="paragraph" w:default="1" w:styleId="style0">
    <w:name w:val="Normal"/>
    <w:next w:val="style0"/>
    <w:qFormat/>
    <w:pPr>
      <w:spacing w:after="200" w:lineRule="auto" w:line="276"/>
    </w:pPr>
    <w:rPr>
      <w:sz w:val="22"/>
      <w:szCs w:val="22"/>
      <w:lang w:val="en-US"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styleId="style167">
    <w:name w:val="Medium Grid 3"/>
    <w:basedOn w:val="style105"/>
    <w:next w:val="style167"/>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 w:type="paragraph" w:styleId="style179">
    <w:name w:val="List Paragraph"/>
    <w:basedOn w:val="style0"/>
    <w:next w:val="style179"/>
    <w:qFormat/>
    <w:pPr>
      <w:ind w:left="720"/>
    </w:pPr>
    <w:rPr>
      <w:rFonts w:ascii="Times New Roman" w:hAnsi="Times New Roman"/>
    </w:rPr>
  </w:style>
</w:styles>
</file>

<file path=word/_rels/document.xml.rels><?xml version="1.0" encoding="UTF-8"?>
<Relationships xmlns="http://schemas.openxmlformats.org/package/2006/relationships"><Relationship Id="rId11" Type="http://schemas.openxmlformats.org/officeDocument/2006/relationships/chart" Target="charts/chart10.xml"/><Relationship Id="rId10" Type="http://schemas.openxmlformats.org/officeDocument/2006/relationships/chart" Target="charts/chart9.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chart" Target="charts/chart1.xml"/><Relationship Id="rId3" Type="http://schemas.openxmlformats.org/officeDocument/2006/relationships/chart" Target="charts/chart2.xml"/><Relationship Id="rId4" Type="http://schemas.openxmlformats.org/officeDocument/2006/relationships/chart" Target="charts/chart3.xml"/><Relationship Id="rId9" Type="http://schemas.openxmlformats.org/officeDocument/2006/relationships/chart" Target="charts/chart8.xml"/><Relationship Id="rId15" Type="http://schemas.openxmlformats.org/officeDocument/2006/relationships/fontTable" Target="fontTable.xml"/><Relationship Id="rId14" Type="http://schemas.openxmlformats.org/officeDocument/2006/relationships/styles" Target="styles.xml"/><Relationship Id="rId17" Type="http://schemas.openxmlformats.org/officeDocument/2006/relationships/theme" Target="theme/theme1.xml"/><Relationship Id="rId16" Type="http://schemas.openxmlformats.org/officeDocument/2006/relationships/settings" Target="settings.xml"/><Relationship Id="rId5" Type="http://schemas.openxmlformats.org/officeDocument/2006/relationships/chart" Target="charts/chart4.xml"/><Relationship Id="rId6" Type="http://schemas.openxmlformats.org/officeDocument/2006/relationships/chart" Target="charts/chart5.xml"/><Relationship Id="rId7" Type="http://schemas.openxmlformats.org/officeDocument/2006/relationships/chart" Target="charts/chart6.xml"/><Relationship Id="rId8" Type="http://schemas.openxmlformats.org/officeDocument/2006/relationships/chart" Target="charts/chart7.xml"/></Relationships>
</file>

<file path=word/charts/_rels/chart1.xml.rels><?xml version="1.0" encoding="UTF-8"?>
<Relationships xmlns="http://schemas.openxmlformats.org/package/2006/relationships"><Relationship Id="rId1" Type="http://schemas.openxmlformats.org/officeDocument/2006/relationships/oleObject" TargetMode="External" Target="F:/Vivek%20Work/Paper/Paper%203/Paper_2-1_no_outline.xlsx"/><Relationship Id="rId2" Type="http://schemas.microsoft.com/office/2011/relationships/chartStyle" Target="style7.xml"/><Relationship Id="rId3" Type="http://schemas.microsoft.com/office/2011/relationships/chartColorStyle" Target="colors7.xml"/><Relationship Id="rId4" Type="http://schemas.openxmlformats.org/officeDocument/2006/relationships/themeOverride" Target="../theme/themeOverride7.xml"/></Relationships>
</file>

<file path=word/charts/_rels/chart10.xml.rels><?xml version="1.0" encoding="UTF-8"?>
<Relationships xmlns="http://schemas.openxmlformats.org/package/2006/relationships"><Relationship Id="rId1" Type="http://schemas.openxmlformats.org/officeDocument/2006/relationships/oleObject" TargetMode="External" Target="F:/Vivek%20Work/Paper/Paper%203/Paper_2-1_no_outline.xlsx"/><Relationship Id="rId2" Type="http://schemas.microsoft.com/office/2011/relationships/chartStyle" Target="style2.xml"/><Relationship Id="rId3" Type="http://schemas.microsoft.com/office/2011/relationships/chartColorStyle" Target="colors2.xml"/><Relationship Id="rId4" Type="http://schemas.openxmlformats.org/officeDocument/2006/relationships/themeOverride" Target="../theme/themeOverride2.xml"/></Relationships>
</file>

<file path=word/charts/_rels/chart2.xml.rels><?xml version="1.0" encoding="UTF-8"?>
<Relationships xmlns="http://schemas.openxmlformats.org/package/2006/relationships"><Relationship Id="rId1" Type="http://schemas.openxmlformats.org/officeDocument/2006/relationships/oleObject" TargetMode="External" Target="F:/Vivek%20Work/Paper/Paper%203/Paper_2-1_no_outline.xlsx"/><Relationship Id="rId2" Type="http://schemas.microsoft.com/office/2011/relationships/chartStyle" Target="style1.xml"/><Relationship Id="rId3" Type="http://schemas.microsoft.com/office/2011/relationships/chartColorStyle" Target="colors1.xml"/><Relationship Id="rId4" Type="http://schemas.openxmlformats.org/officeDocument/2006/relationships/themeOverride" Target="../theme/themeOverride1.xml"/></Relationships>
</file>

<file path=word/charts/_rels/chart3.xml.rels><?xml version="1.0" encoding="UTF-8"?>
<Relationships xmlns="http://schemas.openxmlformats.org/package/2006/relationships"><Relationship Id="rId1" Type="http://schemas.openxmlformats.org/officeDocument/2006/relationships/oleObject" TargetMode="External" Target="F:/Vivek%20Work/Paper/Paper%203/Paper_2-1_no_outline.xlsx"/><Relationship Id="rId2" Type="http://schemas.microsoft.com/office/2011/relationships/chartStyle" Target="style8.xml"/><Relationship Id="rId3" Type="http://schemas.microsoft.com/office/2011/relationships/chartColorStyle" Target="colors8.xml"/><Relationship Id="rId4" Type="http://schemas.openxmlformats.org/officeDocument/2006/relationships/themeOverride" Target="../theme/themeOverride8.xml"/></Relationships>
</file>

<file path=word/charts/_rels/chart4.xml.rels><?xml version="1.0" encoding="UTF-8"?>
<Relationships xmlns="http://schemas.openxmlformats.org/package/2006/relationships"><Relationship Id="rId1" Type="http://schemas.openxmlformats.org/officeDocument/2006/relationships/oleObject" TargetMode="External" Target="F:/Vivek%20Work/Paper/Paper%203/Paper_2-1_no_outline.xlsx"/><Relationship Id="rId2" Type="http://schemas.microsoft.com/office/2011/relationships/chartStyle" Target="style9.xml"/><Relationship Id="rId3" Type="http://schemas.microsoft.com/office/2011/relationships/chartColorStyle" Target="colors9.xml"/><Relationship Id="rId4" Type="http://schemas.openxmlformats.org/officeDocument/2006/relationships/themeOverride" Target="../theme/themeOverride9.xml"/></Relationships>
</file>

<file path=word/charts/_rels/chart5.xml.rels><?xml version="1.0" encoding="UTF-8"?>
<Relationships xmlns="http://schemas.openxmlformats.org/package/2006/relationships"><Relationship Id="rId1" Type="http://schemas.openxmlformats.org/officeDocument/2006/relationships/oleObject" TargetMode="External" Target="F:/Vivek%20Work/Paper/Paper%203/Paper_2-1_no_outline.xlsx"/><Relationship Id="rId2" Type="http://schemas.microsoft.com/office/2011/relationships/chartStyle" Target="style5.xml"/><Relationship Id="rId3" Type="http://schemas.microsoft.com/office/2011/relationships/chartColorStyle" Target="colors5.xml"/><Relationship Id="rId4" Type="http://schemas.openxmlformats.org/officeDocument/2006/relationships/themeOverride" Target="../theme/themeOverride5.xml"/></Relationships>
</file>

<file path=word/charts/_rels/chart6.xml.rels><?xml version="1.0" encoding="UTF-8"?>
<Relationships xmlns="http://schemas.openxmlformats.org/package/2006/relationships"><Relationship Id="rId1" Type="http://schemas.openxmlformats.org/officeDocument/2006/relationships/oleObject" TargetMode="External" Target="F:/Vivek%20Work/Paper/Paper%203/Paper_2-1_no_outline.xlsx"/><Relationship Id="rId2" Type="http://schemas.microsoft.com/office/2011/relationships/chartStyle" Target="style10.xml"/><Relationship Id="rId3" Type="http://schemas.microsoft.com/office/2011/relationships/chartColorStyle" Target="colors10.xml"/><Relationship Id="rId4" Type="http://schemas.openxmlformats.org/officeDocument/2006/relationships/themeOverride" Target="../theme/themeOverride10.xml"/></Relationships>
</file>

<file path=word/charts/_rels/chart7.xml.rels><?xml version="1.0" encoding="UTF-8"?>
<Relationships xmlns="http://schemas.openxmlformats.org/package/2006/relationships"><Relationship Id="rId1" Type="http://schemas.openxmlformats.org/officeDocument/2006/relationships/oleObject" TargetMode="External" Target="F:/Vivek%20Work/Paper/Paper%203/Paper_2-1_no_outline.xlsx"/><Relationship Id="rId2" Type="http://schemas.microsoft.com/office/2011/relationships/chartStyle" Target="style3.xml"/><Relationship Id="rId3" Type="http://schemas.microsoft.com/office/2011/relationships/chartColorStyle" Target="colors3.xml"/><Relationship Id="rId4" Type="http://schemas.openxmlformats.org/officeDocument/2006/relationships/themeOverride" Target="../theme/themeOverride3.xml"/></Relationships>
</file>

<file path=word/charts/_rels/chart8.xml.rels><?xml version="1.0" encoding="UTF-8"?>
<Relationships xmlns="http://schemas.openxmlformats.org/package/2006/relationships"><Relationship Id="rId1" Type="http://schemas.openxmlformats.org/officeDocument/2006/relationships/oleObject" TargetMode="External" Target="F:/Vivek%20Work/Paper/Paper%203/Paper_2-1_no_outline.xlsx"/><Relationship Id="rId2" Type="http://schemas.microsoft.com/office/2011/relationships/chartStyle" Target="style4.xml"/><Relationship Id="rId3" Type="http://schemas.microsoft.com/office/2011/relationships/chartColorStyle" Target="colors4.xml"/><Relationship Id="rId4" Type="http://schemas.openxmlformats.org/officeDocument/2006/relationships/themeOverride" Target="../theme/themeOverride4.xml"/></Relationships>
</file>

<file path=word/charts/_rels/chart9.xml.rels><?xml version="1.0" encoding="UTF-8"?>
<Relationships xmlns="http://schemas.openxmlformats.org/package/2006/relationships"><Relationship Id="rId1" Type="http://schemas.openxmlformats.org/officeDocument/2006/relationships/oleObject" TargetMode="External" Target="F:/Vivek%20Work/Paper/Paper%203/Paper_2-1_no_outline.xlsx"/><Relationship Id="rId2" Type="http://schemas.microsoft.com/office/2011/relationships/chartStyle" Target="style6.xml"/><Relationship Id="rId3" Type="http://schemas.microsoft.com/office/2011/relationships/chartColorStyle" Target="colors6.xml"/><Relationship Id="rId4"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a:t>Electrical conductivity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0.13099939105356193"/>
          <c:y val="0.20240336471059484"/>
          <c:w val="0.8340919086242039"/>
          <c:h val="0.6686829277523967"/>
        </c:manualLayout>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errBars>
            <c:errBarType val="both"/>
            <c:errValType val="cust"/>
            <c:noEndCap val="0"/>
            <c:plus>
              <c:numRef>
                <c:f>Sheet1!$I$33:$I$36</c:f>
                <c:numCache>
                  <c:formatCode>General</c:formatCode>
                  <c:ptCount val="4"/>
                  <c:pt idx="0">
                    <c:v>0.017</c:v>
                  </c:pt>
                  <c:pt idx="1">
                    <c:v>0.0036</c:v>
                  </c:pt>
                  <c:pt idx="2">
                    <c:v>0.00385</c:v>
                  </c:pt>
                  <c:pt idx="3">
                    <c:v>0.0035</c:v>
                  </c:pt>
                </c:numCache>
              </c:numRef>
            </c:plus>
            <c:minus>
              <c:numRef>
                <c:f>Sheet1!$I$33:$I$36</c:f>
                <c:numCache>
                  <c:formatCode>General</c:formatCode>
                  <c:ptCount val="4"/>
                  <c:pt idx="0">
                    <c:v>0.017</c:v>
                  </c:pt>
                  <c:pt idx="1">
                    <c:v>0.0036</c:v>
                  </c:pt>
                  <c:pt idx="2">
                    <c:v>0.00385</c:v>
                  </c:pt>
                  <c:pt idx="3">
                    <c:v>0.0035</c:v>
                  </c:pt>
                </c:numCache>
              </c:numRef>
            </c:minus>
            <c:spPr>
              <a:noFill/>
              <a:ln w="9525">
                <a:solidFill>
                  <a:schemeClr val="tx2">
                    <a:lumMod val="75000"/>
                    <a:lumOff val="25000"/>
                  </a:schemeClr>
                </a:solidFill>
                <a:round/>
              </a:ln>
              <a:effectLst/>
            </c:spPr>
          </c:errBars>
          <c:cat>
            <c:strRef>
              <c:f>Sheet1!$G$33:$G$36</c:f>
              <c:strCache>
                <c:ptCount val="4"/>
                <c:pt idx="0">
                  <c:v>site 1</c:v>
                </c:pt>
                <c:pt idx="1">
                  <c:v>site 2</c:v>
                </c:pt>
                <c:pt idx="2">
                  <c:v>site 3 </c:v>
                </c:pt>
                <c:pt idx="3">
                  <c:v>site 4</c:v>
                </c:pt>
              </c:strCache>
            </c:strRef>
          </c:cat>
          <c:val>
            <c:numRef>
              <c:f>Sheet1!$H$33:$H$36</c:f>
              <c:numCache>
                <c:formatCode>General</c:formatCode>
                <c:ptCount val="4"/>
                <c:pt idx="0">
                  <c:v>0.12</c:v>
                </c:pt>
                <c:pt idx="1">
                  <c:v>0.12675</c:v>
                </c:pt>
                <c:pt idx="2">
                  <c:v>0.141</c:v>
                </c:pt>
                <c:pt idx="3">
                  <c:v>0.1</c:v>
                </c:pt>
              </c:numCache>
            </c:numRef>
          </c:val>
        </c:ser>
        <c:dLbls>
          <c:showLegendKey val="0"/>
          <c:showVal val="0"/>
          <c:showCatName val="0"/>
          <c:showSerName val="0"/>
          <c:showPercent val="0"/>
          <c:showBubbleSize val="0"/>
        </c:dLbls>
        <c:gapWidth val="100"/>
        <c:overlap val="-24"/>
        <c:axId val="397103400"/>
        <c:axId val="397099872"/>
      </c:barChart>
      <c:catAx>
        <c:axId val="39710340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a:t>Experimental site</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97099872"/>
        <c:crosses val="autoZero"/>
        <c:auto val="1"/>
        <c:lblAlgn val="ctr"/>
        <c:lblOffset val="100"/>
        <c:noMultiLvlLbl val="0"/>
      </c:catAx>
      <c:valAx>
        <c:axId val="39709987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a:t>EC (ds/m)</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97103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a:t>Copper</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Sheet1!$H$153</c:f>
              <c:strCache>
                <c:ptCount val="1"/>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errBars>
            <c:errBarType val="both"/>
            <c:errValType val="cust"/>
            <c:noEndCap val="0"/>
            <c:plus>
              <c:numRef>
                <c:f>Sheet1!$I$154:$I$157</c:f>
                <c:numCache>
                  <c:formatCode>General</c:formatCode>
                  <c:ptCount val="4"/>
                  <c:pt idx="0">
                    <c:v>0.07</c:v>
                  </c:pt>
                  <c:pt idx="1">
                    <c:v>0.06</c:v>
                  </c:pt>
                  <c:pt idx="2">
                    <c:v>0.04</c:v>
                  </c:pt>
                  <c:pt idx="3">
                    <c:v>0.03</c:v>
                  </c:pt>
                </c:numCache>
              </c:numRef>
            </c:plus>
            <c:minus>
              <c:numRef>
                <c:f>Sheet1!$I$154:$I$157</c:f>
                <c:numCache>
                  <c:formatCode>General</c:formatCode>
                  <c:ptCount val="4"/>
                  <c:pt idx="0">
                    <c:v>0.07</c:v>
                  </c:pt>
                  <c:pt idx="1">
                    <c:v>0.06</c:v>
                  </c:pt>
                  <c:pt idx="2">
                    <c:v>0.04</c:v>
                  </c:pt>
                  <c:pt idx="3">
                    <c:v>0.03</c:v>
                  </c:pt>
                </c:numCache>
              </c:numRef>
            </c:minus>
            <c:spPr>
              <a:noFill/>
              <a:ln w="9525">
                <a:solidFill>
                  <a:schemeClr val="tx1">
                    <a:lumMod val="50000"/>
                    <a:lumOff val="50000"/>
                  </a:schemeClr>
                </a:solidFill>
                <a:round/>
              </a:ln>
              <a:effectLst/>
            </c:spPr>
          </c:errBars>
          <c:cat>
            <c:strRef>
              <c:f>Sheet1!$G$154:$G$157</c:f>
              <c:strCache>
                <c:ptCount val="4"/>
                <c:pt idx="0">
                  <c:v>site 1</c:v>
                </c:pt>
                <c:pt idx="1">
                  <c:v>site 2</c:v>
                </c:pt>
                <c:pt idx="2">
                  <c:v>site 3 </c:v>
                </c:pt>
                <c:pt idx="3">
                  <c:v>site 4</c:v>
                </c:pt>
              </c:strCache>
            </c:strRef>
          </c:cat>
          <c:val>
            <c:numRef>
              <c:f>Sheet1!$H$154:$H$157</c:f>
              <c:numCache>
                <c:formatCode>General</c:formatCode>
                <c:ptCount val="4"/>
                <c:pt idx="0">
                  <c:v>0.33</c:v>
                </c:pt>
                <c:pt idx="1">
                  <c:v>0.37</c:v>
                </c:pt>
                <c:pt idx="2">
                  <c:v>0.38</c:v>
                </c:pt>
                <c:pt idx="3">
                  <c:v>0.44</c:v>
                </c:pt>
              </c:numCache>
            </c:numRef>
          </c:val>
        </c:ser>
        <c:dLbls>
          <c:showLegendKey val="0"/>
          <c:showVal val="0"/>
          <c:showCatName val="0"/>
          <c:showSerName val="0"/>
          <c:showPercent val="0"/>
          <c:showBubbleSize val="0"/>
        </c:dLbls>
        <c:gapWidth val="164"/>
        <c:overlap val="-22"/>
        <c:axId val="398955840"/>
        <c:axId val="296649920"/>
      </c:barChart>
      <c:catAx>
        <c:axId val="39895584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IN"/>
                  <a:t>Experimental site</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649920"/>
        <c:crosses val="autoZero"/>
        <c:auto val="1"/>
        <c:lblAlgn val="ctr"/>
        <c:lblOffset val="100"/>
        <c:noMultiLvlLbl val="0"/>
      </c:catAx>
      <c:valAx>
        <c:axId val="29664992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IN"/>
                  <a:t>Cu (mg/kg)</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955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Soil pH</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Sheet1!$H$26</c:f>
              <c:strCache>
                <c:ptCount val="1"/>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errBars>
            <c:errBarType val="both"/>
            <c:errValType val="cust"/>
            <c:noEndCap val="0"/>
            <c:plus>
              <c:numRef>
                <c:f>Sheet1!$I$27:$I$30</c:f>
                <c:numCache>
                  <c:formatCode>General</c:formatCode>
                  <c:ptCount val="4"/>
                  <c:pt idx="0">
                    <c:v>0.035</c:v>
                  </c:pt>
                  <c:pt idx="1">
                    <c:v>0.0415</c:v>
                  </c:pt>
                  <c:pt idx="2">
                    <c:v>0.0354</c:v>
                  </c:pt>
                  <c:pt idx="3">
                    <c:v>0.025</c:v>
                  </c:pt>
                </c:numCache>
              </c:numRef>
            </c:plus>
            <c:minus>
              <c:numRef>
                <c:f>Sheet1!$I$27:$I$30</c:f>
                <c:numCache>
                  <c:formatCode>General</c:formatCode>
                  <c:ptCount val="4"/>
                  <c:pt idx="0">
                    <c:v>0.035</c:v>
                  </c:pt>
                  <c:pt idx="1">
                    <c:v>0.0415</c:v>
                  </c:pt>
                  <c:pt idx="2">
                    <c:v>0.0354</c:v>
                  </c:pt>
                  <c:pt idx="3">
                    <c:v>0.025</c:v>
                  </c:pt>
                </c:numCache>
              </c:numRef>
            </c:minus>
            <c:spPr>
              <a:noFill/>
              <a:ln w="9525">
                <a:solidFill>
                  <a:schemeClr val="tx2">
                    <a:lumMod val="75000"/>
                    <a:lumOff val="25000"/>
                  </a:schemeClr>
                </a:solidFill>
                <a:round/>
              </a:ln>
              <a:effectLst/>
            </c:spPr>
          </c:errBars>
          <c:cat>
            <c:strRef>
              <c:f>Sheet1!$G$27:$G$30</c:f>
              <c:strCache>
                <c:ptCount val="4"/>
                <c:pt idx="0">
                  <c:v>site 1</c:v>
                </c:pt>
                <c:pt idx="1">
                  <c:v>site 2</c:v>
                </c:pt>
                <c:pt idx="2">
                  <c:v>site 3 </c:v>
                </c:pt>
                <c:pt idx="3">
                  <c:v>site 4</c:v>
                </c:pt>
              </c:strCache>
            </c:strRef>
          </c:cat>
          <c:val>
            <c:numRef>
              <c:f>Sheet1!$H$27:$H$30</c:f>
              <c:numCache>
                <c:formatCode>General</c:formatCode>
                <c:ptCount val="4"/>
                <c:pt idx="0">
                  <c:v>8.0</c:v>
                </c:pt>
                <c:pt idx="1">
                  <c:v>8.125</c:v>
                </c:pt>
                <c:pt idx="2">
                  <c:v>8.1</c:v>
                </c:pt>
                <c:pt idx="3">
                  <c:v>7.85</c:v>
                </c:pt>
              </c:numCache>
            </c:numRef>
          </c:val>
        </c:ser>
        <c:dLbls>
          <c:showLegendKey val="0"/>
          <c:showVal val="0"/>
          <c:showCatName val="0"/>
          <c:showSerName val="0"/>
          <c:showPercent val="0"/>
          <c:showBubbleSize val="0"/>
        </c:dLbls>
        <c:gapWidth val="100"/>
        <c:overlap val="-24"/>
        <c:axId val="397097912"/>
        <c:axId val="397103008"/>
      </c:barChart>
      <c:catAx>
        <c:axId val="39709791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a:t>Experimental site</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97103008"/>
        <c:crosses val="autoZero"/>
        <c:auto val="1"/>
        <c:lblAlgn val="ctr"/>
        <c:lblOffset val="100"/>
        <c:noMultiLvlLbl val="0"/>
      </c:catAx>
      <c:valAx>
        <c:axId val="39710300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a:t>pH</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97097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Organic Carbon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0.11812402977537545"/>
          <c:y val="0.1506367214633017"/>
          <c:w val="0.8165553051414891"/>
          <c:h val="0.6169793605621016"/>
        </c:manualLayout>
      </c:layout>
      <c:barChart>
        <c:barDir val="col"/>
        <c:grouping val="clustered"/>
        <c:varyColors val="0"/>
        <c:ser>
          <c:idx val="0"/>
          <c:order val="0"/>
          <c:tx>
            <c:strRef>
              <c:f>Sheet1!$H$39</c:f>
              <c:strCache>
                <c:ptCount val="1"/>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errBars>
            <c:errBarType val="both"/>
            <c:errValType val="cust"/>
            <c:noEndCap val="0"/>
            <c:plus>
              <c:numRef>
                <c:f>Sheet1!$I$40:$I$43</c:f>
                <c:numCache>
                  <c:formatCode>General</c:formatCode>
                  <c:ptCount val="4"/>
                  <c:pt idx="0">
                    <c:v>0.009</c:v>
                  </c:pt>
                  <c:pt idx="1">
                    <c:v>0.0124</c:v>
                  </c:pt>
                  <c:pt idx="2">
                    <c:v>0.00895</c:v>
                  </c:pt>
                  <c:pt idx="3">
                    <c:v>0.0109</c:v>
                  </c:pt>
                </c:numCache>
              </c:numRef>
            </c:plus>
            <c:minus>
              <c:numRef>
                <c:f>Sheet1!$I$40:$I$43</c:f>
                <c:numCache>
                  <c:formatCode>General</c:formatCode>
                  <c:ptCount val="4"/>
                  <c:pt idx="0">
                    <c:v>0.009</c:v>
                  </c:pt>
                  <c:pt idx="1">
                    <c:v>0.0124</c:v>
                  </c:pt>
                  <c:pt idx="2">
                    <c:v>0.00895</c:v>
                  </c:pt>
                  <c:pt idx="3">
                    <c:v>0.0109</c:v>
                  </c:pt>
                </c:numCache>
              </c:numRef>
            </c:minus>
            <c:spPr>
              <a:noFill/>
              <a:ln w="9525">
                <a:solidFill>
                  <a:schemeClr val="tx2">
                    <a:lumMod val="75000"/>
                    <a:lumOff val="25000"/>
                  </a:schemeClr>
                </a:solidFill>
                <a:round/>
              </a:ln>
              <a:effectLst/>
            </c:spPr>
          </c:errBars>
          <c:cat>
            <c:strRef>
              <c:f>Sheet1!$G$40:$G$43</c:f>
              <c:strCache>
                <c:ptCount val="4"/>
                <c:pt idx="0">
                  <c:v>site 1</c:v>
                </c:pt>
                <c:pt idx="1">
                  <c:v>site 2</c:v>
                </c:pt>
                <c:pt idx="2">
                  <c:v>site 3 </c:v>
                </c:pt>
                <c:pt idx="3">
                  <c:v>site 4</c:v>
                </c:pt>
              </c:strCache>
            </c:strRef>
          </c:cat>
          <c:val>
            <c:numRef>
              <c:f>Sheet1!$H$40:$H$43</c:f>
              <c:numCache>
                <c:formatCode>General</c:formatCode>
                <c:ptCount val="4"/>
                <c:pt idx="0">
                  <c:v>0.295</c:v>
                </c:pt>
                <c:pt idx="1">
                  <c:v>0.2775</c:v>
                </c:pt>
                <c:pt idx="2">
                  <c:v>0.3125</c:v>
                </c:pt>
                <c:pt idx="3">
                  <c:v>0.355</c:v>
                </c:pt>
              </c:numCache>
            </c:numRef>
          </c:val>
        </c:ser>
        <c:dLbls>
          <c:showLegendKey val="0"/>
          <c:showVal val="0"/>
          <c:showCatName val="0"/>
          <c:showSerName val="0"/>
          <c:showPercent val="0"/>
          <c:showBubbleSize val="0"/>
        </c:dLbls>
        <c:gapWidth val="100"/>
        <c:overlap val="-24"/>
        <c:axId val="397102224"/>
        <c:axId val="397098304"/>
      </c:barChart>
      <c:catAx>
        <c:axId val="39710222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a:t>Experimental site</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97098304"/>
        <c:crosses val="autoZero"/>
        <c:auto val="1"/>
        <c:lblAlgn val="ctr"/>
        <c:lblOffset val="100"/>
        <c:noMultiLvlLbl val="0"/>
      </c:catAx>
      <c:valAx>
        <c:axId val="397098304"/>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a:t>OC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97102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US"/>
              <a:t>Sulphur</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Sheet1!$H$95</c:f>
              <c:strCache>
                <c:ptCount val="1"/>
              </c:strCache>
            </c:strRef>
          </c:tx>
          <c:spPr>
            <a:solidFill>
              <a:schemeClr val="accent4"/>
            </a:solidFill>
            <a:ln>
              <a:noFill/>
            </a:ln>
            <a:effectLst/>
          </c:spPr>
          <c:invertIfNegative val="0"/>
          <c:errBars>
            <c:errBarType val="both"/>
            <c:errValType val="cust"/>
            <c:noEndCap val="0"/>
            <c:plus>
              <c:numRef>
                <c:f>Sheet1!$I$96:$I$99</c:f>
                <c:numCache>
                  <c:formatCode>General</c:formatCode>
                  <c:ptCount val="4"/>
                  <c:pt idx="0">
                    <c:v>4.28</c:v>
                  </c:pt>
                  <c:pt idx="1">
                    <c:v>2.98</c:v>
                  </c:pt>
                  <c:pt idx="2">
                    <c:v>0.94</c:v>
                  </c:pt>
                  <c:pt idx="3">
                    <c:v>0.44</c:v>
                  </c:pt>
                </c:numCache>
              </c:numRef>
            </c:plus>
            <c:minus>
              <c:numRef>
                <c:f>Sheet1!$I$96:$I$99</c:f>
                <c:numCache>
                  <c:formatCode>General</c:formatCode>
                  <c:ptCount val="4"/>
                  <c:pt idx="0">
                    <c:v>4.28</c:v>
                  </c:pt>
                  <c:pt idx="1">
                    <c:v>2.98</c:v>
                  </c:pt>
                  <c:pt idx="2">
                    <c:v>0.94</c:v>
                  </c:pt>
                  <c:pt idx="3">
                    <c:v>0.44</c:v>
                  </c:pt>
                </c:numCache>
              </c:numRef>
            </c:minus>
            <c:spPr>
              <a:noFill/>
              <a:ln w="9525">
                <a:solidFill>
                  <a:schemeClr val="tx1">
                    <a:lumMod val="50000"/>
                    <a:lumOff val="50000"/>
                  </a:schemeClr>
                </a:solidFill>
                <a:round/>
              </a:ln>
              <a:effectLst/>
            </c:spPr>
          </c:errBars>
          <c:cat>
            <c:strRef>
              <c:f>Sheet1!$G$96:$G$99</c:f>
              <c:strCache>
                <c:ptCount val="4"/>
                <c:pt idx="0">
                  <c:v>site 1</c:v>
                </c:pt>
                <c:pt idx="1">
                  <c:v>site 2</c:v>
                </c:pt>
                <c:pt idx="2">
                  <c:v>site 3 </c:v>
                </c:pt>
                <c:pt idx="3">
                  <c:v>site 4</c:v>
                </c:pt>
              </c:strCache>
            </c:strRef>
          </c:cat>
          <c:val>
            <c:numRef>
              <c:f>Sheet1!$H$96:$H$99</c:f>
              <c:numCache>
                <c:formatCode>General</c:formatCode>
                <c:ptCount val="4"/>
                <c:pt idx="0">
                  <c:v>29.34</c:v>
                </c:pt>
                <c:pt idx="1">
                  <c:v>26.69</c:v>
                </c:pt>
                <c:pt idx="2">
                  <c:v>35.44</c:v>
                </c:pt>
                <c:pt idx="3">
                  <c:v>35.21</c:v>
                </c:pt>
              </c:numCache>
            </c:numRef>
          </c:val>
        </c:ser>
        <c:dLbls>
          <c:showLegendKey val="0"/>
          <c:showVal val="0"/>
          <c:showCatName val="0"/>
          <c:showSerName val="0"/>
          <c:showPercent val="0"/>
          <c:showBubbleSize val="0"/>
        </c:dLbls>
        <c:gapWidth val="199"/>
        <c:axId val="217430608"/>
        <c:axId val="299463512"/>
      </c:barChart>
      <c:catAx>
        <c:axId val="217430608"/>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a:t>Experimental site</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299463512"/>
        <c:crosses val="autoZero"/>
        <c:auto val="1"/>
        <c:lblAlgn val="ctr"/>
        <c:lblOffset val="100"/>
        <c:noMultiLvlLbl val="0"/>
      </c:catAx>
      <c:valAx>
        <c:axId val="29946351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a:t>S (mg/kg)</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7430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IN"/>
              <a:t>Phosphorus</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Sheet1!$I$89:$I$92</c:f>
                <c:numCache>
                  <c:formatCode>General</c:formatCode>
                  <c:ptCount val="4"/>
                  <c:pt idx="0">
                    <c:v>4.39</c:v>
                  </c:pt>
                  <c:pt idx="1">
                    <c:v>5.06</c:v>
                  </c:pt>
                  <c:pt idx="2">
                    <c:v>6.75</c:v>
                  </c:pt>
                  <c:pt idx="3">
                    <c:v>6.22</c:v>
                  </c:pt>
                </c:numCache>
              </c:numRef>
            </c:plus>
            <c:minus>
              <c:numRef>
                <c:f>Sheet1!$I$89:$I$92</c:f>
                <c:numCache>
                  <c:formatCode>General</c:formatCode>
                  <c:ptCount val="4"/>
                  <c:pt idx="0">
                    <c:v>4.39</c:v>
                  </c:pt>
                  <c:pt idx="1">
                    <c:v>5.06</c:v>
                  </c:pt>
                  <c:pt idx="2">
                    <c:v>6.75</c:v>
                  </c:pt>
                  <c:pt idx="3">
                    <c:v>6.22</c:v>
                  </c:pt>
                </c:numCache>
              </c:numRef>
            </c:minus>
            <c:spPr>
              <a:noFill/>
              <a:ln w="9525">
                <a:solidFill>
                  <a:schemeClr val="tx1">
                    <a:lumMod val="50000"/>
                    <a:lumOff val="50000"/>
                  </a:schemeClr>
                </a:solidFill>
                <a:round/>
              </a:ln>
              <a:effectLst/>
            </c:spPr>
          </c:errBars>
          <c:cat>
            <c:strRef>
              <c:f>Sheet1!$G$89:$G$92</c:f>
              <c:strCache>
                <c:ptCount val="4"/>
                <c:pt idx="0">
                  <c:v>site 1</c:v>
                </c:pt>
                <c:pt idx="1">
                  <c:v>site 2</c:v>
                </c:pt>
                <c:pt idx="2">
                  <c:v>site 3 </c:v>
                </c:pt>
                <c:pt idx="3">
                  <c:v>site 4</c:v>
                </c:pt>
              </c:strCache>
            </c:strRef>
          </c:cat>
          <c:val>
            <c:numRef>
              <c:f>Sheet1!$H$89:$H$92</c:f>
              <c:numCache>
                <c:formatCode>General</c:formatCode>
                <c:ptCount val="4"/>
                <c:pt idx="0">
                  <c:v>43.5</c:v>
                </c:pt>
                <c:pt idx="1">
                  <c:v>33.25</c:v>
                </c:pt>
                <c:pt idx="2">
                  <c:v>39.25</c:v>
                </c:pt>
                <c:pt idx="3">
                  <c:v>37.75</c:v>
                </c:pt>
              </c:numCache>
            </c:numRef>
          </c:val>
        </c:ser>
        <c:dLbls>
          <c:showLegendKey val="0"/>
          <c:showVal val="0"/>
          <c:showCatName val="0"/>
          <c:showSerName val="0"/>
          <c:showPercent val="0"/>
          <c:showBubbleSize val="0"/>
        </c:dLbls>
        <c:gapWidth val="199"/>
        <c:axId val="296644040"/>
        <c:axId val="350520072"/>
      </c:barChart>
      <c:catAx>
        <c:axId val="296644040"/>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a:t>Experimental site</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350520072"/>
        <c:crosses val="autoZero"/>
        <c:auto val="1"/>
        <c:lblAlgn val="ctr"/>
        <c:lblOffset val="100"/>
        <c:noMultiLvlLbl val="0"/>
      </c:catAx>
      <c:valAx>
        <c:axId val="35052007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a:t>P (Kg/h)</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644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US"/>
              <a:t>Potassium</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Sheet1!$H$81</c:f>
              <c:strCache>
                <c:ptCount val="1"/>
              </c:strCache>
            </c:strRef>
          </c:tx>
          <c:spPr>
            <a:solidFill>
              <a:schemeClr val="accent6"/>
            </a:solidFill>
            <a:ln>
              <a:noFill/>
            </a:ln>
            <a:effectLst/>
          </c:spPr>
          <c:invertIfNegative val="0"/>
          <c:errBars>
            <c:errBarType val="both"/>
            <c:errValType val="cust"/>
            <c:noEndCap val="0"/>
            <c:plus>
              <c:numRef>
                <c:f>Sheet1!$I$82:$I$85</c:f>
                <c:numCache>
                  <c:formatCode>General</c:formatCode>
                  <c:ptCount val="4"/>
                  <c:pt idx="0">
                    <c:v>9.47</c:v>
                  </c:pt>
                  <c:pt idx="1">
                    <c:v>4.5</c:v>
                  </c:pt>
                  <c:pt idx="2">
                    <c:v>7.1</c:v>
                  </c:pt>
                  <c:pt idx="3">
                    <c:v>9.08</c:v>
                  </c:pt>
                </c:numCache>
              </c:numRef>
            </c:plus>
            <c:minus>
              <c:numRef>
                <c:f>Sheet1!$I$82:$I$85</c:f>
                <c:numCache>
                  <c:formatCode>General</c:formatCode>
                  <c:ptCount val="4"/>
                  <c:pt idx="0">
                    <c:v>9.47</c:v>
                  </c:pt>
                  <c:pt idx="1">
                    <c:v>4.5</c:v>
                  </c:pt>
                  <c:pt idx="2">
                    <c:v>7.1</c:v>
                  </c:pt>
                  <c:pt idx="3">
                    <c:v>9.08</c:v>
                  </c:pt>
                </c:numCache>
              </c:numRef>
            </c:minus>
            <c:spPr>
              <a:noFill/>
              <a:ln w="9525">
                <a:solidFill>
                  <a:schemeClr val="tx1">
                    <a:lumMod val="50000"/>
                    <a:lumOff val="50000"/>
                  </a:schemeClr>
                </a:solidFill>
                <a:round/>
              </a:ln>
              <a:effectLst/>
            </c:spPr>
          </c:errBars>
          <c:cat>
            <c:strRef>
              <c:f>Sheet1!$G$82:$G$85</c:f>
              <c:strCache>
                <c:ptCount val="4"/>
                <c:pt idx="0">
                  <c:v>site 1</c:v>
                </c:pt>
                <c:pt idx="1">
                  <c:v>site 2</c:v>
                </c:pt>
                <c:pt idx="2">
                  <c:v>site 3 </c:v>
                </c:pt>
                <c:pt idx="3">
                  <c:v>site 4</c:v>
                </c:pt>
              </c:strCache>
            </c:strRef>
          </c:cat>
          <c:val>
            <c:numRef>
              <c:f>Sheet1!$H$82:$H$85</c:f>
              <c:numCache>
                <c:formatCode>General</c:formatCode>
                <c:ptCount val="4"/>
                <c:pt idx="0">
                  <c:v>185.0</c:v>
                </c:pt>
                <c:pt idx="1">
                  <c:v>204.5</c:v>
                </c:pt>
                <c:pt idx="2">
                  <c:v>209.5</c:v>
                </c:pt>
                <c:pt idx="3">
                  <c:v>197.45</c:v>
                </c:pt>
              </c:numCache>
            </c:numRef>
          </c:val>
        </c:ser>
        <c:dLbls>
          <c:showLegendKey val="0"/>
          <c:showVal val="0"/>
          <c:showCatName val="0"/>
          <c:showSerName val="0"/>
          <c:showPercent val="0"/>
          <c:showBubbleSize val="0"/>
        </c:dLbls>
        <c:gapWidth val="199"/>
        <c:axId val="296640904"/>
        <c:axId val="296643256"/>
      </c:barChart>
      <c:catAx>
        <c:axId val="296640904"/>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a:t>Experimental site</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296643256"/>
        <c:crosses val="autoZero"/>
        <c:auto val="1"/>
        <c:lblAlgn val="ctr"/>
        <c:lblOffset val="100"/>
        <c:noMultiLvlLbl val="0"/>
      </c:catAx>
      <c:valAx>
        <c:axId val="29664325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a:t>K (Kg/h)</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640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a:t>Zinc</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Sheet1!$H$139</c:f>
              <c:strCache>
                <c:ptCount val="1"/>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errBars>
            <c:errBarType val="both"/>
            <c:errValType val="cust"/>
            <c:noEndCap val="0"/>
            <c:plus>
              <c:numRef>
                <c:f>Sheet1!$I$140:$I$143</c:f>
                <c:numCache>
                  <c:formatCode>General</c:formatCode>
                  <c:ptCount val="4"/>
                  <c:pt idx="0">
                    <c:v>0.07</c:v>
                  </c:pt>
                  <c:pt idx="1">
                    <c:v>0.09</c:v>
                  </c:pt>
                  <c:pt idx="2">
                    <c:v>0.03</c:v>
                  </c:pt>
                  <c:pt idx="3">
                    <c:v>0.02</c:v>
                  </c:pt>
                </c:numCache>
              </c:numRef>
            </c:plus>
            <c:minus>
              <c:numRef>
                <c:f>Sheet1!$I$140:$I$143</c:f>
                <c:numCache>
                  <c:formatCode>General</c:formatCode>
                  <c:ptCount val="4"/>
                  <c:pt idx="0">
                    <c:v>0.07</c:v>
                  </c:pt>
                  <c:pt idx="1">
                    <c:v>0.09</c:v>
                  </c:pt>
                  <c:pt idx="2">
                    <c:v>0.03</c:v>
                  </c:pt>
                  <c:pt idx="3">
                    <c:v>0.02</c:v>
                  </c:pt>
                </c:numCache>
              </c:numRef>
            </c:minus>
            <c:spPr>
              <a:noFill/>
              <a:ln w="9525">
                <a:solidFill>
                  <a:schemeClr val="tx1">
                    <a:lumMod val="50000"/>
                    <a:lumOff val="50000"/>
                  </a:schemeClr>
                </a:solidFill>
                <a:round/>
              </a:ln>
              <a:effectLst/>
            </c:spPr>
          </c:errBars>
          <c:cat>
            <c:strRef>
              <c:f>Sheet1!$G$140:$G$143</c:f>
              <c:strCache>
                <c:ptCount val="4"/>
                <c:pt idx="0">
                  <c:v>site 1</c:v>
                </c:pt>
                <c:pt idx="1">
                  <c:v>site 2</c:v>
                </c:pt>
                <c:pt idx="2">
                  <c:v>site 3 </c:v>
                </c:pt>
                <c:pt idx="3">
                  <c:v>site 4</c:v>
                </c:pt>
              </c:strCache>
            </c:strRef>
          </c:cat>
          <c:val>
            <c:numRef>
              <c:f>Sheet1!$H$140:$H$143</c:f>
              <c:numCache>
                <c:formatCode>General</c:formatCode>
                <c:ptCount val="4"/>
                <c:pt idx="0">
                  <c:v>0.64</c:v>
                </c:pt>
                <c:pt idx="1">
                  <c:v>0.53</c:v>
                </c:pt>
                <c:pt idx="2">
                  <c:v>0.49</c:v>
                </c:pt>
                <c:pt idx="3">
                  <c:v>0.36</c:v>
                </c:pt>
              </c:numCache>
            </c:numRef>
          </c:val>
        </c:ser>
        <c:dLbls>
          <c:showLegendKey val="0"/>
          <c:showVal val="0"/>
          <c:showCatName val="0"/>
          <c:showSerName val="0"/>
          <c:showPercent val="0"/>
          <c:showBubbleSize val="0"/>
        </c:dLbls>
        <c:gapWidth val="164"/>
        <c:overlap val="-22"/>
        <c:axId val="398962504"/>
        <c:axId val="398962896"/>
      </c:barChart>
      <c:catAx>
        <c:axId val="39896250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IN"/>
                  <a:t>Experimental site</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962896"/>
        <c:crosses val="autoZero"/>
        <c:auto val="1"/>
        <c:lblAlgn val="ctr"/>
        <c:lblOffset val="100"/>
        <c:noMultiLvlLbl val="0"/>
      </c:catAx>
      <c:valAx>
        <c:axId val="39896289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IN"/>
                  <a:t>Z (mg/kg)</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962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a:t>Iron</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manualLayout>
          <c:layoutTarget val="inner"/>
          <c:xMode val="edge"/>
          <c:yMode val="edge"/>
          <c:x val="0.13074245079830138"/>
          <c:y val="0.1932997438180002"/>
          <c:w val="0.8415720563999267"/>
          <c:h val="0.6078363045973156"/>
        </c:manualLayout>
      </c:layout>
      <c:barChart>
        <c:barDir val="col"/>
        <c:grouping val="clustered"/>
        <c:varyColors val="0"/>
        <c:ser>
          <c:idx val="0"/>
          <c:order val="0"/>
          <c:tx>
            <c:strRef>
              <c:f>Sheet1!$H$146</c:f>
              <c:strCache>
                <c:ptCount val="1"/>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errBars>
            <c:errBarType val="both"/>
            <c:errValType val="cust"/>
            <c:noEndCap val="0"/>
            <c:plus>
              <c:numRef>
                <c:f>Sheet1!$I$147:$I$150</c:f>
                <c:numCache>
                  <c:formatCode>General</c:formatCode>
                  <c:ptCount val="4"/>
                  <c:pt idx="0">
                    <c:v>0.15</c:v>
                  </c:pt>
                  <c:pt idx="1">
                    <c:v>0.08</c:v>
                  </c:pt>
                  <c:pt idx="2">
                    <c:v>0.12</c:v>
                  </c:pt>
                  <c:pt idx="3">
                    <c:v>0.03</c:v>
                  </c:pt>
                </c:numCache>
              </c:numRef>
            </c:plus>
            <c:minus>
              <c:numRef>
                <c:f>Sheet1!$I$147:$I$150</c:f>
                <c:numCache>
                  <c:formatCode>General</c:formatCode>
                  <c:ptCount val="4"/>
                  <c:pt idx="0">
                    <c:v>0.15</c:v>
                  </c:pt>
                  <c:pt idx="1">
                    <c:v>0.08</c:v>
                  </c:pt>
                  <c:pt idx="2">
                    <c:v>0.12</c:v>
                  </c:pt>
                  <c:pt idx="3">
                    <c:v>0.03</c:v>
                  </c:pt>
                </c:numCache>
              </c:numRef>
            </c:minus>
            <c:spPr>
              <a:noFill/>
              <a:ln w="9525">
                <a:solidFill>
                  <a:schemeClr val="tx1">
                    <a:lumMod val="50000"/>
                    <a:lumOff val="50000"/>
                  </a:schemeClr>
                </a:solidFill>
                <a:round/>
              </a:ln>
              <a:effectLst/>
            </c:spPr>
          </c:errBars>
          <c:cat>
            <c:strRef>
              <c:f>Sheet1!$G$147:$G$150</c:f>
              <c:strCache>
                <c:ptCount val="4"/>
                <c:pt idx="0">
                  <c:v>site 1</c:v>
                </c:pt>
                <c:pt idx="1">
                  <c:v>site 2</c:v>
                </c:pt>
                <c:pt idx="2">
                  <c:v>site 3 </c:v>
                </c:pt>
                <c:pt idx="3">
                  <c:v>site 4</c:v>
                </c:pt>
              </c:strCache>
            </c:strRef>
          </c:cat>
          <c:val>
            <c:numRef>
              <c:f>Sheet1!$H$147:$H$150</c:f>
              <c:numCache>
                <c:formatCode>General</c:formatCode>
                <c:ptCount val="4"/>
                <c:pt idx="0">
                  <c:v>4.26</c:v>
                </c:pt>
                <c:pt idx="1">
                  <c:v>4.06</c:v>
                </c:pt>
                <c:pt idx="2">
                  <c:v>4.45</c:v>
                </c:pt>
                <c:pt idx="3">
                  <c:v>4.44</c:v>
                </c:pt>
              </c:numCache>
            </c:numRef>
          </c:val>
        </c:ser>
        <c:dLbls>
          <c:showLegendKey val="0"/>
          <c:showVal val="0"/>
          <c:showCatName val="0"/>
          <c:showSerName val="0"/>
          <c:showPercent val="0"/>
          <c:showBubbleSize val="0"/>
        </c:dLbls>
        <c:gapWidth val="164"/>
        <c:overlap val="-22"/>
        <c:axId val="398951528"/>
        <c:axId val="398955056"/>
      </c:barChart>
      <c:catAx>
        <c:axId val="39895152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IN"/>
                  <a:t>Experimental site</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955056"/>
        <c:crosses val="autoZero"/>
        <c:auto val="1"/>
        <c:lblAlgn val="ctr"/>
        <c:lblOffset val="100"/>
        <c:noMultiLvlLbl val="0"/>
      </c:catAx>
      <c:valAx>
        <c:axId val="39895505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IN"/>
                  <a:t>Fe (mg/kg)</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951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a:t>Manganese</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manualLayout>
          <c:layoutTarget val="inner"/>
          <c:xMode val="edge"/>
          <c:yMode val="edge"/>
          <c:x val="0.08396769892581318"/>
          <c:y val="0.14340296004666084"/>
          <c:w val="0.8410218829605599"/>
          <c:h val="0.6057483960338291"/>
        </c:manualLayout>
      </c:layout>
      <c:barChart>
        <c:barDir val="col"/>
        <c:grouping val="clustered"/>
        <c:varyColors val="0"/>
        <c:ser>
          <c:idx val="0"/>
          <c:order val="0"/>
          <c:tx>
            <c:strRef>
              <c:f>Sheet1!$H$160</c:f>
              <c:strCache>
                <c:ptCount val="1"/>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errBars>
            <c:errBarType val="both"/>
            <c:errValType val="cust"/>
            <c:noEndCap val="0"/>
            <c:plus>
              <c:numRef>
                <c:f>Sheet1!$I$161:$I$164</c:f>
                <c:numCache>
                  <c:formatCode>General</c:formatCode>
                  <c:ptCount val="4"/>
                  <c:pt idx="0">
                    <c:v>0.06</c:v>
                  </c:pt>
                  <c:pt idx="1">
                    <c:v>0.23</c:v>
                  </c:pt>
                  <c:pt idx="2">
                    <c:v>0.26</c:v>
                  </c:pt>
                  <c:pt idx="3">
                    <c:v>0.17</c:v>
                  </c:pt>
                </c:numCache>
              </c:numRef>
            </c:plus>
            <c:minus>
              <c:numRef>
                <c:f>Sheet1!$I$161:$I$164</c:f>
                <c:numCache>
                  <c:formatCode>General</c:formatCode>
                  <c:ptCount val="4"/>
                  <c:pt idx="0">
                    <c:v>0.06</c:v>
                  </c:pt>
                  <c:pt idx="1">
                    <c:v>0.23</c:v>
                  </c:pt>
                  <c:pt idx="2">
                    <c:v>0.26</c:v>
                  </c:pt>
                  <c:pt idx="3">
                    <c:v>0.17</c:v>
                  </c:pt>
                </c:numCache>
              </c:numRef>
            </c:minus>
            <c:spPr>
              <a:noFill/>
              <a:ln w="9525">
                <a:solidFill>
                  <a:schemeClr val="tx1">
                    <a:lumMod val="50000"/>
                    <a:lumOff val="50000"/>
                  </a:schemeClr>
                </a:solidFill>
                <a:round/>
              </a:ln>
              <a:effectLst/>
            </c:spPr>
          </c:errBars>
          <c:cat>
            <c:strRef>
              <c:f>Sheet1!$G$161:$G$164</c:f>
              <c:strCache>
                <c:ptCount val="4"/>
                <c:pt idx="0">
                  <c:v>site 1</c:v>
                </c:pt>
                <c:pt idx="1">
                  <c:v>site 2</c:v>
                </c:pt>
                <c:pt idx="2">
                  <c:v>site 3 </c:v>
                </c:pt>
                <c:pt idx="3">
                  <c:v>site 4</c:v>
                </c:pt>
              </c:strCache>
            </c:strRef>
          </c:cat>
          <c:val>
            <c:numRef>
              <c:f>Sheet1!$H$161:$H$164</c:f>
              <c:numCache>
                <c:formatCode>General</c:formatCode>
                <c:ptCount val="4"/>
                <c:pt idx="0">
                  <c:v>2.64</c:v>
                </c:pt>
                <c:pt idx="1">
                  <c:v>3.13</c:v>
                </c:pt>
                <c:pt idx="2">
                  <c:v>2.69</c:v>
                </c:pt>
                <c:pt idx="3">
                  <c:v>2.5</c:v>
                </c:pt>
              </c:numCache>
            </c:numRef>
          </c:val>
        </c:ser>
        <c:dLbls>
          <c:showLegendKey val="0"/>
          <c:showVal val="0"/>
          <c:showCatName val="0"/>
          <c:showSerName val="0"/>
          <c:showPercent val="0"/>
          <c:showBubbleSize val="0"/>
        </c:dLbls>
        <c:gapWidth val="164"/>
        <c:overlap val="-22"/>
        <c:axId val="296651488"/>
        <c:axId val="296647960"/>
      </c:barChart>
      <c:catAx>
        <c:axId val="29665148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IN"/>
                  <a:t>Experimental site</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647960"/>
        <c:crosses val="autoZero"/>
        <c:auto val="1"/>
        <c:lblAlgn val="ctr"/>
        <c:lblOffset val="100"/>
        <c:noMultiLvlLbl val="0"/>
      </c:catAx>
      <c:valAx>
        <c:axId val="29664796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IN"/>
                  <a:t>Mn (mg/kg)</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651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Reversed" id="24">
  <a:schemeClr val="accent4"/>
</cs:colorStyle>
</file>

<file path=word/charts/colors4.xml><?xml version="1.0" encoding="utf-8"?>
<cs:colorStyle xmlns:cs="http://schemas.microsoft.com/office/drawing/2012/chartStyle" xmlns:a="http://schemas.openxmlformats.org/drawingml/2006/main" meth="withinLinear" id="15">
  <a:schemeClr val="accent2"/>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 id="14">
  <a:schemeClr val="accent1"/>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0.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485</TotalTime>
  <Words>4318</Words>
  <Pages>17</Pages>
  <Characters>24945</Characters>
  <Application>WPS Office</Application>
  <DocSecurity>0</DocSecurity>
  <Paragraphs>727</Paragraphs>
  <ScaleCrop>false</ScaleCrop>
  <LinksUpToDate>false</LinksUpToDate>
  <CharactersWithSpaces>28813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2025-01-09T15:52:00Z</dcterms:created>
  <dc:creator>SM-P615</dc:creator>
  <lastModifiedBy>moto g45 5G</lastModifiedBy>
  <dcterms:modified xsi:type="dcterms:W3CDTF">2026-03-22T12:39:04Z</dcterms:modified>
  <revision>15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35dbd3e46aa748ea88c214fd2da6c772</vt:lpwstr>
  </property>
</Properties>
</file>