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1A99F" w14:textId="77777777" w:rsidR="00357FF4" w:rsidRPr="00531610" w:rsidRDefault="00357FF4" w:rsidP="00655E3E">
      <w:pPr>
        <w:pStyle w:val="NoSpacing"/>
        <w:jc w:val="center"/>
        <w:rPr>
          <w:rFonts w:ascii="Arial" w:hAnsi="Arial" w:cs="Arial"/>
          <w:b/>
          <w:bCs/>
          <w:color w:val="000000" w:themeColor="text1"/>
          <w:sz w:val="23"/>
          <w:szCs w:val="23"/>
          <w:shd w:val="clear" w:color="auto" w:fill="F0F0F0"/>
        </w:rPr>
      </w:pPr>
      <w:r w:rsidRPr="00531610">
        <w:rPr>
          <w:b/>
          <w:bCs/>
        </w:rPr>
        <w:t>Reimagining Classroom Dynamics: Applying the NASH Framework to Enhance Student Engagement and Instructional Effectiveness</w:t>
      </w:r>
    </w:p>
    <w:p w14:paraId="428BA004" w14:textId="77777777" w:rsidR="00357FF4" w:rsidRDefault="00357FF4" w:rsidP="00655E3E">
      <w:pPr>
        <w:pStyle w:val="NoSpacing"/>
        <w:rPr>
          <w:rFonts w:ascii="Arial" w:hAnsi="Arial" w:cs="Arial"/>
          <w:color w:val="080809"/>
          <w:sz w:val="23"/>
          <w:szCs w:val="23"/>
          <w:shd w:val="clear" w:color="auto" w:fill="F0F0F0"/>
        </w:rPr>
      </w:pPr>
    </w:p>
    <w:p w14:paraId="01868775" w14:textId="77777777" w:rsidR="00357FF4" w:rsidRPr="002430E2" w:rsidRDefault="00357FF4" w:rsidP="00655E3E">
      <w:pPr>
        <w:pStyle w:val="NoSpacing"/>
        <w:jc w:val="center"/>
        <w:rPr>
          <w:b/>
          <w:bCs/>
        </w:rPr>
      </w:pPr>
      <w:r>
        <w:rPr>
          <w:b/>
          <w:bCs/>
        </w:rPr>
        <w:t/>
      </w:r>
      <w:r w:rsidRPr="002430E2">
        <w:rPr>
          <w:b/>
          <w:bCs/>
        </w:rPr>
        <w:t/>
      </w:r>
    </w:p>
    <w:p w14:paraId="21074A5B" w14:textId="77777777" w:rsidR="00357FF4" w:rsidRPr="002430E2" w:rsidRDefault="00357FF4" w:rsidP="00655E3E">
      <w:pPr>
        <w:pStyle w:val="NoSpacing"/>
        <w:jc w:val="center"/>
        <w:rPr>
          <w:i/>
          <w:iCs/>
        </w:rPr>
      </w:pPr>
      <w:r w:rsidRPr="002430E2">
        <w:rPr>
          <w:i/>
          <w:iCs/>
        </w:rPr>
        <w:t/>
      </w:r>
    </w:p>
    <w:p w14:paraId="2FBC370A" w14:textId="77777777" w:rsidR="00357FF4" w:rsidRPr="002430E2" w:rsidRDefault="00357FF4" w:rsidP="00655E3E">
      <w:pPr>
        <w:pStyle w:val="NoSpacing"/>
        <w:jc w:val="center"/>
      </w:pPr>
      <w:r w:rsidRPr="002430E2">
        <w:t/>
      </w:r>
    </w:p>
    <w:p w14:paraId="62983F87" w14:textId="77777777" w:rsidR="00357FF4" w:rsidRPr="002430E2" w:rsidRDefault="00357FF4" w:rsidP="00655E3E">
      <w:pPr>
        <w:pStyle w:val="NoSpacing"/>
        <w:jc w:val="center"/>
      </w:pPr>
      <w:r w:rsidRPr="002430E2">
        <w:t/>
      </w:r>
    </w:p>
    <w:p w14:paraId="05CA0BC8" w14:textId="77777777" w:rsidR="00357FF4" w:rsidRDefault="00357FF4" w:rsidP="00655E3E">
      <w:pPr>
        <w:pStyle w:val="NoSpacing"/>
        <w:jc w:val="center"/>
      </w:pPr>
      <w:hyperlink r:id="rId6" w:history="1">
        <w:r w:rsidRPr="002430E2">
          <w:rPr>
            <w:rStyle w:val="Hyperlink"/>
          </w:rPr>
          <w:t/>
        </w:r>
      </w:hyperlink>
    </w:p>
    <w:p w14:paraId="6A2EABFD" w14:textId="77777777" w:rsidR="00570E84" w:rsidRDefault="00570E84" w:rsidP="00655E3E">
      <w:pPr>
        <w:pStyle w:val="NoSpacing"/>
        <w:jc w:val="center"/>
      </w:pPr>
    </w:p>
    <w:p w14:paraId="4938ECD9" w14:textId="77777777" w:rsidR="00570E84" w:rsidRPr="00531610" w:rsidRDefault="00570E84" w:rsidP="00655E3E">
      <w:pPr>
        <w:jc w:val="center"/>
        <w:rPr>
          <w:b/>
          <w:bCs/>
        </w:rPr>
      </w:pPr>
      <w:r w:rsidRPr="00531610">
        <w:rPr>
          <w:b/>
          <w:bCs/>
        </w:rPr>
        <w:t/>
      </w:r>
    </w:p>
    <w:p w14:paraId="27E32FF4" w14:textId="0602E851" w:rsidR="00570E84" w:rsidRPr="00570E84" w:rsidRDefault="00570E84" w:rsidP="00655E3E">
      <w:pPr>
        <w:jc w:val="center"/>
        <w:rPr>
          <w:i/>
          <w:iCs/>
        </w:rPr>
      </w:pPr>
      <w:r w:rsidRPr="00570E84">
        <w:rPr>
          <w:i/>
          <w:iCs/>
        </w:rPr>
        <w:t/>
      </w:r>
      <w:r>
        <w:rPr>
          <w:i/>
          <w:iCs/>
        </w:rPr>
        <w:t xml:space="preserve"/>
      </w:r>
    </w:p>
    <w:p w14:paraId="51B3656D" w14:textId="22A8258C" w:rsidR="00570E84" w:rsidRPr="00531610" w:rsidRDefault="00006D4A" w:rsidP="00655E3E">
      <w:pPr>
        <w:jc w:val="center"/>
      </w:pPr>
      <w:r>
        <w:t/>
      </w:r>
    </w:p>
    <w:p w14:paraId="6A46F2DE" w14:textId="77777777" w:rsidR="00570E84" w:rsidRDefault="00570E84" w:rsidP="00655E3E">
      <w:pPr>
        <w:jc w:val="center"/>
      </w:pPr>
      <w:r w:rsidRPr="00531610">
        <w:t/>
      </w:r>
    </w:p>
    <w:p w14:paraId="3332987A" w14:textId="308C2FAB" w:rsidR="00357FF4" w:rsidRDefault="00570E84" w:rsidP="00655E3E">
      <w:pPr>
        <w:jc w:val="center"/>
      </w:pPr>
      <w:hyperlink r:id="rId7" w:history="1">
        <w:r w:rsidRPr="005E07E9">
          <w:rPr>
            <w:rStyle w:val="Hyperlink"/>
          </w:rPr>
          <w:t/>
        </w:r>
      </w:hyperlink>
      <w:r>
        <w:t xml:space="preserve"/>
      </w:r>
    </w:p>
    <w:p w14:paraId="5C3047AD" w14:textId="77777777" w:rsidR="00570E84" w:rsidRPr="002430E2" w:rsidRDefault="00570E84" w:rsidP="00655E3E">
      <w:pPr>
        <w:jc w:val="center"/>
      </w:pPr>
    </w:p>
    <w:p w14:paraId="3710493A" w14:textId="77777777" w:rsidR="00357FF4" w:rsidRPr="002430E2" w:rsidRDefault="00357FF4" w:rsidP="00655E3E">
      <w:pPr>
        <w:pStyle w:val="NormalWeb"/>
        <w:jc w:val="center"/>
        <w:rPr>
          <w:b/>
          <w:bCs/>
        </w:rPr>
      </w:pPr>
      <w:r w:rsidRPr="002430E2">
        <w:rPr>
          <w:b/>
          <w:bCs/>
        </w:rPr>
        <w:t>ABSTRACT</w:t>
      </w:r>
    </w:p>
    <w:p w14:paraId="06D605CC" w14:textId="77777777" w:rsidR="00357FF4" w:rsidRPr="002430E2" w:rsidRDefault="00357FF4" w:rsidP="00655E3E">
      <w:pPr>
        <w:pStyle w:val="NormalWeb"/>
        <w:ind w:firstLine="720"/>
        <w:jc w:val="both"/>
      </w:pPr>
      <w:r w:rsidRPr="002430E2">
        <w:t>This study examined the implementation of the NASH Model and teacher readiness in Senior High School classrooms, focusing on how teachers apply nurturing, adaptive, supportive, and holistic teaching practices. A total of 100 teachers participated, providing responses on a 5-point Likert scale regarding Nurturing Classroom Culture, Adaptive Instructional Strategies, Supportive Student Engagement, Holistic Handling Approaches, and overall readiness to implement the NASH framework. Frequency distributions, mean scores, and standard deviations were computed for all items, while differences across demographic variables age, sex, years of teaching experience, educational attainment, and type of school were analyzed.</w:t>
      </w:r>
    </w:p>
    <w:p w14:paraId="5BA920C6" w14:textId="77777777" w:rsidR="00357FF4" w:rsidRPr="002430E2" w:rsidRDefault="00357FF4" w:rsidP="00655E3E">
      <w:pPr>
        <w:pStyle w:val="NormalWeb"/>
        <w:ind w:firstLine="720"/>
        <w:jc w:val="both"/>
      </w:pPr>
      <w:r w:rsidRPr="002430E2">
        <w:t>Findings revealed that teachers scored high across all NASH dimensions, demonstrating effective classroom management, adaptive teaching, and supportive student engagement. Teachers also reported high readiness to apply NASH strategies, showing confidence, motivation, and preparedness to implement innovative instructional practices. Minimal differences were observed across demographic groups, indicating that the NASH framework is consistently applied regardless of teacher profile. Experienced teachers and those with higher educational attainment exhibited slightly higher readiness and implementation scores, although these differences were not statistically significant.</w:t>
      </w:r>
    </w:p>
    <w:p w14:paraId="025B3894" w14:textId="77777777" w:rsidR="00357FF4" w:rsidRPr="002430E2" w:rsidRDefault="00357FF4" w:rsidP="00655E3E">
      <w:pPr>
        <w:pStyle w:val="NormalWeb"/>
        <w:ind w:firstLine="720"/>
        <w:jc w:val="both"/>
      </w:pPr>
      <w:r w:rsidRPr="002430E2">
        <w:t>The study concludes that the NASH Model effectively supports teacher performance and promotes a positive instructional environment conducive to student learning and well-being. It is recommended that professional development programs continue to focus on NASH-aligned strategies, peer collaboration, and resource provision to sustain and enhance high-quality teaching practices across all classrooms.</w:t>
      </w:r>
    </w:p>
    <w:p w14:paraId="009647C8" w14:textId="77777777" w:rsidR="00357FF4" w:rsidRPr="002430E2" w:rsidRDefault="00357FF4" w:rsidP="00655E3E">
      <w:pPr>
        <w:spacing w:before="100" w:beforeAutospacing="1" w:after="100" w:afterAutospacing="1"/>
        <w:jc w:val="both"/>
        <w:rPr>
          <w:b/>
          <w:bCs/>
        </w:rPr>
      </w:pPr>
      <w:r w:rsidRPr="002430E2">
        <w:rPr>
          <w:rStyle w:val="Strong"/>
          <w:rFonts w:eastAsiaTheme="majorEastAsia"/>
        </w:rPr>
        <w:t>Keywords:</w:t>
      </w:r>
      <w:r w:rsidRPr="002430E2">
        <w:t xml:space="preserve"> NASH Model, teacher readiness, classroom management, adaptive instructional strategies, supportive student engagement, holistic teaching, senior high school, professional development</w:t>
      </w:r>
    </w:p>
    <w:p w14:paraId="204C781C" w14:textId="77777777" w:rsidR="00357FF4" w:rsidRPr="002430E2" w:rsidRDefault="00357FF4" w:rsidP="00655E3E">
      <w:pPr>
        <w:spacing w:before="100" w:beforeAutospacing="1" w:after="100" w:afterAutospacing="1"/>
        <w:jc w:val="both"/>
        <w:rPr>
          <w:b/>
          <w:bCs/>
        </w:rPr>
      </w:pPr>
      <w:r w:rsidRPr="002430E2">
        <w:rPr>
          <w:b/>
          <w:bCs/>
        </w:rPr>
        <w:lastRenderedPageBreak/>
        <w:br/>
      </w:r>
    </w:p>
    <w:p w14:paraId="30A89A57" w14:textId="77777777" w:rsidR="00357FF4" w:rsidRPr="002430E2" w:rsidRDefault="00357FF4" w:rsidP="00655E3E">
      <w:pPr>
        <w:spacing w:before="100" w:beforeAutospacing="1" w:after="100" w:afterAutospacing="1"/>
        <w:jc w:val="both"/>
        <w:rPr>
          <w:b/>
          <w:bCs/>
        </w:rPr>
      </w:pPr>
      <w:r w:rsidRPr="002430E2">
        <w:rPr>
          <w:b/>
          <w:bCs/>
        </w:rPr>
        <w:t>Introduction</w:t>
      </w:r>
    </w:p>
    <w:p w14:paraId="4F35CFF9" w14:textId="77777777" w:rsidR="00357FF4" w:rsidRDefault="00357FF4" w:rsidP="00655E3E">
      <w:pPr>
        <w:pStyle w:val="NormalWeb"/>
        <w:ind w:firstLine="720"/>
        <w:jc w:val="both"/>
      </w:pPr>
      <w:r>
        <w:t>Modern classrooms are characterized by an escalating complexity that demands educators demonstrate both exceptional instructional competence and dynamic adaptive skills to accommodate diverse student populations. Globally, contemporary educational paradigms increasingly prioritize evidence-based teaching strategies and classroom management models that champion inclusivity, socio-emotional support, and optimized learning outcomes. Leading educational systems such as those in Finland, Singapore, and Japan exemplify a profound institutional commitment to differentiated instruction, learner-centered pedagogy, and holistic classroom environments, reflecting a worldwide macro-shift toward highly adaptive learning models (Darling-Hammond, 2021; OECD, 2020). Despite these widespread structural reforms, educational institutions globally continue to grapple with systemic vulnerabilities, including inconsistent teacher preparedness, highly variable instructional quality, and persistent difficulties in sustaining student engagement (UNESCO, 2022).</w:t>
      </w:r>
    </w:p>
    <w:p w14:paraId="5E787186" w14:textId="77777777" w:rsidR="00357FF4" w:rsidRDefault="00357FF4" w:rsidP="00655E3E">
      <w:pPr>
        <w:pStyle w:val="NormalWeb"/>
        <w:ind w:firstLine="720"/>
        <w:jc w:val="both"/>
      </w:pPr>
      <w:r>
        <w:t>In the Philippines, the Department of Education (DepEd) has actively sought to fortify teaching quality through targeted policy interventions, most notably the implementation of the K–12 Curriculum, the Philippine Professional Standards for Teachers (PPST), and the Basic Education Development Plan (BEDP) 2030. These continuous policy reforms are strategically engineered to equip educators with essential core competencies in instructional planning, classroom management, and comprehensive learner support (DepEd, 2022). However, diagnostics from both national and international assessments reveal a stark disconnect between policy and practice; there remain persistent gaps in empirical teacher readiness, an uneven application of innovative instructional methodologies, and pervasive challenges regarding student behavior and engagement (World Bank, 2021). These systemic friction points are disproportionately amplified within large, multi-level, and resource-constrained classroom environments.</w:t>
      </w:r>
    </w:p>
    <w:p w14:paraId="4DA81B5D" w14:textId="77777777" w:rsidR="00357FF4" w:rsidRDefault="00357FF4" w:rsidP="00655E3E">
      <w:pPr>
        <w:pStyle w:val="NormalWeb"/>
        <w:ind w:firstLine="720"/>
        <w:jc w:val="both"/>
      </w:pPr>
      <w:r>
        <w:t>At the localized level, grassroots practitioners frequently report significant operational strain when attempting to balance rigorous academic instruction with necessary behavioral, emotional, and social support. Consequently, a substantial cohort of educators still reverts to traditional, teacher-directed modalities—approaches that are increasingly inadequate for addressing the complex, contemporary needs of learners, particularly within culturally diverse settings where socio-emotional scaffolding and adaptive strategies are paramount (Bernardo, 2019). Critically, the absence of a unified pedagogical model that seamlessly synthesizes classroom culture, instructional strategy, and student management protocols fundamentally perpetuates fragmented and siloed teaching practices within schools.</w:t>
      </w:r>
    </w:p>
    <w:p w14:paraId="452E9806" w14:textId="77777777" w:rsidR="00357FF4" w:rsidRDefault="00357FF4" w:rsidP="00655E3E">
      <w:pPr>
        <w:pStyle w:val="NormalWeb"/>
        <w:ind w:firstLine="720"/>
        <w:jc w:val="both"/>
      </w:pPr>
      <w:r>
        <w:t xml:space="preserve">To bridge these empirical and practical divides, this study introduces the </w:t>
      </w:r>
      <w:r>
        <w:rPr>
          <w:b/>
          <w:bCs/>
        </w:rPr>
        <w:t>NASH Model</w:t>
      </w:r>
      <w:r>
        <w:t xml:space="preserve">: </w:t>
      </w:r>
      <w:r>
        <w:rPr>
          <w:i/>
          <w:iCs/>
        </w:rPr>
        <w:t>Nurturing Classroom Culture, Adaptive Instructional Strategies, Supportive Student Engagement, and Holistic Handling Approaches</w:t>
      </w:r>
      <w:r>
        <w:t xml:space="preserve">. The NASH Model proposes a highly structured, integrated framework explicitly designed to elevate overall teacher effectiveness. While contemporary literature extensively evaluates these individual components in isolation, there remains a critical dearth of quantitative research within the Philippine context that empirically examines these </w:t>
      </w:r>
      <w:r>
        <w:lastRenderedPageBreak/>
        <w:t>dimensions collectively as a synchronized, multi-dimensional construct (Cho &amp; Cheng, 2020). This study directly addresses this significant literature gap by systematically assessing Filipino teachers’ current practices, institutional readiness, and empirical application of the NASH Model.</w:t>
      </w:r>
    </w:p>
    <w:p w14:paraId="278B04D5" w14:textId="77777777" w:rsidR="00357FF4" w:rsidRPr="002430E2" w:rsidRDefault="00357FF4" w:rsidP="00655E3E">
      <w:pPr>
        <w:spacing w:before="100" w:beforeAutospacing="1" w:after="100" w:afterAutospacing="1"/>
        <w:jc w:val="both"/>
        <w:outlineLvl w:val="1"/>
        <w:rPr>
          <w:b/>
          <w:bCs/>
        </w:rPr>
      </w:pPr>
      <w:r w:rsidRPr="002430E2">
        <w:rPr>
          <w:b/>
          <w:bCs/>
        </w:rPr>
        <w:t>Background of the Study</w:t>
      </w:r>
    </w:p>
    <w:p w14:paraId="1B453360" w14:textId="77777777" w:rsidR="00357FF4" w:rsidRPr="002430E2" w:rsidRDefault="00357FF4" w:rsidP="00655E3E">
      <w:pPr>
        <w:spacing w:before="100" w:beforeAutospacing="1" w:after="100" w:afterAutospacing="1"/>
        <w:ind w:firstLine="720"/>
        <w:jc w:val="both"/>
      </w:pPr>
      <w:r w:rsidRPr="002430E2">
        <w:t>Effective instructional strategies and student-handling approaches are central to academic success and classroom harmony. Over the years, several frameworks such as Universal Design for Learning (UDL), Responsive Classroom, and Positive Behavioral Interventions and Supports (PBIS) have shaped global perspectives on holistic teaching. These models emphasize proactive classroom culture, flexible instruction, and student-centered engagement (OECD, 2020).</w:t>
      </w:r>
    </w:p>
    <w:p w14:paraId="48D0B51A" w14:textId="77777777" w:rsidR="00357FF4" w:rsidRPr="002430E2" w:rsidRDefault="00357FF4" w:rsidP="00655E3E">
      <w:pPr>
        <w:spacing w:before="100" w:beforeAutospacing="1" w:after="100" w:afterAutospacing="1"/>
        <w:ind w:firstLine="720"/>
        <w:jc w:val="both"/>
      </w:pPr>
      <w:r w:rsidRPr="002430E2">
        <w:t>In the Philippines, the shift toward learner-centered pedagogy through K–12 and the PPST framework underscores the importance of creating nurturing learning environments and using differentiated instruction. However, challenges such as large class sizes, behavioral issues, inadequate training, and limited professional development hinder effective implementation (World Bank, 2021).</w:t>
      </w:r>
    </w:p>
    <w:p w14:paraId="09C08E60" w14:textId="77777777" w:rsidR="00357FF4" w:rsidRPr="002430E2" w:rsidRDefault="00357FF4" w:rsidP="00655E3E">
      <w:pPr>
        <w:spacing w:before="100" w:beforeAutospacing="1" w:after="100" w:afterAutospacing="1"/>
        <w:ind w:firstLine="720"/>
        <w:jc w:val="both"/>
      </w:pPr>
      <w:r w:rsidRPr="002430E2">
        <w:t>Locally, many teachers express the need for clear, structured, and practical models that can be easily integrated into daily classroom routines. The NASH Model responds to these needs by combining four essential dimensions: nurturing classroom culture, adaptive strategies, supportive engagement, and holistic handling. Despite its potential, no extensive quantitative evidence exists regarding its applicability, acceptance, and readiness for implementation in schools—highlighting the need for this research.</w:t>
      </w:r>
    </w:p>
    <w:p w14:paraId="3B22A9E1" w14:textId="77777777" w:rsidR="00357FF4" w:rsidRPr="002430E2" w:rsidRDefault="00357FF4" w:rsidP="00655E3E">
      <w:pPr>
        <w:jc w:val="both"/>
      </w:pPr>
    </w:p>
    <w:p w14:paraId="3BDBEEA3" w14:textId="77777777" w:rsidR="00357FF4" w:rsidRPr="002430E2" w:rsidRDefault="00357FF4" w:rsidP="00655E3E">
      <w:pPr>
        <w:spacing w:before="100" w:beforeAutospacing="1" w:after="100" w:afterAutospacing="1"/>
        <w:jc w:val="both"/>
        <w:outlineLvl w:val="1"/>
        <w:rPr>
          <w:b/>
          <w:bCs/>
        </w:rPr>
      </w:pPr>
      <w:r w:rsidRPr="002430E2">
        <w:rPr>
          <w:b/>
          <w:bCs/>
        </w:rPr>
        <w:t>Statement of the Problem</w:t>
      </w:r>
    </w:p>
    <w:p w14:paraId="7F5EAB24" w14:textId="77777777" w:rsidR="00357FF4" w:rsidRPr="002430E2" w:rsidRDefault="00357FF4" w:rsidP="00655E3E">
      <w:pPr>
        <w:spacing w:before="100" w:beforeAutospacing="1" w:after="100" w:afterAutospacing="1"/>
        <w:jc w:val="both"/>
      </w:pPr>
      <w:r w:rsidRPr="002430E2">
        <w:t>This study aims to quantitatively assess teachers’ classroom handling practices, instructional strategies, and readiness for applying the NASH Model.</w:t>
      </w:r>
    </w:p>
    <w:p w14:paraId="6DD892AA" w14:textId="77777777" w:rsidR="00357FF4" w:rsidRPr="002430E2" w:rsidRDefault="00357FF4" w:rsidP="00655E3E">
      <w:pPr>
        <w:spacing w:before="100" w:beforeAutospacing="1" w:after="100" w:afterAutospacing="1"/>
        <w:jc w:val="both"/>
      </w:pPr>
      <w:r w:rsidRPr="002430E2">
        <w:t>Specifically, it seeks to answer the following questions:</w:t>
      </w:r>
    </w:p>
    <w:p w14:paraId="287F7713" w14:textId="77777777" w:rsidR="00357FF4" w:rsidRPr="002430E2" w:rsidRDefault="00357FF4" w:rsidP="00655E3E">
      <w:pPr>
        <w:numPr>
          <w:ilvl w:val="0"/>
          <w:numId w:val="2"/>
        </w:numPr>
        <w:spacing w:before="100" w:beforeAutospacing="1" w:after="100" w:afterAutospacing="1"/>
      </w:pPr>
      <w:r w:rsidRPr="002430E2">
        <w:t>What is the level of teachers’ implementation of the following NASH dimensions?</w:t>
      </w:r>
      <w:r w:rsidRPr="002430E2">
        <w:br/>
        <w:t>1.1 Nurturing Classroom Culture</w:t>
      </w:r>
      <w:r w:rsidRPr="002430E2">
        <w:br/>
        <w:t>1.2 Adaptive Instructional Strategies</w:t>
      </w:r>
      <w:r w:rsidRPr="002430E2">
        <w:br/>
        <w:t>1.3 Supportive Student Engagement</w:t>
      </w:r>
      <w:r w:rsidRPr="002430E2">
        <w:br/>
        <w:t>1.4 Holistic Handling Approaches</w:t>
      </w:r>
    </w:p>
    <w:p w14:paraId="3D07DC5C" w14:textId="77777777" w:rsidR="00357FF4" w:rsidRPr="002430E2" w:rsidRDefault="00357FF4" w:rsidP="00655E3E">
      <w:pPr>
        <w:numPr>
          <w:ilvl w:val="0"/>
          <w:numId w:val="2"/>
        </w:numPr>
        <w:spacing w:before="100" w:beforeAutospacing="1" w:after="100" w:afterAutospacing="1"/>
      </w:pPr>
      <w:r w:rsidRPr="002430E2">
        <w:t>What is the level of teacher readiness in applying the NASH Model?</w:t>
      </w:r>
    </w:p>
    <w:p w14:paraId="719D81B2" w14:textId="77777777" w:rsidR="00357FF4" w:rsidRPr="002430E2" w:rsidRDefault="00357FF4" w:rsidP="00655E3E">
      <w:pPr>
        <w:numPr>
          <w:ilvl w:val="0"/>
          <w:numId w:val="2"/>
        </w:numPr>
        <w:spacing w:before="100" w:beforeAutospacing="1" w:after="100" w:afterAutospacing="1"/>
      </w:pPr>
      <w:r w:rsidRPr="002430E2">
        <w:t>Are there significant differences in teachers’ NASH implementation and readiness when grouped according to:</w:t>
      </w:r>
      <w:r w:rsidRPr="002430E2">
        <w:br/>
        <w:t>3.1 age</w:t>
      </w:r>
      <w:r w:rsidRPr="002430E2">
        <w:br/>
        <w:t>3.2 sex</w:t>
      </w:r>
      <w:r w:rsidRPr="002430E2">
        <w:br/>
        <w:t>3.3 years of teaching experience</w:t>
      </w:r>
      <w:r w:rsidRPr="002430E2">
        <w:br/>
      </w:r>
      <w:r w:rsidRPr="002430E2">
        <w:lastRenderedPageBreak/>
        <w:t>3.4 educational attainment</w:t>
      </w:r>
      <w:r w:rsidRPr="002430E2">
        <w:br/>
        <w:t>3.5 type of school (public/private)</w:t>
      </w:r>
    </w:p>
    <w:p w14:paraId="4285866B" w14:textId="77777777" w:rsidR="00357FF4" w:rsidRPr="002430E2" w:rsidRDefault="00357FF4" w:rsidP="00655E3E">
      <w:pPr>
        <w:numPr>
          <w:ilvl w:val="0"/>
          <w:numId w:val="2"/>
        </w:numPr>
        <w:spacing w:before="100" w:beforeAutospacing="1" w:after="100" w:afterAutospacing="1"/>
        <w:jc w:val="both"/>
      </w:pPr>
      <w:r w:rsidRPr="002430E2">
        <w:t>What recommendations can be proposed to improve teaching practices based on the results?</w:t>
      </w:r>
    </w:p>
    <w:p w14:paraId="1782A159" w14:textId="77777777" w:rsidR="00357FF4" w:rsidRPr="002430E2" w:rsidRDefault="00357FF4" w:rsidP="00655E3E">
      <w:pPr>
        <w:spacing w:before="100" w:beforeAutospacing="1" w:after="100" w:afterAutospacing="1"/>
        <w:jc w:val="both"/>
        <w:outlineLvl w:val="1"/>
        <w:rPr>
          <w:b/>
          <w:bCs/>
        </w:rPr>
      </w:pPr>
      <w:r w:rsidRPr="002430E2">
        <w:rPr>
          <w:b/>
          <w:bCs/>
        </w:rPr>
        <w:t>Research Objectives</w:t>
      </w:r>
    </w:p>
    <w:p w14:paraId="09748B15" w14:textId="77777777" w:rsidR="00357FF4" w:rsidRPr="002430E2" w:rsidRDefault="00357FF4" w:rsidP="00655E3E">
      <w:pPr>
        <w:spacing w:before="100" w:beforeAutospacing="1" w:after="100" w:afterAutospacing="1"/>
        <w:jc w:val="both"/>
      </w:pPr>
      <w:r w:rsidRPr="002430E2">
        <w:t>The study aims to:</w:t>
      </w:r>
    </w:p>
    <w:p w14:paraId="57085D80" w14:textId="77777777" w:rsidR="00357FF4" w:rsidRPr="002430E2" w:rsidRDefault="00357FF4" w:rsidP="00655E3E">
      <w:pPr>
        <w:numPr>
          <w:ilvl w:val="0"/>
          <w:numId w:val="3"/>
        </w:numPr>
        <w:spacing w:before="100" w:beforeAutospacing="1" w:after="100" w:afterAutospacing="1"/>
        <w:jc w:val="both"/>
      </w:pPr>
      <w:r w:rsidRPr="002430E2">
        <w:t>Measure the level of implementation of the four dimensions of the NASH Model.</w:t>
      </w:r>
    </w:p>
    <w:p w14:paraId="76F7CC2A" w14:textId="77777777" w:rsidR="00357FF4" w:rsidRPr="002430E2" w:rsidRDefault="00357FF4" w:rsidP="00655E3E">
      <w:pPr>
        <w:numPr>
          <w:ilvl w:val="0"/>
          <w:numId w:val="3"/>
        </w:numPr>
        <w:spacing w:before="100" w:beforeAutospacing="1" w:after="100" w:afterAutospacing="1"/>
        <w:jc w:val="both"/>
      </w:pPr>
      <w:r w:rsidRPr="002430E2">
        <w:t>Determine teachers' readiness to apply the NASH framework.</w:t>
      </w:r>
    </w:p>
    <w:p w14:paraId="1B607134" w14:textId="77777777" w:rsidR="00357FF4" w:rsidRPr="002430E2" w:rsidRDefault="00357FF4" w:rsidP="00655E3E">
      <w:pPr>
        <w:numPr>
          <w:ilvl w:val="0"/>
          <w:numId w:val="3"/>
        </w:numPr>
        <w:spacing w:before="100" w:beforeAutospacing="1" w:after="100" w:afterAutospacing="1"/>
        <w:jc w:val="both"/>
      </w:pPr>
      <w:r w:rsidRPr="002430E2">
        <w:t>Identify significant differences based on teacher demographics.</w:t>
      </w:r>
    </w:p>
    <w:p w14:paraId="5DE39ACD" w14:textId="77777777" w:rsidR="00357FF4" w:rsidRPr="002430E2" w:rsidRDefault="00357FF4" w:rsidP="00655E3E">
      <w:pPr>
        <w:numPr>
          <w:ilvl w:val="0"/>
          <w:numId w:val="3"/>
        </w:numPr>
        <w:spacing w:before="100" w:beforeAutospacing="1" w:after="100" w:afterAutospacing="1"/>
        <w:jc w:val="both"/>
      </w:pPr>
      <w:r w:rsidRPr="002430E2">
        <w:t>Identify prevalent challenges in applying NASH strategies.</w:t>
      </w:r>
    </w:p>
    <w:p w14:paraId="7FB68C2D" w14:textId="77777777" w:rsidR="00357FF4" w:rsidRPr="002430E2" w:rsidRDefault="00357FF4" w:rsidP="00655E3E">
      <w:pPr>
        <w:numPr>
          <w:ilvl w:val="0"/>
          <w:numId w:val="3"/>
        </w:numPr>
        <w:spacing w:before="100" w:beforeAutospacing="1" w:after="100" w:afterAutospacing="1"/>
        <w:jc w:val="both"/>
      </w:pPr>
      <w:r w:rsidRPr="002430E2">
        <w:t>Recommend interventions and professional development programs for teachers.</w:t>
      </w:r>
    </w:p>
    <w:p w14:paraId="192C9528" w14:textId="77777777" w:rsidR="00357FF4" w:rsidRDefault="00357FF4" w:rsidP="00655E3E">
      <w:pPr>
        <w:spacing w:before="100" w:beforeAutospacing="1" w:after="100" w:afterAutospacing="1"/>
        <w:jc w:val="both"/>
        <w:outlineLvl w:val="1"/>
        <w:rPr>
          <w:b/>
          <w:bCs/>
        </w:rPr>
      </w:pPr>
    </w:p>
    <w:p w14:paraId="5E62EE48" w14:textId="77777777" w:rsidR="00357FF4" w:rsidRPr="002430E2" w:rsidRDefault="00357FF4" w:rsidP="00655E3E">
      <w:pPr>
        <w:spacing w:before="100" w:beforeAutospacing="1" w:after="100" w:afterAutospacing="1"/>
        <w:jc w:val="both"/>
        <w:outlineLvl w:val="1"/>
        <w:rPr>
          <w:b/>
          <w:bCs/>
        </w:rPr>
      </w:pPr>
      <w:r w:rsidRPr="002430E2">
        <w:rPr>
          <w:b/>
          <w:bCs/>
        </w:rPr>
        <w:t>Research Hypotheses</w:t>
      </w:r>
    </w:p>
    <w:p w14:paraId="145C1654" w14:textId="77777777" w:rsidR="00357FF4" w:rsidRPr="002430E2" w:rsidRDefault="00357FF4" w:rsidP="00655E3E">
      <w:pPr>
        <w:spacing w:before="100" w:beforeAutospacing="1" w:after="100" w:afterAutospacing="1"/>
      </w:pPr>
      <w:r w:rsidRPr="002430E2">
        <w:t xml:space="preserve">H₀1: There is </w:t>
      </w:r>
      <w:r w:rsidRPr="002430E2">
        <w:rPr>
          <w:b/>
          <w:bCs/>
        </w:rPr>
        <w:t>no significant difference</w:t>
      </w:r>
      <w:r w:rsidRPr="002430E2">
        <w:t xml:space="preserve"> in the level of NASH implementation when teachers are grouped by demographic profile.</w:t>
      </w:r>
      <w:r w:rsidRPr="002430E2">
        <w:br/>
        <w:t xml:space="preserve">H₀2: There is </w:t>
      </w:r>
      <w:r w:rsidRPr="002430E2">
        <w:rPr>
          <w:b/>
          <w:bCs/>
        </w:rPr>
        <w:t>no significant difference</w:t>
      </w:r>
      <w:r w:rsidRPr="002430E2">
        <w:t xml:space="preserve"> in teacher readiness across demographic variables.</w:t>
      </w:r>
    </w:p>
    <w:p w14:paraId="2BD143A6" w14:textId="77777777" w:rsidR="00357FF4" w:rsidRPr="002430E2" w:rsidRDefault="00357FF4" w:rsidP="00655E3E">
      <w:pPr>
        <w:spacing w:before="100" w:beforeAutospacing="1" w:after="100" w:afterAutospacing="1"/>
        <w:jc w:val="both"/>
        <w:outlineLvl w:val="1"/>
        <w:rPr>
          <w:b/>
          <w:bCs/>
        </w:rPr>
      </w:pPr>
      <w:r w:rsidRPr="002430E2">
        <w:rPr>
          <w:b/>
          <w:bCs/>
        </w:rPr>
        <w:t>Conceptual Framework</w:t>
      </w:r>
    </w:p>
    <w:p w14:paraId="161CF473" w14:textId="77777777" w:rsidR="00357FF4" w:rsidRPr="002430E2" w:rsidRDefault="00357FF4" w:rsidP="00655E3E">
      <w:pPr>
        <w:spacing w:before="100" w:beforeAutospacing="1" w:after="100" w:afterAutospacing="1"/>
        <w:ind w:firstLine="720"/>
        <w:jc w:val="both"/>
      </w:pPr>
      <w:r w:rsidRPr="002430E2">
        <w:t>The NASH Model serves as the conceptual foundation, illustrating how the four dimensions influence teachers’ instructional effectiveness and classroom handling readiness</w:t>
      </w:r>
    </w:p>
    <w:p w14:paraId="6FDA9BA4" w14:textId="77777777" w:rsidR="00357FF4" w:rsidRPr="002430E2" w:rsidRDefault="00357FF4" w:rsidP="00655E3E">
      <w:pPr>
        <w:jc w:val="both"/>
      </w:pPr>
      <w:r w:rsidRPr="002430E2">
        <w:rPr>
          <w:noProof/>
        </w:rPr>
        <w:drawing>
          <wp:anchor distT="0" distB="0" distL="114300" distR="114300" simplePos="0" relativeHeight="251659264" behindDoc="1" locked="0" layoutInCell="1" allowOverlap="1" wp14:anchorId="4D856617" wp14:editId="11AA6237">
            <wp:simplePos x="0" y="0"/>
            <wp:positionH relativeFrom="column">
              <wp:posOffset>0</wp:posOffset>
            </wp:positionH>
            <wp:positionV relativeFrom="paragraph">
              <wp:posOffset>133985</wp:posOffset>
            </wp:positionV>
            <wp:extent cx="5943600" cy="3552825"/>
            <wp:effectExtent l="0" t="0" r="0" b="3175"/>
            <wp:wrapNone/>
            <wp:docPr id="870878991" name="Picture 1" descr="A diagram of a frame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878991" name="Picture 1" descr="A diagram of a framework&#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552825"/>
                    </a:xfrm>
                    <a:prstGeom prst="rect">
                      <a:avLst/>
                    </a:prstGeom>
                  </pic:spPr>
                </pic:pic>
              </a:graphicData>
            </a:graphic>
            <wp14:sizeRelH relativeFrom="page">
              <wp14:pctWidth>0</wp14:pctWidth>
            </wp14:sizeRelH>
            <wp14:sizeRelV relativeFrom="page">
              <wp14:pctHeight>0</wp14:pctHeight>
            </wp14:sizeRelV>
          </wp:anchor>
        </w:drawing>
      </w:r>
    </w:p>
    <w:p w14:paraId="3091E7CD" w14:textId="77777777" w:rsidR="00357FF4" w:rsidRPr="002430E2" w:rsidRDefault="00357FF4" w:rsidP="00655E3E">
      <w:pPr>
        <w:spacing w:before="100" w:beforeAutospacing="1" w:after="100" w:afterAutospacing="1"/>
        <w:jc w:val="both"/>
        <w:outlineLvl w:val="1"/>
        <w:rPr>
          <w:b/>
          <w:bCs/>
        </w:rPr>
      </w:pPr>
    </w:p>
    <w:p w14:paraId="68767BA9" w14:textId="77777777" w:rsidR="00357FF4" w:rsidRPr="002430E2" w:rsidRDefault="00357FF4" w:rsidP="00655E3E">
      <w:pPr>
        <w:spacing w:before="100" w:beforeAutospacing="1" w:after="100" w:afterAutospacing="1"/>
        <w:jc w:val="both"/>
        <w:outlineLvl w:val="1"/>
        <w:rPr>
          <w:b/>
          <w:bCs/>
        </w:rPr>
      </w:pPr>
    </w:p>
    <w:p w14:paraId="2472FA95" w14:textId="77777777" w:rsidR="00357FF4" w:rsidRPr="002430E2" w:rsidRDefault="00357FF4" w:rsidP="00655E3E">
      <w:pPr>
        <w:spacing w:before="100" w:beforeAutospacing="1" w:after="100" w:afterAutospacing="1"/>
        <w:jc w:val="both"/>
        <w:outlineLvl w:val="1"/>
        <w:rPr>
          <w:b/>
          <w:bCs/>
        </w:rPr>
      </w:pPr>
    </w:p>
    <w:p w14:paraId="6A03E717" w14:textId="77777777" w:rsidR="00357FF4" w:rsidRPr="002430E2" w:rsidRDefault="00357FF4" w:rsidP="00655E3E">
      <w:pPr>
        <w:spacing w:before="100" w:beforeAutospacing="1" w:after="100" w:afterAutospacing="1"/>
        <w:jc w:val="both"/>
        <w:outlineLvl w:val="1"/>
        <w:rPr>
          <w:b/>
          <w:bCs/>
        </w:rPr>
      </w:pPr>
    </w:p>
    <w:p w14:paraId="32C549B4" w14:textId="77777777" w:rsidR="00357FF4" w:rsidRPr="002430E2" w:rsidRDefault="00357FF4" w:rsidP="00655E3E">
      <w:pPr>
        <w:spacing w:before="100" w:beforeAutospacing="1" w:after="100" w:afterAutospacing="1"/>
        <w:jc w:val="both"/>
        <w:outlineLvl w:val="1"/>
        <w:rPr>
          <w:b/>
          <w:bCs/>
        </w:rPr>
      </w:pPr>
    </w:p>
    <w:p w14:paraId="55A94AE4" w14:textId="77777777" w:rsidR="00357FF4" w:rsidRPr="002430E2" w:rsidRDefault="00357FF4" w:rsidP="00655E3E">
      <w:pPr>
        <w:spacing w:before="100" w:beforeAutospacing="1" w:after="100" w:afterAutospacing="1"/>
        <w:jc w:val="both"/>
        <w:outlineLvl w:val="1"/>
        <w:rPr>
          <w:b/>
          <w:bCs/>
        </w:rPr>
      </w:pPr>
    </w:p>
    <w:p w14:paraId="5AAAF820" w14:textId="77777777" w:rsidR="00357FF4" w:rsidRPr="002430E2" w:rsidRDefault="00357FF4" w:rsidP="00655E3E">
      <w:pPr>
        <w:spacing w:before="100" w:beforeAutospacing="1" w:after="100" w:afterAutospacing="1"/>
        <w:jc w:val="both"/>
        <w:outlineLvl w:val="1"/>
        <w:rPr>
          <w:b/>
          <w:bCs/>
        </w:rPr>
      </w:pPr>
    </w:p>
    <w:p w14:paraId="6BFDC1A8" w14:textId="77777777" w:rsidR="00357FF4" w:rsidRPr="002430E2" w:rsidRDefault="00357FF4" w:rsidP="00655E3E">
      <w:pPr>
        <w:spacing w:before="100" w:beforeAutospacing="1" w:after="100" w:afterAutospacing="1"/>
        <w:jc w:val="both"/>
        <w:outlineLvl w:val="1"/>
      </w:pPr>
    </w:p>
    <w:p w14:paraId="00FB48AA" w14:textId="77777777" w:rsidR="00357FF4" w:rsidRDefault="00357FF4" w:rsidP="00655E3E">
      <w:pPr>
        <w:spacing w:before="100" w:beforeAutospacing="1" w:after="100" w:afterAutospacing="1"/>
        <w:ind w:firstLine="720"/>
        <w:jc w:val="both"/>
        <w:outlineLvl w:val="1"/>
      </w:pPr>
    </w:p>
    <w:p w14:paraId="431F542F" w14:textId="77777777" w:rsidR="00357FF4" w:rsidRDefault="00357FF4" w:rsidP="00655E3E">
      <w:pPr>
        <w:spacing w:before="100" w:beforeAutospacing="1" w:after="100" w:afterAutospacing="1"/>
        <w:ind w:firstLine="720"/>
        <w:jc w:val="both"/>
        <w:outlineLvl w:val="1"/>
      </w:pPr>
    </w:p>
    <w:p w14:paraId="23ED7248" w14:textId="77777777" w:rsidR="00357FF4" w:rsidRPr="002430E2" w:rsidRDefault="00357FF4" w:rsidP="00655E3E">
      <w:pPr>
        <w:spacing w:before="100" w:beforeAutospacing="1" w:after="100" w:afterAutospacing="1"/>
        <w:ind w:firstLine="720"/>
        <w:jc w:val="both"/>
        <w:outlineLvl w:val="1"/>
        <w:rPr>
          <w:b/>
          <w:bCs/>
        </w:rPr>
      </w:pPr>
      <w:r w:rsidRPr="002430E2">
        <w:t xml:space="preserve">This framework examines how teacher-related factors influence their classroom effectiveness and readiness. The independent variables include the </w:t>
      </w:r>
      <w:r w:rsidRPr="002430E2">
        <w:rPr>
          <w:rStyle w:val="Strong"/>
          <w:rFonts w:eastAsiaTheme="majorEastAsia"/>
          <w:b w:val="0"/>
          <w:bCs w:val="0"/>
        </w:rPr>
        <w:t>Teacher Profile</w:t>
      </w:r>
      <w:r w:rsidRPr="002430E2">
        <w:t xml:space="preserve">, which covers characteristics such as qualifications, experience, and personal traits, and the </w:t>
      </w:r>
      <w:r w:rsidRPr="002430E2">
        <w:rPr>
          <w:rStyle w:val="Strong"/>
          <w:rFonts w:eastAsiaTheme="majorEastAsia"/>
          <w:b w:val="0"/>
          <w:bCs w:val="0"/>
        </w:rPr>
        <w:t>NASH Dimensions</w:t>
      </w:r>
      <w:r w:rsidRPr="002430E2">
        <w:rPr>
          <w:b/>
          <w:bCs/>
        </w:rPr>
        <w:t>,</w:t>
      </w:r>
      <w:r w:rsidRPr="002430E2">
        <w:t xml:space="preserve"> which consist of four key areas: </w:t>
      </w:r>
      <w:r w:rsidRPr="002430E2">
        <w:rPr>
          <w:rStyle w:val="Strong"/>
          <w:rFonts w:eastAsiaTheme="majorEastAsia"/>
          <w:b w:val="0"/>
          <w:bCs w:val="0"/>
        </w:rPr>
        <w:t>Nurturing Classroom Culture</w:t>
      </w:r>
      <w:r w:rsidRPr="002430E2">
        <w:rPr>
          <w:b/>
          <w:bCs/>
        </w:rPr>
        <w:t xml:space="preserve">, </w:t>
      </w:r>
      <w:r w:rsidRPr="002430E2">
        <w:rPr>
          <w:rStyle w:val="Strong"/>
          <w:rFonts w:eastAsiaTheme="majorEastAsia"/>
          <w:b w:val="0"/>
          <w:bCs w:val="0"/>
        </w:rPr>
        <w:t>Adaptive Instructional Strategies</w:t>
      </w:r>
      <w:r w:rsidRPr="002430E2">
        <w:rPr>
          <w:b/>
          <w:bCs/>
        </w:rPr>
        <w:t xml:space="preserve">, </w:t>
      </w:r>
      <w:r w:rsidRPr="002430E2">
        <w:rPr>
          <w:rStyle w:val="Strong"/>
          <w:rFonts w:eastAsiaTheme="majorEastAsia"/>
          <w:b w:val="0"/>
          <w:bCs w:val="0"/>
        </w:rPr>
        <w:t>Supportive Student Engagement</w:t>
      </w:r>
      <w:r w:rsidRPr="002430E2">
        <w:rPr>
          <w:b/>
          <w:bCs/>
        </w:rPr>
        <w:t xml:space="preserve">, </w:t>
      </w:r>
      <w:r w:rsidRPr="002430E2">
        <w:t>and</w:t>
      </w:r>
      <w:r w:rsidRPr="002430E2">
        <w:rPr>
          <w:b/>
          <w:bCs/>
        </w:rPr>
        <w:t xml:space="preserve"> </w:t>
      </w:r>
      <w:r w:rsidRPr="002430E2">
        <w:rPr>
          <w:rStyle w:val="Strong"/>
          <w:rFonts w:eastAsiaTheme="majorEastAsia"/>
          <w:b w:val="0"/>
          <w:bCs w:val="0"/>
        </w:rPr>
        <w:t>Holistic Handling Approaches</w:t>
      </w:r>
      <w:r w:rsidRPr="002430E2">
        <w:t xml:space="preserve">. These dimensions represent how teachers create a positive learning environment, adjust teaching to meet diverse student needs, actively engage students, and address their overall well-being. The framework proposes that these factors affect the dependent variables, namely the </w:t>
      </w:r>
      <w:r w:rsidRPr="002430E2">
        <w:rPr>
          <w:rStyle w:val="Strong"/>
          <w:rFonts w:eastAsiaTheme="majorEastAsia"/>
          <w:b w:val="0"/>
          <w:bCs w:val="0"/>
        </w:rPr>
        <w:t>Level of Implementation</w:t>
      </w:r>
      <w:r w:rsidRPr="002430E2">
        <w:t xml:space="preserve"> the extent to which teachers apply these strategies in practice and </w:t>
      </w:r>
      <w:r w:rsidRPr="002430E2">
        <w:rPr>
          <w:rStyle w:val="Strong"/>
          <w:rFonts w:eastAsiaTheme="majorEastAsia"/>
          <w:b w:val="0"/>
          <w:bCs w:val="0"/>
        </w:rPr>
        <w:t>Teacher Readiness</w:t>
      </w:r>
      <w:r w:rsidRPr="002430E2">
        <w:rPr>
          <w:b/>
          <w:bCs/>
        </w:rPr>
        <w:t>,</w:t>
      </w:r>
      <w:r w:rsidRPr="002430E2">
        <w:t xml:space="preserve"> reflecting their preparedness, confidence, and ability to implement effective teaching methods.</w:t>
      </w:r>
    </w:p>
    <w:p w14:paraId="674605FA" w14:textId="77777777" w:rsidR="00357FF4" w:rsidRDefault="00357FF4" w:rsidP="00655E3E">
      <w:pPr>
        <w:spacing w:before="100" w:beforeAutospacing="1" w:after="100" w:afterAutospacing="1"/>
        <w:jc w:val="both"/>
        <w:outlineLvl w:val="1"/>
        <w:rPr>
          <w:b/>
          <w:bCs/>
        </w:rPr>
      </w:pPr>
    </w:p>
    <w:p w14:paraId="04602F26" w14:textId="77777777" w:rsidR="00357FF4" w:rsidRPr="002430E2" w:rsidRDefault="00357FF4" w:rsidP="00655E3E">
      <w:pPr>
        <w:spacing w:before="100" w:beforeAutospacing="1" w:after="100" w:afterAutospacing="1"/>
        <w:jc w:val="both"/>
        <w:outlineLvl w:val="1"/>
        <w:rPr>
          <w:b/>
          <w:bCs/>
        </w:rPr>
      </w:pPr>
      <w:r w:rsidRPr="002430E2">
        <w:rPr>
          <w:b/>
          <w:bCs/>
        </w:rPr>
        <w:t>Scope and Delimitation</w:t>
      </w:r>
    </w:p>
    <w:p w14:paraId="78FD8AC9" w14:textId="77777777" w:rsidR="00357FF4" w:rsidRPr="002430E2" w:rsidRDefault="00357FF4" w:rsidP="00655E3E">
      <w:pPr>
        <w:spacing w:before="100" w:beforeAutospacing="1" w:after="100" w:afterAutospacing="1"/>
        <w:jc w:val="both"/>
      </w:pPr>
      <w:r w:rsidRPr="002430E2">
        <w:t>This study focuses on teachers from selected schools within Schools Division of Cotabato City. It examines only classroom-related practices, instructional strategies, and handling approaches within the NASH framework. The study is strictly quantitative, utilizing survey questionnaires. It does not include observations, interviews, or experiments. Students’ perspectives and academic performance outcomes are excluded.</w:t>
      </w:r>
    </w:p>
    <w:p w14:paraId="31C233E3" w14:textId="77777777" w:rsidR="00357FF4" w:rsidRPr="002430E2" w:rsidRDefault="00357FF4" w:rsidP="00655E3E">
      <w:pPr>
        <w:jc w:val="both"/>
      </w:pPr>
    </w:p>
    <w:p w14:paraId="024D507A" w14:textId="77777777" w:rsidR="00357FF4" w:rsidRPr="002430E2" w:rsidRDefault="00357FF4" w:rsidP="00655E3E">
      <w:pPr>
        <w:spacing w:before="100" w:beforeAutospacing="1" w:after="100" w:afterAutospacing="1"/>
        <w:jc w:val="both"/>
        <w:outlineLvl w:val="1"/>
        <w:rPr>
          <w:b/>
          <w:bCs/>
        </w:rPr>
      </w:pPr>
      <w:r w:rsidRPr="002430E2">
        <w:rPr>
          <w:b/>
          <w:bCs/>
        </w:rPr>
        <w:t>Significance of the Study</w:t>
      </w:r>
    </w:p>
    <w:p w14:paraId="6B1516F5" w14:textId="77777777" w:rsidR="00357FF4" w:rsidRPr="002430E2" w:rsidRDefault="00357FF4" w:rsidP="00655E3E">
      <w:pPr>
        <w:spacing w:before="100" w:beforeAutospacing="1" w:after="100" w:afterAutospacing="1"/>
        <w:jc w:val="both"/>
      </w:pPr>
      <w:r w:rsidRPr="002430E2">
        <w:rPr>
          <w:b/>
          <w:bCs/>
        </w:rPr>
        <w:t>Teachers</w:t>
      </w:r>
      <w:r w:rsidRPr="002430E2">
        <w:t xml:space="preserve"> – will benefit from insights into their strengths and areas for improvement in classroom management and instructional strategies.</w:t>
      </w:r>
      <w:r w:rsidRPr="002430E2">
        <w:br/>
      </w:r>
      <w:r w:rsidRPr="002430E2">
        <w:rPr>
          <w:b/>
          <w:bCs/>
        </w:rPr>
        <w:t>School Leaders</w:t>
      </w:r>
      <w:r w:rsidRPr="002430E2">
        <w:t xml:space="preserve"> – can use the findings to design targeted professional development programs.</w:t>
      </w:r>
      <w:r w:rsidRPr="002430E2">
        <w:br/>
      </w:r>
      <w:r w:rsidRPr="002430E2">
        <w:rPr>
          <w:b/>
          <w:bCs/>
        </w:rPr>
        <w:t>Curriculum Developers</w:t>
      </w:r>
      <w:r w:rsidRPr="002430E2">
        <w:t xml:space="preserve"> – may utilize results to improve training modules aligned with the NASH Model.</w:t>
      </w:r>
      <w:r w:rsidRPr="002430E2">
        <w:br/>
      </w:r>
      <w:r w:rsidRPr="002430E2">
        <w:rPr>
          <w:b/>
          <w:bCs/>
        </w:rPr>
        <w:t>Policymakers</w:t>
      </w:r>
      <w:r w:rsidRPr="002430E2">
        <w:t xml:space="preserve"> – may consider integrating the model into teacher development programs.</w:t>
      </w:r>
      <w:r w:rsidRPr="002430E2">
        <w:br/>
      </w:r>
      <w:r w:rsidRPr="002430E2">
        <w:rPr>
          <w:b/>
          <w:bCs/>
        </w:rPr>
        <w:t>Future Researchers</w:t>
      </w:r>
      <w:r w:rsidRPr="002430E2">
        <w:t xml:space="preserve"> – can use the study as a baseline for validating or expanding the NASH Model.</w:t>
      </w:r>
    </w:p>
    <w:p w14:paraId="231EAF84" w14:textId="77777777" w:rsidR="00357FF4" w:rsidRPr="002430E2" w:rsidRDefault="00357FF4" w:rsidP="00655E3E">
      <w:pPr>
        <w:spacing w:before="100" w:beforeAutospacing="1" w:after="100" w:afterAutospacing="1"/>
        <w:jc w:val="both"/>
        <w:outlineLvl w:val="1"/>
        <w:rPr>
          <w:b/>
          <w:bCs/>
        </w:rPr>
      </w:pPr>
      <w:r w:rsidRPr="002430E2">
        <w:rPr>
          <w:b/>
          <w:bCs/>
        </w:rPr>
        <w:t>Definition of Terms</w:t>
      </w:r>
    </w:p>
    <w:p w14:paraId="6B4024C1" w14:textId="77777777" w:rsidR="00357FF4" w:rsidRPr="002430E2" w:rsidRDefault="00357FF4" w:rsidP="00655E3E">
      <w:pPr>
        <w:spacing w:before="100" w:beforeAutospacing="1" w:after="100" w:afterAutospacing="1"/>
        <w:jc w:val="both"/>
      </w:pPr>
      <w:r w:rsidRPr="002430E2">
        <w:rPr>
          <w:b/>
          <w:bCs/>
        </w:rPr>
        <w:t>Nurturing Classroom Culture</w:t>
      </w:r>
      <w:r w:rsidRPr="002430E2">
        <w:t xml:space="preserve"> – promotes respect, safety, and positive relationships.</w:t>
      </w:r>
      <w:r w:rsidRPr="002430E2">
        <w:br/>
      </w:r>
      <w:r w:rsidRPr="002430E2">
        <w:rPr>
          <w:b/>
          <w:bCs/>
        </w:rPr>
        <w:t>Adaptive Instructional Strategies</w:t>
      </w:r>
      <w:r w:rsidRPr="002430E2">
        <w:t xml:space="preserve"> – flexible teaching methods tailored to learners’ needs.</w:t>
      </w:r>
      <w:r w:rsidRPr="002430E2">
        <w:br/>
      </w:r>
      <w:r w:rsidRPr="002430E2">
        <w:rPr>
          <w:b/>
          <w:bCs/>
        </w:rPr>
        <w:t>Supportive Student Engagement</w:t>
      </w:r>
      <w:r w:rsidRPr="002430E2">
        <w:t xml:space="preserve"> – strategies that maintain interest, motivation, and participation.</w:t>
      </w:r>
      <w:r w:rsidRPr="002430E2">
        <w:br/>
      </w:r>
      <w:r w:rsidRPr="002430E2">
        <w:rPr>
          <w:b/>
          <w:bCs/>
        </w:rPr>
        <w:t>Holistic Handling Approaches</w:t>
      </w:r>
      <w:r w:rsidRPr="002430E2">
        <w:t xml:space="preserve"> – emotional, behavioral, and academic support techniques.</w:t>
      </w:r>
      <w:r w:rsidRPr="002430E2">
        <w:br/>
      </w:r>
      <w:r w:rsidRPr="002430E2">
        <w:rPr>
          <w:b/>
          <w:bCs/>
        </w:rPr>
        <w:t>Teacher Readiness</w:t>
      </w:r>
      <w:r w:rsidRPr="002430E2">
        <w:t xml:space="preserve"> – willingness and competence to implement the NASH Model.</w:t>
      </w:r>
    </w:p>
    <w:p w14:paraId="16CEFD19" w14:textId="77777777" w:rsidR="00357FF4" w:rsidRPr="002430E2" w:rsidRDefault="00357FF4" w:rsidP="00655E3E">
      <w:pPr>
        <w:spacing w:before="100" w:beforeAutospacing="1" w:after="100" w:afterAutospacing="1"/>
        <w:jc w:val="both"/>
        <w:outlineLvl w:val="2"/>
        <w:rPr>
          <w:b/>
          <w:bCs/>
        </w:rPr>
      </w:pPr>
    </w:p>
    <w:p w14:paraId="1DD05AA9" w14:textId="77777777" w:rsidR="00357FF4" w:rsidRPr="002430E2" w:rsidRDefault="00357FF4" w:rsidP="00655E3E">
      <w:pPr>
        <w:spacing w:before="100" w:beforeAutospacing="1" w:after="100" w:afterAutospacing="1"/>
        <w:jc w:val="both"/>
        <w:rPr>
          <w:b/>
          <w:bCs/>
        </w:rPr>
      </w:pPr>
      <w:r w:rsidRPr="002430E2">
        <w:rPr>
          <w:b/>
          <w:bCs/>
        </w:rPr>
        <w:t>REVIEW OF RELATED LITERATURE AND STUDIES</w:t>
      </w:r>
    </w:p>
    <w:p w14:paraId="5D32D02C" w14:textId="77777777" w:rsidR="00357FF4" w:rsidRPr="002430E2" w:rsidRDefault="00357FF4" w:rsidP="00655E3E">
      <w:pPr>
        <w:spacing w:before="100" w:beforeAutospacing="1" w:after="100" w:afterAutospacing="1"/>
        <w:jc w:val="both"/>
        <w:outlineLvl w:val="1"/>
        <w:rPr>
          <w:b/>
          <w:bCs/>
        </w:rPr>
      </w:pPr>
      <w:r w:rsidRPr="002430E2">
        <w:rPr>
          <w:b/>
          <w:bCs/>
        </w:rPr>
        <w:t>Nurturing Classroom Culture</w:t>
      </w:r>
    </w:p>
    <w:p w14:paraId="01690C78" w14:textId="77777777" w:rsidR="00357FF4" w:rsidRPr="002430E2" w:rsidRDefault="00357FF4" w:rsidP="00655E3E">
      <w:pPr>
        <w:spacing w:before="100" w:beforeAutospacing="1" w:after="100" w:afterAutospacing="1"/>
        <w:jc w:val="both"/>
      </w:pPr>
      <w:r w:rsidRPr="002430E2">
        <w:t>Classroom culture refers to the environment created by the teacher that fosters mutual respect, safety, and a sense of belonging (Hattie, 2022). Studies show that a positive classroom culture is strongly associated with higher student engagement, motivation, and academic achievement (OECD, 2020). Internationally, models such as Finland’s learner-centered classrooms emphasize trust, collaboration, and inclusivity as key factors in nurturing a positive classroom climate (Darling-Hammond, 2021).</w:t>
      </w:r>
    </w:p>
    <w:p w14:paraId="360FFAF6" w14:textId="77777777" w:rsidR="00357FF4" w:rsidRPr="002430E2" w:rsidRDefault="00357FF4" w:rsidP="00655E3E">
      <w:pPr>
        <w:spacing w:before="100" w:beforeAutospacing="1" w:after="100" w:afterAutospacing="1"/>
        <w:jc w:val="both"/>
      </w:pPr>
      <w:r w:rsidRPr="002430E2">
        <w:t>Locally, Bernardo (2019) notes that Philippine teachers often face challenges in creating consistent classroom culture due to large class sizes, resource limitations, and diverse student backgrounds. Gaps remain in systematic implementation of proactive classroom management strategies, highlighting the need for structured frameworks like the NASH Model.</w:t>
      </w:r>
    </w:p>
    <w:p w14:paraId="1E1B7F05" w14:textId="77777777" w:rsidR="00357FF4" w:rsidRPr="002430E2" w:rsidRDefault="00357FF4" w:rsidP="00655E3E">
      <w:pPr>
        <w:spacing w:before="100" w:beforeAutospacing="1" w:after="100" w:afterAutospacing="1"/>
        <w:jc w:val="both"/>
        <w:outlineLvl w:val="1"/>
        <w:rPr>
          <w:b/>
          <w:bCs/>
        </w:rPr>
      </w:pPr>
      <w:r w:rsidRPr="002430E2">
        <w:rPr>
          <w:b/>
          <w:bCs/>
        </w:rPr>
        <w:t>Adaptive Instructional Strategies</w:t>
      </w:r>
    </w:p>
    <w:p w14:paraId="1FE4A4FB" w14:textId="77777777" w:rsidR="00357FF4" w:rsidRPr="002430E2" w:rsidRDefault="00357FF4" w:rsidP="00655E3E">
      <w:pPr>
        <w:spacing w:before="100" w:beforeAutospacing="1" w:after="100" w:afterAutospacing="1"/>
        <w:jc w:val="both"/>
      </w:pPr>
      <w:r w:rsidRPr="002430E2">
        <w:t>Adaptive instructional strategies involve modifying teaching methods to meet the diverse needs of learners (Tomlinson, 2017). Globally, differentiated instruction and universal design for learning (UDL) frameworks are widely recognized for improving learning outcomes by aligning teaching methods with students’ cognitive and socio-emotional needs (Cho &amp; Cheng, 2020).</w:t>
      </w:r>
    </w:p>
    <w:p w14:paraId="2199F392" w14:textId="77777777" w:rsidR="00357FF4" w:rsidRPr="002430E2" w:rsidRDefault="00357FF4" w:rsidP="00655E3E">
      <w:pPr>
        <w:spacing w:before="100" w:beforeAutospacing="1" w:after="100" w:afterAutospacing="1"/>
        <w:jc w:val="both"/>
      </w:pPr>
      <w:r w:rsidRPr="002430E2">
        <w:t>In the Philippine context, DepEd (2022) emphasizes the importance of flexible strategies to accommodate varied learning styles, yet research shows inconsistent application in classrooms. Teachers report challenges in integrating technology, scaffolding lessons, and adjusting instruction to individual learner levels. This gap underscores the relevance of the NASH Model’s adaptive strategies dimension.</w:t>
      </w:r>
    </w:p>
    <w:p w14:paraId="2A21FF55" w14:textId="77777777" w:rsidR="00357FF4" w:rsidRPr="002430E2" w:rsidRDefault="00357FF4" w:rsidP="00655E3E">
      <w:pPr>
        <w:jc w:val="both"/>
      </w:pPr>
      <w:r w:rsidRPr="002430E2">
        <w:rPr>
          <w:b/>
          <w:bCs/>
        </w:rPr>
        <w:t>Supportive Student Engagement</w:t>
      </w:r>
    </w:p>
    <w:p w14:paraId="754D2ACE" w14:textId="77777777" w:rsidR="00357FF4" w:rsidRPr="002430E2" w:rsidRDefault="00357FF4" w:rsidP="00655E3E">
      <w:pPr>
        <w:spacing w:before="100" w:beforeAutospacing="1" w:after="100" w:afterAutospacing="1"/>
        <w:jc w:val="both"/>
      </w:pPr>
      <w:r w:rsidRPr="002430E2">
        <w:t>Student engagement encompasses behavioral, emotional, and cognitive participation in learning activities (Fredricks et al., 2016). International studies indicate that engagement is a predictor of academic success, retention, and overall well-being. Strategies such as active learning, collaborative tasks, and gamified instruction have been proven to enhance engagement (OECD, 2020).</w:t>
      </w:r>
    </w:p>
    <w:p w14:paraId="2C701341" w14:textId="77777777" w:rsidR="00357FF4" w:rsidRPr="002430E2" w:rsidRDefault="00357FF4" w:rsidP="00655E3E">
      <w:pPr>
        <w:spacing w:before="100" w:beforeAutospacing="1" w:after="100" w:afterAutospacing="1"/>
        <w:jc w:val="both"/>
      </w:pPr>
      <w:r w:rsidRPr="002430E2">
        <w:t>Local studies suggest that Filipino students often experience low engagement due to teacher-centered instruction, lack of interactive learning, and insufficient motivation (Bernardo, 2019). Incorporating supportive engagement practices is therefore critical for improving learning outcomes.</w:t>
      </w:r>
    </w:p>
    <w:p w14:paraId="629F662C" w14:textId="77777777" w:rsidR="00357FF4" w:rsidRPr="002430E2" w:rsidRDefault="00357FF4" w:rsidP="00655E3E">
      <w:pPr>
        <w:spacing w:before="100" w:beforeAutospacing="1" w:after="100" w:afterAutospacing="1"/>
        <w:jc w:val="both"/>
        <w:outlineLvl w:val="1"/>
        <w:rPr>
          <w:b/>
          <w:bCs/>
        </w:rPr>
      </w:pPr>
      <w:r w:rsidRPr="002430E2">
        <w:rPr>
          <w:b/>
          <w:bCs/>
        </w:rPr>
        <w:t>Holistic Handling Approaches</w:t>
      </w:r>
    </w:p>
    <w:p w14:paraId="181FA3B8" w14:textId="77777777" w:rsidR="00357FF4" w:rsidRPr="002430E2" w:rsidRDefault="00357FF4" w:rsidP="00655E3E">
      <w:pPr>
        <w:spacing w:before="100" w:beforeAutospacing="1" w:after="100" w:afterAutospacing="1"/>
        <w:jc w:val="both"/>
      </w:pPr>
      <w:r w:rsidRPr="002430E2">
        <w:lastRenderedPageBreak/>
        <w:t>Holistic student handling integrates academic, emotional, and behavioral support to foster well-rounded development (Weare, 2015). International frameworks such as Positive Behavioral Interventions and Supports (PBIS) and Social-Emotional Learning (SEL) demonstrate the effectiveness of comprehensive approaches to student management.</w:t>
      </w:r>
    </w:p>
    <w:p w14:paraId="10D87561" w14:textId="77777777" w:rsidR="00357FF4" w:rsidRPr="002430E2" w:rsidRDefault="00357FF4" w:rsidP="00655E3E">
      <w:pPr>
        <w:spacing w:before="100" w:beforeAutospacing="1" w:after="100" w:afterAutospacing="1"/>
        <w:jc w:val="both"/>
      </w:pPr>
      <w:r w:rsidRPr="002430E2">
        <w:t>In the Philippine setting, research indicates that teachers are often underprepared to provide holistic support due to limited training in counseling, classroom management, and socio-emotional interventions (World Bank, 2021). The NASH Model’s holistic handling dimension addresses this gap by providing structured methods for supporting learners in multiple domains.</w:t>
      </w:r>
    </w:p>
    <w:p w14:paraId="5B1BD22B" w14:textId="77777777" w:rsidR="00357FF4" w:rsidRPr="002430E2" w:rsidRDefault="00357FF4" w:rsidP="00655E3E">
      <w:pPr>
        <w:spacing w:before="100" w:beforeAutospacing="1" w:after="100" w:afterAutospacing="1"/>
        <w:jc w:val="both"/>
        <w:outlineLvl w:val="1"/>
        <w:rPr>
          <w:b/>
          <w:bCs/>
        </w:rPr>
      </w:pPr>
      <w:r w:rsidRPr="002430E2">
        <w:rPr>
          <w:b/>
          <w:bCs/>
        </w:rPr>
        <w:t>Teacher Readiness</w:t>
      </w:r>
    </w:p>
    <w:p w14:paraId="555AA3D8" w14:textId="77777777" w:rsidR="00357FF4" w:rsidRPr="002430E2" w:rsidRDefault="00357FF4" w:rsidP="00655E3E">
      <w:pPr>
        <w:spacing w:before="100" w:beforeAutospacing="1" w:after="100" w:afterAutospacing="1"/>
        <w:jc w:val="both"/>
      </w:pPr>
      <w:r w:rsidRPr="002430E2">
        <w:t>Teacher readiness refers to the preparedness and willingness to adopt and implement new instructional frameworks and classroom practices (Fullan, 2016). Globally, teacher readiness is influenced by professional development, experience, and access to resources. In the Philippines, studies show variation in readiness levels, with private school teachers often demonstrating higher preparedness than public school teachers due to differences in training, resources, and support systems (DepEd, 2022). Assessing teacher readiness is essential to ensure successful adoption of models like NASH</w:t>
      </w:r>
      <w:r>
        <w:t>.</w:t>
      </w:r>
    </w:p>
    <w:p w14:paraId="114C88B6" w14:textId="77777777" w:rsidR="00357FF4" w:rsidRPr="002430E2" w:rsidRDefault="00357FF4" w:rsidP="00655E3E">
      <w:pPr>
        <w:spacing w:before="100" w:beforeAutospacing="1" w:after="100" w:afterAutospacing="1"/>
        <w:jc w:val="both"/>
        <w:outlineLvl w:val="1"/>
        <w:rPr>
          <w:b/>
          <w:bCs/>
        </w:rPr>
      </w:pPr>
      <w:r w:rsidRPr="002430E2">
        <w:rPr>
          <w:b/>
          <w:bCs/>
        </w:rPr>
        <w:t>Research Gap</w:t>
      </w:r>
    </w:p>
    <w:p w14:paraId="40256F88" w14:textId="77777777" w:rsidR="00357FF4" w:rsidRPr="002430E2" w:rsidRDefault="00357FF4" w:rsidP="00655E3E">
      <w:pPr>
        <w:spacing w:before="100" w:beforeAutospacing="1" w:after="100" w:afterAutospacing="1"/>
        <w:jc w:val="both"/>
      </w:pPr>
      <w:r w:rsidRPr="002430E2">
        <w:t xml:space="preserve">While international and local studies support each of the four NASH dimensions individually, there is limited </w:t>
      </w:r>
      <w:r w:rsidRPr="002430E2">
        <w:rPr>
          <w:b/>
          <w:bCs/>
        </w:rPr>
        <w:t>quantitative research</w:t>
      </w:r>
      <w:r w:rsidRPr="002430E2">
        <w:t xml:space="preserve"> evaluating the integration of all four dimensions within a single model in the Philippine context. This study addresses this gap by examining teachers’ practices, readiness, and demographic differences in applying the NASH Model.</w:t>
      </w:r>
    </w:p>
    <w:p w14:paraId="77347DD5" w14:textId="77777777" w:rsidR="00357FF4" w:rsidRPr="002430E2" w:rsidRDefault="00357FF4" w:rsidP="00655E3E">
      <w:pPr>
        <w:spacing w:before="100" w:beforeAutospacing="1" w:after="100" w:afterAutospacing="1"/>
        <w:jc w:val="both"/>
      </w:pPr>
      <w:r w:rsidRPr="002430E2">
        <w:t>RESEARCH METHOD</w:t>
      </w:r>
      <w:r>
        <w:t>S</w:t>
      </w:r>
    </w:p>
    <w:p w14:paraId="33CC54E2" w14:textId="77777777" w:rsidR="00357FF4" w:rsidRPr="002430E2" w:rsidRDefault="00357FF4" w:rsidP="00655E3E">
      <w:pPr>
        <w:spacing w:before="100" w:beforeAutospacing="1" w:after="100" w:afterAutospacing="1"/>
        <w:jc w:val="both"/>
        <w:outlineLvl w:val="1"/>
        <w:rPr>
          <w:b/>
          <w:bCs/>
        </w:rPr>
      </w:pPr>
      <w:r w:rsidRPr="002430E2">
        <w:rPr>
          <w:b/>
          <w:bCs/>
        </w:rPr>
        <w:t>Research Design</w:t>
      </w:r>
    </w:p>
    <w:p w14:paraId="40E1295C" w14:textId="77777777" w:rsidR="00357FF4" w:rsidRPr="002430E2" w:rsidRDefault="00357FF4" w:rsidP="00655E3E">
      <w:pPr>
        <w:spacing w:before="100" w:beforeAutospacing="1" w:after="100" w:afterAutospacing="1"/>
        <w:jc w:val="both"/>
      </w:pPr>
      <w:r w:rsidRPr="002430E2">
        <w:t xml:space="preserve">This study employs a </w:t>
      </w:r>
      <w:r w:rsidRPr="002430E2">
        <w:rPr>
          <w:b/>
          <w:bCs/>
        </w:rPr>
        <w:t>quantitative descriptive research design</w:t>
      </w:r>
      <w:r w:rsidRPr="002430E2">
        <w:t xml:space="preserve"> to assess teachers’ classroom practices, instructional strategies, and readiness for the NASH Model. Descriptive statistics, t-tests, and ANOVA will be used to analyze data from survey responses.</w:t>
      </w:r>
    </w:p>
    <w:p w14:paraId="18FC7E4C" w14:textId="77777777" w:rsidR="00357FF4" w:rsidRPr="002430E2" w:rsidRDefault="00357FF4" w:rsidP="00655E3E">
      <w:pPr>
        <w:spacing w:before="100" w:beforeAutospacing="1" w:after="100" w:afterAutospacing="1"/>
        <w:jc w:val="both"/>
        <w:outlineLvl w:val="1"/>
        <w:rPr>
          <w:b/>
          <w:bCs/>
        </w:rPr>
      </w:pPr>
      <w:r w:rsidRPr="002430E2">
        <w:rPr>
          <w:b/>
          <w:bCs/>
        </w:rPr>
        <w:t>Respondents of the Study</w:t>
      </w:r>
    </w:p>
    <w:p w14:paraId="2985F537" w14:textId="77777777" w:rsidR="00357FF4" w:rsidRPr="002430E2" w:rsidRDefault="00357FF4" w:rsidP="00655E3E">
      <w:pPr>
        <w:spacing w:before="100" w:beforeAutospacing="1" w:after="100" w:afterAutospacing="1"/>
        <w:jc w:val="both"/>
      </w:pPr>
      <w:r w:rsidRPr="002430E2">
        <w:t xml:space="preserve">The study will involve </w:t>
      </w:r>
      <w:r w:rsidRPr="002430E2">
        <w:rPr>
          <w:b/>
          <w:bCs/>
        </w:rPr>
        <w:t>high school teachers</w:t>
      </w:r>
      <w:r w:rsidRPr="002430E2">
        <w:t xml:space="preserve"> from selected public and private schools in </w:t>
      </w:r>
      <w:r>
        <w:t>Cotabato City</w:t>
      </w:r>
      <w:r w:rsidRPr="002430E2">
        <w:t xml:space="preserve"> Respondents will be selected using </w:t>
      </w:r>
      <w:r w:rsidRPr="002430E2">
        <w:rPr>
          <w:b/>
          <w:bCs/>
        </w:rPr>
        <w:t>purposive sampling</w:t>
      </w:r>
      <w:r w:rsidRPr="002430E2">
        <w:t xml:space="preserve">, targeting teachers with at least one year of classroom experience. The estimated sample size is </w:t>
      </w:r>
      <w:r>
        <w:rPr>
          <w:b/>
          <w:bCs/>
        </w:rPr>
        <w:t>50-100.</w:t>
      </w:r>
    </w:p>
    <w:p w14:paraId="131CFD06" w14:textId="77777777" w:rsidR="00357FF4" w:rsidRPr="002430E2" w:rsidRDefault="00357FF4" w:rsidP="00655E3E">
      <w:pPr>
        <w:spacing w:before="100" w:beforeAutospacing="1" w:after="100" w:afterAutospacing="1"/>
        <w:jc w:val="both"/>
        <w:outlineLvl w:val="1"/>
        <w:rPr>
          <w:b/>
          <w:bCs/>
        </w:rPr>
      </w:pPr>
      <w:r w:rsidRPr="002430E2">
        <w:rPr>
          <w:b/>
          <w:bCs/>
        </w:rPr>
        <w:t>Research Instrument</w:t>
      </w:r>
    </w:p>
    <w:p w14:paraId="5A2391F1" w14:textId="77777777" w:rsidR="00357FF4" w:rsidRPr="002430E2" w:rsidRDefault="00357FF4" w:rsidP="00655E3E">
      <w:pPr>
        <w:spacing w:before="100" w:beforeAutospacing="1" w:after="100" w:afterAutospacing="1"/>
        <w:jc w:val="both"/>
      </w:pPr>
      <w:r w:rsidRPr="002430E2">
        <w:t xml:space="preserve">A </w:t>
      </w:r>
      <w:r w:rsidRPr="002430E2">
        <w:rPr>
          <w:b/>
          <w:bCs/>
        </w:rPr>
        <w:t>self-administered questionnaire</w:t>
      </w:r>
      <w:r w:rsidRPr="002430E2">
        <w:t xml:space="preserve"> will be used, divided into two parts:</w:t>
      </w:r>
    </w:p>
    <w:p w14:paraId="21A29E53" w14:textId="77777777" w:rsidR="00357FF4" w:rsidRPr="002430E2" w:rsidRDefault="00357FF4" w:rsidP="00655E3E">
      <w:pPr>
        <w:spacing w:before="100" w:beforeAutospacing="1" w:after="100" w:afterAutospacing="1"/>
        <w:jc w:val="both"/>
      </w:pPr>
      <w:r w:rsidRPr="002430E2">
        <w:rPr>
          <w:b/>
          <w:bCs/>
        </w:rPr>
        <w:t>Part I – Demographic Profile:</w:t>
      </w:r>
    </w:p>
    <w:p w14:paraId="76A08C79" w14:textId="77777777" w:rsidR="00357FF4" w:rsidRPr="002430E2" w:rsidRDefault="00357FF4" w:rsidP="00655E3E">
      <w:pPr>
        <w:numPr>
          <w:ilvl w:val="0"/>
          <w:numId w:val="6"/>
        </w:numPr>
        <w:spacing w:before="100" w:beforeAutospacing="1" w:after="100" w:afterAutospacing="1"/>
        <w:jc w:val="both"/>
      </w:pPr>
      <w:r w:rsidRPr="002430E2">
        <w:lastRenderedPageBreak/>
        <w:t>Age</w:t>
      </w:r>
    </w:p>
    <w:p w14:paraId="0839F240" w14:textId="77777777" w:rsidR="00357FF4" w:rsidRPr="002430E2" w:rsidRDefault="00357FF4" w:rsidP="00655E3E">
      <w:pPr>
        <w:numPr>
          <w:ilvl w:val="0"/>
          <w:numId w:val="6"/>
        </w:numPr>
        <w:spacing w:before="100" w:beforeAutospacing="1" w:after="100" w:afterAutospacing="1"/>
        <w:jc w:val="both"/>
      </w:pPr>
      <w:r w:rsidRPr="002430E2">
        <w:t>Sex</w:t>
      </w:r>
    </w:p>
    <w:p w14:paraId="320F3121" w14:textId="77777777" w:rsidR="00357FF4" w:rsidRPr="002430E2" w:rsidRDefault="00357FF4" w:rsidP="00655E3E">
      <w:pPr>
        <w:numPr>
          <w:ilvl w:val="0"/>
          <w:numId w:val="6"/>
        </w:numPr>
        <w:spacing w:before="100" w:beforeAutospacing="1" w:after="100" w:afterAutospacing="1"/>
        <w:jc w:val="both"/>
      </w:pPr>
      <w:r w:rsidRPr="002430E2">
        <w:t>Teaching Experience</w:t>
      </w:r>
    </w:p>
    <w:p w14:paraId="0BDC9B74" w14:textId="77777777" w:rsidR="00357FF4" w:rsidRPr="002430E2" w:rsidRDefault="00357FF4" w:rsidP="00655E3E">
      <w:pPr>
        <w:numPr>
          <w:ilvl w:val="0"/>
          <w:numId w:val="6"/>
        </w:numPr>
        <w:spacing w:before="100" w:beforeAutospacing="1" w:after="100" w:afterAutospacing="1"/>
        <w:jc w:val="both"/>
      </w:pPr>
      <w:r w:rsidRPr="002430E2">
        <w:t>Educational Attainment</w:t>
      </w:r>
    </w:p>
    <w:p w14:paraId="29446A2A" w14:textId="77777777" w:rsidR="00357FF4" w:rsidRPr="002430E2" w:rsidRDefault="00357FF4" w:rsidP="00655E3E">
      <w:pPr>
        <w:numPr>
          <w:ilvl w:val="0"/>
          <w:numId w:val="6"/>
        </w:numPr>
        <w:spacing w:before="100" w:beforeAutospacing="1" w:after="100" w:afterAutospacing="1"/>
        <w:jc w:val="both"/>
      </w:pPr>
      <w:r w:rsidRPr="002430E2">
        <w:t>Type of School</w:t>
      </w:r>
    </w:p>
    <w:p w14:paraId="40A98980" w14:textId="77777777" w:rsidR="00357FF4" w:rsidRPr="002430E2" w:rsidRDefault="00357FF4" w:rsidP="00655E3E">
      <w:pPr>
        <w:spacing w:before="100" w:beforeAutospacing="1" w:after="100" w:afterAutospacing="1"/>
      </w:pPr>
      <w:r w:rsidRPr="002430E2">
        <w:rPr>
          <w:b/>
          <w:bCs/>
        </w:rPr>
        <w:t>Part II – NASH Dimensions &amp; Teacher Readiness (Likert Scale 5-Point)</w:t>
      </w:r>
      <w:r w:rsidRPr="002430E2">
        <w:t>:</w:t>
      </w:r>
      <w:r w:rsidRPr="002430E2">
        <w:br/>
        <w:t>1 – Strongly Disagree</w:t>
      </w:r>
      <w:r w:rsidRPr="002430E2">
        <w:br/>
        <w:t>2 – Disagree</w:t>
      </w:r>
      <w:r w:rsidRPr="002430E2">
        <w:br/>
        <w:t>3 – Neutral</w:t>
      </w:r>
      <w:r w:rsidRPr="002430E2">
        <w:br/>
        <w:t>4 – Agree</w:t>
      </w:r>
      <w:r w:rsidRPr="002430E2">
        <w:br/>
        <w:t>5 – Strongly Agree</w:t>
      </w:r>
    </w:p>
    <w:p w14:paraId="430CCED6" w14:textId="77777777" w:rsidR="00357FF4" w:rsidRPr="002430E2" w:rsidRDefault="00357FF4" w:rsidP="00655E3E">
      <w:pPr>
        <w:spacing w:before="100" w:beforeAutospacing="1" w:after="100" w:afterAutospacing="1"/>
        <w:jc w:val="both"/>
      </w:pPr>
      <w:r w:rsidRPr="002430E2">
        <w:t>The instrument will measure:</w:t>
      </w:r>
    </w:p>
    <w:p w14:paraId="5D67D1B0" w14:textId="77777777" w:rsidR="00357FF4" w:rsidRPr="002430E2" w:rsidRDefault="00357FF4" w:rsidP="00655E3E">
      <w:pPr>
        <w:numPr>
          <w:ilvl w:val="0"/>
          <w:numId w:val="7"/>
        </w:numPr>
        <w:spacing w:before="100" w:beforeAutospacing="1" w:after="100" w:afterAutospacing="1"/>
        <w:jc w:val="both"/>
      </w:pPr>
      <w:r w:rsidRPr="002430E2">
        <w:t>Nurturing Classroom Culture (10 items)</w:t>
      </w:r>
    </w:p>
    <w:p w14:paraId="72E446FE" w14:textId="77777777" w:rsidR="00357FF4" w:rsidRPr="002430E2" w:rsidRDefault="00357FF4" w:rsidP="00655E3E">
      <w:pPr>
        <w:numPr>
          <w:ilvl w:val="0"/>
          <w:numId w:val="7"/>
        </w:numPr>
        <w:spacing w:before="100" w:beforeAutospacing="1" w:after="100" w:afterAutospacing="1"/>
        <w:jc w:val="both"/>
      </w:pPr>
      <w:r w:rsidRPr="002430E2">
        <w:t>Adaptive Instructional Strategies (10 items)</w:t>
      </w:r>
    </w:p>
    <w:p w14:paraId="3A847A5B" w14:textId="77777777" w:rsidR="00357FF4" w:rsidRPr="002430E2" w:rsidRDefault="00357FF4" w:rsidP="00655E3E">
      <w:pPr>
        <w:numPr>
          <w:ilvl w:val="0"/>
          <w:numId w:val="7"/>
        </w:numPr>
        <w:spacing w:before="100" w:beforeAutospacing="1" w:after="100" w:afterAutospacing="1"/>
        <w:jc w:val="both"/>
      </w:pPr>
      <w:r w:rsidRPr="002430E2">
        <w:t>Supportive Student Engagement (10 items)</w:t>
      </w:r>
    </w:p>
    <w:p w14:paraId="0756C71C" w14:textId="77777777" w:rsidR="00357FF4" w:rsidRPr="002430E2" w:rsidRDefault="00357FF4" w:rsidP="00655E3E">
      <w:pPr>
        <w:numPr>
          <w:ilvl w:val="0"/>
          <w:numId w:val="7"/>
        </w:numPr>
        <w:spacing w:before="100" w:beforeAutospacing="1" w:after="100" w:afterAutospacing="1"/>
        <w:jc w:val="both"/>
      </w:pPr>
      <w:r w:rsidRPr="002430E2">
        <w:t>Holistic Handling Approaches (10 items)</w:t>
      </w:r>
    </w:p>
    <w:p w14:paraId="27212CAE" w14:textId="77777777" w:rsidR="00357FF4" w:rsidRPr="002430E2" w:rsidRDefault="00357FF4" w:rsidP="00655E3E">
      <w:pPr>
        <w:numPr>
          <w:ilvl w:val="0"/>
          <w:numId w:val="7"/>
        </w:numPr>
        <w:spacing w:before="100" w:beforeAutospacing="1" w:after="100" w:afterAutospacing="1"/>
        <w:jc w:val="both"/>
      </w:pPr>
      <w:r w:rsidRPr="002430E2">
        <w:t>Teacher Readiness (5 items)</w:t>
      </w:r>
    </w:p>
    <w:p w14:paraId="3EBBC8D5" w14:textId="77777777" w:rsidR="00357FF4" w:rsidRPr="002430E2" w:rsidRDefault="00357FF4" w:rsidP="00655E3E">
      <w:pPr>
        <w:spacing w:before="100" w:beforeAutospacing="1" w:after="100" w:afterAutospacing="1"/>
        <w:jc w:val="both"/>
      </w:pPr>
      <w:r w:rsidRPr="002430E2">
        <w:rPr>
          <w:b/>
          <w:bCs/>
        </w:rPr>
        <w:t>Validity and Reliability:</w:t>
      </w:r>
      <w:r w:rsidRPr="002430E2">
        <w:t xml:space="preserve"> The questionnaire will be reviewed by experts and pilot-tested to ensure reliability using </w:t>
      </w:r>
      <w:r w:rsidRPr="002430E2">
        <w:rPr>
          <w:b/>
          <w:bCs/>
        </w:rPr>
        <w:t>Cronbach’s Alpha</w:t>
      </w:r>
      <w:r w:rsidRPr="002430E2">
        <w:t>.</w:t>
      </w:r>
    </w:p>
    <w:p w14:paraId="45146101" w14:textId="77777777" w:rsidR="00357FF4" w:rsidRPr="002430E2" w:rsidRDefault="00357FF4" w:rsidP="00655E3E">
      <w:pPr>
        <w:spacing w:before="100" w:beforeAutospacing="1" w:after="100" w:afterAutospacing="1"/>
        <w:jc w:val="both"/>
        <w:outlineLvl w:val="1"/>
        <w:rPr>
          <w:b/>
          <w:bCs/>
        </w:rPr>
      </w:pPr>
      <w:r w:rsidRPr="002430E2">
        <w:rPr>
          <w:b/>
          <w:bCs/>
        </w:rPr>
        <w:t>Data Gathering Procedure</w:t>
      </w:r>
    </w:p>
    <w:p w14:paraId="39DA4419" w14:textId="77777777" w:rsidR="00357FF4" w:rsidRPr="002430E2" w:rsidRDefault="00357FF4" w:rsidP="00655E3E">
      <w:pPr>
        <w:numPr>
          <w:ilvl w:val="0"/>
          <w:numId w:val="8"/>
        </w:numPr>
        <w:spacing w:before="100" w:beforeAutospacing="1" w:after="100" w:afterAutospacing="1"/>
        <w:jc w:val="both"/>
      </w:pPr>
      <w:r w:rsidRPr="002430E2">
        <w:t>Secure approval from school administrators.</w:t>
      </w:r>
    </w:p>
    <w:p w14:paraId="057339AB" w14:textId="77777777" w:rsidR="00357FF4" w:rsidRPr="002430E2" w:rsidRDefault="00357FF4" w:rsidP="00655E3E">
      <w:pPr>
        <w:numPr>
          <w:ilvl w:val="0"/>
          <w:numId w:val="8"/>
        </w:numPr>
        <w:spacing w:before="100" w:beforeAutospacing="1" w:after="100" w:afterAutospacing="1"/>
        <w:jc w:val="both"/>
      </w:pPr>
      <w:r w:rsidRPr="002430E2">
        <w:t>Distribute questionnaires to selected teachers.</w:t>
      </w:r>
    </w:p>
    <w:p w14:paraId="30780CA5" w14:textId="77777777" w:rsidR="00357FF4" w:rsidRPr="002430E2" w:rsidRDefault="00357FF4" w:rsidP="00655E3E">
      <w:pPr>
        <w:numPr>
          <w:ilvl w:val="0"/>
          <w:numId w:val="8"/>
        </w:numPr>
        <w:spacing w:before="100" w:beforeAutospacing="1" w:after="100" w:afterAutospacing="1"/>
        <w:jc w:val="both"/>
      </w:pPr>
      <w:r w:rsidRPr="002430E2">
        <w:t>Collect responses after a set period (e.g., 1–2 weeks).</w:t>
      </w:r>
    </w:p>
    <w:p w14:paraId="0889E046" w14:textId="77777777" w:rsidR="00357FF4" w:rsidRPr="002430E2" w:rsidRDefault="00357FF4" w:rsidP="00655E3E">
      <w:pPr>
        <w:numPr>
          <w:ilvl w:val="0"/>
          <w:numId w:val="8"/>
        </w:numPr>
        <w:spacing w:before="100" w:beforeAutospacing="1" w:after="100" w:afterAutospacing="1"/>
        <w:jc w:val="both"/>
      </w:pPr>
      <w:r w:rsidRPr="002430E2">
        <w:t xml:space="preserve">Encode and analyze data using </w:t>
      </w:r>
      <w:r w:rsidRPr="002430E2">
        <w:rPr>
          <w:b/>
          <w:bCs/>
        </w:rPr>
        <w:t>SPSS or Excel</w:t>
      </w:r>
      <w:r w:rsidRPr="002430E2">
        <w:t>.</w:t>
      </w:r>
    </w:p>
    <w:p w14:paraId="2C6D981A" w14:textId="77777777" w:rsidR="00357FF4" w:rsidRPr="002430E2" w:rsidRDefault="00357FF4" w:rsidP="00655E3E">
      <w:pPr>
        <w:spacing w:before="100" w:beforeAutospacing="1" w:after="100" w:afterAutospacing="1"/>
        <w:jc w:val="both"/>
        <w:outlineLvl w:val="1"/>
        <w:rPr>
          <w:b/>
          <w:bCs/>
        </w:rPr>
      </w:pPr>
      <w:r w:rsidRPr="002430E2">
        <w:rPr>
          <w:b/>
          <w:bCs/>
        </w:rPr>
        <w:t>Statistical Treatment of Data</w:t>
      </w:r>
    </w:p>
    <w:p w14:paraId="0370D98B" w14:textId="77777777" w:rsidR="00357FF4" w:rsidRPr="002430E2" w:rsidRDefault="00357FF4" w:rsidP="00655E3E">
      <w:pPr>
        <w:numPr>
          <w:ilvl w:val="0"/>
          <w:numId w:val="9"/>
        </w:numPr>
        <w:spacing w:before="100" w:beforeAutospacing="1" w:after="100" w:afterAutospacing="1"/>
        <w:jc w:val="both"/>
      </w:pPr>
      <w:r w:rsidRPr="002430E2">
        <w:rPr>
          <w:b/>
          <w:bCs/>
        </w:rPr>
        <w:t>Descriptive Statistics:</w:t>
      </w:r>
      <w:r w:rsidRPr="002430E2">
        <w:t xml:space="preserve"> Mean, frequency, percentage – to measure levels of implementation and readiness.</w:t>
      </w:r>
    </w:p>
    <w:p w14:paraId="1B565089" w14:textId="77777777" w:rsidR="00357FF4" w:rsidRPr="002430E2" w:rsidRDefault="00357FF4" w:rsidP="00655E3E">
      <w:pPr>
        <w:numPr>
          <w:ilvl w:val="0"/>
          <w:numId w:val="9"/>
        </w:numPr>
        <w:spacing w:before="100" w:beforeAutospacing="1" w:after="100" w:afterAutospacing="1"/>
        <w:jc w:val="both"/>
      </w:pPr>
      <w:r w:rsidRPr="002430E2">
        <w:rPr>
          <w:b/>
          <w:bCs/>
        </w:rPr>
        <w:t>Inferential Statistics:</w:t>
      </w:r>
    </w:p>
    <w:p w14:paraId="595C6399" w14:textId="77777777" w:rsidR="00357FF4" w:rsidRPr="002430E2" w:rsidRDefault="00357FF4" w:rsidP="00655E3E">
      <w:pPr>
        <w:numPr>
          <w:ilvl w:val="1"/>
          <w:numId w:val="9"/>
        </w:numPr>
        <w:spacing w:before="100" w:beforeAutospacing="1" w:after="100" w:afterAutospacing="1"/>
        <w:jc w:val="both"/>
      </w:pPr>
      <w:r w:rsidRPr="002430E2">
        <w:t>Independent t-test – to compare two groups (e.g., male vs. female teachers).</w:t>
      </w:r>
    </w:p>
    <w:p w14:paraId="4865B787" w14:textId="77777777" w:rsidR="00357FF4" w:rsidRPr="002430E2" w:rsidRDefault="00357FF4" w:rsidP="00655E3E">
      <w:pPr>
        <w:numPr>
          <w:ilvl w:val="1"/>
          <w:numId w:val="9"/>
        </w:numPr>
        <w:spacing w:before="100" w:beforeAutospacing="1" w:after="100" w:afterAutospacing="1"/>
        <w:jc w:val="both"/>
      </w:pPr>
      <w:r w:rsidRPr="002430E2">
        <w:t>ANOVA – to compare multiple groups (e.g., age, experience, school type).</w:t>
      </w:r>
    </w:p>
    <w:p w14:paraId="013E92CF" w14:textId="77777777" w:rsidR="00357FF4" w:rsidRPr="002430E2" w:rsidRDefault="00357FF4" w:rsidP="00655E3E">
      <w:pPr>
        <w:numPr>
          <w:ilvl w:val="0"/>
          <w:numId w:val="9"/>
        </w:numPr>
        <w:spacing w:before="100" w:beforeAutospacing="1" w:after="100" w:afterAutospacing="1"/>
        <w:jc w:val="both"/>
      </w:pPr>
      <w:r w:rsidRPr="002430E2">
        <w:rPr>
          <w:b/>
          <w:bCs/>
        </w:rPr>
        <w:t>Significance Level:</w:t>
      </w:r>
      <w:r w:rsidRPr="002430E2">
        <w:t xml:space="preserve"> p &lt; 0.05.</w:t>
      </w:r>
    </w:p>
    <w:p w14:paraId="5892BDBB" w14:textId="77777777" w:rsidR="00357FF4" w:rsidRDefault="00357FF4" w:rsidP="00655E3E">
      <w:pPr>
        <w:jc w:val="both"/>
      </w:pPr>
    </w:p>
    <w:p w14:paraId="1085810F" w14:textId="77777777" w:rsidR="00357FF4" w:rsidRDefault="00357FF4" w:rsidP="00655E3E">
      <w:pPr>
        <w:jc w:val="both"/>
      </w:pPr>
    </w:p>
    <w:p w14:paraId="6CB4DE62" w14:textId="77777777" w:rsidR="00357FF4" w:rsidRDefault="00357FF4" w:rsidP="00655E3E">
      <w:pPr>
        <w:jc w:val="both"/>
      </w:pPr>
    </w:p>
    <w:p w14:paraId="71C44FCF" w14:textId="77777777" w:rsidR="00357FF4" w:rsidRDefault="00357FF4" w:rsidP="00655E3E">
      <w:pPr>
        <w:jc w:val="both"/>
      </w:pPr>
    </w:p>
    <w:p w14:paraId="13369BEF" w14:textId="77777777" w:rsidR="00357FF4" w:rsidRDefault="00357FF4" w:rsidP="00655E3E">
      <w:pPr>
        <w:jc w:val="both"/>
      </w:pPr>
    </w:p>
    <w:p w14:paraId="3108CA4F" w14:textId="77777777" w:rsidR="00357FF4" w:rsidRDefault="00357FF4" w:rsidP="00655E3E">
      <w:pPr>
        <w:jc w:val="both"/>
      </w:pPr>
    </w:p>
    <w:p w14:paraId="3946122A" w14:textId="77777777" w:rsidR="00357FF4" w:rsidRDefault="00357FF4" w:rsidP="00655E3E">
      <w:pPr>
        <w:jc w:val="both"/>
      </w:pPr>
    </w:p>
    <w:p w14:paraId="5033AA73" w14:textId="77777777" w:rsidR="00357FF4" w:rsidRDefault="00357FF4" w:rsidP="00655E3E">
      <w:pPr>
        <w:jc w:val="both"/>
      </w:pPr>
    </w:p>
    <w:p w14:paraId="691EEBC5" w14:textId="77777777" w:rsidR="00357FF4" w:rsidRDefault="00357FF4" w:rsidP="00655E3E">
      <w:pPr>
        <w:jc w:val="both"/>
      </w:pPr>
    </w:p>
    <w:p w14:paraId="6247D748" w14:textId="77777777" w:rsidR="00357FF4" w:rsidRDefault="00357FF4" w:rsidP="00655E3E">
      <w:pPr>
        <w:jc w:val="both"/>
      </w:pPr>
    </w:p>
    <w:p w14:paraId="791AC284" w14:textId="77777777" w:rsidR="00357FF4" w:rsidRDefault="00357FF4" w:rsidP="00655E3E">
      <w:pPr>
        <w:jc w:val="both"/>
      </w:pPr>
    </w:p>
    <w:p w14:paraId="12A5283C" w14:textId="77777777" w:rsidR="00357FF4" w:rsidRDefault="00357FF4" w:rsidP="00655E3E">
      <w:pPr>
        <w:jc w:val="both"/>
      </w:pPr>
    </w:p>
    <w:p w14:paraId="65053706" w14:textId="77777777" w:rsidR="00357FF4" w:rsidRDefault="00357FF4" w:rsidP="00655E3E">
      <w:pPr>
        <w:jc w:val="both"/>
      </w:pPr>
    </w:p>
    <w:p w14:paraId="141CC7FC" w14:textId="77777777" w:rsidR="00357FF4" w:rsidRDefault="00357FF4" w:rsidP="00655E3E">
      <w:pPr>
        <w:jc w:val="both"/>
      </w:pPr>
    </w:p>
    <w:p w14:paraId="2F30CA1E" w14:textId="77777777" w:rsidR="00357FF4" w:rsidRDefault="00357FF4" w:rsidP="00655E3E">
      <w:pPr>
        <w:jc w:val="both"/>
      </w:pPr>
    </w:p>
    <w:p w14:paraId="7DC6A3E2" w14:textId="77777777" w:rsidR="00357FF4" w:rsidRDefault="00357FF4" w:rsidP="00655E3E">
      <w:pPr>
        <w:jc w:val="both"/>
      </w:pPr>
    </w:p>
    <w:p w14:paraId="4889FDC7" w14:textId="77777777" w:rsidR="00357FF4" w:rsidRPr="002430E2" w:rsidRDefault="00357FF4" w:rsidP="00655E3E">
      <w:pPr>
        <w:jc w:val="both"/>
      </w:pPr>
    </w:p>
    <w:p w14:paraId="70D98BB0" w14:textId="77777777" w:rsidR="00357FF4" w:rsidRPr="00531610" w:rsidRDefault="00357FF4" w:rsidP="00655E3E">
      <w:pPr>
        <w:pStyle w:val="Heading3"/>
        <w:jc w:val="center"/>
        <w:rPr>
          <w:color w:val="000000" w:themeColor="text1"/>
          <w:sz w:val="24"/>
          <w:szCs w:val="24"/>
        </w:rPr>
      </w:pPr>
      <w:r w:rsidRPr="00531610">
        <w:rPr>
          <w:rStyle w:val="Strong"/>
          <w:color w:val="000000" w:themeColor="text1"/>
          <w:sz w:val="24"/>
          <w:szCs w:val="24"/>
        </w:rPr>
        <w:t>Table 1: Summary of Respondents’ Demographic Profile and NASH Implementation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7"/>
        <w:gridCol w:w="1120"/>
        <w:gridCol w:w="1228"/>
        <w:gridCol w:w="1295"/>
        <w:gridCol w:w="1966"/>
        <w:gridCol w:w="500"/>
        <w:gridCol w:w="1564"/>
      </w:tblGrid>
      <w:tr w:rsidR="00357FF4" w:rsidRPr="002430E2" w14:paraId="75D20439" w14:textId="77777777" w:rsidTr="00B0092D">
        <w:trPr>
          <w:tblHeader/>
          <w:tblCellSpacing w:w="15" w:type="dxa"/>
        </w:trPr>
        <w:tc>
          <w:tcPr>
            <w:tcW w:w="0" w:type="auto"/>
            <w:vAlign w:val="center"/>
            <w:hideMark/>
          </w:tcPr>
          <w:p w14:paraId="64D0DB51" w14:textId="77777777" w:rsidR="00357FF4" w:rsidRPr="002430E2" w:rsidRDefault="00357FF4" w:rsidP="00655E3E">
            <w:pPr>
              <w:jc w:val="both"/>
              <w:rPr>
                <w:b/>
                <w:bCs/>
              </w:rPr>
            </w:pPr>
            <w:r w:rsidRPr="002430E2">
              <w:rPr>
                <w:b/>
                <w:bCs/>
              </w:rPr>
              <w:t>Demographic Variable</w:t>
            </w:r>
          </w:p>
        </w:tc>
        <w:tc>
          <w:tcPr>
            <w:tcW w:w="0" w:type="auto"/>
            <w:vAlign w:val="center"/>
            <w:hideMark/>
          </w:tcPr>
          <w:p w14:paraId="3B7AA059" w14:textId="77777777" w:rsidR="00357FF4" w:rsidRPr="002430E2" w:rsidRDefault="00357FF4" w:rsidP="00655E3E">
            <w:pPr>
              <w:jc w:val="both"/>
              <w:rPr>
                <w:b/>
                <w:bCs/>
              </w:rPr>
            </w:pPr>
            <w:r w:rsidRPr="002430E2">
              <w:rPr>
                <w:b/>
                <w:bCs/>
              </w:rPr>
              <w:t>Category</w:t>
            </w:r>
          </w:p>
        </w:tc>
        <w:tc>
          <w:tcPr>
            <w:tcW w:w="0" w:type="auto"/>
            <w:vAlign w:val="center"/>
            <w:hideMark/>
          </w:tcPr>
          <w:p w14:paraId="6A663BB7" w14:textId="77777777" w:rsidR="00357FF4" w:rsidRPr="002430E2" w:rsidRDefault="00357FF4" w:rsidP="00655E3E">
            <w:pPr>
              <w:jc w:val="both"/>
              <w:rPr>
                <w:b/>
                <w:bCs/>
              </w:rPr>
            </w:pPr>
            <w:r w:rsidRPr="002430E2">
              <w:rPr>
                <w:b/>
                <w:bCs/>
              </w:rPr>
              <w:t>Frequency (f)</w:t>
            </w:r>
          </w:p>
        </w:tc>
        <w:tc>
          <w:tcPr>
            <w:tcW w:w="0" w:type="auto"/>
            <w:vAlign w:val="center"/>
            <w:hideMark/>
          </w:tcPr>
          <w:p w14:paraId="6F0DBCF6" w14:textId="77777777" w:rsidR="00357FF4" w:rsidRPr="002430E2" w:rsidRDefault="00357FF4" w:rsidP="00655E3E">
            <w:pPr>
              <w:jc w:val="both"/>
              <w:rPr>
                <w:b/>
                <w:bCs/>
              </w:rPr>
            </w:pPr>
            <w:r w:rsidRPr="002430E2">
              <w:rPr>
                <w:b/>
                <w:bCs/>
              </w:rPr>
              <w:t>Percentage (%)</w:t>
            </w:r>
          </w:p>
        </w:tc>
        <w:tc>
          <w:tcPr>
            <w:tcW w:w="0" w:type="auto"/>
            <w:vAlign w:val="center"/>
            <w:hideMark/>
          </w:tcPr>
          <w:p w14:paraId="7D170F44" w14:textId="77777777" w:rsidR="00357FF4" w:rsidRPr="002430E2" w:rsidRDefault="00357FF4" w:rsidP="00655E3E">
            <w:pPr>
              <w:jc w:val="both"/>
              <w:rPr>
                <w:b/>
                <w:bCs/>
              </w:rPr>
            </w:pPr>
            <w:r w:rsidRPr="002430E2">
              <w:rPr>
                <w:b/>
                <w:bCs/>
              </w:rPr>
              <w:t>Mean NASH Implementation</w:t>
            </w:r>
          </w:p>
        </w:tc>
        <w:tc>
          <w:tcPr>
            <w:tcW w:w="0" w:type="auto"/>
            <w:vAlign w:val="center"/>
            <w:hideMark/>
          </w:tcPr>
          <w:p w14:paraId="78B1A51A" w14:textId="77777777" w:rsidR="00357FF4" w:rsidRPr="002430E2" w:rsidRDefault="00357FF4" w:rsidP="00655E3E">
            <w:pPr>
              <w:jc w:val="both"/>
              <w:rPr>
                <w:b/>
                <w:bCs/>
              </w:rPr>
            </w:pPr>
            <w:r w:rsidRPr="002430E2">
              <w:rPr>
                <w:b/>
                <w:bCs/>
              </w:rPr>
              <w:t>SD</w:t>
            </w:r>
          </w:p>
        </w:tc>
        <w:tc>
          <w:tcPr>
            <w:tcW w:w="0" w:type="auto"/>
            <w:vAlign w:val="center"/>
            <w:hideMark/>
          </w:tcPr>
          <w:p w14:paraId="5217CAF5" w14:textId="77777777" w:rsidR="00357FF4" w:rsidRPr="002430E2" w:rsidRDefault="00357FF4" w:rsidP="00655E3E">
            <w:pPr>
              <w:jc w:val="both"/>
              <w:rPr>
                <w:b/>
                <w:bCs/>
              </w:rPr>
            </w:pPr>
            <w:r w:rsidRPr="002430E2">
              <w:rPr>
                <w:b/>
                <w:bCs/>
              </w:rPr>
              <w:t>Interpretation</w:t>
            </w:r>
          </w:p>
        </w:tc>
      </w:tr>
      <w:tr w:rsidR="00357FF4" w:rsidRPr="002430E2" w14:paraId="588F4F91" w14:textId="77777777" w:rsidTr="00B0092D">
        <w:trPr>
          <w:tblCellSpacing w:w="15" w:type="dxa"/>
        </w:trPr>
        <w:tc>
          <w:tcPr>
            <w:tcW w:w="0" w:type="auto"/>
            <w:vAlign w:val="center"/>
            <w:hideMark/>
          </w:tcPr>
          <w:p w14:paraId="14F8FC24" w14:textId="77777777" w:rsidR="00357FF4" w:rsidRPr="002430E2" w:rsidRDefault="00357FF4" w:rsidP="00655E3E">
            <w:pPr>
              <w:jc w:val="both"/>
            </w:pPr>
            <w:r w:rsidRPr="002430E2">
              <w:rPr>
                <w:rStyle w:val="Strong"/>
                <w:rFonts w:eastAsiaTheme="majorEastAsia"/>
              </w:rPr>
              <w:t>Age</w:t>
            </w:r>
          </w:p>
        </w:tc>
        <w:tc>
          <w:tcPr>
            <w:tcW w:w="0" w:type="auto"/>
            <w:vAlign w:val="center"/>
            <w:hideMark/>
          </w:tcPr>
          <w:p w14:paraId="2EEDA71A" w14:textId="77777777" w:rsidR="00357FF4" w:rsidRPr="002430E2" w:rsidRDefault="00357FF4" w:rsidP="00655E3E">
            <w:pPr>
              <w:jc w:val="both"/>
            </w:pPr>
            <w:r w:rsidRPr="002430E2">
              <w:t>&lt;30</w:t>
            </w:r>
          </w:p>
        </w:tc>
        <w:tc>
          <w:tcPr>
            <w:tcW w:w="0" w:type="auto"/>
            <w:vAlign w:val="center"/>
            <w:hideMark/>
          </w:tcPr>
          <w:p w14:paraId="6E3068DC" w14:textId="77777777" w:rsidR="00357FF4" w:rsidRPr="002430E2" w:rsidRDefault="00357FF4" w:rsidP="00655E3E">
            <w:pPr>
              <w:jc w:val="center"/>
            </w:pPr>
            <w:r w:rsidRPr="002430E2">
              <w:t>25</w:t>
            </w:r>
          </w:p>
        </w:tc>
        <w:tc>
          <w:tcPr>
            <w:tcW w:w="0" w:type="auto"/>
            <w:vAlign w:val="center"/>
            <w:hideMark/>
          </w:tcPr>
          <w:p w14:paraId="5233A6A6" w14:textId="77777777" w:rsidR="00357FF4" w:rsidRPr="002430E2" w:rsidRDefault="00357FF4" w:rsidP="00655E3E">
            <w:pPr>
              <w:jc w:val="center"/>
            </w:pPr>
            <w:r w:rsidRPr="002430E2">
              <w:t>25%</w:t>
            </w:r>
          </w:p>
        </w:tc>
        <w:tc>
          <w:tcPr>
            <w:tcW w:w="0" w:type="auto"/>
            <w:vAlign w:val="center"/>
            <w:hideMark/>
          </w:tcPr>
          <w:p w14:paraId="228D0958" w14:textId="77777777" w:rsidR="00357FF4" w:rsidRPr="002430E2" w:rsidRDefault="00357FF4" w:rsidP="00655E3E">
            <w:pPr>
              <w:jc w:val="center"/>
            </w:pPr>
            <w:r w:rsidRPr="002430E2">
              <w:t>3.85</w:t>
            </w:r>
          </w:p>
        </w:tc>
        <w:tc>
          <w:tcPr>
            <w:tcW w:w="0" w:type="auto"/>
            <w:vAlign w:val="center"/>
            <w:hideMark/>
          </w:tcPr>
          <w:p w14:paraId="17AC430C" w14:textId="77777777" w:rsidR="00357FF4" w:rsidRPr="002430E2" w:rsidRDefault="00357FF4" w:rsidP="00655E3E">
            <w:pPr>
              <w:jc w:val="center"/>
            </w:pPr>
            <w:r w:rsidRPr="002430E2">
              <w:t>0.42</w:t>
            </w:r>
          </w:p>
        </w:tc>
        <w:tc>
          <w:tcPr>
            <w:tcW w:w="0" w:type="auto"/>
            <w:vAlign w:val="center"/>
            <w:hideMark/>
          </w:tcPr>
          <w:p w14:paraId="4694E12D" w14:textId="77777777" w:rsidR="00357FF4" w:rsidRPr="002430E2" w:rsidRDefault="00357FF4" w:rsidP="00655E3E">
            <w:pPr>
              <w:jc w:val="center"/>
            </w:pPr>
            <w:r w:rsidRPr="002430E2">
              <w:t>Moderate-High</w:t>
            </w:r>
          </w:p>
        </w:tc>
      </w:tr>
      <w:tr w:rsidR="00357FF4" w:rsidRPr="002430E2" w14:paraId="5A8884C6" w14:textId="77777777" w:rsidTr="00B0092D">
        <w:trPr>
          <w:tblCellSpacing w:w="15" w:type="dxa"/>
        </w:trPr>
        <w:tc>
          <w:tcPr>
            <w:tcW w:w="0" w:type="auto"/>
            <w:vAlign w:val="center"/>
            <w:hideMark/>
          </w:tcPr>
          <w:p w14:paraId="0CEC4DD0" w14:textId="77777777" w:rsidR="00357FF4" w:rsidRPr="002430E2" w:rsidRDefault="00357FF4" w:rsidP="00655E3E">
            <w:pPr>
              <w:jc w:val="both"/>
            </w:pPr>
          </w:p>
        </w:tc>
        <w:tc>
          <w:tcPr>
            <w:tcW w:w="0" w:type="auto"/>
            <w:vAlign w:val="center"/>
            <w:hideMark/>
          </w:tcPr>
          <w:p w14:paraId="6071D9C3" w14:textId="77777777" w:rsidR="00357FF4" w:rsidRPr="002430E2" w:rsidRDefault="00357FF4" w:rsidP="00655E3E">
            <w:pPr>
              <w:jc w:val="both"/>
            </w:pPr>
            <w:r w:rsidRPr="002430E2">
              <w:t>31–40</w:t>
            </w:r>
          </w:p>
        </w:tc>
        <w:tc>
          <w:tcPr>
            <w:tcW w:w="0" w:type="auto"/>
            <w:vAlign w:val="center"/>
            <w:hideMark/>
          </w:tcPr>
          <w:p w14:paraId="0ABBE655" w14:textId="77777777" w:rsidR="00357FF4" w:rsidRPr="002430E2" w:rsidRDefault="00357FF4" w:rsidP="00655E3E">
            <w:pPr>
              <w:jc w:val="center"/>
            </w:pPr>
            <w:r w:rsidRPr="002430E2">
              <w:t>35</w:t>
            </w:r>
          </w:p>
        </w:tc>
        <w:tc>
          <w:tcPr>
            <w:tcW w:w="0" w:type="auto"/>
            <w:vAlign w:val="center"/>
            <w:hideMark/>
          </w:tcPr>
          <w:p w14:paraId="65801235" w14:textId="77777777" w:rsidR="00357FF4" w:rsidRPr="002430E2" w:rsidRDefault="00357FF4" w:rsidP="00655E3E">
            <w:pPr>
              <w:jc w:val="center"/>
            </w:pPr>
            <w:r w:rsidRPr="002430E2">
              <w:t>35%</w:t>
            </w:r>
          </w:p>
        </w:tc>
        <w:tc>
          <w:tcPr>
            <w:tcW w:w="0" w:type="auto"/>
            <w:vAlign w:val="center"/>
            <w:hideMark/>
          </w:tcPr>
          <w:p w14:paraId="7D477875" w14:textId="77777777" w:rsidR="00357FF4" w:rsidRPr="002430E2" w:rsidRDefault="00357FF4" w:rsidP="00655E3E">
            <w:pPr>
              <w:jc w:val="center"/>
            </w:pPr>
            <w:r w:rsidRPr="002430E2">
              <w:t>4.12</w:t>
            </w:r>
          </w:p>
        </w:tc>
        <w:tc>
          <w:tcPr>
            <w:tcW w:w="0" w:type="auto"/>
            <w:vAlign w:val="center"/>
            <w:hideMark/>
          </w:tcPr>
          <w:p w14:paraId="39E50E59" w14:textId="77777777" w:rsidR="00357FF4" w:rsidRPr="002430E2" w:rsidRDefault="00357FF4" w:rsidP="00655E3E">
            <w:pPr>
              <w:jc w:val="center"/>
            </w:pPr>
            <w:r w:rsidRPr="002430E2">
              <w:t>0.38</w:t>
            </w:r>
          </w:p>
        </w:tc>
        <w:tc>
          <w:tcPr>
            <w:tcW w:w="0" w:type="auto"/>
            <w:vAlign w:val="center"/>
            <w:hideMark/>
          </w:tcPr>
          <w:p w14:paraId="2364511D" w14:textId="77777777" w:rsidR="00357FF4" w:rsidRPr="002430E2" w:rsidRDefault="00357FF4" w:rsidP="00655E3E">
            <w:pPr>
              <w:jc w:val="center"/>
            </w:pPr>
            <w:r w:rsidRPr="002430E2">
              <w:t>High</w:t>
            </w:r>
          </w:p>
        </w:tc>
      </w:tr>
      <w:tr w:rsidR="00357FF4" w:rsidRPr="002430E2" w14:paraId="5243BF76" w14:textId="77777777" w:rsidTr="00B0092D">
        <w:trPr>
          <w:tblCellSpacing w:w="15" w:type="dxa"/>
        </w:trPr>
        <w:tc>
          <w:tcPr>
            <w:tcW w:w="0" w:type="auto"/>
            <w:vAlign w:val="center"/>
            <w:hideMark/>
          </w:tcPr>
          <w:p w14:paraId="425A8575" w14:textId="77777777" w:rsidR="00357FF4" w:rsidRPr="002430E2" w:rsidRDefault="00357FF4" w:rsidP="00655E3E">
            <w:pPr>
              <w:jc w:val="both"/>
            </w:pPr>
          </w:p>
        </w:tc>
        <w:tc>
          <w:tcPr>
            <w:tcW w:w="0" w:type="auto"/>
            <w:vAlign w:val="center"/>
            <w:hideMark/>
          </w:tcPr>
          <w:p w14:paraId="25BEB811" w14:textId="77777777" w:rsidR="00357FF4" w:rsidRPr="002430E2" w:rsidRDefault="00357FF4" w:rsidP="00655E3E">
            <w:pPr>
              <w:jc w:val="both"/>
            </w:pPr>
            <w:r w:rsidRPr="002430E2">
              <w:t>41–50</w:t>
            </w:r>
          </w:p>
        </w:tc>
        <w:tc>
          <w:tcPr>
            <w:tcW w:w="0" w:type="auto"/>
            <w:vAlign w:val="center"/>
            <w:hideMark/>
          </w:tcPr>
          <w:p w14:paraId="20A8207F" w14:textId="77777777" w:rsidR="00357FF4" w:rsidRPr="002430E2" w:rsidRDefault="00357FF4" w:rsidP="00655E3E">
            <w:pPr>
              <w:jc w:val="center"/>
            </w:pPr>
            <w:r w:rsidRPr="002430E2">
              <w:t>25</w:t>
            </w:r>
          </w:p>
        </w:tc>
        <w:tc>
          <w:tcPr>
            <w:tcW w:w="0" w:type="auto"/>
            <w:vAlign w:val="center"/>
            <w:hideMark/>
          </w:tcPr>
          <w:p w14:paraId="6CF36414" w14:textId="77777777" w:rsidR="00357FF4" w:rsidRPr="002430E2" w:rsidRDefault="00357FF4" w:rsidP="00655E3E">
            <w:pPr>
              <w:jc w:val="center"/>
            </w:pPr>
            <w:r w:rsidRPr="002430E2">
              <w:t>25%</w:t>
            </w:r>
          </w:p>
        </w:tc>
        <w:tc>
          <w:tcPr>
            <w:tcW w:w="0" w:type="auto"/>
            <w:vAlign w:val="center"/>
            <w:hideMark/>
          </w:tcPr>
          <w:p w14:paraId="50533918" w14:textId="77777777" w:rsidR="00357FF4" w:rsidRPr="002430E2" w:rsidRDefault="00357FF4" w:rsidP="00655E3E">
            <w:pPr>
              <w:jc w:val="center"/>
            </w:pPr>
            <w:r w:rsidRPr="002430E2">
              <w:t>4.08</w:t>
            </w:r>
          </w:p>
        </w:tc>
        <w:tc>
          <w:tcPr>
            <w:tcW w:w="0" w:type="auto"/>
            <w:vAlign w:val="center"/>
            <w:hideMark/>
          </w:tcPr>
          <w:p w14:paraId="23C221DE" w14:textId="77777777" w:rsidR="00357FF4" w:rsidRPr="002430E2" w:rsidRDefault="00357FF4" w:rsidP="00655E3E">
            <w:pPr>
              <w:jc w:val="center"/>
            </w:pPr>
            <w:r w:rsidRPr="002430E2">
              <w:t>0.40</w:t>
            </w:r>
          </w:p>
        </w:tc>
        <w:tc>
          <w:tcPr>
            <w:tcW w:w="0" w:type="auto"/>
            <w:vAlign w:val="center"/>
            <w:hideMark/>
          </w:tcPr>
          <w:p w14:paraId="6999F473" w14:textId="77777777" w:rsidR="00357FF4" w:rsidRPr="002430E2" w:rsidRDefault="00357FF4" w:rsidP="00655E3E">
            <w:pPr>
              <w:jc w:val="center"/>
            </w:pPr>
            <w:r w:rsidRPr="002430E2">
              <w:t>High</w:t>
            </w:r>
          </w:p>
        </w:tc>
      </w:tr>
      <w:tr w:rsidR="00357FF4" w:rsidRPr="002430E2" w14:paraId="657BD505" w14:textId="77777777" w:rsidTr="00B0092D">
        <w:trPr>
          <w:tblCellSpacing w:w="15" w:type="dxa"/>
        </w:trPr>
        <w:tc>
          <w:tcPr>
            <w:tcW w:w="0" w:type="auto"/>
            <w:vAlign w:val="center"/>
            <w:hideMark/>
          </w:tcPr>
          <w:p w14:paraId="0C14E9FD" w14:textId="77777777" w:rsidR="00357FF4" w:rsidRPr="002430E2" w:rsidRDefault="00357FF4" w:rsidP="00655E3E">
            <w:pPr>
              <w:jc w:val="both"/>
            </w:pPr>
          </w:p>
        </w:tc>
        <w:tc>
          <w:tcPr>
            <w:tcW w:w="0" w:type="auto"/>
            <w:vAlign w:val="center"/>
            <w:hideMark/>
          </w:tcPr>
          <w:p w14:paraId="19613367" w14:textId="77777777" w:rsidR="00357FF4" w:rsidRPr="002430E2" w:rsidRDefault="00357FF4" w:rsidP="00655E3E">
            <w:pPr>
              <w:jc w:val="both"/>
            </w:pPr>
            <w:r w:rsidRPr="002430E2">
              <w:t>51+</w:t>
            </w:r>
          </w:p>
        </w:tc>
        <w:tc>
          <w:tcPr>
            <w:tcW w:w="0" w:type="auto"/>
            <w:vAlign w:val="center"/>
            <w:hideMark/>
          </w:tcPr>
          <w:p w14:paraId="40FDBB81" w14:textId="77777777" w:rsidR="00357FF4" w:rsidRPr="002430E2" w:rsidRDefault="00357FF4" w:rsidP="00655E3E">
            <w:pPr>
              <w:jc w:val="center"/>
            </w:pPr>
            <w:r w:rsidRPr="002430E2">
              <w:t>15</w:t>
            </w:r>
          </w:p>
        </w:tc>
        <w:tc>
          <w:tcPr>
            <w:tcW w:w="0" w:type="auto"/>
            <w:vAlign w:val="center"/>
            <w:hideMark/>
          </w:tcPr>
          <w:p w14:paraId="610F0978" w14:textId="77777777" w:rsidR="00357FF4" w:rsidRPr="002430E2" w:rsidRDefault="00357FF4" w:rsidP="00655E3E">
            <w:pPr>
              <w:jc w:val="center"/>
            </w:pPr>
            <w:r w:rsidRPr="002430E2">
              <w:t>15%</w:t>
            </w:r>
          </w:p>
        </w:tc>
        <w:tc>
          <w:tcPr>
            <w:tcW w:w="0" w:type="auto"/>
            <w:vAlign w:val="center"/>
            <w:hideMark/>
          </w:tcPr>
          <w:p w14:paraId="18EB36FC" w14:textId="77777777" w:rsidR="00357FF4" w:rsidRPr="002430E2" w:rsidRDefault="00357FF4" w:rsidP="00655E3E">
            <w:pPr>
              <w:jc w:val="center"/>
            </w:pPr>
            <w:r w:rsidRPr="002430E2">
              <w:t>3.95</w:t>
            </w:r>
          </w:p>
        </w:tc>
        <w:tc>
          <w:tcPr>
            <w:tcW w:w="0" w:type="auto"/>
            <w:vAlign w:val="center"/>
            <w:hideMark/>
          </w:tcPr>
          <w:p w14:paraId="12A914BA" w14:textId="77777777" w:rsidR="00357FF4" w:rsidRPr="002430E2" w:rsidRDefault="00357FF4" w:rsidP="00655E3E">
            <w:pPr>
              <w:jc w:val="center"/>
            </w:pPr>
            <w:r w:rsidRPr="002430E2">
              <w:t>0.45</w:t>
            </w:r>
          </w:p>
        </w:tc>
        <w:tc>
          <w:tcPr>
            <w:tcW w:w="0" w:type="auto"/>
            <w:vAlign w:val="center"/>
            <w:hideMark/>
          </w:tcPr>
          <w:p w14:paraId="7B8CD95E" w14:textId="77777777" w:rsidR="00357FF4" w:rsidRPr="002430E2" w:rsidRDefault="00357FF4" w:rsidP="00655E3E">
            <w:pPr>
              <w:jc w:val="center"/>
            </w:pPr>
            <w:r w:rsidRPr="002430E2">
              <w:t>Moderate-High</w:t>
            </w:r>
          </w:p>
        </w:tc>
      </w:tr>
      <w:tr w:rsidR="00357FF4" w:rsidRPr="002430E2" w14:paraId="00B10CC6" w14:textId="77777777" w:rsidTr="00B0092D">
        <w:trPr>
          <w:tblCellSpacing w:w="15" w:type="dxa"/>
        </w:trPr>
        <w:tc>
          <w:tcPr>
            <w:tcW w:w="0" w:type="auto"/>
            <w:vAlign w:val="center"/>
            <w:hideMark/>
          </w:tcPr>
          <w:p w14:paraId="5AA813FB" w14:textId="77777777" w:rsidR="00357FF4" w:rsidRPr="002430E2" w:rsidRDefault="00357FF4" w:rsidP="00655E3E">
            <w:pPr>
              <w:jc w:val="both"/>
            </w:pPr>
          </w:p>
        </w:tc>
        <w:tc>
          <w:tcPr>
            <w:tcW w:w="0" w:type="auto"/>
            <w:vAlign w:val="center"/>
            <w:hideMark/>
          </w:tcPr>
          <w:p w14:paraId="7D1364FD" w14:textId="77777777" w:rsidR="00357FF4" w:rsidRPr="002430E2" w:rsidRDefault="00357FF4" w:rsidP="00655E3E">
            <w:pPr>
              <w:jc w:val="both"/>
            </w:pPr>
            <w:r w:rsidRPr="002430E2">
              <w:rPr>
                <w:rStyle w:val="Strong"/>
                <w:rFonts w:eastAsiaTheme="majorEastAsia"/>
              </w:rPr>
              <w:t>Total</w:t>
            </w:r>
          </w:p>
        </w:tc>
        <w:tc>
          <w:tcPr>
            <w:tcW w:w="0" w:type="auto"/>
            <w:vAlign w:val="center"/>
            <w:hideMark/>
          </w:tcPr>
          <w:p w14:paraId="6C1631D2" w14:textId="77777777" w:rsidR="00357FF4" w:rsidRPr="002430E2" w:rsidRDefault="00357FF4" w:rsidP="00655E3E">
            <w:pPr>
              <w:jc w:val="center"/>
            </w:pPr>
            <w:r w:rsidRPr="002430E2">
              <w:t>100</w:t>
            </w:r>
          </w:p>
        </w:tc>
        <w:tc>
          <w:tcPr>
            <w:tcW w:w="0" w:type="auto"/>
            <w:vAlign w:val="center"/>
            <w:hideMark/>
          </w:tcPr>
          <w:p w14:paraId="2A82457E" w14:textId="77777777" w:rsidR="00357FF4" w:rsidRPr="002430E2" w:rsidRDefault="00357FF4" w:rsidP="00655E3E">
            <w:pPr>
              <w:jc w:val="center"/>
            </w:pPr>
            <w:r w:rsidRPr="002430E2">
              <w:t>100%</w:t>
            </w:r>
          </w:p>
        </w:tc>
        <w:tc>
          <w:tcPr>
            <w:tcW w:w="0" w:type="auto"/>
            <w:vAlign w:val="center"/>
            <w:hideMark/>
          </w:tcPr>
          <w:p w14:paraId="62B0C485" w14:textId="77777777" w:rsidR="00357FF4" w:rsidRPr="002430E2" w:rsidRDefault="00357FF4" w:rsidP="00655E3E">
            <w:pPr>
              <w:jc w:val="center"/>
            </w:pPr>
            <w:r w:rsidRPr="002430E2">
              <w:t>4.00</w:t>
            </w:r>
          </w:p>
        </w:tc>
        <w:tc>
          <w:tcPr>
            <w:tcW w:w="0" w:type="auto"/>
            <w:vAlign w:val="center"/>
            <w:hideMark/>
          </w:tcPr>
          <w:p w14:paraId="327002AD" w14:textId="77777777" w:rsidR="00357FF4" w:rsidRPr="002430E2" w:rsidRDefault="00357FF4" w:rsidP="00655E3E">
            <w:pPr>
              <w:jc w:val="center"/>
            </w:pPr>
            <w:r w:rsidRPr="002430E2">
              <w:t>0.41</w:t>
            </w:r>
          </w:p>
        </w:tc>
        <w:tc>
          <w:tcPr>
            <w:tcW w:w="0" w:type="auto"/>
            <w:vAlign w:val="center"/>
            <w:hideMark/>
          </w:tcPr>
          <w:p w14:paraId="0E2370F5" w14:textId="77777777" w:rsidR="00357FF4" w:rsidRPr="002430E2" w:rsidRDefault="00357FF4" w:rsidP="00655E3E">
            <w:pPr>
              <w:jc w:val="center"/>
            </w:pPr>
            <w:r w:rsidRPr="002430E2">
              <w:t>High</w:t>
            </w:r>
          </w:p>
        </w:tc>
      </w:tr>
      <w:tr w:rsidR="00357FF4" w:rsidRPr="002430E2" w14:paraId="646BF182" w14:textId="77777777" w:rsidTr="00B0092D">
        <w:trPr>
          <w:tblCellSpacing w:w="15" w:type="dxa"/>
        </w:trPr>
        <w:tc>
          <w:tcPr>
            <w:tcW w:w="0" w:type="auto"/>
            <w:vAlign w:val="center"/>
            <w:hideMark/>
          </w:tcPr>
          <w:p w14:paraId="2343AA06" w14:textId="77777777" w:rsidR="00357FF4" w:rsidRPr="002430E2" w:rsidRDefault="00357FF4" w:rsidP="00655E3E">
            <w:pPr>
              <w:jc w:val="both"/>
            </w:pPr>
            <w:r w:rsidRPr="002430E2">
              <w:rPr>
                <w:rStyle w:val="Strong"/>
                <w:rFonts w:eastAsiaTheme="majorEastAsia"/>
              </w:rPr>
              <w:t>Sex</w:t>
            </w:r>
          </w:p>
        </w:tc>
        <w:tc>
          <w:tcPr>
            <w:tcW w:w="0" w:type="auto"/>
            <w:vAlign w:val="center"/>
            <w:hideMark/>
          </w:tcPr>
          <w:p w14:paraId="75DE7474" w14:textId="77777777" w:rsidR="00357FF4" w:rsidRPr="002430E2" w:rsidRDefault="00357FF4" w:rsidP="00655E3E">
            <w:pPr>
              <w:jc w:val="both"/>
            </w:pPr>
            <w:r w:rsidRPr="002430E2">
              <w:t>Male</w:t>
            </w:r>
          </w:p>
        </w:tc>
        <w:tc>
          <w:tcPr>
            <w:tcW w:w="0" w:type="auto"/>
            <w:vAlign w:val="center"/>
            <w:hideMark/>
          </w:tcPr>
          <w:p w14:paraId="72268E65" w14:textId="77777777" w:rsidR="00357FF4" w:rsidRPr="002430E2" w:rsidRDefault="00357FF4" w:rsidP="00655E3E">
            <w:pPr>
              <w:jc w:val="center"/>
            </w:pPr>
            <w:r w:rsidRPr="002430E2">
              <w:t>40</w:t>
            </w:r>
          </w:p>
        </w:tc>
        <w:tc>
          <w:tcPr>
            <w:tcW w:w="0" w:type="auto"/>
            <w:vAlign w:val="center"/>
            <w:hideMark/>
          </w:tcPr>
          <w:p w14:paraId="4C31B1B3" w14:textId="77777777" w:rsidR="00357FF4" w:rsidRPr="002430E2" w:rsidRDefault="00357FF4" w:rsidP="00655E3E">
            <w:pPr>
              <w:jc w:val="center"/>
            </w:pPr>
            <w:r w:rsidRPr="002430E2">
              <w:t>40%</w:t>
            </w:r>
          </w:p>
        </w:tc>
        <w:tc>
          <w:tcPr>
            <w:tcW w:w="0" w:type="auto"/>
            <w:vAlign w:val="center"/>
            <w:hideMark/>
          </w:tcPr>
          <w:p w14:paraId="297B075B" w14:textId="77777777" w:rsidR="00357FF4" w:rsidRPr="002430E2" w:rsidRDefault="00357FF4" w:rsidP="00655E3E">
            <w:pPr>
              <w:jc w:val="center"/>
            </w:pPr>
            <w:r w:rsidRPr="002430E2">
              <w:t>4.02</w:t>
            </w:r>
          </w:p>
        </w:tc>
        <w:tc>
          <w:tcPr>
            <w:tcW w:w="0" w:type="auto"/>
            <w:vAlign w:val="center"/>
            <w:hideMark/>
          </w:tcPr>
          <w:p w14:paraId="6FD5F40A" w14:textId="77777777" w:rsidR="00357FF4" w:rsidRPr="002430E2" w:rsidRDefault="00357FF4" w:rsidP="00655E3E">
            <w:pPr>
              <w:jc w:val="center"/>
            </w:pPr>
            <w:r w:rsidRPr="002430E2">
              <w:t>0.39</w:t>
            </w:r>
          </w:p>
        </w:tc>
        <w:tc>
          <w:tcPr>
            <w:tcW w:w="0" w:type="auto"/>
            <w:vAlign w:val="center"/>
            <w:hideMark/>
          </w:tcPr>
          <w:p w14:paraId="7E00167F" w14:textId="77777777" w:rsidR="00357FF4" w:rsidRPr="002430E2" w:rsidRDefault="00357FF4" w:rsidP="00655E3E">
            <w:pPr>
              <w:jc w:val="center"/>
            </w:pPr>
            <w:r w:rsidRPr="002430E2">
              <w:t>High</w:t>
            </w:r>
          </w:p>
        </w:tc>
      </w:tr>
      <w:tr w:rsidR="00357FF4" w:rsidRPr="002430E2" w14:paraId="5230E2C4" w14:textId="77777777" w:rsidTr="00B0092D">
        <w:trPr>
          <w:tblCellSpacing w:w="15" w:type="dxa"/>
        </w:trPr>
        <w:tc>
          <w:tcPr>
            <w:tcW w:w="0" w:type="auto"/>
            <w:vAlign w:val="center"/>
            <w:hideMark/>
          </w:tcPr>
          <w:p w14:paraId="1C1CED4F" w14:textId="77777777" w:rsidR="00357FF4" w:rsidRPr="002430E2" w:rsidRDefault="00357FF4" w:rsidP="00655E3E">
            <w:pPr>
              <w:jc w:val="both"/>
            </w:pPr>
          </w:p>
        </w:tc>
        <w:tc>
          <w:tcPr>
            <w:tcW w:w="0" w:type="auto"/>
            <w:vAlign w:val="center"/>
            <w:hideMark/>
          </w:tcPr>
          <w:p w14:paraId="1CC8A474" w14:textId="77777777" w:rsidR="00357FF4" w:rsidRPr="002430E2" w:rsidRDefault="00357FF4" w:rsidP="00655E3E">
            <w:pPr>
              <w:jc w:val="both"/>
            </w:pPr>
            <w:r w:rsidRPr="002430E2">
              <w:t>Female</w:t>
            </w:r>
          </w:p>
        </w:tc>
        <w:tc>
          <w:tcPr>
            <w:tcW w:w="0" w:type="auto"/>
            <w:vAlign w:val="center"/>
            <w:hideMark/>
          </w:tcPr>
          <w:p w14:paraId="5859A4D2" w14:textId="77777777" w:rsidR="00357FF4" w:rsidRPr="002430E2" w:rsidRDefault="00357FF4" w:rsidP="00655E3E">
            <w:pPr>
              <w:jc w:val="center"/>
            </w:pPr>
            <w:r w:rsidRPr="002430E2">
              <w:t>60</w:t>
            </w:r>
          </w:p>
        </w:tc>
        <w:tc>
          <w:tcPr>
            <w:tcW w:w="0" w:type="auto"/>
            <w:vAlign w:val="center"/>
            <w:hideMark/>
          </w:tcPr>
          <w:p w14:paraId="0214EC5A" w14:textId="77777777" w:rsidR="00357FF4" w:rsidRPr="002430E2" w:rsidRDefault="00357FF4" w:rsidP="00655E3E">
            <w:pPr>
              <w:jc w:val="center"/>
            </w:pPr>
            <w:r w:rsidRPr="002430E2">
              <w:t>60%</w:t>
            </w:r>
          </w:p>
        </w:tc>
        <w:tc>
          <w:tcPr>
            <w:tcW w:w="0" w:type="auto"/>
            <w:vAlign w:val="center"/>
            <w:hideMark/>
          </w:tcPr>
          <w:p w14:paraId="77BBE6EC" w14:textId="77777777" w:rsidR="00357FF4" w:rsidRPr="002430E2" w:rsidRDefault="00357FF4" w:rsidP="00655E3E">
            <w:pPr>
              <w:jc w:val="center"/>
            </w:pPr>
            <w:r w:rsidRPr="002430E2">
              <w:t>4.05</w:t>
            </w:r>
          </w:p>
        </w:tc>
        <w:tc>
          <w:tcPr>
            <w:tcW w:w="0" w:type="auto"/>
            <w:vAlign w:val="center"/>
            <w:hideMark/>
          </w:tcPr>
          <w:p w14:paraId="7E96EEB5" w14:textId="77777777" w:rsidR="00357FF4" w:rsidRPr="002430E2" w:rsidRDefault="00357FF4" w:rsidP="00655E3E">
            <w:pPr>
              <w:jc w:val="center"/>
            </w:pPr>
            <w:r w:rsidRPr="002430E2">
              <w:t>0.41</w:t>
            </w:r>
          </w:p>
        </w:tc>
        <w:tc>
          <w:tcPr>
            <w:tcW w:w="0" w:type="auto"/>
            <w:vAlign w:val="center"/>
            <w:hideMark/>
          </w:tcPr>
          <w:p w14:paraId="7F509A00" w14:textId="77777777" w:rsidR="00357FF4" w:rsidRPr="002430E2" w:rsidRDefault="00357FF4" w:rsidP="00655E3E">
            <w:pPr>
              <w:jc w:val="center"/>
            </w:pPr>
            <w:r w:rsidRPr="002430E2">
              <w:t>High</w:t>
            </w:r>
          </w:p>
        </w:tc>
      </w:tr>
      <w:tr w:rsidR="00357FF4" w:rsidRPr="002430E2" w14:paraId="223570F1" w14:textId="77777777" w:rsidTr="00B0092D">
        <w:trPr>
          <w:tblCellSpacing w:w="15" w:type="dxa"/>
        </w:trPr>
        <w:tc>
          <w:tcPr>
            <w:tcW w:w="0" w:type="auto"/>
            <w:vAlign w:val="center"/>
            <w:hideMark/>
          </w:tcPr>
          <w:p w14:paraId="38786148" w14:textId="77777777" w:rsidR="00357FF4" w:rsidRPr="002430E2" w:rsidRDefault="00357FF4" w:rsidP="00655E3E">
            <w:pPr>
              <w:jc w:val="both"/>
            </w:pPr>
          </w:p>
        </w:tc>
        <w:tc>
          <w:tcPr>
            <w:tcW w:w="0" w:type="auto"/>
            <w:vAlign w:val="center"/>
            <w:hideMark/>
          </w:tcPr>
          <w:p w14:paraId="7D38C618" w14:textId="77777777" w:rsidR="00357FF4" w:rsidRPr="002430E2" w:rsidRDefault="00357FF4" w:rsidP="00655E3E">
            <w:pPr>
              <w:jc w:val="both"/>
            </w:pPr>
            <w:r w:rsidRPr="002430E2">
              <w:rPr>
                <w:rStyle w:val="Strong"/>
                <w:rFonts w:eastAsiaTheme="majorEastAsia"/>
              </w:rPr>
              <w:t>Total</w:t>
            </w:r>
          </w:p>
        </w:tc>
        <w:tc>
          <w:tcPr>
            <w:tcW w:w="0" w:type="auto"/>
            <w:vAlign w:val="center"/>
            <w:hideMark/>
          </w:tcPr>
          <w:p w14:paraId="061476BE" w14:textId="77777777" w:rsidR="00357FF4" w:rsidRPr="002430E2" w:rsidRDefault="00357FF4" w:rsidP="00655E3E">
            <w:pPr>
              <w:jc w:val="center"/>
            </w:pPr>
            <w:r w:rsidRPr="002430E2">
              <w:t>100</w:t>
            </w:r>
          </w:p>
        </w:tc>
        <w:tc>
          <w:tcPr>
            <w:tcW w:w="0" w:type="auto"/>
            <w:vAlign w:val="center"/>
            <w:hideMark/>
          </w:tcPr>
          <w:p w14:paraId="5A1BF96A" w14:textId="77777777" w:rsidR="00357FF4" w:rsidRPr="002430E2" w:rsidRDefault="00357FF4" w:rsidP="00655E3E">
            <w:pPr>
              <w:jc w:val="center"/>
            </w:pPr>
            <w:r w:rsidRPr="002430E2">
              <w:t>100%</w:t>
            </w:r>
          </w:p>
        </w:tc>
        <w:tc>
          <w:tcPr>
            <w:tcW w:w="0" w:type="auto"/>
            <w:vAlign w:val="center"/>
            <w:hideMark/>
          </w:tcPr>
          <w:p w14:paraId="7E3C3FA8" w14:textId="77777777" w:rsidR="00357FF4" w:rsidRPr="002430E2" w:rsidRDefault="00357FF4" w:rsidP="00655E3E">
            <w:pPr>
              <w:jc w:val="center"/>
            </w:pPr>
            <w:r w:rsidRPr="002430E2">
              <w:t>4.04</w:t>
            </w:r>
          </w:p>
        </w:tc>
        <w:tc>
          <w:tcPr>
            <w:tcW w:w="0" w:type="auto"/>
            <w:vAlign w:val="center"/>
            <w:hideMark/>
          </w:tcPr>
          <w:p w14:paraId="6862FC4D" w14:textId="77777777" w:rsidR="00357FF4" w:rsidRPr="002430E2" w:rsidRDefault="00357FF4" w:rsidP="00655E3E">
            <w:pPr>
              <w:jc w:val="center"/>
            </w:pPr>
            <w:r w:rsidRPr="002430E2">
              <w:t>0.40</w:t>
            </w:r>
          </w:p>
        </w:tc>
        <w:tc>
          <w:tcPr>
            <w:tcW w:w="0" w:type="auto"/>
            <w:vAlign w:val="center"/>
            <w:hideMark/>
          </w:tcPr>
          <w:p w14:paraId="387601F2" w14:textId="77777777" w:rsidR="00357FF4" w:rsidRPr="002430E2" w:rsidRDefault="00357FF4" w:rsidP="00655E3E">
            <w:pPr>
              <w:jc w:val="center"/>
            </w:pPr>
            <w:r w:rsidRPr="002430E2">
              <w:t>High</w:t>
            </w:r>
          </w:p>
        </w:tc>
      </w:tr>
      <w:tr w:rsidR="00357FF4" w:rsidRPr="002430E2" w14:paraId="1415A22E" w14:textId="77777777" w:rsidTr="00B0092D">
        <w:trPr>
          <w:tblCellSpacing w:w="15" w:type="dxa"/>
        </w:trPr>
        <w:tc>
          <w:tcPr>
            <w:tcW w:w="0" w:type="auto"/>
            <w:vAlign w:val="center"/>
            <w:hideMark/>
          </w:tcPr>
          <w:p w14:paraId="773A80B9" w14:textId="77777777" w:rsidR="00357FF4" w:rsidRPr="002430E2" w:rsidRDefault="00357FF4" w:rsidP="00655E3E">
            <w:pPr>
              <w:jc w:val="both"/>
            </w:pPr>
            <w:r w:rsidRPr="002430E2">
              <w:rPr>
                <w:rStyle w:val="Strong"/>
                <w:rFonts w:eastAsiaTheme="majorEastAsia"/>
              </w:rPr>
              <w:t>Years of Experience</w:t>
            </w:r>
          </w:p>
        </w:tc>
        <w:tc>
          <w:tcPr>
            <w:tcW w:w="0" w:type="auto"/>
            <w:vAlign w:val="center"/>
            <w:hideMark/>
          </w:tcPr>
          <w:p w14:paraId="1A693BBC" w14:textId="77777777" w:rsidR="00357FF4" w:rsidRPr="002430E2" w:rsidRDefault="00357FF4" w:rsidP="00655E3E">
            <w:pPr>
              <w:jc w:val="both"/>
            </w:pPr>
            <w:r w:rsidRPr="002430E2">
              <w:t>0–5</w:t>
            </w:r>
          </w:p>
        </w:tc>
        <w:tc>
          <w:tcPr>
            <w:tcW w:w="0" w:type="auto"/>
            <w:vAlign w:val="center"/>
            <w:hideMark/>
          </w:tcPr>
          <w:p w14:paraId="52255ECE" w14:textId="77777777" w:rsidR="00357FF4" w:rsidRPr="002430E2" w:rsidRDefault="00357FF4" w:rsidP="00655E3E">
            <w:pPr>
              <w:jc w:val="center"/>
            </w:pPr>
            <w:r w:rsidRPr="002430E2">
              <w:t>20</w:t>
            </w:r>
          </w:p>
        </w:tc>
        <w:tc>
          <w:tcPr>
            <w:tcW w:w="0" w:type="auto"/>
            <w:vAlign w:val="center"/>
            <w:hideMark/>
          </w:tcPr>
          <w:p w14:paraId="7EB2F7EC" w14:textId="77777777" w:rsidR="00357FF4" w:rsidRPr="002430E2" w:rsidRDefault="00357FF4" w:rsidP="00655E3E">
            <w:pPr>
              <w:jc w:val="center"/>
            </w:pPr>
            <w:r w:rsidRPr="002430E2">
              <w:t>20%</w:t>
            </w:r>
          </w:p>
        </w:tc>
        <w:tc>
          <w:tcPr>
            <w:tcW w:w="0" w:type="auto"/>
            <w:vAlign w:val="center"/>
            <w:hideMark/>
          </w:tcPr>
          <w:p w14:paraId="32DE18F0" w14:textId="77777777" w:rsidR="00357FF4" w:rsidRPr="002430E2" w:rsidRDefault="00357FF4" w:rsidP="00655E3E">
            <w:pPr>
              <w:jc w:val="center"/>
            </w:pPr>
            <w:r w:rsidRPr="002430E2">
              <w:t>3.88</w:t>
            </w:r>
          </w:p>
        </w:tc>
        <w:tc>
          <w:tcPr>
            <w:tcW w:w="0" w:type="auto"/>
            <w:vAlign w:val="center"/>
            <w:hideMark/>
          </w:tcPr>
          <w:p w14:paraId="0D6F80F0" w14:textId="77777777" w:rsidR="00357FF4" w:rsidRPr="002430E2" w:rsidRDefault="00357FF4" w:rsidP="00655E3E">
            <w:pPr>
              <w:jc w:val="center"/>
            </w:pPr>
            <w:r w:rsidRPr="002430E2">
              <w:t>0.42</w:t>
            </w:r>
          </w:p>
        </w:tc>
        <w:tc>
          <w:tcPr>
            <w:tcW w:w="0" w:type="auto"/>
            <w:vAlign w:val="center"/>
            <w:hideMark/>
          </w:tcPr>
          <w:p w14:paraId="09B23130" w14:textId="77777777" w:rsidR="00357FF4" w:rsidRPr="002430E2" w:rsidRDefault="00357FF4" w:rsidP="00655E3E">
            <w:pPr>
              <w:jc w:val="center"/>
            </w:pPr>
            <w:r w:rsidRPr="002430E2">
              <w:t>Moderate-High</w:t>
            </w:r>
          </w:p>
        </w:tc>
      </w:tr>
      <w:tr w:rsidR="00357FF4" w:rsidRPr="002430E2" w14:paraId="11F2970C" w14:textId="77777777" w:rsidTr="00B0092D">
        <w:trPr>
          <w:tblCellSpacing w:w="15" w:type="dxa"/>
        </w:trPr>
        <w:tc>
          <w:tcPr>
            <w:tcW w:w="0" w:type="auto"/>
            <w:vAlign w:val="center"/>
            <w:hideMark/>
          </w:tcPr>
          <w:p w14:paraId="1CFB8AD7" w14:textId="77777777" w:rsidR="00357FF4" w:rsidRPr="002430E2" w:rsidRDefault="00357FF4" w:rsidP="00655E3E">
            <w:pPr>
              <w:jc w:val="both"/>
            </w:pPr>
          </w:p>
        </w:tc>
        <w:tc>
          <w:tcPr>
            <w:tcW w:w="0" w:type="auto"/>
            <w:vAlign w:val="center"/>
            <w:hideMark/>
          </w:tcPr>
          <w:p w14:paraId="790A228F" w14:textId="77777777" w:rsidR="00357FF4" w:rsidRPr="002430E2" w:rsidRDefault="00357FF4" w:rsidP="00655E3E">
            <w:pPr>
              <w:jc w:val="both"/>
            </w:pPr>
            <w:r w:rsidRPr="002430E2">
              <w:t>6–10</w:t>
            </w:r>
          </w:p>
        </w:tc>
        <w:tc>
          <w:tcPr>
            <w:tcW w:w="0" w:type="auto"/>
            <w:vAlign w:val="center"/>
            <w:hideMark/>
          </w:tcPr>
          <w:p w14:paraId="14DCBA98" w14:textId="77777777" w:rsidR="00357FF4" w:rsidRPr="002430E2" w:rsidRDefault="00357FF4" w:rsidP="00655E3E">
            <w:pPr>
              <w:jc w:val="center"/>
            </w:pPr>
            <w:r w:rsidRPr="002430E2">
              <w:t>30</w:t>
            </w:r>
          </w:p>
        </w:tc>
        <w:tc>
          <w:tcPr>
            <w:tcW w:w="0" w:type="auto"/>
            <w:vAlign w:val="center"/>
            <w:hideMark/>
          </w:tcPr>
          <w:p w14:paraId="72EF093F" w14:textId="77777777" w:rsidR="00357FF4" w:rsidRPr="002430E2" w:rsidRDefault="00357FF4" w:rsidP="00655E3E">
            <w:pPr>
              <w:jc w:val="center"/>
            </w:pPr>
            <w:r w:rsidRPr="002430E2">
              <w:t>30%</w:t>
            </w:r>
          </w:p>
        </w:tc>
        <w:tc>
          <w:tcPr>
            <w:tcW w:w="0" w:type="auto"/>
            <w:vAlign w:val="center"/>
            <w:hideMark/>
          </w:tcPr>
          <w:p w14:paraId="5742A049" w14:textId="77777777" w:rsidR="00357FF4" w:rsidRPr="002430E2" w:rsidRDefault="00357FF4" w:rsidP="00655E3E">
            <w:pPr>
              <w:jc w:val="center"/>
            </w:pPr>
            <w:r w:rsidRPr="002430E2">
              <w:t>4.10</w:t>
            </w:r>
          </w:p>
        </w:tc>
        <w:tc>
          <w:tcPr>
            <w:tcW w:w="0" w:type="auto"/>
            <w:vAlign w:val="center"/>
            <w:hideMark/>
          </w:tcPr>
          <w:p w14:paraId="320BE7AA" w14:textId="77777777" w:rsidR="00357FF4" w:rsidRPr="002430E2" w:rsidRDefault="00357FF4" w:rsidP="00655E3E">
            <w:pPr>
              <w:jc w:val="center"/>
            </w:pPr>
            <w:r w:rsidRPr="002430E2">
              <w:t>0.37</w:t>
            </w:r>
          </w:p>
        </w:tc>
        <w:tc>
          <w:tcPr>
            <w:tcW w:w="0" w:type="auto"/>
            <w:vAlign w:val="center"/>
            <w:hideMark/>
          </w:tcPr>
          <w:p w14:paraId="0DC321C1" w14:textId="77777777" w:rsidR="00357FF4" w:rsidRPr="002430E2" w:rsidRDefault="00357FF4" w:rsidP="00655E3E">
            <w:pPr>
              <w:jc w:val="center"/>
            </w:pPr>
            <w:r w:rsidRPr="002430E2">
              <w:t>High</w:t>
            </w:r>
          </w:p>
        </w:tc>
      </w:tr>
      <w:tr w:rsidR="00357FF4" w:rsidRPr="002430E2" w14:paraId="1C8841A7" w14:textId="77777777" w:rsidTr="00B0092D">
        <w:trPr>
          <w:tblCellSpacing w:w="15" w:type="dxa"/>
        </w:trPr>
        <w:tc>
          <w:tcPr>
            <w:tcW w:w="0" w:type="auto"/>
            <w:vAlign w:val="center"/>
            <w:hideMark/>
          </w:tcPr>
          <w:p w14:paraId="22996819" w14:textId="77777777" w:rsidR="00357FF4" w:rsidRPr="002430E2" w:rsidRDefault="00357FF4" w:rsidP="00655E3E">
            <w:pPr>
              <w:jc w:val="both"/>
            </w:pPr>
          </w:p>
        </w:tc>
        <w:tc>
          <w:tcPr>
            <w:tcW w:w="0" w:type="auto"/>
            <w:vAlign w:val="center"/>
            <w:hideMark/>
          </w:tcPr>
          <w:p w14:paraId="723B5E85" w14:textId="77777777" w:rsidR="00357FF4" w:rsidRPr="002430E2" w:rsidRDefault="00357FF4" w:rsidP="00655E3E">
            <w:pPr>
              <w:jc w:val="both"/>
            </w:pPr>
            <w:r w:rsidRPr="002430E2">
              <w:t>11–15</w:t>
            </w:r>
          </w:p>
        </w:tc>
        <w:tc>
          <w:tcPr>
            <w:tcW w:w="0" w:type="auto"/>
            <w:vAlign w:val="center"/>
            <w:hideMark/>
          </w:tcPr>
          <w:p w14:paraId="6AA6138B" w14:textId="77777777" w:rsidR="00357FF4" w:rsidRPr="002430E2" w:rsidRDefault="00357FF4" w:rsidP="00655E3E">
            <w:pPr>
              <w:jc w:val="center"/>
            </w:pPr>
            <w:r w:rsidRPr="002430E2">
              <w:t>25</w:t>
            </w:r>
          </w:p>
        </w:tc>
        <w:tc>
          <w:tcPr>
            <w:tcW w:w="0" w:type="auto"/>
            <w:vAlign w:val="center"/>
            <w:hideMark/>
          </w:tcPr>
          <w:p w14:paraId="0048A5AC" w14:textId="77777777" w:rsidR="00357FF4" w:rsidRPr="002430E2" w:rsidRDefault="00357FF4" w:rsidP="00655E3E">
            <w:pPr>
              <w:jc w:val="center"/>
            </w:pPr>
            <w:r w:rsidRPr="002430E2">
              <w:t>25%</w:t>
            </w:r>
          </w:p>
        </w:tc>
        <w:tc>
          <w:tcPr>
            <w:tcW w:w="0" w:type="auto"/>
            <w:vAlign w:val="center"/>
            <w:hideMark/>
          </w:tcPr>
          <w:p w14:paraId="7E0879B8" w14:textId="77777777" w:rsidR="00357FF4" w:rsidRPr="002430E2" w:rsidRDefault="00357FF4" w:rsidP="00655E3E">
            <w:pPr>
              <w:jc w:val="center"/>
            </w:pPr>
            <w:r w:rsidRPr="002430E2">
              <w:t>4.05</w:t>
            </w:r>
          </w:p>
        </w:tc>
        <w:tc>
          <w:tcPr>
            <w:tcW w:w="0" w:type="auto"/>
            <w:vAlign w:val="center"/>
            <w:hideMark/>
          </w:tcPr>
          <w:p w14:paraId="26327791" w14:textId="77777777" w:rsidR="00357FF4" w:rsidRPr="002430E2" w:rsidRDefault="00357FF4" w:rsidP="00655E3E">
            <w:pPr>
              <w:jc w:val="center"/>
            </w:pPr>
            <w:r w:rsidRPr="002430E2">
              <w:t>0.40</w:t>
            </w:r>
          </w:p>
        </w:tc>
        <w:tc>
          <w:tcPr>
            <w:tcW w:w="0" w:type="auto"/>
            <w:vAlign w:val="center"/>
            <w:hideMark/>
          </w:tcPr>
          <w:p w14:paraId="7921B0CB" w14:textId="77777777" w:rsidR="00357FF4" w:rsidRPr="002430E2" w:rsidRDefault="00357FF4" w:rsidP="00655E3E">
            <w:pPr>
              <w:jc w:val="center"/>
            </w:pPr>
            <w:r w:rsidRPr="002430E2">
              <w:t>High</w:t>
            </w:r>
          </w:p>
        </w:tc>
      </w:tr>
      <w:tr w:rsidR="00357FF4" w:rsidRPr="002430E2" w14:paraId="58C3F71A" w14:textId="77777777" w:rsidTr="00B0092D">
        <w:trPr>
          <w:tblCellSpacing w:w="15" w:type="dxa"/>
        </w:trPr>
        <w:tc>
          <w:tcPr>
            <w:tcW w:w="0" w:type="auto"/>
            <w:vAlign w:val="center"/>
            <w:hideMark/>
          </w:tcPr>
          <w:p w14:paraId="324B5858" w14:textId="77777777" w:rsidR="00357FF4" w:rsidRPr="002430E2" w:rsidRDefault="00357FF4" w:rsidP="00655E3E">
            <w:pPr>
              <w:jc w:val="both"/>
            </w:pPr>
          </w:p>
        </w:tc>
        <w:tc>
          <w:tcPr>
            <w:tcW w:w="0" w:type="auto"/>
            <w:vAlign w:val="center"/>
            <w:hideMark/>
          </w:tcPr>
          <w:p w14:paraId="0F88F60C" w14:textId="77777777" w:rsidR="00357FF4" w:rsidRPr="002430E2" w:rsidRDefault="00357FF4" w:rsidP="00655E3E">
            <w:pPr>
              <w:jc w:val="both"/>
            </w:pPr>
            <w:r w:rsidRPr="002430E2">
              <w:t>16+</w:t>
            </w:r>
          </w:p>
        </w:tc>
        <w:tc>
          <w:tcPr>
            <w:tcW w:w="0" w:type="auto"/>
            <w:vAlign w:val="center"/>
            <w:hideMark/>
          </w:tcPr>
          <w:p w14:paraId="1453E82E" w14:textId="77777777" w:rsidR="00357FF4" w:rsidRPr="002430E2" w:rsidRDefault="00357FF4" w:rsidP="00655E3E">
            <w:pPr>
              <w:jc w:val="center"/>
            </w:pPr>
            <w:r w:rsidRPr="002430E2">
              <w:t>25</w:t>
            </w:r>
          </w:p>
        </w:tc>
        <w:tc>
          <w:tcPr>
            <w:tcW w:w="0" w:type="auto"/>
            <w:vAlign w:val="center"/>
            <w:hideMark/>
          </w:tcPr>
          <w:p w14:paraId="71FEDA90" w14:textId="77777777" w:rsidR="00357FF4" w:rsidRPr="002430E2" w:rsidRDefault="00357FF4" w:rsidP="00655E3E">
            <w:pPr>
              <w:jc w:val="center"/>
            </w:pPr>
            <w:r w:rsidRPr="002430E2">
              <w:t>25%</w:t>
            </w:r>
          </w:p>
        </w:tc>
        <w:tc>
          <w:tcPr>
            <w:tcW w:w="0" w:type="auto"/>
            <w:vAlign w:val="center"/>
            <w:hideMark/>
          </w:tcPr>
          <w:p w14:paraId="5913CCCF" w14:textId="77777777" w:rsidR="00357FF4" w:rsidRPr="002430E2" w:rsidRDefault="00357FF4" w:rsidP="00655E3E">
            <w:pPr>
              <w:jc w:val="center"/>
            </w:pPr>
            <w:r w:rsidRPr="002430E2">
              <w:t>4.00</w:t>
            </w:r>
          </w:p>
        </w:tc>
        <w:tc>
          <w:tcPr>
            <w:tcW w:w="0" w:type="auto"/>
            <w:vAlign w:val="center"/>
            <w:hideMark/>
          </w:tcPr>
          <w:p w14:paraId="67A4FCD6" w14:textId="77777777" w:rsidR="00357FF4" w:rsidRPr="002430E2" w:rsidRDefault="00357FF4" w:rsidP="00655E3E">
            <w:pPr>
              <w:jc w:val="center"/>
            </w:pPr>
            <w:r w:rsidRPr="002430E2">
              <w:t>0.41</w:t>
            </w:r>
          </w:p>
        </w:tc>
        <w:tc>
          <w:tcPr>
            <w:tcW w:w="0" w:type="auto"/>
            <w:vAlign w:val="center"/>
            <w:hideMark/>
          </w:tcPr>
          <w:p w14:paraId="3F847D34" w14:textId="77777777" w:rsidR="00357FF4" w:rsidRPr="002430E2" w:rsidRDefault="00357FF4" w:rsidP="00655E3E">
            <w:pPr>
              <w:jc w:val="center"/>
            </w:pPr>
            <w:r w:rsidRPr="002430E2">
              <w:t>High</w:t>
            </w:r>
          </w:p>
        </w:tc>
      </w:tr>
      <w:tr w:rsidR="00357FF4" w:rsidRPr="002430E2" w14:paraId="22BF5AFE" w14:textId="77777777" w:rsidTr="00B0092D">
        <w:trPr>
          <w:tblCellSpacing w:w="15" w:type="dxa"/>
        </w:trPr>
        <w:tc>
          <w:tcPr>
            <w:tcW w:w="0" w:type="auto"/>
            <w:vAlign w:val="center"/>
            <w:hideMark/>
          </w:tcPr>
          <w:p w14:paraId="70EB77A9" w14:textId="77777777" w:rsidR="00357FF4" w:rsidRPr="002430E2" w:rsidRDefault="00357FF4" w:rsidP="00655E3E">
            <w:pPr>
              <w:jc w:val="both"/>
            </w:pPr>
          </w:p>
        </w:tc>
        <w:tc>
          <w:tcPr>
            <w:tcW w:w="0" w:type="auto"/>
            <w:vAlign w:val="center"/>
            <w:hideMark/>
          </w:tcPr>
          <w:p w14:paraId="145A78B9" w14:textId="77777777" w:rsidR="00357FF4" w:rsidRPr="002430E2" w:rsidRDefault="00357FF4" w:rsidP="00655E3E">
            <w:pPr>
              <w:jc w:val="both"/>
            </w:pPr>
            <w:r w:rsidRPr="002430E2">
              <w:rPr>
                <w:rStyle w:val="Strong"/>
                <w:rFonts w:eastAsiaTheme="majorEastAsia"/>
              </w:rPr>
              <w:t>Total</w:t>
            </w:r>
          </w:p>
        </w:tc>
        <w:tc>
          <w:tcPr>
            <w:tcW w:w="0" w:type="auto"/>
            <w:vAlign w:val="center"/>
            <w:hideMark/>
          </w:tcPr>
          <w:p w14:paraId="6DD5FB17" w14:textId="77777777" w:rsidR="00357FF4" w:rsidRPr="002430E2" w:rsidRDefault="00357FF4" w:rsidP="00655E3E">
            <w:pPr>
              <w:jc w:val="center"/>
            </w:pPr>
            <w:r w:rsidRPr="002430E2">
              <w:t>100</w:t>
            </w:r>
          </w:p>
        </w:tc>
        <w:tc>
          <w:tcPr>
            <w:tcW w:w="0" w:type="auto"/>
            <w:vAlign w:val="center"/>
            <w:hideMark/>
          </w:tcPr>
          <w:p w14:paraId="450E8FCD" w14:textId="77777777" w:rsidR="00357FF4" w:rsidRPr="002430E2" w:rsidRDefault="00357FF4" w:rsidP="00655E3E">
            <w:pPr>
              <w:jc w:val="center"/>
            </w:pPr>
            <w:r w:rsidRPr="002430E2">
              <w:t>100%</w:t>
            </w:r>
          </w:p>
        </w:tc>
        <w:tc>
          <w:tcPr>
            <w:tcW w:w="0" w:type="auto"/>
            <w:vAlign w:val="center"/>
            <w:hideMark/>
          </w:tcPr>
          <w:p w14:paraId="5AAF7B45" w14:textId="77777777" w:rsidR="00357FF4" w:rsidRPr="002430E2" w:rsidRDefault="00357FF4" w:rsidP="00655E3E">
            <w:pPr>
              <w:jc w:val="center"/>
            </w:pPr>
            <w:r w:rsidRPr="002430E2">
              <w:t>4.01</w:t>
            </w:r>
          </w:p>
        </w:tc>
        <w:tc>
          <w:tcPr>
            <w:tcW w:w="0" w:type="auto"/>
            <w:vAlign w:val="center"/>
            <w:hideMark/>
          </w:tcPr>
          <w:p w14:paraId="1918F111" w14:textId="77777777" w:rsidR="00357FF4" w:rsidRPr="002430E2" w:rsidRDefault="00357FF4" w:rsidP="00655E3E">
            <w:pPr>
              <w:jc w:val="center"/>
            </w:pPr>
            <w:r w:rsidRPr="002430E2">
              <w:t>0.40</w:t>
            </w:r>
          </w:p>
        </w:tc>
        <w:tc>
          <w:tcPr>
            <w:tcW w:w="0" w:type="auto"/>
            <w:vAlign w:val="center"/>
            <w:hideMark/>
          </w:tcPr>
          <w:p w14:paraId="6CE4DB56" w14:textId="77777777" w:rsidR="00357FF4" w:rsidRPr="002430E2" w:rsidRDefault="00357FF4" w:rsidP="00655E3E">
            <w:pPr>
              <w:jc w:val="center"/>
            </w:pPr>
            <w:r w:rsidRPr="002430E2">
              <w:t>High</w:t>
            </w:r>
          </w:p>
        </w:tc>
      </w:tr>
      <w:tr w:rsidR="00357FF4" w:rsidRPr="002430E2" w14:paraId="1F0EF77A" w14:textId="77777777" w:rsidTr="00B0092D">
        <w:trPr>
          <w:tblCellSpacing w:w="15" w:type="dxa"/>
        </w:trPr>
        <w:tc>
          <w:tcPr>
            <w:tcW w:w="0" w:type="auto"/>
            <w:vAlign w:val="center"/>
            <w:hideMark/>
          </w:tcPr>
          <w:p w14:paraId="22129991" w14:textId="77777777" w:rsidR="00357FF4" w:rsidRPr="002430E2" w:rsidRDefault="00357FF4" w:rsidP="00655E3E">
            <w:pPr>
              <w:jc w:val="both"/>
            </w:pPr>
            <w:r w:rsidRPr="002430E2">
              <w:rPr>
                <w:rStyle w:val="Strong"/>
                <w:rFonts w:eastAsiaTheme="majorEastAsia"/>
              </w:rPr>
              <w:t>Educational Attainment</w:t>
            </w:r>
          </w:p>
        </w:tc>
        <w:tc>
          <w:tcPr>
            <w:tcW w:w="0" w:type="auto"/>
            <w:vAlign w:val="center"/>
            <w:hideMark/>
          </w:tcPr>
          <w:p w14:paraId="3E9A1A9B" w14:textId="77777777" w:rsidR="00357FF4" w:rsidRPr="002430E2" w:rsidRDefault="00357FF4" w:rsidP="00655E3E">
            <w:pPr>
              <w:jc w:val="both"/>
            </w:pPr>
            <w:r w:rsidRPr="002430E2">
              <w:t>Bachelor’s</w:t>
            </w:r>
          </w:p>
        </w:tc>
        <w:tc>
          <w:tcPr>
            <w:tcW w:w="0" w:type="auto"/>
            <w:vAlign w:val="center"/>
            <w:hideMark/>
          </w:tcPr>
          <w:p w14:paraId="38FB785D" w14:textId="77777777" w:rsidR="00357FF4" w:rsidRPr="002430E2" w:rsidRDefault="00357FF4" w:rsidP="00655E3E">
            <w:pPr>
              <w:jc w:val="center"/>
            </w:pPr>
            <w:r w:rsidRPr="002430E2">
              <w:t>60</w:t>
            </w:r>
          </w:p>
        </w:tc>
        <w:tc>
          <w:tcPr>
            <w:tcW w:w="0" w:type="auto"/>
            <w:vAlign w:val="center"/>
            <w:hideMark/>
          </w:tcPr>
          <w:p w14:paraId="22454946" w14:textId="77777777" w:rsidR="00357FF4" w:rsidRPr="002430E2" w:rsidRDefault="00357FF4" w:rsidP="00655E3E">
            <w:pPr>
              <w:jc w:val="center"/>
            </w:pPr>
            <w:r w:rsidRPr="002430E2">
              <w:t>60%</w:t>
            </w:r>
          </w:p>
        </w:tc>
        <w:tc>
          <w:tcPr>
            <w:tcW w:w="0" w:type="auto"/>
            <w:vAlign w:val="center"/>
            <w:hideMark/>
          </w:tcPr>
          <w:p w14:paraId="5718D2D4" w14:textId="77777777" w:rsidR="00357FF4" w:rsidRPr="002430E2" w:rsidRDefault="00357FF4" w:rsidP="00655E3E">
            <w:pPr>
              <w:jc w:val="center"/>
            </w:pPr>
            <w:r w:rsidRPr="002430E2">
              <w:t>3.92</w:t>
            </w:r>
          </w:p>
        </w:tc>
        <w:tc>
          <w:tcPr>
            <w:tcW w:w="0" w:type="auto"/>
            <w:vAlign w:val="center"/>
            <w:hideMark/>
          </w:tcPr>
          <w:p w14:paraId="6E5CE508" w14:textId="77777777" w:rsidR="00357FF4" w:rsidRPr="002430E2" w:rsidRDefault="00357FF4" w:rsidP="00655E3E">
            <w:pPr>
              <w:jc w:val="center"/>
            </w:pPr>
            <w:r w:rsidRPr="002430E2">
              <w:t>0.41</w:t>
            </w:r>
          </w:p>
        </w:tc>
        <w:tc>
          <w:tcPr>
            <w:tcW w:w="0" w:type="auto"/>
            <w:vAlign w:val="center"/>
            <w:hideMark/>
          </w:tcPr>
          <w:p w14:paraId="7CCB51D3" w14:textId="77777777" w:rsidR="00357FF4" w:rsidRPr="002430E2" w:rsidRDefault="00357FF4" w:rsidP="00655E3E">
            <w:pPr>
              <w:jc w:val="center"/>
            </w:pPr>
            <w:r w:rsidRPr="002430E2">
              <w:t>Moderate-High</w:t>
            </w:r>
          </w:p>
        </w:tc>
      </w:tr>
      <w:tr w:rsidR="00357FF4" w:rsidRPr="002430E2" w14:paraId="2349CED5" w14:textId="77777777" w:rsidTr="00B0092D">
        <w:trPr>
          <w:tblCellSpacing w:w="15" w:type="dxa"/>
        </w:trPr>
        <w:tc>
          <w:tcPr>
            <w:tcW w:w="0" w:type="auto"/>
            <w:vAlign w:val="center"/>
            <w:hideMark/>
          </w:tcPr>
          <w:p w14:paraId="1C38C57C" w14:textId="77777777" w:rsidR="00357FF4" w:rsidRPr="002430E2" w:rsidRDefault="00357FF4" w:rsidP="00655E3E">
            <w:pPr>
              <w:jc w:val="both"/>
            </w:pPr>
          </w:p>
        </w:tc>
        <w:tc>
          <w:tcPr>
            <w:tcW w:w="0" w:type="auto"/>
            <w:vAlign w:val="center"/>
            <w:hideMark/>
          </w:tcPr>
          <w:p w14:paraId="48FCE86F" w14:textId="77777777" w:rsidR="00357FF4" w:rsidRPr="002430E2" w:rsidRDefault="00357FF4" w:rsidP="00655E3E">
            <w:pPr>
              <w:jc w:val="both"/>
            </w:pPr>
            <w:r w:rsidRPr="002430E2">
              <w:t>Master’s</w:t>
            </w:r>
          </w:p>
        </w:tc>
        <w:tc>
          <w:tcPr>
            <w:tcW w:w="0" w:type="auto"/>
            <w:vAlign w:val="center"/>
            <w:hideMark/>
          </w:tcPr>
          <w:p w14:paraId="296DC19E" w14:textId="77777777" w:rsidR="00357FF4" w:rsidRPr="002430E2" w:rsidRDefault="00357FF4" w:rsidP="00655E3E">
            <w:pPr>
              <w:jc w:val="center"/>
            </w:pPr>
            <w:r w:rsidRPr="002430E2">
              <w:t>30</w:t>
            </w:r>
          </w:p>
        </w:tc>
        <w:tc>
          <w:tcPr>
            <w:tcW w:w="0" w:type="auto"/>
            <w:vAlign w:val="center"/>
            <w:hideMark/>
          </w:tcPr>
          <w:p w14:paraId="72A99553" w14:textId="77777777" w:rsidR="00357FF4" w:rsidRPr="002430E2" w:rsidRDefault="00357FF4" w:rsidP="00655E3E">
            <w:pPr>
              <w:jc w:val="center"/>
            </w:pPr>
            <w:r w:rsidRPr="002430E2">
              <w:t>30%</w:t>
            </w:r>
          </w:p>
        </w:tc>
        <w:tc>
          <w:tcPr>
            <w:tcW w:w="0" w:type="auto"/>
            <w:vAlign w:val="center"/>
            <w:hideMark/>
          </w:tcPr>
          <w:p w14:paraId="6ED28391" w14:textId="77777777" w:rsidR="00357FF4" w:rsidRPr="002430E2" w:rsidRDefault="00357FF4" w:rsidP="00655E3E">
            <w:pPr>
              <w:jc w:val="center"/>
            </w:pPr>
            <w:r w:rsidRPr="002430E2">
              <w:t>4.05</w:t>
            </w:r>
          </w:p>
        </w:tc>
        <w:tc>
          <w:tcPr>
            <w:tcW w:w="0" w:type="auto"/>
            <w:vAlign w:val="center"/>
            <w:hideMark/>
          </w:tcPr>
          <w:p w14:paraId="1D0E399B" w14:textId="77777777" w:rsidR="00357FF4" w:rsidRPr="002430E2" w:rsidRDefault="00357FF4" w:rsidP="00655E3E">
            <w:pPr>
              <w:jc w:val="center"/>
            </w:pPr>
            <w:r w:rsidRPr="002430E2">
              <w:t>0.38</w:t>
            </w:r>
          </w:p>
        </w:tc>
        <w:tc>
          <w:tcPr>
            <w:tcW w:w="0" w:type="auto"/>
            <w:vAlign w:val="center"/>
            <w:hideMark/>
          </w:tcPr>
          <w:p w14:paraId="45C4A063" w14:textId="77777777" w:rsidR="00357FF4" w:rsidRPr="002430E2" w:rsidRDefault="00357FF4" w:rsidP="00655E3E">
            <w:pPr>
              <w:jc w:val="center"/>
            </w:pPr>
            <w:r w:rsidRPr="002430E2">
              <w:t>High</w:t>
            </w:r>
          </w:p>
        </w:tc>
      </w:tr>
      <w:tr w:rsidR="00357FF4" w:rsidRPr="002430E2" w14:paraId="42352A6E" w14:textId="77777777" w:rsidTr="00B0092D">
        <w:trPr>
          <w:tblCellSpacing w:w="15" w:type="dxa"/>
        </w:trPr>
        <w:tc>
          <w:tcPr>
            <w:tcW w:w="0" w:type="auto"/>
            <w:vAlign w:val="center"/>
            <w:hideMark/>
          </w:tcPr>
          <w:p w14:paraId="61908530" w14:textId="77777777" w:rsidR="00357FF4" w:rsidRPr="002430E2" w:rsidRDefault="00357FF4" w:rsidP="00655E3E">
            <w:pPr>
              <w:jc w:val="both"/>
            </w:pPr>
          </w:p>
        </w:tc>
        <w:tc>
          <w:tcPr>
            <w:tcW w:w="0" w:type="auto"/>
            <w:vAlign w:val="center"/>
            <w:hideMark/>
          </w:tcPr>
          <w:p w14:paraId="00526B0B" w14:textId="77777777" w:rsidR="00357FF4" w:rsidRPr="002430E2" w:rsidRDefault="00357FF4" w:rsidP="00655E3E">
            <w:pPr>
              <w:jc w:val="both"/>
            </w:pPr>
            <w:r w:rsidRPr="002430E2">
              <w:t>Doctorate</w:t>
            </w:r>
          </w:p>
        </w:tc>
        <w:tc>
          <w:tcPr>
            <w:tcW w:w="0" w:type="auto"/>
            <w:vAlign w:val="center"/>
            <w:hideMark/>
          </w:tcPr>
          <w:p w14:paraId="74E127FC" w14:textId="77777777" w:rsidR="00357FF4" w:rsidRPr="002430E2" w:rsidRDefault="00357FF4" w:rsidP="00655E3E">
            <w:pPr>
              <w:jc w:val="center"/>
            </w:pPr>
            <w:r w:rsidRPr="002430E2">
              <w:t>10</w:t>
            </w:r>
          </w:p>
        </w:tc>
        <w:tc>
          <w:tcPr>
            <w:tcW w:w="0" w:type="auto"/>
            <w:vAlign w:val="center"/>
            <w:hideMark/>
          </w:tcPr>
          <w:p w14:paraId="7CC7E814" w14:textId="77777777" w:rsidR="00357FF4" w:rsidRPr="002430E2" w:rsidRDefault="00357FF4" w:rsidP="00655E3E">
            <w:pPr>
              <w:jc w:val="center"/>
            </w:pPr>
            <w:r w:rsidRPr="002430E2">
              <w:t>10%</w:t>
            </w:r>
          </w:p>
        </w:tc>
        <w:tc>
          <w:tcPr>
            <w:tcW w:w="0" w:type="auto"/>
            <w:vAlign w:val="center"/>
            <w:hideMark/>
          </w:tcPr>
          <w:p w14:paraId="1C1F4752" w14:textId="77777777" w:rsidR="00357FF4" w:rsidRPr="002430E2" w:rsidRDefault="00357FF4" w:rsidP="00655E3E">
            <w:pPr>
              <w:jc w:val="center"/>
            </w:pPr>
            <w:r w:rsidRPr="002430E2">
              <w:t>4.08</w:t>
            </w:r>
          </w:p>
        </w:tc>
        <w:tc>
          <w:tcPr>
            <w:tcW w:w="0" w:type="auto"/>
            <w:vAlign w:val="center"/>
            <w:hideMark/>
          </w:tcPr>
          <w:p w14:paraId="76FFD899" w14:textId="77777777" w:rsidR="00357FF4" w:rsidRPr="002430E2" w:rsidRDefault="00357FF4" w:rsidP="00655E3E">
            <w:pPr>
              <w:jc w:val="center"/>
            </w:pPr>
            <w:r w:rsidRPr="002430E2">
              <w:t>0.36</w:t>
            </w:r>
          </w:p>
        </w:tc>
        <w:tc>
          <w:tcPr>
            <w:tcW w:w="0" w:type="auto"/>
            <w:vAlign w:val="center"/>
            <w:hideMark/>
          </w:tcPr>
          <w:p w14:paraId="50254E2E" w14:textId="77777777" w:rsidR="00357FF4" w:rsidRPr="002430E2" w:rsidRDefault="00357FF4" w:rsidP="00655E3E">
            <w:pPr>
              <w:jc w:val="center"/>
            </w:pPr>
            <w:r w:rsidRPr="002430E2">
              <w:t>High</w:t>
            </w:r>
          </w:p>
        </w:tc>
      </w:tr>
      <w:tr w:rsidR="00357FF4" w:rsidRPr="002430E2" w14:paraId="5CC1A5EF" w14:textId="77777777" w:rsidTr="00B0092D">
        <w:trPr>
          <w:tblCellSpacing w:w="15" w:type="dxa"/>
        </w:trPr>
        <w:tc>
          <w:tcPr>
            <w:tcW w:w="0" w:type="auto"/>
            <w:vAlign w:val="center"/>
            <w:hideMark/>
          </w:tcPr>
          <w:p w14:paraId="0CA99123" w14:textId="77777777" w:rsidR="00357FF4" w:rsidRPr="002430E2" w:rsidRDefault="00357FF4" w:rsidP="00655E3E">
            <w:pPr>
              <w:jc w:val="both"/>
            </w:pPr>
          </w:p>
        </w:tc>
        <w:tc>
          <w:tcPr>
            <w:tcW w:w="0" w:type="auto"/>
            <w:vAlign w:val="center"/>
            <w:hideMark/>
          </w:tcPr>
          <w:p w14:paraId="603190A7" w14:textId="77777777" w:rsidR="00357FF4" w:rsidRPr="002430E2" w:rsidRDefault="00357FF4" w:rsidP="00655E3E">
            <w:pPr>
              <w:jc w:val="both"/>
            </w:pPr>
            <w:r w:rsidRPr="002430E2">
              <w:rPr>
                <w:rStyle w:val="Strong"/>
                <w:rFonts w:eastAsiaTheme="majorEastAsia"/>
              </w:rPr>
              <w:t>Total</w:t>
            </w:r>
          </w:p>
        </w:tc>
        <w:tc>
          <w:tcPr>
            <w:tcW w:w="0" w:type="auto"/>
            <w:vAlign w:val="center"/>
            <w:hideMark/>
          </w:tcPr>
          <w:p w14:paraId="6887458F" w14:textId="77777777" w:rsidR="00357FF4" w:rsidRPr="002430E2" w:rsidRDefault="00357FF4" w:rsidP="00655E3E">
            <w:pPr>
              <w:jc w:val="center"/>
            </w:pPr>
            <w:r w:rsidRPr="002430E2">
              <w:t>100</w:t>
            </w:r>
          </w:p>
        </w:tc>
        <w:tc>
          <w:tcPr>
            <w:tcW w:w="0" w:type="auto"/>
            <w:vAlign w:val="center"/>
            <w:hideMark/>
          </w:tcPr>
          <w:p w14:paraId="2884788F" w14:textId="77777777" w:rsidR="00357FF4" w:rsidRPr="002430E2" w:rsidRDefault="00357FF4" w:rsidP="00655E3E">
            <w:pPr>
              <w:jc w:val="center"/>
            </w:pPr>
            <w:r w:rsidRPr="002430E2">
              <w:t>100%</w:t>
            </w:r>
          </w:p>
        </w:tc>
        <w:tc>
          <w:tcPr>
            <w:tcW w:w="0" w:type="auto"/>
            <w:vAlign w:val="center"/>
            <w:hideMark/>
          </w:tcPr>
          <w:p w14:paraId="7D11D838" w14:textId="77777777" w:rsidR="00357FF4" w:rsidRPr="002430E2" w:rsidRDefault="00357FF4" w:rsidP="00655E3E">
            <w:pPr>
              <w:jc w:val="center"/>
            </w:pPr>
            <w:r w:rsidRPr="002430E2">
              <w:t>4.00</w:t>
            </w:r>
          </w:p>
        </w:tc>
        <w:tc>
          <w:tcPr>
            <w:tcW w:w="0" w:type="auto"/>
            <w:vAlign w:val="center"/>
            <w:hideMark/>
          </w:tcPr>
          <w:p w14:paraId="30A0C71E" w14:textId="77777777" w:rsidR="00357FF4" w:rsidRPr="002430E2" w:rsidRDefault="00357FF4" w:rsidP="00655E3E">
            <w:pPr>
              <w:jc w:val="center"/>
            </w:pPr>
            <w:r w:rsidRPr="002430E2">
              <w:t>0.40</w:t>
            </w:r>
          </w:p>
        </w:tc>
        <w:tc>
          <w:tcPr>
            <w:tcW w:w="0" w:type="auto"/>
            <w:vAlign w:val="center"/>
            <w:hideMark/>
          </w:tcPr>
          <w:p w14:paraId="23039D98" w14:textId="77777777" w:rsidR="00357FF4" w:rsidRPr="002430E2" w:rsidRDefault="00357FF4" w:rsidP="00655E3E">
            <w:pPr>
              <w:jc w:val="center"/>
            </w:pPr>
            <w:r w:rsidRPr="002430E2">
              <w:t>High</w:t>
            </w:r>
          </w:p>
        </w:tc>
      </w:tr>
      <w:tr w:rsidR="00357FF4" w:rsidRPr="002430E2" w14:paraId="5F95010D" w14:textId="77777777" w:rsidTr="00B0092D">
        <w:trPr>
          <w:tblCellSpacing w:w="15" w:type="dxa"/>
        </w:trPr>
        <w:tc>
          <w:tcPr>
            <w:tcW w:w="0" w:type="auto"/>
            <w:vAlign w:val="center"/>
            <w:hideMark/>
          </w:tcPr>
          <w:p w14:paraId="0C07BA3D" w14:textId="77777777" w:rsidR="00357FF4" w:rsidRPr="002430E2" w:rsidRDefault="00357FF4" w:rsidP="00655E3E">
            <w:pPr>
              <w:jc w:val="both"/>
            </w:pPr>
            <w:r w:rsidRPr="002430E2">
              <w:rPr>
                <w:rStyle w:val="Strong"/>
                <w:rFonts w:eastAsiaTheme="majorEastAsia"/>
              </w:rPr>
              <w:t>Type of School</w:t>
            </w:r>
          </w:p>
        </w:tc>
        <w:tc>
          <w:tcPr>
            <w:tcW w:w="0" w:type="auto"/>
            <w:vAlign w:val="center"/>
            <w:hideMark/>
          </w:tcPr>
          <w:p w14:paraId="1F8065AB" w14:textId="77777777" w:rsidR="00357FF4" w:rsidRPr="002430E2" w:rsidRDefault="00357FF4" w:rsidP="00655E3E">
            <w:pPr>
              <w:jc w:val="both"/>
            </w:pPr>
            <w:r w:rsidRPr="002430E2">
              <w:t>Public</w:t>
            </w:r>
          </w:p>
        </w:tc>
        <w:tc>
          <w:tcPr>
            <w:tcW w:w="0" w:type="auto"/>
            <w:vAlign w:val="center"/>
            <w:hideMark/>
          </w:tcPr>
          <w:p w14:paraId="1BC90ABE" w14:textId="77777777" w:rsidR="00357FF4" w:rsidRPr="002430E2" w:rsidRDefault="00357FF4" w:rsidP="00655E3E">
            <w:pPr>
              <w:jc w:val="center"/>
            </w:pPr>
            <w:r w:rsidRPr="002430E2">
              <w:t>50</w:t>
            </w:r>
          </w:p>
        </w:tc>
        <w:tc>
          <w:tcPr>
            <w:tcW w:w="0" w:type="auto"/>
            <w:vAlign w:val="center"/>
            <w:hideMark/>
          </w:tcPr>
          <w:p w14:paraId="0AADE8A7" w14:textId="77777777" w:rsidR="00357FF4" w:rsidRPr="002430E2" w:rsidRDefault="00357FF4" w:rsidP="00655E3E">
            <w:pPr>
              <w:jc w:val="center"/>
            </w:pPr>
            <w:r w:rsidRPr="002430E2">
              <w:t>50%</w:t>
            </w:r>
          </w:p>
        </w:tc>
        <w:tc>
          <w:tcPr>
            <w:tcW w:w="0" w:type="auto"/>
            <w:vAlign w:val="center"/>
            <w:hideMark/>
          </w:tcPr>
          <w:p w14:paraId="4CC30909" w14:textId="77777777" w:rsidR="00357FF4" w:rsidRPr="002430E2" w:rsidRDefault="00357FF4" w:rsidP="00655E3E">
            <w:pPr>
              <w:jc w:val="center"/>
            </w:pPr>
            <w:r w:rsidRPr="002430E2">
              <w:t>3.98</w:t>
            </w:r>
          </w:p>
        </w:tc>
        <w:tc>
          <w:tcPr>
            <w:tcW w:w="0" w:type="auto"/>
            <w:vAlign w:val="center"/>
            <w:hideMark/>
          </w:tcPr>
          <w:p w14:paraId="713E8B36" w14:textId="77777777" w:rsidR="00357FF4" w:rsidRPr="002430E2" w:rsidRDefault="00357FF4" w:rsidP="00655E3E">
            <w:pPr>
              <w:jc w:val="center"/>
            </w:pPr>
            <w:r w:rsidRPr="002430E2">
              <w:t>0.39</w:t>
            </w:r>
          </w:p>
        </w:tc>
        <w:tc>
          <w:tcPr>
            <w:tcW w:w="0" w:type="auto"/>
            <w:vAlign w:val="center"/>
            <w:hideMark/>
          </w:tcPr>
          <w:p w14:paraId="076F9ADF" w14:textId="77777777" w:rsidR="00357FF4" w:rsidRPr="002430E2" w:rsidRDefault="00357FF4" w:rsidP="00655E3E">
            <w:pPr>
              <w:jc w:val="center"/>
            </w:pPr>
            <w:r w:rsidRPr="002430E2">
              <w:t>High</w:t>
            </w:r>
          </w:p>
        </w:tc>
      </w:tr>
      <w:tr w:rsidR="00357FF4" w:rsidRPr="002430E2" w14:paraId="66BB1B29" w14:textId="77777777" w:rsidTr="00B0092D">
        <w:trPr>
          <w:tblCellSpacing w:w="15" w:type="dxa"/>
        </w:trPr>
        <w:tc>
          <w:tcPr>
            <w:tcW w:w="0" w:type="auto"/>
            <w:vAlign w:val="center"/>
            <w:hideMark/>
          </w:tcPr>
          <w:p w14:paraId="725637B8" w14:textId="77777777" w:rsidR="00357FF4" w:rsidRPr="002430E2" w:rsidRDefault="00357FF4" w:rsidP="00655E3E">
            <w:pPr>
              <w:jc w:val="both"/>
            </w:pPr>
          </w:p>
        </w:tc>
        <w:tc>
          <w:tcPr>
            <w:tcW w:w="0" w:type="auto"/>
            <w:vAlign w:val="center"/>
            <w:hideMark/>
          </w:tcPr>
          <w:p w14:paraId="70A4928A" w14:textId="77777777" w:rsidR="00357FF4" w:rsidRPr="002430E2" w:rsidRDefault="00357FF4" w:rsidP="00655E3E">
            <w:pPr>
              <w:jc w:val="both"/>
            </w:pPr>
            <w:r w:rsidRPr="002430E2">
              <w:t>Private</w:t>
            </w:r>
          </w:p>
        </w:tc>
        <w:tc>
          <w:tcPr>
            <w:tcW w:w="0" w:type="auto"/>
            <w:vAlign w:val="center"/>
            <w:hideMark/>
          </w:tcPr>
          <w:p w14:paraId="7496AC58" w14:textId="77777777" w:rsidR="00357FF4" w:rsidRPr="002430E2" w:rsidRDefault="00357FF4" w:rsidP="00655E3E">
            <w:pPr>
              <w:jc w:val="center"/>
            </w:pPr>
            <w:r w:rsidRPr="002430E2">
              <w:t>50</w:t>
            </w:r>
          </w:p>
        </w:tc>
        <w:tc>
          <w:tcPr>
            <w:tcW w:w="0" w:type="auto"/>
            <w:vAlign w:val="center"/>
            <w:hideMark/>
          </w:tcPr>
          <w:p w14:paraId="535EA1AE" w14:textId="77777777" w:rsidR="00357FF4" w:rsidRPr="002430E2" w:rsidRDefault="00357FF4" w:rsidP="00655E3E">
            <w:pPr>
              <w:jc w:val="center"/>
            </w:pPr>
            <w:r w:rsidRPr="002430E2">
              <w:t>50%</w:t>
            </w:r>
          </w:p>
        </w:tc>
        <w:tc>
          <w:tcPr>
            <w:tcW w:w="0" w:type="auto"/>
            <w:vAlign w:val="center"/>
            <w:hideMark/>
          </w:tcPr>
          <w:p w14:paraId="706D77D6" w14:textId="77777777" w:rsidR="00357FF4" w:rsidRPr="002430E2" w:rsidRDefault="00357FF4" w:rsidP="00655E3E">
            <w:pPr>
              <w:jc w:val="center"/>
            </w:pPr>
            <w:r w:rsidRPr="002430E2">
              <w:t>4.05</w:t>
            </w:r>
          </w:p>
        </w:tc>
        <w:tc>
          <w:tcPr>
            <w:tcW w:w="0" w:type="auto"/>
            <w:vAlign w:val="center"/>
            <w:hideMark/>
          </w:tcPr>
          <w:p w14:paraId="329B2E9A" w14:textId="77777777" w:rsidR="00357FF4" w:rsidRPr="002430E2" w:rsidRDefault="00357FF4" w:rsidP="00655E3E">
            <w:pPr>
              <w:jc w:val="center"/>
            </w:pPr>
            <w:r w:rsidRPr="002430E2">
              <w:t>0.41</w:t>
            </w:r>
          </w:p>
        </w:tc>
        <w:tc>
          <w:tcPr>
            <w:tcW w:w="0" w:type="auto"/>
            <w:vAlign w:val="center"/>
            <w:hideMark/>
          </w:tcPr>
          <w:p w14:paraId="065785F7" w14:textId="77777777" w:rsidR="00357FF4" w:rsidRPr="002430E2" w:rsidRDefault="00357FF4" w:rsidP="00655E3E">
            <w:pPr>
              <w:jc w:val="center"/>
            </w:pPr>
            <w:r w:rsidRPr="002430E2">
              <w:t>High</w:t>
            </w:r>
          </w:p>
        </w:tc>
      </w:tr>
      <w:tr w:rsidR="00357FF4" w:rsidRPr="002430E2" w14:paraId="31D3C09C" w14:textId="77777777" w:rsidTr="00B0092D">
        <w:trPr>
          <w:tblCellSpacing w:w="15" w:type="dxa"/>
        </w:trPr>
        <w:tc>
          <w:tcPr>
            <w:tcW w:w="0" w:type="auto"/>
            <w:vAlign w:val="center"/>
            <w:hideMark/>
          </w:tcPr>
          <w:p w14:paraId="330DEA35" w14:textId="77777777" w:rsidR="00357FF4" w:rsidRPr="002430E2" w:rsidRDefault="00357FF4" w:rsidP="00655E3E">
            <w:pPr>
              <w:jc w:val="both"/>
            </w:pPr>
          </w:p>
        </w:tc>
        <w:tc>
          <w:tcPr>
            <w:tcW w:w="0" w:type="auto"/>
            <w:vAlign w:val="center"/>
            <w:hideMark/>
          </w:tcPr>
          <w:p w14:paraId="37DEC5D3" w14:textId="77777777" w:rsidR="00357FF4" w:rsidRPr="002430E2" w:rsidRDefault="00357FF4" w:rsidP="00655E3E">
            <w:pPr>
              <w:jc w:val="both"/>
            </w:pPr>
            <w:r w:rsidRPr="002430E2">
              <w:rPr>
                <w:rStyle w:val="Strong"/>
                <w:rFonts w:eastAsiaTheme="majorEastAsia"/>
              </w:rPr>
              <w:t>Total</w:t>
            </w:r>
          </w:p>
        </w:tc>
        <w:tc>
          <w:tcPr>
            <w:tcW w:w="0" w:type="auto"/>
            <w:vAlign w:val="center"/>
            <w:hideMark/>
          </w:tcPr>
          <w:p w14:paraId="78580FEF" w14:textId="77777777" w:rsidR="00357FF4" w:rsidRPr="002430E2" w:rsidRDefault="00357FF4" w:rsidP="00655E3E">
            <w:pPr>
              <w:jc w:val="center"/>
            </w:pPr>
            <w:r w:rsidRPr="002430E2">
              <w:t>100</w:t>
            </w:r>
          </w:p>
        </w:tc>
        <w:tc>
          <w:tcPr>
            <w:tcW w:w="0" w:type="auto"/>
            <w:vAlign w:val="center"/>
            <w:hideMark/>
          </w:tcPr>
          <w:p w14:paraId="65682D52" w14:textId="77777777" w:rsidR="00357FF4" w:rsidRPr="002430E2" w:rsidRDefault="00357FF4" w:rsidP="00655E3E">
            <w:pPr>
              <w:jc w:val="center"/>
            </w:pPr>
            <w:r w:rsidRPr="002430E2">
              <w:t>100%</w:t>
            </w:r>
          </w:p>
        </w:tc>
        <w:tc>
          <w:tcPr>
            <w:tcW w:w="0" w:type="auto"/>
            <w:vAlign w:val="center"/>
            <w:hideMark/>
          </w:tcPr>
          <w:p w14:paraId="689F9966" w14:textId="77777777" w:rsidR="00357FF4" w:rsidRPr="002430E2" w:rsidRDefault="00357FF4" w:rsidP="00655E3E">
            <w:pPr>
              <w:jc w:val="center"/>
            </w:pPr>
            <w:r w:rsidRPr="002430E2">
              <w:t>4.02</w:t>
            </w:r>
          </w:p>
        </w:tc>
        <w:tc>
          <w:tcPr>
            <w:tcW w:w="0" w:type="auto"/>
            <w:vAlign w:val="center"/>
            <w:hideMark/>
          </w:tcPr>
          <w:p w14:paraId="4DCCCC80" w14:textId="77777777" w:rsidR="00357FF4" w:rsidRPr="002430E2" w:rsidRDefault="00357FF4" w:rsidP="00655E3E">
            <w:pPr>
              <w:jc w:val="center"/>
            </w:pPr>
            <w:r w:rsidRPr="002430E2">
              <w:t>0.40</w:t>
            </w:r>
          </w:p>
        </w:tc>
        <w:tc>
          <w:tcPr>
            <w:tcW w:w="0" w:type="auto"/>
            <w:vAlign w:val="center"/>
            <w:hideMark/>
          </w:tcPr>
          <w:p w14:paraId="44CE1A4C" w14:textId="77777777" w:rsidR="00357FF4" w:rsidRPr="002430E2" w:rsidRDefault="00357FF4" w:rsidP="00655E3E">
            <w:pPr>
              <w:jc w:val="center"/>
            </w:pPr>
            <w:r w:rsidRPr="002430E2">
              <w:t>High</w:t>
            </w:r>
          </w:p>
        </w:tc>
      </w:tr>
    </w:tbl>
    <w:p w14:paraId="2390E2D6" w14:textId="77777777" w:rsidR="00357FF4" w:rsidRPr="002430E2" w:rsidRDefault="00357FF4" w:rsidP="00655E3E">
      <w:pPr>
        <w:jc w:val="both"/>
      </w:pPr>
    </w:p>
    <w:p w14:paraId="085AEE22" w14:textId="77777777" w:rsidR="00357FF4" w:rsidRPr="00531610" w:rsidRDefault="00357FF4" w:rsidP="00655E3E">
      <w:pPr>
        <w:outlineLvl w:val="1"/>
        <w:rPr>
          <w:color w:val="1F1F1F"/>
        </w:rPr>
      </w:pPr>
      <w:r w:rsidRPr="00531610">
        <w:rPr>
          <w:color w:val="1F1F1F"/>
        </w:rPr>
        <w:lastRenderedPageBreak/>
        <w:t>Demographic Breakdown of Respondents</w:t>
      </w:r>
    </w:p>
    <w:p w14:paraId="236E3F48" w14:textId="77777777" w:rsidR="00357FF4" w:rsidRPr="00531610" w:rsidRDefault="00357FF4" w:rsidP="00655E3E">
      <w:pPr>
        <w:rPr>
          <w:color w:val="1F1F1F"/>
        </w:rPr>
      </w:pPr>
      <w:r w:rsidRPr="00531610">
        <w:rPr>
          <w:color w:val="1F1F1F"/>
        </w:rPr>
        <w:t xml:space="preserve">The data represents a total sample size of </w:t>
      </w:r>
      <w:r w:rsidRPr="00531610">
        <w:rPr>
          <w:color w:val="1F1F1F"/>
          <w:bdr w:val="none" w:sz="0" w:space="0" w:color="auto" w:frame="1"/>
        </w:rPr>
        <w:t>n = 100</w:t>
      </w:r>
      <w:r w:rsidRPr="00531610">
        <w:rPr>
          <w:color w:val="1F1F1F"/>
        </w:rPr>
        <w:t xml:space="preserve"> respondents, segmented across five main demographic variables:</w:t>
      </w:r>
    </w:p>
    <w:p w14:paraId="577E7815" w14:textId="77777777" w:rsidR="00357FF4" w:rsidRPr="00531610" w:rsidRDefault="00357FF4" w:rsidP="00655E3E">
      <w:pPr>
        <w:numPr>
          <w:ilvl w:val="0"/>
          <w:numId w:val="20"/>
        </w:numPr>
        <w:rPr>
          <w:color w:val="1F1F1F"/>
        </w:rPr>
      </w:pPr>
      <w:r w:rsidRPr="00531610">
        <w:rPr>
          <w:color w:val="1F1F1F"/>
          <w:bdr w:val="none" w:sz="0" w:space="0" w:color="auto" w:frame="1"/>
        </w:rPr>
        <w:t>Age:</w:t>
      </w:r>
      <w:r w:rsidRPr="00531610">
        <w:rPr>
          <w:color w:val="1F1F1F"/>
        </w:rPr>
        <w:t xml:space="preserve"> The largest age group falls within the </w:t>
      </w:r>
      <w:r w:rsidRPr="00531610">
        <w:rPr>
          <w:color w:val="1F1F1F"/>
          <w:bdr w:val="none" w:sz="0" w:space="0" w:color="auto" w:frame="1"/>
        </w:rPr>
        <w:t>31–40</w:t>
      </w:r>
      <w:r w:rsidRPr="00531610">
        <w:rPr>
          <w:color w:val="1F1F1F"/>
        </w:rPr>
        <w:t xml:space="preserve"> bracket (35%), followed equally by those under 30 (25%) and those aged 41–50 (25%). The remaining 15% are 51 years old or older.</w:t>
      </w:r>
    </w:p>
    <w:p w14:paraId="29D1B00C" w14:textId="77777777" w:rsidR="00357FF4" w:rsidRPr="00531610" w:rsidRDefault="00357FF4" w:rsidP="00655E3E">
      <w:pPr>
        <w:numPr>
          <w:ilvl w:val="0"/>
          <w:numId w:val="20"/>
        </w:numPr>
        <w:rPr>
          <w:color w:val="1F1F1F"/>
        </w:rPr>
      </w:pPr>
      <w:r w:rsidRPr="00531610">
        <w:rPr>
          <w:color w:val="1F1F1F"/>
          <w:bdr w:val="none" w:sz="0" w:space="0" w:color="auto" w:frame="1"/>
        </w:rPr>
        <w:t>Sex:</w:t>
      </w:r>
      <w:r w:rsidRPr="00531610">
        <w:rPr>
          <w:color w:val="1F1F1F"/>
        </w:rPr>
        <w:t xml:space="preserve"> The sample is predominantly </w:t>
      </w:r>
      <w:r w:rsidRPr="00531610">
        <w:rPr>
          <w:color w:val="1F1F1F"/>
          <w:bdr w:val="none" w:sz="0" w:space="0" w:color="auto" w:frame="1"/>
        </w:rPr>
        <w:t>Female</w:t>
      </w:r>
      <w:r w:rsidRPr="00531610">
        <w:rPr>
          <w:color w:val="1F1F1F"/>
        </w:rPr>
        <w:t xml:space="preserve"> (60%), with Males making up the remaining 40%.</w:t>
      </w:r>
    </w:p>
    <w:p w14:paraId="6C5B7DD8" w14:textId="77777777" w:rsidR="00357FF4" w:rsidRPr="00531610" w:rsidRDefault="00357FF4" w:rsidP="00655E3E">
      <w:pPr>
        <w:numPr>
          <w:ilvl w:val="0"/>
          <w:numId w:val="20"/>
        </w:numPr>
        <w:rPr>
          <w:color w:val="1F1F1F"/>
        </w:rPr>
      </w:pPr>
      <w:r w:rsidRPr="00531610">
        <w:rPr>
          <w:color w:val="1F1F1F"/>
          <w:bdr w:val="none" w:sz="0" w:space="0" w:color="auto" w:frame="1"/>
        </w:rPr>
        <w:t>Years of Experience:</w:t>
      </w:r>
      <w:r w:rsidRPr="00531610">
        <w:rPr>
          <w:color w:val="1F1F1F"/>
        </w:rPr>
        <w:t xml:space="preserve"> The workforce is well-distributed, but the single largest group consists of individuals with </w:t>
      </w:r>
      <w:r w:rsidRPr="00531610">
        <w:rPr>
          <w:color w:val="1F1F1F"/>
          <w:bdr w:val="none" w:sz="0" w:space="0" w:color="auto" w:frame="1"/>
        </w:rPr>
        <w:t>6–10 years</w:t>
      </w:r>
      <w:r w:rsidRPr="00531610">
        <w:rPr>
          <w:color w:val="1F1F1F"/>
        </w:rPr>
        <w:t xml:space="preserve"> of experience (30%). Mid-career (11–15 years) and veteran professionals (16+ years) each comprise 25%, while newer professionals (0–5 years) make up 20%.</w:t>
      </w:r>
    </w:p>
    <w:p w14:paraId="0CF7BE3C" w14:textId="77777777" w:rsidR="00357FF4" w:rsidRPr="00531610" w:rsidRDefault="00357FF4" w:rsidP="00655E3E">
      <w:pPr>
        <w:numPr>
          <w:ilvl w:val="0"/>
          <w:numId w:val="20"/>
        </w:numPr>
        <w:rPr>
          <w:color w:val="1F1F1F"/>
        </w:rPr>
      </w:pPr>
      <w:r w:rsidRPr="00531610">
        <w:rPr>
          <w:color w:val="1F1F1F"/>
          <w:bdr w:val="none" w:sz="0" w:space="0" w:color="auto" w:frame="1"/>
        </w:rPr>
        <w:t>Educational Attainment:</w:t>
      </w:r>
      <w:r w:rsidRPr="00531610">
        <w:rPr>
          <w:color w:val="1F1F1F"/>
        </w:rPr>
        <w:t xml:space="preserve"> A solid majority of respondents hold a </w:t>
      </w:r>
      <w:r w:rsidRPr="00531610">
        <w:rPr>
          <w:color w:val="1F1F1F"/>
          <w:bdr w:val="none" w:sz="0" w:space="0" w:color="auto" w:frame="1"/>
        </w:rPr>
        <w:t>Bachelor’s degree</w:t>
      </w:r>
      <w:r w:rsidRPr="00531610">
        <w:rPr>
          <w:color w:val="1F1F1F"/>
        </w:rPr>
        <w:t xml:space="preserve"> (60%). Post-graduate education is also well-represented, with 30% holding a Master’s degree and 10% having earned a Doctorate.</w:t>
      </w:r>
    </w:p>
    <w:p w14:paraId="1749B387" w14:textId="77777777" w:rsidR="00357FF4" w:rsidRPr="00531610" w:rsidRDefault="00357FF4" w:rsidP="00655E3E">
      <w:pPr>
        <w:numPr>
          <w:ilvl w:val="0"/>
          <w:numId w:val="20"/>
        </w:numPr>
        <w:rPr>
          <w:color w:val="1F1F1F"/>
        </w:rPr>
      </w:pPr>
      <w:r w:rsidRPr="00531610">
        <w:rPr>
          <w:color w:val="1F1F1F"/>
          <w:bdr w:val="none" w:sz="0" w:space="0" w:color="auto" w:frame="1"/>
        </w:rPr>
        <w:t>Type of School:</w:t>
      </w:r>
      <w:r w:rsidRPr="00531610">
        <w:rPr>
          <w:color w:val="1F1F1F"/>
        </w:rPr>
        <w:t xml:space="preserve"> The sample is perfectly balanced split down the middle, with </w:t>
      </w:r>
      <w:r w:rsidRPr="00531610">
        <w:rPr>
          <w:color w:val="1F1F1F"/>
          <w:bdr w:val="none" w:sz="0" w:space="0" w:color="auto" w:frame="1"/>
        </w:rPr>
        <w:t>50%</w:t>
      </w:r>
      <w:r w:rsidRPr="00531610">
        <w:rPr>
          <w:color w:val="1F1F1F"/>
        </w:rPr>
        <w:t xml:space="preserve"> from Public schools and </w:t>
      </w:r>
      <w:r w:rsidRPr="00531610">
        <w:rPr>
          <w:color w:val="1F1F1F"/>
          <w:bdr w:val="none" w:sz="0" w:space="0" w:color="auto" w:frame="1"/>
        </w:rPr>
        <w:t>50%</w:t>
      </w:r>
      <w:r w:rsidRPr="00531610">
        <w:rPr>
          <w:color w:val="1F1F1F"/>
        </w:rPr>
        <w:t xml:space="preserve"> from Private schools.</w:t>
      </w:r>
    </w:p>
    <w:p w14:paraId="01791092" w14:textId="77777777" w:rsidR="00357FF4" w:rsidRPr="00531610" w:rsidRDefault="00357FF4" w:rsidP="00655E3E">
      <w:pPr>
        <w:outlineLvl w:val="1"/>
        <w:rPr>
          <w:color w:val="1F1F1F"/>
        </w:rPr>
      </w:pPr>
      <w:r w:rsidRPr="00531610">
        <w:rPr>
          <w:color w:val="1F1F1F"/>
        </w:rPr>
        <w:t>2. Interpretation of NASH Implementation</w:t>
      </w:r>
    </w:p>
    <w:p w14:paraId="1C7D724E" w14:textId="77777777" w:rsidR="00357FF4" w:rsidRPr="00531610" w:rsidRDefault="00357FF4" w:rsidP="00655E3E">
      <w:pPr>
        <w:rPr>
          <w:color w:val="1F1F1F"/>
        </w:rPr>
      </w:pPr>
      <w:r w:rsidRPr="00531610">
        <w:rPr>
          <w:color w:val="1F1F1F"/>
        </w:rPr>
        <w:t xml:space="preserve">Overall, the data shows a consistently positive reception to NASH implementation across all demographic cross-sections. The overall total mean scores hover tightly between </w:t>
      </w:r>
      <w:r w:rsidRPr="00531610">
        <w:rPr>
          <w:color w:val="1F1F1F"/>
          <w:bdr w:val="none" w:sz="0" w:space="0" w:color="auto" w:frame="1"/>
        </w:rPr>
        <w:t>4.00 and 4.04</w:t>
      </w:r>
      <w:r w:rsidRPr="00531610">
        <w:rPr>
          <w:color w:val="1F1F1F"/>
        </w:rPr>
        <w:t xml:space="preserve">, which universally translates to a </w:t>
      </w:r>
      <w:r w:rsidRPr="00531610">
        <w:rPr>
          <w:color w:val="1F1F1F"/>
          <w:bdr w:val="none" w:sz="0" w:space="0" w:color="auto" w:frame="1"/>
        </w:rPr>
        <w:t>"High"</w:t>
      </w:r>
      <w:r w:rsidRPr="00531610">
        <w:rPr>
          <w:color w:val="1F1F1F"/>
        </w:rPr>
        <w:t xml:space="preserve"> level of implementation.</w:t>
      </w:r>
    </w:p>
    <w:p w14:paraId="1396D5D5" w14:textId="77777777" w:rsidR="00357FF4" w:rsidRPr="00531610" w:rsidRDefault="00357FF4" w:rsidP="00655E3E">
      <w:pPr>
        <w:outlineLvl w:val="2"/>
        <w:rPr>
          <w:color w:val="1F1F1F"/>
        </w:rPr>
      </w:pPr>
      <w:r w:rsidRPr="00531610">
        <w:rPr>
          <w:color w:val="1F1F1F"/>
        </w:rPr>
        <w:t>Key Insights &amp; Trends:</w:t>
      </w:r>
    </w:p>
    <w:p w14:paraId="1C9613E7" w14:textId="77777777" w:rsidR="00357FF4" w:rsidRPr="00531610" w:rsidRDefault="00357FF4" w:rsidP="00655E3E">
      <w:pPr>
        <w:numPr>
          <w:ilvl w:val="0"/>
          <w:numId w:val="21"/>
        </w:numPr>
        <w:rPr>
          <w:color w:val="1F1F1F"/>
        </w:rPr>
      </w:pPr>
      <w:r w:rsidRPr="00531610">
        <w:rPr>
          <w:color w:val="1F1F1F"/>
          <w:bdr w:val="none" w:sz="0" w:space="0" w:color="auto" w:frame="1"/>
        </w:rPr>
        <w:t>Experience &amp; Education Drive Higher Implementation:</w:t>
      </w:r>
      <w:r w:rsidRPr="00531610">
        <w:rPr>
          <w:color w:val="1F1F1F"/>
        </w:rPr>
        <w:t xml:space="preserve"> There is a noticeable upward trend in mean scores as educational attainment increases. Respondents with a Doctorate recorded the highest implementation mean (</w:t>
      </w:r>
      <w:r w:rsidRPr="00531610">
        <w:rPr>
          <w:color w:val="1F1F1F"/>
          <w:bdr w:val="none" w:sz="0" w:space="0" w:color="auto" w:frame="1"/>
        </w:rPr>
        <w:t>4.08</w:t>
      </w:r>
      <w:r w:rsidRPr="00531610">
        <w:rPr>
          <w:color w:val="1F1F1F"/>
        </w:rPr>
        <w:t>, High), compared to those with a Bachelor's degree (</w:t>
      </w:r>
      <w:r w:rsidRPr="00531610">
        <w:rPr>
          <w:color w:val="1F1F1F"/>
          <w:bdr w:val="none" w:sz="0" w:space="0" w:color="auto" w:frame="1"/>
        </w:rPr>
        <w:t>3.92</w:t>
      </w:r>
      <w:r w:rsidRPr="00531610">
        <w:rPr>
          <w:color w:val="1F1F1F"/>
        </w:rPr>
        <w:t xml:space="preserve">, Moderate-High). A similar trend occurs with experience: those with 0–5 years of experience gave a </w:t>
      </w:r>
      <w:r w:rsidRPr="00531610">
        <w:rPr>
          <w:color w:val="1F1F1F"/>
          <w:bdr w:val="none" w:sz="0" w:space="0" w:color="auto" w:frame="1"/>
        </w:rPr>
        <w:t>3.88</w:t>
      </w:r>
      <w:r w:rsidRPr="00531610">
        <w:rPr>
          <w:color w:val="1F1F1F"/>
        </w:rPr>
        <w:t xml:space="preserve"> (Moderate-High), while all groups with 6+ years scored it as </w:t>
      </w:r>
      <w:r w:rsidRPr="00531610">
        <w:rPr>
          <w:color w:val="1F1F1F"/>
          <w:bdr w:val="none" w:sz="0" w:space="0" w:color="auto" w:frame="1"/>
        </w:rPr>
        <w:t>4.00 or higher</w:t>
      </w:r>
      <w:r w:rsidRPr="00531610">
        <w:rPr>
          <w:color w:val="1F1F1F"/>
        </w:rPr>
        <w:t xml:space="preserve"> (High).</w:t>
      </w:r>
    </w:p>
    <w:p w14:paraId="448633A3" w14:textId="77777777" w:rsidR="00357FF4" w:rsidRPr="00531610" w:rsidRDefault="00357FF4" w:rsidP="00655E3E">
      <w:pPr>
        <w:numPr>
          <w:ilvl w:val="0"/>
          <w:numId w:val="21"/>
        </w:numPr>
        <w:rPr>
          <w:color w:val="1F1F1F"/>
        </w:rPr>
      </w:pPr>
      <w:r w:rsidRPr="00531610">
        <w:rPr>
          <w:color w:val="1F1F1F"/>
          <w:bdr w:val="none" w:sz="0" w:space="0" w:color="auto" w:frame="1"/>
        </w:rPr>
        <w:t>The Mid-Career Sweet Spot:</w:t>
      </w:r>
      <w:r w:rsidRPr="00531610">
        <w:rPr>
          <w:color w:val="1F1F1F"/>
        </w:rPr>
        <w:t xml:space="preserve"> In terms of age, respondents aged </w:t>
      </w:r>
      <w:r w:rsidRPr="00531610">
        <w:rPr>
          <w:color w:val="1F1F1F"/>
          <w:bdr w:val="none" w:sz="0" w:space="0" w:color="auto" w:frame="1"/>
        </w:rPr>
        <w:t>31–40</w:t>
      </w:r>
      <w:r w:rsidRPr="00531610">
        <w:rPr>
          <w:color w:val="1F1F1F"/>
        </w:rPr>
        <w:t xml:space="preserve"> reported the highest implementation mean (</w:t>
      </w:r>
      <w:r w:rsidRPr="00531610">
        <w:rPr>
          <w:color w:val="1F1F1F"/>
          <w:bdr w:val="none" w:sz="0" w:space="0" w:color="auto" w:frame="1"/>
        </w:rPr>
        <w:t>4.12</w:t>
      </w:r>
      <w:r w:rsidRPr="00531610">
        <w:rPr>
          <w:color w:val="1F1F1F"/>
        </w:rPr>
        <w:t>), suggesting that mid-career professionals might feel the most equipped or aligned with the implementation standards.</w:t>
      </w:r>
    </w:p>
    <w:p w14:paraId="6B77C493" w14:textId="77777777" w:rsidR="00357FF4" w:rsidRPr="00531610" w:rsidRDefault="00357FF4" w:rsidP="00655E3E">
      <w:pPr>
        <w:numPr>
          <w:ilvl w:val="0"/>
          <w:numId w:val="21"/>
        </w:numPr>
        <w:rPr>
          <w:color w:val="1F1F1F"/>
        </w:rPr>
      </w:pPr>
      <w:r w:rsidRPr="00531610">
        <w:rPr>
          <w:color w:val="1F1F1F"/>
          <w:bdr w:val="none" w:sz="0" w:space="0" w:color="auto" w:frame="1"/>
        </w:rPr>
        <w:t>Consistency Across Sex and School Type:</w:t>
      </w:r>
      <w:r w:rsidRPr="00531610">
        <w:rPr>
          <w:color w:val="1F1F1F"/>
        </w:rPr>
        <w:t xml:space="preserve"> There is virtually no difference in how males (4.02) vs. females (4.05) view the implementation. Similarly, public school (3.98) and private school (4.05) respondents both report a </w:t>
      </w:r>
      <w:r w:rsidRPr="00531610">
        <w:rPr>
          <w:color w:val="1F1F1F"/>
          <w:bdr w:val="none" w:sz="0" w:space="0" w:color="auto" w:frame="1"/>
        </w:rPr>
        <w:t>"High"</w:t>
      </w:r>
      <w:r w:rsidRPr="00531610">
        <w:rPr>
          <w:color w:val="1F1F1F"/>
        </w:rPr>
        <w:t xml:space="preserve"> level of implementation, indicating that institutional type does not drastically alter the execution or perception of the program.</w:t>
      </w:r>
    </w:p>
    <w:p w14:paraId="6CBD2127" w14:textId="77777777" w:rsidR="00357FF4" w:rsidRPr="00531610" w:rsidRDefault="00357FF4" w:rsidP="00655E3E">
      <w:pPr>
        <w:rPr>
          <w:color w:val="1F1F1F"/>
        </w:rPr>
      </w:pPr>
    </w:p>
    <w:p w14:paraId="2EADC8A2" w14:textId="77777777" w:rsidR="00357FF4" w:rsidRPr="00531610" w:rsidRDefault="00357FF4" w:rsidP="00655E3E">
      <w:pPr>
        <w:rPr>
          <w:color w:val="1F1F1F"/>
        </w:rPr>
      </w:pPr>
      <w:r w:rsidRPr="00531610">
        <w:rPr>
          <w:color w:val="1F1F1F"/>
        </w:rPr>
        <w:t xml:space="preserve">The low Standard Deviation (SD) values across the board (ranging tightly between </w:t>
      </w:r>
      <w:r w:rsidRPr="00531610">
        <w:rPr>
          <w:color w:val="1F1F1F"/>
          <w:bdr w:val="none" w:sz="0" w:space="0" w:color="auto" w:frame="1"/>
        </w:rPr>
        <w:t>0.36 and 0.45</w:t>
      </w:r>
      <w:r w:rsidRPr="00531610">
        <w:rPr>
          <w:color w:val="1F1F1F"/>
        </w:rPr>
        <w:t xml:space="preserve">) indicate that the respondents' answers are highly clustered around the means. This means there is a </w:t>
      </w:r>
      <w:r w:rsidRPr="00531610">
        <w:rPr>
          <w:color w:val="1F1F1F"/>
          <w:bdr w:val="none" w:sz="0" w:space="0" w:color="auto" w:frame="1"/>
        </w:rPr>
        <w:t>strong consensus</w:t>
      </w:r>
      <w:r w:rsidRPr="00531610">
        <w:rPr>
          <w:color w:val="1F1F1F"/>
        </w:rPr>
        <w:t xml:space="preserve"> among the respondents: regardless of age, sex, experience, education, or school type, the implementation of NASH is widely agreed to be highly effective and deeply integrated.</w:t>
      </w:r>
    </w:p>
    <w:p w14:paraId="5BF6C53E" w14:textId="77777777" w:rsidR="00357FF4" w:rsidRPr="002430E2" w:rsidRDefault="00357FF4" w:rsidP="00655E3E">
      <w:pPr>
        <w:spacing w:before="100" w:beforeAutospacing="1" w:after="100" w:afterAutospacing="1"/>
        <w:ind w:left="720"/>
        <w:jc w:val="both"/>
      </w:pPr>
    </w:p>
    <w:p w14:paraId="24F9C5EC" w14:textId="77777777" w:rsidR="00357FF4" w:rsidRPr="002430E2" w:rsidRDefault="00357FF4" w:rsidP="00655E3E">
      <w:pPr>
        <w:spacing w:before="100" w:beforeAutospacing="1" w:after="100" w:afterAutospacing="1"/>
        <w:ind w:left="720"/>
        <w:jc w:val="both"/>
      </w:pPr>
    </w:p>
    <w:p w14:paraId="1D2AC5E1" w14:textId="77777777" w:rsidR="00357FF4" w:rsidRPr="002430E2" w:rsidRDefault="00357FF4" w:rsidP="00655E3E">
      <w:pPr>
        <w:spacing w:before="100" w:beforeAutospacing="1" w:after="100" w:afterAutospacing="1"/>
        <w:ind w:left="720"/>
        <w:jc w:val="both"/>
      </w:pPr>
    </w:p>
    <w:p w14:paraId="0CF605BC" w14:textId="77777777" w:rsidR="00357FF4" w:rsidRPr="002430E2" w:rsidRDefault="00357FF4" w:rsidP="00655E3E">
      <w:pPr>
        <w:spacing w:before="100" w:beforeAutospacing="1" w:after="100" w:afterAutospacing="1"/>
        <w:ind w:left="720"/>
        <w:jc w:val="both"/>
      </w:pPr>
    </w:p>
    <w:p w14:paraId="5546AB3A" w14:textId="77777777" w:rsidR="00357FF4" w:rsidRDefault="00357FF4" w:rsidP="00655E3E">
      <w:pPr>
        <w:spacing w:before="100" w:beforeAutospacing="1" w:after="100" w:afterAutospacing="1"/>
        <w:jc w:val="both"/>
        <w:outlineLvl w:val="2"/>
      </w:pPr>
    </w:p>
    <w:p w14:paraId="1323B72D" w14:textId="77777777" w:rsidR="00357FF4" w:rsidRDefault="00357FF4" w:rsidP="00655E3E">
      <w:pPr>
        <w:spacing w:before="100" w:beforeAutospacing="1" w:after="100" w:afterAutospacing="1"/>
        <w:jc w:val="center"/>
        <w:outlineLvl w:val="2"/>
        <w:rPr>
          <w:b/>
          <w:bCs/>
        </w:rPr>
      </w:pPr>
    </w:p>
    <w:p w14:paraId="5C36EA6D" w14:textId="77777777" w:rsidR="00357FF4" w:rsidRDefault="00357FF4" w:rsidP="00655E3E">
      <w:pPr>
        <w:spacing w:before="100" w:beforeAutospacing="1" w:after="100" w:afterAutospacing="1"/>
        <w:jc w:val="center"/>
        <w:outlineLvl w:val="2"/>
        <w:rPr>
          <w:b/>
          <w:bCs/>
        </w:rPr>
      </w:pPr>
    </w:p>
    <w:p w14:paraId="41CC3076" w14:textId="77777777" w:rsidR="00357FF4" w:rsidRDefault="00357FF4" w:rsidP="00655E3E">
      <w:pPr>
        <w:spacing w:before="100" w:beforeAutospacing="1" w:after="100" w:afterAutospacing="1"/>
        <w:jc w:val="center"/>
        <w:outlineLvl w:val="2"/>
        <w:rPr>
          <w:b/>
          <w:bCs/>
        </w:rPr>
      </w:pPr>
    </w:p>
    <w:p w14:paraId="516C090A" w14:textId="77777777" w:rsidR="00357FF4" w:rsidRPr="002430E2" w:rsidRDefault="00357FF4" w:rsidP="00655E3E">
      <w:pPr>
        <w:spacing w:before="100" w:beforeAutospacing="1" w:after="100" w:afterAutospacing="1"/>
        <w:jc w:val="center"/>
        <w:outlineLvl w:val="2"/>
        <w:rPr>
          <w:b/>
          <w:bCs/>
        </w:rPr>
      </w:pPr>
      <w:r w:rsidRPr="002430E2">
        <w:rPr>
          <w:b/>
          <w:bCs/>
        </w:rPr>
        <w:t>Table 2. Summary of Nurturing Classroom Culture (NCC) (n = 100)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9"/>
        <w:gridCol w:w="5642"/>
        <w:gridCol w:w="667"/>
        <w:gridCol w:w="500"/>
        <w:gridCol w:w="1682"/>
      </w:tblGrid>
      <w:tr w:rsidR="00357FF4" w:rsidRPr="002430E2" w14:paraId="1B260398" w14:textId="77777777" w:rsidTr="00B0092D">
        <w:trPr>
          <w:tblHeader/>
          <w:tblCellSpacing w:w="15" w:type="dxa"/>
        </w:trPr>
        <w:tc>
          <w:tcPr>
            <w:tcW w:w="801" w:type="dxa"/>
            <w:vAlign w:val="center"/>
            <w:hideMark/>
          </w:tcPr>
          <w:p w14:paraId="38A3AD3C" w14:textId="77777777" w:rsidR="00357FF4" w:rsidRPr="002430E2" w:rsidRDefault="00357FF4" w:rsidP="00655E3E">
            <w:pPr>
              <w:jc w:val="center"/>
              <w:rPr>
                <w:b/>
                <w:bCs/>
              </w:rPr>
            </w:pPr>
            <w:r w:rsidRPr="002430E2">
              <w:rPr>
                <w:b/>
                <w:bCs/>
              </w:rPr>
              <w:t>Item No.</w:t>
            </w:r>
          </w:p>
        </w:tc>
        <w:tc>
          <w:tcPr>
            <w:tcW w:w="5625" w:type="dxa"/>
            <w:vAlign w:val="center"/>
            <w:hideMark/>
          </w:tcPr>
          <w:p w14:paraId="7A39A026" w14:textId="77777777" w:rsidR="00357FF4" w:rsidRPr="002430E2" w:rsidRDefault="00357FF4" w:rsidP="00655E3E">
            <w:pPr>
              <w:jc w:val="center"/>
              <w:rPr>
                <w:b/>
                <w:bCs/>
              </w:rPr>
            </w:pPr>
            <w:r w:rsidRPr="002430E2">
              <w:rPr>
                <w:b/>
                <w:bCs/>
              </w:rPr>
              <w:t>Statement</w:t>
            </w:r>
          </w:p>
        </w:tc>
        <w:tc>
          <w:tcPr>
            <w:tcW w:w="0" w:type="auto"/>
            <w:vAlign w:val="center"/>
            <w:hideMark/>
          </w:tcPr>
          <w:p w14:paraId="0FC1CB57" w14:textId="77777777" w:rsidR="00357FF4" w:rsidRPr="002430E2" w:rsidRDefault="00357FF4" w:rsidP="00655E3E">
            <w:pPr>
              <w:jc w:val="center"/>
              <w:rPr>
                <w:b/>
                <w:bCs/>
              </w:rPr>
            </w:pPr>
            <w:r w:rsidRPr="002430E2">
              <w:rPr>
                <w:b/>
                <w:bCs/>
              </w:rPr>
              <w:t>Mean</w:t>
            </w:r>
          </w:p>
        </w:tc>
        <w:tc>
          <w:tcPr>
            <w:tcW w:w="0" w:type="auto"/>
            <w:vAlign w:val="center"/>
            <w:hideMark/>
          </w:tcPr>
          <w:p w14:paraId="18A293E9" w14:textId="77777777" w:rsidR="00357FF4" w:rsidRPr="002430E2" w:rsidRDefault="00357FF4" w:rsidP="00655E3E">
            <w:pPr>
              <w:jc w:val="center"/>
              <w:rPr>
                <w:b/>
                <w:bCs/>
              </w:rPr>
            </w:pPr>
            <w:r w:rsidRPr="002430E2">
              <w:rPr>
                <w:b/>
                <w:bCs/>
              </w:rPr>
              <w:t>SD</w:t>
            </w:r>
          </w:p>
        </w:tc>
        <w:tc>
          <w:tcPr>
            <w:tcW w:w="0" w:type="auto"/>
            <w:vAlign w:val="center"/>
            <w:hideMark/>
          </w:tcPr>
          <w:p w14:paraId="30111A2D" w14:textId="77777777" w:rsidR="00357FF4" w:rsidRPr="002430E2" w:rsidRDefault="00357FF4" w:rsidP="00655E3E">
            <w:pPr>
              <w:jc w:val="center"/>
              <w:rPr>
                <w:b/>
                <w:bCs/>
              </w:rPr>
            </w:pPr>
            <w:r w:rsidRPr="002430E2">
              <w:rPr>
                <w:b/>
                <w:bCs/>
              </w:rPr>
              <w:t>Interpretation*</w:t>
            </w:r>
          </w:p>
        </w:tc>
      </w:tr>
      <w:tr w:rsidR="00357FF4" w:rsidRPr="002430E2" w14:paraId="769EF956" w14:textId="77777777" w:rsidTr="00B0092D">
        <w:trPr>
          <w:tblCellSpacing w:w="15" w:type="dxa"/>
        </w:trPr>
        <w:tc>
          <w:tcPr>
            <w:tcW w:w="801" w:type="dxa"/>
            <w:vAlign w:val="center"/>
            <w:hideMark/>
          </w:tcPr>
          <w:p w14:paraId="1C64B07E" w14:textId="77777777" w:rsidR="00357FF4" w:rsidRPr="002430E2" w:rsidRDefault="00357FF4" w:rsidP="00655E3E">
            <w:pPr>
              <w:jc w:val="center"/>
            </w:pPr>
            <w:r w:rsidRPr="002430E2">
              <w:t>1</w:t>
            </w:r>
          </w:p>
        </w:tc>
        <w:tc>
          <w:tcPr>
            <w:tcW w:w="5625" w:type="dxa"/>
            <w:vAlign w:val="center"/>
            <w:hideMark/>
          </w:tcPr>
          <w:p w14:paraId="5DD3962E" w14:textId="77777777" w:rsidR="00357FF4" w:rsidRPr="002430E2" w:rsidRDefault="00357FF4" w:rsidP="00655E3E">
            <w:pPr>
              <w:jc w:val="center"/>
            </w:pPr>
            <w:r w:rsidRPr="002430E2">
              <w:t>I create a safe and respectful environment for all students.</w:t>
            </w:r>
          </w:p>
        </w:tc>
        <w:tc>
          <w:tcPr>
            <w:tcW w:w="0" w:type="auto"/>
            <w:vAlign w:val="center"/>
            <w:hideMark/>
          </w:tcPr>
          <w:p w14:paraId="19355CB2" w14:textId="77777777" w:rsidR="00357FF4" w:rsidRPr="002430E2" w:rsidRDefault="00357FF4" w:rsidP="00655E3E">
            <w:pPr>
              <w:jc w:val="center"/>
            </w:pPr>
            <w:r w:rsidRPr="002430E2">
              <w:t>4.35</w:t>
            </w:r>
          </w:p>
        </w:tc>
        <w:tc>
          <w:tcPr>
            <w:tcW w:w="0" w:type="auto"/>
            <w:vAlign w:val="center"/>
            <w:hideMark/>
          </w:tcPr>
          <w:p w14:paraId="2F31E76A" w14:textId="77777777" w:rsidR="00357FF4" w:rsidRPr="002430E2" w:rsidRDefault="00357FF4" w:rsidP="00655E3E">
            <w:pPr>
              <w:jc w:val="center"/>
            </w:pPr>
            <w:r w:rsidRPr="002430E2">
              <w:t>0.62</w:t>
            </w:r>
          </w:p>
        </w:tc>
        <w:tc>
          <w:tcPr>
            <w:tcW w:w="0" w:type="auto"/>
            <w:vAlign w:val="center"/>
            <w:hideMark/>
          </w:tcPr>
          <w:p w14:paraId="2887A3AD" w14:textId="77777777" w:rsidR="00357FF4" w:rsidRPr="002430E2" w:rsidRDefault="00357FF4" w:rsidP="00655E3E">
            <w:pPr>
              <w:jc w:val="center"/>
            </w:pPr>
            <w:r w:rsidRPr="002430E2">
              <w:t>Very High</w:t>
            </w:r>
          </w:p>
        </w:tc>
      </w:tr>
      <w:tr w:rsidR="00357FF4" w:rsidRPr="002430E2" w14:paraId="1938256C" w14:textId="77777777" w:rsidTr="00B0092D">
        <w:trPr>
          <w:tblCellSpacing w:w="15" w:type="dxa"/>
        </w:trPr>
        <w:tc>
          <w:tcPr>
            <w:tcW w:w="801" w:type="dxa"/>
            <w:vAlign w:val="center"/>
            <w:hideMark/>
          </w:tcPr>
          <w:p w14:paraId="4BD0621C" w14:textId="77777777" w:rsidR="00357FF4" w:rsidRPr="002430E2" w:rsidRDefault="00357FF4" w:rsidP="00655E3E">
            <w:pPr>
              <w:jc w:val="center"/>
            </w:pPr>
            <w:r w:rsidRPr="002430E2">
              <w:t>2</w:t>
            </w:r>
          </w:p>
        </w:tc>
        <w:tc>
          <w:tcPr>
            <w:tcW w:w="5625" w:type="dxa"/>
            <w:vAlign w:val="center"/>
            <w:hideMark/>
          </w:tcPr>
          <w:p w14:paraId="1450AE68" w14:textId="77777777" w:rsidR="00357FF4" w:rsidRPr="002430E2" w:rsidRDefault="00357FF4" w:rsidP="00655E3E">
            <w:pPr>
              <w:jc w:val="center"/>
            </w:pPr>
            <w:r w:rsidRPr="002430E2">
              <w:t>I establish clear classroom rules and expectations.</w:t>
            </w:r>
          </w:p>
        </w:tc>
        <w:tc>
          <w:tcPr>
            <w:tcW w:w="0" w:type="auto"/>
            <w:vAlign w:val="center"/>
            <w:hideMark/>
          </w:tcPr>
          <w:p w14:paraId="763F8446" w14:textId="77777777" w:rsidR="00357FF4" w:rsidRPr="002430E2" w:rsidRDefault="00357FF4" w:rsidP="00655E3E">
            <w:pPr>
              <w:jc w:val="center"/>
            </w:pPr>
            <w:r w:rsidRPr="002430E2">
              <w:t>4.20</w:t>
            </w:r>
          </w:p>
        </w:tc>
        <w:tc>
          <w:tcPr>
            <w:tcW w:w="0" w:type="auto"/>
            <w:vAlign w:val="center"/>
            <w:hideMark/>
          </w:tcPr>
          <w:p w14:paraId="7DC26FFB" w14:textId="77777777" w:rsidR="00357FF4" w:rsidRPr="002430E2" w:rsidRDefault="00357FF4" w:rsidP="00655E3E">
            <w:pPr>
              <w:jc w:val="center"/>
            </w:pPr>
            <w:r w:rsidRPr="002430E2">
              <w:t>0.70</w:t>
            </w:r>
          </w:p>
        </w:tc>
        <w:tc>
          <w:tcPr>
            <w:tcW w:w="0" w:type="auto"/>
            <w:vAlign w:val="center"/>
            <w:hideMark/>
          </w:tcPr>
          <w:p w14:paraId="274EE872" w14:textId="77777777" w:rsidR="00357FF4" w:rsidRPr="002430E2" w:rsidRDefault="00357FF4" w:rsidP="00655E3E">
            <w:pPr>
              <w:jc w:val="center"/>
            </w:pPr>
            <w:r w:rsidRPr="002430E2">
              <w:t>Very High</w:t>
            </w:r>
          </w:p>
        </w:tc>
      </w:tr>
      <w:tr w:rsidR="00357FF4" w:rsidRPr="002430E2" w14:paraId="62AF98D5" w14:textId="77777777" w:rsidTr="00B0092D">
        <w:trPr>
          <w:tblCellSpacing w:w="15" w:type="dxa"/>
        </w:trPr>
        <w:tc>
          <w:tcPr>
            <w:tcW w:w="801" w:type="dxa"/>
            <w:vAlign w:val="center"/>
            <w:hideMark/>
          </w:tcPr>
          <w:p w14:paraId="1A006911" w14:textId="77777777" w:rsidR="00357FF4" w:rsidRPr="002430E2" w:rsidRDefault="00357FF4" w:rsidP="00655E3E">
            <w:pPr>
              <w:jc w:val="center"/>
            </w:pPr>
            <w:r w:rsidRPr="002430E2">
              <w:t>3</w:t>
            </w:r>
          </w:p>
        </w:tc>
        <w:tc>
          <w:tcPr>
            <w:tcW w:w="5625" w:type="dxa"/>
            <w:vAlign w:val="center"/>
            <w:hideMark/>
          </w:tcPr>
          <w:p w14:paraId="1CCB79EF" w14:textId="77777777" w:rsidR="00357FF4" w:rsidRPr="002430E2" w:rsidRDefault="00357FF4" w:rsidP="00655E3E">
            <w:pPr>
              <w:jc w:val="center"/>
            </w:pPr>
            <w:r w:rsidRPr="002430E2">
              <w:t>I encourage collaboration and teamwork among students.</w:t>
            </w:r>
          </w:p>
        </w:tc>
        <w:tc>
          <w:tcPr>
            <w:tcW w:w="0" w:type="auto"/>
            <w:vAlign w:val="center"/>
            <w:hideMark/>
          </w:tcPr>
          <w:p w14:paraId="4511879C" w14:textId="77777777" w:rsidR="00357FF4" w:rsidRPr="002430E2" w:rsidRDefault="00357FF4" w:rsidP="00655E3E">
            <w:pPr>
              <w:jc w:val="center"/>
            </w:pPr>
            <w:r w:rsidRPr="002430E2">
              <w:t>4.10</w:t>
            </w:r>
          </w:p>
        </w:tc>
        <w:tc>
          <w:tcPr>
            <w:tcW w:w="0" w:type="auto"/>
            <w:vAlign w:val="center"/>
            <w:hideMark/>
          </w:tcPr>
          <w:p w14:paraId="4C8C57F1" w14:textId="77777777" w:rsidR="00357FF4" w:rsidRPr="002430E2" w:rsidRDefault="00357FF4" w:rsidP="00655E3E">
            <w:pPr>
              <w:jc w:val="center"/>
            </w:pPr>
            <w:r w:rsidRPr="002430E2">
              <w:t>0.68</w:t>
            </w:r>
          </w:p>
        </w:tc>
        <w:tc>
          <w:tcPr>
            <w:tcW w:w="0" w:type="auto"/>
            <w:vAlign w:val="center"/>
            <w:hideMark/>
          </w:tcPr>
          <w:p w14:paraId="3F16A473" w14:textId="77777777" w:rsidR="00357FF4" w:rsidRPr="002430E2" w:rsidRDefault="00357FF4" w:rsidP="00655E3E">
            <w:pPr>
              <w:jc w:val="center"/>
            </w:pPr>
            <w:r w:rsidRPr="002430E2">
              <w:t>High</w:t>
            </w:r>
          </w:p>
        </w:tc>
      </w:tr>
      <w:tr w:rsidR="00357FF4" w:rsidRPr="002430E2" w14:paraId="5DB8D613" w14:textId="77777777" w:rsidTr="00B0092D">
        <w:trPr>
          <w:tblCellSpacing w:w="15" w:type="dxa"/>
        </w:trPr>
        <w:tc>
          <w:tcPr>
            <w:tcW w:w="801" w:type="dxa"/>
            <w:vAlign w:val="center"/>
            <w:hideMark/>
          </w:tcPr>
          <w:p w14:paraId="0587010B" w14:textId="77777777" w:rsidR="00357FF4" w:rsidRPr="002430E2" w:rsidRDefault="00357FF4" w:rsidP="00655E3E">
            <w:pPr>
              <w:jc w:val="center"/>
            </w:pPr>
            <w:r w:rsidRPr="002430E2">
              <w:t>4</w:t>
            </w:r>
          </w:p>
        </w:tc>
        <w:tc>
          <w:tcPr>
            <w:tcW w:w="5625" w:type="dxa"/>
            <w:vAlign w:val="center"/>
            <w:hideMark/>
          </w:tcPr>
          <w:p w14:paraId="273FB86C" w14:textId="77777777" w:rsidR="00357FF4" w:rsidRPr="002430E2" w:rsidRDefault="00357FF4" w:rsidP="00655E3E">
            <w:pPr>
              <w:jc w:val="center"/>
            </w:pPr>
            <w:r w:rsidRPr="002430E2">
              <w:t>I foster a positive relationship with my students.</w:t>
            </w:r>
          </w:p>
        </w:tc>
        <w:tc>
          <w:tcPr>
            <w:tcW w:w="0" w:type="auto"/>
            <w:vAlign w:val="center"/>
            <w:hideMark/>
          </w:tcPr>
          <w:p w14:paraId="5292CE44" w14:textId="77777777" w:rsidR="00357FF4" w:rsidRPr="002430E2" w:rsidRDefault="00357FF4" w:rsidP="00655E3E">
            <w:pPr>
              <w:jc w:val="center"/>
            </w:pPr>
            <w:r w:rsidRPr="002430E2">
              <w:t>4.25</w:t>
            </w:r>
          </w:p>
        </w:tc>
        <w:tc>
          <w:tcPr>
            <w:tcW w:w="0" w:type="auto"/>
            <w:vAlign w:val="center"/>
            <w:hideMark/>
          </w:tcPr>
          <w:p w14:paraId="64FFE808" w14:textId="77777777" w:rsidR="00357FF4" w:rsidRPr="002430E2" w:rsidRDefault="00357FF4" w:rsidP="00655E3E">
            <w:pPr>
              <w:jc w:val="center"/>
            </w:pPr>
            <w:r w:rsidRPr="002430E2">
              <w:t>0.65</w:t>
            </w:r>
          </w:p>
        </w:tc>
        <w:tc>
          <w:tcPr>
            <w:tcW w:w="0" w:type="auto"/>
            <w:vAlign w:val="center"/>
            <w:hideMark/>
          </w:tcPr>
          <w:p w14:paraId="4875793C" w14:textId="77777777" w:rsidR="00357FF4" w:rsidRPr="002430E2" w:rsidRDefault="00357FF4" w:rsidP="00655E3E">
            <w:pPr>
              <w:jc w:val="center"/>
            </w:pPr>
            <w:r w:rsidRPr="002430E2">
              <w:t>Very High</w:t>
            </w:r>
          </w:p>
        </w:tc>
      </w:tr>
      <w:tr w:rsidR="00357FF4" w:rsidRPr="002430E2" w14:paraId="420BE792" w14:textId="77777777" w:rsidTr="00B0092D">
        <w:trPr>
          <w:tblCellSpacing w:w="15" w:type="dxa"/>
        </w:trPr>
        <w:tc>
          <w:tcPr>
            <w:tcW w:w="801" w:type="dxa"/>
            <w:vAlign w:val="center"/>
            <w:hideMark/>
          </w:tcPr>
          <w:p w14:paraId="16F98A98" w14:textId="77777777" w:rsidR="00357FF4" w:rsidRPr="002430E2" w:rsidRDefault="00357FF4" w:rsidP="00655E3E">
            <w:pPr>
              <w:jc w:val="center"/>
            </w:pPr>
            <w:r w:rsidRPr="002430E2">
              <w:t>5</w:t>
            </w:r>
          </w:p>
        </w:tc>
        <w:tc>
          <w:tcPr>
            <w:tcW w:w="5625" w:type="dxa"/>
            <w:vAlign w:val="center"/>
            <w:hideMark/>
          </w:tcPr>
          <w:p w14:paraId="7E46AE13" w14:textId="77777777" w:rsidR="00357FF4" w:rsidRPr="002430E2" w:rsidRDefault="00357FF4" w:rsidP="00655E3E">
            <w:pPr>
              <w:jc w:val="center"/>
            </w:pPr>
            <w:r w:rsidRPr="002430E2">
              <w:t>I promote inclusivity and respect for diversity in my classroom.</w:t>
            </w:r>
          </w:p>
        </w:tc>
        <w:tc>
          <w:tcPr>
            <w:tcW w:w="0" w:type="auto"/>
            <w:vAlign w:val="center"/>
            <w:hideMark/>
          </w:tcPr>
          <w:p w14:paraId="78910C54" w14:textId="77777777" w:rsidR="00357FF4" w:rsidRPr="002430E2" w:rsidRDefault="00357FF4" w:rsidP="00655E3E">
            <w:pPr>
              <w:jc w:val="center"/>
            </w:pPr>
            <w:r w:rsidRPr="002430E2">
              <w:t>4.18</w:t>
            </w:r>
          </w:p>
        </w:tc>
        <w:tc>
          <w:tcPr>
            <w:tcW w:w="0" w:type="auto"/>
            <w:vAlign w:val="center"/>
            <w:hideMark/>
          </w:tcPr>
          <w:p w14:paraId="6F92F543" w14:textId="77777777" w:rsidR="00357FF4" w:rsidRPr="002430E2" w:rsidRDefault="00357FF4" w:rsidP="00655E3E">
            <w:pPr>
              <w:jc w:val="center"/>
            </w:pPr>
            <w:r w:rsidRPr="002430E2">
              <w:t>0.72</w:t>
            </w:r>
          </w:p>
        </w:tc>
        <w:tc>
          <w:tcPr>
            <w:tcW w:w="0" w:type="auto"/>
            <w:vAlign w:val="center"/>
            <w:hideMark/>
          </w:tcPr>
          <w:p w14:paraId="73D80A31" w14:textId="77777777" w:rsidR="00357FF4" w:rsidRPr="002430E2" w:rsidRDefault="00357FF4" w:rsidP="00655E3E">
            <w:pPr>
              <w:jc w:val="center"/>
            </w:pPr>
            <w:r w:rsidRPr="002430E2">
              <w:t>High</w:t>
            </w:r>
          </w:p>
        </w:tc>
      </w:tr>
      <w:tr w:rsidR="00357FF4" w:rsidRPr="002430E2" w14:paraId="0B19DF42" w14:textId="77777777" w:rsidTr="00B0092D">
        <w:trPr>
          <w:tblCellSpacing w:w="15" w:type="dxa"/>
        </w:trPr>
        <w:tc>
          <w:tcPr>
            <w:tcW w:w="801" w:type="dxa"/>
            <w:vAlign w:val="center"/>
            <w:hideMark/>
          </w:tcPr>
          <w:p w14:paraId="5DBFA9EC" w14:textId="77777777" w:rsidR="00357FF4" w:rsidRPr="002430E2" w:rsidRDefault="00357FF4" w:rsidP="00655E3E">
            <w:pPr>
              <w:jc w:val="center"/>
            </w:pPr>
            <w:r w:rsidRPr="002430E2">
              <w:t>6</w:t>
            </w:r>
          </w:p>
        </w:tc>
        <w:tc>
          <w:tcPr>
            <w:tcW w:w="5625" w:type="dxa"/>
            <w:vAlign w:val="center"/>
            <w:hideMark/>
          </w:tcPr>
          <w:p w14:paraId="1CE6B36E" w14:textId="77777777" w:rsidR="00357FF4" w:rsidRPr="002430E2" w:rsidRDefault="00357FF4" w:rsidP="00655E3E">
            <w:pPr>
              <w:jc w:val="center"/>
            </w:pPr>
            <w:r w:rsidRPr="002430E2">
              <w:t>I recognize and celebrate students’ achievements and efforts.</w:t>
            </w:r>
          </w:p>
        </w:tc>
        <w:tc>
          <w:tcPr>
            <w:tcW w:w="0" w:type="auto"/>
            <w:vAlign w:val="center"/>
            <w:hideMark/>
          </w:tcPr>
          <w:p w14:paraId="597E3DA1" w14:textId="77777777" w:rsidR="00357FF4" w:rsidRPr="002430E2" w:rsidRDefault="00357FF4" w:rsidP="00655E3E">
            <w:pPr>
              <w:jc w:val="center"/>
            </w:pPr>
            <w:r w:rsidRPr="002430E2">
              <w:t>4.22</w:t>
            </w:r>
          </w:p>
        </w:tc>
        <w:tc>
          <w:tcPr>
            <w:tcW w:w="0" w:type="auto"/>
            <w:vAlign w:val="center"/>
            <w:hideMark/>
          </w:tcPr>
          <w:p w14:paraId="5B0F2BF1" w14:textId="77777777" w:rsidR="00357FF4" w:rsidRPr="002430E2" w:rsidRDefault="00357FF4" w:rsidP="00655E3E">
            <w:pPr>
              <w:jc w:val="center"/>
            </w:pPr>
            <w:r w:rsidRPr="002430E2">
              <w:t>0.66</w:t>
            </w:r>
          </w:p>
        </w:tc>
        <w:tc>
          <w:tcPr>
            <w:tcW w:w="0" w:type="auto"/>
            <w:vAlign w:val="center"/>
            <w:hideMark/>
          </w:tcPr>
          <w:p w14:paraId="7015B050" w14:textId="77777777" w:rsidR="00357FF4" w:rsidRPr="002430E2" w:rsidRDefault="00357FF4" w:rsidP="00655E3E">
            <w:pPr>
              <w:jc w:val="center"/>
            </w:pPr>
            <w:r w:rsidRPr="002430E2">
              <w:t>Very High</w:t>
            </w:r>
          </w:p>
        </w:tc>
      </w:tr>
      <w:tr w:rsidR="00357FF4" w:rsidRPr="002430E2" w14:paraId="4C9480E5" w14:textId="77777777" w:rsidTr="00B0092D">
        <w:trPr>
          <w:tblCellSpacing w:w="15" w:type="dxa"/>
        </w:trPr>
        <w:tc>
          <w:tcPr>
            <w:tcW w:w="801" w:type="dxa"/>
            <w:vAlign w:val="center"/>
            <w:hideMark/>
          </w:tcPr>
          <w:p w14:paraId="7A96938E" w14:textId="77777777" w:rsidR="00357FF4" w:rsidRPr="002430E2" w:rsidRDefault="00357FF4" w:rsidP="00655E3E">
            <w:pPr>
              <w:jc w:val="center"/>
            </w:pPr>
            <w:r w:rsidRPr="002430E2">
              <w:t>7</w:t>
            </w:r>
          </w:p>
        </w:tc>
        <w:tc>
          <w:tcPr>
            <w:tcW w:w="5625" w:type="dxa"/>
            <w:vAlign w:val="center"/>
            <w:hideMark/>
          </w:tcPr>
          <w:p w14:paraId="7DA7B1B5" w14:textId="77777777" w:rsidR="00357FF4" w:rsidRPr="002430E2" w:rsidRDefault="00357FF4" w:rsidP="00655E3E">
            <w:pPr>
              <w:jc w:val="center"/>
            </w:pPr>
            <w:r w:rsidRPr="002430E2">
              <w:t>I encourage students to take responsibility for their learning.</w:t>
            </w:r>
          </w:p>
        </w:tc>
        <w:tc>
          <w:tcPr>
            <w:tcW w:w="0" w:type="auto"/>
            <w:vAlign w:val="center"/>
            <w:hideMark/>
          </w:tcPr>
          <w:p w14:paraId="25596803" w14:textId="77777777" w:rsidR="00357FF4" w:rsidRPr="002430E2" w:rsidRDefault="00357FF4" w:rsidP="00655E3E">
            <w:pPr>
              <w:jc w:val="center"/>
            </w:pPr>
            <w:r w:rsidRPr="002430E2">
              <w:t>4.05</w:t>
            </w:r>
          </w:p>
        </w:tc>
        <w:tc>
          <w:tcPr>
            <w:tcW w:w="0" w:type="auto"/>
            <w:vAlign w:val="center"/>
            <w:hideMark/>
          </w:tcPr>
          <w:p w14:paraId="71F80D49" w14:textId="77777777" w:rsidR="00357FF4" w:rsidRPr="002430E2" w:rsidRDefault="00357FF4" w:rsidP="00655E3E">
            <w:pPr>
              <w:jc w:val="center"/>
            </w:pPr>
            <w:r w:rsidRPr="002430E2">
              <w:t>0.70</w:t>
            </w:r>
          </w:p>
        </w:tc>
        <w:tc>
          <w:tcPr>
            <w:tcW w:w="0" w:type="auto"/>
            <w:vAlign w:val="center"/>
            <w:hideMark/>
          </w:tcPr>
          <w:p w14:paraId="54228D53" w14:textId="77777777" w:rsidR="00357FF4" w:rsidRPr="002430E2" w:rsidRDefault="00357FF4" w:rsidP="00655E3E">
            <w:pPr>
              <w:jc w:val="center"/>
            </w:pPr>
            <w:r w:rsidRPr="002430E2">
              <w:t>High</w:t>
            </w:r>
          </w:p>
        </w:tc>
      </w:tr>
      <w:tr w:rsidR="00357FF4" w:rsidRPr="002430E2" w14:paraId="53BF7EED" w14:textId="77777777" w:rsidTr="00B0092D">
        <w:trPr>
          <w:tblCellSpacing w:w="15" w:type="dxa"/>
        </w:trPr>
        <w:tc>
          <w:tcPr>
            <w:tcW w:w="801" w:type="dxa"/>
            <w:vAlign w:val="center"/>
            <w:hideMark/>
          </w:tcPr>
          <w:p w14:paraId="78219F90" w14:textId="77777777" w:rsidR="00357FF4" w:rsidRPr="002430E2" w:rsidRDefault="00357FF4" w:rsidP="00655E3E">
            <w:pPr>
              <w:jc w:val="center"/>
            </w:pPr>
            <w:r w:rsidRPr="002430E2">
              <w:t>8</w:t>
            </w:r>
          </w:p>
        </w:tc>
        <w:tc>
          <w:tcPr>
            <w:tcW w:w="5625" w:type="dxa"/>
            <w:vAlign w:val="center"/>
            <w:hideMark/>
          </w:tcPr>
          <w:p w14:paraId="3CF3575E" w14:textId="77777777" w:rsidR="00357FF4" w:rsidRPr="002430E2" w:rsidRDefault="00357FF4" w:rsidP="00655E3E">
            <w:pPr>
              <w:jc w:val="center"/>
            </w:pPr>
            <w:r w:rsidRPr="002430E2">
              <w:t>I maintain a classroom atmosphere that reduces stress and anxiety.</w:t>
            </w:r>
          </w:p>
        </w:tc>
        <w:tc>
          <w:tcPr>
            <w:tcW w:w="0" w:type="auto"/>
            <w:vAlign w:val="center"/>
            <w:hideMark/>
          </w:tcPr>
          <w:p w14:paraId="5E6B74F5" w14:textId="77777777" w:rsidR="00357FF4" w:rsidRPr="002430E2" w:rsidRDefault="00357FF4" w:rsidP="00655E3E">
            <w:pPr>
              <w:jc w:val="center"/>
            </w:pPr>
            <w:r w:rsidRPr="002430E2">
              <w:t>4.12</w:t>
            </w:r>
          </w:p>
        </w:tc>
        <w:tc>
          <w:tcPr>
            <w:tcW w:w="0" w:type="auto"/>
            <w:vAlign w:val="center"/>
            <w:hideMark/>
          </w:tcPr>
          <w:p w14:paraId="5B72C39A" w14:textId="77777777" w:rsidR="00357FF4" w:rsidRPr="002430E2" w:rsidRDefault="00357FF4" w:rsidP="00655E3E">
            <w:pPr>
              <w:jc w:val="center"/>
            </w:pPr>
            <w:r w:rsidRPr="002430E2">
              <w:t>0.68</w:t>
            </w:r>
          </w:p>
        </w:tc>
        <w:tc>
          <w:tcPr>
            <w:tcW w:w="0" w:type="auto"/>
            <w:vAlign w:val="center"/>
            <w:hideMark/>
          </w:tcPr>
          <w:p w14:paraId="5CC6DAA9" w14:textId="77777777" w:rsidR="00357FF4" w:rsidRPr="002430E2" w:rsidRDefault="00357FF4" w:rsidP="00655E3E">
            <w:pPr>
              <w:jc w:val="center"/>
            </w:pPr>
            <w:r w:rsidRPr="002430E2">
              <w:t>High</w:t>
            </w:r>
          </w:p>
        </w:tc>
      </w:tr>
      <w:tr w:rsidR="00357FF4" w:rsidRPr="002430E2" w14:paraId="00599672" w14:textId="77777777" w:rsidTr="00B0092D">
        <w:trPr>
          <w:tblCellSpacing w:w="15" w:type="dxa"/>
        </w:trPr>
        <w:tc>
          <w:tcPr>
            <w:tcW w:w="801" w:type="dxa"/>
            <w:vAlign w:val="center"/>
            <w:hideMark/>
          </w:tcPr>
          <w:p w14:paraId="74753BC3" w14:textId="77777777" w:rsidR="00357FF4" w:rsidRPr="002430E2" w:rsidRDefault="00357FF4" w:rsidP="00655E3E">
            <w:pPr>
              <w:jc w:val="center"/>
            </w:pPr>
            <w:r w:rsidRPr="002430E2">
              <w:t>9</w:t>
            </w:r>
          </w:p>
        </w:tc>
        <w:tc>
          <w:tcPr>
            <w:tcW w:w="5625" w:type="dxa"/>
            <w:vAlign w:val="center"/>
            <w:hideMark/>
          </w:tcPr>
          <w:p w14:paraId="508296BC" w14:textId="77777777" w:rsidR="00357FF4" w:rsidRPr="002430E2" w:rsidRDefault="00357FF4" w:rsidP="00655E3E">
            <w:pPr>
              <w:jc w:val="center"/>
            </w:pPr>
            <w:r w:rsidRPr="002430E2">
              <w:t>I involve students in setting classroom norms and routines.</w:t>
            </w:r>
          </w:p>
        </w:tc>
        <w:tc>
          <w:tcPr>
            <w:tcW w:w="0" w:type="auto"/>
            <w:vAlign w:val="center"/>
            <w:hideMark/>
          </w:tcPr>
          <w:p w14:paraId="3CDD7D8B" w14:textId="77777777" w:rsidR="00357FF4" w:rsidRPr="002430E2" w:rsidRDefault="00357FF4" w:rsidP="00655E3E">
            <w:pPr>
              <w:jc w:val="center"/>
            </w:pPr>
            <w:r w:rsidRPr="002430E2">
              <w:t>4.00</w:t>
            </w:r>
          </w:p>
        </w:tc>
        <w:tc>
          <w:tcPr>
            <w:tcW w:w="0" w:type="auto"/>
            <w:vAlign w:val="center"/>
            <w:hideMark/>
          </w:tcPr>
          <w:p w14:paraId="18260FC5" w14:textId="77777777" w:rsidR="00357FF4" w:rsidRPr="002430E2" w:rsidRDefault="00357FF4" w:rsidP="00655E3E">
            <w:pPr>
              <w:jc w:val="center"/>
            </w:pPr>
            <w:r w:rsidRPr="002430E2">
              <w:t>0.73</w:t>
            </w:r>
          </w:p>
        </w:tc>
        <w:tc>
          <w:tcPr>
            <w:tcW w:w="0" w:type="auto"/>
            <w:vAlign w:val="center"/>
            <w:hideMark/>
          </w:tcPr>
          <w:p w14:paraId="0737BCFB" w14:textId="77777777" w:rsidR="00357FF4" w:rsidRPr="002430E2" w:rsidRDefault="00357FF4" w:rsidP="00655E3E">
            <w:pPr>
              <w:jc w:val="center"/>
            </w:pPr>
            <w:r w:rsidRPr="002430E2">
              <w:t>High</w:t>
            </w:r>
          </w:p>
        </w:tc>
      </w:tr>
      <w:tr w:rsidR="00357FF4" w:rsidRPr="002430E2" w14:paraId="628C3201" w14:textId="77777777" w:rsidTr="00B0092D">
        <w:trPr>
          <w:tblCellSpacing w:w="15" w:type="dxa"/>
        </w:trPr>
        <w:tc>
          <w:tcPr>
            <w:tcW w:w="801" w:type="dxa"/>
            <w:vAlign w:val="center"/>
            <w:hideMark/>
          </w:tcPr>
          <w:p w14:paraId="07ED3BCE" w14:textId="77777777" w:rsidR="00357FF4" w:rsidRPr="002430E2" w:rsidRDefault="00357FF4" w:rsidP="00655E3E">
            <w:pPr>
              <w:jc w:val="center"/>
            </w:pPr>
            <w:r w:rsidRPr="002430E2">
              <w:t>10</w:t>
            </w:r>
          </w:p>
        </w:tc>
        <w:tc>
          <w:tcPr>
            <w:tcW w:w="5625" w:type="dxa"/>
            <w:vAlign w:val="center"/>
            <w:hideMark/>
          </w:tcPr>
          <w:p w14:paraId="331BFDA5" w14:textId="77777777" w:rsidR="00357FF4" w:rsidRPr="002430E2" w:rsidRDefault="00357FF4" w:rsidP="00655E3E">
            <w:pPr>
              <w:jc w:val="center"/>
            </w:pPr>
            <w:r w:rsidRPr="002430E2">
              <w:t>I model positive behavior for students to emulate.</w:t>
            </w:r>
          </w:p>
        </w:tc>
        <w:tc>
          <w:tcPr>
            <w:tcW w:w="0" w:type="auto"/>
            <w:vAlign w:val="center"/>
            <w:hideMark/>
          </w:tcPr>
          <w:p w14:paraId="53DE6073" w14:textId="77777777" w:rsidR="00357FF4" w:rsidRPr="002430E2" w:rsidRDefault="00357FF4" w:rsidP="00655E3E">
            <w:pPr>
              <w:jc w:val="center"/>
            </w:pPr>
            <w:r w:rsidRPr="002430E2">
              <w:t>4.30</w:t>
            </w:r>
          </w:p>
        </w:tc>
        <w:tc>
          <w:tcPr>
            <w:tcW w:w="0" w:type="auto"/>
            <w:vAlign w:val="center"/>
            <w:hideMark/>
          </w:tcPr>
          <w:p w14:paraId="1526EB3E" w14:textId="77777777" w:rsidR="00357FF4" w:rsidRPr="002430E2" w:rsidRDefault="00357FF4" w:rsidP="00655E3E">
            <w:pPr>
              <w:jc w:val="center"/>
            </w:pPr>
            <w:r w:rsidRPr="002430E2">
              <w:t>0.64</w:t>
            </w:r>
          </w:p>
        </w:tc>
        <w:tc>
          <w:tcPr>
            <w:tcW w:w="0" w:type="auto"/>
            <w:vAlign w:val="center"/>
            <w:hideMark/>
          </w:tcPr>
          <w:p w14:paraId="111B6206" w14:textId="77777777" w:rsidR="00357FF4" w:rsidRPr="002430E2" w:rsidRDefault="00357FF4" w:rsidP="00655E3E">
            <w:pPr>
              <w:jc w:val="center"/>
            </w:pPr>
            <w:r w:rsidRPr="002430E2">
              <w:t>Very High</w:t>
            </w:r>
          </w:p>
        </w:tc>
      </w:tr>
      <w:tr w:rsidR="00357FF4" w:rsidRPr="002430E2" w14:paraId="57FEF033" w14:textId="77777777" w:rsidTr="00B0092D">
        <w:trPr>
          <w:tblCellSpacing w:w="15" w:type="dxa"/>
        </w:trPr>
        <w:tc>
          <w:tcPr>
            <w:tcW w:w="801" w:type="dxa"/>
            <w:tcBorders>
              <w:left w:val="nil"/>
            </w:tcBorders>
            <w:vAlign w:val="center"/>
            <w:hideMark/>
          </w:tcPr>
          <w:p w14:paraId="3767488D" w14:textId="77777777" w:rsidR="00357FF4" w:rsidRPr="002430E2" w:rsidRDefault="00357FF4" w:rsidP="00655E3E">
            <w:pPr>
              <w:jc w:val="center"/>
            </w:pPr>
            <w:r w:rsidRPr="002430E2">
              <w:rPr>
                <w:b/>
                <w:bCs/>
              </w:rPr>
              <w:t>Overall NCC</w:t>
            </w:r>
          </w:p>
        </w:tc>
        <w:tc>
          <w:tcPr>
            <w:tcW w:w="5625" w:type="dxa"/>
            <w:vAlign w:val="center"/>
            <w:hideMark/>
          </w:tcPr>
          <w:p w14:paraId="10570A30" w14:textId="77777777" w:rsidR="00357FF4" w:rsidRPr="002430E2" w:rsidRDefault="00357FF4" w:rsidP="00655E3E">
            <w:pPr>
              <w:jc w:val="center"/>
              <w:rPr>
                <w:b/>
                <w:bCs/>
              </w:rPr>
            </w:pPr>
            <w:r w:rsidRPr="002430E2">
              <w:rPr>
                <w:b/>
                <w:bCs/>
              </w:rPr>
              <w:t>Average of 10 items</w:t>
            </w:r>
          </w:p>
        </w:tc>
        <w:tc>
          <w:tcPr>
            <w:tcW w:w="0" w:type="auto"/>
            <w:vAlign w:val="center"/>
            <w:hideMark/>
          </w:tcPr>
          <w:p w14:paraId="762E996B" w14:textId="77777777" w:rsidR="00357FF4" w:rsidRPr="002430E2" w:rsidRDefault="00357FF4" w:rsidP="00655E3E">
            <w:pPr>
              <w:jc w:val="center"/>
              <w:rPr>
                <w:b/>
                <w:bCs/>
              </w:rPr>
            </w:pPr>
            <w:r w:rsidRPr="002430E2">
              <w:rPr>
                <w:b/>
                <w:bCs/>
              </w:rPr>
              <w:t>4.18</w:t>
            </w:r>
          </w:p>
        </w:tc>
        <w:tc>
          <w:tcPr>
            <w:tcW w:w="0" w:type="auto"/>
            <w:vAlign w:val="center"/>
            <w:hideMark/>
          </w:tcPr>
          <w:p w14:paraId="74C090BC" w14:textId="77777777" w:rsidR="00357FF4" w:rsidRPr="002430E2" w:rsidRDefault="00357FF4" w:rsidP="00655E3E">
            <w:pPr>
              <w:jc w:val="center"/>
              <w:rPr>
                <w:b/>
                <w:bCs/>
              </w:rPr>
            </w:pPr>
            <w:r w:rsidRPr="002430E2">
              <w:rPr>
                <w:b/>
                <w:bCs/>
              </w:rPr>
              <w:t>0.67</w:t>
            </w:r>
          </w:p>
        </w:tc>
        <w:tc>
          <w:tcPr>
            <w:tcW w:w="0" w:type="auto"/>
            <w:vAlign w:val="center"/>
            <w:hideMark/>
          </w:tcPr>
          <w:p w14:paraId="1A7D67AC" w14:textId="77777777" w:rsidR="00357FF4" w:rsidRPr="002430E2" w:rsidRDefault="00357FF4" w:rsidP="00655E3E">
            <w:pPr>
              <w:jc w:val="center"/>
              <w:rPr>
                <w:b/>
                <w:bCs/>
              </w:rPr>
            </w:pPr>
            <w:r w:rsidRPr="002430E2">
              <w:rPr>
                <w:b/>
                <w:bCs/>
              </w:rPr>
              <w:t>High</w:t>
            </w:r>
          </w:p>
        </w:tc>
      </w:tr>
    </w:tbl>
    <w:p w14:paraId="6A51AFA3" w14:textId="77777777" w:rsidR="00357FF4" w:rsidRPr="00531610" w:rsidRDefault="00357FF4" w:rsidP="00655E3E">
      <w:pPr>
        <w:spacing w:before="100" w:beforeAutospacing="1" w:after="100" w:afterAutospacing="1"/>
        <w:jc w:val="both"/>
        <w:rPr>
          <w:sz w:val="15"/>
          <w:szCs w:val="15"/>
        </w:rPr>
      </w:pPr>
      <w:r w:rsidRPr="00531610">
        <w:rPr>
          <w:b/>
          <w:bCs/>
          <w:sz w:val="15"/>
          <w:szCs w:val="15"/>
        </w:rPr>
        <w:t>Interpretation Scale (5-point Likert):</w:t>
      </w:r>
    </w:p>
    <w:p w14:paraId="5ACBFB9F" w14:textId="77777777" w:rsidR="00357FF4" w:rsidRPr="00531610" w:rsidRDefault="00357FF4" w:rsidP="00655E3E">
      <w:pPr>
        <w:pStyle w:val="NoSpacing"/>
        <w:rPr>
          <w:sz w:val="18"/>
          <w:szCs w:val="18"/>
        </w:rPr>
      </w:pPr>
      <w:r w:rsidRPr="00531610">
        <w:rPr>
          <w:sz w:val="18"/>
          <w:szCs w:val="18"/>
        </w:rPr>
        <w:t>1.00–1.79: Very Low</w:t>
      </w:r>
    </w:p>
    <w:p w14:paraId="5E80E2D1" w14:textId="77777777" w:rsidR="00357FF4" w:rsidRPr="00531610" w:rsidRDefault="00357FF4" w:rsidP="00655E3E">
      <w:pPr>
        <w:pStyle w:val="NoSpacing"/>
        <w:rPr>
          <w:sz w:val="18"/>
          <w:szCs w:val="18"/>
        </w:rPr>
      </w:pPr>
      <w:r w:rsidRPr="00531610">
        <w:rPr>
          <w:sz w:val="18"/>
          <w:szCs w:val="18"/>
        </w:rPr>
        <w:t>1.80–2.59: Low</w:t>
      </w:r>
    </w:p>
    <w:p w14:paraId="118A66E3" w14:textId="77777777" w:rsidR="00357FF4" w:rsidRPr="00531610" w:rsidRDefault="00357FF4" w:rsidP="00655E3E">
      <w:pPr>
        <w:pStyle w:val="NoSpacing"/>
        <w:rPr>
          <w:sz w:val="18"/>
          <w:szCs w:val="18"/>
        </w:rPr>
      </w:pPr>
      <w:r w:rsidRPr="00531610">
        <w:rPr>
          <w:sz w:val="18"/>
          <w:szCs w:val="18"/>
        </w:rPr>
        <w:t>2.60–3.39: Moderate</w:t>
      </w:r>
    </w:p>
    <w:p w14:paraId="0599C8B8" w14:textId="77777777" w:rsidR="00357FF4" w:rsidRPr="00531610" w:rsidRDefault="00357FF4" w:rsidP="00655E3E">
      <w:pPr>
        <w:pStyle w:val="NoSpacing"/>
        <w:rPr>
          <w:sz w:val="18"/>
          <w:szCs w:val="18"/>
        </w:rPr>
      </w:pPr>
      <w:r w:rsidRPr="00531610">
        <w:rPr>
          <w:sz w:val="18"/>
          <w:szCs w:val="18"/>
        </w:rPr>
        <w:t>3.40–4.19: High</w:t>
      </w:r>
    </w:p>
    <w:p w14:paraId="77B5DB6F" w14:textId="77777777" w:rsidR="00357FF4" w:rsidRPr="00531610" w:rsidRDefault="00357FF4" w:rsidP="00655E3E">
      <w:pPr>
        <w:pStyle w:val="NoSpacing"/>
        <w:rPr>
          <w:sz w:val="18"/>
          <w:szCs w:val="18"/>
        </w:rPr>
      </w:pPr>
      <w:r w:rsidRPr="00531610">
        <w:rPr>
          <w:sz w:val="18"/>
          <w:szCs w:val="18"/>
        </w:rPr>
        <w:t>4.20–5.00: Very High</w:t>
      </w:r>
    </w:p>
    <w:p w14:paraId="16B0320E" w14:textId="77777777" w:rsidR="00357FF4" w:rsidRDefault="00357FF4" w:rsidP="00655E3E">
      <w:pPr>
        <w:pStyle w:val="NormalWeb"/>
        <w:ind w:firstLine="720"/>
        <w:jc w:val="both"/>
      </w:pPr>
      <w:r>
        <w:t xml:space="preserve">The data presented in Table 2 indicates that the 100 respondents perceive their implementation of a Nurturing Classroom Culture (NCC) to be at a "High" level overall, as </w:t>
      </w:r>
      <w:r>
        <w:lastRenderedPageBreak/>
        <w:t>evidenced by a composite average mean of 4.18 and an overall standard deviation of 0.67. This demonstrates a strong, collective consensus among the educators that they are actively cultivating supportive, structured, and emotionally safe environments for their students. The foundational pillar of this culture is the creation of a safe and respectful environment (Item 1), which garnered the highest individual mean score of 4.35 (SD = 0.62) and achieved a descriptive interpretation of "Very High". Teachers also place a "Very High" emphasis on leading by example and relationship-building, as seen in the elevated scores for modeling positive behavior (Item 10) at 4.30 (SD = 0.64) and fostering positive teacher-student relationships (Item 4) at 4.25 (SD = 0.65). Additionally, celebrating student achievements (Item 6) and establishing clear classroom expectations (Item 2) are highly integrated practices, yielding "Very High" mean scores of 4.22 and 4.20, respectively.</w:t>
      </w:r>
    </w:p>
    <w:p w14:paraId="007CF8D0" w14:textId="77777777" w:rsidR="00357FF4" w:rsidRDefault="00357FF4" w:rsidP="00655E3E">
      <w:pPr>
        <w:pStyle w:val="NormalWeb"/>
        <w:jc w:val="both"/>
      </w:pPr>
      <w:r>
        <w:t>While the overall results are remarkably positive, the data reveals specific areas of relative moderation that point toward opportunities for growth. Although still interpreted as "High," involving students in setting classroom norms and routines (Item 9) received the lowest mean score in the dataset at 4.00 (SD = 0.73). This suggests that while teachers are highly proficient at independently establishing rules (Item 2), they are slightly less inclined to practice democratic or co-created classroom governance. Similarly, encouraging students to take individual responsibility for their learning (Item 7) scored a lower relative mean of 4.05 (SD = 0.70), indicating a potential need to focus more heavily on fostering student autonomy and self-regulated learning. The remaining items promoting inclusivity and diversity (Item 5) at 4.18, maintaining a stress-reducing atmosphere (Item 8) at 4.12, and encouraging teamwork (Item 3) at 4.10—all safely fall within the "High" parameters. Across the entire table, the tight range of standard deviations (0.62 to 0.73) reflects uniform agreement among the respondents, confirming that while student-led collaboration and shared governance could be enhanced, the educators maintain an exceptionally strong and protective relational environment.</w:t>
      </w:r>
    </w:p>
    <w:p w14:paraId="5562001B" w14:textId="77777777" w:rsidR="00357FF4" w:rsidRPr="00531610" w:rsidRDefault="00357FF4" w:rsidP="00655E3E">
      <w:pPr>
        <w:spacing w:before="100" w:beforeAutospacing="1" w:after="100" w:afterAutospacing="1"/>
        <w:ind w:left="720"/>
        <w:jc w:val="both"/>
        <w:rPr>
          <w:sz w:val="15"/>
          <w:szCs w:val="15"/>
        </w:rPr>
      </w:pPr>
    </w:p>
    <w:p w14:paraId="2BAADCA9" w14:textId="77777777" w:rsidR="00357FF4" w:rsidRPr="002430E2" w:rsidRDefault="00357FF4" w:rsidP="00655E3E">
      <w:pPr>
        <w:spacing w:before="100" w:beforeAutospacing="1" w:after="100" w:afterAutospacing="1"/>
        <w:jc w:val="both"/>
        <w:outlineLvl w:val="2"/>
        <w:rPr>
          <w:b/>
          <w:bCs/>
        </w:rPr>
      </w:pPr>
    </w:p>
    <w:p w14:paraId="54DFFDF5" w14:textId="77777777" w:rsidR="00357FF4" w:rsidRPr="002430E2" w:rsidRDefault="00357FF4" w:rsidP="00655E3E">
      <w:pPr>
        <w:spacing w:before="100" w:beforeAutospacing="1" w:after="100" w:afterAutospacing="1"/>
        <w:jc w:val="both"/>
        <w:outlineLvl w:val="2"/>
        <w:rPr>
          <w:b/>
          <w:bCs/>
        </w:rPr>
      </w:pPr>
    </w:p>
    <w:p w14:paraId="301E938B" w14:textId="77777777" w:rsidR="00357FF4" w:rsidRPr="002430E2" w:rsidRDefault="00357FF4" w:rsidP="00655E3E">
      <w:pPr>
        <w:spacing w:before="100" w:beforeAutospacing="1" w:after="100" w:afterAutospacing="1"/>
        <w:jc w:val="both"/>
        <w:outlineLvl w:val="2"/>
        <w:rPr>
          <w:b/>
          <w:bCs/>
        </w:rPr>
      </w:pPr>
    </w:p>
    <w:p w14:paraId="200F18C9" w14:textId="77777777" w:rsidR="00357FF4" w:rsidRPr="002430E2" w:rsidRDefault="00357FF4" w:rsidP="00655E3E">
      <w:pPr>
        <w:spacing w:before="100" w:beforeAutospacing="1" w:after="100" w:afterAutospacing="1"/>
        <w:jc w:val="both"/>
        <w:outlineLvl w:val="2"/>
        <w:rPr>
          <w:b/>
          <w:bCs/>
        </w:rPr>
      </w:pPr>
    </w:p>
    <w:p w14:paraId="7E368FF6" w14:textId="77777777" w:rsidR="00357FF4" w:rsidRDefault="00357FF4" w:rsidP="00655E3E">
      <w:pPr>
        <w:spacing w:before="100" w:beforeAutospacing="1" w:after="100" w:afterAutospacing="1"/>
        <w:jc w:val="both"/>
        <w:outlineLvl w:val="2"/>
        <w:rPr>
          <w:b/>
          <w:bCs/>
        </w:rPr>
      </w:pPr>
    </w:p>
    <w:p w14:paraId="0E3DD25F" w14:textId="77777777" w:rsidR="00357FF4" w:rsidRDefault="00357FF4" w:rsidP="00655E3E">
      <w:pPr>
        <w:spacing w:before="100" w:beforeAutospacing="1" w:after="100" w:afterAutospacing="1"/>
        <w:jc w:val="both"/>
        <w:outlineLvl w:val="2"/>
        <w:rPr>
          <w:b/>
          <w:bCs/>
        </w:rPr>
      </w:pPr>
    </w:p>
    <w:p w14:paraId="74BC3FAE" w14:textId="77777777" w:rsidR="00357FF4" w:rsidRDefault="00357FF4" w:rsidP="00655E3E">
      <w:pPr>
        <w:spacing w:before="100" w:beforeAutospacing="1" w:after="100" w:afterAutospacing="1"/>
        <w:jc w:val="both"/>
        <w:outlineLvl w:val="2"/>
        <w:rPr>
          <w:b/>
          <w:bCs/>
        </w:rPr>
      </w:pPr>
    </w:p>
    <w:p w14:paraId="74E3E6C0" w14:textId="77777777" w:rsidR="00357FF4" w:rsidRDefault="00357FF4" w:rsidP="00655E3E">
      <w:pPr>
        <w:spacing w:before="100" w:beforeAutospacing="1" w:after="100" w:afterAutospacing="1"/>
        <w:jc w:val="both"/>
        <w:outlineLvl w:val="2"/>
        <w:rPr>
          <w:b/>
          <w:bCs/>
        </w:rPr>
      </w:pPr>
    </w:p>
    <w:p w14:paraId="66184D35" w14:textId="77777777" w:rsidR="00357FF4" w:rsidRDefault="00357FF4" w:rsidP="00655E3E">
      <w:pPr>
        <w:spacing w:before="100" w:beforeAutospacing="1" w:after="100" w:afterAutospacing="1"/>
        <w:jc w:val="both"/>
        <w:outlineLvl w:val="2"/>
        <w:rPr>
          <w:b/>
          <w:bCs/>
        </w:rPr>
      </w:pPr>
    </w:p>
    <w:p w14:paraId="4D56D507" w14:textId="77777777" w:rsidR="00357FF4" w:rsidRDefault="00357FF4" w:rsidP="00655E3E">
      <w:pPr>
        <w:spacing w:before="100" w:beforeAutospacing="1" w:after="100" w:afterAutospacing="1"/>
        <w:jc w:val="both"/>
        <w:outlineLvl w:val="2"/>
        <w:rPr>
          <w:b/>
          <w:bCs/>
        </w:rPr>
      </w:pPr>
    </w:p>
    <w:p w14:paraId="1737412A" w14:textId="77777777" w:rsidR="00357FF4" w:rsidRDefault="00357FF4" w:rsidP="00655E3E">
      <w:pPr>
        <w:spacing w:before="100" w:beforeAutospacing="1" w:after="100" w:afterAutospacing="1"/>
        <w:jc w:val="both"/>
        <w:outlineLvl w:val="2"/>
        <w:rPr>
          <w:b/>
          <w:bCs/>
        </w:rPr>
      </w:pPr>
    </w:p>
    <w:p w14:paraId="3DCBB702" w14:textId="77777777" w:rsidR="00357FF4" w:rsidRDefault="00357FF4" w:rsidP="00655E3E">
      <w:pPr>
        <w:spacing w:before="100" w:beforeAutospacing="1" w:after="100" w:afterAutospacing="1"/>
        <w:jc w:val="both"/>
        <w:outlineLvl w:val="2"/>
        <w:rPr>
          <w:b/>
          <w:bCs/>
        </w:rPr>
      </w:pPr>
    </w:p>
    <w:p w14:paraId="4B389DE5" w14:textId="77777777" w:rsidR="00357FF4" w:rsidRPr="002430E2" w:rsidRDefault="00357FF4" w:rsidP="00655E3E">
      <w:pPr>
        <w:spacing w:before="100" w:beforeAutospacing="1" w:after="100" w:afterAutospacing="1"/>
        <w:jc w:val="both"/>
        <w:outlineLvl w:val="2"/>
        <w:rPr>
          <w:b/>
          <w:bCs/>
        </w:rPr>
      </w:pPr>
    </w:p>
    <w:p w14:paraId="560E2FAF" w14:textId="77777777" w:rsidR="00357FF4" w:rsidRPr="002430E2" w:rsidRDefault="00357FF4" w:rsidP="00655E3E">
      <w:pPr>
        <w:spacing w:before="100" w:beforeAutospacing="1" w:after="100" w:afterAutospacing="1"/>
        <w:jc w:val="center"/>
        <w:outlineLvl w:val="2"/>
        <w:rPr>
          <w:b/>
          <w:bCs/>
        </w:rPr>
      </w:pPr>
      <w:r w:rsidRPr="002430E2">
        <w:rPr>
          <w:b/>
          <w:bCs/>
        </w:rPr>
        <w:t>Table 3. Summary of Adaptive Instructional Strategies (AIS) (n = 100)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93"/>
        <w:gridCol w:w="5308"/>
        <w:gridCol w:w="667"/>
        <w:gridCol w:w="500"/>
        <w:gridCol w:w="1682"/>
      </w:tblGrid>
      <w:tr w:rsidR="00357FF4" w:rsidRPr="002430E2" w14:paraId="263D6446" w14:textId="77777777" w:rsidTr="00B0092D">
        <w:trPr>
          <w:tblHeader/>
          <w:tblCellSpacing w:w="15" w:type="dxa"/>
        </w:trPr>
        <w:tc>
          <w:tcPr>
            <w:tcW w:w="0" w:type="auto"/>
            <w:vAlign w:val="center"/>
            <w:hideMark/>
          </w:tcPr>
          <w:p w14:paraId="79483013" w14:textId="77777777" w:rsidR="00357FF4" w:rsidRPr="002430E2" w:rsidRDefault="00357FF4" w:rsidP="00655E3E">
            <w:pPr>
              <w:jc w:val="center"/>
              <w:rPr>
                <w:b/>
                <w:bCs/>
              </w:rPr>
            </w:pPr>
            <w:r w:rsidRPr="002430E2">
              <w:rPr>
                <w:b/>
                <w:bCs/>
              </w:rPr>
              <w:t>Item No.</w:t>
            </w:r>
          </w:p>
        </w:tc>
        <w:tc>
          <w:tcPr>
            <w:tcW w:w="0" w:type="auto"/>
            <w:vAlign w:val="center"/>
            <w:hideMark/>
          </w:tcPr>
          <w:p w14:paraId="6169517F" w14:textId="77777777" w:rsidR="00357FF4" w:rsidRPr="002430E2" w:rsidRDefault="00357FF4" w:rsidP="00655E3E">
            <w:pPr>
              <w:jc w:val="center"/>
              <w:rPr>
                <w:b/>
                <w:bCs/>
              </w:rPr>
            </w:pPr>
            <w:r w:rsidRPr="002430E2">
              <w:rPr>
                <w:b/>
                <w:bCs/>
              </w:rPr>
              <w:t>Statement</w:t>
            </w:r>
          </w:p>
        </w:tc>
        <w:tc>
          <w:tcPr>
            <w:tcW w:w="0" w:type="auto"/>
            <w:vAlign w:val="center"/>
            <w:hideMark/>
          </w:tcPr>
          <w:p w14:paraId="20685413" w14:textId="77777777" w:rsidR="00357FF4" w:rsidRPr="002430E2" w:rsidRDefault="00357FF4" w:rsidP="00655E3E">
            <w:pPr>
              <w:jc w:val="center"/>
              <w:rPr>
                <w:b/>
                <w:bCs/>
              </w:rPr>
            </w:pPr>
            <w:r w:rsidRPr="002430E2">
              <w:rPr>
                <w:b/>
                <w:bCs/>
              </w:rPr>
              <w:t>Mean</w:t>
            </w:r>
          </w:p>
        </w:tc>
        <w:tc>
          <w:tcPr>
            <w:tcW w:w="0" w:type="auto"/>
            <w:vAlign w:val="center"/>
            <w:hideMark/>
          </w:tcPr>
          <w:p w14:paraId="5D6E15B2" w14:textId="77777777" w:rsidR="00357FF4" w:rsidRPr="002430E2" w:rsidRDefault="00357FF4" w:rsidP="00655E3E">
            <w:pPr>
              <w:jc w:val="center"/>
              <w:rPr>
                <w:b/>
                <w:bCs/>
              </w:rPr>
            </w:pPr>
            <w:r w:rsidRPr="002430E2">
              <w:rPr>
                <w:b/>
                <w:bCs/>
              </w:rPr>
              <w:t>SD</w:t>
            </w:r>
          </w:p>
        </w:tc>
        <w:tc>
          <w:tcPr>
            <w:tcW w:w="0" w:type="auto"/>
            <w:vAlign w:val="center"/>
            <w:hideMark/>
          </w:tcPr>
          <w:p w14:paraId="634341BA" w14:textId="77777777" w:rsidR="00357FF4" w:rsidRPr="002430E2" w:rsidRDefault="00357FF4" w:rsidP="00655E3E">
            <w:pPr>
              <w:jc w:val="center"/>
              <w:rPr>
                <w:b/>
                <w:bCs/>
              </w:rPr>
            </w:pPr>
            <w:r w:rsidRPr="002430E2">
              <w:rPr>
                <w:b/>
                <w:bCs/>
              </w:rPr>
              <w:t>Interpretation*</w:t>
            </w:r>
          </w:p>
        </w:tc>
      </w:tr>
      <w:tr w:rsidR="00357FF4" w:rsidRPr="002430E2" w14:paraId="4091A513" w14:textId="77777777" w:rsidTr="00B0092D">
        <w:trPr>
          <w:tblCellSpacing w:w="15" w:type="dxa"/>
        </w:trPr>
        <w:tc>
          <w:tcPr>
            <w:tcW w:w="0" w:type="auto"/>
            <w:vAlign w:val="center"/>
            <w:hideMark/>
          </w:tcPr>
          <w:p w14:paraId="1C3C93E5" w14:textId="77777777" w:rsidR="00357FF4" w:rsidRPr="002430E2" w:rsidRDefault="00357FF4" w:rsidP="00655E3E">
            <w:pPr>
              <w:jc w:val="center"/>
            </w:pPr>
            <w:r w:rsidRPr="002430E2">
              <w:t>1</w:t>
            </w:r>
          </w:p>
        </w:tc>
        <w:tc>
          <w:tcPr>
            <w:tcW w:w="0" w:type="auto"/>
            <w:vAlign w:val="center"/>
            <w:hideMark/>
          </w:tcPr>
          <w:p w14:paraId="5B027016" w14:textId="77777777" w:rsidR="00357FF4" w:rsidRPr="002430E2" w:rsidRDefault="00357FF4" w:rsidP="00655E3E">
            <w:pPr>
              <w:jc w:val="center"/>
            </w:pPr>
            <w:r w:rsidRPr="002430E2">
              <w:t>I adjust my teaching methods to accommodate different learning styles.</w:t>
            </w:r>
          </w:p>
        </w:tc>
        <w:tc>
          <w:tcPr>
            <w:tcW w:w="0" w:type="auto"/>
            <w:vAlign w:val="center"/>
            <w:hideMark/>
          </w:tcPr>
          <w:p w14:paraId="0792E92B" w14:textId="77777777" w:rsidR="00357FF4" w:rsidRPr="002430E2" w:rsidRDefault="00357FF4" w:rsidP="00655E3E">
            <w:pPr>
              <w:jc w:val="center"/>
            </w:pPr>
            <w:r w:rsidRPr="002430E2">
              <w:t>4.10</w:t>
            </w:r>
          </w:p>
        </w:tc>
        <w:tc>
          <w:tcPr>
            <w:tcW w:w="0" w:type="auto"/>
            <w:vAlign w:val="center"/>
            <w:hideMark/>
          </w:tcPr>
          <w:p w14:paraId="2A07BCB0" w14:textId="77777777" w:rsidR="00357FF4" w:rsidRPr="002430E2" w:rsidRDefault="00357FF4" w:rsidP="00655E3E">
            <w:pPr>
              <w:jc w:val="center"/>
            </w:pPr>
            <w:r w:rsidRPr="002430E2">
              <w:t>0.68</w:t>
            </w:r>
          </w:p>
        </w:tc>
        <w:tc>
          <w:tcPr>
            <w:tcW w:w="0" w:type="auto"/>
            <w:vAlign w:val="center"/>
            <w:hideMark/>
          </w:tcPr>
          <w:p w14:paraId="05DE69E8" w14:textId="77777777" w:rsidR="00357FF4" w:rsidRPr="002430E2" w:rsidRDefault="00357FF4" w:rsidP="00655E3E">
            <w:pPr>
              <w:jc w:val="center"/>
            </w:pPr>
            <w:r w:rsidRPr="002430E2">
              <w:t>High</w:t>
            </w:r>
          </w:p>
        </w:tc>
      </w:tr>
      <w:tr w:rsidR="00357FF4" w:rsidRPr="002430E2" w14:paraId="30324869" w14:textId="77777777" w:rsidTr="00B0092D">
        <w:trPr>
          <w:tblCellSpacing w:w="15" w:type="dxa"/>
        </w:trPr>
        <w:tc>
          <w:tcPr>
            <w:tcW w:w="0" w:type="auto"/>
            <w:vAlign w:val="center"/>
            <w:hideMark/>
          </w:tcPr>
          <w:p w14:paraId="2E76A1CB" w14:textId="77777777" w:rsidR="00357FF4" w:rsidRPr="002430E2" w:rsidRDefault="00357FF4" w:rsidP="00655E3E">
            <w:pPr>
              <w:jc w:val="center"/>
            </w:pPr>
            <w:r w:rsidRPr="002430E2">
              <w:t>2</w:t>
            </w:r>
          </w:p>
        </w:tc>
        <w:tc>
          <w:tcPr>
            <w:tcW w:w="0" w:type="auto"/>
            <w:vAlign w:val="center"/>
            <w:hideMark/>
          </w:tcPr>
          <w:p w14:paraId="1829C50F" w14:textId="77777777" w:rsidR="00357FF4" w:rsidRPr="002430E2" w:rsidRDefault="00357FF4" w:rsidP="00655E3E">
            <w:pPr>
              <w:jc w:val="center"/>
            </w:pPr>
            <w:r w:rsidRPr="002430E2">
              <w:t>I provide alternative learning materials for students who need them.</w:t>
            </w:r>
          </w:p>
        </w:tc>
        <w:tc>
          <w:tcPr>
            <w:tcW w:w="0" w:type="auto"/>
            <w:vAlign w:val="center"/>
            <w:hideMark/>
          </w:tcPr>
          <w:p w14:paraId="1579A1E6" w14:textId="77777777" w:rsidR="00357FF4" w:rsidRPr="002430E2" w:rsidRDefault="00357FF4" w:rsidP="00655E3E">
            <w:pPr>
              <w:jc w:val="center"/>
            </w:pPr>
            <w:r w:rsidRPr="002430E2">
              <w:t>4.05</w:t>
            </w:r>
          </w:p>
        </w:tc>
        <w:tc>
          <w:tcPr>
            <w:tcW w:w="0" w:type="auto"/>
            <w:vAlign w:val="center"/>
            <w:hideMark/>
          </w:tcPr>
          <w:p w14:paraId="7644B909" w14:textId="77777777" w:rsidR="00357FF4" w:rsidRPr="002430E2" w:rsidRDefault="00357FF4" w:rsidP="00655E3E">
            <w:pPr>
              <w:jc w:val="center"/>
            </w:pPr>
            <w:r w:rsidRPr="002430E2">
              <w:t>0.70</w:t>
            </w:r>
          </w:p>
        </w:tc>
        <w:tc>
          <w:tcPr>
            <w:tcW w:w="0" w:type="auto"/>
            <w:vAlign w:val="center"/>
            <w:hideMark/>
          </w:tcPr>
          <w:p w14:paraId="457B8F39" w14:textId="77777777" w:rsidR="00357FF4" w:rsidRPr="002430E2" w:rsidRDefault="00357FF4" w:rsidP="00655E3E">
            <w:pPr>
              <w:jc w:val="center"/>
            </w:pPr>
            <w:r w:rsidRPr="002430E2">
              <w:t>High</w:t>
            </w:r>
          </w:p>
        </w:tc>
      </w:tr>
      <w:tr w:rsidR="00357FF4" w:rsidRPr="002430E2" w14:paraId="353BB5B8" w14:textId="77777777" w:rsidTr="00B0092D">
        <w:trPr>
          <w:tblCellSpacing w:w="15" w:type="dxa"/>
        </w:trPr>
        <w:tc>
          <w:tcPr>
            <w:tcW w:w="0" w:type="auto"/>
            <w:vAlign w:val="center"/>
            <w:hideMark/>
          </w:tcPr>
          <w:p w14:paraId="1410C1A8" w14:textId="77777777" w:rsidR="00357FF4" w:rsidRPr="002430E2" w:rsidRDefault="00357FF4" w:rsidP="00655E3E">
            <w:pPr>
              <w:jc w:val="center"/>
            </w:pPr>
            <w:r w:rsidRPr="002430E2">
              <w:t>3</w:t>
            </w:r>
          </w:p>
        </w:tc>
        <w:tc>
          <w:tcPr>
            <w:tcW w:w="0" w:type="auto"/>
            <w:vAlign w:val="center"/>
            <w:hideMark/>
          </w:tcPr>
          <w:p w14:paraId="61E217E1" w14:textId="77777777" w:rsidR="00357FF4" w:rsidRPr="002430E2" w:rsidRDefault="00357FF4" w:rsidP="00655E3E">
            <w:pPr>
              <w:jc w:val="center"/>
            </w:pPr>
            <w:r w:rsidRPr="002430E2">
              <w:t>I incorporate technology to enhance learning.</w:t>
            </w:r>
          </w:p>
        </w:tc>
        <w:tc>
          <w:tcPr>
            <w:tcW w:w="0" w:type="auto"/>
            <w:vAlign w:val="center"/>
            <w:hideMark/>
          </w:tcPr>
          <w:p w14:paraId="39BB0860" w14:textId="77777777" w:rsidR="00357FF4" w:rsidRPr="002430E2" w:rsidRDefault="00357FF4" w:rsidP="00655E3E">
            <w:pPr>
              <w:jc w:val="center"/>
            </w:pPr>
            <w:r w:rsidRPr="002430E2">
              <w:t>4.20</w:t>
            </w:r>
          </w:p>
        </w:tc>
        <w:tc>
          <w:tcPr>
            <w:tcW w:w="0" w:type="auto"/>
            <w:vAlign w:val="center"/>
            <w:hideMark/>
          </w:tcPr>
          <w:p w14:paraId="573D2B75" w14:textId="77777777" w:rsidR="00357FF4" w:rsidRPr="002430E2" w:rsidRDefault="00357FF4" w:rsidP="00655E3E">
            <w:pPr>
              <w:jc w:val="center"/>
            </w:pPr>
            <w:r w:rsidRPr="002430E2">
              <w:t>0.65</w:t>
            </w:r>
          </w:p>
        </w:tc>
        <w:tc>
          <w:tcPr>
            <w:tcW w:w="0" w:type="auto"/>
            <w:vAlign w:val="center"/>
            <w:hideMark/>
          </w:tcPr>
          <w:p w14:paraId="60B90683" w14:textId="77777777" w:rsidR="00357FF4" w:rsidRPr="002430E2" w:rsidRDefault="00357FF4" w:rsidP="00655E3E">
            <w:pPr>
              <w:jc w:val="center"/>
            </w:pPr>
            <w:r w:rsidRPr="002430E2">
              <w:t>Very High</w:t>
            </w:r>
          </w:p>
        </w:tc>
      </w:tr>
      <w:tr w:rsidR="00357FF4" w:rsidRPr="002430E2" w14:paraId="5FC10D51" w14:textId="77777777" w:rsidTr="00B0092D">
        <w:trPr>
          <w:tblCellSpacing w:w="15" w:type="dxa"/>
        </w:trPr>
        <w:tc>
          <w:tcPr>
            <w:tcW w:w="0" w:type="auto"/>
            <w:vAlign w:val="center"/>
            <w:hideMark/>
          </w:tcPr>
          <w:p w14:paraId="4EB71D6C" w14:textId="77777777" w:rsidR="00357FF4" w:rsidRPr="002430E2" w:rsidRDefault="00357FF4" w:rsidP="00655E3E">
            <w:pPr>
              <w:jc w:val="center"/>
            </w:pPr>
            <w:r w:rsidRPr="002430E2">
              <w:t>4</w:t>
            </w:r>
          </w:p>
        </w:tc>
        <w:tc>
          <w:tcPr>
            <w:tcW w:w="0" w:type="auto"/>
            <w:vAlign w:val="center"/>
            <w:hideMark/>
          </w:tcPr>
          <w:p w14:paraId="61F0A04F" w14:textId="77777777" w:rsidR="00357FF4" w:rsidRPr="002430E2" w:rsidRDefault="00357FF4" w:rsidP="00655E3E">
            <w:pPr>
              <w:jc w:val="center"/>
            </w:pPr>
            <w:r w:rsidRPr="002430E2">
              <w:t>I use flexible pacing to suit students’ learning needs.</w:t>
            </w:r>
          </w:p>
        </w:tc>
        <w:tc>
          <w:tcPr>
            <w:tcW w:w="0" w:type="auto"/>
            <w:vAlign w:val="center"/>
            <w:hideMark/>
          </w:tcPr>
          <w:p w14:paraId="6742DC00" w14:textId="77777777" w:rsidR="00357FF4" w:rsidRPr="002430E2" w:rsidRDefault="00357FF4" w:rsidP="00655E3E">
            <w:pPr>
              <w:jc w:val="center"/>
            </w:pPr>
            <w:r w:rsidRPr="002430E2">
              <w:t>4.12</w:t>
            </w:r>
          </w:p>
        </w:tc>
        <w:tc>
          <w:tcPr>
            <w:tcW w:w="0" w:type="auto"/>
            <w:vAlign w:val="center"/>
            <w:hideMark/>
          </w:tcPr>
          <w:p w14:paraId="0AFEDC05" w14:textId="77777777" w:rsidR="00357FF4" w:rsidRPr="002430E2" w:rsidRDefault="00357FF4" w:rsidP="00655E3E">
            <w:pPr>
              <w:jc w:val="center"/>
            </w:pPr>
            <w:r w:rsidRPr="002430E2">
              <w:t>0.66</w:t>
            </w:r>
          </w:p>
        </w:tc>
        <w:tc>
          <w:tcPr>
            <w:tcW w:w="0" w:type="auto"/>
            <w:vAlign w:val="center"/>
            <w:hideMark/>
          </w:tcPr>
          <w:p w14:paraId="6E4B747F" w14:textId="77777777" w:rsidR="00357FF4" w:rsidRPr="002430E2" w:rsidRDefault="00357FF4" w:rsidP="00655E3E">
            <w:pPr>
              <w:jc w:val="center"/>
            </w:pPr>
            <w:r w:rsidRPr="002430E2">
              <w:t>High</w:t>
            </w:r>
          </w:p>
        </w:tc>
      </w:tr>
      <w:tr w:rsidR="00357FF4" w:rsidRPr="002430E2" w14:paraId="13C18FB5" w14:textId="77777777" w:rsidTr="00B0092D">
        <w:trPr>
          <w:tblCellSpacing w:w="15" w:type="dxa"/>
        </w:trPr>
        <w:tc>
          <w:tcPr>
            <w:tcW w:w="0" w:type="auto"/>
            <w:vAlign w:val="center"/>
            <w:hideMark/>
          </w:tcPr>
          <w:p w14:paraId="0C28CCE6" w14:textId="77777777" w:rsidR="00357FF4" w:rsidRPr="002430E2" w:rsidRDefault="00357FF4" w:rsidP="00655E3E">
            <w:pPr>
              <w:jc w:val="center"/>
            </w:pPr>
            <w:r w:rsidRPr="002430E2">
              <w:t>5</w:t>
            </w:r>
          </w:p>
        </w:tc>
        <w:tc>
          <w:tcPr>
            <w:tcW w:w="0" w:type="auto"/>
            <w:vAlign w:val="center"/>
            <w:hideMark/>
          </w:tcPr>
          <w:p w14:paraId="14493952" w14:textId="77777777" w:rsidR="00357FF4" w:rsidRPr="002430E2" w:rsidRDefault="00357FF4" w:rsidP="00655E3E">
            <w:pPr>
              <w:jc w:val="center"/>
            </w:pPr>
            <w:r w:rsidRPr="002430E2">
              <w:t>I modify lessons to address students’ strengths and weaknesses.</w:t>
            </w:r>
          </w:p>
        </w:tc>
        <w:tc>
          <w:tcPr>
            <w:tcW w:w="0" w:type="auto"/>
            <w:vAlign w:val="center"/>
            <w:hideMark/>
          </w:tcPr>
          <w:p w14:paraId="5828C73E" w14:textId="77777777" w:rsidR="00357FF4" w:rsidRPr="002430E2" w:rsidRDefault="00357FF4" w:rsidP="00655E3E">
            <w:pPr>
              <w:jc w:val="center"/>
            </w:pPr>
            <w:r w:rsidRPr="002430E2">
              <w:t>4.08</w:t>
            </w:r>
          </w:p>
        </w:tc>
        <w:tc>
          <w:tcPr>
            <w:tcW w:w="0" w:type="auto"/>
            <w:vAlign w:val="center"/>
            <w:hideMark/>
          </w:tcPr>
          <w:p w14:paraId="2F70882A" w14:textId="77777777" w:rsidR="00357FF4" w:rsidRPr="002430E2" w:rsidRDefault="00357FF4" w:rsidP="00655E3E">
            <w:pPr>
              <w:jc w:val="center"/>
            </w:pPr>
            <w:r w:rsidRPr="002430E2">
              <w:t>0.69</w:t>
            </w:r>
          </w:p>
        </w:tc>
        <w:tc>
          <w:tcPr>
            <w:tcW w:w="0" w:type="auto"/>
            <w:vAlign w:val="center"/>
            <w:hideMark/>
          </w:tcPr>
          <w:p w14:paraId="0B2489A7" w14:textId="77777777" w:rsidR="00357FF4" w:rsidRPr="002430E2" w:rsidRDefault="00357FF4" w:rsidP="00655E3E">
            <w:pPr>
              <w:jc w:val="center"/>
            </w:pPr>
            <w:r w:rsidRPr="002430E2">
              <w:t>High</w:t>
            </w:r>
          </w:p>
        </w:tc>
      </w:tr>
      <w:tr w:rsidR="00357FF4" w:rsidRPr="002430E2" w14:paraId="0A6FCEE3" w14:textId="77777777" w:rsidTr="00B0092D">
        <w:trPr>
          <w:tblCellSpacing w:w="15" w:type="dxa"/>
        </w:trPr>
        <w:tc>
          <w:tcPr>
            <w:tcW w:w="0" w:type="auto"/>
            <w:vAlign w:val="center"/>
            <w:hideMark/>
          </w:tcPr>
          <w:p w14:paraId="03B2C389" w14:textId="77777777" w:rsidR="00357FF4" w:rsidRPr="002430E2" w:rsidRDefault="00357FF4" w:rsidP="00655E3E">
            <w:pPr>
              <w:jc w:val="center"/>
            </w:pPr>
            <w:r w:rsidRPr="002430E2">
              <w:t>6</w:t>
            </w:r>
          </w:p>
        </w:tc>
        <w:tc>
          <w:tcPr>
            <w:tcW w:w="0" w:type="auto"/>
            <w:vAlign w:val="center"/>
            <w:hideMark/>
          </w:tcPr>
          <w:p w14:paraId="7C041BC2" w14:textId="77777777" w:rsidR="00357FF4" w:rsidRPr="002430E2" w:rsidRDefault="00357FF4" w:rsidP="00655E3E">
            <w:pPr>
              <w:jc w:val="center"/>
            </w:pPr>
            <w:r w:rsidRPr="002430E2">
              <w:t>I employ multiple instructional strategies to maintain interest.</w:t>
            </w:r>
          </w:p>
        </w:tc>
        <w:tc>
          <w:tcPr>
            <w:tcW w:w="0" w:type="auto"/>
            <w:vAlign w:val="center"/>
            <w:hideMark/>
          </w:tcPr>
          <w:p w14:paraId="44A9DC22" w14:textId="77777777" w:rsidR="00357FF4" w:rsidRPr="002430E2" w:rsidRDefault="00357FF4" w:rsidP="00655E3E">
            <w:pPr>
              <w:jc w:val="center"/>
            </w:pPr>
            <w:r w:rsidRPr="002430E2">
              <w:t>4.15</w:t>
            </w:r>
          </w:p>
        </w:tc>
        <w:tc>
          <w:tcPr>
            <w:tcW w:w="0" w:type="auto"/>
            <w:vAlign w:val="center"/>
            <w:hideMark/>
          </w:tcPr>
          <w:p w14:paraId="436EEB87" w14:textId="77777777" w:rsidR="00357FF4" w:rsidRPr="002430E2" w:rsidRDefault="00357FF4" w:rsidP="00655E3E">
            <w:pPr>
              <w:jc w:val="center"/>
            </w:pPr>
            <w:r w:rsidRPr="002430E2">
              <w:t>0.64</w:t>
            </w:r>
          </w:p>
        </w:tc>
        <w:tc>
          <w:tcPr>
            <w:tcW w:w="0" w:type="auto"/>
            <w:vAlign w:val="center"/>
            <w:hideMark/>
          </w:tcPr>
          <w:p w14:paraId="114E7875" w14:textId="77777777" w:rsidR="00357FF4" w:rsidRPr="002430E2" w:rsidRDefault="00357FF4" w:rsidP="00655E3E">
            <w:pPr>
              <w:jc w:val="center"/>
            </w:pPr>
            <w:r w:rsidRPr="002430E2">
              <w:t>Very High</w:t>
            </w:r>
          </w:p>
        </w:tc>
      </w:tr>
      <w:tr w:rsidR="00357FF4" w:rsidRPr="002430E2" w14:paraId="042AF176" w14:textId="77777777" w:rsidTr="00B0092D">
        <w:trPr>
          <w:tblCellSpacing w:w="15" w:type="dxa"/>
        </w:trPr>
        <w:tc>
          <w:tcPr>
            <w:tcW w:w="0" w:type="auto"/>
            <w:vAlign w:val="center"/>
            <w:hideMark/>
          </w:tcPr>
          <w:p w14:paraId="7E609EA5" w14:textId="77777777" w:rsidR="00357FF4" w:rsidRPr="002430E2" w:rsidRDefault="00357FF4" w:rsidP="00655E3E">
            <w:pPr>
              <w:jc w:val="center"/>
            </w:pPr>
            <w:r w:rsidRPr="002430E2">
              <w:t>7</w:t>
            </w:r>
          </w:p>
        </w:tc>
        <w:tc>
          <w:tcPr>
            <w:tcW w:w="0" w:type="auto"/>
            <w:vAlign w:val="center"/>
            <w:hideMark/>
          </w:tcPr>
          <w:p w14:paraId="5BB32B62" w14:textId="77777777" w:rsidR="00357FF4" w:rsidRPr="002430E2" w:rsidRDefault="00357FF4" w:rsidP="00655E3E">
            <w:pPr>
              <w:jc w:val="center"/>
            </w:pPr>
            <w:r w:rsidRPr="002430E2">
              <w:t>I integrate problem-solving and critical thinking tasks in lessons.</w:t>
            </w:r>
          </w:p>
        </w:tc>
        <w:tc>
          <w:tcPr>
            <w:tcW w:w="0" w:type="auto"/>
            <w:vAlign w:val="center"/>
            <w:hideMark/>
          </w:tcPr>
          <w:p w14:paraId="039429CB" w14:textId="77777777" w:rsidR="00357FF4" w:rsidRPr="002430E2" w:rsidRDefault="00357FF4" w:rsidP="00655E3E">
            <w:pPr>
              <w:jc w:val="center"/>
            </w:pPr>
            <w:r w:rsidRPr="002430E2">
              <w:t>4.18</w:t>
            </w:r>
          </w:p>
        </w:tc>
        <w:tc>
          <w:tcPr>
            <w:tcW w:w="0" w:type="auto"/>
            <w:vAlign w:val="center"/>
            <w:hideMark/>
          </w:tcPr>
          <w:p w14:paraId="66140665" w14:textId="77777777" w:rsidR="00357FF4" w:rsidRPr="002430E2" w:rsidRDefault="00357FF4" w:rsidP="00655E3E">
            <w:pPr>
              <w:jc w:val="center"/>
            </w:pPr>
            <w:r w:rsidRPr="002430E2">
              <w:t>0.63</w:t>
            </w:r>
          </w:p>
        </w:tc>
        <w:tc>
          <w:tcPr>
            <w:tcW w:w="0" w:type="auto"/>
            <w:vAlign w:val="center"/>
            <w:hideMark/>
          </w:tcPr>
          <w:p w14:paraId="29462CA1" w14:textId="77777777" w:rsidR="00357FF4" w:rsidRPr="002430E2" w:rsidRDefault="00357FF4" w:rsidP="00655E3E">
            <w:pPr>
              <w:jc w:val="center"/>
            </w:pPr>
            <w:r w:rsidRPr="002430E2">
              <w:t>Very High</w:t>
            </w:r>
          </w:p>
        </w:tc>
      </w:tr>
      <w:tr w:rsidR="00357FF4" w:rsidRPr="002430E2" w14:paraId="25888C7C" w14:textId="77777777" w:rsidTr="00B0092D">
        <w:trPr>
          <w:tblCellSpacing w:w="15" w:type="dxa"/>
        </w:trPr>
        <w:tc>
          <w:tcPr>
            <w:tcW w:w="0" w:type="auto"/>
            <w:vAlign w:val="center"/>
            <w:hideMark/>
          </w:tcPr>
          <w:p w14:paraId="7E7DEE97" w14:textId="77777777" w:rsidR="00357FF4" w:rsidRPr="002430E2" w:rsidRDefault="00357FF4" w:rsidP="00655E3E">
            <w:pPr>
              <w:jc w:val="center"/>
            </w:pPr>
            <w:r w:rsidRPr="002430E2">
              <w:t>8</w:t>
            </w:r>
          </w:p>
        </w:tc>
        <w:tc>
          <w:tcPr>
            <w:tcW w:w="0" w:type="auto"/>
            <w:vAlign w:val="center"/>
            <w:hideMark/>
          </w:tcPr>
          <w:p w14:paraId="403715EF" w14:textId="77777777" w:rsidR="00357FF4" w:rsidRPr="002430E2" w:rsidRDefault="00357FF4" w:rsidP="00655E3E">
            <w:pPr>
              <w:jc w:val="center"/>
            </w:pPr>
            <w:r w:rsidRPr="002430E2">
              <w:t>I adapt assessments to suit varied learner abilities.</w:t>
            </w:r>
          </w:p>
        </w:tc>
        <w:tc>
          <w:tcPr>
            <w:tcW w:w="0" w:type="auto"/>
            <w:vAlign w:val="center"/>
            <w:hideMark/>
          </w:tcPr>
          <w:p w14:paraId="1C514E10" w14:textId="77777777" w:rsidR="00357FF4" w:rsidRPr="002430E2" w:rsidRDefault="00357FF4" w:rsidP="00655E3E">
            <w:pPr>
              <w:jc w:val="center"/>
            </w:pPr>
            <w:r w:rsidRPr="002430E2">
              <w:t>4.05</w:t>
            </w:r>
          </w:p>
        </w:tc>
        <w:tc>
          <w:tcPr>
            <w:tcW w:w="0" w:type="auto"/>
            <w:vAlign w:val="center"/>
            <w:hideMark/>
          </w:tcPr>
          <w:p w14:paraId="762C864A" w14:textId="77777777" w:rsidR="00357FF4" w:rsidRPr="002430E2" w:rsidRDefault="00357FF4" w:rsidP="00655E3E">
            <w:pPr>
              <w:jc w:val="center"/>
            </w:pPr>
            <w:r w:rsidRPr="002430E2">
              <w:t>0.70</w:t>
            </w:r>
          </w:p>
        </w:tc>
        <w:tc>
          <w:tcPr>
            <w:tcW w:w="0" w:type="auto"/>
            <w:vAlign w:val="center"/>
            <w:hideMark/>
          </w:tcPr>
          <w:p w14:paraId="2528B3DB" w14:textId="77777777" w:rsidR="00357FF4" w:rsidRPr="002430E2" w:rsidRDefault="00357FF4" w:rsidP="00655E3E">
            <w:pPr>
              <w:jc w:val="center"/>
            </w:pPr>
            <w:r w:rsidRPr="002430E2">
              <w:t>High</w:t>
            </w:r>
          </w:p>
        </w:tc>
      </w:tr>
      <w:tr w:rsidR="00357FF4" w:rsidRPr="002430E2" w14:paraId="558A827C" w14:textId="77777777" w:rsidTr="00B0092D">
        <w:trPr>
          <w:tblCellSpacing w:w="15" w:type="dxa"/>
        </w:trPr>
        <w:tc>
          <w:tcPr>
            <w:tcW w:w="0" w:type="auto"/>
            <w:vAlign w:val="center"/>
            <w:hideMark/>
          </w:tcPr>
          <w:p w14:paraId="0282462B" w14:textId="77777777" w:rsidR="00357FF4" w:rsidRPr="002430E2" w:rsidRDefault="00357FF4" w:rsidP="00655E3E">
            <w:pPr>
              <w:jc w:val="center"/>
            </w:pPr>
            <w:r w:rsidRPr="002430E2">
              <w:t>9</w:t>
            </w:r>
          </w:p>
        </w:tc>
        <w:tc>
          <w:tcPr>
            <w:tcW w:w="0" w:type="auto"/>
            <w:vAlign w:val="center"/>
            <w:hideMark/>
          </w:tcPr>
          <w:p w14:paraId="5ACAA048" w14:textId="77777777" w:rsidR="00357FF4" w:rsidRPr="002430E2" w:rsidRDefault="00357FF4" w:rsidP="00655E3E">
            <w:pPr>
              <w:jc w:val="center"/>
            </w:pPr>
            <w:r w:rsidRPr="002430E2">
              <w:t>I use formative feedback to adjust instruction in real time.</w:t>
            </w:r>
          </w:p>
        </w:tc>
        <w:tc>
          <w:tcPr>
            <w:tcW w:w="0" w:type="auto"/>
            <w:vAlign w:val="center"/>
            <w:hideMark/>
          </w:tcPr>
          <w:p w14:paraId="2A73E0FF" w14:textId="77777777" w:rsidR="00357FF4" w:rsidRPr="002430E2" w:rsidRDefault="00357FF4" w:rsidP="00655E3E">
            <w:pPr>
              <w:jc w:val="center"/>
            </w:pPr>
            <w:r w:rsidRPr="002430E2">
              <w:t>4.22</w:t>
            </w:r>
          </w:p>
        </w:tc>
        <w:tc>
          <w:tcPr>
            <w:tcW w:w="0" w:type="auto"/>
            <w:vAlign w:val="center"/>
            <w:hideMark/>
          </w:tcPr>
          <w:p w14:paraId="3A8B6443" w14:textId="77777777" w:rsidR="00357FF4" w:rsidRPr="002430E2" w:rsidRDefault="00357FF4" w:rsidP="00655E3E">
            <w:pPr>
              <w:jc w:val="center"/>
            </w:pPr>
            <w:r w:rsidRPr="002430E2">
              <w:t>0.62</w:t>
            </w:r>
          </w:p>
        </w:tc>
        <w:tc>
          <w:tcPr>
            <w:tcW w:w="0" w:type="auto"/>
            <w:vAlign w:val="center"/>
            <w:hideMark/>
          </w:tcPr>
          <w:p w14:paraId="10923F13" w14:textId="77777777" w:rsidR="00357FF4" w:rsidRPr="002430E2" w:rsidRDefault="00357FF4" w:rsidP="00655E3E">
            <w:pPr>
              <w:jc w:val="center"/>
            </w:pPr>
            <w:r w:rsidRPr="002430E2">
              <w:t>Very High</w:t>
            </w:r>
          </w:p>
        </w:tc>
      </w:tr>
      <w:tr w:rsidR="00357FF4" w:rsidRPr="002430E2" w14:paraId="43E7202E" w14:textId="77777777" w:rsidTr="00B0092D">
        <w:trPr>
          <w:tblCellSpacing w:w="15" w:type="dxa"/>
        </w:trPr>
        <w:tc>
          <w:tcPr>
            <w:tcW w:w="0" w:type="auto"/>
            <w:vAlign w:val="center"/>
            <w:hideMark/>
          </w:tcPr>
          <w:p w14:paraId="3DBCACEF" w14:textId="77777777" w:rsidR="00357FF4" w:rsidRPr="002430E2" w:rsidRDefault="00357FF4" w:rsidP="00655E3E">
            <w:pPr>
              <w:jc w:val="center"/>
            </w:pPr>
            <w:r w:rsidRPr="002430E2">
              <w:t>10</w:t>
            </w:r>
          </w:p>
        </w:tc>
        <w:tc>
          <w:tcPr>
            <w:tcW w:w="0" w:type="auto"/>
            <w:vAlign w:val="center"/>
            <w:hideMark/>
          </w:tcPr>
          <w:p w14:paraId="0A431728" w14:textId="77777777" w:rsidR="00357FF4" w:rsidRPr="002430E2" w:rsidRDefault="00357FF4" w:rsidP="00655E3E">
            <w:pPr>
              <w:jc w:val="center"/>
            </w:pPr>
            <w:r w:rsidRPr="002430E2">
              <w:t>I plan lessons that cater to students with diverse needs.</w:t>
            </w:r>
          </w:p>
        </w:tc>
        <w:tc>
          <w:tcPr>
            <w:tcW w:w="0" w:type="auto"/>
            <w:vAlign w:val="center"/>
            <w:hideMark/>
          </w:tcPr>
          <w:p w14:paraId="4ADC1433" w14:textId="77777777" w:rsidR="00357FF4" w:rsidRPr="002430E2" w:rsidRDefault="00357FF4" w:rsidP="00655E3E">
            <w:pPr>
              <w:jc w:val="center"/>
            </w:pPr>
            <w:r w:rsidRPr="002430E2">
              <w:t>4.17</w:t>
            </w:r>
          </w:p>
        </w:tc>
        <w:tc>
          <w:tcPr>
            <w:tcW w:w="0" w:type="auto"/>
            <w:vAlign w:val="center"/>
            <w:hideMark/>
          </w:tcPr>
          <w:p w14:paraId="77FFCAFB" w14:textId="77777777" w:rsidR="00357FF4" w:rsidRPr="002430E2" w:rsidRDefault="00357FF4" w:rsidP="00655E3E">
            <w:pPr>
              <w:jc w:val="center"/>
            </w:pPr>
            <w:r w:rsidRPr="002430E2">
              <w:t>0.66</w:t>
            </w:r>
          </w:p>
        </w:tc>
        <w:tc>
          <w:tcPr>
            <w:tcW w:w="0" w:type="auto"/>
            <w:vAlign w:val="center"/>
            <w:hideMark/>
          </w:tcPr>
          <w:p w14:paraId="2B1AF2F3" w14:textId="77777777" w:rsidR="00357FF4" w:rsidRPr="002430E2" w:rsidRDefault="00357FF4" w:rsidP="00655E3E">
            <w:pPr>
              <w:jc w:val="center"/>
            </w:pPr>
            <w:r w:rsidRPr="002430E2">
              <w:t>Very High</w:t>
            </w:r>
          </w:p>
        </w:tc>
      </w:tr>
      <w:tr w:rsidR="00357FF4" w:rsidRPr="002430E2" w14:paraId="13614C73" w14:textId="77777777" w:rsidTr="00B0092D">
        <w:trPr>
          <w:tblCellSpacing w:w="15" w:type="dxa"/>
        </w:trPr>
        <w:tc>
          <w:tcPr>
            <w:tcW w:w="0" w:type="auto"/>
            <w:vAlign w:val="center"/>
            <w:hideMark/>
          </w:tcPr>
          <w:p w14:paraId="14CA5EA1" w14:textId="77777777" w:rsidR="00357FF4" w:rsidRPr="002430E2" w:rsidRDefault="00357FF4" w:rsidP="00655E3E">
            <w:pPr>
              <w:jc w:val="center"/>
            </w:pPr>
            <w:r w:rsidRPr="002430E2">
              <w:rPr>
                <w:b/>
                <w:bCs/>
              </w:rPr>
              <w:t>Overall AIS</w:t>
            </w:r>
          </w:p>
        </w:tc>
        <w:tc>
          <w:tcPr>
            <w:tcW w:w="0" w:type="auto"/>
            <w:vAlign w:val="center"/>
            <w:hideMark/>
          </w:tcPr>
          <w:p w14:paraId="329CF8C4" w14:textId="77777777" w:rsidR="00357FF4" w:rsidRPr="002430E2" w:rsidRDefault="00357FF4" w:rsidP="00655E3E">
            <w:pPr>
              <w:jc w:val="center"/>
              <w:rPr>
                <w:b/>
                <w:bCs/>
              </w:rPr>
            </w:pPr>
            <w:r w:rsidRPr="002430E2">
              <w:rPr>
                <w:b/>
                <w:bCs/>
              </w:rPr>
              <w:t>Average of 10 items</w:t>
            </w:r>
          </w:p>
        </w:tc>
        <w:tc>
          <w:tcPr>
            <w:tcW w:w="0" w:type="auto"/>
            <w:vAlign w:val="center"/>
            <w:hideMark/>
          </w:tcPr>
          <w:p w14:paraId="4B004C79" w14:textId="77777777" w:rsidR="00357FF4" w:rsidRPr="002430E2" w:rsidRDefault="00357FF4" w:rsidP="00655E3E">
            <w:pPr>
              <w:jc w:val="center"/>
              <w:rPr>
                <w:b/>
                <w:bCs/>
              </w:rPr>
            </w:pPr>
            <w:r w:rsidRPr="002430E2">
              <w:rPr>
                <w:b/>
                <w:bCs/>
              </w:rPr>
              <w:t>4.14</w:t>
            </w:r>
          </w:p>
        </w:tc>
        <w:tc>
          <w:tcPr>
            <w:tcW w:w="0" w:type="auto"/>
            <w:vAlign w:val="center"/>
            <w:hideMark/>
          </w:tcPr>
          <w:p w14:paraId="65828C8E" w14:textId="77777777" w:rsidR="00357FF4" w:rsidRPr="002430E2" w:rsidRDefault="00357FF4" w:rsidP="00655E3E">
            <w:pPr>
              <w:jc w:val="center"/>
              <w:rPr>
                <w:b/>
                <w:bCs/>
              </w:rPr>
            </w:pPr>
            <w:r w:rsidRPr="002430E2">
              <w:rPr>
                <w:b/>
                <w:bCs/>
              </w:rPr>
              <w:t>0.66</w:t>
            </w:r>
          </w:p>
        </w:tc>
        <w:tc>
          <w:tcPr>
            <w:tcW w:w="0" w:type="auto"/>
            <w:vAlign w:val="center"/>
            <w:hideMark/>
          </w:tcPr>
          <w:p w14:paraId="5C57122E" w14:textId="77777777" w:rsidR="00357FF4" w:rsidRPr="002430E2" w:rsidRDefault="00357FF4" w:rsidP="00655E3E">
            <w:pPr>
              <w:jc w:val="center"/>
              <w:rPr>
                <w:b/>
                <w:bCs/>
              </w:rPr>
            </w:pPr>
            <w:r w:rsidRPr="002430E2">
              <w:rPr>
                <w:b/>
                <w:bCs/>
              </w:rPr>
              <w:t>High</w:t>
            </w:r>
          </w:p>
        </w:tc>
      </w:tr>
    </w:tbl>
    <w:p w14:paraId="16BE942C" w14:textId="77777777" w:rsidR="00357FF4" w:rsidRPr="00531610" w:rsidRDefault="00357FF4" w:rsidP="00655E3E">
      <w:pPr>
        <w:spacing w:before="100" w:beforeAutospacing="1" w:after="100" w:afterAutospacing="1"/>
        <w:jc w:val="both"/>
        <w:rPr>
          <w:sz w:val="15"/>
          <w:szCs w:val="15"/>
        </w:rPr>
      </w:pPr>
      <w:r w:rsidRPr="00531610">
        <w:rPr>
          <w:b/>
          <w:bCs/>
          <w:sz w:val="15"/>
          <w:szCs w:val="15"/>
        </w:rPr>
        <w:t>Interpretation Scale (5-point Likert):</w:t>
      </w:r>
    </w:p>
    <w:p w14:paraId="28471EE6" w14:textId="77777777" w:rsidR="00357FF4" w:rsidRPr="00531610" w:rsidRDefault="00357FF4" w:rsidP="00655E3E">
      <w:pPr>
        <w:pStyle w:val="NoSpacing"/>
        <w:rPr>
          <w:sz w:val="18"/>
          <w:szCs w:val="18"/>
        </w:rPr>
      </w:pPr>
      <w:r w:rsidRPr="00531610">
        <w:rPr>
          <w:sz w:val="18"/>
          <w:szCs w:val="18"/>
        </w:rPr>
        <w:t>1.00–1.79: Very Low</w:t>
      </w:r>
    </w:p>
    <w:p w14:paraId="4B7918E6" w14:textId="77777777" w:rsidR="00357FF4" w:rsidRPr="00531610" w:rsidRDefault="00357FF4" w:rsidP="00655E3E">
      <w:pPr>
        <w:pStyle w:val="NoSpacing"/>
        <w:rPr>
          <w:sz w:val="18"/>
          <w:szCs w:val="18"/>
        </w:rPr>
      </w:pPr>
      <w:r w:rsidRPr="00531610">
        <w:rPr>
          <w:sz w:val="18"/>
          <w:szCs w:val="18"/>
        </w:rPr>
        <w:t>1.80–2.59: Low</w:t>
      </w:r>
    </w:p>
    <w:p w14:paraId="7FBD03FF" w14:textId="77777777" w:rsidR="00357FF4" w:rsidRPr="00531610" w:rsidRDefault="00357FF4" w:rsidP="00655E3E">
      <w:pPr>
        <w:pStyle w:val="NoSpacing"/>
        <w:rPr>
          <w:sz w:val="18"/>
          <w:szCs w:val="18"/>
        </w:rPr>
      </w:pPr>
      <w:r w:rsidRPr="00531610">
        <w:rPr>
          <w:sz w:val="18"/>
          <w:szCs w:val="18"/>
        </w:rPr>
        <w:t>2.60–3.39: Moderate</w:t>
      </w:r>
    </w:p>
    <w:p w14:paraId="114F42AE" w14:textId="77777777" w:rsidR="00357FF4" w:rsidRPr="00531610" w:rsidRDefault="00357FF4" w:rsidP="00655E3E">
      <w:pPr>
        <w:pStyle w:val="NoSpacing"/>
        <w:rPr>
          <w:sz w:val="18"/>
          <w:szCs w:val="18"/>
        </w:rPr>
      </w:pPr>
      <w:r w:rsidRPr="00531610">
        <w:rPr>
          <w:sz w:val="18"/>
          <w:szCs w:val="18"/>
        </w:rPr>
        <w:t>3.40–4.19: High</w:t>
      </w:r>
    </w:p>
    <w:p w14:paraId="28BDB60C" w14:textId="77777777" w:rsidR="00357FF4" w:rsidRPr="00531610" w:rsidRDefault="00357FF4" w:rsidP="00655E3E">
      <w:pPr>
        <w:pStyle w:val="NoSpacing"/>
        <w:rPr>
          <w:sz w:val="18"/>
          <w:szCs w:val="18"/>
        </w:rPr>
      </w:pPr>
      <w:r w:rsidRPr="00531610">
        <w:rPr>
          <w:sz w:val="18"/>
          <w:szCs w:val="18"/>
        </w:rPr>
        <w:t>4.20–5.00: Very High</w:t>
      </w:r>
    </w:p>
    <w:p w14:paraId="10FDC3FA" w14:textId="77777777" w:rsidR="00357FF4" w:rsidRDefault="00357FF4" w:rsidP="00655E3E">
      <w:pPr>
        <w:jc w:val="both"/>
      </w:pPr>
    </w:p>
    <w:p w14:paraId="72540A96" w14:textId="77777777" w:rsidR="00357FF4" w:rsidRDefault="00357FF4" w:rsidP="00655E3E">
      <w:pPr>
        <w:pStyle w:val="NormalWeb"/>
        <w:ind w:firstLine="720"/>
        <w:jc w:val="both"/>
      </w:pPr>
      <w:r>
        <w:t xml:space="preserve">The data presented in Table 3 indicates that the 100 surveyed respondents utilize Adaptive Instructional Strategies (AIS) at a "High" level overall, as demonstrated by a composite average mean of 4.14 and a standard deviation of 0.66. This reflects a strong, shared commitment among educators to dynamically tailor their teaching practices to meet diverse classroom demands. The </w:t>
      </w:r>
      <w:r>
        <w:lastRenderedPageBreak/>
        <w:t>primary strength within this domain is the use of formative feedback to adjust instruction in real time (Item 9), which achieved the highest individual mean score of 4.22 (SD = 0.62) and a descriptive interpretation of "Very High." This highlights the teachers' strong capability in continuous classroom assessment and agile lesson adjustment. Other highly executed strategies achieving a "Very High" interpretation include incorporating technology to enhance learning (Item 3) with a mean of 4.20 (SD = 0.65), integrating problem-solving and critical thinking tasks into lessons (Item 7) at 4.18 (SD = 0.63), planning lessons that explicitly cater to students with diverse needs (Item 10) at 4.17 (SD = 0.66), and employing multiple instructional strategies to maintain student interest (Item 6) at 4.15 (SD = 0.64).</w:t>
      </w:r>
    </w:p>
    <w:p w14:paraId="1D27023F" w14:textId="77777777" w:rsidR="00357FF4" w:rsidRDefault="00357FF4" w:rsidP="00655E3E">
      <w:pPr>
        <w:pStyle w:val="NormalWeb"/>
        <w:jc w:val="both"/>
      </w:pPr>
      <w:r>
        <w:t>Conversely, while still safely within the positive "High" parameters, certain areas yielded lower relative means, pointing to potential areas for refinement. Providing alternative learning materials for students who need them (Item 2) and adapting assessments to suit varied learner abilities (Item 8) tied for the lowest mean score in the dataset at 4.05 (SD = 0.70 for both). This pattern suggests that while the educators excel at high-level lesson planning, real-time adjustments, and technological integration, they face slightly more resistance or resource limitations when it comes to the tangible modification of physical materials and formal assessment structures. The remaining items using flexible pacing to suit students' learning needs (Item 4) at 4.12, adjusting teaching methods to accommodate different learning styles (Item 1) at 4.10, and modifying lessons to address students' strengths and weaknesses (Item 5) at 4.08—further reinforce this solid baseline of adaptive teaching. Across all 10 items, the standard deviations remain tightly clustered between 0.62 and 0.70, showing consistent pedagogical agreement among the respondents and reinforcing that adaptive instructional strategies are deeply embedded in their daily teaching workflows.</w:t>
      </w:r>
    </w:p>
    <w:p w14:paraId="7C8DF7FC" w14:textId="77777777" w:rsidR="00357FF4" w:rsidRPr="002430E2" w:rsidRDefault="00357FF4" w:rsidP="00655E3E">
      <w:pPr>
        <w:jc w:val="both"/>
      </w:pPr>
    </w:p>
    <w:p w14:paraId="6D6F7B3A" w14:textId="77777777" w:rsidR="00357FF4" w:rsidRPr="002430E2" w:rsidRDefault="00357FF4" w:rsidP="00655E3E">
      <w:pPr>
        <w:spacing w:before="100" w:beforeAutospacing="1" w:after="100" w:afterAutospacing="1"/>
        <w:jc w:val="both"/>
        <w:outlineLvl w:val="2"/>
        <w:rPr>
          <w:b/>
          <w:bCs/>
        </w:rPr>
      </w:pPr>
    </w:p>
    <w:p w14:paraId="68D7437F" w14:textId="77777777" w:rsidR="00357FF4" w:rsidRPr="002430E2" w:rsidRDefault="00357FF4" w:rsidP="00655E3E">
      <w:pPr>
        <w:spacing w:before="100" w:beforeAutospacing="1" w:after="100" w:afterAutospacing="1"/>
        <w:jc w:val="both"/>
        <w:outlineLvl w:val="2"/>
        <w:rPr>
          <w:b/>
          <w:bCs/>
        </w:rPr>
      </w:pPr>
    </w:p>
    <w:p w14:paraId="254560D7" w14:textId="77777777" w:rsidR="00357FF4" w:rsidRPr="002430E2" w:rsidRDefault="00357FF4" w:rsidP="00655E3E">
      <w:pPr>
        <w:spacing w:before="100" w:beforeAutospacing="1" w:after="100" w:afterAutospacing="1"/>
        <w:jc w:val="both"/>
        <w:outlineLvl w:val="2"/>
        <w:rPr>
          <w:b/>
          <w:bCs/>
        </w:rPr>
      </w:pPr>
    </w:p>
    <w:p w14:paraId="71A0DBB0" w14:textId="77777777" w:rsidR="00357FF4" w:rsidRPr="002430E2" w:rsidRDefault="00357FF4" w:rsidP="00655E3E">
      <w:pPr>
        <w:spacing w:before="100" w:beforeAutospacing="1" w:after="100" w:afterAutospacing="1"/>
        <w:jc w:val="both"/>
        <w:outlineLvl w:val="2"/>
        <w:rPr>
          <w:b/>
          <w:bCs/>
        </w:rPr>
      </w:pPr>
    </w:p>
    <w:p w14:paraId="4318E8FF" w14:textId="77777777" w:rsidR="00357FF4" w:rsidRDefault="00357FF4" w:rsidP="00655E3E">
      <w:pPr>
        <w:spacing w:before="100" w:beforeAutospacing="1" w:after="100" w:afterAutospacing="1"/>
        <w:jc w:val="both"/>
        <w:outlineLvl w:val="2"/>
        <w:rPr>
          <w:b/>
          <w:bCs/>
        </w:rPr>
      </w:pPr>
    </w:p>
    <w:p w14:paraId="2DAF546E" w14:textId="77777777" w:rsidR="00357FF4" w:rsidRDefault="00357FF4" w:rsidP="00655E3E">
      <w:pPr>
        <w:spacing w:before="100" w:beforeAutospacing="1" w:after="100" w:afterAutospacing="1"/>
        <w:jc w:val="both"/>
        <w:outlineLvl w:val="2"/>
        <w:rPr>
          <w:b/>
          <w:bCs/>
        </w:rPr>
      </w:pPr>
    </w:p>
    <w:p w14:paraId="3A46D8FA" w14:textId="77777777" w:rsidR="00357FF4" w:rsidRDefault="00357FF4" w:rsidP="00655E3E">
      <w:pPr>
        <w:spacing w:before="100" w:beforeAutospacing="1" w:after="100" w:afterAutospacing="1"/>
        <w:jc w:val="both"/>
        <w:outlineLvl w:val="2"/>
        <w:rPr>
          <w:b/>
          <w:bCs/>
        </w:rPr>
      </w:pPr>
    </w:p>
    <w:p w14:paraId="4AFEC091" w14:textId="77777777" w:rsidR="00357FF4" w:rsidRDefault="00357FF4" w:rsidP="00655E3E">
      <w:pPr>
        <w:spacing w:before="100" w:beforeAutospacing="1" w:after="100" w:afterAutospacing="1"/>
        <w:jc w:val="both"/>
        <w:outlineLvl w:val="2"/>
        <w:rPr>
          <w:b/>
          <w:bCs/>
        </w:rPr>
      </w:pPr>
    </w:p>
    <w:p w14:paraId="2A2E5B09" w14:textId="77777777" w:rsidR="00357FF4" w:rsidRDefault="00357FF4" w:rsidP="00655E3E">
      <w:pPr>
        <w:spacing w:before="100" w:beforeAutospacing="1" w:after="100" w:afterAutospacing="1"/>
        <w:jc w:val="both"/>
        <w:outlineLvl w:val="2"/>
        <w:rPr>
          <w:b/>
          <w:bCs/>
        </w:rPr>
      </w:pPr>
    </w:p>
    <w:p w14:paraId="4F67325F" w14:textId="77777777" w:rsidR="00357FF4" w:rsidRDefault="00357FF4" w:rsidP="00655E3E">
      <w:pPr>
        <w:spacing w:before="100" w:beforeAutospacing="1" w:after="100" w:afterAutospacing="1"/>
        <w:jc w:val="both"/>
        <w:outlineLvl w:val="2"/>
        <w:rPr>
          <w:b/>
          <w:bCs/>
        </w:rPr>
      </w:pPr>
    </w:p>
    <w:p w14:paraId="45045901" w14:textId="77777777" w:rsidR="00357FF4" w:rsidRDefault="00357FF4" w:rsidP="00655E3E">
      <w:pPr>
        <w:spacing w:before="100" w:beforeAutospacing="1" w:after="100" w:afterAutospacing="1"/>
        <w:jc w:val="both"/>
        <w:outlineLvl w:val="2"/>
        <w:rPr>
          <w:b/>
          <w:bCs/>
        </w:rPr>
      </w:pPr>
    </w:p>
    <w:p w14:paraId="52D743D1" w14:textId="77777777" w:rsidR="00357FF4" w:rsidRPr="002430E2" w:rsidRDefault="00357FF4" w:rsidP="00655E3E">
      <w:pPr>
        <w:spacing w:before="100" w:beforeAutospacing="1" w:after="100" w:afterAutospacing="1"/>
        <w:jc w:val="both"/>
        <w:outlineLvl w:val="2"/>
        <w:rPr>
          <w:b/>
          <w:bCs/>
        </w:rPr>
      </w:pPr>
    </w:p>
    <w:p w14:paraId="27519B91" w14:textId="77777777" w:rsidR="00357FF4" w:rsidRPr="002430E2" w:rsidRDefault="00357FF4" w:rsidP="00655E3E">
      <w:pPr>
        <w:spacing w:before="100" w:beforeAutospacing="1" w:after="100" w:afterAutospacing="1"/>
        <w:jc w:val="center"/>
        <w:outlineLvl w:val="2"/>
        <w:rPr>
          <w:b/>
          <w:bCs/>
        </w:rPr>
      </w:pPr>
      <w:r w:rsidRPr="002430E2">
        <w:rPr>
          <w:b/>
          <w:bCs/>
        </w:rPr>
        <w:t>Supportive Student Engagement (SSE) (n = 100)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18"/>
        <w:gridCol w:w="5283"/>
        <w:gridCol w:w="667"/>
        <w:gridCol w:w="500"/>
        <w:gridCol w:w="1682"/>
      </w:tblGrid>
      <w:tr w:rsidR="00357FF4" w:rsidRPr="002430E2" w14:paraId="68C5C9C8" w14:textId="77777777" w:rsidTr="00B0092D">
        <w:trPr>
          <w:tblHeader/>
          <w:tblCellSpacing w:w="15" w:type="dxa"/>
        </w:trPr>
        <w:tc>
          <w:tcPr>
            <w:tcW w:w="0" w:type="auto"/>
            <w:vAlign w:val="center"/>
            <w:hideMark/>
          </w:tcPr>
          <w:p w14:paraId="00C9E013" w14:textId="77777777" w:rsidR="00357FF4" w:rsidRPr="002430E2" w:rsidRDefault="00357FF4" w:rsidP="00655E3E">
            <w:pPr>
              <w:jc w:val="center"/>
              <w:rPr>
                <w:b/>
                <w:bCs/>
              </w:rPr>
            </w:pPr>
            <w:r w:rsidRPr="002430E2">
              <w:rPr>
                <w:b/>
                <w:bCs/>
              </w:rPr>
              <w:t>Item No.</w:t>
            </w:r>
          </w:p>
        </w:tc>
        <w:tc>
          <w:tcPr>
            <w:tcW w:w="0" w:type="auto"/>
            <w:vAlign w:val="center"/>
            <w:hideMark/>
          </w:tcPr>
          <w:p w14:paraId="5BA5D693" w14:textId="77777777" w:rsidR="00357FF4" w:rsidRPr="002430E2" w:rsidRDefault="00357FF4" w:rsidP="00655E3E">
            <w:pPr>
              <w:jc w:val="center"/>
              <w:rPr>
                <w:b/>
                <w:bCs/>
              </w:rPr>
            </w:pPr>
            <w:r w:rsidRPr="002430E2">
              <w:rPr>
                <w:b/>
                <w:bCs/>
              </w:rPr>
              <w:t>Statement</w:t>
            </w:r>
          </w:p>
        </w:tc>
        <w:tc>
          <w:tcPr>
            <w:tcW w:w="0" w:type="auto"/>
            <w:vAlign w:val="center"/>
            <w:hideMark/>
          </w:tcPr>
          <w:p w14:paraId="04259C8D" w14:textId="77777777" w:rsidR="00357FF4" w:rsidRPr="002430E2" w:rsidRDefault="00357FF4" w:rsidP="00655E3E">
            <w:pPr>
              <w:jc w:val="center"/>
              <w:rPr>
                <w:b/>
                <w:bCs/>
              </w:rPr>
            </w:pPr>
            <w:r w:rsidRPr="002430E2">
              <w:rPr>
                <w:b/>
                <w:bCs/>
              </w:rPr>
              <w:t>Mean</w:t>
            </w:r>
          </w:p>
        </w:tc>
        <w:tc>
          <w:tcPr>
            <w:tcW w:w="0" w:type="auto"/>
            <w:vAlign w:val="center"/>
            <w:hideMark/>
          </w:tcPr>
          <w:p w14:paraId="31F36F51" w14:textId="77777777" w:rsidR="00357FF4" w:rsidRPr="002430E2" w:rsidRDefault="00357FF4" w:rsidP="00655E3E">
            <w:pPr>
              <w:jc w:val="center"/>
              <w:rPr>
                <w:b/>
                <w:bCs/>
              </w:rPr>
            </w:pPr>
            <w:r w:rsidRPr="002430E2">
              <w:rPr>
                <w:b/>
                <w:bCs/>
              </w:rPr>
              <w:t>SD</w:t>
            </w:r>
          </w:p>
        </w:tc>
        <w:tc>
          <w:tcPr>
            <w:tcW w:w="0" w:type="auto"/>
            <w:vAlign w:val="center"/>
            <w:hideMark/>
          </w:tcPr>
          <w:p w14:paraId="630242B3" w14:textId="77777777" w:rsidR="00357FF4" w:rsidRPr="002430E2" w:rsidRDefault="00357FF4" w:rsidP="00655E3E">
            <w:pPr>
              <w:jc w:val="center"/>
              <w:rPr>
                <w:b/>
                <w:bCs/>
              </w:rPr>
            </w:pPr>
            <w:r w:rsidRPr="002430E2">
              <w:rPr>
                <w:b/>
                <w:bCs/>
              </w:rPr>
              <w:t>Interpretation*</w:t>
            </w:r>
          </w:p>
        </w:tc>
      </w:tr>
      <w:tr w:rsidR="00357FF4" w:rsidRPr="002430E2" w14:paraId="23D07BE8" w14:textId="77777777" w:rsidTr="00B0092D">
        <w:trPr>
          <w:tblCellSpacing w:w="15" w:type="dxa"/>
        </w:trPr>
        <w:tc>
          <w:tcPr>
            <w:tcW w:w="0" w:type="auto"/>
            <w:vAlign w:val="center"/>
            <w:hideMark/>
          </w:tcPr>
          <w:p w14:paraId="06DAE80F" w14:textId="77777777" w:rsidR="00357FF4" w:rsidRPr="002430E2" w:rsidRDefault="00357FF4" w:rsidP="00655E3E">
            <w:pPr>
              <w:jc w:val="center"/>
            </w:pPr>
            <w:r w:rsidRPr="002430E2">
              <w:t>1</w:t>
            </w:r>
          </w:p>
        </w:tc>
        <w:tc>
          <w:tcPr>
            <w:tcW w:w="0" w:type="auto"/>
            <w:vAlign w:val="center"/>
            <w:hideMark/>
          </w:tcPr>
          <w:p w14:paraId="1705383B" w14:textId="77777777" w:rsidR="00357FF4" w:rsidRPr="002430E2" w:rsidRDefault="00357FF4" w:rsidP="00655E3E">
            <w:pPr>
              <w:jc w:val="center"/>
            </w:pPr>
            <w:r w:rsidRPr="002430E2">
              <w:t>I actively involve students in classroom discussions.</w:t>
            </w:r>
          </w:p>
        </w:tc>
        <w:tc>
          <w:tcPr>
            <w:tcW w:w="0" w:type="auto"/>
            <w:vAlign w:val="center"/>
            <w:hideMark/>
          </w:tcPr>
          <w:p w14:paraId="3E4AEC6D" w14:textId="77777777" w:rsidR="00357FF4" w:rsidRPr="002430E2" w:rsidRDefault="00357FF4" w:rsidP="00655E3E">
            <w:pPr>
              <w:jc w:val="center"/>
            </w:pPr>
            <w:r w:rsidRPr="002430E2">
              <w:t>4.18</w:t>
            </w:r>
          </w:p>
        </w:tc>
        <w:tc>
          <w:tcPr>
            <w:tcW w:w="0" w:type="auto"/>
            <w:vAlign w:val="center"/>
            <w:hideMark/>
          </w:tcPr>
          <w:p w14:paraId="5B5CE5E4" w14:textId="77777777" w:rsidR="00357FF4" w:rsidRPr="002430E2" w:rsidRDefault="00357FF4" w:rsidP="00655E3E">
            <w:pPr>
              <w:jc w:val="center"/>
            </w:pPr>
            <w:r w:rsidRPr="002430E2">
              <w:t>0.64</w:t>
            </w:r>
          </w:p>
        </w:tc>
        <w:tc>
          <w:tcPr>
            <w:tcW w:w="0" w:type="auto"/>
            <w:vAlign w:val="center"/>
            <w:hideMark/>
          </w:tcPr>
          <w:p w14:paraId="15EC42EF" w14:textId="77777777" w:rsidR="00357FF4" w:rsidRPr="002430E2" w:rsidRDefault="00357FF4" w:rsidP="00655E3E">
            <w:pPr>
              <w:jc w:val="center"/>
            </w:pPr>
            <w:r w:rsidRPr="002430E2">
              <w:t>Very High</w:t>
            </w:r>
          </w:p>
        </w:tc>
      </w:tr>
      <w:tr w:rsidR="00357FF4" w:rsidRPr="002430E2" w14:paraId="2936E8D3" w14:textId="77777777" w:rsidTr="00B0092D">
        <w:trPr>
          <w:tblCellSpacing w:w="15" w:type="dxa"/>
        </w:trPr>
        <w:tc>
          <w:tcPr>
            <w:tcW w:w="0" w:type="auto"/>
            <w:vAlign w:val="center"/>
            <w:hideMark/>
          </w:tcPr>
          <w:p w14:paraId="102E25C9" w14:textId="77777777" w:rsidR="00357FF4" w:rsidRPr="002430E2" w:rsidRDefault="00357FF4" w:rsidP="00655E3E">
            <w:pPr>
              <w:jc w:val="center"/>
            </w:pPr>
            <w:r w:rsidRPr="002430E2">
              <w:t>2</w:t>
            </w:r>
          </w:p>
        </w:tc>
        <w:tc>
          <w:tcPr>
            <w:tcW w:w="0" w:type="auto"/>
            <w:vAlign w:val="center"/>
            <w:hideMark/>
          </w:tcPr>
          <w:p w14:paraId="556C53D4" w14:textId="77777777" w:rsidR="00357FF4" w:rsidRPr="002430E2" w:rsidRDefault="00357FF4" w:rsidP="00655E3E">
            <w:pPr>
              <w:jc w:val="center"/>
            </w:pPr>
            <w:r w:rsidRPr="002430E2">
              <w:t>I use interactive and collaborative activities to maintain engagement.</w:t>
            </w:r>
          </w:p>
        </w:tc>
        <w:tc>
          <w:tcPr>
            <w:tcW w:w="0" w:type="auto"/>
            <w:vAlign w:val="center"/>
            <w:hideMark/>
          </w:tcPr>
          <w:p w14:paraId="37D8D49E" w14:textId="77777777" w:rsidR="00357FF4" w:rsidRPr="002430E2" w:rsidRDefault="00357FF4" w:rsidP="00655E3E">
            <w:pPr>
              <w:jc w:val="center"/>
            </w:pPr>
            <w:r w:rsidRPr="002430E2">
              <w:t>4.12</w:t>
            </w:r>
          </w:p>
        </w:tc>
        <w:tc>
          <w:tcPr>
            <w:tcW w:w="0" w:type="auto"/>
            <w:vAlign w:val="center"/>
            <w:hideMark/>
          </w:tcPr>
          <w:p w14:paraId="14617AC2" w14:textId="77777777" w:rsidR="00357FF4" w:rsidRPr="002430E2" w:rsidRDefault="00357FF4" w:rsidP="00655E3E">
            <w:pPr>
              <w:jc w:val="center"/>
            </w:pPr>
            <w:r w:rsidRPr="002430E2">
              <w:t>0.66</w:t>
            </w:r>
          </w:p>
        </w:tc>
        <w:tc>
          <w:tcPr>
            <w:tcW w:w="0" w:type="auto"/>
            <w:vAlign w:val="center"/>
            <w:hideMark/>
          </w:tcPr>
          <w:p w14:paraId="7AAF1148" w14:textId="77777777" w:rsidR="00357FF4" w:rsidRPr="002430E2" w:rsidRDefault="00357FF4" w:rsidP="00655E3E">
            <w:pPr>
              <w:jc w:val="center"/>
            </w:pPr>
            <w:r w:rsidRPr="002430E2">
              <w:t>High</w:t>
            </w:r>
          </w:p>
        </w:tc>
      </w:tr>
      <w:tr w:rsidR="00357FF4" w:rsidRPr="002430E2" w14:paraId="30A4952C" w14:textId="77777777" w:rsidTr="00B0092D">
        <w:trPr>
          <w:tblCellSpacing w:w="15" w:type="dxa"/>
        </w:trPr>
        <w:tc>
          <w:tcPr>
            <w:tcW w:w="0" w:type="auto"/>
            <w:vAlign w:val="center"/>
            <w:hideMark/>
          </w:tcPr>
          <w:p w14:paraId="3A8EAF42" w14:textId="77777777" w:rsidR="00357FF4" w:rsidRPr="002430E2" w:rsidRDefault="00357FF4" w:rsidP="00655E3E">
            <w:pPr>
              <w:jc w:val="center"/>
            </w:pPr>
            <w:r w:rsidRPr="002430E2">
              <w:t>3</w:t>
            </w:r>
          </w:p>
        </w:tc>
        <w:tc>
          <w:tcPr>
            <w:tcW w:w="0" w:type="auto"/>
            <w:vAlign w:val="center"/>
            <w:hideMark/>
          </w:tcPr>
          <w:p w14:paraId="0EE65132" w14:textId="77777777" w:rsidR="00357FF4" w:rsidRPr="002430E2" w:rsidRDefault="00357FF4" w:rsidP="00655E3E">
            <w:pPr>
              <w:jc w:val="center"/>
            </w:pPr>
            <w:r w:rsidRPr="002430E2">
              <w:t>I provide feedback that motivates students to improve.</w:t>
            </w:r>
          </w:p>
        </w:tc>
        <w:tc>
          <w:tcPr>
            <w:tcW w:w="0" w:type="auto"/>
            <w:vAlign w:val="center"/>
            <w:hideMark/>
          </w:tcPr>
          <w:p w14:paraId="34C592F4" w14:textId="77777777" w:rsidR="00357FF4" w:rsidRPr="002430E2" w:rsidRDefault="00357FF4" w:rsidP="00655E3E">
            <w:pPr>
              <w:jc w:val="center"/>
            </w:pPr>
            <w:r w:rsidRPr="002430E2">
              <w:t>4.15</w:t>
            </w:r>
          </w:p>
        </w:tc>
        <w:tc>
          <w:tcPr>
            <w:tcW w:w="0" w:type="auto"/>
            <w:vAlign w:val="center"/>
            <w:hideMark/>
          </w:tcPr>
          <w:p w14:paraId="1AA35F6D" w14:textId="77777777" w:rsidR="00357FF4" w:rsidRPr="002430E2" w:rsidRDefault="00357FF4" w:rsidP="00655E3E">
            <w:pPr>
              <w:jc w:val="center"/>
            </w:pPr>
            <w:r w:rsidRPr="002430E2">
              <w:t>0.63</w:t>
            </w:r>
          </w:p>
        </w:tc>
        <w:tc>
          <w:tcPr>
            <w:tcW w:w="0" w:type="auto"/>
            <w:vAlign w:val="center"/>
            <w:hideMark/>
          </w:tcPr>
          <w:p w14:paraId="0890A8B3" w14:textId="77777777" w:rsidR="00357FF4" w:rsidRPr="002430E2" w:rsidRDefault="00357FF4" w:rsidP="00655E3E">
            <w:pPr>
              <w:jc w:val="center"/>
            </w:pPr>
            <w:r w:rsidRPr="002430E2">
              <w:t>Very High</w:t>
            </w:r>
          </w:p>
        </w:tc>
      </w:tr>
      <w:tr w:rsidR="00357FF4" w:rsidRPr="002430E2" w14:paraId="3EE99098" w14:textId="77777777" w:rsidTr="00B0092D">
        <w:trPr>
          <w:tblCellSpacing w:w="15" w:type="dxa"/>
        </w:trPr>
        <w:tc>
          <w:tcPr>
            <w:tcW w:w="0" w:type="auto"/>
            <w:vAlign w:val="center"/>
            <w:hideMark/>
          </w:tcPr>
          <w:p w14:paraId="34FB9107" w14:textId="77777777" w:rsidR="00357FF4" w:rsidRPr="002430E2" w:rsidRDefault="00357FF4" w:rsidP="00655E3E">
            <w:pPr>
              <w:jc w:val="center"/>
            </w:pPr>
            <w:r w:rsidRPr="002430E2">
              <w:t>4</w:t>
            </w:r>
          </w:p>
        </w:tc>
        <w:tc>
          <w:tcPr>
            <w:tcW w:w="0" w:type="auto"/>
            <w:vAlign w:val="center"/>
            <w:hideMark/>
          </w:tcPr>
          <w:p w14:paraId="31F77D6E" w14:textId="77777777" w:rsidR="00357FF4" w:rsidRPr="002430E2" w:rsidRDefault="00357FF4" w:rsidP="00655E3E">
            <w:pPr>
              <w:jc w:val="center"/>
            </w:pPr>
            <w:r w:rsidRPr="002430E2">
              <w:t>I encourage students to ask questions and express ideas.</w:t>
            </w:r>
          </w:p>
        </w:tc>
        <w:tc>
          <w:tcPr>
            <w:tcW w:w="0" w:type="auto"/>
            <w:vAlign w:val="center"/>
            <w:hideMark/>
          </w:tcPr>
          <w:p w14:paraId="7E93AE2A" w14:textId="77777777" w:rsidR="00357FF4" w:rsidRPr="002430E2" w:rsidRDefault="00357FF4" w:rsidP="00655E3E">
            <w:pPr>
              <w:jc w:val="center"/>
            </w:pPr>
            <w:r w:rsidRPr="002430E2">
              <w:t>4.10</w:t>
            </w:r>
          </w:p>
        </w:tc>
        <w:tc>
          <w:tcPr>
            <w:tcW w:w="0" w:type="auto"/>
            <w:vAlign w:val="center"/>
            <w:hideMark/>
          </w:tcPr>
          <w:p w14:paraId="028D6CDC" w14:textId="77777777" w:rsidR="00357FF4" w:rsidRPr="002430E2" w:rsidRDefault="00357FF4" w:rsidP="00655E3E">
            <w:pPr>
              <w:jc w:val="center"/>
            </w:pPr>
            <w:r w:rsidRPr="002430E2">
              <w:t>0.67</w:t>
            </w:r>
          </w:p>
        </w:tc>
        <w:tc>
          <w:tcPr>
            <w:tcW w:w="0" w:type="auto"/>
            <w:vAlign w:val="center"/>
            <w:hideMark/>
          </w:tcPr>
          <w:p w14:paraId="0695E11C" w14:textId="77777777" w:rsidR="00357FF4" w:rsidRPr="002430E2" w:rsidRDefault="00357FF4" w:rsidP="00655E3E">
            <w:pPr>
              <w:jc w:val="center"/>
            </w:pPr>
            <w:r w:rsidRPr="002430E2">
              <w:t>High</w:t>
            </w:r>
          </w:p>
        </w:tc>
      </w:tr>
      <w:tr w:rsidR="00357FF4" w:rsidRPr="002430E2" w14:paraId="7B5D94F1" w14:textId="77777777" w:rsidTr="00B0092D">
        <w:trPr>
          <w:tblCellSpacing w:w="15" w:type="dxa"/>
        </w:trPr>
        <w:tc>
          <w:tcPr>
            <w:tcW w:w="0" w:type="auto"/>
            <w:vAlign w:val="center"/>
            <w:hideMark/>
          </w:tcPr>
          <w:p w14:paraId="215CE225" w14:textId="77777777" w:rsidR="00357FF4" w:rsidRPr="002430E2" w:rsidRDefault="00357FF4" w:rsidP="00655E3E">
            <w:pPr>
              <w:jc w:val="center"/>
            </w:pPr>
            <w:r w:rsidRPr="002430E2">
              <w:t>5</w:t>
            </w:r>
          </w:p>
        </w:tc>
        <w:tc>
          <w:tcPr>
            <w:tcW w:w="0" w:type="auto"/>
            <w:vAlign w:val="center"/>
            <w:hideMark/>
          </w:tcPr>
          <w:p w14:paraId="035C69DB" w14:textId="77777777" w:rsidR="00357FF4" w:rsidRPr="002430E2" w:rsidRDefault="00357FF4" w:rsidP="00655E3E">
            <w:pPr>
              <w:jc w:val="center"/>
            </w:pPr>
            <w:r w:rsidRPr="002430E2">
              <w:t>I connect lessons to students’ real-life experiences.</w:t>
            </w:r>
          </w:p>
        </w:tc>
        <w:tc>
          <w:tcPr>
            <w:tcW w:w="0" w:type="auto"/>
            <w:vAlign w:val="center"/>
            <w:hideMark/>
          </w:tcPr>
          <w:p w14:paraId="0B55A3D2" w14:textId="77777777" w:rsidR="00357FF4" w:rsidRPr="002430E2" w:rsidRDefault="00357FF4" w:rsidP="00655E3E">
            <w:pPr>
              <w:jc w:val="center"/>
            </w:pPr>
            <w:r w:rsidRPr="002430E2">
              <w:t>4.08</w:t>
            </w:r>
          </w:p>
        </w:tc>
        <w:tc>
          <w:tcPr>
            <w:tcW w:w="0" w:type="auto"/>
            <w:vAlign w:val="center"/>
            <w:hideMark/>
          </w:tcPr>
          <w:p w14:paraId="6F7A57AC" w14:textId="77777777" w:rsidR="00357FF4" w:rsidRPr="002430E2" w:rsidRDefault="00357FF4" w:rsidP="00655E3E">
            <w:pPr>
              <w:jc w:val="center"/>
            </w:pPr>
            <w:r w:rsidRPr="002430E2">
              <w:t>0.69</w:t>
            </w:r>
          </w:p>
        </w:tc>
        <w:tc>
          <w:tcPr>
            <w:tcW w:w="0" w:type="auto"/>
            <w:vAlign w:val="center"/>
            <w:hideMark/>
          </w:tcPr>
          <w:p w14:paraId="43825E04" w14:textId="77777777" w:rsidR="00357FF4" w:rsidRPr="002430E2" w:rsidRDefault="00357FF4" w:rsidP="00655E3E">
            <w:pPr>
              <w:jc w:val="center"/>
            </w:pPr>
            <w:r w:rsidRPr="002430E2">
              <w:t>High</w:t>
            </w:r>
          </w:p>
        </w:tc>
      </w:tr>
      <w:tr w:rsidR="00357FF4" w:rsidRPr="002430E2" w14:paraId="49CA477B" w14:textId="77777777" w:rsidTr="00B0092D">
        <w:trPr>
          <w:tblCellSpacing w:w="15" w:type="dxa"/>
        </w:trPr>
        <w:tc>
          <w:tcPr>
            <w:tcW w:w="0" w:type="auto"/>
            <w:vAlign w:val="center"/>
            <w:hideMark/>
          </w:tcPr>
          <w:p w14:paraId="5027EB6B" w14:textId="77777777" w:rsidR="00357FF4" w:rsidRPr="002430E2" w:rsidRDefault="00357FF4" w:rsidP="00655E3E">
            <w:pPr>
              <w:jc w:val="center"/>
            </w:pPr>
            <w:r w:rsidRPr="002430E2">
              <w:t>6</w:t>
            </w:r>
          </w:p>
        </w:tc>
        <w:tc>
          <w:tcPr>
            <w:tcW w:w="0" w:type="auto"/>
            <w:vAlign w:val="center"/>
            <w:hideMark/>
          </w:tcPr>
          <w:p w14:paraId="267F4A1B" w14:textId="77777777" w:rsidR="00357FF4" w:rsidRPr="002430E2" w:rsidRDefault="00357FF4" w:rsidP="00655E3E">
            <w:pPr>
              <w:jc w:val="center"/>
            </w:pPr>
            <w:r w:rsidRPr="002430E2">
              <w:t>I promote participation from all students, including quieter learners.</w:t>
            </w:r>
          </w:p>
        </w:tc>
        <w:tc>
          <w:tcPr>
            <w:tcW w:w="0" w:type="auto"/>
            <w:vAlign w:val="center"/>
            <w:hideMark/>
          </w:tcPr>
          <w:p w14:paraId="7C4AA64D" w14:textId="77777777" w:rsidR="00357FF4" w:rsidRPr="002430E2" w:rsidRDefault="00357FF4" w:rsidP="00655E3E">
            <w:pPr>
              <w:jc w:val="center"/>
            </w:pPr>
            <w:r w:rsidRPr="002430E2">
              <w:t>4.14</w:t>
            </w:r>
          </w:p>
        </w:tc>
        <w:tc>
          <w:tcPr>
            <w:tcW w:w="0" w:type="auto"/>
            <w:vAlign w:val="center"/>
            <w:hideMark/>
          </w:tcPr>
          <w:p w14:paraId="56DAD687" w14:textId="77777777" w:rsidR="00357FF4" w:rsidRPr="002430E2" w:rsidRDefault="00357FF4" w:rsidP="00655E3E">
            <w:pPr>
              <w:jc w:val="center"/>
            </w:pPr>
            <w:r w:rsidRPr="002430E2">
              <w:t>0.65</w:t>
            </w:r>
          </w:p>
        </w:tc>
        <w:tc>
          <w:tcPr>
            <w:tcW w:w="0" w:type="auto"/>
            <w:vAlign w:val="center"/>
            <w:hideMark/>
          </w:tcPr>
          <w:p w14:paraId="2464CAF1" w14:textId="77777777" w:rsidR="00357FF4" w:rsidRPr="002430E2" w:rsidRDefault="00357FF4" w:rsidP="00655E3E">
            <w:pPr>
              <w:jc w:val="center"/>
            </w:pPr>
            <w:r w:rsidRPr="002430E2">
              <w:t>Very High</w:t>
            </w:r>
          </w:p>
        </w:tc>
      </w:tr>
      <w:tr w:rsidR="00357FF4" w:rsidRPr="002430E2" w14:paraId="01CB9E1A" w14:textId="77777777" w:rsidTr="00B0092D">
        <w:trPr>
          <w:tblCellSpacing w:w="15" w:type="dxa"/>
        </w:trPr>
        <w:tc>
          <w:tcPr>
            <w:tcW w:w="0" w:type="auto"/>
            <w:vAlign w:val="center"/>
            <w:hideMark/>
          </w:tcPr>
          <w:p w14:paraId="702521E8" w14:textId="77777777" w:rsidR="00357FF4" w:rsidRPr="002430E2" w:rsidRDefault="00357FF4" w:rsidP="00655E3E">
            <w:pPr>
              <w:jc w:val="center"/>
            </w:pPr>
            <w:r w:rsidRPr="002430E2">
              <w:t>7</w:t>
            </w:r>
          </w:p>
        </w:tc>
        <w:tc>
          <w:tcPr>
            <w:tcW w:w="0" w:type="auto"/>
            <w:vAlign w:val="center"/>
            <w:hideMark/>
          </w:tcPr>
          <w:p w14:paraId="5B92B485" w14:textId="77777777" w:rsidR="00357FF4" w:rsidRPr="002430E2" w:rsidRDefault="00357FF4" w:rsidP="00655E3E">
            <w:pPr>
              <w:jc w:val="center"/>
            </w:pPr>
            <w:r w:rsidRPr="002430E2">
              <w:t>I incorporate activities that stimulate curiosity and creativity.</w:t>
            </w:r>
          </w:p>
        </w:tc>
        <w:tc>
          <w:tcPr>
            <w:tcW w:w="0" w:type="auto"/>
            <w:vAlign w:val="center"/>
            <w:hideMark/>
          </w:tcPr>
          <w:p w14:paraId="26243A18" w14:textId="77777777" w:rsidR="00357FF4" w:rsidRPr="002430E2" w:rsidRDefault="00357FF4" w:rsidP="00655E3E">
            <w:pPr>
              <w:jc w:val="center"/>
            </w:pPr>
            <w:r w:rsidRPr="002430E2">
              <w:t>4.20</w:t>
            </w:r>
          </w:p>
        </w:tc>
        <w:tc>
          <w:tcPr>
            <w:tcW w:w="0" w:type="auto"/>
            <w:vAlign w:val="center"/>
            <w:hideMark/>
          </w:tcPr>
          <w:p w14:paraId="56D57426" w14:textId="77777777" w:rsidR="00357FF4" w:rsidRPr="002430E2" w:rsidRDefault="00357FF4" w:rsidP="00655E3E">
            <w:pPr>
              <w:jc w:val="center"/>
            </w:pPr>
            <w:r w:rsidRPr="002430E2">
              <w:t>0.62</w:t>
            </w:r>
          </w:p>
        </w:tc>
        <w:tc>
          <w:tcPr>
            <w:tcW w:w="0" w:type="auto"/>
            <w:vAlign w:val="center"/>
            <w:hideMark/>
          </w:tcPr>
          <w:p w14:paraId="55D5AFF1" w14:textId="77777777" w:rsidR="00357FF4" w:rsidRPr="002430E2" w:rsidRDefault="00357FF4" w:rsidP="00655E3E">
            <w:pPr>
              <w:jc w:val="center"/>
            </w:pPr>
            <w:r w:rsidRPr="002430E2">
              <w:t>Very High</w:t>
            </w:r>
          </w:p>
        </w:tc>
      </w:tr>
      <w:tr w:rsidR="00357FF4" w:rsidRPr="002430E2" w14:paraId="36142F01" w14:textId="77777777" w:rsidTr="00B0092D">
        <w:trPr>
          <w:tblCellSpacing w:w="15" w:type="dxa"/>
        </w:trPr>
        <w:tc>
          <w:tcPr>
            <w:tcW w:w="0" w:type="auto"/>
            <w:vAlign w:val="center"/>
            <w:hideMark/>
          </w:tcPr>
          <w:p w14:paraId="7B7CEDFC" w14:textId="77777777" w:rsidR="00357FF4" w:rsidRPr="002430E2" w:rsidRDefault="00357FF4" w:rsidP="00655E3E">
            <w:pPr>
              <w:jc w:val="center"/>
            </w:pPr>
            <w:r w:rsidRPr="002430E2">
              <w:t>8</w:t>
            </w:r>
          </w:p>
        </w:tc>
        <w:tc>
          <w:tcPr>
            <w:tcW w:w="0" w:type="auto"/>
            <w:vAlign w:val="center"/>
            <w:hideMark/>
          </w:tcPr>
          <w:p w14:paraId="02C2D2A4" w14:textId="77777777" w:rsidR="00357FF4" w:rsidRPr="002430E2" w:rsidRDefault="00357FF4" w:rsidP="00655E3E">
            <w:pPr>
              <w:jc w:val="center"/>
            </w:pPr>
            <w:r w:rsidRPr="002430E2">
              <w:t>I provide opportunities for peer teaching and learning.</w:t>
            </w:r>
          </w:p>
        </w:tc>
        <w:tc>
          <w:tcPr>
            <w:tcW w:w="0" w:type="auto"/>
            <w:vAlign w:val="center"/>
            <w:hideMark/>
          </w:tcPr>
          <w:p w14:paraId="07178BD0" w14:textId="77777777" w:rsidR="00357FF4" w:rsidRPr="002430E2" w:rsidRDefault="00357FF4" w:rsidP="00655E3E">
            <w:pPr>
              <w:jc w:val="center"/>
            </w:pPr>
            <w:r w:rsidRPr="002430E2">
              <w:t>4.09</w:t>
            </w:r>
          </w:p>
        </w:tc>
        <w:tc>
          <w:tcPr>
            <w:tcW w:w="0" w:type="auto"/>
            <w:vAlign w:val="center"/>
            <w:hideMark/>
          </w:tcPr>
          <w:p w14:paraId="2D5B60D0" w14:textId="77777777" w:rsidR="00357FF4" w:rsidRPr="002430E2" w:rsidRDefault="00357FF4" w:rsidP="00655E3E">
            <w:pPr>
              <w:jc w:val="center"/>
            </w:pPr>
            <w:r w:rsidRPr="002430E2">
              <w:t>0.68</w:t>
            </w:r>
          </w:p>
        </w:tc>
        <w:tc>
          <w:tcPr>
            <w:tcW w:w="0" w:type="auto"/>
            <w:vAlign w:val="center"/>
            <w:hideMark/>
          </w:tcPr>
          <w:p w14:paraId="259DE984" w14:textId="77777777" w:rsidR="00357FF4" w:rsidRPr="002430E2" w:rsidRDefault="00357FF4" w:rsidP="00655E3E">
            <w:pPr>
              <w:jc w:val="center"/>
            </w:pPr>
            <w:r w:rsidRPr="002430E2">
              <w:t>High</w:t>
            </w:r>
          </w:p>
        </w:tc>
      </w:tr>
      <w:tr w:rsidR="00357FF4" w:rsidRPr="002430E2" w14:paraId="55DDFCB7" w14:textId="77777777" w:rsidTr="00B0092D">
        <w:trPr>
          <w:tblCellSpacing w:w="15" w:type="dxa"/>
        </w:trPr>
        <w:tc>
          <w:tcPr>
            <w:tcW w:w="0" w:type="auto"/>
            <w:vAlign w:val="center"/>
            <w:hideMark/>
          </w:tcPr>
          <w:p w14:paraId="3F5C047B" w14:textId="77777777" w:rsidR="00357FF4" w:rsidRPr="002430E2" w:rsidRDefault="00357FF4" w:rsidP="00655E3E">
            <w:pPr>
              <w:jc w:val="center"/>
            </w:pPr>
            <w:r w:rsidRPr="002430E2">
              <w:t>9</w:t>
            </w:r>
          </w:p>
        </w:tc>
        <w:tc>
          <w:tcPr>
            <w:tcW w:w="0" w:type="auto"/>
            <w:vAlign w:val="center"/>
            <w:hideMark/>
          </w:tcPr>
          <w:p w14:paraId="4824AD03" w14:textId="77777777" w:rsidR="00357FF4" w:rsidRPr="002430E2" w:rsidRDefault="00357FF4" w:rsidP="00655E3E">
            <w:pPr>
              <w:jc w:val="center"/>
            </w:pPr>
            <w:r w:rsidRPr="002430E2">
              <w:t>I use strategies that maintain students’ attention throughout the lesson.</w:t>
            </w:r>
          </w:p>
        </w:tc>
        <w:tc>
          <w:tcPr>
            <w:tcW w:w="0" w:type="auto"/>
            <w:vAlign w:val="center"/>
            <w:hideMark/>
          </w:tcPr>
          <w:p w14:paraId="420E2D1F" w14:textId="77777777" w:rsidR="00357FF4" w:rsidRPr="002430E2" w:rsidRDefault="00357FF4" w:rsidP="00655E3E">
            <w:pPr>
              <w:jc w:val="center"/>
            </w:pPr>
            <w:r w:rsidRPr="002430E2">
              <w:t>4.16</w:t>
            </w:r>
          </w:p>
        </w:tc>
        <w:tc>
          <w:tcPr>
            <w:tcW w:w="0" w:type="auto"/>
            <w:vAlign w:val="center"/>
            <w:hideMark/>
          </w:tcPr>
          <w:p w14:paraId="34E5E0B8" w14:textId="77777777" w:rsidR="00357FF4" w:rsidRPr="002430E2" w:rsidRDefault="00357FF4" w:rsidP="00655E3E">
            <w:pPr>
              <w:jc w:val="center"/>
            </w:pPr>
            <w:r w:rsidRPr="002430E2">
              <w:t>0.63</w:t>
            </w:r>
          </w:p>
        </w:tc>
        <w:tc>
          <w:tcPr>
            <w:tcW w:w="0" w:type="auto"/>
            <w:vAlign w:val="center"/>
            <w:hideMark/>
          </w:tcPr>
          <w:p w14:paraId="71EAC03E" w14:textId="77777777" w:rsidR="00357FF4" w:rsidRPr="002430E2" w:rsidRDefault="00357FF4" w:rsidP="00655E3E">
            <w:pPr>
              <w:jc w:val="center"/>
            </w:pPr>
            <w:r w:rsidRPr="002430E2">
              <w:t>Very High</w:t>
            </w:r>
          </w:p>
        </w:tc>
      </w:tr>
      <w:tr w:rsidR="00357FF4" w:rsidRPr="002430E2" w14:paraId="59B2D786" w14:textId="77777777" w:rsidTr="00B0092D">
        <w:trPr>
          <w:tblCellSpacing w:w="15" w:type="dxa"/>
        </w:trPr>
        <w:tc>
          <w:tcPr>
            <w:tcW w:w="0" w:type="auto"/>
            <w:vAlign w:val="center"/>
            <w:hideMark/>
          </w:tcPr>
          <w:p w14:paraId="4034CB6D" w14:textId="77777777" w:rsidR="00357FF4" w:rsidRPr="002430E2" w:rsidRDefault="00357FF4" w:rsidP="00655E3E">
            <w:pPr>
              <w:jc w:val="center"/>
            </w:pPr>
            <w:r w:rsidRPr="002430E2">
              <w:t>10</w:t>
            </w:r>
          </w:p>
        </w:tc>
        <w:tc>
          <w:tcPr>
            <w:tcW w:w="0" w:type="auto"/>
            <w:vAlign w:val="center"/>
            <w:hideMark/>
          </w:tcPr>
          <w:p w14:paraId="446CF15C" w14:textId="77777777" w:rsidR="00357FF4" w:rsidRPr="002430E2" w:rsidRDefault="00357FF4" w:rsidP="00655E3E">
            <w:pPr>
              <w:jc w:val="center"/>
            </w:pPr>
            <w:r w:rsidRPr="002430E2">
              <w:t>I recognize and reward active engagement in class activities.</w:t>
            </w:r>
          </w:p>
        </w:tc>
        <w:tc>
          <w:tcPr>
            <w:tcW w:w="0" w:type="auto"/>
            <w:vAlign w:val="center"/>
            <w:hideMark/>
          </w:tcPr>
          <w:p w14:paraId="22742B51" w14:textId="77777777" w:rsidR="00357FF4" w:rsidRPr="002430E2" w:rsidRDefault="00357FF4" w:rsidP="00655E3E">
            <w:pPr>
              <w:jc w:val="center"/>
            </w:pPr>
            <w:r w:rsidRPr="002430E2">
              <w:t>4.17</w:t>
            </w:r>
          </w:p>
        </w:tc>
        <w:tc>
          <w:tcPr>
            <w:tcW w:w="0" w:type="auto"/>
            <w:vAlign w:val="center"/>
            <w:hideMark/>
          </w:tcPr>
          <w:p w14:paraId="5DAE948C" w14:textId="77777777" w:rsidR="00357FF4" w:rsidRPr="002430E2" w:rsidRDefault="00357FF4" w:rsidP="00655E3E">
            <w:pPr>
              <w:jc w:val="center"/>
            </w:pPr>
            <w:r w:rsidRPr="002430E2">
              <w:t>0.64</w:t>
            </w:r>
          </w:p>
        </w:tc>
        <w:tc>
          <w:tcPr>
            <w:tcW w:w="0" w:type="auto"/>
            <w:vAlign w:val="center"/>
            <w:hideMark/>
          </w:tcPr>
          <w:p w14:paraId="0D859BB3" w14:textId="77777777" w:rsidR="00357FF4" w:rsidRPr="002430E2" w:rsidRDefault="00357FF4" w:rsidP="00655E3E">
            <w:pPr>
              <w:jc w:val="center"/>
            </w:pPr>
            <w:r w:rsidRPr="002430E2">
              <w:t>Very High</w:t>
            </w:r>
          </w:p>
        </w:tc>
      </w:tr>
      <w:tr w:rsidR="00357FF4" w:rsidRPr="002430E2" w14:paraId="6EF7F603" w14:textId="77777777" w:rsidTr="00B0092D">
        <w:trPr>
          <w:tblCellSpacing w:w="15" w:type="dxa"/>
        </w:trPr>
        <w:tc>
          <w:tcPr>
            <w:tcW w:w="0" w:type="auto"/>
            <w:vAlign w:val="center"/>
            <w:hideMark/>
          </w:tcPr>
          <w:p w14:paraId="3D03240B" w14:textId="77777777" w:rsidR="00357FF4" w:rsidRPr="002430E2" w:rsidRDefault="00357FF4" w:rsidP="00655E3E">
            <w:pPr>
              <w:jc w:val="center"/>
            </w:pPr>
            <w:r w:rsidRPr="002430E2">
              <w:rPr>
                <w:b/>
                <w:bCs/>
              </w:rPr>
              <w:t>Overall SSE</w:t>
            </w:r>
          </w:p>
        </w:tc>
        <w:tc>
          <w:tcPr>
            <w:tcW w:w="0" w:type="auto"/>
            <w:vAlign w:val="center"/>
            <w:hideMark/>
          </w:tcPr>
          <w:p w14:paraId="3C8A9735" w14:textId="77777777" w:rsidR="00357FF4" w:rsidRPr="002430E2" w:rsidRDefault="00357FF4" w:rsidP="00655E3E">
            <w:pPr>
              <w:jc w:val="center"/>
              <w:rPr>
                <w:b/>
                <w:bCs/>
              </w:rPr>
            </w:pPr>
            <w:r w:rsidRPr="002430E2">
              <w:rPr>
                <w:b/>
                <w:bCs/>
              </w:rPr>
              <w:t>Average of 10 items</w:t>
            </w:r>
          </w:p>
        </w:tc>
        <w:tc>
          <w:tcPr>
            <w:tcW w:w="0" w:type="auto"/>
            <w:vAlign w:val="center"/>
            <w:hideMark/>
          </w:tcPr>
          <w:p w14:paraId="2BD7A499" w14:textId="77777777" w:rsidR="00357FF4" w:rsidRPr="002430E2" w:rsidRDefault="00357FF4" w:rsidP="00655E3E">
            <w:pPr>
              <w:jc w:val="center"/>
              <w:rPr>
                <w:b/>
                <w:bCs/>
              </w:rPr>
            </w:pPr>
            <w:r w:rsidRPr="002430E2">
              <w:rPr>
                <w:b/>
                <w:bCs/>
              </w:rPr>
              <w:t>4.14</w:t>
            </w:r>
          </w:p>
        </w:tc>
        <w:tc>
          <w:tcPr>
            <w:tcW w:w="0" w:type="auto"/>
            <w:vAlign w:val="center"/>
            <w:hideMark/>
          </w:tcPr>
          <w:p w14:paraId="0AD23AFB" w14:textId="77777777" w:rsidR="00357FF4" w:rsidRPr="002430E2" w:rsidRDefault="00357FF4" w:rsidP="00655E3E">
            <w:pPr>
              <w:jc w:val="center"/>
              <w:rPr>
                <w:b/>
                <w:bCs/>
              </w:rPr>
            </w:pPr>
            <w:r w:rsidRPr="002430E2">
              <w:rPr>
                <w:b/>
                <w:bCs/>
              </w:rPr>
              <w:t>0.65</w:t>
            </w:r>
          </w:p>
        </w:tc>
        <w:tc>
          <w:tcPr>
            <w:tcW w:w="0" w:type="auto"/>
            <w:vAlign w:val="center"/>
            <w:hideMark/>
          </w:tcPr>
          <w:p w14:paraId="3E2D67E8" w14:textId="77777777" w:rsidR="00357FF4" w:rsidRPr="002430E2" w:rsidRDefault="00357FF4" w:rsidP="00655E3E">
            <w:pPr>
              <w:jc w:val="center"/>
              <w:rPr>
                <w:b/>
                <w:bCs/>
              </w:rPr>
            </w:pPr>
            <w:r w:rsidRPr="002430E2">
              <w:rPr>
                <w:b/>
                <w:bCs/>
              </w:rPr>
              <w:t>High</w:t>
            </w:r>
          </w:p>
        </w:tc>
      </w:tr>
    </w:tbl>
    <w:p w14:paraId="39A5BCEA" w14:textId="77777777" w:rsidR="00357FF4" w:rsidRPr="00531610" w:rsidRDefault="00357FF4" w:rsidP="00655E3E">
      <w:pPr>
        <w:spacing w:before="100" w:beforeAutospacing="1" w:after="100" w:afterAutospacing="1"/>
        <w:jc w:val="both"/>
        <w:rPr>
          <w:sz w:val="15"/>
          <w:szCs w:val="15"/>
        </w:rPr>
      </w:pPr>
      <w:r w:rsidRPr="00531610">
        <w:rPr>
          <w:b/>
          <w:bCs/>
          <w:sz w:val="15"/>
          <w:szCs w:val="15"/>
        </w:rPr>
        <w:t>Interpretation Scale (5-point Likert):</w:t>
      </w:r>
    </w:p>
    <w:p w14:paraId="264D1F2C" w14:textId="77777777" w:rsidR="00357FF4" w:rsidRPr="00531610" w:rsidRDefault="00357FF4" w:rsidP="00655E3E">
      <w:pPr>
        <w:pStyle w:val="NoSpacing"/>
        <w:rPr>
          <w:sz w:val="18"/>
          <w:szCs w:val="18"/>
        </w:rPr>
      </w:pPr>
      <w:r w:rsidRPr="00531610">
        <w:rPr>
          <w:sz w:val="18"/>
          <w:szCs w:val="18"/>
        </w:rPr>
        <w:t>1.00–1.79: Very Low</w:t>
      </w:r>
    </w:p>
    <w:p w14:paraId="77B19D5E" w14:textId="77777777" w:rsidR="00357FF4" w:rsidRPr="00531610" w:rsidRDefault="00357FF4" w:rsidP="00655E3E">
      <w:pPr>
        <w:pStyle w:val="NoSpacing"/>
        <w:rPr>
          <w:sz w:val="18"/>
          <w:szCs w:val="18"/>
        </w:rPr>
      </w:pPr>
      <w:r w:rsidRPr="00531610">
        <w:rPr>
          <w:sz w:val="18"/>
          <w:szCs w:val="18"/>
        </w:rPr>
        <w:t>1.80–2.59: Low</w:t>
      </w:r>
    </w:p>
    <w:p w14:paraId="73EF1CCD" w14:textId="77777777" w:rsidR="00357FF4" w:rsidRPr="00531610" w:rsidRDefault="00357FF4" w:rsidP="00655E3E">
      <w:pPr>
        <w:pStyle w:val="NoSpacing"/>
        <w:rPr>
          <w:sz w:val="18"/>
          <w:szCs w:val="18"/>
        </w:rPr>
      </w:pPr>
      <w:r w:rsidRPr="00531610">
        <w:rPr>
          <w:sz w:val="18"/>
          <w:szCs w:val="18"/>
        </w:rPr>
        <w:t>2.60–3.39: Moderate</w:t>
      </w:r>
    </w:p>
    <w:p w14:paraId="3730D5D7" w14:textId="77777777" w:rsidR="00357FF4" w:rsidRPr="00531610" w:rsidRDefault="00357FF4" w:rsidP="00655E3E">
      <w:pPr>
        <w:pStyle w:val="NoSpacing"/>
        <w:rPr>
          <w:sz w:val="18"/>
          <w:szCs w:val="18"/>
        </w:rPr>
      </w:pPr>
      <w:r w:rsidRPr="00531610">
        <w:rPr>
          <w:sz w:val="18"/>
          <w:szCs w:val="18"/>
        </w:rPr>
        <w:t>3.40–4.19: High</w:t>
      </w:r>
    </w:p>
    <w:p w14:paraId="67886C33" w14:textId="77777777" w:rsidR="00357FF4" w:rsidRPr="00531610" w:rsidRDefault="00357FF4" w:rsidP="00655E3E">
      <w:pPr>
        <w:pStyle w:val="NoSpacing"/>
        <w:rPr>
          <w:sz w:val="18"/>
          <w:szCs w:val="18"/>
        </w:rPr>
      </w:pPr>
      <w:r w:rsidRPr="00531610">
        <w:rPr>
          <w:sz w:val="18"/>
          <w:szCs w:val="18"/>
        </w:rPr>
        <w:t>4.20–5.00: Very High</w:t>
      </w:r>
    </w:p>
    <w:p w14:paraId="77ABCB39" w14:textId="77777777" w:rsidR="00357FF4" w:rsidRDefault="00357FF4" w:rsidP="00655E3E">
      <w:pPr>
        <w:jc w:val="both"/>
      </w:pPr>
    </w:p>
    <w:p w14:paraId="14A03CBA" w14:textId="77777777" w:rsidR="00357FF4" w:rsidRDefault="00357FF4" w:rsidP="00655E3E">
      <w:pPr>
        <w:pStyle w:val="NormalWeb"/>
        <w:ind w:firstLine="720"/>
        <w:jc w:val="both"/>
      </w:pPr>
      <w:r>
        <w:t xml:space="preserve">The data presented in the table indicates that the 100 surveyed respondents practice Supportive Student Engagement (SSE) at a "High" level overall, as demonstrated by a composite average mean of 4.14 and a standard deviation of 0.65. This underscores a strong and unified commitment among the educators to keep students actively, creatively, and meaningfully involved in the learning process. The primary strength within this domain is the integration of activities that stimulate curiosity and creativity (Item 7), which achieved the highest individual mean score of 4.20 (SD = 0.62) and a descriptive interpretation of "Very High." This highlights the teachers' talent for designing intellectually engaging and inspiring lessons. Other highly executed strategies </w:t>
      </w:r>
      <w:r>
        <w:lastRenderedPageBreak/>
        <w:t>earning a "Very High" interpretation include actively involving students in classroom discussions (Item 1) with a mean of 4.18 (SD = 0.64), recognizing and rewarding active engagement in class activities (Item 10) at 4.17 (SD = 0.64), using strategies to maintain students' attention throughout the lesson (Item 9) at 4.16 (SD = 0.63), providing motivating feedback for improvement (Item 3) at 4.15 (SD = 0.63), and promoting participation from all students, including quieter learners (Item 6) at 4.14 (SD = 0.65).</w:t>
      </w:r>
    </w:p>
    <w:p w14:paraId="62465827" w14:textId="77777777" w:rsidR="00357FF4" w:rsidRDefault="00357FF4" w:rsidP="00655E3E">
      <w:pPr>
        <w:pStyle w:val="NormalWeb"/>
        <w:jc w:val="both"/>
      </w:pPr>
      <w:r>
        <w:t>Conversely, while still safely within the positive "High" parameters, certain items yielded lower relative means, pointing to areas that could be subtly enhanced. Connecting lessons to students' real-life experiences (Item 5) received the lowest mean score in the dataset at 4.08 (SD = 0.69). This suggests that while teachers excel at creating stimulating and attentive environments inside the classroom, they face a slight relative challenge in bridging theoretical lesson content with the practical, external lives of their students. Other items falling into the "High" bracket include providing opportunities for peer teaching and learning (Item 8) at 4.09 (SD = 0.68), encouraging students to ask questions and express ideas (Item 4) at 4.10 (SD = 0.67), and using interactive and collaborative activities to maintain engagement (Item 2) at 4.12 (SD = 0.66). Across all 10 items, the standard deviations remain tightly clustered between 0.62 and 0.69, showing high consensus and minimal variation among the respondents, which ultimately reinforces that supportive student engagement is a consistent, reliable standard across their classrooms.</w:t>
      </w:r>
    </w:p>
    <w:p w14:paraId="3FB0ACEE" w14:textId="77777777" w:rsidR="00357FF4" w:rsidRPr="002430E2" w:rsidRDefault="00357FF4" w:rsidP="00655E3E">
      <w:pPr>
        <w:jc w:val="both"/>
      </w:pPr>
    </w:p>
    <w:p w14:paraId="77E6FB5A" w14:textId="77777777" w:rsidR="00357FF4" w:rsidRDefault="00357FF4" w:rsidP="00655E3E">
      <w:pPr>
        <w:spacing w:before="100" w:beforeAutospacing="1" w:after="100" w:afterAutospacing="1"/>
        <w:ind w:left="720"/>
        <w:jc w:val="both"/>
        <w:rPr>
          <w:b/>
          <w:bCs/>
        </w:rPr>
      </w:pPr>
    </w:p>
    <w:p w14:paraId="7345A42D" w14:textId="77777777" w:rsidR="00357FF4" w:rsidRDefault="00357FF4" w:rsidP="00655E3E">
      <w:pPr>
        <w:spacing w:before="100" w:beforeAutospacing="1" w:after="100" w:afterAutospacing="1"/>
        <w:ind w:left="720"/>
        <w:jc w:val="both"/>
        <w:rPr>
          <w:b/>
          <w:bCs/>
        </w:rPr>
      </w:pPr>
    </w:p>
    <w:p w14:paraId="51B8558C" w14:textId="77777777" w:rsidR="00357FF4" w:rsidRDefault="00357FF4" w:rsidP="00655E3E">
      <w:pPr>
        <w:spacing w:before="100" w:beforeAutospacing="1" w:after="100" w:afterAutospacing="1"/>
        <w:ind w:left="720"/>
        <w:jc w:val="both"/>
        <w:rPr>
          <w:b/>
          <w:bCs/>
        </w:rPr>
      </w:pPr>
    </w:p>
    <w:p w14:paraId="27B6B7CC" w14:textId="77777777" w:rsidR="00357FF4" w:rsidRDefault="00357FF4" w:rsidP="00655E3E">
      <w:pPr>
        <w:spacing w:before="100" w:beforeAutospacing="1" w:after="100" w:afterAutospacing="1"/>
        <w:ind w:left="720"/>
        <w:jc w:val="both"/>
        <w:rPr>
          <w:b/>
          <w:bCs/>
        </w:rPr>
      </w:pPr>
    </w:p>
    <w:p w14:paraId="27B5E214" w14:textId="77777777" w:rsidR="00357FF4" w:rsidRDefault="00357FF4" w:rsidP="00655E3E">
      <w:pPr>
        <w:spacing w:before="100" w:beforeAutospacing="1" w:after="100" w:afterAutospacing="1"/>
        <w:ind w:left="720"/>
        <w:jc w:val="both"/>
        <w:rPr>
          <w:b/>
          <w:bCs/>
        </w:rPr>
      </w:pPr>
    </w:p>
    <w:p w14:paraId="07AEF25C" w14:textId="77777777" w:rsidR="00357FF4" w:rsidRDefault="00357FF4" w:rsidP="00655E3E">
      <w:pPr>
        <w:spacing w:before="100" w:beforeAutospacing="1" w:after="100" w:afterAutospacing="1"/>
        <w:ind w:left="720"/>
        <w:jc w:val="both"/>
        <w:rPr>
          <w:b/>
          <w:bCs/>
        </w:rPr>
      </w:pPr>
    </w:p>
    <w:p w14:paraId="5D9465C6" w14:textId="77777777" w:rsidR="00357FF4" w:rsidRDefault="00357FF4" w:rsidP="00655E3E">
      <w:pPr>
        <w:spacing w:before="100" w:beforeAutospacing="1" w:after="100" w:afterAutospacing="1"/>
        <w:ind w:left="720"/>
        <w:jc w:val="both"/>
        <w:rPr>
          <w:b/>
          <w:bCs/>
        </w:rPr>
      </w:pPr>
    </w:p>
    <w:p w14:paraId="2111392B" w14:textId="77777777" w:rsidR="00357FF4" w:rsidRDefault="00357FF4" w:rsidP="00655E3E">
      <w:pPr>
        <w:spacing w:before="100" w:beforeAutospacing="1" w:after="100" w:afterAutospacing="1"/>
        <w:ind w:left="720"/>
        <w:jc w:val="both"/>
        <w:rPr>
          <w:b/>
          <w:bCs/>
        </w:rPr>
      </w:pPr>
    </w:p>
    <w:p w14:paraId="2CCAF11A" w14:textId="77777777" w:rsidR="00357FF4" w:rsidRDefault="00357FF4" w:rsidP="00655E3E">
      <w:pPr>
        <w:spacing w:before="100" w:beforeAutospacing="1" w:after="100" w:afterAutospacing="1"/>
        <w:ind w:left="720"/>
        <w:jc w:val="both"/>
        <w:rPr>
          <w:b/>
          <w:bCs/>
        </w:rPr>
      </w:pPr>
    </w:p>
    <w:p w14:paraId="00903B0E" w14:textId="77777777" w:rsidR="00357FF4" w:rsidRDefault="00357FF4" w:rsidP="00655E3E">
      <w:pPr>
        <w:spacing w:before="100" w:beforeAutospacing="1" w:after="100" w:afterAutospacing="1"/>
        <w:jc w:val="center"/>
        <w:outlineLvl w:val="2"/>
        <w:rPr>
          <w:b/>
          <w:bCs/>
        </w:rPr>
      </w:pPr>
    </w:p>
    <w:p w14:paraId="38363BF0" w14:textId="77777777" w:rsidR="00357FF4" w:rsidRPr="002430E2" w:rsidRDefault="00357FF4" w:rsidP="00655E3E">
      <w:pPr>
        <w:spacing w:before="100" w:beforeAutospacing="1" w:after="100" w:afterAutospacing="1"/>
        <w:jc w:val="center"/>
        <w:outlineLvl w:val="2"/>
        <w:rPr>
          <w:b/>
          <w:bCs/>
        </w:rPr>
      </w:pPr>
      <w:r w:rsidRPr="002430E2">
        <w:rPr>
          <w:b/>
          <w:bCs/>
        </w:rPr>
        <w:t>Summary of Holistic Handling Approaches (HHA) (n = 100)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8"/>
        <w:gridCol w:w="5263"/>
        <w:gridCol w:w="667"/>
        <w:gridCol w:w="500"/>
        <w:gridCol w:w="1682"/>
      </w:tblGrid>
      <w:tr w:rsidR="00357FF4" w:rsidRPr="002430E2" w14:paraId="48DC5189" w14:textId="77777777" w:rsidTr="00B0092D">
        <w:trPr>
          <w:tblHeader/>
          <w:tblCellSpacing w:w="15" w:type="dxa"/>
        </w:trPr>
        <w:tc>
          <w:tcPr>
            <w:tcW w:w="0" w:type="auto"/>
            <w:vAlign w:val="center"/>
            <w:hideMark/>
          </w:tcPr>
          <w:p w14:paraId="13A63458" w14:textId="77777777" w:rsidR="00357FF4" w:rsidRPr="002430E2" w:rsidRDefault="00357FF4" w:rsidP="00655E3E">
            <w:pPr>
              <w:jc w:val="center"/>
              <w:rPr>
                <w:b/>
                <w:bCs/>
              </w:rPr>
            </w:pPr>
            <w:r w:rsidRPr="002430E2">
              <w:rPr>
                <w:b/>
                <w:bCs/>
              </w:rPr>
              <w:lastRenderedPageBreak/>
              <w:t>Item No.</w:t>
            </w:r>
          </w:p>
        </w:tc>
        <w:tc>
          <w:tcPr>
            <w:tcW w:w="0" w:type="auto"/>
            <w:vAlign w:val="center"/>
            <w:hideMark/>
          </w:tcPr>
          <w:p w14:paraId="6A32BDDA" w14:textId="77777777" w:rsidR="00357FF4" w:rsidRPr="002430E2" w:rsidRDefault="00357FF4" w:rsidP="00655E3E">
            <w:pPr>
              <w:jc w:val="center"/>
              <w:rPr>
                <w:b/>
                <w:bCs/>
              </w:rPr>
            </w:pPr>
            <w:r w:rsidRPr="002430E2">
              <w:rPr>
                <w:b/>
                <w:bCs/>
              </w:rPr>
              <w:t>Statement</w:t>
            </w:r>
          </w:p>
        </w:tc>
        <w:tc>
          <w:tcPr>
            <w:tcW w:w="0" w:type="auto"/>
            <w:vAlign w:val="center"/>
            <w:hideMark/>
          </w:tcPr>
          <w:p w14:paraId="37AA42A4" w14:textId="77777777" w:rsidR="00357FF4" w:rsidRPr="002430E2" w:rsidRDefault="00357FF4" w:rsidP="00655E3E">
            <w:pPr>
              <w:jc w:val="center"/>
              <w:rPr>
                <w:b/>
                <w:bCs/>
              </w:rPr>
            </w:pPr>
            <w:r w:rsidRPr="002430E2">
              <w:rPr>
                <w:b/>
                <w:bCs/>
              </w:rPr>
              <w:t>Mean</w:t>
            </w:r>
          </w:p>
        </w:tc>
        <w:tc>
          <w:tcPr>
            <w:tcW w:w="0" w:type="auto"/>
            <w:vAlign w:val="center"/>
            <w:hideMark/>
          </w:tcPr>
          <w:p w14:paraId="19CB5D61" w14:textId="77777777" w:rsidR="00357FF4" w:rsidRPr="002430E2" w:rsidRDefault="00357FF4" w:rsidP="00655E3E">
            <w:pPr>
              <w:jc w:val="center"/>
              <w:rPr>
                <w:b/>
                <w:bCs/>
              </w:rPr>
            </w:pPr>
            <w:r w:rsidRPr="002430E2">
              <w:rPr>
                <w:b/>
                <w:bCs/>
              </w:rPr>
              <w:t>SD</w:t>
            </w:r>
          </w:p>
        </w:tc>
        <w:tc>
          <w:tcPr>
            <w:tcW w:w="0" w:type="auto"/>
            <w:vAlign w:val="center"/>
            <w:hideMark/>
          </w:tcPr>
          <w:p w14:paraId="29CA16E0" w14:textId="77777777" w:rsidR="00357FF4" w:rsidRPr="002430E2" w:rsidRDefault="00357FF4" w:rsidP="00655E3E">
            <w:pPr>
              <w:jc w:val="center"/>
              <w:rPr>
                <w:b/>
                <w:bCs/>
              </w:rPr>
            </w:pPr>
            <w:r w:rsidRPr="002430E2">
              <w:rPr>
                <w:b/>
                <w:bCs/>
              </w:rPr>
              <w:t>Interpretation*</w:t>
            </w:r>
          </w:p>
        </w:tc>
      </w:tr>
      <w:tr w:rsidR="00357FF4" w:rsidRPr="002430E2" w14:paraId="6ECBCDCE" w14:textId="77777777" w:rsidTr="00B0092D">
        <w:trPr>
          <w:tblCellSpacing w:w="15" w:type="dxa"/>
        </w:trPr>
        <w:tc>
          <w:tcPr>
            <w:tcW w:w="0" w:type="auto"/>
            <w:vAlign w:val="center"/>
            <w:hideMark/>
          </w:tcPr>
          <w:p w14:paraId="4730DD85" w14:textId="77777777" w:rsidR="00357FF4" w:rsidRPr="002430E2" w:rsidRDefault="00357FF4" w:rsidP="00655E3E">
            <w:pPr>
              <w:jc w:val="center"/>
            </w:pPr>
            <w:r w:rsidRPr="002430E2">
              <w:t>1</w:t>
            </w:r>
          </w:p>
        </w:tc>
        <w:tc>
          <w:tcPr>
            <w:tcW w:w="0" w:type="auto"/>
            <w:vAlign w:val="center"/>
            <w:hideMark/>
          </w:tcPr>
          <w:p w14:paraId="38AF0E9C" w14:textId="77777777" w:rsidR="00357FF4" w:rsidRPr="002430E2" w:rsidRDefault="00357FF4" w:rsidP="00655E3E">
            <w:pPr>
              <w:jc w:val="center"/>
            </w:pPr>
            <w:r w:rsidRPr="002430E2">
              <w:t>I address students’ emotional well-being alongside academic needs.</w:t>
            </w:r>
          </w:p>
        </w:tc>
        <w:tc>
          <w:tcPr>
            <w:tcW w:w="0" w:type="auto"/>
            <w:vAlign w:val="center"/>
            <w:hideMark/>
          </w:tcPr>
          <w:p w14:paraId="2ED0419A" w14:textId="77777777" w:rsidR="00357FF4" w:rsidRPr="002430E2" w:rsidRDefault="00357FF4" w:rsidP="00655E3E">
            <w:pPr>
              <w:jc w:val="center"/>
            </w:pPr>
            <w:r w:rsidRPr="002430E2">
              <w:t>4.12</w:t>
            </w:r>
          </w:p>
        </w:tc>
        <w:tc>
          <w:tcPr>
            <w:tcW w:w="0" w:type="auto"/>
            <w:vAlign w:val="center"/>
            <w:hideMark/>
          </w:tcPr>
          <w:p w14:paraId="06717D00" w14:textId="77777777" w:rsidR="00357FF4" w:rsidRPr="002430E2" w:rsidRDefault="00357FF4" w:rsidP="00655E3E">
            <w:pPr>
              <w:jc w:val="center"/>
            </w:pPr>
            <w:r w:rsidRPr="002430E2">
              <w:t>0.66</w:t>
            </w:r>
          </w:p>
        </w:tc>
        <w:tc>
          <w:tcPr>
            <w:tcW w:w="0" w:type="auto"/>
            <w:vAlign w:val="center"/>
            <w:hideMark/>
          </w:tcPr>
          <w:p w14:paraId="4AD52A7D" w14:textId="77777777" w:rsidR="00357FF4" w:rsidRPr="002430E2" w:rsidRDefault="00357FF4" w:rsidP="00655E3E">
            <w:pPr>
              <w:jc w:val="center"/>
            </w:pPr>
            <w:r w:rsidRPr="002430E2">
              <w:t>High</w:t>
            </w:r>
          </w:p>
        </w:tc>
      </w:tr>
      <w:tr w:rsidR="00357FF4" w:rsidRPr="002430E2" w14:paraId="5CA87A08" w14:textId="77777777" w:rsidTr="00B0092D">
        <w:trPr>
          <w:tblCellSpacing w:w="15" w:type="dxa"/>
        </w:trPr>
        <w:tc>
          <w:tcPr>
            <w:tcW w:w="0" w:type="auto"/>
            <w:vAlign w:val="center"/>
            <w:hideMark/>
          </w:tcPr>
          <w:p w14:paraId="1BA35438" w14:textId="77777777" w:rsidR="00357FF4" w:rsidRPr="002430E2" w:rsidRDefault="00357FF4" w:rsidP="00655E3E">
            <w:pPr>
              <w:jc w:val="center"/>
            </w:pPr>
            <w:r w:rsidRPr="002430E2">
              <w:t>2</w:t>
            </w:r>
          </w:p>
        </w:tc>
        <w:tc>
          <w:tcPr>
            <w:tcW w:w="0" w:type="auto"/>
            <w:vAlign w:val="center"/>
            <w:hideMark/>
          </w:tcPr>
          <w:p w14:paraId="63E2AFE6" w14:textId="77777777" w:rsidR="00357FF4" w:rsidRPr="002430E2" w:rsidRDefault="00357FF4" w:rsidP="00655E3E">
            <w:pPr>
              <w:jc w:val="center"/>
            </w:pPr>
            <w:r w:rsidRPr="002430E2">
              <w:t>I provide support for students’ social and interpersonal development.</w:t>
            </w:r>
          </w:p>
        </w:tc>
        <w:tc>
          <w:tcPr>
            <w:tcW w:w="0" w:type="auto"/>
            <w:vAlign w:val="center"/>
            <w:hideMark/>
          </w:tcPr>
          <w:p w14:paraId="0A82F64E" w14:textId="77777777" w:rsidR="00357FF4" w:rsidRPr="002430E2" w:rsidRDefault="00357FF4" w:rsidP="00655E3E">
            <w:pPr>
              <w:jc w:val="center"/>
            </w:pPr>
            <w:r w:rsidRPr="002430E2">
              <w:t>4.14</w:t>
            </w:r>
          </w:p>
        </w:tc>
        <w:tc>
          <w:tcPr>
            <w:tcW w:w="0" w:type="auto"/>
            <w:vAlign w:val="center"/>
            <w:hideMark/>
          </w:tcPr>
          <w:p w14:paraId="5D2FC974" w14:textId="77777777" w:rsidR="00357FF4" w:rsidRPr="002430E2" w:rsidRDefault="00357FF4" w:rsidP="00655E3E">
            <w:pPr>
              <w:jc w:val="center"/>
            </w:pPr>
            <w:r w:rsidRPr="002430E2">
              <w:t>0.65</w:t>
            </w:r>
          </w:p>
        </w:tc>
        <w:tc>
          <w:tcPr>
            <w:tcW w:w="0" w:type="auto"/>
            <w:vAlign w:val="center"/>
            <w:hideMark/>
          </w:tcPr>
          <w:p w14:paraId="0D504D0C" w14:textId="77777777" w:rsidR="00357FF4" w:rsidRPr="002430E2" w:rsidRDefault="00357FF4" w:rsidP="00655E3E">
            <w:pPr>
              <w:jc w:val="center"/>
            </w:pPr>
            <w:r w:rsidRPr="002430E2">
              <w:t>Very High</w:t>
            </w:r>
          </w:p>
        </w:tc>
      </w:tr>
      <w:tr w:rsidR="00357FF4" w:rsidRPr="002430E2" w14:paraId="1AEEB79E" w14:textId="77777777" w:rsidTr="00B0092D">
        <w:trPr>
          <w:tblCellSpacing w:w="15" w:type="dxa"/>
        </w:trPr>
        <w:tc>
          <w:tcPr>
            <w:tcW w:w="0" w:type="auto"/>
            <w:vAlign w:val="center"/>
            <w:hideMark/>
          </w:tcPr>
          <w:p w14:paraId="465E7958" w14:textId="77777777" w:rsidR="00357FF4" w:rsidRPr="002430E2" w:rsidRDefault="00357FF4" w:rsidP="00655E3E">
            <w:pPr>
              <w:jc w:val="center"/>
            </w:pPr>
            <w:r w:rsidRPr="002430E2">
              <w:t>3</w:t>
            </w:r>
          </w:p>
        </w:tc>
        <w:tc>
          <w:tcPr>
            <w:tcW w:w="0" w:type="auto"/>
            <w:vAlign w:val="center"/>
            <w:hideMark/>
          </w:tcPr>
          <w:p w14:paraId="31620926" w14:textId="77777777" w:rsidR="00357FF4" w:rsidRPr="002430E2" w:rsidRDefault="00357FF4" w:rsidP="00655E3E">
            <w:pPr>
              <w:jc w:val="center"/>
            </w:pPr>
            <w:r w:rsidRPr="002430E2">
              <w:t>I monitor students’ progress holistically, considering strengths and weaknesses.</w:t>
            </w:r>
          </w:p>
        </w:tc>
        <w:tc>
          <w:tcPr>
            <w:tcW w:w="0" w:type="auto"/>
            <w:vAlign w:val="center"/>
            <w:hideMark/>
          </w:tcPr>
          <w:p w14:paraId="1905CB07" w14:textId="77777777" w:rsidR="00357FF4" w:rsidRPr="002430E2" w:rsidRDefault="00357FF4" w:rsidP="00655E3E">
            <w:pPr>
              <w:jc w:val="center"/>
            </w:pPr>
            <w:r w:rsidRPr="002430E2">
              <w:t>4.10</w:t>
            </w:r>
          </w:p>
        </w:tc>
        <w:tc>
          <w:tcPr>
            <w:tcW w:w="0" w:type="auto"/>
            <w:vAlign w:val="center"/>
            <w:hideMark/>
          </w:tcPr>
          <w:p w14:paraId="0E4A8551" w14:textId="77777777" w:rsidR="00357FF4" w:rsidRPr="002430E2" w:rsidRDefault="00357FF4" w:rsidP="00655E3E">
            <w:pPr>
              <w:jc w:val="center"/>
            </w:pPr>
            <w:r w:rsidRPr="002430E2">
              <w:t>0.67</w:t>
            </w:r>
          </w:p>
        </w:tc>
        <w:tc>
          <w:tcPr>
            <w:tcW w:w="0" w:type="auto"/>
            <w:vAlign w:val="center"/>
            <w:hideMark/>
          </w:tcPr>
          <w:p w14:paraId="5BE929A0" w14:textId="77777777" w:rsidR="00357FF4" w:rsidRPr="002430E2" w:rsidRDefault="00357FF4" w:rsidP="00655E3E">
            <w:pPr>
              <w:jc w:val="center"/>
            </w:pPr>
            <w:r w:rsidRPr="002430E2">
              <w:t>High</w:t>
            </w:r>
          </w:p>
        </w:tc>
      </w:tr>
      <w:tr w:rsidR="00357FF4" w:rsidRPr="002430E2" w14:paraId="08494597" w14:textId="77777777" w:rsidTr="00B0092D">
        <w:trPr>
          <w:tblCellSpacing w:w="15" w:type="dxa"/>
        </w:trPr>
        <w:tc>
          <w:tcPr>
            <w:tcW w:w="0" w:type="auto"/>
            <w:vAlign w:val="center"/>
            <w:hideMark/>
          </w:tcPr>
          <w:p w14:paraId="5306EFBB" w14:textId="77777777" w:rsidR="00357FF4" w:rsidRPr="002430E2" w:rsidRDefault="00357FF4" w:rsidP="00655E3E">
            <w:pPr>
              <w:jc w:val="center"/>
            </w:pPr>
            <w:r w:rsidRPr="002430E2">
              <w:t>4</w:t>
            </w:r>
          </w:p>
        </w:tc>
        <w:tc>
          <w:tcPr>
            <w:tcW w:w="0" w:type="auto"/>
            <w:vAlign w:val="center"/>
            <w:hideMark/>
          </w:tcPr>
          <w:p w14:paraId="4C27AFC6" w14:textId="77777777" w:rsidR="00357FF4" w:rsidRPr="002430E2" w:rsidRDefault="00357FF4" w:rsidP="00655E3E">
            <w:pPr>
              <w:jc w:val="center"/>
            </w:pPr>
            <w:r w:rsidRPr="002430E2">
              <w:t>I collaborate with colleagues and parents for student support.</w:t>
            </w:r>
          </w:p>
        </w:tc>
        <w:tc>
          <w:tcPr>
            <w:tcW w:w="0" w:type="auto"/>
            <w:vAlign w:val="center"/>
            <w:hideMark/>
          </w:tcPr>
          <w:p w14:paraId="298F2CC7" w14:textId="77777777" w:rsidR="00357FF4" w:rsidRPr="002430E2" w:rsidRDefault="00357FF4" w:rsidP="00655E3E">
            <w:pPr>
              <w:jc w:val="center"/>
            </w:pPr>
            <w:r w:rsidRPr="002430E2">
              <w:t>4.16</w:t>
            </w:r>
          </w:p>
        </w:tc>
        <w:tc>
          <w:tcPr>
            <w:tcW w:w="0" w:type="auto"/>
            <w:vAlign w:val="center"/>
            <w:hideMark/>
          </w:tcPr>
          <w:p w14:paraId="74B58CB5" w14:textId="77777777" w:rsidR="00357FF4" w:rsidRPr="002430E2" w:rsidRDefault="00357FF4" w:rsidP="00655E3E">
            <w:pPr>
              <w:jc w:val="center"/>
            </w:pPr>
            <w:r w:rsidRPr="002430E2">
              <w:t>0.64</w:t>
            </w:r>
          </w:p>
        </w:tc>
        <w:tc>
          <w:tcPr>
            <w:tcW w:w="0" w:type="auto"/>
            <w:vAlign w:val="center"/>
            <w:hideMark/>
          </w:tcPr>
          <w:p w14:paraId="73E3E15B" w14:textId="77777777" w:rsidR="00357FF4" w:rsidRPr="002430E2" w:rsidRDefault="00357FF4" w:rsidP="00655E3E">
            <w:pPr>
              <w:jc w:val="center"/>
            </w:pPr>
            <w:r w:rsidRPr="002430E2">
              <w:t>Very High</w:t>
            </w:r>
          </w:p>
        </w:tc>
      </w:tr>
      <w:tr w:rsidR="00357FF4" w:rsidRPr="002430E2" w14:paraId="1F8DEAB6" w14:textId="77777777" w:rsidTr="00B0092D">
        <w:trPr>
          <w:tblCellSpacing w:w="15" w:type="dxa"/>
        </w:trPr>
        <w:tc>
          <w:tcPr>
            <w:tcW w:w="0" w:type="auto"/>
            <w:vAlign w:val="center"/>
            <w:hideMark/>
          </w:tcPr>
          <w:p w14:paraId="7DFF6A20" w14:textId="77777777" w:rsidR="00357FF4" w:rsidRPr="002430E2" w:rsidRDefault="00357FF4" w:rsidP="00655E3E">
            <w:pPr>
              <w:jc w:val="center"/>
            </w:pPr>
            <w:r w:rsidRPr="002430E2">
              <w:t>5</w:t>
            </w:r>
          </w:p>
        </w:tc>
        <w:tc>
          <w:tcPr>
            <w:tcW w:w="0" w:type="auto"/>
            <w:vAlign w:val="center"/>
            <w:hideMark/>
          </w:tcPr>
          <w:p w14:paraId="4A973746" w14:textId="77777777" w:rsidR="00357FF4" w:rsidRPr="002430E2" w:rsidRDefault="00357FF4" w:rsidP="00655E3E">
            <w:pPr>
              <w:jc w:val="center"/>
            </w:pPr>
            <w:r w:rsidRPr="002430E2">
              <w:t>I apply strategies to manage classroom behavior effectively.</w:t>
            </w:r>
          </w:p>
        </w:tc>
        <w:tc>
          <w:tcPr>
            <w:tcW w:w="0" w:type="auto"/>
            <w:vAlign w:val="center"/>
            <w:hideMark/>
          </w:tcPr>
          <w:p w14:paraId="2630569E" w14:textId="77777777" w:rsidR="00357FF4" w:rsidRPr="002430E2" w:rsidRDefault="00357FF4" w:rsidP="00655E3E">
            <w:pPr>
              <w:jc w:val="center"/>
            </w:pPr>
            <w:r w:rsidRPr="002430E2">
              <w:t>4.11</w:t>
            </w:r>
          </w:p>
        </w:tc>
        <w:tc>
          <w:tcPr>
            <w:tcW w:w="0" w:type="auto"/>
            <w:vAlign w:val="center"/>
            <w:hideMark/>
          </w:tcPr>
          <w:p w14:paraId="2777AB3D" w14:textId="77777777" w:rsidR="00357FF4" w:rsidRPr="002430E2" w:rsidRDefault="00357FF4" w:rsidP="00655E3E">
            <w:pPr>
              <w:jc w:val="center"/>
            </w:pPr>
            <w:r w:rsidRPr="002430E2">
              <w:t>0.66</w:t>
            </w:r>
          </w:p>
        </w:tc>
        <w:tc>
          <w:tcPr>
            <w:tcW w:w="0" w:type="auto"/>
            <w:vAlign w:val="center"/>
            <w:hideMark/>
          </w:tcPr>
          <w:p w14:paraId="34F113B6" w14:textId="77777777" w:rsidR="00357FF4" w:rsidRPr="002430E2" w:rsidRDefault="00357FF4" w:rsidP="00655E3E">
            <w:pPr>
              <w:jc w:val="center"/>
            </w:pPr>
            <w:r w:rsidRPr="002430E2">
              <w:t>High</w:t>
            </w:r>
          </w:p>
        </w:tc>
      </w:tr>
      <w:tr w:rsidR="00357FF4" w:rsidRPr="002430E2" w14:paraId="3E12CBF1" w14:textId="77777777" w:rsidTr="00B0092D">
        <w:trPr>
          <w:tblCellSpacing w:w="15" w:type="dxa"/>
        </w:trPr>
        <w:tc>
          <w:tcPr>
            <w:tcW w:w="0" w:type="auto"/>
            <w:vAlign w:val="center"/>
            <w:hideMark/>
          </w:tcPr>
          <w:p w14:paraId="2272076F" w14:textId="77777777" w:rsidR="00357FF4" w:rsidRPr="002430E2" w:rsidRDefault="00357FF4" w:rsidP="00655E3E">
            <w:pPr>
              <w:jc w:val="center"/>
            </w:pPr>
            <w:r w:rsidRPr="002430E2">
              <w:t>6</w:t>
            </w:r>
          </w:p>
        </w:tc>
        <w:tc>
          <w:tcPr>
            <w:tcW w:w="0" w:type="auto"/>
            <w:vAlign w:val="center"/>
            <w:hideMark/>
          </w:tcPr>
          <w:p w14:paraId="0B93F376" w14:textId="77777777" w:rsidR="00357FF4" w:rsidRPr="002430E2" w:rsidRDefault="00357FF4" w:rsidP="00655E3E">
            <w:pPr>
              <w:jc w:val="center"/>
            </w:pPr>
            <w:r w:rsidRPr="002430E2">
              <w:t>I help students develop self-discipline and responsibility.</w:t>
            </w:r>
          </w:p>
        </w:tc>
        <w:tc>
          <w:tcPr>
            <w:tcW w:w="0" w:type="auto"/>
            <w:vAlign w:val="center"/>
            <w:hideMark/>
          </w:tcPr>
          <w:p w14:paraId="45EFA9F1" w14:textId="77777777" w:rsidR="00357FF4" w:rsidRPr="002430E2" w:rsidRDefault="00357FF4" w:rsidP="00655E3E">
            <w:pPr>
              <w:jc w:val="center"/>
            </w:pPr>
            <w:r w:rsidRPr="002430E2">
              <w:t>4.18</w:t>
            </w:r>
          </w:p>
        </w:tc>
        <w:tc>
          <w:tcPr>
            <w:tcW w:w="0" w:type="auto"/>
            <w:vAlign w:val="center"/>
            <w:hideMark/>
          </w:tcPr>
          <w:p w14:paraId="1657659C" w14:textId="77777777" w:rsidR="00357FF4" w:rsidRPr="002430E2" w:rsidRDefault="00357FF4" w:rsidP="00655E3E">
            <w:pPr>
              <w:jc w:val="center"/>
            </w:pPr>
            <w:r w:rsidRPr="002430E2">
              <w:t>0.63</w:t>
            </w:r>
          </w:p>
        </w:tc>
        <w:tc>
          <w:tcPr>
            <w:tcW w:w="0" w:type="auto"/>
            <w:vAlign w:val="center"/>
            <w:hideMark/>
          </w:tcPr>
          <w:p w14:paraId="31E1CA18" w14:textId="77777777" w:rsidR="00357FF4" w:rsidRPr="002430E2" w:rsidRDefault="00357FF4" w:rsidP="00655E3E">
            <w:pPr>
              <w:jc w:val="center"/>
            </w:pPr>
            <w:r w:rsidRPr="002430E2">
              <w:t>Very High</w:t>
            </w:r>
          </w:p>
        </w:tc>
      </w:tr>
      <w:tr w:rsidR="00357FF4" w:rsidRPr="002430E2" w14:paraId="2056A873" w14:textId="77777777" w:rsidTr="00B0092D">
        <w:trPr>
          <w:tblCellSpacing w:w="15" w:type="dxa"/>
        </w:trPr>
        <w:tc>
          <w:tcPr>
            <w:tcW w:w="0" w:type="auto"/>
            <w:vAlign w:val="center"/>
            <w:hideMark/>
          </w:tcPr>
          <w:p w14:paraId="7226B27E" w14:textId="77777777" w:rsidR="00357FF4" w:rsidRPr="002430E2" w:rsidRDefault="00357FF4" w:rsidP="00655E3E">
            <w:pPr>
              <w:jc w:val="center"/>
            </w:pPr>
            <w:r w:rsidRPr="002430E2">
              <w:t>7</w:t>
            </w:r>
          </w:p>
        </w:tc>
        <w:tc>
          <w:tcPr>
            <w:tcW w:w="0" w:type="auto"/>
            <w:vAlign w:val="center"/>
            <w:hideMark/>
          </w:tcPr>
          <w:p w14:paraId="519A72B9" w14:textId="77777777" w:rsidR="00357FF4" w:rsidRPr="002430E2" w:rsidRDefault="00357FF4" w:rsidP="00655E3E">
            <w:pPr>
              <w:jc w:val="center"/>
            </w:pPr>
            <w:r w:rsidRPr="002430E2">
              <w:t>I integrate life skills and values into classroom activities.</w:t>
            </w:r>
          </w:p>
        </w:tc>
        <w:tc>
          <w:tcPr>
            <w:tcW w:w="0" w:type="auto"/>
            <w:vAlign w:val="center"/>
            <w:hideMark/>
          </w:tcPr>
          <w:p w14:paraId="2D301314" w14:textId="77777777" w:rsidR="00357FF4" w:rsidRPr="002430E2" w:rsidRDefault="00357FF4" w:rsidP="00655E3E">
            <w:pPr>
              <w:jc w:val="center"/>
            </w:pPr>
            <w:r w:rsidRPr="002430E2">
              <w:t>4.13</w:t>
            </w:r>
          </w:p>
        </w:tc>
        <w:tc>
          <w:tcPr>
            <w:tcW w:w="0" w:type="auto"/>
            <w:vAlign w:val="center"/>
            <w:hideMark/>
          </w:tcPr>
          <w:p w14:paraId="2858A103" w14:textId="77777777" w:rsidR="00357FF4" w:rsidRPr="002430E2" w:rsidRDefault="00357FF4" w:rsidP="00655E3E">
            <w:pPr>
              <w:jc w:val="center"/>
            </w:pPr>
            <w:r w:rsidRPr="002430E2">
              <w:t>0.65</w:t>
            </w:r>
          </w:p>
        </w:tc>
        <w:tc>
          <w:tcPr>
            <w:tcW w:w="0" w:type="auto"/>
            <w:vAlign w:val="center"/>
            <w:hideMark/>
          </w:tcPr>
          <w:p w14:paraId="6B25B326" w14:textId="77777777" w:rsidR="00357FF4" w:rsidRPr="002430E2" w:rsidRDefault="00357FF4" w:rsidP="00655E3E">
            <w:pPr>
              <w:jc w:val="center"/>
            </w:pPr>
            <w:r w:rsidRPr="002430E2">
              <w:t>Very High</w:t>
            </w:r>
          </w:p>
        </w:tc>
      </w:tr>
      <w:tr w:rsidR="00357FF4" w:rsidRPr="002430E2" w14:paraId="3FBCD74E" w14:textId="77777777" w:rsidTr="00B0092D">
        <w:trPr>
          <w:tblCellSpacing w:w="15" w:type="dxa"/>
        </w:trPr>
        <w:tc>
          <w:tcPr>
            <w:tcW w:w="0" w:type="auto"/>
            <w:vAlign w:val="center"/>
            <w:hideMark/>
          </w:tcPr>
          <w:p w14:paraId="37890FFB" w14:textId="77777777" w:rsidR="00357FF4" w:rsidRPr="002430E2" w:rsidRDefault="00357FF4" w:rsidP="00655E3E">
            <w:pPr>
              <w:jc w:val="center"/>
            </w:pPr>
            <w:r w:rsidRPr="002430E2">
              <w:t>8</w:t>
            </w:r>
          </w:p>
        </w:tc>
        <w:tc>
          <w:tcPr>
            <w:tcW w:w="0" w:type="auto"/>
            <w:vAlign w:val="center"/>
            <w:hideMark/>
          </w:tcPr>
          <w:p w14:paraId="2036DF9C" w14:textId="77777777" w:rsidR="00357FF4" w:rsidRPr="002430E2" w:rsidRDefault="00357FF4" w:rsidP="00655E3E">
            <w:pPr>
              <w:jc w:val="center"/>
            </w:pPr>
            <w:r w:rsidRPr="002430E2">
              <w:t>I provide guidance that helps students cope with stress or challenges.</w:t>
            </w:r>
          </w:p>
        </w:tc>
        <w:tc>
          <w:tcPr>
            <w:tcW w:w="0" w:type="auto"/>
            <w:vAlign w:val="center"/>
            <w:hideMark/>
          </w:tcPr>
          <w:p w14:paraId="742D2BD3" w14:textId="77777777" w:rsidR="00357FF4" w:rsidRPr="002430E2" w:rsidRDefault="00357FF4" w:rsidP="00655E3E">
            <w:pPr>
              <w:jc w:val="center"/>
            </w:pPr>
            <w:r w:rsidRPr="002430E2">
              <w:t>4.15</w:t>
            </w:r>
          </w:p>
        </w:tc>
        <w:tc>
          <w:tcPr>
            <w:tcW w:w="0" w:type="auto"/>
            <w:vAlign w:val="center"/>
            <w:hideMark/>
          </w:tcPr>
          <w:p w14:paraId="03F73AC9" w14:textId="77777777" w:rsidR="00357FF4" w:rsidRPr="002430E2" w:rsidRDefault="00357FF4" w:rsidP="00655E3E">
            <w:pPr>
              <w:jc w:val="center"/>
            </w:pPr>
            <w:r w:rsidRPr="002430E2">
              <w:t>0.64</w:t>
            </w:r>
          </w:p>
        </w:tc>
        <w:tc>
          <w:tcPr>
            <w:tcW w:w="0" w:type="auto"/>
            <w:vAlign w:val="center"/>
            <w:hideMark/>
          </w:tcPr>
          <w:p w14:paraId="3E96F189" w14:textId="77777777" w:rsidR="00357FF4" w:rsidRPr="002430E2" w:rsidRDefault="00357FF4" w:rsidP="00655E3E">
            <w:pPr>
              <w:jc w:val="center"/>
            </w:pPr>
            <w:r w:rsidRPr="002430E2">
              <w:t>Very High</w:t>
            </w:r>
          </w:p>
        </w:tc>
      </w:tr>
      <w:tr w:rsidR="00357FF4" w:rsidRPr="002430E2" w14:paraId="16420F56" w14:textId="77777777" w:rsidTr="00B0092D">
        <w:trPr>
          <w:tblCellSpacing w:w="15" w:type="dxa"/>
        </w:trPr>
        <w:tc>
          <w:tcPr>
            <w:tcW w:w="0" w:type="auto"/>
            <w:vAlign w:val="center"/>
            <w:hideMark/>
          </w:tcPr>
          <w:p w14:paraId="4A9CB090" w14:textId="77777777" w:rsidR="00357FF4" w:rsidRPr="002430E2" w:rsidRDefault="00357FF4" w:rsidP="00655E3E">
            <w:pPr>
              <w:jc w:val="center"/>
            </w:pPr>
            <w:r w:rsidRPr="002430E2">
              <w:t>9</w:t>
            </w:r>
          </w:p>
        </w:tc>
        <w:tc>
          <w:tcPr>
            <w:tcW w:w="0" w:type="auto"/>
            <w:vAlign w:val="center"/>
            <w:hideMark/>
          </w:tcPr>
          <w:p w14:paraId="782E6D5C" w14:textId="77777777" w:rsidR="00357FF4" w:rsidRPr="002430E2" w:rsidRDefault="00357FF4" w:rsidP="00655E3E">
            <w:pPr>
              <w:jc w:val="center"/>
            </w:pPr>
            <w:r w:rsidRPr="002430E2">
              <w:t>I create individualized plans for students needing special attention.</w:t>
            </w:r>
          </w:p>
        </w:tc>
        <w:tc>
          <w:tcPr>
            <w:tcW w:w="0" w:type="auto"/>
            <w:vAlign w:val="center"/>
            <w:hideMark/>
          </w:tcPr>
          <w:p w14:paraId="28265597" w14:textId="77777777" w:rsidR="00357FF4" w:rsidRPr="002430E2" w:rsidRDefault="00357FF4" w:rsidP="00655E3E">
            <w:pPr>
              <w:jc w:val="center"/>
            </w:pPr>
            <w:r w:rsidRPr="002430E2">
              <w:t>4.09</w:t>
            </w:r>
          </w:p>
        </w:tc>
        <w:tc>
          <w:tcPr>
            <w:tcW w:w="0" w:type="auto"/>
            <w:vAlign w:val="center"/>
            <w:hideMark/>
          </w:tcPr>
          <w:p w14:paraId="61AE3C5F" w14:textId="77777777" w:rsidR="00357FF4" w:rsidRPr="002430E2" w:rsidRDefault="00357FF4" w:rsidP="00655E3E">
            <w:pPr>
              <w:jc w:val="center"/>
            </w:pPr>
            <w:r w:rsidRPr="002430E2">
              <w:t>0.68</w:t>
            </w:r>
          </w:p>
        </w:tc>
        <w:tc>
          <w:tcPr>
            <w:tcW w:w="0" w:type="auto"/>
            <w:vAlign w:val="center"/>
            <w:hideMark/>
          </w:tcPr>
          <w:p w14:paraId="744F0364" w14:textId="77777777" w:rsidR="00357FF4" w:rsidRPr="002430E2" w:rsidRDefault="00357FF4" w:rsidP="00655E3E">
            <w:pPr>
              <w:jc w:val="center"/>
            </w:pPr>
            <w:r w:rsidRPr="002430E2">
              <w:t>High</w:t>
            </w:r>
          </w:p>
        </w:tc>
      </w:tr>
      <w:tr w:rsidR="00357FF4" w:rsidRPr="002430E2" w14:paraId="69A9AAC8" w14:textId="77777777" w:rsidTr="00B0092D">
        <w:trPr>
          <w:tblCellSpacing w:w="15" w:type="dxa"/>
        </w:trPr>
        <w:tc>
          <w:tcPr>
            <w:tcW w:w="0" w:type="auto"/>
            <w:vAlign w:val="center"/>
            <w:hideMark/>
          </w:tcPr>
          <w:p w14:paraId="7F532164" w14:textId="77777777" w:rsidR="00357FF4" w:rsidRPr="002430E2" w:rsidRDefault="00357FF4" w:rsidP="00655E3E">
            <w:pPr>
              <w:jc w:val="center"/>
            </w:pPr>
            <w:r w:rsidRPr="002430E2">
              <w:t>10</w:t>
            </w:r>
          </w:p>
        </w:tc>
        <w:tc>
          <w:tcPr>
            <w:tcW w:w="0" w:type="auto"/>
            <w:vAlign w:val="center"/>
            <w:hideMark/>
          </w:tcPr>
          <w:p w14:paraId="333500A6" w14:textId="77777777" w:rsidR="00357FF4" w:rsidRPr="002430E2" w:rsidRDefault="00357FF4" w:rsidP="00655E3E">
            <w:pPr>
              <w:jc w:val="center"/>
            </w:pPr>
            <w:r w:rsidRPr="002430E2">
              <w:t>I promote a balance between academic achievement and personal growth.</w:t>
            </w:r>
          </w:p>
        </w:tc>
        <w:tc>
          <w:tcPr>
            <w:tcW w:w="0" w:type="auto"/>
            <w:vAlign w:val="center"/>
            <w:hideMark/>
          </w:tcPr>
          <w:p w14:paraId="1366BBCC" w14:textId="77777777" w:rsidR="00357FF4" w:rsidRPr="002430E2" w:rsidRDefault="00357FF4" w:rsidP="00655E3E">
            <w:pPr>
              <w:jc w:val="center"/>
            </w:pPr>
            <w:r w:rsidRPr="002430E2">
              <w:t>4.17</w:t>
            </w:r>
          </w:p>
        </w:tc>
        <w:tc>
          <w:tcPr>
            <w:tcW w:w="0" w:type="auto"/>
            <w:vAlign w:val="center"/>
            <w:hideMark/>
          </w:tcPr>
          <w:p w14:paraId="673F2C44" w14:textId="77777777" w:rsidR="00357FF4" w:rsidRPr="002430E2" w:rsidRDefault="00357FF4" w:rsidP="00655E3E">
            <w:pPr>
              <w:jc w:val="center"/>
            </w:pPr>
            <w:r w:rsidRPr="002430E2">
              <w:t>0.63</w:t>
            </w:r>
          </w:p>
        </w:tc>
        <w:tc>
          <w:tcPr>
            <w:tcW w:w="0" w:type="auto"/>
            <w:vAlign w:val="center"/>
            <w:hideMark/>
          </w:tcPr>
          <w:p w14:paraId="7D921E84" w14:textId="77777777" w:rsidR="00357FF4" w:rsidRPr="002430E2" w:rsidRDefault="00357FF4" w:rsidP="00655E3E">
            <w:pPr>
              <w:jc w:val="center"/>
            </w:pPr>
            <w:r w:rsidRPr="002430E2">
              <w:t>Very High</w:t>
            </w:r>
          </w:p>
        </w:tc>
      </w:tr>
      <w:tr w:rsidR="00357FF4" w:rsidRPr="002430E2" w14:paraId="1307C334" w14:textId="77777777" w:rsidTr="00B0092D">
        <w:trPr>
          <w:tblCellSpacing w:w="15" w:type="dxa"/>
        </w:trPr>
        <w:tc>
          <w:tcPr>
            <w:tcW w:w="0" w:type="auto"/>
            <w:vAlign w:val="center"/>
            <w:hideMark/>
          </w:tcPr>
          <w:p w14:paraId="2D09AC06" w14:textId="77777777" w:rsidR="00357FF4" w:rsidRPr="002430E2" w:rsidRDefault="00357FF4" w:rsidP="00655E3E">
            <w:pPr>
              <w:jc w:val="center"/>
            </w:pPr>
            <w:r w:rsidRPr="002430E2">
              <w:rPr>
                <w:b/>
                <w:bCs/>
              </w:rPr>
              <w:t>Overall HHA</w:t>
            </w:r>
          </w:p>
        </w:tc>
        <w:tc>
          <w:tcPr>
            <w:tcW w:w="0" w:type="auto"/>
            <w:vAlign w:val="center"/>
            <w:hideMark/>
          </w:tcPr>
          <w:p w14:paraId="67193533" w14:textId="77777777" w:rsidR="00357FF4" w:rsidRPr="002430E2" w:rsidRDefault="00357FF4" w:rsidP="00655E3E">
            <w:pPr>
              <w:jc w:val="center"/>
            </w:pPr>
            <w:r w:rsidRPr="002430E2">
              <w:t>Average of 10 items</w:t>
            </w:r>
          </w:p>
        </w:tc>
        <w:tc>
          <w:tcPr>
            <w:tcW w:w="0" w:type="auto"/>
            <w:vAlign w:val="center"/>
            <w:hideMark/>
          </w:tcPr>
          <w:p w14:paraId="4D1AC942" w14:textId="77777777" w:rsidR="00357FF4" w:rsidRPr="002430E2" w:rsidRDefault="00357FF4" w:rsidP="00655E3E">
            <w:pPr>
              <w:jc w:val="center"/>
            </w:pPr>
            <w:r w:rsidRPr="002430E2">
              <w:t>4.14</w:t>
            </w:r>
          </w:p>
        </w:tc>
        <w:tc>
          <w:tcPr>
            <w:tcW w:w="0" w:type="auto"/>
            <w:vAlign w:val="center"/>
            <w:hideMark/>
          </w:tcPr>
          <w:p w14:paraId="17A7B9C1" w14:textId="77777777" w:rsidR="00357FF4" w:rsidRPr="002430E2" w:rsidRDefault="00357FF4" w:rsidP="00655E3E">
            <w:pPr>
              <w:jc w:val="center"/>
            </w:pPr>
            <w:r w:rsidRPr="002430E2">
              <w:t>0.65</w:t>
            </w:r>
          </w:p>
        </w:tc>
        <w:tc>
          <w:tcPr>
            <w:tcW w:w="0" w:type="auto"/>
            <w:vAlign w:val="center"/>
            <w:hideMark/>
          </w:tcPr>
          <w:p w14:paraId="188DCD40" w14:textId="77777777" w:rsidR="00357FF4" w:rsidRPr="002430E2" w:rsidRDefault="00357FF4" w:rsidP="00655E3E">
            <w:pPr>
              <w:jc w:val="center"/>
            </w:pPr>
            <w:r w:rsidRPr="002430E2">
              <w:t>High</w:t>
            </w:r>
          </w:p>
        </w:tc>
      </w:tr>
    </w:tbl>
    <w:p w14:paraId="2BD86926" w14:textId="77777777" w:rsidR="00357FF4" w:rsidRPr="00531610" w:rsidRDefault="00357FF4" w:rsidP="00655E3E">
      <w:pPr>
        <w:spacing w:before="100" w:beforeAutospacing="1" w:after="100" w:afterAutospacing="1"/>
        <w:jc w:val="both"/>
        <w:rPr>
          <w:sz w:val="15"/>
          <w:szCs w:val="15"/>
        </w:rPr>
      </w:pPr>
      <w:r w:rsidRPr="00531610">
        <w:rPr>
          <w:b/>
          <w:bCs/>
          <w:sz w:val="15"/>
          <w:szCs w:val="15"/>
        </w:rPr>
        <w:t>Interpretation Scale (5-point Likert):</w:t>
      </w:r>
    </w:p>
    <w:p w14:paraId="2846A6AE" w14:textId="77777777" w:rsidR="00357FF4" w:rsidRPr="00531610" w:rsidRDefault="00357FF4" w:rsidP="00655E3E">
      <w:pPr>
        <w:pStyle w:val="NoSpacing"/>
        <w:rPr>
          <w:sz w:val="18"/>
          <w:szCs w:val="18"/>
        </w:rPr>
      </w:pPr>
      <w:r w:rsidRPr="00531610">
        <w:rPr>
          <w:sz w:val="18"/>
          <w:szCs w:val="18"/>
        </w:rPr>
        <w:t>1.00–1.79: Very Low</w:t>
      </w:r>
    </w:p>
    <w:p w14:paraId="39752CD0" w14:textId="77777777" w:rsidR="00357FF4" w:rsidRPr="00531610" w:rsidRDefault="00357FF4" w:rsidP="00655E3E">
      <w:pPr>
        <w:pStyle w:val="NoSpacing"/>
        <w:rPr>
          <w:sz w:val="18"/>
          <w:szCs w:val="18"/>
        </w:rPr>
      </w:pPr>
      <w:r w:rsidRPr="00531610">
        <w:rPr>
          <w:sz w:val="18"/>
          <w:szCs w:val="18"/>
        </w:rPr>
        <w:t>1.80–2.59: Low</w:t>
      </w:r>
    </w:p>
    <w:p w14:paraId="5F450BF7" w14:textId="77777777" w:rsidR="00357FF4" w:rsidRPr="00531610" w:rsidRDefault="00357FF4" w:rsidP="00655E3E">
      <w:pPr>
        <w:pStyle w:val="NoSpacing"/>
        <w:rPr>
          <w:sz w:val="18"/>
          <w:szCs w:val="18"/>
        </w:rPr>
      </w:pPr>
      <w:r w:rsidRPr="00531610">
        <w:rPr>
          <w:sz w:val="18"/>
          <w:szCs w:val="18"/>
        </w:rPr>
        <w:t>2.60–3.39: Moderate</w:t>
      </w:r>
    </w:p>
    <w:p w14:paraId="76E8EBDA" w14:textId="77777777" w:rsidR="00357FF4" w:rsidRPr="00531610" w:rsidRDefault="00357FF4" w:rsidP="00655E3E">
      <w:pPr>
        <w:pStyle w:val="NoSpacing"/>
        <w:rPr>
          <w:sz w:val="18"/>
          <w:szCs w:val="18"/>
        </w:rPr>
      </w:pPr>
      <w:r w:rsidRPr="00531610">
        <w:rPr>
          <w:sz w:val="18"/>
          <w:szCs w:val="18"/>
        </w:rPr>
        <w:t>3.40–4.19: High</w:t>
      </w:r>
    </w:p>
    <w:p w14:paraId="60AD0454" w14:textId="77777777" w:rsidR="00357FF4" w:rsidRPr="00531610" w:rsidRDefault="00357FF4" w:rsidP="00655E3E">
      <w:pPr>
        <w:pStyle w:val="NoSpacing"/>
        <w:rPr>
          <w:sz w:val="18"/>
          <w:szCs w:val="18"/>
        </w:rPr>
      </w:pPr>
      <w:r w:rsidRPr="00531610">
        <w:rPr>
          <w:sz w:val="18"/>
          <w:szCs w:val="18"/>
        </w:rPr>
        <w:t>4.20–5.00: Very High</w:t>
      </w:r>
    </w:p>
    <w:p w14:paraId="688BE733" w14:textId="77777777" w:rsidR="00357FF4" w:rsidRDefault="00357FF4" w:rsidP="00655E3E">
      <w:pPr>
        <w:pStyle w:val="NormalWeb"/>
        <w:ind w:firstLine="720"/>
        <w:jc w:val="both"/>
      </w:pPr>
      <w:r>
        <w:t xml:space="preserve">The data presented in the table indicates that the 100 surveyed respondents employ Holistic Handling Approaches (HHA) at a "High" level overall, as evidenced by a composite average mean of 4.14 and a standard deviation of 0.65. This demonstrates a strong, unified commitment among educators to support students beyond mere academic performance by addressing their multi-dimensional developmental needs. The primary strength within this domain is helping students develop self-discipline and responsibility (Item 6), which garnered the highest individual mean score of 4.18 (SD = 0.63) and a descriptive interpretation of "Very High." This highlights the teachers' successful focus on cultivating student autonomy and character growth. Other highly executed strategies achieving a "Very High" interpretation include promoting a balance between academic achievement and personal growth (Item 10) with a mean of 4.17 (SD = 0.63), collaborating with colleagues and parents for student support (Item 4) at 4.16 (SD = 0.64), providing guidance to help students cope with stress or challenges (Item 8) at 4.15 (SD = 0.64), </w:t>
      </w:r>
      <w:r>
        <w:lastRenderedPageBreak/>
        <w:t>providing support for students' social and interpersonal development (Item 2) at 4.14 (SD = 0.65), and integrating life skills and values into classroom activities (Item 7) at 4.13 (SD = 0.65).</w:t>
      </w:r>
    </w:p>
    <w:p w14:paraId="5A3183D1" w14:textId="77777777" w:rsidR="00357FF4" w:rsidRDefault="00357FF4" w:rsidP="00655E3E">
      <w:pPr>
        <w:pStyle w:val="NormalWeb"/>
        <w:jc w:val="both"/>
      </w:pPr>
      <w:r>
        <w:t>Conversely, while still safely within the positive "High" parameters, certain items yielded lower relative means, pointing to areas that could be subtly prioritized or further resourced. Creating individualized plans for students needing special attention (Item 9) received the lowest mean score in the dataset at 4.09 (SD = 0.68). This suggests that while teachers excel at integrating broad holistic practices for the entire class, designing custom, individualized interventions for specific students presents a slight relative challenge, likely due to time or resource constraints. Other items falling into the "High" bracket include monitoring students' progress holistically by considering strengths and weaknesses (Item 3) at 4.10 (SD = 0.67), applying strategies to manage classroom behavior effectively (Item 5) at 4.11 (SD = 0.66), and addressing students' emotional well-being alongside academic needs (Item 1) at 4.12 (SD = 0.66). Across all 10 items, the standard deviations remain tightly clustered between 0.63 and 0.68, reflecting strong instructional consensus and minimal variation among the respondents, which ultimately reinforces that holistic handling is a deeply embedded and reliable standard in their educational practices.</w:t>
      </w:r>
    </w:p>
    <w:p w14:paraId="389ABF2B" w14:textId="77777777" w:rsidR="00357FF4" w:rsidRDefault="00357FF4" w:rsidP="00655E3E">
      <w:pPr>
        <w:spacing w:before="100" w:beforeAutospacing="1" w:after="100" w:afterAutospacing="1"/>
        <w:jc w:val="both"/>
        <w:outlineLvl w:val="2"/>
        <w:rPr>
          <w:b/>
          <w:bCs/>
        </w:rPr>
      </w:pPr>
    </w:p>
    <w:p w14:paraId="23A4B116" w14:textId="77777777" w:rsidR="00357FF4" w:rsidRDefault="00357FF4" w:rsidP="00655E3E">
      <w:pPr>
        <w:spacing w:before="100" w:beforeAutospacing="1" w:after="100" w:afterAutospacing="1"/>
        <w:jc w:val="both"/>
        <w:outlineLvl w:val="2"/>
        <w:rPr>
          <w:b/>
          <w:bCs/>
        </w:rPr>
      </w:pPr>
    </w:p>
    <w:p w14:paraId="002A5204" w14:textId="77777777" w:rsidR="00357FF4" w:rsidRDefault="00357FF4" w:rsidP="00655E3E">
      <w:pPr>
        <w:spacing w:before="100" w:beforeAutospacing="1" w:after="100" w:afterAutospacing="1"/>
        <w:jc w:val="both"/>
        <w:outlineLvl w:val="2"/>
        <w:rPr>
          <w:b/>
          <w:bCs/>
        </w:rPr>
      </w:pPr>
    </w:p>
    <w:p w14:paraId="72991FB1" w14:textId="77777777" w:rsidR="00357FF4" w:rsidRDefault="00357FF4" w:rsidP="00655E3E">
      <w:pPr>
        <w:spacing w:before="100" w:beforeAutospacing="1" w:after="100" w:afterAutospacing="1"/>
        <w:jc w:val="both"/>
        <w:outlineLvl w:val="2"/>
        <w:rPr>
          <w:b/>
          <w:bCs/>
        </w:rPr>
      </w:pPr>
    </w:p>
    <w:p w14:paraId="7761CB00" w14:textId="77777777" w:rsidR="00357FF4" w:rsidRDefault="00357FF4" w:rsidP="00655E3E">
      <w:pPr>
        <w:spacing w:before="100" w:beforeAutospacing="1" w:after="100" w:afterAutospacing="1"/>
        <w:jc w:val="both"/>
        <w:outlineLvl w:val="2"/>
        <w:rPr>
          <w:b/>
          <w:bCs/>
        </w:rPr>
      </w:pPr>
    </w:p>
    <w:p w14:paraId="7DB5B742" w14:textId="77777777" w:rsidR="00357FF4" w:rsidRDefault="00357FF4" w:rsidP="00655E3E">
      <w:pPr>
        <w:spacing w:before="100" w:beforeAutospacing="1" w:after="100" w:afterAutospacing="1"/>
        <w:jc w:val="both"/>
        <w:outlineLvl w:val="2"/>
        <w:rPr>
          <w:b/>
          <w:bCs/>
        </w:rPr>
      </w:pPr>
    </w:p>
    <w:p w14:paraId="3F444D59" w14:textId="77777777" w:rsidR="00357FF4" w:rsidRDefault="00357FF4" w:rsidP="00655E3E">
      <w:pPr>
        <w:spacing w:before="100" w:beforeAutospacing="1" w:after="100" w:afterAutospacing="1"/>
        <w:jc w:val="both"/>
        <w:outlineLvl w:val="2"/>
        <w:rPr>
          <w:b/>
          <w:bCs/>
        </w:rPr>
      </w:pPr>
    </w:p>
    <w:p w14:paraId="3A58183D" w14:textId="77777777" w:rsidR="00357FF4" w:rsidRDefault="00357FF4" w:rsidP="00655E3E">
      <w:pPr>
        <w:spacing w:before="100" w:beforeAutospacing="1" w:after="100" w:afterAutospacing="1"/>
        <w:jc w:val="center"/>
        <w:outlineLvl w:val="2"/>
        <w:rPr>
          <w:b/>
          <w:bCs/>
        </w:rPr>
      </w:pPr>
    </w:p>
    <w:p w14:paraId="60A6ABE2" w14:textId="77777777" w:rsidR="00357FF4" w:rsidRDefault="00357FF4" w:rsidP="00655E3E">
      <w:pPr>
        <w:spacing w:before="100" w:beforeAutospacing="1" w:after="100" w:afterAutospacing="1"/>
        <w:jc w:val="center"/>
        <w:outlineLvl w:val="2"/>
        <w:rPr>
          <w:b/>
          <w:bCs/>
        </w:rPr>
      </w:pPr>
    </w:p>
    <w:p w14:paraId="751CE121" w14:textId="77777777" w:rsidR="00357FF4" w:rsidRPr="002430E2" w:rsidRDefault="00357FF4" w:rsidP="00655E3E">
      <w:pPr>
        <w:spacing w:before="100" w:beforeAutospacing="1" w:after="100" w:afterAutospacing="1"/>
        <w:jc w:val="center"/>
        <w:outlineLvl w:val="2"/>
        <w:rPr>
          <w:b/>
          <w:bCs/>
        </w:rPr>
      </w:pPr>
      <w:r w:rsidRPr="002430E2">
        <w:rPr>
          <w:b/>
          <w:bCs/>
        </w:rPr>
        <w:t>Overall Summary of NASH Dimensions (n = 100)</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15"/>
        <w:gridCol w:w="1827"/>
        <w:gridCol w:w="667"/>
        <w:gridCol w:w="500"/>
        <w:gridCol w:w="1562"/>
      </w:tblGrid>
      <w:tr w:rsidR="00357FF4" w:rsidRPr="002430E2" w14:paraId="27CF3AFE" w14:textId="77777777" w:rsidTr="00B0092D">
        <w:trPr>
          <w:tblHeader/>
          <w:tblCellSpacing w:w="15" w:type="dxa"/>
          <w:jc w:val="center"/>
        </w:trPr>
        <w:tc>
          <w:tcPr>
            <w:tcW w:w="0" w:type="auto"/>
            <w:vAlign w:val="center"/>
            <w:hideMark/>
          </w:tcPr>
          <w:p w14:paraId="6FF59BA2" w14:textId="77777777" w:rsidR="00357FF4" w:rsidRPr="002430E2" w:rsidRDefault="00357FF4" w:rsidP="00655E3E">
            <w:pPr>
              <w:jc w:val="both"/>
              <w:rPr>
                <w:b/>
                <w:bCs/>
              </w:rPr>
            </w:pPr>
            <w:r w:rsidRPr="002430E2">
              <w:rPr>
                <w:b/>
                <w:bCs/>
              </w:rPr>
              <w:t>NASH Dimension</w:t>
            </w:r>
          </w:p>
        </w:tc>
        <w:tc>
          <w:tcPr>
            <w:tcW w:w="0" w:type="auto"/>
            <w:vAlign w:val="center"/>
            <w:hideMark/>
          </w:tcPr>
          <w:p w14:paraId="3C607E3A" w14:textId="77777777" w:rsidR="00357FF4" w:rsidRPr="002430E2" w:rsidRDefault="00357FF4" w:rsidP="00655E3E">
            <w:pPr>
              <w:jc w:val="both"/>
              <w:rPr>
                <w:b/>
                <w:bCs/>
              </w:rPr>
            </w:pPr>
            <w:r w:rsidRPr="002430E2">
              <w:rPr>
                <w:b/>
                <w:bCs/>
              </w:rPr>
              <w:t>Number of Items</w:t>
            </w:r>
          </w:p>
        </w:tc>
        <w:tc>
          <w:tcPr>
            <w:tcW w:w="0" w:type="auto"/>
            <w:vAlign w:val="center"/>
            <w:hideMark/>
          </w:tcPr>
          <w:p w14:paraId="5CD751F5" w14:textId="77777777" w:rsidR="00357FF4" w:rsidRPr="002430E2" w:rsidRDefault="00357FF4" w:rsidP="00655E3E">
            <w:pPr>
              <w:jc w:val="both"/>
              <w:rPr>
                <w:b/>
                <w:bCs/>
              </w:rPr>
            </w:pPr>
            <w:r w:rsidRPr="002430E2">
              <w:rPr>
                <w:b/>
                <w:bCs/>
              </w:rPr>
              <w:t>Mean</w:t>
            </w:r>
          </w:p>
        </w:tc>
        <w:tc>
          <w:tcPr>
            <w:tcW w:w="0" w:type="auto"/>
            <w:vAlign w:val="center"/>
            <w:hideMark/>
          </w:tcPr>
          <w:p w14:paraId="4B700A81" w14:textId="77777777" w:rsidR="00357FF4" w:rsidRPr="002430E2" w:rsidRDefault="00357FF4" w:rsidP="00655E3E">
            <w:pPr>
              <w:jc w:val="both"/>
              <w:rPr>
                <w:b/>
                <w:bCs/>
              </w:rPr>
            </w:pPr>
            <w:r w:rsidRPr="002430E2">
              <w:rPr>
                <w:b/>
                <w:bCs/>
              </w:rPr>
              <w:t>SD</w:t>
            </w:r>
          </w:p>
        </w:tc>
        <w:tc>
          <w:tcPr>
            <w:tcW w:w="0" w:type="auto"/>
            <w:vAlign w:val="center"/>
            <w:hideMark/>
          </w:tcPr>
          <w:p w14:paraId="244FE349" w14:textId="77777777" w:rsidR="00357FF4" w:rsidRPr="002430E2" w:rsidRDefault="00357FF4" w:rsidP="00655E3E">
            <w:pPr>
              <w:jc w:val="both"/>
              <w:rPr>
                <w:b/>
                <w:bCs/>
              </w:rPr>
            </w:pPr>
            <w:r w:rsidRPr="002430E2">
              <w:rPr>
                <w:b/>
                <w:bCs/>
              </w:rPr>
              <w:t>Interpretation</w:t>
            </w:r>
          </w:p>
        </w:tc>
      </w:tr>
      <w:tr w:rsidR="00357FF4" w:rsidRPr="002430E2" w14:paraId="5B135D1A" w14:textId="77777777" w:rsidTr="00B0092D">
        <w:trPr>
          <w:tblCellSpacing w:w="15" w:type="dxa"/>
          <w:jc w:val="center"/>
        </w:trPr>
        <w:tc>
          <w:tcPr>
            <w:tcW w:w="0" w:type="auto"/>
            <w:vAlign w:val="center"/>
            <w:hideMark/>
          </w:tcPr>
          <w:p w14:paraId="5416E316" w14:textId="77777777" w:rsidR="00357FF4" w:rsidRPr="002430E2" w:rsidRDefault="00357FF4" w:rsidP="00655E3E">
            <w:pPr>
              <w:jc w:val="both"/>
            </w:pPr>
            <w:r w:rsidRPr="002430E2">
              <w:rPr>
                <w:b/>
                <w:bCs/>
              </w:rPr>
              <w:t>Nurturing Classroom Culture (NCC)</w:t>
            </w:r>
          </w:p>
        </w:tc>
        <w:tc>
          <w:tcPr>
            <w:tcW w:w="0" w:type="auto"/>
            <w:vAlign w:val="center"/>
            <w:hideMark/>
          </w:tcPr>
          <w:p w14:paraId="0D12A168" w14:textId="77777777" w:rsidR="00357FF4" w:rsidRPr="002430E2" w:rsidRDefault="00357FF4" w:rsidP="00655E3E">
            <w:pPr>
              <w:jc w:val="center"/>
            </w:pPr>
            <w:r w:rsidRPr="002430E2">
              <w:t>10</w:t>
            </w:r>
          </w:p>
        </w:tc>
        <w:tc>
          <w:tcPr>
            <w:tcW w:w="0" w:type="auto"/>
            <w:vAlign w:val="center"/>
            <w:hideMark/>
          </w:tcPr>
          <w:p w14:paraId="1EC6C12A" w14:textId="77777777" w:rsidR="00357FF4" w:rsidRPr="002430E2" w:rsidRDefault="00357FF4" w:rsidP="00655E3E">
            <w:pPr>
              <w:jc w:val="center"/>
            </w:pPr>
            <w:r w:rsidRPr="002430E2">
              <w:t>4.11</w:t>
            </w:r>
          </w:p>
        </w:tc>
        <w:tc>
          <w:tcPr>
            <w:tcW w:w="0" w:type="auto"/>
            <w:vAlign w:val="center"/>
            <w:hideMark/>
          </w:tcPr>
          <w:p w14:paraId="49ED2C71" w14:textId="77777777" w:rsidR="00357FF4" w:rsidRPr="002430E2" w:rsidRDefault="00357FF4" w:rsidP="00655E3E">
            <w:pPr>
              <w:jc w:val="center"/>
            </w:pPr>
            <w:r w:rsidRPr="002430E2">
              <w:t>0.65</w:t>
            </w:r>
          </w:p>
        </w:tc>
        <w:tc>
          <w:tcPr>
            <w:tcW w:w="0" w:type="auto"/>
            <w:vAlign w:val="center"/>
            <w:hideMark/>
          </w:tcPr>
          <w:p w14:paraId="2ACED021" w14:textId="77777777" w:rsidR="00357FF4" w:rsidRPr="002430E2" w:rsidRDefault="00357FF4" w:rsidP="00655E3E">
            <w:pPr>
              <w:jc w:val="center"/>
            </w:pPr>
            <w:r w:rsidRPr="002430E2">
              <w:t>High</w:t>
            </w:r>
          </w:p>
        </w:tc>
      </w:tr>
      <w:tr w:rsidR="00357FF4" w:rsidRPr="002430E2" w14:paraId="1CD802A7" w14:textId="77777777" w:rsidTr="00B0092D">
        <w:trPr>
          <w:tblCellSpacing w:w="15" w:type="dxa"/>
          <w:jc w:val="center"/>
        </w:trPr>
        <w:tc>
          <w:tcPr>
            <w:tcW w:w="0" w:type="auto"/>
            <w:vAlign w:val="center"/>
            <w:hideMark/>
          </w:tcPr>
          <w:p w14:paraId="10E7837E" w14:textId="77777777" w:rsidR="00357FF4" w:rsidRPr="002430E2" w:rsidRDefault="00357FF4" w:rsidP="00655E3E">
            <w:pPr>
              <w:jc w:val="both"/>
            </w:pPr>
            <w:r w:rsidRPr="002430E2">
              <w:rPr>
                <w:b/>
                <w:bCs/>
              </w:rPr>
              <w:t>Adaptive Instructional Strategies (AIS)</w:t>
            </w:r>
          </w:p>
        </w:tc>
        <w:tc>
          <w:tcPr>
            <w:tcW w:w="0" w:type="auto"/>
            <w:vAlign w:val="center"/>
            <w:hideMark/>
          </w:tcPr>
          <w:p w14:paraId="1CAC3279" w14:textId="77777777" w:rsidR="00357FF4" w:rsidRPr="002430E2" w:rsidRDefault="00357FF4" w:rsidP="00655E3E">
            <w:pPr>
              <w:jc w:val="center"/>
            </w:pPr>
            <w:r w:rsidRPr="002430E2">
              <w:t>10</w:t>
            </w:r>
          </w:p>
        </w:tc>
        <w:tc>
          <w:tcPr>
            <w:tcW w:w="0" w:type="auto"/>
            <w:vAlign w:val="center"/>
            <w:hideMark/>
          </w:tcPr>
          <w:p w14:paraId="1518FA31" w14:textId="77777777" w:rsidR="00357FF4" w:rsidRPr="002430E2" w:rsidRDefault="00357FF4" w:rsidP="00655E3E">
            <w:pPr>
              <w:jc w:val="center"/>
            </w:pPr>
            <w:r w:rsidRPr="002430E2">
              <w:t>4.09</w:t>
            </w:r>
          </w:p>
        </w:tc>
        <w:tc>
          <w:tcPr>
            <w:tcW w:w="0" w:type="auto"/>
            <w:vAlign w:val="center"/>
            <w:hideMark/>
          </w:tcPr>
          <w:p w14:paraId="7A42E00C" w14:textId="77777777" w:rsidR="00357FF4" w:rsidRPr="002430E2" w:rsidRDefault="00357FF4" w:rsidP="00655E3E">
            <w:pPr>
              <w:jc w:val="center"/>
            </w:pPr>
            <w:r w:rsidRPr="002430E2">
              <w:t>0.66</w:t>
            </w:r>
          </w:p>
        </w:tc>
        <w:tc>
          <w:tcPr>
            <w:tcW w:w="0" w:type="auto"/>
            <w:vAlign w:val="center"/>
            <w:hideMark/>
          </w:tcPr>
          <w:p w14:paraId="729A19AD" w14:textId="77777777" w:rsidR="00357FF4" w:rsidRPr="002430E2" w:rsidRDefault="00357FF4" w:rsidP="00655E3E">
            <w:pPr>
              <w:jc w:val="center"/>
            </w:pPr>
            <w:r w:rsidRPr="002430E2">
              <w:t>High</w:t>
            </w:r>
          </w:p>
        </w:tc>
      </w:tr>
      <w:tr w:rsidR="00357FF4" w:rsidRPr="002430E2" w14:paraId="0C630FA9" w14:textId="77777777" w:rsidTr="00B0092D">
        <w:trPr>
          <w:tblCellSpacing w:w="15" w:type="dxa"/>
          <w:jc w:val="center"/>
        </w:trPr>
        <w:tc>
          <w:tcPr>
            <w:tcW w:w="0" w:type="auto"/>
            <w:vAlign w:val="center"/>
            <w:hideMark/>
          </w:tcPr>
          <w:p w14:paraId="25EA7D70" w14:textId="77777777" w:rsidR="00357FF4" w:rsidRPr="002430E2" w:rsidRDefault="00357FF4" w:rsidP="00655E3E">
            <w:pPr>
              <w:jc w:val="both"/>
            </w:pPr>
            <w:r w:rsidRPr="002430E2">
              <w:rPr>
                <w:b/>
                <w:bCs/>
              </w:rPr>
              <w:t>Supportive Student Engagement (SSE)</w:t>
            </w:r>
          </w:p>
        </w:tc>
        <w:tc>
          <w:tcPr>
            <w:tcW w:w="0" w:type="auto"/>
            <w:vAlign w:val="center"/>
            <w:hideMark/>
          </w:tcPr>
          <w:p w14:paraId="2FDAF114" w14:textId="77777777" w:rsidR="00357FF4" w:rsidRPr="002430E2" w:rsidRDefault="00357FF4" w:rsidP="00655E3E">
            <w:pPr>
              <w:jc w:val="center"/>
            </w:pPr>
            <w:r w:rsidRPr="002430E2">
              <w:t>10</w:t>
            </w:r>
          </w:p>
        </w:tc>
        <w:tc>
          <w:tcPr>
            <w:tcW w:w="0" w:type="auto"/>
            <w:vAlign w:val="center"/>
            <w:hideMark/>
          </w:tcPr>
          <w:p w14:paraId="7D5F595D" w14:textId="77777777" w:rsidR="00357FF4" w:rsidRPr="002430E2" w:rsidRDefault="00357FF4" w:rsidP="00655E3E">
            <w:pPr>
              <w:jc w:val="center"/>
            </w:pPr>
            <w:r w:rsidRPr="002430E2">
              <w:t>4.12</w:t>
            </w:r>
          </w:p>
        </w:tc>
        <w:tc>
          <w:tcPr>
            <w:tcW w:w="0" w:type="auto"/>
            <w:vAlign w:val="center"/>
            <w:hideMark/>
          </w:tcPr>
          <w:p w14:paraId="4DF44177" w14:textId="77777777" w:rsidR="00357FF4" w:rsidRPr="002430E2" w:rsidRDefault="00357FF4" w:rsidP="00655E3E">
            <w:pPr>
              <w:jc w:val="center"/>
            </w:pPr>
            <w:r w:rsidRPr="002430E2">
              <w:t>0.64</w:t>
            </w:r>
          </w:p>
        </w:tc>
        <w:tc>
          <w:tcPr>
            <w:tcW w:w="0" w:type="auto"/>
            <w:vAlign w:val="center"/>
            <w:hideMark/>
          </w:tcPr>
          <w:p w14:paraId="2E8055A9" w14:textId="77777777" w:rsidR="00357FF4" w:rsidRPr="002430E2" w:rsidRDefault="00357FF4" w:rsidP="00655E3E">
            <w:pPr>
              <w:jc w:val="center"/>
            </w:pPr>
            <w:r w:rsidRPr="002430E2">
              <w:t>High</w:t>
            </w:r>
          </w:p>
        </w:tc>
      </w:tr>
      <w:tr w:rsidR="00357FF4" w:rsidRPr="002430E2" w14:paraId="34C66F0A" w14:textId="77777777" w:rsidTr="00B0092D">
        <w:trPr>
          <w:tblCellSpacing w:w="15" w:type="dxa"/>
          <w:jc w:val="center"/>
        </w:trPr>
        <w:tc>
          <w:tcPr>
            <w:tcW w:w="0" w:type="auto"/>
            <w:vAlign w:val="center"/>
            <w:hideMark/>
          </w:tcPr>
          <w:p w14:paraId="4F5C8303" w14:textId="77777777" w:rsidR="00357FF4" w:rsidRPr="002430E2" w:rsidRDefault="00357FF4" w:rsidP="00655E3E">
            <w:pPr>
              <w:jc w:val="both"/>
            </w:pPr>
            <w:r w:rsidRPr="002430E2">
              <w:rPr>
                <w:b/>
                <w:bCs/>
              </w:rPr>
              <w:t>Holistic Handling Approaches (HHA)</w:t>
            </w:r>
          </w:p>
        </w:tc>
        <w:tc>
          <w:tcPr>
            <w:tcW w:w="0" w:type="auto"/>
            <w:vAlign w:val="center"/>
            <w:hideMark/>
          </w:tcPr>
          <w:p w14:paraId="2B1AE1E8" w14:textId="77777777" w:rsidR="00357FF4" w:rsidRPr="002430E2" w:rsidRDefault="00357FF4" w:rsidP="00655E3E">
            <w:pPr>
              <w:jc w:val="center"/>
            </w:pPr>
            <w:r w:rsidRPr="002430E2">
              <w:t>10</w:t>
            </w:r>
          </w:p>
        </w:tc>
        <w:tc>
          <w:tcPr>
            <w:tcW w:w="0" w:type="auto"/>
            <w:vAlign w:val="center"/>
            <w:hideMark/>
          </w:tcPr>
          <w:p w14:paraId="415956A0" w14:textId="77777777" w:rsidR="00357FF4" w:rsidRPr="002430E2" w:rsidRDefault="00357FF4" w:rsidP="00655E3E">
            <w:pPr>
              <w:jc w:val="center"/>
            </w:pPr>
            <w:r w:rsidRPr="002430E2">
              <w:t>4.14</w:t>
            </w:r>
          </w:p>
        </w:tc>
        <w:tc>
          <w:tcPr>
            <w:tcW w:w="0" w:type="auto"/>
            <w:vAlign w:val="center"/>
            <w:hideMark/>
          </w:tcPr>
          <w:p w14:paraId="1B5D0DB2" w14:textId="77777777" w:rsidR="00357FF4" w:rsidRPr="002430E2" w:rsidRDefault="00357FF4" w:rsidP="00655E3E">
            <w:pPr>
              <w:jc w:val="center"/>
            </w:pPr>
            <w:r w:rsidRPr="002430E2">
              <w:t>0.65</w:t>
            </w:r>
          </w:p>
        </w:tc>
        <w:tc>
          <w:tcPr>
            <w:tcW w:w="0" w:type="auto"/>
            <w:vAlign w:val="center"/>
            <w:hideMark/>
          </w:tcPr>
          <w:p w14:paraId="5BE329C6" w14:textId="77777777" w:rsidR="00357FF4" w:rsidRPr="002430E2" w:rsidRDefault="00357FF4" w:rsidP="00655E3E">
            <w:pPr>
              <w:jc w:val="center"/>
            </w:pPr>
            <w:r w:rsidRPr="002430E2">
              <w:t>High</w:t>
            </w:r>
          </w:p>
        </w:tc>
      </w:tr>
      <w:tr w:rsidR="00357FF4" w:rsidRPr="002430E2" w14:paraId="65EB4E49" w14:textId="77777777" w:rsidTr="00B0092D">
        <w:trPr>
          <w:tblCellSpacing w:w="15" w:type="dxa"/>
          <w:jc w:val="center"/>
        </w:trPr>
        <w:tc>
          <w:tcPr>
            <w:tcW w:w="0" w:type="auto"/>
            <w:vAlign w:val="center"/>
            <w:hideMark/>
          </w:tcPr>
          <w:p w14:paraId="3B9EB1DE" w14:textId="77777777" w:rsidR="00357FF4" w:rsidRPr="002430E2" w:rsidRDefault="00357FF4" w:rsidP="00655E3E">
            <w:pPr>
              <w:jc w:val="both"/>
            </w:pPr>
            <w:r w:rsidRPr="002430E2">
              <w:rPr>
                <w:b/>
                <w:bCs/>
              </w:rPr>
              <w:t>Overall NASH</w:t>
            </w:r>
          </w:p>
        </w:tc>
        <w:tc>
          <w:tcPr>
            <w:tcW w:w="0" w:type="auto"/>
            <w:vAlign w:val="center"/>
            <w:hideMark/>
          </w:tcPr>
          <w:p w14:paraId="521A6651" w14:textId="77777777" w:rsidR="00357FF4" w:rsidRPr="002430E2" w:rsidRDefault="00357FF4" w:rsidP="00655E3E">
            <w:pPr>
              <w:jc w:val="center"/>
            </w:pPr>
            <w:r w:rsidRPr="002430E2">
              <w:t>40</w:t>
            </w:r>
          </w:p>
        </w:tc>
        <w:tc>
          <w:tcPr>
            <w:tcW w:w="0" w:type="auto"/>
            <w:vAlign w:val="center"/>
            <w:hideMark/>
          </w:tcPr>
          <w:p w14:paraId="59D41501" w14:textId="77777777" w:rsidR="00357FF4" w:rsidRPr="002430E2" w:rsidRDefault="00357FF4" w:rsidP="00655E3E">
            <w:pPr>
              <w:jc w:val="center"/>
            </w:pPr>
            <w:r w:rsidRPr="002430E2">
              <w:t>4.12</w:t>
            </w:r>
          </w:p>
        </w:tc>
        <w:tc>
          <w:tcPr>
            <w:tcW w:w="0" w:type="auto"/>
            <w:vAlign w:val="center"/>
            <w:hideMark/>
          </w:tcPr>
          <w:p w14:paraId="3836B090" w14:textId="77777777" w:rsidR="00357FF4" w:rsidRPr="002430E2" w:rsidRDefault="00357FF4" w:rsidP="00655E3E">
            <w:pPr>
              <w:jc w:val="center"/>
            </w:pPr>
            <w:r w:rsidRPr="002430E2">
              <w:t>0.65</w:t>
            </w:r>
          </w:p>
        </w:tc>
        <w:tc>
          <w:tcPr>
            <w:tcW w:w="0" w:type="auto"/>
            <w:vAlign w:val="center"/>
            <w:hideMark/>
          </w:tcPr>
          <w:p w14:paraId="25205F0D" w14:textId="77777777" w:rsidR="00357FF4" w:rsidRPr="002430E2" w:rsidRDefault="00357FF4" w:rsidP="00655E3E">
            <w:pPr>
              <w:jc w:val="center"/>
            </w:pPr>
            <w:r w:rsidRPr="002430E2">
              <w:t>High</w:t>
            </w:r>
          </w:p>
        </w:tc>
      </w:tr>
    </w:tbl>
    <w:p w14:paraId="0F273B30" w14:textId="77777777" w:rsidR="00357FF4" w:rsidRPr="002208B5" w:rsidRDefault="00357FF4" w:rsidP="00655E3E">
      <w:pPr>
        <w:spacing w:before="100" w:beforeAutospacing="1" w:after="100" w:afterAutospacing="1"/>
        <w:jc w:val="both"/>
        <w:rPr>
          <w:sz w:val="18"/>
          <w:szCs w:val="18"/>
        </w:rPr>
      </w:pPr>
      <w:r w:rsidRPr="002208B5">
        <w:rPr>
          <w:b/>
          <w:bCs/>
          <w:sz w:val="18"/>
          <w:szCs w:val="18"/>
        </w:rPr>
        <w:t>Interpretation Scale (5-point Likert):</w:t>
      </w:r>
    </w:p>
    <w:p w14:paraId="6F164CCB" w14:textId="77777777" w:rsidR="00357FF4" w:rsidRPr="002208B5" w:rsidRDefault="00357FF4" w:rsidP="00655E3E">
      <w:pPr>
        <w:pStyle w:val="NoSpacing"/>
        <w:rPr>
          <w:sz w:val="18"/>
          <w:szCs w:val="18"/>
        </w:rPr>
      </w:pPr>
      <w:r w:rsidRPr="002208B5">
        <w:rPr>
          <w:sz w:val="18"/>
          <w:szCs w:val="18"/>
        </w:rPr>
        <w:lastRenderedPageBreak/>
        <w:t>1.00–1.79: Very Low</w:t>
      </w:r>
    </w:p>
    <w:p w14:paraId="458CF5F7" w14:textId="77777777" w:rsidR="00357FF4" w:rsidRPr="002208B5" w:rsidRDefault="00357FF4" w:rsidP="00655E3E">
      <w:pPr>
        <w:pStyle w:val="NoSpacing"/>
        <w:rPr>
          <w:sz w:val="18"/>
          <w:szCs w:val="18"/>
        </w:rPr>
      </w:pPr>
      <w:r w:rsidRPr="002208B5">
        <w:rPr>
          <w:sz w:val="18"/>
          <w:szCs w:val="18"/>
        </w:rPr>
        <w:t>1.80–2.59: Low</w:t>
      </w:r>
    </w:p>
    <w:p w14:paraId="4BC4E610" w14:textId="77777777" w:rsidR="00357FF4" w:rsidRPr="002208B5" w:rsidRDefault="00357FF4" w:rsidP="00655E3E">
      <w:pPr>
        <w:pStyle w:val="NoSpacing"/>
        <w:rPr>
          <w:sz w:val="18"/>
          <w:szCs w:val="18"/>
        </w:rPr>
      </w:pPr>
      <w:r w:rsidRPr="002208B5">
        <w:rPr>
          <w:sz w:val="18"/>
          <w:szCs w:val="18"/>
        </w:rPr>
        <w:t>2.60–3.39: Moderate</w:t>
      </w:r>
    </w:p>
    <w:p w14:paraId="5BBACBC7" w14:textId="77777777" w:rsidR="00357FF4" w:rsidRPr="002208B5" w:rsidRDefault="00357FF4" w:rsidP="00655E3E">
      <w:pPr>
        <w:pStyle w:val="NoSpacing"/>
        <w:rPr>
          <w:sz w:val="18"/>
          <w:szCs w:val="18"/>
        </w:rPr>
      </w:pPr>
      <w:r w:rsidRPr="002208B5">
        <w:rPr>
          <w:sz w:val="18"/>
          <w:szCs w:val="18"/>
        </w:rPr>
        <w:t>3.40–4.19: High</w:t>
      </w:r>
    </w:p>
    <w:p w14:paraId="28287493" w14:textId="77777777" w:rsidR="00357FF4" w:rsidRPr="002208B5" w:rsidRDefault="00357FF4" w:rsidP="00655E3E">
      <w:pPr>
        <w:pStyle w:val="NoSpacing"/>
        <w:rPr>
          <w:sz w:val="18"/>
          <w:szCs w:val="18"/>
        </w:rPr>
      </w:pPr>
      <w:r w:rsidRPr="002208B5">
        <w:rPr>
          <w:sz w:val="18"/>
          <w:szCs w:val="18"/>
        </w:rPr>
        <w:t>4.20–5.00: Very High</w:t>
      </w:r>
    </w:p>
    <w:p w14:paraId="330CF8BB" w14:textId="77777777" w:rsidR="00357FF4" w:rsidRDefault="00357FF4" w:rsidP="00655E3E">
      <w:pPr>
        <w:pStyle w:val="NormalWeb"/>
        <w:ind w:firstLine="720"/>
        <w:jc w:val="both"/>
      </w:pPr>
      <w:r>
        <w:t>The data presented in the table provides an aggregate overview of the four core pillars that comprise the NASH framework based on the responses of 100 surveyed participants. Collectively, the framework is implemented at a "High" level overall, as demonstrated by a composite mean score of 4.12 across all 40 items and a tight overall standard deviation of 0.65. This uniform outcome highlights a balanced, comprehensive institutional performance, indicating that the educators do not rely on a single approach but instead integrate pedagogical, environmental, social, and emotional strategies with equal dedication.</w:t>
      </w:r>
    </w:p>
    <w:p w14:paraId="13AEE2CC" w14:textId="77777777" w:rsidR="00357FF4" w:rsidRPr="002208B5" w:rsidRDefault="00357FF4" w:rsidP="00655E3E">
      <w:pPr>
        <w:pStyle w:val="NormalWeb"/>
        <w:jc w:val="both"/>
      </w:pPr>
      <w:r>
        <w:t>Among the four specific dimensions, Holistic Handling Approaches (HHA) achieved the highest individual mean score at 4.14 (SD = 0.65), signifying that educators place an exceptionally strong baseline emphasis on student character development, stakeholder collaboration, and overall well-being. This is closely followed by Supportive Student Engagement (SSE) with a mean score of 4.12 (SD = 0.64) and Nurturing Classroom Culture (NCC) with a mean score of 4.11 (SD = 0.65), both of which reflect highly successful efforts to maintain classroom interest, safe learning conditions, and open dialogue. Meanwhile, Adaptive Instructional Strategies (AIS) yielded the lowest relative mean score in the matrix at 4.09 (SD = 0.66). While still safely within the positive "High" parameters, this slight difference implies that navigating real-world resource constraints, adjusting formal lesson pacing, or customizing assessments to match individual learning speeds remains slightly more challenging than managing classroom culture or student interactions. Ultimately, the minimal variation among the standard deviations (ranging from 0.64 to 0.66) underscores a profound level of consensus among the 100 respondents, validating that the overall execution of NASH is highly standardized and deeply institutionalized across all observed educational domains.</w:t>
      </w:r>
    </w:p>
    <w:p w14:paraId="373F5CD0" w14:textId="77777777" w:rsidR="00357FF4" w:rsidRPr="002430E2" w:rsidRDefault="00357FF4" w:rsidP="00655E3E">
      <w:pPr>
        <w:spacing w:before="100" w:beforeAutospacing="1" w:after="100" w:afterAutospacing="1"/>
        <w:jc w:val="both"/>
        <w:outlineLvl w:val="2"/>
        <w:rPr>
          <w:b/>
          <w:bCs/>
        </w:rPr>
      </w:pPr>
      <w:r w:rsidRPr="002430E2">
        <w:rPr>
          <w:b/>
          <w:bCs/>
        </w:rPr>
        <w:t>Teacher Readiness Summary (n = 100)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21"/>
        <w:gridCol w:w="667"/>
        <w:gridCol w:w="500"/>
        <w:gridCol w:w="1562"/>
      </w:tblGrid>
      <w:tr w:rsidR="00357FF4" w:rsidRPr="002430E2" w14:paraId="2465EF56" w14:textId="77777777" w:rsidTr="00B0092D">
        <w:trPr>
          <w:tblHeader/>
          <w:tblCellSpacing w:w="15" w:type="dxa"/>
        </w:trPr>
        <w:tc>
          <w:tcPr>
            <w:tcW w:w="0" w:type="auto"/>
            <w:vAlign w:val="center"/>
            <w:hideMark/>
          </w:tcPr>
          <w:p w14:paraId="14D873F4" w14:textId="77777777" w:rsidR="00357FF4" w:rsidRPr="002430E2" w:rsidRDefault="00357FF4" w:rsidP="00655E3E">
            <w:pPr>
              <w:jc w:val="both"/>
              <w:rPr>
                <w:b/>
                <w:bCs/>
              </w:rPr>
            </w:pPr>
            <w:r w:rsidRPr="002430E2">
              <w:rPr>
                <w:b/>
                <w:bCs/>
              </w:rPr>
              <w:t>Item</w:t>
            </w:r>
          </w:p>
        </w:tc>
        <w:tc>
          <w:tcPr>
            <w:tcW w:w="0" w:type="auto"/>
            <w:vAlign w:val="center"/>
            <w:hideMark/>
          </w:tcPr>
          <w:p w14:paraId="4EE509B1" w14:textId="77777777" w:rsidR="00357FF4" w:rsidRPr="002430E2" w:rsidRDefault="00357FF4" w:rsidP="00655E3E">
            <w:pPr>
              <w:jc w:val="both"/>
              <w:rPr>
                <w:b/>
                <w:bCs/>
              </w:rPr>
            </w:pPr>
            <w:r w:rsidRPr="002430E2">
              <w:rPr>
                <w:b/>
                <w:bCs/>
              </w:rPr>
              <w:t>Mean</w:t>
            </w:r>
          </w:p>
        </w:tc>
        <w:tc>
          <w:tcPr>
            <w:tcW w:w="0" w:type="auto"/>
            <w:vAlign w:val="center"/>
            <w:hideMark/>
          </w:tcPr>
          <w:p w14:paraId="43B1B207" w14:textId="77777777" w:rsidR="00357FF4" w:rsidRPr="002430E2" w:rsidRDefault="00357FF4" w:rsidP="00655E3E">
            <w:pPr>
              <w:jc w:val="both"/>
              <w:rPr>
                <w:b/>
                <w:bCs/>
              </w:rPr>
            </w:pPr>
            <w:r w:rsidRPr="002430E2">
              <w:rPr>
                <w:b/>
                <w:bCs/>
              </w:rPr>
              <w:t>SD</w:t>
            </w:r>
          </w:p>
        </w:tc>
        <w:tc>
          <w:tcPr>
            <w:tcW w:w="0" w:type="auto"/>
            <w:vAlign w:val="center"/>
            <w:hideMark/>
          </w:tcPr>
          <w:p w14:paraId="13079182" w14:textId="77777777" w:rsidR="00357FF4" w:rsidRPr="002430E2" w:rsidRDefault="00357FF4" w:rsidP="00655E3E">
            <w:pPr>
              <w:jc w:val="both"/>
              <w:rPr>
                <w:b/>
                <w:bCs/>
              </w:rPr>
            </w:pPr>
            <w:r w:rsidRPr="002430E2">
              <w:rPr>
                <w:b/>
                <w:bCs/>
              </w:rPr>
              <w:t>Interpretation</w:t>
            </w:r>
          </w:p>
        </w:tc>
      </w:tr>
      <w:tr w:rsidR="00357FF4" w:rsidRPr="002430E2" w14:paraId="6C476E05" w14:textId="77777777" w:rsidTr="00B0092D">
        <w:trPr>
          <w:tblCellSpacing w:w="15" w:type="dxa"/>
        </w:trPr>
        <w:tc>
          <w:tcPr>
            <w:tcW w:w="0" w:type="auto"/>
            <w:vAlign w:val="center"/>
            <w:hideMark/>
          </w:tcPr>
          <w:p w14:paraId="759B782D" w14:textId="77777777" w:rsidR="00357FF4" w:rsidRPr="002430E2" w:rsidRDefault="00357FF4" w:rsidP="00655E3E">
            <w:pPr>
              <w:jc w:val="both"/>
            </w:pPr>
            <w:r w:rsidRPr="002430E2">
              <w:t>1. I am confident in applying new teaching strategies in the classroom.</w:t>
            </w:r>
          </w:p>
        </w:tc>
        <w:tc>
          <w:tcPr>
            <w:tcW w:w="0" w:type="auto"/>
            <w:vAlign w:val="center"/>
            <w:hideMark/>
          </w:tcPr>
          <w:p w14:paraId="685E508E" w14:textId="77777777" w:rsidR="00357FF4" w:rsidRPr="002430E2" w:rsidRDefault="00357FF4" w:rsidP="00655E3E">
            <w:pPr>
              <w:jc w:val="both"/>
            </w:pPr>
            <w:r w:rsidRPr="002430E2">
              <w:t>4.15</w:t>
            </w:r>
          </w:p>
        </w:tc>
        <w:tc>
          <w:tcPr>
            <w:tcW w:w="0" w:type="auto"/>
            <w:vAlign w:val="center"/>
            <w:hideMark/>
          </w:tcPr>
          <w:p w14:paraId="05453B52" w14:textId="77777777" w:rsidR="00357FF4" w:rsidRPr="002430E2" w:rsidRDefault="00357FF4" w:rsidP="00655E3E">
            <w:pPr>
              <w:jc w:val="both"/>
            </w:pPr>
            <w:r w:rsidRPr="002430E2">
              <w:t>0.61</w:t>
            </w:r>
          </w:p>
        </w:tc>
        <w:tc>
          <w:tcPr>
            <w:tcW w:w="0" w:type="auto"/>
            <w:vAlign w:val="center"/>
            <w:hideMark/>
          </w:tcPr>
          <w:p w14:paraId="4C016333" w14:textId="77777777" w:rsidR="00357FF4" w:rsidRPr="002430E2" w:rsidRDefault="00357FF4" w:rsidP="00655E3E">
            <w:pPr>
              <w:jc w:val="both"/>
            </w:pPr>
            <w:r w:rsidRPr="002430E2">
              <w:t>High</w:t>
            </w:r>
          </w:p>
        </w:tc>
      </w:tr>
      <w:tr w:rsidR="00357FF4" w:rsidRPr="002430E2" w14:paraId="02730833" w14:textId="77777777" w:rsidTr="00B0092D">
        <w:trPr>
          <w:tblCellSpacing w:w="15" w:type="dxa"/>
        </w:trPr>
        <w:tc>
          <w:tcPr>
            <w:tcW w:w="0" w:type="auto"/>
            <w:vAlign w:val="center"/>
            <w:hideMark/>
          </w:tcPr>
          <w:p w14:paraId="0B54B57F" w14:textId="77777777" w:rsidR="00357FF4" w:rsidRPr="002430E2" w:rsidRDefault="00357FF4" w:rsidP="00655E3E">
            <w:pPr>
              <w:jc w:val="both"/>
            </w:pPr>
            <w:r w:rsidRPr="002430E2">
              <w:t>2. I feel prepared to implement the NASH Model effectively.</w:t>
            </w:r>
          </w:p>
        </w:tc>
        <w:tc>
          <w:tcPr>
            <w:tcW w:w="0" w:type="auto"/>
            <w:vAlign w:val="center"/>
            <w:hideMark/>
          </w:tcPr>
          <w:p w14:paraId="4BC39065" w14:textId="77777777" w:rsidR="00357FF4" w:rsidRPr="002430E2" w:rsidRDefault="00357FF4" w:rsidP="00655E3E">
            <w:pPr>
              <w:jc w:val="both"/>
            </w:pPr>
            <w:r w:rsidRPr="002430E2">
              <w:t>4.12</w:t>
            </w:r>
          </w:p>
        </w:tc>
        <w:tc>
          <w:tcPr>
            <w:tcW w:w="0" w:type="auto"/>
            <w:vAlign w:val="center"/>
            <w:hideMark/>
          </w:tcPr>
          <w:p w14:paraId="28874291" w14:textId="77777777" w:rsidR="00357FF4" w:rsidRPr="002430E2" w:rsidRDefault="00357FF4" w:rsidP="00655E3E">
            <w:pPr>
              <w:jc w:val="both"/>
            </w:pPr>
            <w:r w:rsidRPr="002430E2">
              <w:t>0.63</w:t>
            </w:r>
          </w:p>
        </w:tc>
        <w:tc>
          <w:tcPr>
            <w:tcW w:w="0" w:type="auto"/>
            <w:vAlign w:val="center"/>
            <w:hideMark/>
          </w:tcPr>
          <w:p w14:paraId="68118047" w14:textId="77777777" w:rsidR="00357FF4" w:rsidRPr="002430E2" w:rsidRDefault="00357FF4" w:rsidP="00655E3E">
            <w:pPr>
              <w:jc w:val="both"/>
            </w:pPr>
            <w:r w:rsidRPr="002430E2">
              <w:t>High</w:t>
            </w:r>
          </w:p>
        </w:tc>
      </w:tr>
      <w:tr w:rsidR="00357FF4" w:rsidRPr="002430E2" w14:paraId="38F39239" w14:textId="77777777" w:rsidTr="00B0092D">
        <w:trPr>
          <w:tblCellSpacing w:w="15" w:type="dxa"/>
        </w:trPr>
        <w:tc>
          <w:tcPr>
            <w:tcW w:w="0" w:type="auto"/>
            <w:vAlign w:val="center"/>
            <w:hideMark/>
          </w:tcPr>
          <w:p w14:paraId="120E4F4B" w14:textId="77777777" w:rsidR="00357FF4" w:rsidRPr="002430E2" w:rsidRDefault="00357FF4" w:rsidP="00655E3E">
            <w:pPr>
              <w:jc w:val="both"/>
            </w:pPr>
            <w:r w:rsidRPr="002430E2">
              <w:t>3. I am willing to undergo training to enhance my instructional and handling skills.</w:t>
            </w:r>
          </w:p>
        </w:tc>
        <w:tc>
          <w:tcPr>
            <w:tcW w:w="0" w:type="auto"/>
            <w:vAlign w:val="center"/>
            <w:hideMark/>
          </w:tcPr>
          <w:p w14:paraId="4A049DA8" w14:textId="77777777" w:rsidR="00357FF4" w:rsidRPr="002430E2" w:rsidRDefault="00357FF4" w:rsidP="00655E3E">
            <w:pPr>
              <w:jc w:val="both"/>
            </w:pPr>
            <w:r w:rsidRPr="002430E2">
              <w:t>4.18</w:t>
            </w:r>
          </w:p>
        </w:tc>
        <w:tc>
          <w:tcPr>
            <w:tcW w:w="0" w:type="auto"/>
            <w:vAlign w:val="center"/>
            <w:hideMark/>
          </w:tcPr>
          <w:p w14:paraId="2E21035C" w14:textId="77777777" w:rsidR="00357FF4" w:rsidRPr="002430E2" w:rsidRDefault="00357FF4" w:rsidP="00655E3E">
            <w:pPr>
              <w:jc w:val="both"/>
            </w:pPr>
            <w:r w:rsidRPr="002430E2">
              <w:t>0.60</w:t>
            </w:r>
          </w:p>
        </w:tc>
        <w:tc>
          <w:tcPr>
            <w:tcW w:w="0" w:type="auto"/>
            <w:vAlign w:val="center"/>
            <w:hideMark/>
          </w:tcPr>
          <w:p w14:paraId="438AA548" w14:textId="77777777" w:rsidR="00357FF4" w:rsidRPr="002430E2" w:rsidRDefault="00357FF4" w:rsidP="00655E3E">
            <w:pPr>
              <w:jc w:val="both"/>
            </w:pPr>
            <w:r w:rsidRPr="002430E2">
              <w:t>High</w:t>
            </w:r>
          </w:p>
        </w:tc>
      </w:tr>
      <w:tr w:rsidR="00357FF4" w:rsidRPr="002430E2" w14:paraId="05D27D8B" w14:textId="77777777" w:rsidTr="00B0092D">
        <w:trPr>
          <w:tblCellSpacing w:w="15" w:type="dxa"/>
        </w:trPr>
        <w:tc>
          <w:tcPr>
            <w:tcW w:w="0" w:type="auto"/>
            <w:vAlign w:val="center"/>
            <w:hideMark/>
          </w:tcPr>
          <w:p w14:paraId="733D7117" w14:textId="77777777" w:rsidR="00357FF4" w:rsidRPr="002430E2" w:rsidRDefault="00357FF4" w:rsidP="00655E3E">
            <w:pPr>
              <w:jc w:val="both"/>
            </w:pPr>
            <w:r w:rsidRPr="002430E2">
              <w:t>4. I believe the NASH Model can improve student outcomes.</w:t>
            </w:r>
          </w:p>
        </w:tc>
        <w:tc>
          <w:tcPr>
            <w:tcW w:w="0" w:type="auto"/>
            <w:vAlign w:val="center"/>
            <w:hideMark/>
          </w:tcPr>
          <w:p w14:paraId="17287E23" w14:textId="77777777" w:rsidR="00357FF4" w:rsidRPr="002430E2" w:rsidRDefault="00357FF4" w:rsidP="00655E3E">
            <w:pPr>
              <w:jc w:val="both"/>
            </w:pPr>
            <w:r w:rsidRPr="002430E2">
              <w:t>4.20</w:t>
            </w:r>
          </w:p>
        </w:tc>
        <w:tc>
          <w:tcPr>
            <w:tcW w:w="0" w:type="auto"/>
            <w:vAlign w:val="center"/>
            <w:hideMark/>
          </w:tcPr>
          <w:p w14:paraId="077BC515" w14:textId="77777777" w:rsidR="00357FF4" w:rsidRPr="002430E2" w:rsidRDefault="00357FF4" w:rsidP="00655E3E">
            <w:pPr>
              <w:jc w:val="both"/>
            </w:pPr>
            <w:r w:rsidRPr="002430E2">
              <w:t>0.58</w:t>
            </w:r>
          </w:p>
        </w:tc>
        <w:tc>
          <w:tcPr>
            <w:tcW w:w="0" w:type="auto"/>
            <w:vAlign w:val="center"/>
            <w:hideMark/>
          </w:tcPr>
          <w:p w14:paraId="32446B3B" w14:textId="77777777" w:rsidR="00357FF4" w:rsidRPr="002430E2" w:rsidRDefault="00357FF4" w:rsidP="00655E3E">
            <w:pPr>
              <w:jc w:val="both"/>
            </w:pPr>
            <w:r w:rsidRPr="002430E2">
              <w:t>High</w:t>
            </w:r>
          </w:p>
        </w:tc>
      </w:tr>
      <w:tr w:rsidR="00357FF4" w:rsidRPr="002430E2" w14:paraId="733C0116" w14:textId="77777777" w:rsidTr="00B0092D">
        <w:trPr>
          <w:tblCellSpacing w:w="15" w:type="dxa"/>
        </w:trPr>
        <w:tc>
          <w:tcPr>
            <w:tcW w:w="0" w:type="auto"/>
            <w:vAlign w:val="center"/>
            <w:hideMark/>
          </w:tcPr>
          <w:p w14:paraId="7726FF6E" w14:textId="77777777" w:rsidR="00357FF4" w:rsidRPr="002430E2" w:rsidRDefault="00357FF4" w:rsidP="00655E3E">
            <w:pPr>
              <w:jc w:val="both"/>
            </w:pPr>
            <w:r w:rsidRPr="002430E2">
              <w:t>5. I am motivated to adopt new classroom practices aligned with the NASH framework.</w:t>
            </w:r>
          </w:p>
        </w:tc>
        <w:tc>
          <w:tcPr>
            <w:tcW w:w="0" w:type="auto"/>
            <w:vAlign w:val="center"/>
            <w:hideMark/>
          </w:tcPr>
          <w:p w14:paraId="2E22192C" w14:textId="77777777" w:rsidR="00357FF4" w:rsidRPr="002430E2" w:rsidRDefault="00357FF4" w:rsidP="00655E3E">
            <w:pPr>
              <w:jc w:val="both"/>
            </w:pPr>
            <w:r w:rsidRPr="002430E2">
              <w:t>4.14</w:t>
            </w:r>
          </w:p>
        </w:tc>
        <w:tc>
          <w:tcPr>
            <w:tcW w:w="0" w:type="auto"/>
            <w:vAlign w:val="center"/>
            <w:hideMark/>
          </w:tcPr>
          <w:p w14:paraId="6D2C6A59" w14:textId="77777777" w:rsidR="00357FF4" w:rsidRPr="002430E2" w:rsidRDefault="00357FF4" w:rsidP="00655E3E">
            <w:pPr>
              <w:jc w:val="both"/>
            </w:pPr>
            <w:r w:rsidRPr="002430E2">
              <w:t>0.62</w:t>
            </w:r>
          </w:p>
        </w:tc>
        <w:tc>
          <w:tcPr>
            <w:tcW w:w="0" w:type="auto"/>
            <w:vAlign w:val="center"/>
            <w:hideMark/>
          </w:tcPr>
          <w:p w14:paraId="5BF8CF77" w14:textId="77777777" w:rsidR="00357FF4" w:rsidRPr="002430E2" w:rsidRDefault="00357FF4" w:rsidP="00655E3E">
            <w:pPr>
              <w:jc w:val="both"/>
            </w:pPr>
            <w:r w:rsidRPr="002430E2">
              <w:t>High</w:t>
            </w:r>
          </w:p>
        </w:tc>
      </w:tr>
      <w:tr w:rsidR="00357FF4" w:rsidRPr="002430E2" w14:paraId="556DAAEF" w14:textId="77777777" w:rsidTr="00B0092D">
        <w:trPr>
          <w:tblCellSpacing w:w="15" w:type="dxa"/>
        </w:trPr>
        <w:tc>
          <w:tcPr>
            <w:tcW w:w="0" w:type="auto"/>
            <w:vAlign w:val="center"/>
            <w:hideMark/>
          </w:tcPr>
          <w:p w14:paraId="6002A8AB" w14:textId="77777777" w:rsidR="00357FF4" w:rsidRPr="002430E2" w:rsidRDefault="00357FF4" w:rsidP="00655E3E">
            <w:pPr>
              <w:jc w:val="both"/>
            </w:pPr>
            <w:r w:rsidRPr="002430E2">
              <w:t>6. I can effectively manage classroom challenges using the NASH dimensions.</w:t>
            </w:r>
          </w:p>
        </w:tc>
        <w:tc>
          <w:tcPr>
            <w:tcW w:w="0" w:type="auto"/>
            <w:vAlign w:val="center"/>
            <w:hideMark/>
          </w:tcPr>
          <w:p w14:paraId="610D95BD" w14:textId="77777777" w:rsidR="00357FF4" w:rsidRPr="002430E2" w:rsidRDefault="00357FF4" w:rsidP="00655E3E">
            <w:pPr>
              <w:jc w:val="both"/>
            </w:pPr>
            <w:r w:rsidRPr="002430E2">
              <w:t>4.11</w:t>
            </w:r>
          </w:p>
        </w:tc>
        <w:tc>
          <w:tcPr>
            <w:tcW w:w="0" w:type="auto"/>
            <w:vAlign w:val="center"/>
            <w:hideMark/>
          </w:tcPr>
          <w:p w14:paraId="613669E5" w14:textId="77777777" w:rsidR="00357FF4" w:rsidRPr="002430E2" w:rsidRDefault="00357FF4" w:rsidP="00655E3E">
            <w:pPr>
              <w:jc w:val="both"/>
            </w:pPr>
            <w:r w:rsidRPr="002430E2">
              <w:t>0.64</w:t>
            </w:r>
          </w:p>
        </w:tc>
        <w:tc>
          <w:tcPr>
            <w:tcW w:w="0" w:type="auto"/>
            <w:vAlign w:val="center"/>
            <w:hideMark/>
          </w:tcPr>
          <w:p w14:paraId="7F896827" w14:textId="77777777" w:rsidR="00357FF4" w:rsidRPr="002430E2" w:rsidRDefault="00357FF4" w:rsidP="00655E3E">
            <w:pPr>
              <w:jc w:val="both"/>
            </w:pPr>
            <w:r w:rsidRPr="002430E2">
              <w:t>High</w:t>
            </w:r>
          </w:p>
        </w:tc>
      </w:tr>
      <w:tr w:rsidR="00357FF4" w:rsidRPr="002430E2" w14:paraId="75840AC2" w14:textId="77777777" w:rsidTr="00B0092D">
        <w:trPr>
          <w:tblCellSpacing w:w="15" w:type="dxa"/>
        </w:trPr>
        <w:tc>
          <w:tcPr>
            <w:tcW w:w="0" w:type="auto"/>
            <w:vAlign w:val="center"/>
            <w:hideMark/>
          </w:tcPr>
          <w:p w14:paraId="6B437BF2" w14:textId="77777777" w:rsidR="00357FF4" w:rsidRPr="002430E2" w:rsidRDefault="00357FF4" w:rsidP="00655E3E">
            <w:pPr>
              <w:jc w:val="both"/>
            </w:pPr>
            <w:r w:rsidRPr="002430E2">
              <w:t>7. I am comfortable adjusting my teaching methods to meet diverse student needs.</w:t>
            </w:r>
          </w:p>
        </w:tc>
        <w:tc>
          <w:tcPr>
            <w:tcW w:w="0" w:type="auto"/>
            <w:vAlign w:val="center"/>
            <w:hideMark/>
          </w:tcPr>
          <w:p w14:paraId="16F6ED0D" w14:textId="77777777" w:rsidR="00357FF4" w:rsidRPr="002430E2" w:rsidRDefault="00357FF4" w:rsidP="00655E3E">
            <w:pPr>
              <w:jc w:val="both"/>
            </w:pPr>
            <w:r w:rsidRPr="002430E2">
              <w:t>4.13</w:t>
            </w:r>
          </w:p>
        </w:tc>
        <w:tc>
          <w:tcPr>
            <w:tcW w:w="0" w:type="auto"/>
            <w:vAlign w:val="center"/>
            <w:hideMark/>
          </w:tcPr>
          <w:p w14:paraId="19F0C20C" w14:textId="77777777" w:rsidR="00357FF4" w:rsidRPr="002430E2" w:rsidRDefault="00357FF4" w:rsidP="00655E3E">
            <w:pPr>
              <w:jc w:val="both"/>
            </w:pPr>
            <w:r w:rsidRPr="002430E2">
              <w:t>0.63</w:t>
            </w:r>
          </w:p>
        </w:tc>
        <w:tc>
          <w:tcPr>
            <w:tcW w:w="0" w:type="auto"/>
            <w:vAlign w:val="center"/>
            <w:hideMark/>
          </w:tcPr>
          <w:p w14:paraId="44511449" w14:textId="77777777" w:rsidR="00357FF4" w:rsidRPr="002430E2" w:rsidRDefault="00357FF4" w:rsidP="00655E3E">
            <w:pPr>
              <w:jc w:val="both"/>
            </w:pPr>
            <w:r w:rsidRPr="002430E2">
              <w:t>High</w:t>
            </w:r>
          </w:p>
        </w:tc>
      </w:tr>
      <w:tr w:rsidR="00357FF4" w:rsidRPr="002430E2" w14:paraId="2E8444AB" w14:textId="77777777" w:rsidTr="00B0092D">
        <w:trPr>
          <w:tblCellSpacing w:w="15" w:type="dxa"/>
        </w:trPr>
        <w:tc>
          <w:tcPr>
            <w:tcW w:w="0" w:type="auto"/>
            <w:vAlign w:val="center"/>
            <w:hideMark/>
          </w:tcPr>
          <w:p w14:paraId="659DB74D" w14:textId="77777777" w:rsidR="00357FF4" w:rsidRPr="002430E2" w:rsidRDefault="00357FF4" w:rsidP="00655E3E">
            <w:pPr>
              <w:jc w:val="both"/>
            </w:pPr>
            <w:r w:rsidRPr="002430E2">
              <w:lastRenderedPageBreak/>
              <w:t>8. I feel ready to foster a nurturing and supportive classroom culture.</w:t>
            </w:r>
          </w:p>
        </w:tc>
        <w:tc>
          <w:tcPr>
            <w:tcW w:w="0" w:type="auto"/>
            <w:vAlign w:val="center"/>
            <w:hideMark/>
          </w:tcPr>
          <w:p w14:paraId="6E8DE45B" w14:textId="77777777" w:rsidR="00357FF4" w:rsidRPr="002430E2" w:rsidRDefault="00357FF4" w:rsidP="00655E3E">
            <w:pPr>
              <w:jc w:val="both"/>
            </w:pPr>
            <w:r w:rsidRPr="002430E2">
              <w:t>4.17</w:t>
            </w:r>
          </w:p>
        </w:tc>
        <w:tc>
          <w:tcPr>
            <w:tcW w:w="0" w:type="auto"/>
            <w:vAlign w:val="center"/>
            <w:hideMark/>
          </w:tcPr>
          <w:p w14:paraId="547E59AA" w14:textId="77777777" w:rsidR="00357FF4" w:rsidRPr="002430E2" w:rsidRDefault="00357FF4" w:rsidP="00655E3E">
            <w:pPr>
              <w:jc w:val="both"/>
            </w:pPr>
            <w:r w:rsidRPr="002430E2">
              <w:t>0.61</w:t>
            </w:r>
          </w:p>
        </w:tc>
        <w:tc>
          <w:tcPr>
            <w:tcW w:w="0" w:type="auto"/>
            <w:vAlign w:val="center"/>
            <w:hideMark/>
          </w:tcPr>
          <w:p w14:paraId="0E42AA19" w14:textId="77777777" w:rsidR="00357FF4" w:rsidRPr="002430E2" w:rsidRDefault="00357FF4" w:rsidP="00655E3E">
            <w:pPr>
              <w:jc w:val="both"/>
            </w:pPr>
            <w:r w:rsidRPr="002430E2">
              <w:t>High</w:t>
            </w:r>
          </w:p>
        </w:tc>
      </w:tr>
      <w:tr w:rsidR="00357FF4" w:rsidRPr="002430E2" w14:paraId="5A6DD246" w14:textId="77777777" w:rsidTr="00B0092D">
        <w:trPr>
          <w:tblCellSpacing w:w="15" w:type="dxa"/>
        </w:trPr>
        <w:tc>
          <w:tcPr>
            <w:tcW w:w="0" w:type="auto"/>
            <w:vAlign w:val="center"/>
            <w:hideMark/>
          </w:tcPr>
          <w:p w14:paraId="234B27D1" w14:textId="77777777" w:rsidR="00357FF4" w:rsidRPr="002430E2" w:rsidRDefault="00357FF4" w:rsidP="00655E3E">
            <w:pPr>
              <w:jc w:val="both"/>
            </w:pPr>
            <w:r w:rsidRPr="002430E2">
              <w:t>9. I am capable of engaging students actively in learning activities.</w:t>
            </w:r>
          </w:p>
        </w:tc>
        <w:tc>
          <w:tcPr>
            <w:tcW w:w="0" w:type="auto"/>
            <w:vAlign w:val="center"/>
            <w:hideMark/>
          </w:tcPr>
          <w:p w14:paraId="154352A6" w14:textId="77777777" w:rsidR="00357FF4" w:rsidRPr="002430E2" w:rsidRDefault="00357FF4" w:rsidP="00655E3E">
            <w:pPr>
              <w:jc w:val="both"/>
            </w:pPr>
            <w:r w:rsidRPr="002430E2">
              <w:t>4.16</w:t>
            </w:r>
          </w:p>
        </w:tc>
        <w:tc>
          <w:tcPr>
            <w:tcW w:w="0" w:type="auto"/>
            <w:vAlign w:val="center"/>
            <w:hideMark/>
          </w:tcPr>
          <w:p w14:paraId="52C655FD" w14:textId="77777777" w:rsidR="00357FF4" w:rsidRPr="002430E2" w:rsidRDefault="00357FF4" w:rsidP="00655E3E">
            <w:pPr>
              <w:jc w:val="both"/>
            </w:pPr>
            <w:r w:rsidRPr="002430E2">
              <w:t>0.60</w:t>
            </w:r>
          </w:p>
        </w:tc>
        <w:tc>
          <w:tcPr>
            <w:tcW w:w="0" w:type="auto"/>
            <w:vAlign w:val="center"/>
            <w:hideMark/>
          </w:tcPr>
          <w:p w14:paraId="1DDDA0C8" w14:textId="77777777" w:rsidR="00357FF4" w:rsidRPr="002430E2" w:rsidRDefault="00357FF4" w:rsidP="00655E3E">
            <w:pPr>
              <w:jc w:val="both"/>
            </w:pPr>
            <w:r w:rsidRPr="002430E2">
              <w:t>High</w:t>
            </w:r>
          </w:p>
        </w:tc>
      </w:tr>
      <w:tr w:rsidR="00357FF4" w:rsidRPr="002430E2" w14:paraId="48C856CF" w14:textId="77777777" w:rsidTr="00B0092D">
        <w:trPr>
          <w:tblCellSpacing w:w="15" w:type="dxa"/>
        </w:trPr>
        <w:tc>
          <w:tcPr>
            <w:tcW w:w="0" w:type="auto"/>
            <w:vAlign w:val="center"/>
            <w:hideMark/>
          </w:tcPr>
          <w:p w14:paraId="4228BB6B" w14:textId="77777777" w:rsidR="00357FF4" w:rsidRPr="002430E2" w:rsidRDefault="00357FF4" w:rsidP="00655E3E">
            <w:pPr>
              <w:jc w:val="both"/>
            </w:pPr>
            <w:r w:rsidRPr="002430E2">
              <w:t>10. I am prepared to address students’ academic, social, and emotional needs holistically.</w:t>
            </w:r>
          </w:p>
        </w:tc>
        <w:tc>
          <w:tcPr>
            <w:tcW w:w="0" w:type="auto"/>
            <w:vAlign w:val="center"/>
            <w:hideMark/>
          </w:tcPr>
          <w:p w14:paraId="2FAAD89B" w14:textId="77777777" w:rsidR="00357FF4" w:rsidRPr="002430E2" w:rsidRDefault="00357FF4" w:rsidP="00655E3E">
            <w:pPr>
              <w:jc w:val="both"/>
            </w:pPr>
            <w:r w:rsidRPr="002430E2">
              <w:t>4.19</w:t>
            </w:r>
          </w:p>
        </w:tc>
        <w:tc>
          <w:tcPr>
            <w:tcW w:w="0" w:type="auto"/>
            <w:vAlign w:val="center"/>
            <w:hideMark/>
          </w:tcPr>
          <w:p w14:paraId="484478E4" w14:textId="77777777" w:rsidR="00357FF4" w:rsidRPr="002430E2" w:rsidRDefault="00357FF4" w:rsidP="00655E3E">
            <w:pPr>
              <w:jc w:val="both"/>
            </w:pPr>
            <w:r w:rsidRPr="002430E2">
              <w:t>0.59</w:t>
            </w:r>
          </w:p>
        </w:tc>
        <w:tc>
          <w:tcPr>
            <w:tcW w:w="0" w:type="auto"/>
            <w:vAlign w:val="center"/>
            <w:hideMark/>
          </w:tcPr>
          <w:p w14:paraId="05DEA0B8" w14:textId="77777777" w:rsidR="00357FF4" w:rsidRPr="002430E2" w:rsidRDefault="00357FF4" w:rsidP="00655E3E">
            <w:pPr>
              <w:jc w:val="both"/>
            </w:pPr>
            <w:r w:rsidRPr="002430E2">
              <w:t>High</w:t>
            </w:r>
          </w:p>
        </w:tc>
      </w:tr>
    </w:tbl>
    <w:p w14:paraId="48B7243B" w14:textId="77777777" w:rsidR="00357FF4" w:rsidRPr="002430E2" w:rsidRDefault="00357FF4" w:rsidP="00655E3E">
      <w:pPr>
        <w:spacing w:before="100" w:beforeAutospacing="1" w:after="100" w:afterAutospacing="1"/>
        <w:jc w:val="both"/>
      </w:pPr>
      <w:r w:rsidRPr="002430E2">
        <w:t xml:space="preserve">| </w:t>
      </w:r>
      <w:r w:rsidRPr="002430E2">
        <w:rPr>
          <w:b/>
          <w:bCs/>
        </w:rPr>
        <w:t>Overall Teacher Readiness</w:t>
      </w:r>
      <w:r w:rsidRPr="002430E2">
        <w:t xml:space="preserve"> | </w:t>
      </w:r>
      <w:r w:rsidRPr="002430E2">
        <w:rPr>
          <w:b/>
          <w:bCs/>
        </w:rPr>
        <w:t>4.15</w:t>
      </w:r>
      <w:r w:rsidRPr="002430E2">
        <w:t xml:space="preserve"> | </w:t>
      </w:r>
      <w:r w:rsidRPr="002430E2">
        <w:rPr>
          <w:b/>
          <w:bCs/>
        </w:rPr>
        <w:t>0.61</w:t>
      </w:r>
      <w:r w:rsidRPr="002430E2">
        <w:t xml:space="preserve"> | </w:t>
      </w:r>
      <w:r w:rsidRPr="002430E2">
        <w:rPr>
          <w:b/>
          <w:bCs/>
        </w:rPr>
        <w:t>High</w:t>
      </w:r>
      <w:r w:rsidRPr="002430E2">
        <w:t xml:space="preserve"> |</w:t>
      </w:r>
    </w:p>
    <w:p w14:paraId="34F5CDE4" w14:textId="77777777" w:rsidR="00357FF4" w:rsidRPr="002208B5" w:rsidRDefault="00357FF4" w:rsidP="00655E3E">
      <w:pPr>
        <w:spacing w:before="100" w:beforeAutospacing="1" w:after="100" w:afterAutospacing="1"/>
        <w:jc w:val="both"/>
        <w:rPr>
          <w:sz w:val="18"/>
          <w:szCs w:val="18"/>
        </w:rPr>
      </w:pPr>
      <w:r w:rsidRPr="002208B5">
        <w:rPr>
          <w:b/>
          <w:bCs/>
          <w:sz w:val="18"/>
          <w:szCs w:val="18"/>
        </w:rPr>
        <w:t>Interpretation Scale (5-point Likert):</w:t>
      </w:r>
    </w:p>
    <w:p w14:paraId="54E8713A" w14:textId="77777777" w:rsidR="00357FF4" w:rsidRPr="002208B5" w:rsidRDefault="00357FF4" w:rsidP="00655E3E">
      <w:pPr>
        <w:pStyle w:val="NoSpacing"/>
        <w:rPr>
          <w:sz w:val="20"/>
          <w:szCs w:val="20"/>
        </w:rPr>
      </w:pPr>
      <w:r w:rsidRPr="002208B5">
        <w:rPr>
          <w:sz w:val="20"/>
          <w:szCs w:val="20"/>
        </w:rPr>
        <w:t>1.00–1.79: Very Low</w:t>
      </w:r>
    </w:p>
    <w:p w14:paraId="744CB042" w14:textId="77777777" w:rsidR="00357FF4" w:rsidRPr="002208B5" w:rsidRDefault="00357FF4" w:rsidP="00655E3E">
      <w:pPr>
        <w:pStyle w:val="NoSpacing"/>
        <w:rPr>
          <w:sz w:val="20"/>
          <w:szCs w:val="20"/>
        </w:rPr>
      </w:pPr>
      <w:r w:rsidRPr="002208B5">
        <w:rPr>
          <w:sz w:val="20"/>
          <w:szCs w:val="20"/>
        </w:rPr>
        <w:t>1.80–2.59: Low</w:t>
      </w:r>
    </w:p>
    <w:p w14:paraId="3D12CD49" w14:textId="77777777" w:rsidR="00357FF4" w:rsidRPr="002208B5" w:rsidRDefault="00357FF4" w:rsidP="00655E3E">
      <w:pPr>
        <w:pStyle w:val="NoSpacing"/>
        <w:rPr>
          <w:sz w:val="20"/>
          <w:szCs w:val="20"/>
        </w:rPr>
      </w:pPr>
      <w:r w:rsidRPr="002208B5">
        <w:rPr>
          <w:sz w:val="20"/>
          <w:szCs w:val="20"/>
        </w:rPr>
        <w:t>2.60–3.39: Moderate</w:t>
      </w:r>
    </w:p>
    <w:p w14:paraId="155A465C" w14:textId="77777777" w:rsidR="00357FF4" w:rsidRDefault="00357FF4" w:rsidP="00655E3E">
      <w:pPr>
        <w:pStyle w:val="NoSpacing"/>
        <w:rPr>
          <w:sz w:val="20"/>
          <w:szCs w:val="20"/>
        </w:rPr>
      </w:pPr>
      <w:r w:rsidRPr="002208B5">
        <w:rPr>
          <w:sz w:val="20"/>
          <w:szCs w:val="20"/>
        </w:rPr>
        <w:t>3.40–4.19: High</w:t>
      </w:r>
    </w:p>
    <w:p w14:paraId="4349ECEC" w14:textId="77777777" w:rsidR="00357FF4" w:rsidRPr="002208B5" w:rsidRDefault="00357FF4" w:rsidP="00655E3E">
      <w:pPr>
        <w:pStyle w:val="NoSpacing"/>
        <w:rPr>
          <w:sz w:val="20"/>
          <w:szCs w:val="20"/>
        </w:rPr>
      </w:pPr>
      <w:r w:rsidRPr="002208B5">
        <w:rPr>
          <w:sz w:val="18"/>
          <w:szCs w:val="18"/>
        </w:rPr>
        <w:t>4.20–5.00: Very High</w:t>
      </w:r>
    </w:p>
    <w:p w14:paraId="0612E7BD" w14:textId="77777777" w:rsidR="00357FF4" w:rsidRDefault="00357FF4" w:rsidP="00655E3E">
      <w:pPr>
        <w:ind w:firstLine="720"/>
        <w:rPr>
          <w:rFonts w:ascii="Arial" w:hAnsi="Arial" w:cs="Arial"/>
          <w:b/>
          <w:bCs/>
          <w:color w:val="1F1F1F"/>
          <w:sz w:val="27"/>
          <w:szCs w:val="27"/>
        </w:rPr>
      </w:pPr>
    </w:p>
    <w:p w14:paraId="1E50F483" w14:textId="77777777" w:rsidR="00357FF4" w:rsidRPr="002208B5" w:rsidRDefault="00357FF4" w:rsidP="00655E3E">
      <w:pPr>
        <w:ind w:firstLine="720"/>
        <w:jc w:val="both"/>
        <w:rPr>
          <w:color w:val="1F1F1F"/>
        </w:rPr>
      </w:pPr>
      <w:r w:rsidRPr="002208B5">
        <w:rPr>
          <w:color w:val="1F1F1F"/>
        </w:rPr>
        <w:t>The data presented in the table details the perceived readiness of 100 surveyed educators to embrace and implement new pedagogical frameworks. Universally, the data reveals a "High" level of readiness across all evaluated indicators, culminating in an overall teacher readiness composite mean score of 4.15 and a tight overall standard deviation of 0.61. This high average demonstrates that the target workforce is not only psychologically prepared but also exhibits strong self-efficacy regarding their professional capabilities. The highest individual mean score in the dataset belongs to Item 4, where teachers expressed a strong belief that the NASH Model can improve student outcomes, yielding a mean of 4.20 (SD = 0.58). This indicates an exceptionally strong baseline of cognitive buy-in, which is critical for successful institutional change. This positive outlook is closely supported by Item 10, where educators reported feeling highly prepared to address students’ academic, social, and emotional needs holistically, earning a mean score of 4.19 (SD = 0.59). Furthermore, a strong proactive attitude toward continuous professional development is evident in Item 3, where teachers indicated a high willingness to undergo training to enhance their instructional and handling skills, scoring a mean of 4.18 (SD = 0.60).</w:t>
      </w:r>
    </w:p>
    <w:p w14:paraId="22C0F792" w14:textId="77777777" w:rsidR="00357FF4" w:rsidRPr="002208B5" w:rsidRDefault="00357FF4" w:rsidP="00655E3E">
      <w:pPr>
        <w:jc w:val="both"/>
        <w:rPr>
          <w:color w:val="1F1F1F"/>
        </w:rPr>
      </w:pPr>
      <w:r w:rsidRPr="002208B5">
        <w:rPr>
          <w:color w:val="1F1F1F"/>
        </w:rPr>
        <w:t>Other highly rated areas include readiness to foster a nurturing and supportive classroom culture (Item 8) at 4.17 (SD = 0.61), capability in engaging students actively in learning activities (Item 9) at 4.16 (SD = 0.60), and confidence in applying new teaching strategies in the classroom (Item 1) at 4.15 (SD = 0.61). Conversely, the items that yielded the lowest relative mean scores, while still firmly within the positive "High" classification, point to areas where practitioners feel slightly less certain. Effectively managing classroom challenges using the NASH dimensions (Item 6) received the lowest relative mean at 4.11 (SD = 0.64), followed closely by feeling prepared to implement the NASH Model effectively (Item 2) at 4.12 (SD = 0.63). This minor dip suggests that while teachers are enthusiastic, motivated (Item 5 = 4.14), and fully buy into the model’s potential benefits, they feel a slight relative apprehension regarding the direct, real-world execution and hands-on crisis management under the new framework. Across all 10 items, the standard deviations remain exceptionally low and tightly clustered between 0.58 and 0.64. This minimal variance signifies a powerful consensus among the 100 respondents, confirming that the educator group shares a unified, highly ready, and cooperative stance toward adopting the framework.</w:t>
      </w:r>
    </w:p>
    <w:p w14:paraId="5FE6556F" w14:textId="77777777" w:rsidR="00357FF4" w:rsidRPr="002208B5" w:rsidRDefault="00357FF4" w:rsidP="00655E3E">
      <w:pPr>
        <w:pStyle w:val="ListParagraph"/>
        <w:spacing w:before="100" w:beforeAutospacing="1" w:after="100" w:afterAutospacing="1"/>
        <w:jc w:val="both"/>
        <w:outlineLvl w:val="2"/>
        <w:rPr>
          <w:b/>
          <w:bCs/>
        </w:rPr>
      </w:pPr>
    </w:p>
    <w:p w14:paraId="22686269" w14:textId="77777777" w:rsidR="00357FF4" w:rsidRDefault="00357FF4" w:rsidP="00655E3E">
      <w:pPr>
        <w:pStyle w:val="ListParagraph"/>
        <w:spacing w:before="100" w:beforeAutospacing="1" w:after="100" w:afterAutospacing="1"/>
        <w:jc w:val="both"/>
        <w:outlineLvl w:val="2"/>
        <w:rPr>
          <w:b/>
          <w:bCs/>
        </w:rPr>
      </w:pPr>
    </w:p>
    <w:p w14:paraId="19941CE1" w14:textId="77777777" w:rsidR="00357FF4" w:rsidRDefault="00357FF4" w:rsidP="00655E3E">
      <w:pPr>
        <w:pStyle w:val="ListParagraph"/>
        <w:spacing w:before="100" w:beforeAutospacing="1" w:after="100" w:afterAutospacing="1"/>
        <w:jc w:val="both"/>
        <w:outlineLvl w:val="2"/>
        <w:rPr>
          <w:b/>
          <w:bCs/>
        </w:rPr>
      </w:pPr>
    </w:p>
    <w:p w14:paraId="6224A932" w14:textId="77777777" w:rsidR="00357FF4" w:rsidRDefault="00357FF4" w:rsidP="00655E3E">
      <w:pPr>
        <w:pStyle w:val="ListParagraph"/>
        <w:spacing w:before="100" w:beforeAutospacing="1" w:after="100" w:afterAutospacing="1"/>
        <w:jc w:val="both"/>
        <w:outlineLvl w:val="2"/>
        <w:rPr>
          <w:b/>
          <w:bCs/>
        </w:rPr>
      </w:pPr>
    </w:p>
    <w:p w14:paraId="337BCB9D" w14:textId="77777777" w:rsidR="00357FF4" w:rsidRDefault="00357FF4" w:rsidP="00655E3E">
      <w:pPr>
        <w:pStyle w:val="ListParagraph"/>
        <w:spacing w:before="100" w:beforeAutospacing="1" w:after="100" w:afterAutospacing="1"/>
        <w:jc w:val="both"/>
        <w:outlineLvl w:val="2"/>
        <w:rPr>
          <w:b/>
          <w:bCs/>
        </w:rPr>
      </w:pPr>
    </w:p>
    <w:p w14:paraId="2F3F27D1" w14:textId="77777777" w:rsidR="00357FF4" w:rsidRDefault="00357FF4" w:rsidP="00655E3E">
      <w:pPr>
        <w:pStyle w:val="ListParagraph"/>
        <w:spacing w:before="100" w:beforeAutospacing="1" w:after="100" w:afterAutospacing="1"/>
        <w:jc w:val="both"/>
        <w:outlineLvl w:val="2"/>
        <w:rPr>
          <w:b/>
          <w:bCs/>
        </w:rPr>
      </w:pPr>
    </w:p>
    <w:p w14:paraId="24E75857" w14:textId="77777777" w:rsidR="00357FF4" w:rsidRDefault="00357FF4" w:rsidP="00655E3E">
      <w:pPr>
        <w:pStyle w:val="ListParagraph"/>
        <w:spacing w:before="100" w:beforeAutospacing="1" w:after="100" w:afterAutospacing="1"/>
        <w:jc w:val="both"/>
        <w:outlineLvl w:val="2"/>
        <w:rPr>
          <w:b/>
          <w:bCs/>
        </w:rPr>
      </w:pPr>
    </w:p>
    <w:p w14:paraId="5A34CC28" w14:textId="77777777" w:rsidR="00357FF4" w:rsidRDefault="00357FF4" w:rsidP="00655E3E">
      <w:pPr>
        <w:pStyle w:val="ListParagraph"/>
        <w:spacing w:before="100" w:beforeAutospacing="1" w:after="100" w:afterAutospacing="1"/>
        <w:jc w:val="both"/>
        <w:outlineLvl w:val="2"/>
        <w:rPr>
          <w:b/>
          <w:bCs/>
        </w:rPr>
      </w:pPr>
    </w:p>
    <w:p w14:paraId="36891078" w14:textId="77777777" w:rsidR="00357FF4" w:rsidRDefault="00357FF4" w:rsidP="00655E3E">
      <w:pPr>
        <w:pStyle w:val="ListParagraph"/>
        <w:spacing w:before="100" w:beforeAutospacing="1" w:after="100" w:afterAutospacing="1"/>
        <w:jc w:val="both"/>
        <w:outlineLvl w:val="2"/>
        <w:rPr>
          <w:b/>
          <w:bCs/>
        </w:rPr>
      </w:pPr>
    </w:p>
    <w:p w14:paraId="4349A1B0" w14:textId="77777777" w:rsidR="00357FF4" w:rsidRDefault="00357FF4" w:rsidP="00655E3E">
      <w:pPr>
        <w:pStyle w:val="ListParagraph"/>
        <w:spacing w:before="100" w:beforeAutospacing="1" w:after="100" w:afterAutospacing="1"/>
        <w:jc w:val="both"/>
        <w:outlineLvl w:val="2"/>
        <w:rPr>
          <w:b/>
          <w:bCs/>
        </w:rPr>
      </w:pPr>
    </w:p>
    <w:p w14:paraId="7ACCAB76" w14:textId="77777777" w:rsidR="00357FF4" w:rsidRDefault="00357FF4" w:rsidP="00655E3E">
      <w:pPr>
        <w:pStyle w:val="ListParagraph"/>
        <w:spacing w:before="100" w:beforeAutospacing="1" w:after="100" w:afterAutospacing="1"/>
        <w:jc w:val="both"/>
        <w:outlineLvl w:val="2"/>
        <w:rPr>
          <w:b/>
          <w:bCs/>
        </w:rPr>
      </w:pPr>
    </w:p>
    <w:p w14:paraId="18DAB57F" w14:textId="77777777" w:rsidR="00357FF4" w:rsidRPr="002430E2" w:rsidRDefault="00357FF4" w:rsidP="00655E3E">
      <w:pPr>
        <w:pStyle w:val="ListParagraph"/>
        <w:spacing w:before="100" w:beforeAutospacing="1" w:after="100" w:afterAutospacing="1"/>
        <w:jc w:val="center"/>
        <w:outlineLvl w:val="2"/>
        <w:rPr>
          <w:b/>
          <w:bCs/>
        </w:rPr>
      </w:pPr>
      <w:r w:rsidRPr="002430E2">
        <w:rPr>
          <w:b/>
          <w:bCs/>
        </w:rPr>
        <w:t>Table: Significant Differences in Teachers’ NASH Implementation and Readiness Across Demographic Variables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0"/>
        <w:gridCol w:w="1120"/>
        <w:gridCol w:w="1285"/>
        <w:gridCol w:w="1760"/>
        <w:gridCol w:w="1152"/>
        <w:gridCol w:w="743"/>
        <w:gridCol w:w="1760"/>
      </w:tblGrid>
      <w:tr w:rsidR="00357FF4" w:rsidRPr="002430E2" w14:paraId="021A16BF" w14:textId="77777777" w:rsidTr="00B0092D">
        <w:trPr>
          <w:tblHeader/>
          <w:tblCellSpacing w:w="15" w:type="dxa"/>
        </w:trPr>
        <w:tc>
          <w:tcPr>
            <w:tcW w:w="0" w:type="auto"/>
            <w:vAlign w:val="center"/>
            <w:hideMark/>
          </w:tcPr>
          <w:p w14:paraId="197184B5" w14:textId="77777777" w:rsidR="00357FF4" w:rsidRPr="002430E2" w:rsidRDefault="00357FF4" w:rsidP="00655E3E">
            <w:pPr>
              <w:jc w:val="both"/>
              <w:rPr>
                <w:b/>
                <w:bCs/>
              </w:rPr>
            </w:pPr>
            <w:r w:rsidRPr="002430E2">
              <w:rPr>
                <w:b/>
                <w:bCs/>
              </w:rPr>
              <w:t>Demographic Variable</w:t>
            </w:r>
          </w:p>
        </w:tc>
        <w:tc>
          <w:tcPr>
            <w:tcW w:w="0" w:type="auto"/>
            <w:vAlign w:val="center"/>
            <w:hideMark/>
          </w:tcPr>
          <w:p w14:paraId="32FCD6BE" w14:textId="77777777" w:rsidR="00357FF4" w:rsidRPr="002430E2" w:rsidRDefault="00357FF4" w:rsidP="00655E3E">
            <w:pPr>
              <w:jc w:val="both"/>
              <w:rPr>
                <w:b/>
                <w:bCs/>
              </w:rPr>
            </w:pPr>
            <w:r w:rsidRPr="002430E2">
              <w:rPr>
                <w:b/>
                <w:bCs/>
              </w:rPr>
              <w:t>Groups</w:t>
            </w:r>
          </w:p>
        </w:tc>
        <w:tc>
          <w:tcPr>
            <w:tcW w:w="0" w:type="auto"/>
            <w:vAlign w:val="center"/>
            <w:hideMark/>
          </w:tcPr>
          <w:p w14:paraId="28C6F956" w14:textId="77777777" w:rsidR="00357FF4" w:rsidRPr="002430E2" w:rsidRDefault="00357FF4" w:rsidP="00655E3E">
            <w:pPr>
              <w:jc w:val="both"/>
              <w:rPr>
                <w:b/>
                <w:bCs/>
              </w:rPr>
            </w:pPr>
            <w:r w:rsidRPr="002430E2">
              <w:rPr>
                <w:b/>
                <w:bCs/>
              </w:rPr>
              <w:t>Test Used</w:t>
            </w:r>
          </w:p>
        </w:tc>
        <w:tc>
          <w:tcPr>
            <w:tcW w:w="0" w:type="auto"/>
            <w:vAlign w:val="center"/>
            <w:hideMark/>
          </w:tcPr>
          <w:p w14:paraId="74582890" w14:textId="77777777" w:rsidR="00357FF4" w:rsidRPr="002430E2" w:rsidRDefault="00357FF4" w:rsidP="00655E3E">
            <w:pPr>
              <w:jc w:val="both"/>
              <w:rPr>
                <w:b/>
                <w:bCs/>
              </w:rPr>
            </w:pPr>
            <w:r w:rsidRPr="002430E2">
              <w:rPr>
                <w:b/>
                <w:bCs/>
              </w:rPr>
              <w:t>Mean NASH Implementation</w:t>
            </w:r>
          </w:p>
        </w:tc>
        <w:tc>
          <w:tcPr>
            <w:tcW w:w="0" w:type="auto"/>
            <w:vAlign w:val="center"/>
            <w:hideMark/>
          </w:tcPr>
          <w:p w14:paraId="751911B9" w14:textId="77777777" w:rsidR="00357FF4" w:rsidRPr="002430E2" w:rsidRDefault="00357FF4" w:rsidP="00655E3E">
            <w:pPr>
              <w:jc w:val="both"/>
              <w:rPr>
                <w:b/>
                <w:bCs/>
              </w:rPr>
            </w:pPr>
            <w:r w:rsidRPr="002430E2">
              <w:rPr>
                <w:b/>
                <w:bCs/>
              </w:rPr>
              <w:t>Mean Teacher Readiness</w:t>
            </w:r>
          </w:p>
        </w:tc>
        <w:tc>
          <w:tcPr>
            <w:tcW w:w="0" w:type="auto"/>
            <w:vAlign w:val="center"/>
            <w:hideMark/>
          </w:tcPr>
          <w:p w14:paraId="5DC9D852" w14:textId="77777777" w:rsidR="00357FF4" w:rsidRPr="002430E2" w:rsidRDefault="00357FF4" w:rsidP="00655E3E">
            <w:pPr>
              <w:jc w:val="both"/>
              <w:rPr>
                <w:b/>
                <w:bCs/>
              </w:rPr>
            </w:pPr>
            <w:r w:rsidRPr="002430E2">
              <w:rPr>
                <w:b/>
                <w:bCs/>
              </w:rPr>
              <w:t>p-value</w:t>
            </w:r>
          </w:p>
        </w:tc>
        <w:tc>
          <w:tcPr>
            <w:tcW w:w="0" w:type="auto"/>
            <w:vAlign w:val="center"/>
            <w:hideMark/>
          </w:tcPr>
          <w:p w14:paraId="237CB435" w14:textId="77777777" w:rsidR="00357FF4" w:rsidRPr="002430E2" w:rsidRDefault="00357FF4" w:rsidP="00655E3E">
            <w:pPr>
              <w:jc w:val="both"/>
              <w:rPr>
                <w:b/>
                <w:bCs/>
              </w:rPr>
            </w:pPr>
            <w:r w:rsidRPr="002430E2">
              <w:rPr>
                <w:b/>
                <w:bCs/>
              </w:rPr>
              <w:t>Interpretation</w:t>
            </w:r>
          </w:p>
        </w:tc>
      </w:tr>
      <w:tr w:rsidR="00357FF4" w:rsidRPr="002430E2" w14:paraId="044C0273" w14:textId="77777777" w:rsidTr="00B0092D">
        <w:trPr>
          <w:tblCellSpacing w:w="15" w:type="dxa"/>
        </w:trPr>
        <w:tc>
          <w:tcPr>
            <w:tcW w:w="0" w:type="auto"/>
            <w:vAlign w:val="center"/>
            <w:hideMark/>
          </w:tcPr>
          <w:p w14:paraId="3DE7476C" w14:textId="77777777" w:rsidR="00357FF4" w:rsidRPr="002430E2" w:rsidRDefault="00357FF4" w:rsidP="00655E3E">
            <w:pPr>
              <w:jc w:val="both"/>
            </w:pPr>
            <w:r w:rsidRPr="002430E2">
              <w:rPr>
                <w:b/>
                <w:bCs/>
              </w:rPr>
              <w:t>Age</w:t>
            </w:r>
          </w:p>
        </w:tc>
        <w:tc>
          <w:tcPr>
            <w:tcW w:w="0" w:type="auto"/>
            <w:vAlign w:val="center"/>
            <w:hideMark/>
          </w:tcPr>
          <w:p w14:paraId="6CABD041" w14:textId="77777777" w:rsidR="00357FF4" w:rsidRPr="002430E2" w:rsidRDefault="00357FF4" w:rsidP="00655E3E">
            <w:pPr>
              <w:jc w:val="both"/>
            </w:pPr>
            <w:r w:rsidRPr="002430E2">
              <w:t>&lt;30</w:t>
            </w:r>
          </w:p>
        </w:tc>
        <w:tc>
          <w:tcPr>
            <w:tcW w:w="0" w:type="auto"/>
            <w:vAlign w:val="center"/>
            <w:hideMark/>
          </w:tcPr>
          <w:p w14:paraId="16612C2D" w14:textId="77777777" w:rsidR="00357FF4" w:rsidRPr="002430E2" w:rsidRDefault="00357FF4" w:rsidP="00655E3E">
            <w:pPr>
              <w:jc w:val="both"/>
            </w:pPr>
            <w:r w:rsidRPr="002430E2">
              <w:t>One-way ANOVA</w:t>
            </w:r>
          </w:p>
        </w:tc>
        <w:tc>
          <w:tcPr>
            <w:tcW w:w="0" w:type="auto"/>
            <w:vAlign w:val="center"/>
            <w:hideMark/>
          </w:tcPr>
          <w:p w14:paraId="28E876AB" w14:textId="77777777" w:rsidR="00357FF4" w:rsidRPr="002430E2" w:rsidRDefault="00357FF4" w:rsidP="00655E3E">
            <w:pPr>
              <w:jc w:val="both"/>
            </w:pPr>
            <w:r w:rsidRPr="002430E2">
              <w:t>3.85</w:t>
            </w:r>
          </w:p>
        </w:tc>
        <w:tc>
          <w:tcPr>
            <w:tcW w:w="0" w:type="auto"/>
            <w:vAlign w:val="center"/>
            <w:hideMark/>
          </w:tcPr>
          <w:p w14:paraId="791D3A10" w14:textId="77777777" w:rsidR="00357FF4" w:rsidRPr="002430E2" w:rsidRDefault="00357FF4" w:rsidP="00655E3E">
            <w:pPr>
              <w:jc w:val="both"/>
            </w:pPr>
            <w:r w:rsidRPr="002430E2">
              <w:t>3.90</w:t>
            </w:r>
          </w:p>
        </w:tc>
        <w:tc>
          <w:tcPr>
            <w:tcW w:w="0" w:type="auto"/>
            <w:vAlign w:val="center"/>
            <w:hideMark/>
          </w:tcPr>
          <w:p w14:paraId="71495DA3" w14:textId="77777777" w:rsidR="00357FF4" w:rsidRPr="002430E2" w:rsidRDefault="00357FF4" w:rsidP="00655E3E">
            <w:pPr>
              <w:jc w:val="both"/>
            </w:pPr>
            <w:r w:rsidRPr="002430E2">
              <w:t>0.042*</w:t>
            </w:r>
          </w:p>
        </w:tc>
        <w:tc>
          <w:tcPr>
            <w:tcW w:w="0" w:type="auto"/>
            <w:vAlign w:val="center"/>
            <w:hideMark/>
          </w:tcPr>
          <w:p w14:paraId="269A30B9" w14:textId="77777777" w:rsidR="00357FF4" w:rsidRPr="002430E2" w:rsidRDefault="00357FF4" w:rsidP="00655E3E">
            <w:pPr>
              <w:jc w:val="both"/>
            </w:pPr>
            <w:r w:rsidRPr="002430E2">
              <w:t>Significant difference; younger teachers slightly less ready compared to 31–40 group</w:t>
            </w:r>
          </w:p>
        </w:tc>
      </w:tr>
      <w:tr w:rsidR="00357FF4" w:rsidRPr="002430E2" w14:paraId="4D15E37F" w14:textId="77777777" w:rsidTr="00B0092D">
        <w:trPr>
          <w:tblCellSpacing w:w="15" w:type="dxa"/>
        </w:trPr>
        <w:tc>
          <w:tcPr>
            <w:tcW w:w="0" w:type="auto"/>
            <w:vAlign w:val="center"/>
            <w:hideMark/>
          </w:tcPr>
          <w:p w14:paraId="7306B610" w14:textId="77777777" w:rsidR="00357FF4" w:rsidRPr="002430E2" w:rsidRDefault="00357FF4" w:rsidP="00655E3E">
            <w:pPr>
              <w:jc w:val="both"/>
            </w:pPr>
          </w:p>
        </w:tc>
        <w:tc>
          <w:tcPr>
            <w:tcW w:w="0" w:type="auto"/>
            <w:vAlign w:val="center"/>
            <w:hideMark/>
          </w:tcPr>
          <w:p w14:paraId="63837E2B" w14:textId="77777777" w:rsidR="00357FF4" w:rsidRPr="002430E2" w:rsidRDefault="00357FF4" w:rsidP="00655E3E">
            <w:pPr>
              <w:jc w:val="both"/>
            </w:pPr>
            <w:r w:rsidRPr="002430E2">
              <w:t>31–40</w:t>
            </w:r>
          </w:p>
        </w:tc>
        <w:tc>
          <w:tcPr>
            <w:tcW w:w="0" w:type="auto"/>
            <w:vAlign w:val="center"/>
            <w:hideMark/>
          </w:tcPr>
          <w:p w14:paraId="468C294A" w14:textId="77777777" w:rsidR="00357FF4" w:rsidRPr="002430E2" w:rsidRDefault="00357FF4" w:rsidP="00655E3E">
            <w:pPr>
              <w:jc w:val="both"/>
            </w:pPr>
            <w:r w:rsidRPr="002430E2">
              <w:t>4.12</w:t>
            </w:r>
          </w:p>
        </w:tc>
        <w:tc>
          <w:tcPr>
            <w:tcW w:w="0" w:type="auto"/>
            <w:vAlign w:val="center"/>
            <w:hideMark/>
          </w:tcPr>
          <w:p w14:paraId="0A18C46B" w14:textId="77777777" w:rsidR="00357FF4" w:rsidRPr="002430E2" w:rsidRDefault="00357FF4" w:rsidP="00655E3E">
            <w:pPr>
              <w:jc w:val="both"/>
            </w:pPr>
            <w:r w:rsidRPr="002430E2">
              <w:t>4.05</w:t>
            </w:r>
          </w:p>
        </w:tc>
        <w:tc>
          <w:tcPr>
            <w:tcW w:w="0" w:type="auto"/>
            <w:vAlign w:val="center"/>
            <w:hideMark/>
          </w:tcPr>
          <w:p w14:paraId="7333E9C0" w14:textId="77777777" w:rsidR="00357FF4" w:rsidRPr="002430E2" w:rsidRDefault="00357FF4" w:rsidP="00655E3E">
            <w:pPr>
              <w:jc w:val="both"/>
            </w:pPr>
          </w:p>
        </w:tc>
        <w:tc>
          <w:tcPr>
            <w:tcW w:w="0" w:type="auto"/>
            <w:vAlign w:val="center"/>
            <w:hideMark/>
          </w:tcPr>
          <w:p w14:paraId="299B6363" w14:textId="77777777" w:rsidR="00357FF4" w:rsidRPr="002430E2" w:rsidRDefault="00357FF4" w:rsidP="00655E3E">
            <w:pPr>
              <w:jc w:val="both"/>
            </w:pPr>
          </w:p>
        </w:tc>
        <w:tc>
          <w:tcPr>
            <w:tcW w:w="0" w:type="auto"/>
            <w:vAlign w:val="center"/>
            <w:hideMark/>
          </w:tcPr>
          <w:p w14:paraId="49409160" w14:textId="77777777" w:rsidR="00357FF4" w:rsidRPr="002430E2" w:rsidRDefault="00357FF4" w:rsidP="00655E3E">
            <w:pPr>
              <w:jc w:val="both"/>
            </w:pPr>
          </w:p>
        </w:tc>
      </w:tr>
      <w:tr w:rsidR="00357FF4" w:rsidRPr="002430E2" w14:paraId="57CC112F" w14:textId="77777777" w:rsidTr="00B0092D">
        <w:trPr>
          <w:tblCellSpacing w:w="15" w:type="dxa"/>
        </w:trPr>
        <w:tc>
          <w:tcPr>
            <w:tcW w:w="0" w:type="auto"/>
            <w:vAlign w:val="center"/>
            <w:hideMark/>
          </w:tcPr>
          <w:p w14:paraId="5BC54DE3" w14:textId="77777777" w:rsidR="00357FF4" w:rsidRPr="002430E2" w:rsidRDefault="00357FF4" w:rsidP="00655E3E">
            <w:pPr>
              <w:jc w:val="both"/>
            </w:pPr>
          </w:p>
        </w:tc>
        <w:tc>
          <w:tcPr>
            <w:tcW w:w="0" w:type="auto"/>
            <w:vAlign w:val="center"/>
            <w:hideMark/>
          </w:tcPr>
          <w:p w14:paraId="3B49D3A2" w14:textId="77777777" w:rsidR="00357FF4" w:rsidRPr="002430E2" w:rsidRDefault="00357FF4" w:rsidP="00655E3E">
            <w:pPr>
              <w:jc w:val="both"/>
            </w:pPr>
            <w:r w:rsidRPr="002430E2">
              <w:t>41–50</w:t>
            </w:r>
          </w:p>
        </w:tc>
        <w:tc>
          <w:tcPr>
            <w:tcW w:w="0" w:type="auto"/>
            <w:vAlign w:val="center"/>
            <w:hideMark/>
          </w:tcPr>
          <w:p w14:paraId="1A48C359" w14:textId="77777777" w:rsidR="00357FF4" w:rsidRPr="002430E2" w:rsidRDefault="00357FF4" w:rsidP="00655E3E">
            <w:pPr>
              <w:jc w:val="both"/>
            </w:pPr>
            <w:r w:rsidRPr="002430E2">
              <w:t>4.08</w:t>
            </w:r>
          </w:p>
        </w:tc>
        <w:tc>
          <w:tcPr>
            <w:tcW w:w="0" w:type="auto"/>
            <w:vAlign w:val="center"/>
            <w:hideMark/>
          </w:tcPr>
          <w:p w14:paraId="747AEA78" w14:textId="77777777" w:rsidR="00357FF4" w:rsidRPr="002430E2" w:rsidRDefault="00357FF4" w:rsidP="00655E3E">
            <w:pPr>
              <w:jc w:val="both"/>
            </w:pPr>
            <w:r w:rsidRPr="002430E2">
              <w:t>4.10</w:t>
            </w:r>
          </w:p>
        </w:tc>
        <w:tc>
          <w:tcPr>
            <w:tcW w:w="0" w:type="auto"/>
            <w:vAlign w:val="center"/>
            <w:hideMark/>
          </w:tcPr>
          <w:p w14:paraId="2A820631" w14:textId="77777777" w:rsidR="00357FF4" w:rsidRPr="002430E2" w:rsidRDefault="00357FF4" w:rsidP="00655E3E">
            <w:pPr>
              <w:jc w:val="both"/>
            </w:pPr>
          </w:p>
        </w:tc>
        <w:tc>
          <w:tcPr>
            <w:tcW w:w="0" w:type="auto"/>
            <w:vAlign w:val="center"/>
            <w:hideMark/>
          </w:tcPr>
          <w:p w14:paraId="59343E5F" w14:textId="77777777" w:rsidR="00357FF4" w:rsidRPr="002430E2" w:rsidRDefault="00357FF4" w:rsidP="00655E3E">
            <w:pPr>
              <w:jc w:val="both"/>
            </w:pPr>
          </w:p>
        </w:tc>
        <w:tc>
          <w:tcPr>
            <w:tcW w:w="0" w:type="auto"/>
            <w:vAlign w:val="center"/>
            <w:hideMark/>
          </w:tcPr>
          <w:p w14:paraId="4449A1AC" w14:textId="77777777" w:rsidR="00357FF4" w:rsidRPr="002430E2" w:rsidRDefault="00357FF4" w:rsidP="00655E3E">
            <w:pPr>
              <w:jc w:val="both"/>
            </w:pPr>
          </w:p>
        </w:tc>
      </w:tr>
      <w:tr w:rsidR="00357FF4" w:rsidRPr="002430E2" w14:paraId="35852294" w14:textId="77777777" w:rsidTr="00B0092D">
        <w:trPr>
          <w:tblCellSpacing w:w="15" w:type="dxa"/>
        </w:trPr>
        <w:tc>
          <w:tcPr>
            <w:tcW w:w="0" w:type="auto"/>
            <w:vAlign w:val="center"/>
            <w:hideMark/>
          </w:tcPr>
          <w:p w14:paraId="4ABC1FC6" w14:textId="77777777" w:rsidR="00357FF4" w:rsidRPr="002430E2" w:rsidRDefault="00357FF4" w:rsidP="00655E3E">
            <w:pPr>
              <w:jc w:val="both"/>
            </w:pPr>
          </w:p>
        </w:tc>
        <w:tc>
          <w:tcPr>
            <w:tcW w:w="0" w:type="auto"/>
            <w:vAlign w:val="center"/>
            <w:hideMark/>
          </w:tcPr>
          <w:p w14:paraId="2E1BD7C1" w14:textId="77777777" w:rsidR="00357FF4" w:rsidRPr="002430E2" w:rsidRDefault="00357FF4" w:rsidP="00655E3E">
            <w:pPr>
              <w:jc w:val="both"/>
            </w:pPr>
            <w:r w:rsidRPr="002430E2">
              <w:t>51+</w:t>
            </w:r>
          </w:p>
        </w:tc>
        <w:tc>
          <w:tcPr>
            <w:tcW w:w="0" w:type="auto"/>
            <w:vAlign w:val="center"/>
            <w:hideMark/>
          </w:tcPr>
          <w:p w14:paraId="7D30E55F" w14:textId="77777777" w:rsidR="00357FF4" w:rsidRPr="002430E2" w:rsidRDefault="00357FF4" w:rsidP="00655E3E">
            <w:pPr>
              <w:jc w:val="both"/>
            </w:pPr>
            <w:r w:rsidRPr="002430E2">
              <w:t>3.95</w:t>
            </w:r>
          </w:p>
        </w:tc>
        <w:tc>
          <w:tcPr>
            <w:tcW w:w="0" w:type="auto"/>
            <w:vAlign w:val="center"/>
            <w:hideMark/>
          </w:tcPr>
          <w:p w14:paraId="57DC5AAE" w14:textId="77777777" w:rsidR="00357FF4" w:rsidRPr="002430E2" w:rsidRDefault="00357FF4" w:rsidP="00655E3E">
            <w:pPr>
              <w:jc w:val="both"/>
            </w:pPr>
            <w:r w:rsidRPr="002430E2">
              <w:t>4.00</w:t>
            </w:r>
          </w:p>
        </w:tc>
        <w:tc>
          <w:tcPr>
            <w:tcW w:w="0" w:type="auto"/>
            <w:vAlign w:val="center"/>
            <w:hideMark/>
          </w:tcPr>
          <w:p w14:paraId="3B8FB814" w14:textId="77777777" w:rsidR="00357FF4" w:rsidRPr="002430E2" w:rsidRDefault="00357FF4" w:rsidP="00655E3E">
            <w:pPr>
              <w:jc w:val="both"/>
            </w:pPr>
          </w:p>
        </w:tc>
        <w:tc>
          <w:tcPr>
            <w:tcW w:w="0" w:type="auto"/>
            <w:vAlign w:val="center"/>
            <w:hideMark/>
          </w:tcPr>
          <w:p w14:paraId="13959C34" w14:textId="77777777" w:rsidR="00357FF4" w:rsidRPr="002430E2" w:rsidRDefault="00357FF4" w:rsidP="00655E3E">
            <w:pPr>
              <w:jc w:val="both"/>
            </w:pPr>
          </w:p>
        </w:tc>
        <w:tc>
          <w:tcPr>
            <w:tcW w:w="0" w:type="auto"/>
            <w:vAlign w:val="center"/>
            <w:hideMark/>
          </w:tcPr>
          <w:p w14:paraId="6D962E8F" w14:textId="77777777" w:rsidR="00357FF4" w:rsidRPr="002430E2" w:rsidRDefault="00357FF4" w:rsidP="00655E3E">
            <w:pPr>
              <w:jc w:val="both"/>
            </w:pPr>
          </w:p>
        </w:tc>
      </w:tr>
      <w:tr w:rsidR="00357FF4" w:rsidRPr="002430E2" w14:paraId="38378F33" w14:textId="77777777" w:rsidTr="00B0092D">
        <w:trPr>
          <w:tblCellSpacing w:w="15" w:type="dxa"/>
        </w:trPr>
        <w:tc>
          <w:tcPr>
            <w:tcW w:w="0" w:type="auto"/>
            <w:vAlign w:val="center"/>
            <w:hideMark/>
          </w:tcPr>
          <w:p w14:paraId="4F8C608E" w14:textId="77777777" w:rsidR="00357FF4" w:rsidRPr="002430E2" w:rsidRDefault="00357FF4" w:rsidP="00655E3E">
            <w:pPr>
              <w:jc w:val="both"/>
            </w:pPr>
            <w:r w:rsidRPr="002430E2">
              <w:rPr>
                <w:b/>
                <w:bCs/>
              </w:rPr>
              <w:t>Sex</w:t>
            </w:r>
          </w:p>
        </w:tc>
        <w:tc>
          <w:tcPr>
            <w:tcW w:w="0" w:type="auto"/>
            <w:vAlign w:val="center"/>
            <w:hideMark/>
          </w:tcPr>
          <w:p w14:paraId="57610ACA" w14:textId="77777777" w:rsidR="00357FF4" w:rsidRPr="002430E2" w:rsidRDefault="00357FF4" w:rsidP="00655E3E">
            <w:pPr>
              <w:jc w:val="both"/>
            </w:pPr>
            <w:r w:rsidRPr="002430E2">
              <w:t>Male</w:t>
            </w:r>
          </w:p>
        </w:tc>
        <w:tc>
          <w:tcPr>
            <w:tcW w:w="0" w:type="auto"/>
            <w:vAlign w:val="center"/>
            <w:hideMark/>
          </w:tcPr>
          <w:p w14:paraId="40E7D41B" w14:textId="77777777" w:rsidR="00357FF4" w:rsidRPr="002430E2" w:rsidRDefault="00357FF4" w:rsidP="00655E3E">
            <w:pPr>
              <w:jc w:val="both"/>
            </w:pPr>
            <w:r w:rsidRPr="002430E2">
              <w:t>Independent t-test</w:t>
            </w:r>
          </w:p>
        </w:tc>
        <w:tc>
          <w:tcPr>
            <w:tcW w:w="0" w:type="auto"/>
            <w:vAlign w:val="center"/>
            <w:hideMark/>
          </w:tcPr>
          <w:p w14:paraId="18C0D8CB" w14:textId="77777777" w:rsidR="00357FF4" w:rsidRPr="002430E2" w:rsidRDefault="00357FF4" w:rsidP="00655E3E">
            <w:pPr>
              <w:jc w:val="both"/>
            </w:pPr>
            <w:r w:rsidRPr="002430E2">
              <w:t>4.02</w:t>
            </w:r>
          </w:p>
        </w:tc>
        <w:tc>
          <w:tcPr>
            <w:tcW w:w="0" w:type="auto"/>
            <w:vAlign w:val="center"/>
            <w:hideMark/>
          </w:tcPr>
          <w:p w14:paraId="39499413" w14:textId="77777777" w:rsidR="00357FF4" w:rsidRPr="002430E2" w:rsidRDefault="00357FF4" w:rsidP="00655E3E">
            <w:pPr>
              <w:jc w:val="both"/>
            </w:pPr>
            <w:r w:rsidRPr="002430E2">
              <w:t>4.05</w:t>
            </w:r>
          </w:p>
        </w:tc>
        <w:tc>
          <w:tcPr>
            <w:tcW w:w="0" w:type="auto"/>
            <w:vAlign w:val="center"/>
            <w:hideMark/>
          </w:tcPr>
          <w:p w14:paraId="56C27CCF" w14:textId="77777777" w:rsidR="00357FF4" w:rsidRPr="002430E2" w:rsidRDefault="00357FF4" w:rsidP="00655E3E">
            <w:pPr>
              <w:jc w:val="both"/>
            </w:pPr>
            <w:r w:rsidRPr="002430E2">
              <w:t>0.312</w:t>
            </w:r>
          </w:p>
        </w:tc>
        <w:tc>
          <w:tcPr>
            <w:tcW w:w="0" w:type="auto"/>
            <w:vAlign w:val="center"/>
            <w:hideMark/>
          </w:tcPr>
          <w:p w14:paraId="7E3AFE37" w14:textId="77777777" w:rsidR="00357FF4" w:rsidRPr="002430E2" w:rsidRDefault="00357FF4" w:rsidP="00655E3E">
            <w:pPr>
              <w:jc w:val="both"/>
            </w:pPr>
            <w:r w:rsidRPr="002430E2">
              <w:t>No significant difference between male and female teachers</w:t>
            </w:r>
          </w:p>
        </w:tc>
      </w:tr>
      <w:tr w:rsidR="00357FF4" w:rsidRPr="002430E2" w14:paraId="432B8244" w14:textId="77777777" w:rsidTr="00B0092D">
        <w:trPr>
          <w:tblCellSpacing w:w="15" w:type="dxa"/>
        </w:trPr>
        <w:tc>
          <w:tcPr>
            <w:tcW w:w="0" w:type="auto"/>
            <w:vAlign w:val="center"/>
            <w:hideMark/>
          </w:tcPr>
          <w:p w14:paraId="467D5DBC" w14:textId="77777777" w:rsidR="00357FF4" w:rsidRPr="002430E2" w:rsidRDefault="00357FF4" w:rsidP="00655E3E">
            <w:pPr>
              <w:jc w:val="both"/>
            </w:pPr>
          </w:p>
        </w:tc>
        <w:tc>
          <w:tcPr>
            <w:tcW w:w="0" w:type="auto"/>
            <w:vAlign w:val="center"/>
            <w:hideMark/>
          </w:tcPr>
          <w:p w14:paraId="5281D6B4" w14:textId="77777777" w:rsidR="00357FF4" w:rsidRPr="002430E2" w:rsidRDefault="00357FF4" w:rsidP="00655E3E">
            <w:pPr>
              <w:jc w:val="both"/>
            </w:pPr>
            <w:r w:rsidRPr="002430E2">
              <w:t>Female</w:t>
            </w:r>
          </w:p>
        </w:tc>
        <w:tc>
          <w:tcPr>
            <w:tcW w:w="0" w:type="auto"/>
            <w:vAlign w:val="center"/>
            <w:hideMark/>
          </w:tcPr>
          <w:p w14:paraId="5A169653" w14:textId="77777777" w:rsidR="00357FF4" w:rsidRPr="002430E2" w:rsidRDefault="00357FF4" w:rsidP="00655E3E">
            <w:pPr>
              <w:jc w:val="both"/>
            </w:pPr>
            <w:r w:rsidRPr="002430E2">
              <w:t>4.05</w:t>
            </w:r>
          </w:p>
        </w:tc>
        <w:tc>
          <w:tcPr>
            <w:tcW w:w="0" w:type="auto"/>
            <w:vAlign w:val="center"/>
            <w:hideMark/>
          </w:tcPr>
          <w:p w14:paraId="2F91CD50" w14:textId="77777777" w:rsidR="00357FF4" w:rsidRPr="002430E2" w:rsidRDefault="00357FF4" w:rsidP="00655E3E">
            <w:pPr>
              <w:jc w:val="both"/>
            </w:pPr>
            <w:r w:rsidRPr="002430E2">
              <w:t>4.08</w:t>
            </w:r>
          </w:p>
        </w:tc>
        <w:tc>
          <w:tcPr>
            <w:tcW w:w="0" w:type="auto"/>
            <w:vAlign w:val="center"/>
            <w:hideMark/>
          </w:tcPr>
          <w:p w14:paraId="077E43C4" w14:textId="77777777" w:rsidR="00357FF4" w:rsidRPr="002430E2" w:rsidRDefault="00357FF4" w:rsidP="00655E3E">
            <w:pPr>
              <w:jc w:val="both"/>
            </w:pPr>
          </w:p>
        </w:tc>
        <w:tc>
          <w:tcPr>
            <w:tcW w:w="0" w:type="auto"/>
            <w:vAlign w:val="center"/>
            <w:hideMark/>
          </w:tcPr>
          <w:p w14:paraId="11FA778B" w14:textId="77777777" w:rsidR="00357FF4" w:rsidRPr="002430E2" w:rsidRDefault="00357FF4" w:rsidP="00655E3E">
            <w:pPr>
              <w:jc w:val="both"/>
            </w:pPr>
          </w:p>
        </w:tc>
        <w:tc>
          <w:tcPr>
            <w:tcW w:w="0" w:type="auto"/>
            <w:vAlign w:val="center"/>
            <w:hideMark/>
          </w:tcPr>
          <w:p w14:paraId="50C8D1F5" w14:textId="77777777" w:rsidR="00357FF4" w:rsidRPr="002430E2" w:rsidRDefault="00357FF4" w:rsidP="00655E3E">
            <w:pPr>
              <w:jc w:val="both"/>
            </w:pPr>
          </w:p>
        </w:tc>
      </w:tr>
      <w:tr w:rsidR="00357FF4" w:rsidRPr="002430E2" w14:paraId="64141F6A" w14:textId="77777777" w:rsidTr="00B0092D">
        <w:trPr>
          <w:tblCellSpacing w:w="15" w:type="dxa"/>
        </w:trPr>
        <w:tc>
          <w:tcPr>
            <w:tcW w:w="0" w:type="auto"/>
            <w:vAlign w:val="center"/>
            <w:hideMark/>
          </w:tcPr>
          <w:p w14:paraId="77313182" w14:textId="77777777" w:rsidR="00357FF4" w:rsidRPr="002430E2" w:rsidRDefault="00357FF4" w:rsidP="00655E3E">
            <w:pPr>
              <w:jc w:val="both"/>
            </w:pPr>
            <w:r w:rsidRPr="002430E2">
              <w:rPr>
                <w:b/>
                <w:bCs/>
              </w:rPr>
              <w:t>Years of Teaching Experience</w:t>
            </w:r>
          </w:p>
        </w:tc>
        <w:tc>
          <w:tcPr>
            <w:tcW w:w="0" w:type="auto"/>
            <w:vAlign w:val="center"/>
            <w:hideMark/>
          </w:tcPr>
          <w:p w14:paraId="35453B05" w14:textId="77777777" w:rsidR="00357FF4" w:rsidRPr="002430E2" w:rsidRDefault="00357FF4" w:rsidP="00655E3E">
            <w:pPr>
              <w:jc w:val="both"/>
            </w:pPr>
            <w:r w:rsidRPr="002430E2">
              <w:t>0–5 yrs</w:t>
            </w:r>
          </w:p>
        </w:tc>
        <w:tc>
          <w:tcPr>
            <w:tcW w:w="0" w:type="auto"/>
            <w:vAlign w:val="center"/>
            <w:hideMark/>
          </w:tcPr>
          <w:p w14:paraId="3BF5ECC8" w14:textId="77777777" w:rsidR="00357FF4" w:rsidRPr="002430E2" w:rsidRDefault="00357FF4" w:rsidP="00655E3E">
            <w:pPr>
              <w:jc w:val="both"/>
            </w:pPr>
            <w:r w:rsidRPr="002430E2">
              <w:t>One-way ANOVA</w:t>
            </w:r>
          </w:p>
        </w:tc>
        <w:tc>
          <w:tcPr>
            <w:tcW w:w="0" w:type="auto"/>
            <w:vAlign w:val="center"/>
            <w:hideMark/>
          </w:tcPr>
          <w:p w14:paraId="648996CF" w14:textId="77777777" w:rsidR="00357FF4" w:rsidRPr="002430E2" w:rsidRDefault="00357FF4" w:rsidP="00655E3E">
            <w:pPr>
              <w:jc w:val="both"/>
            </w:pPr>
            <w:r w:rsidRPr="002430E2">
              <w:t>3.88</w:t>
            </w:r>
          </w:p>
        </w:tc>
        <w:tc>
          <w:tcPr>
            <w:tcW w:w="0" w:type="auto"/>
            <w:vAlign w:val="center"/>
            <w:hideMark/>
          </w:tcPr>
          <w:p w14:paraId="0D6B8175" w14:textId="77777777" w:rsidR="00357FF4" w:rsidRPr="002430E2" w:rsidRDefault="00357FF4" w:rsidP="00655E3E">
            <w:pPr>
              <w:jc w:val="both"/>
            </w:pPr>
            <w:r w:rsidRPr="002430E2">
              <w:t>3.92</w:t>
            </w:r>
          </w:p>
        </w:tc>
        <w:tc>
          <w:tcPr>
            <w:tcW w:w="0" w:type="auto"/>
            <w:vAlign w:val="center"/>
            <w:hideMark/>
          </w:tcPr>
          <w:p w14:paraId="70521B73" w14:textId="77777777" w:rsidR="00357FF4" w:rsidRPr="002430E2" w:rsidRDefault="00357FF4" w:rsidP="00655E3E">
            <w:pPr>
              <w:jc w:val="both"/>
            </w:pPr>
            <w:r w:rsidRPr="002430E2">
              <w:t>0.031*</w:t>
            </w:r>
          </w:p>
        </w:tc>
        <w:tc>
          <w:tcPr>
            <w:tcW w:w="0" w:type="auto"/>
            <w:vAlign w:val="center"/>
            <w:hideMark/>
          </w:tcPr>
          <w:p w14:paraId="18F40297" w14:textId="77777777" w:rsidR="00357FF4" w:rsidRPr="002430E2" w:rsidRDefault="00357FF4" w:rsidP="00655E3E">
            <w:pPr>
              <w:jc w:val="both"/>
            </w:pPr>
            <w:r w:rsidRPr="002430E2">
              <w:t>Significant difference; teachers with 6–10 years more ready than less experienced ones</w:t>
            </w:r>
          </w:p>
        </w:tc>
      </w:tr>
      <w:tr w:rsidR="00357FF4" w:rsidRPr="002430E2" w14:paraId="0C6F6CB2" w14:textId="77777777" w:rsidTr="00B0092D">
        <w:trPr>
          <w:tblCellSpacing w:w="15" w:type="dxa"/>
        </w:trPr>
        <w:tc>
          <w:tcPr>
            <w:tcW w:w="0" w:type="auto"/>
            <w:vAlign w:val="center"/>
            <w:hideMark/>
          </w:tcPr>
          <w:p w14:paraId="73060710" w14:textId="77777777" w:rsidR="00357FF4" w:rsidRPr="002430E2" w:rsidRDefault="00357FF4" w:rsidP="00655E3E">
            <w:pPr>
              <w:jc w:val="both"/>
            </w:pPr>
          </w:p>
        </w:tc>
        <w:tc>
          <w:tcPr>
            <w:tcW w:w="0" w:type="auto"/>
            <w:vAlign w:val="center"/>
            <w:hideMark/>
          </w:tcPr>
          <w:p w14:paraId="4949DDAF" w14:textId="77777777" w:rsidR="00357FF4" w:rsidRPr="002430E2" w:rsidRDefault="00357FF4" w:rsidP="00655E3E">
            <w:pPr>
              <w:jc w:val="both"/>
            </w:pPr>
            <w:r w:rsidRPr="002430E2">
              <w:t>6–10 yrs</w:t>
            </w:r>
          </w:p>
        </w:tc>
        <w:tc>
          <w:tcPr>
            <w:tcW w:w="0" w:type="auto"/>
            <w:vAlign w:val="center"/>
            <w:hideMark/>
          </w:tcPr>
          <w:p w14:paraId="31CA5991" w14:textId="77777777" w:rsidR="00357FF4" w:rsidRPr="002430E2" w:rsidRDefault="00357FF4" w:rsidP="00655E3E">
            <w:pPr>
              <w:jc w:val="both"/>
            </w:pPr>
            <w:r w:rsidRPr="002430E2">
              <w:t>4.10</w:t>
            </w:r>
          </w:p>
        </w:tc>
        <w:tc>
          <w:tcPr>
            <w:tcW w:w="0" w:type="auto"/>
            <w:vAlign w:val="center"/>
            <w:hideMark/>
          </w:tcPr>
          <w:p w14:paraId="3ADAE518" w14:textId="77777777" w:rsidR="00357FF4" w:rsidRPr="002430E2" w:rsidRDefault="00357FF4" w:rsidP="00655E3E">
            <w:pPr>
              <w:jc w:val="both"/>
            </w:pPr>
            <w:r w:rsidRPr="002430E2">
              <w:t>4.08</w:t>
            </w:r>
          </w:p>
        </w:tc>
        <w:tc>
          <w:tcPr>
            <w:tcW w:w="0" w:type="auto"/>
            <w:vAlign w:val="center"/>
            <w:hideMark/>
          </w:tcPr>
          <w:p w14:paraId="7A93A640" w14:textId="77777777" w:rsidR="00357FF4" w:rsidRPr="002430E2" w:rsidRDefault="00357FF4" w:rsidP="00655E3E">
            <w:pPr>
              <w:jc w:val="both"/>
            </w:pPr>
          </w:p>
        </w:tc>
        <w:tc>
          <w:tcPr>
            <w:tcW w:w="0" w:type="auto"/>
            <w:vAlign w:val="center"/>
            <w:hideMark/>
          </w:tcPr>
          <w:p w14:paraId="0D5DF1F8" w14:textId="77777777" w:rsidR="00357FF4" w:rsidRPr="002430E2" w:rsidRDefault="00357FF4" w:rsidP="00655E3E">
            <w:pPr>
              <w:jc w:val="both"/>
            </w:pPr>
          </w:p>
        </w:tc>
        <w:tc>
          <w:tcPr>
            <w:tcW w:w="0" w:type="auto"/>
            <w:vAlign w:val="center"/>
            <w:hideMark/>
          </w:tcPr>
          <w:p w14:paraId="68186F37" w14:textId="77777777" w:rsidR="00357FF4" w:rsidRPr="002430E2" w:rsidRDefault="00357FF4" w:rsidP="00655E3E">
            <w:pPr>
              <w:jc w:val="both"/>
            </w:pPr>
          </w:p>
        </w:tc>
      </w:tr>
      <w:tr w:rsidR="00357FF4" w:rsidRPr="002430E2" w14:paraId="3AF36ACF" w14:textId="77777777" w:rsidTr="00B0092D">
        <w:trPr>
          <w:tblCellSpacing w:w="15" w:type="dxa"/>
        </w:trPr>
        <w:tc>
          <w:tcPr>
            <w:tcW w:w="0" w:type="auto"/>
            <w:vAlign w:val="center"/>
            <w:hideMark/>
          </w:tcPr>
          <w:p w14:paraId="29A9A8BB" w14:textId="77777777" w:rsidR="00357FF4" w:rsidRPr="002430E2" w:rsidRDefault="00357FF4" w:rsidP="00655E3E">
            <w:pPr>
              <w:jc w:val="both"/>
            </w:pPr>
          </w:p>
        </w:tc>
        <w:tc>
          <w:tcPr>
            <w:tcW w:w="0" w:type="auto"/>
            <w:vAlign w:val="center"/>
            <w:hideMark/>
          </w:tcPr>
          <w:p w14:paraId="6CBACD05" w14:textId="77777777" w:rsidR="00357FF4" w:rsidRPr="002430E2" w:rsidRDefault="00357FF4" w:rsidP="00655E3E">
            <w:pPr>
              <w:jc w:val="both"/>
            </w:pPr>
            <w:r w:rsidRPr="002430E2">
              <w:t>11–15 yrs</w:t>
            </w:r>
          </w:p>
        </w:tc>
        <w:tc>
          <w:tcPr>
            <w:tcW w:w="0" w:type="auto"/>
            <w:vAlign w:val="center"/>
            <w:hideMark/>
          </w:tcPr>
          <w:p w14:paraId="555836C5" w14:textId="77777777" w:rsidR="00357FF4" w:rsidRPr="002430E2" w:rsidRDefault="00357FF4" w:rsidP="00655E3E">
            <w:pPr>
              <w:jc w:val="both"/>
            </w:pPr>
            <w:r w:rsidRPr="002430E2">
              <w:t>4.05</w:t>
            </w:r>
          </w:p>
        </w:tc>
        <w:tc>
          <w:tcPr>
            <w:tcW w:w="0" w:type="auto"/>
            <w:vAlign w:val="center"/>
            <w:hideMark/>
          </w:tcPr>
          <w:p w14:paraId="343A0A72" w14:textId="77777777" w:rsidR="00357FF4" w:rsidRPr="002430E2" w:rsidRDefault="00357FF4" w:rsidP="00655E3E">
            <w:pPr>
              <w:jc w:val="both"/>
            </w:pPr>
            <w:r w:rsidRPr="002430E2">
              <w:t>4.07</w:t>
            </w:r>
          </w:p>
        </w:tc>
        <w:tc>
          <w:tcPr>
            <w:tcW w:w="0" w:type="auto"/>
            <w:vAlign w:val="center"/>
            <w:hideMark/>
          </w:tcPr>
          <w:p w14:paraId="31AF79F4" w14:textId="77777777" w:rsidR="00357FF4" w:rsidRPr="002430E2" w:rsidRDefault="00357FF4" w:rsidP="00655E3E">
            <w:pPr>
              <w:jc w:val="both"/>
            </w:pPr>
          </w:p>
        </w:tc>
        <w:tc>
          <w:tcPr>
            <w:tcW w:w="0" w:type="auto"/>
            <w:vAlign w:val="center"/>
            <w:hideMark/>
          </w:tcPr>
          <w:p w14:paraId="33E64482" w14:textId="77777777" w:rsidR="00357FF4" w:rsidRPr="002430E2" w:rsidRDefault="00357FF4" w:rsidP="00655E3E">
            <w:pPr>
              <w:jc w:val="both"/>
            </w:pPr>
          </w:p>
        </w:tc>
        <w:tc>
          <w:tcPr>
            <w:tcW w:w="0" w:type="auto"/>
            <w:vAlign w:val="center"/>
            <w:hideMark/>
          </w:tcPr>
          <w:p w14:paraId="23DEF1EA" w14:textId="77777777" w:rsidR="00357FF4" w:rsidRPr="002430E2" w:rsidRDefault="00357FF4" w:rsidP="00655E3E">
            <w:pPr>
              <w:jc w:val="both"/>
            </w:pPr>
          </w:p>
        </w:tc>
      </w:tr>
      <w:tr w:rsidR="00357FF4" w:rsidRPr="002430E2" w14:paraId="50950B13" w14:textId="77777777" w:rsidTr="00B0092D">
        <w:trPr>
          <w:tblCellSpacing w:w="15" w:type="dxa"/>
        </w:trPr>
        <w:tc>
          <w:tcPr>
            <w:tcW w:w="0" w:type="auto"/>
            <w:vAlign w:val="center"/>
            <w:hideMark/>
          </w:tcPr>
          <w:p w14:paraId="27556802" w14:textId="77777777" w:rsidR="00357FF4" w:rsidRPr="002430E2" w:rsidRDefault="00357FF4" w:rsidP="00655E3E">
            <w:pPr>
              <w:jc w:val="both"/>
            </w:pPr>
          </w:p>
        </w:tc>
        <w:tc>
          <w:tcPr>
            <w:tcW w:w="0" w:type="auto"/>
            <w:vAlign w:val="center"/>
            <w:hideMark/>
          </w:tcPr>
          <w:p w14:paraId="1283E248" w14:textId="77777777" w:rsidR="00357FF4" w:rsidRPr="002430E2" w:rsidRDefault="00357FF4" w:rsidP="00655E3E">
            <w:pPr>
              <w:jc w:val="both"/>
            </w:pPr>
            <w:r w:rsidRPr="002430E2">
              <w:t>16+ yrs</w:t>
            </w:r>
          </w:p>
        </w:tc>
        <w:tc>
          <w:tcPr>
            <w:tcW w:w="0" w:type="auto"/>
            <w:vAlign w:val="center"/>
            <w:hideMark/>
          </w:tcPr>
          <w:p w14:paraId="688C978E" w14:textId="77777777" w:rsidR="00357FF4" w:rsidRPr="002430E2" w:rsidRDefault="00357FF4" w:rsidP="00655E3E">
            <w:pPr>
              <w:jc w:val="both"/>
            </w:pPr>
            <w:r w:rsidRPr="002430E2">
              <w:t>4.00</w:t>
            </w:r>
          </w:p>
        </w:tc>
        <w:tc>
          <w:tcPr>
            <w:tcW w:w="0" w:type="auto"/>
            <w:vAlign w:val="center"/>
            <w:hideMark/>
          </w:tcPr>
          <w:p w14:paraId="749F13A6" w14:textId="77777777" w:rsidR="00357FF4" w:rsidRPr="002430E2" w:rsidRDefault="00357FF4" w:rsidP="00655E3E">
            <w:pPr>
              <w:jc w:val="both"/>
            </w:pPr>
            <w:r w:rsidRPr="002430E2">
              <w:t>4.02</w:t>
            </w:r>
          </w:p>
        </w:tc>
        <w:tc>
          <w:tcPr>
            <w:tcW w:w="0" w:type="auto"/>
            <w:vAlign w:val="center"/>
            <w:hideMark/>
          </w:tcPr>
          <w:p w14:paraId="15C1CB2E" w14:textId="77777777" w:rsidR="00357FF4" w:rsidRPr="002430E2" w:rsidRDefault="00357FF4" w:rsidP="00655E3E">
            <w:pPr>
              <w:jc w:val="both"/>
            </w:pPr>
          </w:p>
        </w:tc>
        <w:tc>
          <w:tcPr>
            <w:tcW w:w="0" w:type="auto"/>
            <w:vAlign w:val="center"/>
            <w:hideMark/>
          </w:tcPr>
          <w:p w14:paraId="469C7190" w14:textId="77777777" w:rsidR="00357FF4" w:rsidRPr="002430E2" w:rsidRDefault="00357FF4" w:rsidP="00655E3E">
            <w:pPr>
              <w:jc w:val="both"/>
            </w:pPr>
          </w:p>
        </w:tc>
        <w:tc>
          <w:tcPr>
            <w:tcW w:w="0" w:type="auto"/>
            <w:vAlign w:val="center"/>
            <w:hideMark/>
          </w:tcPr>
          <w:p w14:paraId="7ABD7095" w14:textId="77777777" w:rsidR="00357FF4" w:rsidRPr="002430E2" w:rsidRDefault="00357FF4" w:rsidP="00655E3E">
            <w:pPr>
              <w:jc w:val="both"/>
            </w:pPr>
          </w:p>
        </w:tc>
      </w:tr>
      <w:tr w:rsidR="00357FF4" w:rsidRPr="002430E2" w14:paraId="791CB444" w14:textId="77777777" w:rsidTr="00B0092D">
        <w:trPr>
          <w:tblCellSpacing w:w="15" w:type="dxa"/>
        </w:trPr>
        <w:tc>
          <w:tcPr>
            <w:tcW w:w="0" w:type="auto"/>
            <w:vAlign w:val="center"/>
            <w:hideMark/>
          </w:tcPr>
          <w:p w14:paraId="00D6B6FE" w14:textId="77777777" w:rsidR="00357FF4" w:rsidRPr="002430E2" w:rsidRDefault="00357FF4" w:rsidP="00655E3E">
            <w:pPr>
              <w:jc w:val="both"/>
            </w:pPr>
            <w:r w:rsidRPr="002430E2">
              <w:rPr>
                <w:b/>
                <w:bCs/>
              </w:rPr>
              <w:t>Educational Attainment</w:t>
            </w:r>
          </w:p>
        </w:tc>
        <w:tc>
          <w:tcPr>
            <w:tcW w:w="0" w:type="auto"/>
            <w:vAlign w:val="center"/>
            <w:hideMark/>
          </w:tcPr>
          <w:p w14:paraId="4836CEA4" w14:textId="77777777" w:rsidR="00357FF4" w:rsidRPr="002430E2" w:rsidRDefault="00357FF4" w:rsidP="00655E3E">
            <w:pPr>
              <w:jc w:val="both"/>
            </w:pPr>
            <w:r w:rsidRPr="002430E2">
              <w:t>Bachelor’s</w:t>
            </w:r>
          </w:p>
        </w:tc>
        <w:tc>
          <w:tcPr>
            <w:tcW w:w="0" w:type="auto"/>
            <w:vAlign w:val="center"/>
            <w:hideMark/>
          </w:tcPr>
          <w:p w14:paraId="79A25566" w14:textId="77777777" w:rsidR="00357FF4" w:rsidRPr="002430E2" w:rsidRDefault="00357FF4" w:rsidP="00655E3E">
            <w:pPr>
              <w:jc w:val="both"/>
            </w:pPr>
            <w:r w:rsidRPr="002430E2">
              <w:t>One-way ANOVA</w:t>
            </w:r>
          </w:p>
        </w:tc>
        <w:tc>
          <w:tcPr>
            <w:tcW w:w="0" w:type="auto"/>
            <w:vAlign w:val="center"/>
            <w:hideMark/>
          </w:tcPr>
          <w:p w14:paraId="63B31DF8" w14:textId="77777777" w:rsidR="00357FF4" w:rsidRPr="002430E2" w:rsidRDefault="00357FF4" w:rsidP="00655E3E">
            <w:pPr>
              <w:jc w:val="both"/>
            </w:pPr>
            <w:r w:rsidRPr="002430E2">
              <w:t>3.92</w:t>
            </w:r>
          </w:p>
        </w:tc>
        <w:tc>
          <w:tcPr>
            <w:tcW w:w="0" w:type="auto"/>
            <w:vAlign w:val="center"/>
            <w:hideMark/>
          </w:tcPr>
          <w:p w14:paraId="69918CEE" w14:textId="77777777" w:rsidR="00357FF4" w:rsidRPr="002430E2" w:rsidRDefault="00357FF4" w:rsidP="00655E3E">
            <w:pPr>
              <w:jc w:val="both"/>
            </w:pPr>
            <w:r w:rsidRPr="002430E2">
              <w:t>3.95</w:t>
            </w:r>
          </w:p>
        </w:tc>
        <w:tc>
          <w:tcPr>
            <w:tcW w:w="0" w:type="auto"/>
            <w:vAlign w:val="center"/>
            <w:hideMark/>
          </w:tcPr>
          <w:p w14:paraId="0FD87E80" w14:textId="77777777" w:rsidR="00357FF4" w:rsidRPr="002430E2" w:rsidRDefault="00357FF4" w:rsidP="00655E3E">
            <w:pPr>
              <w:jc w:val="both"/>
            </w:pPr>
            <w:r w:rsidRPr="002430E2">
              <w:t>0.056</w:t>
            </w:r>
          </w:p>
        </w:tc>
        <w:tc>
          <w:tcPr>
            <w:tcW w:w="0" w:type="auto"/>
            <w:vAlign w:val="center"/>
            <w:hideMark/>
          </w:tcPr>
          <w:p w14:paraId="7F79A786" w14:textId="77777777" w:rsidR="00357FF4" w:rsidRPr="002430E2" w:rsidRDefault="00357FF4" w:rsidP="00655E3E">
            <w:pPr>
              <w:jc w:val="both"/>
            </w:pPr>
            <w:r w:rsidRPr="002430E2">
              <w:t xml:space="preserve">No significant difference across </w:t>
            </w:r>
            <w:r w:rsidRPr="002430E2">
              <w:lastRenderedPageBreak/>
              <w:t>educational levels</w:t>
            </w:r>
          </w:p>
        </w:tc>
      </w:tr>
      <w:tr w:rsidR="00357FF4" w:rsidRPr="002430E2" w14:paraId="296DBF0D" w14:textId="77777777" w:rsidTr="00B0092D">
        <w:trPr>
          <w:tblCellSpacing w:w="15" w:type="dxa"/>
        </w:trPr>
        <w:tc>
          <w:tcPr>
            <w:tcW w:w="0" w:type="auto"/>
            <w:vAlign w:val="center"/>
            <w:hideMark/>
          </w:tcPr>
          <w:p w14:paraId="5D3C86D1" w14:textId="77777777" w:rsidR="00357FF4" w:rsidRPr="002430E2" w:rsidRDefault="00357FF4" w:rsidP="00655E3E">
            <w:pPr>
              <w:jc w:val="both"/>
            </w:pPr>
          </w:p>
        </w:tc>
        <w:tc>
          <w:tcPr>
            <w:tcW w:w="0" w:type="auto"/>
            <w:vAlign w:val="center"/>
            <w:hideMark/>
          </w:tcPr>
          <w:p w14:paraId="760CF257" w14:textId="77777777" w:rsidR="00357FF4" w:rsidRPr="002430E2" w:rsidRDefault="00357FF4" w:rsidP="00655E3E">
            <w:pPr>
              <w:jc w:val="both"/>
            </w:pPr>
            <w:r w:rsidRPr="002430E2">
              <w:t>Master’s</w:t>
            </w:r>
          </w:p>
        </w:tc>
        <w:tc>
          <w:tcPr>
            <w:tcW w:w="0" w:type="auto"/>
            <w:vAlign w:val="center"/>
            <w:hideMark/>
          </w:tcPr>
          <w:p w14:paraId="69B9DB74" w14:textId="77777777" w:rsidR="00357FF4" w:rsidRPr="002430E2" w:rsidRDefault="00357FF4" w:rsidP="00655E3E">
            <w:pPr>
              <w:jc w:val="both"/>
            </w:pPr>
            <w:r w:rsidRPr="002430E2">
              <w:t>4.05</w:t>
            </w:r>
          </w:p>
        </w:tc>
        <w:tc>
          <w:tcPr>
            <w:tcW w:w="0" w:type="auto"/>
            <w:vAlign w:val="center"/>
            <w:hideMark/>
          </w:tcPr>
          <w:p w14:paraId="1A24E7E8" w14:textId="77777777" w:rsidR="00357FF4" w:rsidRPr="002430E2" w:rsidRDefault="00357FF4" w:rsidP="00655E3E">
            <w:pPr>
              <w:jc w:val="both"/>
            </w:pPr>
            <w:r w:rsidRPr="002430E2">
              <w:t>4.08</w:t>
            </w:r>
          </w:p>
        </w:tc>
        <w:tc>
          <w:tcPr>
            <w:tcW w:w="0" w:type="auto"/>
            <w:vAlign w:val="center"/>
            <w:hideMark/>
          </w:tcPr>
          <w:p w14:paraId="14E15EF0" w14:textId="77777777" w:rsidR="00357FF4" w:rsidRPr="002430E2" w:rsidRDefault="00357FF4" w:rsidP="00655E3E">
            <w:pPr>
              <w:jc w:val="both"/>
            </w:pPr>
          </w:p>
        </w:tc>
        <w:tc>
          <w:tcPr>
            <w:tcW w:w="0" w:type="auto"/>
            <w:vAlign w:val="center"/>
            <w:hideMark/>
          </w:tcPr>
          <w:p w14:paraId="2503E4BF" w14:textId="77777777" w:rsidR="00357FF4" w:rsidRPr="002430E2" w:rsidRDefault="00357FF4" w:rsidP="00655E3E">
            <w:pPr>
              <w:jc w:val="both"/>
            </w:pPr>
          </w:p>
        </w:tc>
        <w:tc>
          <w:tcPr>
            <w:tcW w:w="0" w:type="auto"/>
            <w:vAlign w:val="center"/>
            <w:hideMark/>
          </w:tcPr>
          <w:p w14:paraId="216B38C6" w14:textId="77777777" w:rsidR="00357FF4" w:rsidRPr="002430E2" w:rsidRDefault="00357FF4" w:rsidP="00655E3E">
            <w:pPr>
              <w:jc w:val="both"/>
            </w:pPr>
          </w:p>
        </w:tc>
      </w:tr>
      <w:tr w:rsidR="00357FF4" w:rsidRPr="002430E2" w14:paraId="675CAF1D" w14:textId="77777777" w:rsidTr="00B0092D">
        <w:trPr>
          <w:tblCellSpacing w:w="15" w:type="dxa"/>
        </w:trPr>
        <w:tc>
          <w:tcPr>
            <w:tcW w:w="0" w:type="auto"/>
            <w:vAlign w:val="center"/>
            <w:hideMark/>
          </w:tcPr>
          <w:p w14:paraId="72471542" w14:textId="77777777" w:rsidR="00357FF4" w:rsidRPr="002430E2" w:rsidRDefault="00357FF4" w:rsidP="00655E3E">
            <w:pPr>
              <w:jc w:val="both"/>
            </w:pPr>
          </w:p>
        </w:tc>
        <w:tc>
          <w:tcPr>
            <w:tcW w:w="0" w:type="auto"/>
            <w:vAlign w:val="center"/>
            <w:hideMark/>
          </w:tcPr>
          <w:p w14:paraId="2C078661" w14:textId="77777777" w:rsidR="00357FF4" w:rsidRPr="002430E2" w:rsidRDefault="00357FF4" w:rsidP="00655E3E">
            <w:pPr>
              <w:jc w:val="both"/>
            </w:pPr>
            <w:r w:rsidRPr="002430E2">
              <w:t>Doctorate</w:t>
            </w:r>
          </w:p>
        </w:tc>
        <w:tc>
          <w:tcPr>
            <w:tcW w:w="0" w:type="auto"/>
            <w:vAlign w:val="center"/>
            <w:hideMark/>
          </w:tcPr>
          <w:p w14:paraId="37BB0564" w14:textId="77777777" w:rsidR="00357FF4" w:rsidRPr="002430E2" w:rsidRDefault="00357FF4" w:rsidP="00655E3E">
            <w:pPr>
              <w:jc w:val="both"/>
            </w:pPr>
            <w:r w:rsidRPr="002430E2">
              <w:t>4.08</w:t>
            </w:r>
          </w:p>
        </w:tc>
        <w:tc>
          <w:tcPr>
            <w:tcW w:w="0" w:type="auto"/>
            <w:vAlign w:val="center"/>
            <w:hideMark/>
          </w:tcPr>
          <w:p w14:paraId="1CCA921D" w14:textId="77777777" w:rsidR="00357FF4" w:rsidRPr="002430E2" w:rsidRDefault="00357FF4" w:rsidP="00655E3E">
            <w:pPr>
              <w:jc w:val="both"/>
            </w:pPr>
            <w:r w:rsidRPr="002430E2">
              <w:t>4.10</w:t>
            </w:r>
          </w:p>
        </w:tc>
        <w:tc>
          <w:tcPr>
            <w:tcW w:w="0" w:type="auto"/>
            <w:vAlign w:val="center"/>
            <w:hideMark/>
          </w:tcPr>
          <w:p w14:paraId="225432A3" w14:textId="77777777" w:rsidR="00357FF4" w:rsidRPr="002430E2" w:rsidRDefault="00357FF4" w:rsidP="00655E3E">
            <w:pPr>
              <w:jc w:val="both"/>
            </w:pPr>
          </w:p>
        </w:tc>
        <w:tc>
          <w:tcPr>
            <w:tcW w:w="0" w:type="auto"/>
            <w:vAlign w:val="center"/>
            <w:hideMark/>
          </w:tcPr>
          <w:p w14:paraId="1327515D" w14:textId="77777777" w:rsidR="00357FF4" w:rsidRPr="002430E2" w:rsidRDefault="00357FF4" w:rsidP="00655E3E">
            <w:pPr>
              <w:jc w:val="both"/>
            </w:pPr>
          </w:p>
        </w:tc>
        <w:tc>
          <w:tcPr>
            <w:tcW w:w="0" w:type="auto"/>
            <w:vAlign w:val="center"/>
            <w:hideMark/>
          </w:tcPr>
          <w:p w14:paraId="66690E76" w14:textId="77777777" w:rsidR="00357FF4" w:rsidRPr="002430E2" w:rsidRDefault="00357FF4" w:rsidP="00655E3E">
            <w:pPr>
              <w:jc w:val="both"/>
            </w:pPr>
          </w:p>
        </w:tc>
      </w:tr>
      <w:tr w:rsidR="00357FF4" w:rsidRPr="002430E2" w14:paraId="0498E20F" w14:textId="77777777" w:rsidTr="00B0092D">
        <w:trPr>
          <w:tblCellSpacing w:w="15" w:type="dxa"/>
        </w:trPr>
        <w:tc>
          <w:tcPr>
            <w:tcW w:w="0" w:type="auto"/>
            <w:vAlign w:val="center"/>
            <w:hideMark/>
          </w:tcPr>
          <w:p w14:paraId="69B6DB1A" w14:textId="77777777" w:rsidR="00357FF4" w:rsidRPr="002430E2" w:rsidRDefault="00357FF4" w:rsidP="00655E3E">
            <w:pPr>
              <w:jc w:val="both"/>
            </w:pPr>
            <w:r w:rsidRPr="002430E2">
              <w:rPr>
                <w:b/>
                <w:bCs/>
              </w:rPr>
              <w:t>Type of School</w:t>
            </w:r>
          </w:p>
        </w:tc>
        <w:tc>
          <w:tcPr>
            <w:tcW w:w="0" w:type="auto"/>
            <w:vAlign w:val="center"/>
            <w:hideMark/>
          </w:tcPr>
          <w:p w14:paraId="2700600B" w14:textId="77777777" w:rsidR="00357FF4" w:rsidRPr="002430E2" w:rsidRDefault="00357FF4" w:rsidP="00655E3E">
            <w:pPr>
              <w:jc w:val="both"/>
            </w:pPr>
            <w:r w:rsidRPr="002430E2">
              <w:t>Public</w:t>
            </w:r>
          </w:p>
        </w:tc>
        <w:tc>
          <w:tcPr>
            <w:tcW w:w="0" w:type="auto"/>
            <w:vAlign w:val="center"/>
            <w:hideMark/>
          </w:tcPr>
          <w:p w14:paraId="5471598A" w14:textId="77777777" w:rsidR="00357FF4" w:rsidRPr="002430E2" w:rsidRDefault="00357FF4" w:rsidP="00655E3E">
            <w:pPr>
              <w:jc w:val="both"/>
            </w:pPr>
            <w:r w:rsidRPr="002430E2">
              <w:t>Independent t-test</w:t>
            </w:r>
          </w:p>
        </w:tc>
        <w:tc>
          <w:tcPr>
            <w:tcW w:w="0" w:type="auto"/>
            <w:vAlign w:val="center"/>
            <w:hideMark/>
          </w:tcPr>
          <w:p w14:paraId="1B84F148" w14:textId="77777777" w:rsidR="00357FF4" w:rsidRPr="002430E2" w:rsidRDefault="00357FF4" w:rsidP="00655E3E">
            <w:pPr>
              <w:jc w:val="both"/>
            </w:pPr>
            <w:r w:rsidRPr="002430E2">
              <w:t>3.98</w:t>
            </w:r>
          </w:p>
        </w:tc>
        <w:tc>
          <w:tcPr>
            <w:tcW w:w="0" w:type="auto"/>
            <w:vAlign w:val="center"/>
            <w:hideMark/>
          </w:tcPr>
          <w:p w14:paraId="56290B15" w14:textId="77777777" w:rsidR="00357FF4" w:rsidRPr="002430E2" w:rsidRDefault="00357FF4" w:rsidP="00655E3E">
            <w:pPr>
              <w:jc w:val="both"/>
            </w:pPr>
            <w:r w:rsidRPr="002430E2">
              <w:t>4.00</w:t>
            </w:r>
          </w:p>
        </w:tc>
        <w:tc>
          <w:tcPr>
            <w:tcW w:w="0" w:type="auto"/>
            <w:vAlign w:val="center"/>
            <w:hideMark/>
          </w:tcPr>
          <w:p w14:paraId="7F9AF9BE" w14:textId="77777777" w:rsidR="00357FF4" w:rsidRPr="002430E2" w:rsidRDefault="00357FF4" w:rsidP="00655E3E">
            <w:pPr>
              <w:jc w:val="both"/>
            </w:pPr>
            <w:r w:rsidRPr="002430E2">
              <w:t>0.128</w:t>
            </w:r>
          </w:p>
        </w:tc>
        <w:tc>
          <w:tcPr>
            <w:tcW w:w="0" w:type="auto"/>
            <w:vAlign w:val="center"/>
            <w:hideMark/>
          </w:tcPr>
          <w:p w14:paraId="776BFB69" w14:textId="77777777" w:rsidR="00357FF4" w:rsidRPr="002430E2" w:rsidRDefault="00357FF4" w:rsidP="00655E3E">
            <w:pPr>
              <w:jc w:val="both"/>
            </w:pPr>
            <w:r w:rsidRPr="002430E2">
              <w:t>No significant difference between public and private school teachers</w:t>
            </w:r>
          </w:p>
        </w:tc>
      </w:tr>
      <w:tr w:rsidR="00357FF4" w:rsidRPr="002430E2" w14:paraId="6FCB3D63" w14:textId="77777777" w:rsidTr="00B0092D">
        <w:trPr>
          <w:tblCellSpacing w:w="15" w:type="dxa"/>
        </w:trPr>
        <w:tc>
          <w:tcPr>
            <w:tcW w:w="0" w:type="auto"/>
            <w:vAlign w:val="center"/>
            <w:hideMark/>
          </w:tcPr>
          <w:p w14:paraId="7825171D" w14:textId="77777777" w:rsidR="00357FF4" w:rsidRPr="002430E2" w:rsidRDefault="00357FF4" w:rsidP="00655E3E">
            <w:pPr>
              <w:jc w:val="both"/>
            </w:pPr>
          </w:p>
        </w:tc>
        <w:tc>
          <w:tcPr>
            <w:tcW w:w="0" w:type="auto"/>
            <w:vAlign w:val="center"/>
            <w:hideMark/>
          </w:tcPr>
          <w:p w14:paraId="41F4A02E" w14:textId="77777777" w:rsidR="00357FF4" w:rsidRPr="002430E2" w:rsidRDefault="00357FF4" w:rsidP="00655E3E">
            <w:pPr>
              <w:jc w:val="both"/>
            </w:pPr>
            <w:r w:rsidRPr="002430E2">
              <w:t>Private</w:t>
            </w:r>
          </w:p>
        </w:tc>
        <w:tc>
          <w:tcPr>
            <w:tcW w:w="0" w:type="auto"/>
            <w:vAlign w:val="center"/>
            <w:hideMark/>
          </w:tcPr>
          <w:p w14:paraId="60B1ED16" w14:textId="77777777" w:rsidR="00357FF4" w:rsidRPr="002430E2" w:rsidRDefault="00357FF4" w:rsidP="00655E3E">
            <w:pPr>
              <w:jc w:val="both"/>
            </w:pPr>
            <w:r w:rsidRPr="002430E2">
              <w:t>4.05</w:t>
            </w:r>
          </w:p>
        </w:tc>
        <w:tc>
          <w:tcPr>
            <w:tcW w:w="0" w:type="auto"/>
            <w:vAlign w:val="center"/>
            <w:hideMark/>
          </w:tcPr>
          <w:p w14:paraId="24E13FCF" w14:textId="77777777" w:rsidR="00357FF4" w:rsidRPr="002430E2" w:rsidRDefault="00357FF4" w:rsidP="00655E3E">
            <w:pPr>
              <w:jc w:val="both"/>
            </w:pPr>
            <w:r w:rsidRPr="002430E2">
              <w:t>4.08</w:t>
            </w:r>
          </w:p>
        </w:tc>
        <w:tc>
          <w:tcPr>
            <w:tcW w:w="0" w:type="auto"/>
            <w:vAlign w:val="center"/>
            <w:hideMark/>
          </w:tcPr>
          <w:p w14:paraId="7059A15E" w14:textId="77777777" w:rsidR="00357FF4" w:rsidRPr="002430E2" w:rsidRDefault="00357FF4" w:rsidP="00655E3E">
            <w:pPr>
              <w:jc w:val="both"/>
            </w:pPr>
          </w:p>
        </w:tc>
        <w:tc>
          <w:tcPr>
            <w:tcW w:w="0" w:type="auto"/>
            <w:vAlign w:val="center"/>
            <w:hideMark/>
          </w:tcPr>
          <w:p w14:paraId="399083B1" w14:textId="77777777" w:rsidR="00357FF4" w:rsidRPr="002430E2" w:rsidRDefault="00357FF4" w:rsidP="00655E3E">
            <w:pPr>
              <w:jc w:val="both"/>
            </w:pPr>
          </w:p>
        </w:tc>
        <w:tc>
          <w:tcPr>
            <w:tcW w:w="0" w:type="auto"/>
            <w:vAlign w:val="center"/>
            <w:hideMark/>
          </w:tcPr>
          <w:p w14:paraId="7818F065" w14:textId="77777777" w:rsidR="00357FF4" w:rsidRPr="002430E2" w:rsidRDefault="00357FF4" w:rsidP="00655E3E">
            <w:pPr>
              <w:jc w:val="both"/>
            </w:pPr>
          </w:p>
        </w:tc>
      </w:tr>
    </w:tbl>
    <w:p w14:paraId="62FEF1FA" w14:textId="77777777" w:rsidR="00357FF4" w:rsidRDefault="00357FF4" w:rsidP="00655E3E">
      <w:pPr>
        <w:pStyle w:val="ListParagraph"/>
        <w:numPr>
          <w:ilvl w:val="0"/>
          <w:numId w:val="15"/>
        </w:numPr>
        <w:spacing w:before="100" w:beforeAutospacing="1" w:after="100" w:afterAutospacing="1"/>
        <w:jc w:val="both"/>
      </w:pPr>
      <w:r w:rsidRPr="002430E2">
        <w:t>*Significant at α = 0.05</w:t>
      </w:r>
    </w:p>
    <w:p w14:paraId="6995FD21" w14:textId="77777777" w:rsidR="00357FF4" w:rsidRPr="00EB452B" w:rsidRDefault="00357FF4" w:rsidP="00655E3E">
      <w:pPr>
        <w:pStyle w:val="NormalWeb"/>
        <w:spacing w:before="0" w:beforeAutospacing="0" w:after="0" w:afterAutospacing="0"/>
        <w:ind w:firstLine="360"/>
        <w:jc w:val="both"/>
        <w:rPr>
          <w:color w:val="1F1F1F"/>
        </w:rPr>
      </w:pPr>
      <w:r w:rsidRPr="00EB452B">
        <w:rPr>
          <w:color w:val="1F1F1F"/>
        </w:rPr>
        <w:t>The data presented in the table examines whether teachers' perceived NASH implementation and teacher readiness differ significantly based on their demographic profiles. By employing inferential statistics—specifically One-way ANOVA for variables with multiple groups and Independent t-tests for two-group variables—the table highlights which demographic factors statistically impact readiness and implementation.</w:t>
      </w:r>
    </w:p>
    <w:p w14:paraId="3A1CB7C0" w14:textId="77777777" w:rsidR="00357FF4" w:rsidRPr="00EB452B" w:rsidRDefault="00357FF4" w:rsidP="00655E3E">
      <w:pPr>
        <w:pStyle w:val="NormalWeb"/>
        <w:spacing w:before="0" w:beforeAutospacing="0" w:after="0" w:afterAutospacing="0"/>
        <w:jc w:val="both"/>
        <w:rPr>
          <w:color w:val="1F1F1F"/>
        </w:rPr>
      </w:pPr>
      <w:r w:rsidRPr="00EB452B">
        <w:rPr>
          <w:color w:val="1F1F1F"/>
        </w:rPr>
        <w:t xml:space="preserve">The analysis reveals that </w:t>
      </w:r>
      <w:r w:rsidRPr="00EB452B">
        <w:rPr>
          <w:b/>
          <w:bCs/>
          <w:color w:val="1F1F1F"/>
          <w:bdr w:val="none" w:sz="0" w:space="0" w:color="auto" w:frame="1"/>
        </w:rPr>
        <w:t>Age</w:t>
      </w:r>
      <w:r w:rsidRPr="00EB452B">
        <w:rPr>
          <w:color w:val="1F1F1F"/>
        </w:rPr>
        <w:t xml:space="preserve"> is a statistically significant factor determining variance among the respondents, as indicated by a One-way ANOVA p-value of 0.042 (which is less than the standard 0.05 alpha level). The interpretation notes a significant difference showing that younger teachers (under 30 years old), who recorded a Mean NASH Implementation of 3.85 and a Mean Teacher Readiness of 3.90, are slightly less ready compared to their peers in the 31–40 age bracket (Implementation = 4.12, Readiness = 4.05). Similarly, </w:t>
      </w:r>
      <w:r w:rsidRPr="00EB452B">
        <w:rPr>
          <w:b/>
          <w:bCs/>
          <w:color w:val="1F1F1F"/>
          <w:bdr w:val="none" w:sz="0" w:space="0" w:color="auto" w:frame="1"/>
        </w:rPr>
        <w:t>Years of Teaching Experience</w:t>
      </w:r>
      <w:r w:rsidRPr="00EB452B">
        <w:rPr>
          <w:color w:val="1F1F1F"/>
        </w:rPr>
        <w:t xml:space="preserve"> yields a statistically significant difference with a One-way ANOVA p-value of 0.031. This indicates that early-career educators with 0–5 years of experience (Implementation = 3.88, Readiness = 3.92) exhibit lower implementation and readiness levels compared to mid-career educators with 6–10 years of experience (Implementation = 4.10, Readiness = 4.08), who are notably more ready and compliant than their less experienced counterparts.</w:t>
      </w:r>
    </w:p>
    <w:p w14:paraId="7AC215A4" w14:textId="77777777" w:rsidR="00357FF4" w:rsidRPr="00EB452B" w:rsidRDefault="00357FF4" w:rsidP="00655E3E">
      <w:pPr>
        <w:pStyle w:val="NormalWeb"/>
        <w:spacing w:before="0" w:beforeAutospacing="0" w:after="0" w:afterAutospacing="0"/>
        <w:jc w:val="both"/>
        <w:rPr>
          <w:color w:val="1F1F1F"/>
        </w:rPr>
      </w:pPr>
      <w:r w:rsidRPr="00EB452B">
        <w:rPr>
          <w:color w:val="1F1F1F"/>
        </w:rPr>
        <w:t xml:space="preserve">Conversely, the remaining demographic variables do not show statistically significant differences, meaning variations in their mean scores are likely due to random chance rather than structural disparities. </w:t>
      </w:r>
      <w:r w:rsidRPr="00EB452B">
        <w:rPr>
          <w:b/>
          <w:bCs/>
          <w:color w:val="1F1F1F"/>
          <w:bdr w:val="none" w:sz="0" w:space="0" w:color="auto" w:frame="1"/>
        </w:rPr>
        <w:t>Sex</w:t>
      </w:r>
      <w:r w:rsidRPr="00EB452B">
        <w:rPr>
          <w:color w:val="1F1F1F"/>
        </w:rPr>
        <w:t xml:space="preserve"> shows an Independent t-test p-value of 0.312, confirming there is no significant difference between male (Implementation = 4.02, Readiness = 4.05) and female teachers (Implementation = 4.05, Readiness = 4.08). </w:t>
      </w:r>
      <w:r w:rsidRPr="00EB452B">
        <w:rPr>
          <w:b/>
          <w:bCs/>
          <w:color w:val="1F1F1F"/>
          <w:bdr w:val="none" w:sz="0" w:space="0" w:color="auto" w:frame="1"/>
        </w:rPr>
        <w:t>Educational Attainment</w:t>
      </w:r>
      <w:r w:rsidRPr="00EB452B">
        <w:rPr>
          <w:color w:val="1F1F1F"/>
        </w:rPr>
        <w:t xml:space="preserve"> approaches the threshold but ultimately reveals no significant difference across educational levels with a One-way ANOVA p-value of 0.056, indicating that holding a Bachelor's (3.92 / 3.95), Master's (4.05 / 4.08), or Doctorate degree (4.08 / 4.10) does not fundamentally alter implementation or readiness outcomes. Finally, </w:t>
      </w:r>
      <w:r w:rsidRPr="00EB452B">
        <w:rPr>
          <w:b/>
          <w:bCs/>
          <w:color w:val="1F1F1F"/>
          <w:bdr w:val="none" w:sz="0" w:space="0" w:color="auto" w:frame="1"/>
        </w:rPr>
        <w:t>Type of School</w:t>
      </w:r>
      <w:r w:rsidRPr="00EB452B">
        <w:rPr>
          <w:color w:val="1F1F1F"/>
        </w:rPr>
        <w:t xml:space="preserve"> reports an Independent t-test p-value of 0.128, establishing that there is no statistically significant difference between public school teachers (3.98 / 4.00) and private school teachers (4.05 / 4.08). Overall, the table suggests that institutional interventions and targeted preparation programs for the NASH framework should primarily focus on younger, less </w:t>
      </w:r>
      <w:r w:rsidRPr="00EB452B">
        <w:rPr>
          <w:color w:val="1F1F1F"/>
        </w:rPr>
        <w:lastRenderedPageBreak/>
        <w:t>experienced teachers, as demographic factors like gender, school type, and advanced degrees do not heavily influence execution or readiness.</w:t>
      </w:r>
    </w:p>
    <w:p w14:paraId="02C52D11" w14:textId="77777777" w:rsidR="00357FF4" w:rsidRPr="002430E2" w:rsidRDefault="00357FF4" w:rsidP="00655E3E">
      <w:pPr>
        <w:pStyle w:val="ListParagraph"/>
        <w:spacing w:before="100" w:beforeAutospacing="1" w:after="100" w:afterAutospacing="1"/>
        <w:jc w:val="both"/>
      </w:pPr>
    </w:p>
    <w:p w14:paraId="615E9BA6" w14:textId="77777777" w:rsidR="00357FF4" w:rsidRPr="002430E2" w:rsidRDefault="00357FF4" w:rsidP="00655E3E">
      <w:pPr>
        <w:spacing w:before="100" w:beforeAutospacing="1" w:after="100" w:afterAutospacing="1"/>
        <w:jc w:val="both"/>
        <w:outlineLvl w:val="2"/>
        <w:rPr>
          <w:b/>
          <w:bCs/>
        </w:rPr>
      </w:pPr>
      <w:r w:rsidRPr="002430E2">
        <w:rPr>
          <w:b/>
          <w:bCs/>
        </w:rPr>
        <w:t>Summary of Findings</w:t>
      </w:r>
    </w:p>
    <w:p w14:paraId="05860B2C" w14:textId="77777777" w:rsidR="00357FF4" w:rsidRPr="002430E2" w:rsidRDefault="00357FF4" w:rsidP="00655E3E">
      <w:pPr>
        <w:pStyle w:val="NormalWeb"/>
        <w:ind w:firstLine="720"/>
        <w:jc w:val="both"/>
      </w:pPr>
      <w:r w:rsidRPr="002430E2">
        <w:t xml:space="preserve">The findings of the study indicate that teachers are effectively implementing the NASH Model across all four dimensions. Specifically, they scored from moderate-high to high in </w:t>
      </w:r>
      <w:r w:rsidRPr="002430E2">
        <w:rPr>
          <w:rStyle w:val="Emphasis"/>
          <w:rFonts w:eastAsiaTheme="majorEastAsia"/>
        </w:rPr>
        <w:t>Nurturing Classroom Culture</w:t>
      </w:r>
      <w:r w:rsidRPr="002430E2">
        <w:t xml:space="preserve"> and high in </w:t>
      </w:r>
      <w:r w:rsidRPr="002430E2">
        <w:rPr>
          <w:rStyle w:val="Emphasis"/>
          <w:rFonts w:eastAsiaTheme="majorEastAsia"/>
        </w:rPr>
        <w:t>Adaptive Instructional Strategies</w:t>
      </w:r>
      <w:r w:rsidRPr="002430E2">
        <w:t xml:space="preserve">, </w:t>
      </w:r>
      <w:r w:rsidRPr="002430E2">
        <w:rPr>
          <w:rStyle w:val="Emphasis"/>
          <w:rFonts w:eastAsiaTheme="majorEastAsia"/>
        </w:rPr>
        <w:t>Supportive Student Engagement</w:t>
      </w:r>
      <w:r w:rsidRPr="002430E2">
        <w:t xml:space="preserve">, and </w:t>
      </w:r>
      <w:r w:rsidRPr="002430E2">
        <w:rPr>
          <w:rStyle w:val="Emphasis"/>
          <w:rFonts w:eastAsiaTheme="majorEastAsia"/>
        </w:rPr>
        <w:t>Holistic Handling Approaches</w:t>
      </w:r>
      <w:r w:rsidRPr="002430E2">
        <w:t>. This suggests that teachers are successfully creating a positive and respectful classroom environment, employing adaptive teaching methods, engaging students actively, and addressing their academic, social, and emotional needs holistically. Overall, the results reflect strong classroom management and instructional effectiveness.</w:t>
      </w:r>
    </w:p>
    <w:p w14:paraId="026755A1" w14:textId="77777777" w:rsidR="00357FF4" w:rsidRPr="002430E2" w:rsidRDefault="00357FF4" w:rsidP="00655E3E">
      <w:pPr>
        <w:pStyle w:val="NormalWeb"/>
        <w:ind w:firstLine="720"/>
        <w:jc w:val="both"/>
      </w:pPr>
      <w:r w:rsidRPr="002430E2">
        <w:t>In terms of teacher readiness, the participants reported high levels of confidence and motivation in applying the NASH Model. They expressed preparedness to adopt new strategies, integrate diverse teaching methods, and foster a supportive learning environment. These findings indicate that teachers are not only capable of implementing NASH practices but are also willing to continuously improve and adapt their teaching to meet students’ varied needs, highlighting a proactive and growth-oriented approach to professional practice.</w:t>
      </w:r>
    </w:p>
    <w:p w14:paraId="514CAF45" w14:textId="77777777" w:rsidR="00357FF4" w:rsidRPr="002430E2" w:rsidRDefault="00357FF4" w:rsidP="00655E3E">
      <w:pPr>
        <w:pStyle w:val="NormalWeb"/>
        <w:ind w:firstLine="720"/>
        <w:jc w:val="both"/>
      </w:pPr>
      <w:r w:rsidRPr="002430E2">
        <w:t>Regarding demographic differences, teachers’ NASH implementation and readiness showed slight variations across age, years of teaching experience, educational attainment, sex, and type of school. Notably, those with 6–15 years of experience and higher educational attainment (Master’s or Doctorate) demonstrated slightly higher readiness and implementation scores. However, no significant differences were observed based on gender or school type, suggesting that NASH practices are consistently applied across different teacher profiles and school settings.</w:t>
      </w:r>
    </w:p>
    <w:p w14:paraId="05ECC33D" w14:textId="77777777" w:rsidR="00357FF4" w:rsidRPr="002430E2" w:rsidRDefault="00357FF4" w:rsidP="00655E3E">
      <w:pPr>
        <w:jc w:val="both"/>
      </w:pPr>
    </w:p>
    <w:p w14:paraId="670AA51E" w14:textId="77777777" w:rsidR="00357FF4" w:rsidRPr="002430E2" w:rsidRDefault="00357FF4" w:rsidP="00655E3E">
      <w:pPr>
        <w:spacing w:before="100" w:beforeAutospacing="1" w:after="100" w:afterAutospacing="1"/>
        <w:jc w:val="both"/>
        <w:outlineLvl w:val="2"/>
        <w:rPr>
          <w:b/>
          <w:bCs/>
        </w:rPr>
      </w:pPr>
      <w:r w:rsidRPr="002430E2">
        <w:rPr>
          <w:b/>
          <w:bCs/>
        </w:rPr>
        <w:t>Conclusions</w:t>
      </w:r>
    </w:p>
    <w:p w14:paraId="1E6D6550" w14:textId="77777777" w:rsidR="00357FF4" w:rsidRPr="002430E2" w:rsidRDefault="00357FF4" w:rsidP="00655E3E">
      <w:pPr>
        <w:pStyle w:val="NormalWeb"/>
        <w:ind w:firstLine="720"/>
        <w:jc w:val="both"/>
      </w:pPr>
      <w:r w:rsidRPr="002430E2">
        <w:t>The study concludes that teachers are effectively implementing the NASH Model in their classrooms, exhibiting nurturing, adaptive, engaging, and holistic teaching practices. Their consistent application of these strategies indicates strong classroom management, active student engagement, and attention to students’ academic, social, and emotional needs. This demonstrates that the NASH Model is a practical and effective framework for enhancing instructional quality.</w:t>
      </w:r>
    </w:p>
    <w:p w14:paraId="65D479BD" w14:textId="77777777" w:rsidR="00357FF4" w:rsidRPr="002430E2" w:rsidRDefault="00357FF4" w:rsidP="00655E3E">
      <w:pPr>
        <w:pStyle w:val="NormalWeb"/>
        <w:ind w:firstLine="720"/>
        <w:jc w:val="both"/>
      </w:pPr>
      <w:r w:rsidRPr="002430E2">
        <w:t>High levels of teacher readiness further highlight that educators are not only capable but also motivated to adopt innovative teaching strategies. Their willingness to embrace new methods and adjust to diverse student needs reflects a proactive and growth-oriented professional mindset. These findings suggest that ongoing training, mentoring, and support can further strengthen teacher capacity and classroom effectiveness.</w:t>
      </w:r>
    </w:p>
    <w:p w14:paraId="234F3309" w14:textId="77777777" w:rsidR="00357FF4" w:rsidRPr="00EB452B" w:rsidRDefault="00357FF4" w:rsidP="00655E3E">
      <w:pPr>
        <w:pStyle w:val="NormalWeb"/>
        <w:ind w:firstLine="720"/>
        <w:jc w:val="both"/>
      </w:pPr>
      <w:r w:rsidRPr="002430E2">
        <w:lastRenderedPageBreak/>
        <w:t>Demographic factors such as age, sex, years of experience, educational attainment, and school type were found to have minimal impact on overall NASH implementation and readiness. This indicates that professional development programs and instructional strategies aligned with the NASH framework are broadly applicable and accessible across different teacher profiles. Based on these results, it is recommended to continue providing regular NASH-focused training, peer collaboration opportunities, and supportive resources to sustain and enhance high-quality teaching practices, thereby promoting student learning, engagement, and well-being.</w:t>
      </w:r>
    </w:p>
    <w:p w14:paraId="30659EE9" w14:textId="77777777" w:rsidR="00357FF4" w:rsidRPr="002430E2" w:rsidRDefault="00357FF4" w:rsidP="00655E3E">
      <w:pPr>
        <w:spacing w:before="100" w:beforeAutospacing="1" w:after="100" w:afterAutospacing="1"/>
        <w:jc w:val="both"/>
        <w:outlineLvl w:val="2"/>
        <w:rPr>
          <w:b/>
          <w:bCs/>
        </w:rPr>
      </w:pPr>
      <w:r w:rsidRPr="002430E2">
        <w:rPr>
          <w:b/>
          <w:bCs/>
        </w:rPr>
        <w:t>Recommendations</w:t>
      </w:r>
    </w:p>
    <w:p w14:paraId="458E24CA" w14:textId="77777777" w:rsidR="00357FF4" w:rsidRPr="002430E2" w:rsidRDefault="00357FF4" w:rsidP="00655E3E">
      <w:pPr>
        <w:numPr>
          <w:ilvl w:val="0"/>
          <w:numId w:val="19"/>
        </w:numPr>
        <w:spacing w:before="100" w:beforeAutospacing="1" w:after="100" w:afterAutospacing="1"/>
        <w:jc w:val="both"/>
      </w:pPr>
      <w:r w:rsidRPr="002430E2">
        <w:rPr>
          <w:b/>
          <w:bCs/>
        </w:rPr>
        <w:t>Continuous Professional Development</w:t>
      </w:r>
    </w:p>
    <w:p w14:paraId="7926328B" w14:textId="77777777" w:rsidR="00357FF4" w:rsidRPr="002430E2" w:rsidRDefault="00357FF4" w:rsidP="00655E3E">
      <w:pPr>
        <w:numPr>
          <w:ilvl w:val="1"/>
          <w:numId w:val="19"/>
        </w:numPr>
        <w:spacing w:before="100" w:beforeAutospacing="1" w:after="100" w:afterAutospacing="1"/>
        <w:jc w:val="both"/>
      </w:pPr>
      <w:r w:rsidRPr="002430E2">
        <w:t>Provide workshops and training focused on advanced adaptive instructional strategies, technology integration, and student engagement techniques.</w:t>
      </w:r>
    </w:p>
    <w:p w14:paraId="496E048B" w14:textId="77777777" w:rsidR="00357FF4" w:rsidRPr="002430E2" w:rsidRDefault="00357FF4" w:rsidP="00655E3E">
      <w:pPr>
        <w:numPr>
          <w:ilvl w:val="0"/>
          <w:numId w:val="19"/>
        </w:numPr>
        <w:spacing w:before="100" w:beforeAutospacing="1" w:after="100" w:afterAutospacing="1"/>
        <w:jc w:val="both"/>
      </w:pPr>
      <w:r w:rsidRPr="002430E2">
        <w:rPr>
          <w:b/>
          <w:bCs/>
        </w:rPr>
        <w:t>Peer Collaboration and Mentoring</w:t>
      </w:r>
    </w:p>
    <w:p w14:paraId="1CB120B0" w14:textId="77777777" w:rsidR="00357FF4" w:rsidRPr="002430E2" w:rsidRDefault="00357FF4" w:rsidP="00655E3E">
      <w:pPr>
        <w:numPr>
          <w:ilvl w:val="1"/>
          <w:numId w:val="19"/>
        </w:numPr>
        <w:spacing w:before="100" w:beforeAutospacing="1" w:after="100" w:afterAutospacing="1"/>
        <w:jc w:val="both"/>
      </w:pPr>
      <w:r w:rsidRPr="002430E2">
        <w:t>Encourage experienced teachers to mentor newer teachers in NASH practices, particularly in adaptive and holistic approaches.</w:t>
      </w:r>
    </w:p>
    <w:p w14:paraId="523FD1C2" w14:textId="77777777" w:rsidR="00357FF4" w:rsidRPr="002430E2" w:rsidRDefault="00357FF4" w:rsidP="00655E3E">
      <w:pPr>
        <w:numPr>
          <w:ilvl w:val="0"/>
          <w:numId w:val="19"/>
        </w:numPr>
        <w:spacing w:before="100" w:beforeAutospacing="1" w:after="100" w:afterAutospacing="1"/>
        <w:jc w:val="both"/>
      </w:pPr>
      <w:r w:rsidRPr="002430E2">
        <w:rPr>
          <w:b/>
          <w:bCs/>
        </w:rPr>
        <w:t>Resource Enhancement</w:t>
      </w:r>
    </w:p>
    <w:p w14:paraId="755EE6CD" w14:textId="77777777" w:rsidR="00357FF4" w:rsidRPr="002430E2" w:rsidRDefault="00357FF4" w:rsidP="00655E3E">
      <w:pPr>
        <w:numPr>
          <w:ilvl w:val="1"/>
          <w:numId w:val="19"/>
        </w:numPr>
        <w:spacing w:before="100" w:beforeAutospacing="1" w:after="100" w:afterAutospacing="1"/>
        <w:jc w:val="both"/>
      </w:pPr>
      <w:r w:rsidRPr="002430E2">
        <w:t>Equip classrooms with additional instructional materials, technology, and tools that support differentiated learning and student engagement.</w:t>
      </w:r>
    </w:p>
    <w:p w14:paraId="54C932D1" w14:textId="77777777" w:rsidR="00357FF4" w:rsidRPr="002430E2" w:rsidRDefault="00357FF4" w:rsidP="00655E3E">
      <w:pPr>
        <w:numPr>
          <w:ilvl w:val="0"/>
          <w:numId w:val="19"/>
        </w:numPr>
        <w:spacing w:before="100" w:beforeAutospacing="1" w:after="100" w:afterAutospacing="1"/>
        <w:jc w:val="both"/>
      </w:pPr>
      <w:r w:rsidRPr="002430E2">
        <w:rPr>
          <w:b/>
          <w:bCs/>
        </w:rPr>
        <w:t>Feedback and Reflection Mechanisms</w:t>
      </w:r>
    </w:p>
    <w:p w14:paraId="45AF6ECA" w14:textId="77777777" w:rsidR="00357FF4" w:rsidRPr="002430E2" w:rsidRDefault="00357FF4" w:rsidP="00655E3E">
      <w:pPr>
        <w:numPr>
          <w:ilvl w:val="1"/>
          <w:numId w:val="19"/>
        </w:numPr>
        <w:spacing w:before="100" w:beforeAutospacing="1" w:after="100" w:afterAutospacing="1"/>
        <w:jc w:val="both"/>
      </w:pPr>
      <w:r w:rsidRPr="002430E2">
        <w:t>Establish regular reflection sessions and peer feedback systems to help teachers continuously improve their NASH implementation.</w:t>
      </w:r>
    </w:p>
    <w:p w14:paraId="763A26AD" w14:textId="77777777" w:rsidR="00357FF4" w:rsidRPr="002430E2" w:rsidRDefault="00357FF4" w:rsidP="00655E3E">
      <w:pPr>
        <w:numPr>
          <w:ilvl w:val="0"/>
          <w:numId w:val="19"/>
        </w:numPr>
        <w:spacing w:before="100" w:beforeAutospacing="1" w:after="100" w:afterAutospacing="1"/>
        <w:jc w:val="both"/>
      </w:pPr>
      <w:r w:rsidRPr="002430E2">
        <w:rPr>
          <w:b/>
          <w:bCs/>
        </w:rPr>
        <w:t>Recognition Programs</w:t>
      </w:r>
    </w:p>
    <w:p w14:paraId="2FEABF3F" w14:textId="77777777" w:rsidR="00357FF4" w:rsidRPr="002430E2" w:rsidRDefault="00357FF4" w:rsidP="00655E3E">
      <w:pPr>
        <w:numPr>
          <w:ilvl w:val="1"/>
          <w:numId w:val="19"/>
        </w:numPr>
        <w:spacing w:before="100" w:beforeAutospacing="1" w:after="100" w:afterAutospacing="1"/>
        <w:jc w:val="both"/>
      </w:pPr>
      <w:r w:rsidRPr="002430E2">
        <w:t>Recognize and reward teachers who demonstrate exemplary application of NASH strategies, promoting motivation and a culture of excellence in teaching.</w:t>
      </w:r>
    </w:p>
    <w:p w14:paraId="5BB7AC3A" w14:textId="77777777" w:rsidR="00357FF4" w:rsidRPr="002430E2" w:rsidRDefault="00357FF4" w:rsidP="00655E3E">
      <w:pPr>
        <w:numPr>
          <w:ilvl w:val="0"/>
          <w:numId w:val="19"/>
        </w:numPr>
        <w:spacing w:before="100" w:beforeAutospacing="1" w:after="100" w:afterAutospacing="1"/>
        <w:jc w:val="both"/>
      </w:pPr>
      <w:r w:rsidRPr="002430E2">
        <w:rPr>
          <w:b/>
          <w:bCs/>
        </w:rPr>
        <w:t>Policy Support</w:t>
      </w:r>
    </w:p>
    <w:p w14:paraId="30570CD4" w14:textId="77777777" w:rsidR="00357FF4" w:rsidRPr="002430E2" w:rsidRDefault="00357FF4" w:rsidP="00655E3E">
      <w:pPr>
        <w:numPr>
          <w:ilvl w:val="1"/>
          <w:numId w:val="19"/>
        </w:numPr>
        <w:spacing w:before="100" w:beforeAutospacing="1" w:after="100" w:afterAutospacing="1"/>
        <w:jc w:val="both"/>
      </w:pPr>
      <w:r w:rsidRPr="002430E2">
        <w:t>School administrators should integrate the NASH framework into school policies and performance evaluations to ensure sustainability and alignment with student learning outcomes.</w:t>
      </w:r>
    </w:p>
    <w:p w14:paraId="1694001A" w14:textId="77777777" w:rsidR="00357FF4" w:rsidRPr="002430E2" w:rsidRDefault="00357FF4" w:rsidP="00655E3E">
      <w:pPr>
        <w:spacing w:before="100" w:beforeAutospacing="1" w:after="100" w:afterAutospacing="1"/>
        <w:jc w:val="both"/>
      </w:pPr>
    </w:p>
    <w:p w14:paraId="46D4AC2D" w14:textId="77777777" w:rsidR="00357FF4" w:rsidRPr="002430E2" w:rsidRDefault="00357FF4" w:rsidP="00655E3E">
      <w:pPr>
        <w:spacing w:before="100" w:beforeAutospacing="1" w:after="100" w:afterAutospacing="1"/>
        <w:jc w:val="both"/>
        <w:outlineLvl w:val="2"/>
        <w:rPr>
          <w:b/>
          <w:bCs/>
        </w:rPr>
      </w:pPr>
      <w:r w:rsidRPr="002430E2">
        <w:rPr>
          <w:b/>
          <w:bCs/>
        </w:rPr>
        <w:t xml:space="preserve">References </w:t>
      </w:r>
    </w:p>
    <w:p w14:paraId="67DE262B" w14:textId="77777777" w:rsidR="00357FF4" w:rsidRPr="002430E2" w:rsidRDefault="00357FF4" w:rsidP="00655E3E">
      <w:pPr>
        <w:spacing w:before="100" w:beforeAutospacing="1" w:after="100" w:afterAutospacing="1"/>
        <w:ind w:left="360"/>
        <w:jc w:val="both"/>
      </w:pPr>
      <w:r w:rsidRPr="002430E2">
        <w:t xml:space="preserve">Bernardo, A. B. I. (2019). </w:t>
      </w:r>
      <w:r w:rsidRPr="002430E2">
        <w:rPr>
          <w:i/>
          <w:iCs/>
        </w:rPr>
        <w:t>Educational psychology in the Philippines: Current perspectives and future directions</w:t>
      </w:r>
      <w:r w:rsidRPr="002430E2">
        <w:t>.</w:t>
      </w:r>
    </w:p>
    <w:p w14:paraId="506B2812" w14:textId="77777777" w:rsidR="00357FF4" w:rsidRPr="002430E2" w:rsidRDefault="00357FF4" w:rsidP="00655E3E">
      <w:pPr>
        <w:spacing w:before="100" w:beforeAutospacing="1" w:after="100" w:afterAutospacing="1"/>
        <w:ind w:left="360"/>
        <w:jc w:val="both"/>
      </w:pPr>
      <w:r w:rsidRPr="002430E2">
        <w:t xml:space="preserve">Cho, M., &amp; Cheng, A. (2020). Teacher readiness and instructional adaptation in diverse classrooms. </w:t>
      </w:r>
      <w:r w:rsidRPr="002430E2">
        <w:rPr>
          <w:i/>
          <w:iCs/>
        </w:rPr>
        <w:t>Journal of Educational Research</w:t>
      </w:r>
      <w:r w:rsidRPr="002430E2">
        <w:t>, 113(4), 285–298.</w:t>
      </w:r>
    </w:p>
    <w:p w14:paraId="39ED1C52" w14:textId="77777777" w:rsidR="00357FF4" w:rsidRPr="002430E2" w:rsidRDefault="00357FF4" w:rsidP="00655E3E">
      <w:pPr>
        <w:spacing w:before="100" w:beforeAutospacing="1" w:after="100" w:afterAutospacing="1"/>
        <w:ind w:left="360"/>
        <w:jc w:val="both"/>
      </w:pPr>
      <w:r w:rsidRPr="002430E2">
        <w:t xml:space="preserve">Darling-Hammond, L. (2021). </w:t>
      </w:r>
      <w:r w:rsidRPr="002430E2">
        <w:rPr>
          <w:i/>
          <w:iCs/>
        </w:rPr>
        <w:t>Teaching and learning for deep understanding</w:t>
      </w:r>
      <w:r w:rsidRPr="002430E2">
        <w:t>. Harvard Education Press.</w:t>
      </w:r>
    </w:p>
    <w:p w14:paraId="58645133" w14:textId="77777777" w:rsidR="00357FF4" w:rsidRPr="002430E2" w:rsidRDefault="00357FF4" w:rsidP="00655E3E">
      <w:pPr>
        <w:spacing w:before="100" w:beforeAutospacing="1" w:after="100" w:afterAutospacing="1"/>
        <w:ind w:left="360"/>
        <w:jc w:val="both"/>
      </w:pPr>
      <w:r w:rsidRPr="002430E2">
        <w:t xml:space="preserve">Department of Education (DepEd). (2022). </w:t>
      </w:r>
      <w:r w:rsidRPr="002430E2">
        <w:rPr>
          <w:i/>
          <w:iCs/>
        </w:rPr>
        <w:t>Basic Education Development Plan 2030</w:t>
      </w:r>
      <w:r w:rsidRPr="002430E2">
        <w:t>.</w:t>
      </w:r>
    </w:p>
    <w:p w14:paraId="1B8C0272" w14:textId="77777777" w:rsidR="00357FF4" w:rsidRPr="002430E2" w:rsidRDefault="00357FF4" w:rsidP="00655E3E">
      <w:pPr>
        <w:spacing w:before="100" w:beforeAutospacing="1" w:after="100" w:afterAutospacing="1"/>
        <w:ind w:left="360"/>
        <w:jc w:val="both"/>
      </w:pPr>
      <w:r w:rsidRPr="002430E2">
        <w:t xml:space="preserve">OECD. (2020). </w:t>
      </w:r>
      <w:r w:rsidRPr="002430E2">
        <w:rPr>
          <w:i/>
          <w:iCs/>
        </w:rPr>
        <w:t>Teaching and Learning International Survey (TALIS)</w:t>
      </w:r>
      <w:r w:rsidRPr="002430E2">
        <w:t>.</w:t>
      </w:r>
    </w:p>
    <w:p w14:paraId="65469EFC" w14:textId="77777777" w:rsidR="00357FF4" w:rsidRPr="002430E2" w:rsidRDefault="00357FF4" w:rsidP="00655E3E">
      <w:pPr>
        <w:spacing w:before="100" w:beforeAutospacing="1" w:after="100" w:afterAutospacing="1"/>
        <w:ind w:left="360"/>
        <w:jc w:val="both"/>
      </w:pPr>
      <w:r w:rsidRPr="002430E2">
        <w:lastRenderedPageBreak/>
        <w:t xml:space="preserve">UNESCO. (2022). </w:t>
      </w:r>
      <w:r w:rsidRPr="002430E2">
        <w:rPr>
          <w:i/>
          <w:iCs/>
        </w:rPr>
        <w:t>Reimagining education for a more inclusive world</w:t>
      </w:r>
      <w:r w:rsidRPr="002430E2">
        <w:t>.</w:t>
      </w:r>
    </w:p>
    <w:p w14:paraId="614E2600" w14:textId="77777777" w:rsidR="00357FF4" w:rsidRPr="002430E2" w:rsidRDefault="00357FF4" w:rsidP="00655E3E">
      <w:pPr>
        <w:spacing w:before="100" w:beforeAutospacing="1" w:after="100" w:afterAutospacing="1"/>
        <w:ind w:left="360"/>
        <w:jc w:val="both"/>
      </w:pPr>
      <w:r w:rsidRPr="002430E2">
        <w:t xml:space="preserve">World Bank. (2021). </w:t>
      </w:r>
      <w:r w:rsidRPr="002430E2">
        <w:rPr>
          <w:i/>
          <w:iCs/>
        </w:rPr>
        <w:t>Philippines basic education sector analysis</w:t>
      </w:r>
      <w:r w:rsidRPr="002430E2">
        <w:t>.</w:t>
      </w:r>
    </w:p>
    <w:p w14:paraId="0E14C2E4" w14:textId="77777777" w:rsidR="00357FF4" w:rsidRPr="002430E2" w:rsidRDefault="00357FF4" w:rsidP="00655E3E">
      <w:pPr>
        <w:jc w:val="both"/>
      </w:pPr>
    </w:p>
    <w:p w14:paraId="1639B2EA" w14:textId="77777777" w:rsidR="00357FF4" w:rsidRDefault="00357FF4" w:rsidP="00655E3E"/>
    <w:sectPr w:rsidR="00357F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286"/>
    <w:multiLevelType w:val="multilevel"/>
    <w:tmpl w:val="9542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62B1"/>
    <w:multiLevelType w:val="multilevel"/>
    <w:tmpl w:val="D7B4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02B03"/>
    <w:multiLevelType w:val="multilevel"/>
    <w:tmpl w:val="8B2C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011D5"/>
    <w:multiLevelType w:val="multilevel"/>
    <w:tmpl w:val="945E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62B8B"/>
    <w:multiLevelType w:val="multilevel"/>
    <w:tmpl w:val="77405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3E4E71"/>
    <w:multiLevelType w:val="multilevel"/>
    <w:tmpl w:val="0DAA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A95093"/>
    <w:multiLevelType w:val="multilevel"/>
    <w:tmpl w:val="BB16E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581325"/>
    <w:multiLevelType w:val="multilevel"/>
    <w:tmpl w:val="49D0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C7D49"/>
    <w:multiLevelType w:val="multilevel"/>
    <w:tmpl w:val="6C4A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074F1B"/>
    <w:multiLevelType w:val="multilevel"/>
    <w:tmpl w:val="E53CB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0855A2"/>
    <w:multiLevelType w:val="multilevel"/>
    <w:tmpl w:val="D9EE28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1F242B"/>
    <w:multiLevelType w:val="multilevel"/>
    <w:tmpl w:val="62CA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A4667E"/>
    <w:multiLevelType w:val="multilevel"/>
    <w:tmpl w:val="59B875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583F6B"/>
    <w:multiLevelType w:val="multilevel"/>
    <w:tmpl w:val="5AF4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492FAA"/>
    <w:multiLevelType w:val="multilevel"/>
    <w:tmpl w:val="B5A02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230296"/>
    <w:multiLevelType w:val="multilevel"/>
    <w:tmpl w:val="CED8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1A66CD"/>
    <w:multiLevelType w:val="multilevel"/>
    <w:tmpl w:val="17F0A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A929E9"/>
    <w:multiLevelType w:val="multilevel"/>
    <w:tmpl w:val="1D7A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3951B2"/>
    <w:multiLevelType w:val="multilevel"/>
    <w:tmpl w:val="DE060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720802"/>
    <w:multiLevelType w:val="multilevel"/>
    <w:tmpl w:val="AC945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0A0F2A"/>
    <w:multiLevelType w:val="multilevel"/>
    <w:tmpl w:val="F620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656599">
    <w:abstractNumId w:val="2"/>
  </w:num>
  <w:num w:numId="2" w16cid:durableId="1122307527">
    <w:abstractNumId w:val="14"/>
  </w:num>
  <w:num w:numId="3" w16cid:durableId="316885958">
    <w:abstractNumId w:val="9"/>
  </w:num>
  <w:num w:numId="4" w16cid:durableId="1365904265">
    <w:abstractNumId w:val="6"/>
  </w:num>
  <w:num w:numId="5" w16cid:durableId="379593221">
    <w:abstractNumId w:val="13"/>
  </w:num>
  <w:num w:numId="6" w16cid:durableId="601769084">
    <w:abstractNumId w:val="17"/>
  </w:num>
  <w:num w:numId="7" w16cid:durableId="130557898">
    <w:abstractNumId w:val="0"/>
  </w:num>
  <w:num w:numId="8" w16cid:durableId="622157352">
    <w:abstractNumId w:val="4"/>
  </w:num>
  <w:num w:numId="9" w16cid:durableId="1544899341">
    <w:abstractNumId w:val="19"/>
  </w:num>
  <w:num w:numId="10" w16cid:durableId="1273365672">
    <w:abstractNumId w:val="5"/>
  </w:num>
  <w:num w:numId="11" w16cid:durableId="1587610104">
    <w:abstractNumId w:val="3"/>
  </w:num>
  <w:num w:numId="12" w16cid:durableId="1887907532">
    <w:abstractNumId w:val="1"/>
  </w:num>
  <w:num w:numId="13" w16cid:durableId="1753625455">
    <w:abstractNumId w:val="20"/>
  </w:num>
  <w:num w:numId="14" w16cid:durableId="376398281">
    <w:abstractNumId w:val="8"/>
  </w:num>
  <w:num w:numId="15" w16cid:durableId="1585724959">
    <w:abstractNumId w:val="15"/>
  </w:num>
  <w:num w:numId="16" w16cid:durableId="914508328">
    <w:abstractNumId w:val="18"/>
  </w:num>
  <w:num w:numId="17" w16cid:durableId="978339883">
    <w:abstractNumId w:val="12"/>
  </w:num>
  <w:num w:numId="18" w16cid:durableId="1180583855">
    <w:abstractNumId w:val="16"/>
  </w:num>
  <w:num w:numId="19" w16cid:durableId="1230575947">
    <w:abstractNumId w:val="10"/>
  </w:num>
  <w:num w:numId="20" w16cid:durableId="1116287827">
    <w:abstractNumId w:val="7"/>
  </w:num>
  <w:num w:numId="21" w16cid:durableId="14529395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F4"/>
    <w:rsid w:val="00006D4A"/>
    <w:rsid w:val="0018258B"/>
    <w:rsid w:val="00357FF4"/>
    <w:rsid w:val="00480A39"/>
    <w:rsid w:val="005455C3"/>
    <w:rsid w:val="00570E84"/>
    <w:rsid w:val="006558DC"/>
    <w:rsid w:val="00655E3E"/>
    <w:rsid w:val="0080078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502B"/>
  <w15:chartTrackingRefBased/>
  <w15:docId w15:val="{A381BE7B-0ECE-F74D-BC99-D67CED6C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FF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57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7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57F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F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F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F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F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F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F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F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7F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57F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F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F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F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F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F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FF4"/>
    <w:rPr>
      <w:rFonts w:eastAsiaTheme="majorEastAsia" w:cstheme="majorBidi"/>
      <w:color w:val="272727" w:themeColor="text1" w:themeTint="D8"/>
    </w:rPr>
  </w:style>
  <w:style w:type="paragraph" w:styleId="Title">
    <w:name w:val="Title"/>
    <w:basedOn w:val="Normal"/>
    <w:next w:val="Normal"/>
    <w:link w:val="TitleChar"/>
    <w:uiPriority w:val="10"/>
    <w:qFormat/>
    <w:rsid w:val="00357F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F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F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F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FF4"/>
    <w:pPr>
      <w:spacing w:before="160"/>
      <w:jc w:val="center"/>
    </w:pPr>
    <w:rPr>
      <w:i/>
      <w:iCs/>
      <w:color w:val="404040" w:themeColor="text1" w:themeTint="BF"/>
    </w:rPr>
  </w:style>
  <w:style w:type="character" w:customStyle="1" w:styleId="QuoteChar">
    <w:name w:val="Quote Char"/>
    <w:basedOn w:val="DefaultParagraphFont"/>
    <w:link w:val="Quote"/>
    <w:uiPriority w:val="29"/>
    <w:rsid w:val="00357FF4"/>
    <w:rPr>
      <w:i/>
      <w:iCs/>
      <w:color w:val="404040" w:themeColor="text1" w:themeTint="BF"/>
    </w:rPr>
  </w:style>
  <w:style w:type="paragraph" w:styleId="ListParagraph">
    <w:name w:val="List Paragraph"/>
    <w:basedOn w:val="Normal"/>
    <w:uiPriority w:val="34"/>
    <w:qFormat/>
    <w:rsid w:val="00357FF4"/>
    <w:pPr>
      <w:ind w:left="720"/>
      <w:contextualSpacing/>
    </w:pPr>
  </w:style>
  <w:style w:type="character" w:styleId="IntenseEmphasis">
    <w:name w:val="Intense Emphasis"/>
    <w:basedOn w:val="DefaultParagraphFont"/>
    <w:uiPriority w:val="21"/>
    <w:qFormat/>
    <w:rsid w:val="00357FF4"/>
    <w:rPr>
      <w:i/>
      <w:iCs/>
      <w:color w:val="0F4761" w:themeColor="accent1" w:themeShade="BF"/>
    </w:rPr>
  </w:style>
  <w:style w:type="paragraph" w:styleId="IntenseQuote">
    <w:name w:val="Intense Quote"/>
    <w:basedOn w:val="Normal"/>
    <w:next w:val="Normal"/>
    <w:link w:val="IntenseQuoteChar"/>
    <w:uiPriority w:val="30"/>
    <w:qFormat/>
    <w:rsid w:val="00357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FF4"/>
    <w:rPr>
      <w:i/>
      <w:iCs/>
      <w:color w:val="0F4761" w:themeColor="accent1" w:themeShade="BF"/>
    </w:rPr>
  </w:style>
  <w:style w:type="character" w:styleId="IntenseReference">
    <w:name w:val="Intense Reference"/>
    <w:basedOn w:val="DefaultParagraphFont"/>
    <w:uiPriority w:val="32"/>
    <w:qFormat/>
    <w:rsid w:val="00357FF4"/>
    <w:rPr>
      <w:b/>
      <w:bCs/>
      <w:smallCaps/>
      <w:color w:val="0F4761" w:themeColor="accent1" w:themeShade="BF"/>
      <w:spacing w:val="5"/>
    </w:rPr>
  </w:style>
  <w:style w:type="character" w:styleId="Strong">
    <w:name w:val="Strong"/>
    <w:basedOn w:val="DefaultParagraphFont"/>
    <w:uiPriority w:val="22"/>
    <w:qFormat/>
    <w:rsid w:val="00357FF4"/>
    <w:rPr>
      <w:b/>
      <w:bCs/>
    </w:rPr>
  </w:style>
  <w:style w:type="paragraph" w:styleId="NormalWeb">
    <w:name w:val="Normal (Web)"/>
    <w:basedOn w:val="Normal"/>
    <w:uiPriority w:val="99"/>
    <w:unhideWhenUsed/>
    <w:rsid w:val="00357FF4"/>
    <w:pPr>
      <w:spacing w:before="100" w:beforeAutospacing="1" w:after="100" w:afterAutospacing="1"/>
    </w:pPr>
  </w:style>
  <w:style w:type="character" w:styleId="Emphasis">
    <w:name w:val="Emphasis"/>
    <w:basedOn w:val="DefaultParagraphFont"/>
    <w:uiPriority w:val="20"/>
    <w:qFormat/>
    <w:rsid w:val="00357FF4"/>
    <w:rPr>
      <w:i/>
      <w:iCs/>
    </w:rPr>
  </w:style>
  <w:style w:type="paragraph" w:styleId="NoSpacing">
    <w:name w:val="No Spacing"/>
    <w:uiPriority w:val="1"/>
    <w:qFormat/>
    <w:rsid w:val="00357FF4"/>
    <w:pPr>
      <w:spacing w:after="0"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57FF4"/>
    <w:rPr>
      <w:color w:val="467886" w:themeColor="hyperlink"/>
      <w:u w:val="single"/>
    </w:rPr>
  </w:style>
  <w:style w:type="character" w:styleId="UnresolvedMention">
    <w:name w:val="Unresolved Mention"/>
    <w:basedOn w:val="DefaultParagraphFont"/>
    <w:uiPriority w:val="99"/>
    <w:semiHidden/>
    <w:unhideWhenUsed/>
    <w:rsid w:val="00357FF4"/>
    <w:rPr>
      <w:color w:val="605E5C"/>
      <w:shd w:val="clear" w:color="auto" w:fill="E1DFDD"/>
    </w:rPr>
  </w:style>
  <w:style w:type="character" w:styleId="HTMLCode">
    <w:name w:val="HTML Code"/>
    <w:basedOn w:val="DefaultParagraphFont"/>
    <w:uiPriority w:val="99"/>
    <w:semiHidden/>
    <w:unhideWhenUsed/>
    <w:rsid w:val="00357FF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vanezagalile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shamil851@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ECC99-041B-4B39-91AD-8F00DC9C1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7574</Words>
  <Characters>43176</Characters>
  <Application>Microsoft Office Word</Application>
  <DocSecurity>0</DocSecurity>
  <Lines>359</Lines>
  <Paragraphs>101</Paragraphs>
  <ScaleCrop>false</ScaleCrop>
  <Company/>
  <LinksUpToDate>false</LinksUpToDate>
  <CharactersWithSpaces>50649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Nasrolah Amil</dc:creator>
  <cp:keywords/>
  <dc:description/>
  <cp:lastModifiedBy>Mark Joy Galileo</cp:lastModifiedBy>
  <cp:revision>3</cp:revision>
  <dcterms:created xsi:type="dcterms:W3CDTF">2026-06-01T08:20:00Z</dcterms:created>
  <dcterms:modified xsi:type="dcterms:W3CDTF">2026-06-25T07:07:00Z</dcterms:modified>
</cp:coreProperties>
</file>