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1B9" w:rsidRPr="005D650B" w:rsidRDefault="002E6B2A" w:rsidP="002E6B2A">
      <w:pPr>
        <w:jc w:val="center"/>
        <w:rPr>
          <w:rFonts w:ascii="Times New Roman" w:hAnsi="Times New Roman" w:cs="Times New Roman"/>
          <w:b/>
          <w:sz w:val="24"/>
          <w:szCs w:val="24"/>
        </w:rPr>
      </w:pPr>
      <w:r w:rsidRPr="005D650B">
        <w:rPr>
          <w:rFonts w:ascii="Times New Roman" w:hAnsi="Times New Roman" w:cs="Times New Roman"/>
          <w:b/>
          <w:sz w:val="24"/>
          <w:szCs w:val="24"/>
        </w:rPr>
        <w:t>Fiscal Reforms, Domestic Revenue Mobilisation, and Sustainable Development in Nigeria: An ARDL Bounds Testing Approach to Long-Run and Short-Run Dynamics</w:t>
      </w:r>
      <w:r w:rsidR="00764337" w:rsidRPr="005D650B">
        <w:rPr>
          <w:rFonts w:ascii="Times New Roman" w:hAnsi="Times New Roman" w:cs="Times New Roman"/>
          <w:b/>
          <w:sz w:val="24"/>
          <w:szCs w:val="24"/>
        </w:rPr>
        <w:t>.</w:t>
      </w:r>
    </w:p>
    <w:p w:rsidR="001339EE" w:rsidRPr="005D650B" w:rsidRDefault="001339EE" w:rsidP="001339EE">
      <w:pPr>
        <w:spacing w:after="0" w:line="240" w:lineRule="auto"/>
        <w:jc w:val="center"/>
        <w:rPr>
          <w:rFonts w:ascii="Times New Roman" w:hAnsi="Times New Roman" w:cs="Times New Roman"/>
        </w:rPr>
      </w:pPr>
      <w:r w:rsidRPr="005D650B">
        <w:rPr>
          <w:rFonts w:ascii="Times New Roman" w:hAnsi="Times New Roman" w:cs="Times New Roman"/>
        </w:rPr>
        <w:t/>
      </w:r>
      <w:r w:rsidR="00007C43" w:rsidRPr="005D650B">
        <w:rPr>
          <w:rFonts w:ascii="Times New Roman" w:hAnsi="Times New Roman" w:cs="Times New Roman"/>
        </w:rPr>
        <w:t/>
      </w:r>
      <w:r w:rsidRPr="005D650B">
        <w:rPr>
          <w:rFonts w:ascii="Times New Roman" w:hAnsi="Times New Roman" w:cs="Times New Roman"/>
        </w:rPr>
        <w:t xml:space="preserve"/>
      </w:r>
      <w:r w:rsidR="008725B1" w:rsidRPr="005D650B">
        <w:rPr>
          <w:rFonts w:ascii="Times New Roman" w:hAnsi="Times New Roman" w:cs="Times New Roman"/>
        </w:rPr>
        <w:t/>
      </w:r>
      <w:r w:rsidRPr="005D650B">
        <w:rPr>
          <w:rFonts w:ascii="Times New Roman" w:hAnsi="Times New Roman" w:cs="Times New Roman"/>
        </w:rPr>
        <w:t/>
      </w:r>
      <w:r w:rsidRPr="005D650B">
        <w:rPr>
          <w:rFonts w:ascii="Times New Roman" w:hAnsi="Times New Roman" w:cs="Times New Roman"/>
          <w:b/>
          <w:vertAlign w:val="superscript"/>
        </w:rPr>
        <w:t/>
      </w:r>
    </w:p>
    <w:p w:rsidR="001339EE" w:rsidRPr="005D650B" w:rsidRDefault="001339EE" w:rsidP="001339EE">
      <w:pPr>
        <w:spacing w:after="0" w:line="240" w:lineRule="auto"/>
        <w:jc w:val="center"/>
        <w:rPr>
          <w:rFonts w:ascii="Times New Roman" w:hAnsi="Times New Roman" w:cs="Times New Roman"/>
        </w:rPr>
      </w:pPr>
      <w:r w:rsidRPr="005D650B">
        <w:rPr>
          <w:rFonts w:ascii="Times New Roman" w:hAnsi="Times New Roman" w:cs="Times New Roman"/>
        </w:rPr>
        <w:t xml:space="preserve"/>
      </w:r>
    </w:p>
    <w:p w:rsidR="001339EE" w:rsidRPr="005D650B" w:rsidRDefault="00FD642D" w:rsidP="001339EE">
      <w:pPr>
        <w:spacing w:after="0" w:line="240" w:lineRule="auto"/>
        <w:jc w:val="center"/>
        <w:rPr>
          <w:rFonts w:ascii="Times New Roman" w:hAnsi="Times New Roman" w:cs="Times New Roman"/>
        </w:rPr>
      </w:pPr>
      <w:hyperlink r:id="rId7" w:history="1">
        <w:r w:rsidR="001339EE" w:rsidRPr="005D650B">
          <w:rPr>
            <w:rStyle w:val="Hyperlink"/>
            <w:rFonts w:ascii="Times New Roman" w:hAnsi="Times New Roman" w:cs="Times New Roman"/>
            <w:color w:val="auto"/>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w:r>
      </w:hyperlink>
      <w:r w:rsidR="001339EE" w:rsidRPr="005D650B">
        <w:rPr>
          <w:rFonts w:ascii="Times New Roman" w:hAnsi="Times New Roman" w:cs="Times New Roman"/>
        </w:rPr>
        <w:t/>
      </w:r>
    </w:p>
    <w:p w:rsidR="002828BD" w:rsidRPr="005D650B" w:rsidRDefault="002828BD" w:rsidP="00482669">
      <w:pPr>
        <w:spacing w:after="0" w:line="240" w:lineRule="auto"/>
        <w:jc w:val="center"/>
        <w:rPr>
          <w:rFonts w:ascii="Times New Roman" w:hAnsi="Times New Roman" w:cs="Times New Roman"/>
          <w:sz w:val="24"/>
          <w:szCs w:val="24"/>
        </w:rPr>
      </w:pPr>
    </w:p>
    <w:p w:rsidR="001339EE" w:rsidRPr="005D650B" w:rsidRDefault="001339EE" w:rsidP="00482669">
      <w:pPr>
        <w:spacing w:after="0" w:line="240" w:lineRule="auto"/>
        <w:jc w:val="center"/>
        <w:rPr>
          <w:rFonts w:ascii="Times New Roman" w:hAnsi="Times New Roman" w:cs="Times New Roman"/>
          <w:sz w:val="24"/>
          <w:szCs w:val="24"/>
          <w:vertAlign w:val="superscript"/>
        </w:rPr>
      </w:pPr>
      <w:r w:rsidRPr="005D650B">
        <w:rPr>
          <w:rFonts w:ascii="Times New Roman" w:hAnsi="Times New Roman" w:cs="Times New Roman"/>
          <w:sz w:val="24"/>
          <w:szCs w:val="24"/>
        </w:rPr>
        <w:t/>
      </w:r>
      <w:r w:rsidRPr="005D650B">
        <w:rPr>
          <w:rFonts w:ascii="Times New Roman" w:hAnsi="Times New Roman" w:cs="Times New Roman"/>
          <w:b/>
          <w:sz w:val="24"/>
          <w:szCs w:val="24"/>
          <w:vertAlign w:val="superscript"/>
        </w:rPr>
        <w:t/>
      </w:r>
    </w:p>
    <w:p w:rsidR="00482669" w:rsidRPr="005D650B" w:rsidRDefault="00067FF8" w:rsidP="00067FF8">
      <w:pPr>
        <w:spacing w:after="0" w:line="240" w:lineRule="auto"/>
        <w:jc w:val="center"/>
        <w:rPr>
          <w:rFonts w:ascii="Times New Roman" w:hAnsi="Times New Roman" w:cs="Times New Roman"/>
          <w:sz w:val="24"/>
          <w:szCs w:val="24"/>
        </w:rPr>
      </w:pPr>
      <w:r w:rsidRPr="005D650B">
        <w:rPr>
          <w:rFonts w:ascii="Times New Roman" w:hAnsi="Times New Roman" w:cs="Times New Roman"/>
          <w:sz w:val="24"/>
          <w:szCs w:val="24"/>
        </w:rPr>
        <w:t xml:space="preserve"/>
      </w:r>
      <w:r w:rsidR="00482669" w:rsidRPr="005D650B">
        <w:rPr>
          <w:rFonts w:ascii="Times New Roman" w:hAnsi="Times New Roman" w:cs="Times New Roman"/>
          <w:sz w:val="24"/>
          <w:szCs w:val="24"/>
        </w:rPr>
        <w:t/>
      </w:r>
    </w:p>
    <w:p w:rsidR="00482669" w:rsidRPr="005D650B" w:rsidRDefault="00FD642D" w:rsidP="00482669">
      <w:pPr>
        <w:spacing w:after="0" w:line="240" w:lineRule="auto"/>
        <w:jc w:val="center"/>
        <w:rPr>
          <w:rFonts w:ascii="Times New Roman" w:hAnsi="Times New Roman" w:cs="Times New Roman"/>
          <w:sz w:val="24"/>
          <w:szCs w:val="24"/>
        </w:rPr>
      </w:pPr>
      <w:hyperlink r:id="rId8" w:history="1">
        <w:r w:rsidR="00482669" w:rsidRPr="005D650B">
          <w:rPr>
            <w:rStyle w:val="Hyperlink"/>
            <w:rFonts w:ascii="Times New Roman" w:hAnsi="Times New Roman" w:cs="Times New Roman"/>
            <w:color w:val="auto"/>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w:r>
      </w:hyperlink>
      <w:r w:rsidR="00482669" w:rsidRPr="005D650B">
        <w:rPr>
          <w:rFonts w:ascii="Times New Roman" w:hAnsi="Times New Roman" w:cs="Times New Roman"/>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r>
      <w:r w:rsidR="00482669" w:rsidRPr="005D650B">
        <w:rPr>
          <w:rFonts w:ascii="Times New Roman" w:hAnsi="Times New Roman" w:cs="Times New Roman"/>
          <w:sz w:val="24"/>
          <w:szCs w:val="24"/>
        </w:rPr>
        <w:t/>
      </w:r>
    </w:p>
    <w:p w:rsidR="00482669" w:rsidRPr="005D650B" w:rsidRDefault="00482669" w:rsidP="00482669">
      <w:pPr>
        <w:spacing w:after="0" w:line="240" w:lineRule="auto"/>
        <w:jc w:val="center"/>
        <w:rPr>
          <w:rFonts w:ascii="Times New Roman" w:hAnsi="Times New Roman" w:cs="Times New Roman"/>
          <w:sz w:val="24"/>
          <w:szCs w:val="24"/>
        </w:rPr>
      </w:pPr>
    </w:p>
    <w:p w:rsidR="00482669" w:rsidRPr="005D650B" w:rsidRDefault="00482669" w:rsidP="00482669">
      <w:pPr>
        <w:spacing w:after="0" w:line="240" w:lineRule="auto"/>
        <w:jc w:val="center"/>
        <w:rPr>
          <w:rFonts w:ascii="Times New Roman" w:hAnsi="Times New Roman" w:cs="Times New Roman"/>
          <w:sz w:val="24"/>
          <w:szCs w:val="24"/>
        </w:rPr>
      </w:pPr>
      <w:r w:rsidRPr="005D650B">
        <w:rPr>
          <w:rFonts w:ascii="Times New Roman" w:hAnsi="Times New Roman" w:cs="Times New Roman"/>
          <w:sz w:val="24"/>
          <w:szCs w:val="24"/>
        </w:rPr>
        <w:t/>
      </w:r>
      <w:r w:rsidR="00007C43" w:rsidRPr="005D650B">
        <w:rPr>
          <w:rFonts w:ascii="Times New Roman" w:hAnsi="Times New Roman" w:cs="Times New Roman"/>
          <w:sz w:val="24"/>
          <w:szCs w:val="24"/>
        </w:rPr>
        <w:t/>
      </w:r>
      <w:r w:rsidRPr="005D650B">
        <w:rPr>
          <w:rFonts w:ascii="Times New Roman" w:hAnsi="Times New Roman" w:cs="Times New Roman"/>
          <w:sz w:val="24"/>
          <w:szCs w:val="24"/>
        </w:rPr>
        <w:t xml:space="preserve"/>
      </w:r>
      <w:r w:rsidR="00F347F1" w:rsidRPr="005D650B">
        <w:rPr>
          <w:rFonts w:ascii="Times New Roman" w:hAnsi="Times New Roman" w:cs="Times New Roman"/>
          <w:sz w:val="24"/>
          <w:szCs w:val="24"/>
        </w:rPr>
        <w:t/>
      </w:r>
      <w:r w:rsidRPr="005D650B">
        <w:rPr>
          <w:rFonts w:ascii="Times New Roman" w:hAnsi="Times New Roman" w:cs="Times New Roman"/>
          <w:sz w:val="24"/>
          <w:szCs w:val="24"/>
        </w:rPr>
        <w:t/>
      </w:r>
      <w:r w:rsidR="008725B1" w:rsidRPr="005D650B">
        <w:rPr>
          <w:rFonts w:ascii="Times New Roman" w:hAnsi="Times New Roman" w:cs="Times New Roman"/>
          <w:sz w:val="24"/>
          <w:szCs w:val="24"/>
        </w:rPr>
        <w:t/>
      </w:r>
      <w:r w:rsidRPr="005D650B">
        <w:rPr>
          <w:rFonts w:ascii="Times New Roman" w:hAnsi="Times New Roman" w:cs="Times New Roman"/>
          <w:sz w:val="24"/>
          <w:szCs w:val="24"/>
        </w:rPr>
        <w:t/>
      </w:r>
      <w:r w:rsidRPr="005D650B">
        <w:rPr>
          <w:rFonts w:ascii="Times New Roman" w:hAnsi="Times New Roman" w:cs="Times New Roman"/>
          <w:b/>
          <w:sz w:val="24"/>
          <w:szCs w:val="24"/>
          <w:vertAlign w:val="superscript"/>
        </w:rPr>
        <w:t/>
      </w:r>
    </w:p>
    <w:p w:rsidR="00482669" w:rsidRPr="005D650B" w:rsidRDefault="00482669" w:rsidP="00482669">
      <w:pPr>
        <w:spacing w:after="0" w:line="240" w:lineRule="auto"/>
        <w:jc w:val="center"/>
        <w:rPr>
          <w:rFonts w:ascii="Times New Roman" w:hAnsi="Times New Roman" w:cs="Times New Roman"/>
          <w:sz w:val="24"/>
          <w:szCs w:val="24"/>
        </w:rPr>
      </w:pPr>
      <w:r w:rsidRPr="005D650B">
        <w:rPr>
          <w:rFonts w:ascii="Times New Roman" w:hAnsi="Times New Roman" w:cs="Times New Roman"/>
          <w:sz w:val="24"/>
          <w:szCs w:val="24"/>
        </w:rPr>
        <w:t/>
      </w:r>
    </w:p>
    <w:p w:rsidR="00482669" w:rsidRPr="005D650B" w:rsidRDefault="00AB5437" w:rsidP="00482669">
      <w:pPr>
        <w:spacing w:after="0" w:line="240" w:lineRule="auto"/>
        <w:jc w:val="center"/>
        <w:rPr>
          <w:rFonts w:ascii="Times New Roman" w:hAnsi="Times New Roman" w:cs="Times New Roman"/>
          <w:sz w:val="24"/>
          <w:szCs w:val="24"/>
        </w:rPr>
      </w:pPr>
      <w:r w:rsidRPr="005D650B">
        <w:rPr>
          <w:rFonts w:ascii="Times New Roman" w:hAnsi="Times New Roman" w:cs="Times New Roman"/>
          <w:sz w:val="24"/>
          <w:szCs w:val="24"/>
        </w:rPr>
        <w:t/>
      </w:r>
      <w:r w:rsidR="00F347F1" w:rsidRPr="005D650B">
        <w:rPr>
          <w:rFonts w:ascii="Times New Roman" w:hAnsi="Times New Roman" w:cs="Times New Roman"/>
          <w:sz w:val="24"/>
          <w:szCs w:val="24"/>
        </w:rPr>
        <w:t/>
      </w:r>
      <w:r w:rsidR="00482669" w:rsidRPr="005D650B">
        <w:rPr>
          <w:rFonts w:ascii="Times New Roman" w:hAnsi="Times New Roman" w:cs="Times New Roman"/>
          <w:sz w:val="24"/>
          <w:szCs w:val="24"/>
        </w:rPr>
        <w:t xml:space="preserve"/>
      </w:r>
      <w:r w:rsidR="00482669" w:rsidRPr="005D650B">
        <w:rPr>
          <w:rFonts w:ascii="Times New Roman" w:hAnsi="Times New Roman" w:cs="Times New Roman"/>
          <w:sz w:val="24"/>
          <w:szCs w:val="24"/>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w:r>
      <w:r w:rsidR="00482669" w:rsidRPr="005D650B">
        <w:rPr>
          <w:rFonts w:ascii="Times New Roman" w:hAnsi="Times New Roman" w:cs="Times New Roman"/>
          <w:sz w:val="24"/>
          <w:szCs w:val="24"/>
        </w:rPr>
        <w:t/>
      </w:r>
    </w:p>
    <w:p w:rsidR="00482669" w:rsidRPr="005D650B" w:rsidRDefault="00482669" w:rsidP="00482669">
      <w:pPr>
        <w:spacing w:after="0" w:line="240" w:lineRule="auto"/>
        <w:jc w:val="center"/>
        <w:rPr>
          <w:rFonts w:ascii="Times New Roman" w:hAnsi="Times New Roman" w:cs="Times New Roman"/>
          <w:sz w:val="24"/>
          <w:szCs w:val="24"/>
        </w:rPr>
      </w:pPr>
      <w:r w:rsidRPr="005D650B">
        <w:rPr>
          <w:rFonts w:ascii="Times New Roman" w:hAnsi="Times New Roman" w:cs="Times New Roman"/>
          <w:sz w:val="24"/>
          <w:szCs w:val="24"/>
        </w:rPr>
        <w:t/>
      </w:r>
    </w:p>
    <w:p w:rsidR="00482669" w:rsidRPr="005D650B" w:rsidRDefault="00482669" w:rsidP="00482669">
      <w:pPr>
        <w:spacing w:after="0" w:line="240" w:lineRule="auto"/>
        <w:jc w:val="center"/>
        <w:rPr>
          <w:rFonts w:ascii="Times New Roman" w:hAnsi="Times New Roman" w:cs="Times New Roman"/>
          <w:sz w:val="24"/>
          <w:szCs w:val="24"/>
        </w:rPr>
      </w:pPr>
      <w:r w:rsidRPr="005D650B">
        <w:rPr>
          <w:rFonts w:ascii="Times New Roman" w:hAnsi="Times New Roman" w:cs="Times New Roman"/>
          <w:sz w:val="24"/>
          <w:szCs w:val="24"/>
        </w:rPr>
        <w:t/>
      </w:r>
      <w:r w:rsidR="00007C43" w:rsidRPr="005D650B">
        <w:rPr>
          <w:rFonts w:ascii="Times New Roman" w:hAnsi="Times New Roman" w:cs="Times New Roman"/>
          <w:sz w:val="24"/>
          <w:szCs w:val="24"/>
        </w:rPr>
        <w:t/>
      </w:r>
      <w:r w:rsidRPr="005D650B">
        <w:rPr>
          <w:rFonts w:ascii="Times New Roman" w:hAnsi="Times New Roman" w:cs="Times New Roman"/>
          <w:sz w:val="24"/>
          <w:szCs w:val="24"/>
        </w:rPr>
        <w:t xml:space="preserve"/>
      </w:r>
      <w:r w:rsidR="00F347F1" w:rsidRPr="005D650B">
        <w:rPr>
          <w:rFonts w:ascii="Times New Roman" w:hAnsi="Times New Roman" w:cs="Times New Roman"/>
          <w:sz w:val="24"/>
          <w:szCs w:val="24"/>
        </w:rPr>
        <w:t/>
      </w:r>
      <w:r w:rsidRPr="005D650B">
        <w:rPr>
          <w:rFonts w:ascii="Times New Roman" w:hAnsi="Times New Roman" w:cs="Times New Roman"/>
          <w:sz w:val="24"/>
          <w:szCs w:val="24"/>
        </w:rPr>
        <w:t/>
      </w:r>
      <w:r w:rsidR="008725B1" w:rsidRPr="005D650B">
        <w:rPr>
          <w:rFonts w:ascii="Times New Roman" w:hAnsi="Times New Roman" w:cs="Times New Roman"/>
          <w:sz w:val="24"/>
          <w:szCs w:val="24"/>
        </w:rPr>
        <w:t/>
      </w:r>
      <w:r w:rsidRPr="005D650B">
        <w:rPr>
          <w:rFonts w:ascii="Times New Roman" w:hAnsi="Times New Roman" w:cs="Times New Roman"/>
          <w:sz w:val="24"/>
          <w:szCs w:val="24"/>
        </w:rPr>
        <w:t/>
      </w:r>
      <w:r w:rsidR="002828BD" w:rsidRPr="005D650B">
        <w:rPr>
          <w:rFonts w:ascii="Times New Roman" w:hAnsi="Times New Roman" w:cs="Times New Roman"/>
          <w:b/>
          <w:sz w:val="24"/>
          <w:szCs w:val="24"/>
          <w:vertAlign w:val="superscript"/>
        </w:rPr>
        <w:t/>
      </w:r>
    </w:p>
    <w:p w:rsidR="00482669" w:rsidRPr="005D650B" w:rsidRDefault="00482669" w:rsidP="00482669">
      <w:pPr>
        <w:spacing w:after="0" w:line="240" w:lineRule="auto"/>
        <w:jc w:val="center"/>
        <w:rPr>
          <w:rFonts w:ascii="Times New Roman" w:hAnsi="Times New Roman" w:cs="Times New Roman"/>
          <w:sz w:val="24"/>
          <w:szCs w:val="24"/>
        </w:rPr>
      </w:pPr>
      <w:r w:rsidRPr="005D650B">
        <w:rPr>
          <w:rFonts w:ascii="Times New Roman" w:hAnsi="Times New Roman" w:cs="Times New Roman"/>
          <w:sz w:val="24"/>
          <w:szCs w:val="24"/>
        </w:rPr>
        <w:t/>
      </w:r>
      <w:r w:rsidR="00067FF8" w:rsidRPr="005D650B">
        <w:rPr>
          <w:rFonts w:ascii="Times New Roman" w:hAnsi="Times New Roman" w:cs="Times New Roman"/>
          <w:sz w:val="24"/>
          <w:szCs w:val="24"/>
        </w:rPr>
        <w:t xml:space="preserve"/>
      </w:r>
      <w:r w:rsidRPr="005D650B">
        <w:rPr>
          <w:rFonts w:ascii="Times New Roman" w:hAnsi="Times New Roman" w:cs="Times New Roman"/>
          <w:sz w:val="24"/>
          <w:szCs w:val="24"/>
        </w:rPr>
        <w:t xml:space="preserve"/>
      </w:r>
      <w:r w:rsidRPr="005D650B">
        <w:rPr>
          <w:rFonts w:ascii="Times New Roman" w:hAnsi="Times New Roman" w:cs="Times New Roman"/>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r>
      <w:r w:rsidRPr="005D650B">
        <w:rPr>
          <w:rFonts w:ascii="Times New Roman" w:hAnsi="Times New Roman" w:cs="Times New Roman"/>
          <w:sz w:val="24"/>
          <w:szCs w:val="24"/>
        </w:rPr>
        <w:t/>
      </w:r>
      <w:r w:rsidR="00067FF8" w:rsidRPr="005D650B">
        <w:rPr>
          <w:rFonts w:ascii="Times New Roman" w:hAnsi="Times New Roman" w:cs="Times New Roman"/>
          <w:sz w:val="24"/>
          <w:szCs w:val="24"/>
        </w:rPr>
        <w:t xml:space="preserve"/>
      </w:r>
    </w:p>
    <w:p w:rsidR="00272C0B" w:rsidRPr="005D650B" w:rsidRDefault="00272C0B" w:rsidP="00945911">
      <w:pPr>
        <w:spacing w:after="0" w:line="276" w:lineRule="auto"/>
        <w:jc w:val="both"/>
        <w:rPr>
          <w:rFonts w:ascii="Times New Roman" w:hAnsi="Times New Roman" w:cs="Times New Roman"/>
          <w:b/>
          <w:i/>
          <w:sz w:val="24"/>
          <w:szCs w:val="24"/>
        </w:rPr>
      </w:pPr>
    </w:p>
    <w:p w:rsidR="00945911" w:rsidRPr="005D650B" w:rsidRDefault="00945911" w:rsidP="00945911">
      <w:pPr>
        <w:spacing w:after="0" w:line="276" w:lineRule="auto"/>
        <w:jc w:val="both"/>
        <w:rPr>
          <w:rFonts w:ascii="Times New Roman" w:hAnsi="Times New Roman" w:cs="Times New Roman"/>
          <w:b/>
          <w:i/>
          <w:sz w:val="24"/>
          <w:szCs w:val="24"/>
        </w:rPr>
      </w:pPr>
      <w:r w:rsidRPr="005D650B">
        <w:rPr>
          <w:rFonts w:ascii="Times New Roman" w:hAnsi="Times New Roman" w:cs="Times New Roman"/>
          <w:b/>
          <w:i/>
          <w:sz w:val="24"/>
          <w:szCs w:val="24"/>
        </w:rPr>
        <w:t>Abstract:</w:t>
      </w:r>
    </w:p>
    <w:p w:rsidR="00945911" w:rsidRPr="005D650B" w:rsidRDefault="00945911" w:rsidP="00945911">
      <w:pPr>
        <w:spacing w:after="0" w:line="240" w:lineRule="auto"/>
        <w:jc w:val="both"/>
        <w:rPr>
          <w:rFonts w:ascii="Times New Roman" w:hAnsi="Times New Roman" w:cs="Times New Roman"/>
          <w:i/>
          <w:sz w:val="24"/>
          <w:szCs w:val="24"/>
        </w:rPr>
      </w:pPr>
      <w:r w:rsidRPr="005D650B">
        <w:rPr>
          <w:rFonts w:ascii="Times New Roman" w:hAnsi="Times New Roman" w:cs="Times New Roman"/>
          <w:i/>
          <w:sz w:val="24"/>
          <w:szCs w:val="24"/>
        </w:rPr>
        <w:t>Nigeria’s persistent struggle to translate fiscal reforms and rising domestic revenue into meaningful improvements in sustainable development raised critical concerns about the effectiveness of its fiscal architecture and institutional capacity. This study therefore examined the dynamic relationship between fiscal reforms, domestic revenue mobilisation, and sustainable development in Nigeria from 1990 to 2024. Using annual time-series data from the World Bank, and the Central Bank of Nigeria (CBN), the study employed the Autoregressive Distributed Lag (ARDL) bounds testing approach. The ARDL bounds test confirmed a long-run relationship among the variables, validating the model. Short-run results showed that fiscal reform had a weak positive effect on sustainable development, while tax revenue, economic growth, and government expenditure were statistically insignificant. Inflation significantly undermined sustainable development, reflecting macroeconomic instability. The error correction term was negative and significant, indicating rapid adjustment to long-run equilibrium. In the long run, fiscal reform significantly enhanced sustainable development, whereas inflation exerted a significant negative effect. Tax revenue, economic growth, and government expenditure remained insignificant, indicating weak fiscal transmission and institutional inefficiencies. Furthermore, the interaction between fiscal reform and tax revenue was negative and significant in both periods, suggesting weak synergy due to coordination and capacity constraints. The study concluded that fiscal reform was the principal long-run driver of sustainable development in Nigeria, while inflation remained a major constraint. However, fiscal aggregates alone were insufficient without strong institutional quality. Accordingly, the study recommended improved fiscal coordination, strengthened tax administration, enhanced transparency in public financial management, and sustained inflation control to promote inclusive and sustainable development in Nigeria.</w:t>
      </w:r>
    </w:p>
    <w:p w:rsidR="00C743C0" w:rsidRPr="005D650B" w:rsidRDefault="00945911" w:rsidP="00C743C0">
      <w:pPr>
        <w:spacing w:after="0"/>
        <w:jc w:val="both"/>
        <w:rPr>
          <w:rFonts w:ascii="Times New Roman" w:hAnsi="Times New Roman" w:cs="Times New Roman"/>
          <w:sz w:val="24"/>
          <w:szCs w:val="24"/>
        </w:rPr>
      </w:pPr>
      <w:r w:rsidRPr="005D650B">
        <w:rPr>
          <w:rFonts w:ascii="Times New Roman" w:hAnsi="Times New Roman" w:cs="Times New Roman"/>
          <w:b/>
          <w:sz w:val="24"/>
          <w:szCs w:val="24"/>
        </w:rPr>
        <w:t>Keywords:</w:t>
      </w:r>
      <w:r w:rsidRPr="005D650B">
        <w:rPr>
          <w:rFonts w:ascii="Times New Roman" w:hAnsi="Times New Roman" w:cs="Times New Roman"/>
          <w:sz w:val="24"/>
          <w:szCs w:val="24"/>
        </w:rPr>
        <w:t xml:space="preserve"> ARDL bounds testing; Domestic revenue mobilisation; Fiscal reforms; Inflation; </w:t>
      </w:r>
      <w:r w:rsidR="00272C0B" w:rsidRPr="005D650B">
        <w:rPr>
          <w:rFonts w:ascii="Times New Roman" w:hAnsi="Times New Roman" w:cs="Times New Roman"/>
          <w:sz w:val="24"/>
          <w:szCs w:val="24"/>
        </w:rPr>
        <w:tab/>
      </w:r>
      <w:r w:rsidR="00272C0B" w:rsidRPr="005D650B">
        <w:rPr>
          <w:rFonts w:ascii="Times New Roman" w:hAnsi="Times New Roman" w:cs="Times New Roman"/>
          <w:sz w:val="24"/>
          <w:szCs w:val="24"/>
        </w:rPr>
        <w:tab/>
        <w:t xml:space="preserve">       </w:t>
      </w:r>
      <w:r w:rsidRPr="005D650B">
        <w:rPr>
          <w:rFonts w:ascii="Times New Roman" w:hAnsi="Times New Roman" w:cs="Times New Roman"/>
          <w:sz w:val="24"/>
          <w:szCs w:val="24"/>
        </w:rPr>
        <w:t>Sustainable development.</w:t>
      </w:r>
    </w:p>
    <w:p w:rsidR="00945911" w:rsidRPr="005D650B" w:rsidRDefault="00C743C0" w:rsidP="00C743C0">
      <w:pPr>
        <w:spacing w:after="0"/>
        <w:rPr>
          <w:rFonts w:ascii="Times New Roman" w:hAnsi="Times New Roman" w:cs="Times New Roman"/>
          <w:sz w:val="24"/>
          <w:szCs w:val="24"/>
        </w:rPr>
      </w:pPr>
      <w:r w:rsidRPr="005D650B">
        <w:rPr>
          <w:rFonts w:ascii="Times New Roman" w:hAnsi="Times New Roman" w:cs="Times New Roman"/>
          <w:b/>
          <w:sz w:val="24"/>
          <w:szCs w:val="24"/>
        </w:rPr>
        <w:t>JEL Classification:</w:t>
      </w:r>
      <w:r w:rsidRPr="005D650B">
        <w:rPr>
          <w:rFonts w:ascii="Times New Roman" w:hAnsi="Times New Roman" w:cs="Times New Roman"/>
          <w:sz w:val="24"/>
          <w:szCs w:val="24"/>
        </w:rPr>
        <w:t xml:space="preserve"> H20; H50; H60; O11; O23</w:t>
      </w:r>
    </w:p>
    <w:p w:rsidR="009A7EDC" w:rsidRPr="005D650B" w:rsidRDefault="009A7EDC" w:rsidP="009A7EDC">
      <w:pPr>
        <w:spacing w:after="0" w:line="360" w:lineRule="auto"/>
        <w:jc w:val="both"/>
        <w:rPr>
          <w:rFonts w:ascii="Times New Roman" w:hAnsi="Times New Roman" w:cs="Times New Roman"/>
          <w:b/>
          <w:sz w:val="24"/>
          <w:szCs w:val="24"/>
        </w:rPr>
      </w:pPr>
      <w:r w:rsidRPr="005D650B">
        <w:rPr>
          <w:rFonts w:ascii="Times New Roman" w:hAnsi="Times New Roman" w:cs="Times New Roman"/>
          <w:b/>
          <w:sz w:val="24"/>
          <w:szCs w:val="24"/>
        </w:rPr>
        <w:lastRenderedPageBreak/>
        <w:t>Introduction:</w:t>
      </w:r>
    </w:p>
    <w:p w:rsidR="009A7EDC" w:rsidRPr="005D650B" w:rsidRDefault="009A7EDC" w:rsidP="00C55BDF">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Sustainable development remains a central policy priority for many countries in Sub-Saharan Africa; however, its attainment continues to be constrained by persistent fiscal challenges. Governments across the region face significant difficulties in financing socio-economic development programmes, primarily due to limited fiscal capacity, narrow tax bases, and weak domestic revenue mobilisation systems. Despite notable improvements in macroeconomic management and institutional reforms over the past two decades, most countries in the region still struggle to generate sufficient public revenue to meet their development needs</w:t>
      </w:r>
      <w:r w:rsidR="00C55BDF" w:rsidRPr="005D650B">
        <w:rPr>
          <w:rFonts w:ascii="Times New Roman" w:hAnsi="Times New Roman" w:cs="Times New Roman"/>
          <w:sz w:val="24"/>
          <w:szCs w:val="24"/>
        </w:rPr>
        <w:t>, (Adegboye &amp; Tagem, 2023; Bah, 2024)</w:t>
      </w:r>
      <w:r w:rsidRPr="005D650B">
        <w:rPr>
          <w:rFonts w:ascii="Times New Roman" w:hAnsi="Times New Roman" w:cs="Times New Roman"/>
          <w:sz w:val="24"/>
          <w:szCs w:val="24"/>
        </w:rPr>
        <w:t>.</w:t>
      </w:r>
    </w:p>
    <w:p w:rsidR="009A7EDC" w:rsidRPr="005D650B" w:rsidRDefault="009A7EDC" w:rsidP="00B02D31">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Empirical evidence indicates that the average tax-to-GDP ratio in Sub-Saharan Africa remains substantially below the global average, standing at approximately 15 per cent compared to over 30 per cent in many advanced economies</w:t>
      </w:r>
      <w:r w:rsidR="00FE6C03" w:rsidRPr="005D650B">
        <w:rPr>
          <w:rFonts w:ascii="Times New Roman" w:hAnsi="Times New Roman" w:cs="Times New Roman"/>
          <w:sz w:val="24"/>
          <w:szCs w:val="24"/>
        </w:rPr>
        <w:t>,</w:t>
      </w:r>
      <w:r w:rsidR="00FE6C03" w:rsidRPr="005D650B">
        <w:rPr>
          <w:rFonts w:ascii="Times New Roman" w:hAnsi="Times New Roman" w:cs="Times New Roman"/>
        </w:rPr>
        <w:t xml:space="preserve"> (Bantyergu, 2025)</w:t>
      </w:r>
      <w:r w:rsidRPr="005D650B">
        <w:rPr>
          <w:rFonts w:ascii="Times New Roman" w:hAnsi="Times New Roman" w:cs="Times New Roman"/>
          <w:sz w:val="24"/>
          <w:szCs w:val="24"/>
        </w:rPr>
        <w:t>. This relatively low level of revenue mobilisation restricts governments’ ability to invest adequately in critical sectors such as infrastructure, healthcare, education, and environmental sustainability—all key pillars of sustainable development. Consequently, many countries continue to rely heavily on external borrowing and development assistance to finance public expenditure, thereby increasing fiscal vulnerabilities and constraining long-term development prospects</w:t>
      </w:r>
      <w:r w:rsidR="0005027F" w:rsidRPr="005D650B">
        <w:rPr>
          <w:rFonts w:ascii="Times New Roman" w:hAnsi="Times New Roman" w:cs="Times New Roman"/>
          <w:sz w:val="24"/>
          <w:szCs w:val="24"/>
        </w:rPr>
        <w:t>, (Edo &amp; Oigiangbe, 2024)</w:t>
      </w:r>
      <w:r w:rsidRPr="005D650B">
        <w:rPr>
          <w:rFonts w:ascii="Times New Roman" w:hAnsi="Times New Roman" w:cs="Times New Roman"/>
          <w:sz w:val="24"/>
          <w:szCs w:val="24"/>
        </w:rPr>
        <w:t>.</w:t>
      </w:r>
    </w:p>
    <w:p w:rsidR="009A7EDC" w:rsidRPr="005D650B" w:rsidRDefault="009A7EDC" w:rsidP="00B02D31">
      <w:pPr>
        <w:spacing w:after="0" w:line="360" w:lineRule="auto"/>
        <w:jc w:val="both"/>
        <w:rPr>
          <w:rFonts w:ascii="Times New Roman" w:hAnsi="Times New Roman" w:cs="Times New Roman"/>
        </w:rPr>
      </w:pPr>
      <w:r w:rsidRPr="005D650B">
        <w:rPr>
          <w:rFonts w:ascii="Times New Roman" w:hAnsi="Times New Roman" w:cs="Times New Roman"/>
          <w:sz w:val="24"/>
          <w:szCs w:val="24"/>
        </w:rPr>
        <w:t>In response to these challenges, governments across Sub-Saharan Africa have implemented various fiscal reforms aimed at strengthening domestic revenue systems and enhancing public financial management. Such reforms typically focus on broadening the tax base, improving tax administration and compliance, and promoting transparency and accountability in public expenditure</w:t>
      </w:r>
      <w:r w:rsidR="00A00A7B" w:rsidRPr="005D650B">
        <w:rPr>
          <w:rFonts w:ascii="Times New Roman" w:hAnsi="Times New Roman" w:cs="Times New Roman"/>
          <w:sz w:val="24"/>
          <w:szCs w:val="24"/>
        </w:rPr>
        <w:t>,</w:t>
      </w:r>
      <w:r w:rsidR="00A00A7B" w:rsidRPr="005D650B">
        <w:rPr>
          <w:rFonts w:ascii="Times New Roman" w:eastAsia="Times New Roman" w:hAnsi="Times New Roman" w:cs="Times New Roman"/>
          <w:bCs/>
          <w:sz w:val="24"/>
          <w:szCs w:val="24"/>
        </w:rPr>
        <w:t xml:space="preserve"> (Bah, 2024)</w:t>
      </w:r>
      <w:r w:rsidRPr="005D650B">
        <w:rPr>
          <w:rFonts w:ascii="Times New Roman" w:hAnsi="Times New Roman" w:cs="Times New Roman"/>
          <w:sz w:val="24"/>
          <w:szCs w:val="24"/>
        </w:rPr>
        <w:t>. International development institutions, including the World Bank and the International Monetary Fund, consistently emphasise the importance of domestic revenue mobilisation as a critical pathway for achieving the Sustainable Development Goals (SDGs), particularly in developing economies where public investment drives inclusive growth and long-term development</w:t>
      </w:r>
      <w:r w:rsidR="00A00A7B" w:rsidRPr="005D650B">
        <w:rPr>
          <w:rFonts w:ascii="Times New Roman" w:hAnsi="Times New Roman" w:cs="Times New Roman"/>
          <w:sz w:val="24"/>
          <w:szCs w:val="24"/>
        </w:rPr>
        <w:t>,</w:t>
      </w:r>
      <w:r w:rsidR="00A00A7B" w:rsidRPr="005D650B">
        <w:rPr>
          <w:rFonts w:ascii="Times New Roman" w:eastAsia="Times New Roman" w:hAnsi="Times New Roman" w:cs="Times New Roman"/>
          <w:bCs/>
          <w:sz w:val="24"/>
          <w:szCs w:val="24"/>
        </w:rPr>
        <w:t xml:space="preserve"> (Bati, 2025)</w:t>
      </w:r>
      <w:r w:rsidRPr="005D650B">
        <w:rPr>
          <w:rFonts w:ascii="Times New Roman" w:hAnsi="Times New Roman" w:cs="Times New Roman"/>
          <w:sz w:val="24"/>
          <w:szCs w:val="24"/>
        </w:rPr>
        <w:t>. When effectively executed, fiscal reforms can enhance revenue capacity, reduce dependence on external financing, and create the fiscal space necessary to support sustainable development initiatives.</w:t>
      </w:r>
    </w:p>
    <w:p w:rsidR="009A7EDC" w:rsidRPr="005D650B" w:rsidRDefault="009A7EDC" w:rsidP="009A7EDC">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 xml:space="preserve">The relevance of these reforms is further underscored by the Fiscal Exchange Theory, which posits that taxpayers are more likely to comply with tax obligations when they perceive that governments utilise public revenues efficiently to provide essential goods and services, such as infrastructure, </w:t>
      </w:r>
      <w:r w:rsidRPr="005D650B">
        <w:rPr>
          <w:rFonts w:ascii="Times New Roman" w:hAnsi="Times New Roman" w:cs="Times New Roman"/>
          <w:sz w:val="24"/>
          <w:szCs w:val="24"/>
        </w:rPr>
        <w:lastRenderedPageBreak/>
        <w:t>education, healthcare, and social welfare</w:t>
      </w:r>
      <w:r w:rsidR="00ED22CD" w:rsidRPr="005D650B">
        <w:rPr>
          <w:rFonts w:ascii="Times New Roman" w:hAnsi="Times New Roman" w:cs="Times New Roman"/>
          <w:sz w:val="24"/>
          <w:szCs w:val="24"/>
        </w:rPr>
        <w:t xml:space="preserve">, (Moore </w:t>
      </w:r>
      <w:r w:rsidR="00ED22CD" w:rsidRPr="005D650B">
        <w:rPr>
          <w:rFonts w:ascii="Times New Roman" w:hAnsi="Times New Roman" w:cs="Times New Roman"/>
          <w:i/>
          <w:sz w:val="24"/>
          <w:szCs w:val="24"/>
        </w:rPr>
        <w:t>et al</w:t>
      </w:r>
      <w:r w:rsidR="00ED22CD" w:rsidRPr="005D650B">
        <w:rPr>
          <w:rFonts w:ascii="Times New Roman" w:hAnsi="Times New Roman" w:cs="Times New Roman"/>
          <w:sz w:val="24"/>
          <w:szCs w:val="24"/>
        </w:rPr>
        <w:t xml:space="preserve">., </w:t>
      </w:r>
      <w:r w:rsidR="000E6006" w:rsidRPr="005D650B">
        <w:rPr>
          <w:rFonts w:ascii="Times New Roman" w:hAnsi="Times New Roman" w:cs="Times New Roman"/>
          <w:sz w:val="24"/>
          <w:szCs w:val="24"/>
        </w:rPr>
        <w:t>2023)</w:t>
      </w:r>
      <w:r w:rsidRPr="005D650B">
        <w:rPr>
          <w:rFonts w:ascii="Times New Roman" w:hAnsi="Times New Roman" w:cs="Times New Roman"/>
          <w:sz w:val="24"/>
          <w:szCs w:val="24"/>
        </w:rPr>
        <w:t>. In this framework, taxation is conceptualised as a reciprocal relationship between citizens and the state: individuals contribute resources in exchange for improved public service delivery and development outcomes. Accordingly, fiscal reforms that promote transparency, accountability, and efficiency in public financial management are likely to strengthen taxpayer confidence, encourage compliance, and ultimately enhanc</w:t>
      </w:r>
      <w:r w:rsidR="000E6006" w:rsidRPr="005D650B">
        <w:rPr>
          <w:rFonts w:ascii="Times New Roman" w:hAnsi="Times New Roman" w:cs="Times New Roman"/>
          <w:sz w:val="24"/>
          <w:szCs w:val="24"/>
        </w:rPr>
        <w:t xml:space="preserve">e domestic revenue mobilisation, Ali, </w:t>
      </w:r>
      <w:r w:rsidR="000E6006" w:rsidRPr="005D650B">
        <w:rPr>
          <w:rFonts w:ascii="Times New Roman" w:hAnsi="Times New Roman" w:cs="Times New Roman"/>
          <w:i/>
          <w:sz w:val="24"/>
          <w:szCs w:val="24"/>
        </w:rPr>
        <w:t>et al</w:t>
      </w:r>
      <w:r w:rsidR="000E6006" w:rsidRPr="005D650B">
        <w:rPr>
          <w:rFonts w:ascii="Times New Roman" w:hAnsi="Times New Roman" w:cs="Times New Roman"/>
          <w:sz w:val="24"/>
          <w:szCs w:val="24"/>
        </w:rPr>
        <w:t>., 2022).</w:t>
      </w:r>
    </w:p>
    <w:p w:rsidR="009A7EDC" w:rsidRPr="005D650B" w:rsidRDefault="009A7EDC" w:rsidP="009A7EDC">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Nigeria presents a particularly compelling case within this broader discourse. As the largest economy in Sub-Saharan Africa and one of the most populous countries globally, Nigeria possesses significant economic potential and abundant natural resources. Nevertheless, its fiscal system has historically been characterised by a heavy reliance on oil revenues, low tax compliance, and a relatively weak domestic revenue base. While the petroleum sector generates substantial income, fluctuations in global oil prices have repeatedly exposed the economy to fiscal instability and macroeconomic volatility</w:t>
      </w:r>
      <w:r w:rsidR="00DB13EF" w:rsidRPr="005D650B">
        <w:rPr>
          <w:rFonts w:ascii="Times New Roman" w:hAnsi="Times New Roman" w:cs="Times New Roman"/>
          <w:sz w:val="24"/>
          <w:szCs w:val="24"/>
        </w:rPr>
        <w:t>, (Ossai &amp; Musa, 2025; Adekunle, 2025)</w:t>
      </w:r>
      <w:r w:rsidRPr="005D650B">
        <w:rPr>
          <w:rFonts w:ascii="Times New Roman" w:hAnsi="Times New Roman" w:cs="Times New Roman"/>
          <w:sz w:val="24"/>
          <w:szCs w:val="24"/>
        </w:rPr>
        <w:t>. Moreover, Nigeria’s tax-to-GDP ratio remains among the lowest globally, estimated at approximately 10–11 per cent in recent years—well below both the regional average and the level required to meet the country’s expanding development needs. These structural weaknesses have constrained the government’s capacity to finance infrastructure, social services, and environmental sustainability programmes critical for long-term economic transformation</w:t>
      </w:r>
      <w:r w:rsidR="00B56B74" w:rsidRPr="005D650B">
        <w:rPr>
          <w:rFonts w:ascii="Times New Roman" w:hAnsi="Times New Roman" w:cs="Times New Roman"/>
          <w:sz w:val="24"/>
          <w:szCs w:val="24"/>
        </w:rPr>
        <w:t xml:space="preserve">, (Akinyomi, </w:t>
      </w:r>
      <w:r w:rsidR="00B56B74" w:rsidRPr="005D650B">
        <w:rPr>
          <w:rFonts w:ascii="Times New Roman" w:hAnsi="Times New Roman" w:cs="Times New Roman"/>
          <w:i/>
          <w:sz w:val="24"/>
          <w:szCs w:val="24"/>
        </w:rPr>
        <w:t>et al</w:t>
      </w:r>
      <w:r w:rsidR="00B56B74" w:rsidRPr="005D650B">
        <w:rPr>
          <w:rFonts w:ascii="Times New Roman" w:hAnsi="Times New Roman" w:cs="Times New Roman"/>
          <w:sz w:val="24"/>
          <w:szCs w:val="24"/>
        </w:rPr>
        <w:t>., 2024)</w:t>
      </w:r>
      <w:r w:rsidRPr="005D650B">
        <w:rPr>
          <w:rFonts w:ascii="Times New Roman" w:hAnsi="Times New Roman" w:cs="Times New Roman"/>
          <w:sz w:val="24"/>
          <w:szCs w:val="24"/>
        </w:rPr>
        <w:t>.</w:t>
      </w:r>
    </w:p>
    <w:p w:rsidR="009A7EDC" w:rsidRPr="005D650B" w:rsidRDefault="009A7EDC" w:rsidP="009A7EDC">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In recent years, policy focus has increasingly shifted toward reforming Nigeria’s fiscal framework to enhance domestic revenue generation and improve fiscal sustainability. Since assuming office in 2023, the administration of Bola Ahmed Tinubu has introduced a range of fiscal policy initiatives aimed at restructuring the country’s revenue system. These measures include modernising tax administration, expanding the digitalisation of revenue collection processes, and harmonising fiscal policies across federal, state, and local government levels. The establishment of a Presidential Committee on Fiscal Policy and Tax Reforms further underscores the government’s commitment to improving efficiency, strengthening compliance, and increasing non-oil revenue generation. From the perspective of Fiscal Exchange Theory, these reforms are expected to foster greater trust between the government and taxpayers by enhancing transparency and accountability in public resource management, thereby encouraging higher levels of tax compliance.</w:t>
      </w:r>
    </w:p>
    <w:p w:rsidR="009A7EDC" w:rsidRPr="005D650B" w:rsidRDefault="009A7EDC" w:rsidP="009A7EDC">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lastRenderedPageBreak/>
        <w:t>Despite these reform efforts, important questions remain regarding the extent to which fiscal reforms can effectively translate improved revenue mobilisation into tangible sustainable development outcomes in Nigeria. While such reforms are designed to strengthen government revenue capacity, their effectiveness ultimately depends on the efficiency of domestic revenue mobilisation mechanisms and the prudent allocation and utilisation of public resources. Furthermore, fiscal reforms may reinforce the effectiveness of domestic revenue mobilisation strategies, suggesting that their interaction could play a critical role in shaping development outcomes.</w:t>
      </w:r>
    </w:p>
    <w:p w:rsidR="009A7EDC" w:rsidRPr="005D650B" w:rsidRDefault="009A7EDC" w:rsidP="009A7EDC">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Against this backdrop, a key question emerges: how do fiscal reforms and domestic revenue mobilisation influence sustainable development in Nigeria, and to what extent does their interaction enhance overall development outcomes? Addressing this question is particularly important given ongoing fiscal policy reforms and the broader need to mobilise domestic resources to finance sustainable development priorities. By examining these relationships, this study contributes to the growing body of literature on fiscal policy, domestic resource mobilisation, and sustainable development in developing economies. It also provides empirical insights that can assist policymakers in designing more effective fiscal reforms capable of strengthening revenue mobilisation and promoting sustainable development in Nigeria.</w:t>
      </w:r>
    </w:p>
    <w:p w:rsidR="00A6452E" w:rsidRPr="005D650B" w:rsidRDefault="00DF2D6B" w:rsidP="00E37B1A">
      <w:pPr>
        <w:tabs>
          <w:tab w:val="left" w:pos="5560"/>
        </w:tabs>
        <w:spacing w:after="0" w:line="360" w:lineRule="auto"/>
        <w:jc w:val="both"/>
        <w:rPr>
          <w:rFonts w:ascii="Times New Roman" w:hAnsi="Times New Roman" w:cs="Times New Roman"/>
          <w:b/>
          <w:bCs/>
          <w:sz w:val="24"/>
          <w:szCs w:val="24"/>
        </w:rPr>
      </w:pPr>
      <w:r w:rsidRPr="005D650B">
        <w:rPr>
          <w:rFonts w:ascii="Times New Roman" w:hAnsi="Times New Roman" w:cs="Times New Roman"/>
          <w:b/>
          <w:bCs/>
          <w:sz w:val="24"/>
          <w:szCs w:val="24"/>
        </w:rPr>
        <w:t>Statement of the Research Problem</w:t>
      </w:r>
      <w:r w:rsidR="00E37B1A" w:rsidRPr="005D650B">
        <w:rPr>
          <w:rFonts w:ascii="Times New Roman" w:hAnsi="Times New Roman" w:cs="Times New Roman"/>
          <w:b/>
          <w:bCs/>
          <w:sz w:val="24"/>
          <w:szCs w:val="24"/>
        </w:rPr>
        <w:tab/>
      </w:r>
    </w:p>
    <w:p w:rsidR="00EA4E56" w:rsidRPr="005D650B" w:rsidRDefault="00F620F3" w:rsidP="00EA4E56">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ab/>
      </w:r>
      <w:r w:rsidR="00EA4E56" w:rsidRPr="005D650B">
        <w:rPr>
          <w:rFonts w:ascii="Times New Roman" w:hAnsi="Times New Roman" w:cs="Times New Roman"/>
          <w:sz w:val="24"/>
          <w:szCs w:val="24"/>
        </w:rPr>
        <w:t>Despite the increasing recognition of fiscal reforms and domestic revenue mobilisation as essential instruments for financing development in developing economies, many countries continue to face substantial challenges in translating these policy efforts into tangible and sustainable development outcomes</w:t>
      </w:r>
      <w:r w:rsidR="00FC0F3C" w:rsidRPr="005D650B">
        <w:rPr>
          <w:rFonts w:ascii="Times New Roman" w:hAnsi="Times New Roman" w:cs="Times New Roman"/>
          <w:sz w:val="24"/>
          <w:szCs w:val="24"/>
        </w:rPr>
        <w:t>, (Gaspar &amp; Wingender, 2023)</w:t>
      </w:r>
      <w:r w:rsidR="00EA4E56" w:rsidRPr="005D650B">
        <w:rPr>
          <w:rFonts w:ascii="Times New Roman" w:hAnsi="Times New Roman" w:cs="Times New Roman"/>
          <w:sz w:val="24"/>
          <w:szCs w:val="24"/>
        </w:rPr>
        <w:t>. Although fiscal reforms are generally designed to enhance tax system efficiency, improve transparency, and strengthen public financial management, their actual impact on sustainable development remains widely debated in the development finance literature. In many cases, reforms aimed at improving revenue generation have not been matched by corresponding improvements in public service delivery, infrastructure development, or broader socio-economic welfare. This persistent disconnect therefore raises critical questions about the extent to which fiscal reforms can effectively drive long-term and inclusive development.</w:t>
      </w:r>
    </w:p>
    <w:p w:rsidR="00EA4E56" w:rsidRPr="005D650B" w:rsidRDefault="00EA4E56" w:rsidP="00EA4E56">
      <w:pPr>
        <w:spacing w:after="0" w:line="360" w:lineRule="auto"/>
        <w:jc w:val="both"/>
        <w:rPr>
          <w:rFonts w:ascii="Times New Roman" w:hAnsi="Times New Roman" w:cs="Times New Roman"/>
          <w:sz w:val="24"/>
          <w:szCs w:val="24"/>
          <w:highlight w:val="cyan"/>
        </w:rPr>
      </w:pPr>
      <w:r w:rsidRPr="005D650B">
        <w:rPr>
          <w:rFonts w:ascii="Times New Roman" w:hAnsi="Times New Roman" w:cs="Times New Roman"/>
          <w:sz w:val="24"/>
          <w:szCs w:val="24"/>
        </w:rPr>
        <w:t xml:space="preserve">Moreover, within the Nigerian context, a significant portion of the extant literature tends to treat tax reforms and domestic revenue mobilisation as separate policy instruments, rather than as </w:t>
      </w:r>
      <w:r w:rsidRPr="005D650B">
        <w:rPr>
          <w:rFonts w:ascii="Times New Roman" w:hAnsi="Times New Roman" w:cs="Times New Roman"/>
          <w:sz w:val="24"/>
          <w:szCs w:val="24"/>
        </w:rPr>
        <w:lastRenderedPageBreak/>
        <w:t xml:space="preserve">interconnected components of a unified fiscal framework. For instance, studies such as Adekanmbi </w:t>
      </w:r>
      <w:r w:rsidRPr="005D650B">
        <w:rPr>
          <w:rFonts w:ascii="Times New Roman" w:hAnsi="Times New Roman" w:cs="Times New Roman"/>
          <w:i/>
          <w:sz w:val="24"/>
          <w:szCs w:val="24"/>
        </w:rPr>
        <w:t>et al</w:t>
      </w:r>
      <w:r w:rsidRPr="005D650B">
        <w:rPr>
          <w:rFonts w:ascii="Times New Roman" w:hAnsi="Times New Roman" w:cs="Times New Roman"/>
          <w:sz w:val="24"/>
          <w:szCs w:val="24"/>
        </w:rPr>
        <w:t xml:space="preserve">. (2022), Ogunbiyi </w:t>
      </w:r>
      <w:r w:rsidRPr="005D650B">
        <w:rPr>
          <w:rFonts w:ascii="Times New Roman" w:hAnsi="Times New Roman" w:cs="Times New Roman"/>
          <w:i/>
          <w:sz w:val="24"/>
          <w:szCs w:val="24"/>
        </w:rPr>
        <w:t>et al</w:t>
      </w:r>
      <w:r w:rsidRPr="005D650B">
        <w:rPr>
          <w:rFonts w:ascii="Times New Roman" w:hAnsi="Times New Roman" w:cs="Times New Roman"/>
          <w:sz w:val="24"/>
          <w:szCs w:val="24"/>
        </w:rPr>
        <w:t xml:space="preserve">. (2025), Akinwale and Sule (2024), Balogun </w:t>
      </w:r>
      <w:r w:rsidRPr="005D650B">
        <w:rPr>
          <w:rFonts w:ascii="Times New Roman" w:hAnsi="Times New Roman" w:cs="Times New Roman"/>
          <w:i/>
          <w:sz w:val="24"/>
          <w:szCs w:val="24"/>
        </w:rPr>
        <w:t>et al</w:t>
      </w:r>
      <w:r w:rsidRPr="005D650B">
        <w:rPr>
          <w:rFonts w:ascii="Times New Roman" w:hAnsi="Times New Roman" w:cs="Times New Roman"/>
          <w:sz w:val="24"/>
          <w:szCs w:val="24"/>
        </w:rPr>
        <w:t xml:space="preserve">. (2025), </w:t>
      </w:r>
      <w:r w:rsidR="00315F00" w:rsidRPr="005D650B">
        <w:rPr>
          <w:rFonts w:ascii="Times New Roman" w:eastAsia="Times New Roman" w:hAnsi="Times New Roman" w:cs="Times New Roman"/>
          <w:sz w:val="24"/>
          <w:szCs w:val="24"/>
        </w:rPr>
        <w:t>Ibrahim and  Suleiman (2023),</w:t>
      </w:r>
      <w:r w:rsidR="00315F00" w:rsidRPr="005D650B">
        <w:rPr>
          <w:rFonts w:ascii="Times New Roman" w:hAnsi="Times New Roman" w:cs="Times New Roman"/>
          <w:sz w:val="24"/>
          <w:szCs w:val="24"/>
        </w:rPr>
        <w:t xml:space="preserve"> </w:t>
      </w:r>
      <w:r w:rsidRPr="005D650B">
        <w:rPr>
          <w:rFonts w:ascii="Times New Roman" w:hAnsi="Times New Roman" w:cs="Times New Roman"/>
          <w:sz w:val="24"/>
          <w:szCs w:val="24"/>
        </w:rPr>
        <w:t xml:space="preserve">Nwachukwu </w:t>
      </w:r>
      <w:r w:rsidRPr="005D650B">
        <w:rPr>
          <w:rFonts w:ascii="Times New Roman" w:hAnsi="Times New Roman" w:cs="Times New Roman"/>
          <w:i/>
          <w:sz w:val="24"/>
          <w:szCs w:val="24"/>
        </w:rPr>
        <w:t>et al.</w:t>
      </w:r>
      <w:r w:rsidRPr="005D650B">
        <w:rPr>
          <w:rFonts w:ascii="Times New Roman" w:hAnsi="Times New Roman" w:cs="Times New Roman"/>
          <w:sz w:val="24"/>
          <w:szCs w:val="24"/>
        </w:rPr>
        <w:t xml:space="preserve"> (2024), and Omoruyi (2025) primarily examine the relationship between tax revenue mobilisation and economic development. Similarly, Ibrahim </w:t>
      </w:r>
      <w:r w:rsidR="00C51A84" w:rsidRPr="005D650B">
        <w:rPr>
          <w:rFonts w:ascii="Times New Roman" w:hAnsi="Times New Roman" w:cs="Times New Roman"/>
          <w:i/>
          <w:sz w:val="24"/>
          <w:szCs w:val="24"/>
        </w:rPr>
        <w:t xml:space="preserve">and </w:t>
      </w:r>
      <w:r w:rsidR="00C51A84" w:rsidRPr="005D650B">
        <w:rPr>
          <w:rFonts w:ascii="Times New Roman" w:eastAsia="Times New Roman" w:hAnsi="Times New Roman" w:cs="Times New Roman"/>
          <w:sz w:val="24"/>
          <w:szCs w:val="24"/>
        </w:rPr>
        <w:t xml:space="preserve">Suleiman </w:t>
      </w:r>
      <w:r w:rsidR="00C51A84" w:rsidRPr="005D650B">
        <w:rPr>
          <w:rFonts w:ascii="Times New Roman" w:hAnsi="Times New Roman" w:cs="Times New Roman"/>
          <w:sz w:val="24"/>
          <w:szCs w:val="24"/>
        </w:rPr>
        <w:t>(2023</w:t>
      </w:r>
      <w:r w:rsidRPr="005D650B">
        <w:rPr>
          <w:rFonts w:ascii="Times New Roman" w:hAnsi="Times New Roman" w:cs="Times New Roman"/>
          <w:sz w:val="24"/>
          <w:szCs w:val="24"/>
        </w:rPr>
        <w:t xml:space="preserve">), Nwankwo and Ojo (2023), Lawal (2025), Adegboye and Salami (2024), and </w:t>
      </w:r>
      <w:r w:rsidR="00AC5E6B" w:rsidRPr="005D650B">
        <w:rPr>
          <w:rFonts w:ascii="Times New Roman" w:hAnsi="Times New Roman" w:cs="Times New Roman"/>
          <w:sz w:val="24"/>
          <w:szCs w:val="24"/>
        </w:rPr>
        <w:t xml:space="preserve">Bello-Olatunji </w:t>
      </w:r>
      <w:r w:rsidR="00AC5E6B" w:rsidRPr="005D650B">
        <w:rPr>
          <w:rFonts w:ascii="Times New Roman" w:hAnsi="Times New Roman" w:cs="Times New Roman"/>
          <w:i/>
          <w:sz w:val="24"/>
          <w:szCs w:val="24"/>
        </w:rPr>
        <w:t>et al</w:t>
      </w:r>
      <w:r w:rsidR="00AC5E6B" w:rsidRPr="005D650B">
        <w:rPr>
          <w:rFonts w:ascii="Times New Roman" w:hAnsi="Times New Roman" w:cs="Times New Roman"/>
          <w:sz w:val="24"/>
          <w:szCs w:val="24"/>
        </w:rPr>
        <w:t xml:space="preserve">. </w:t>
      </w:r>
      <w:r w:rsidRPr="005D650B">
        <w:rPr>
          <w:rFonts w:ascii="Times New Roman" w:hAnsi="Times New Roman" w:cs="Times New Roman"/>
          <w:sz w:val="24"/>
          <w:szCs w:val="24"/>
        </w:rPr>
        <w:t>(2025) focus on how revenue mobilisation efficiency influences economic development outcomes. However, a critical review of these empirical contributions reveals a common analytical limitation: both strands of the literature are largely grounded in the economic growth paradigm, typically measured as the expansion of a country’s output of goods and services over time. While this growth-oriented perspective offers useful insights into short-term macroeconomic performance, it implicitly assumes that output expansion alone is sufficient to capture development. As a result, it often overlooks the structural, environmental, and social constraints that may accompany growth-led strategies, thereby exposing economies to long-term vulnerabilities.</w:t>
      </w:r>
    </w:p>
    <w:p w:rsidR="00EA4E56" w:rsidRPr="005D650B" w:rsidRDefault="00EA4E56" w:rsidP="00EA4E56">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 xml:space="preserve">In contrast, the sustainable development framework, as advanced by the United Nations, offers a more comprehensive and forward-looking perspective. It goes beyond output expansion by integrating economic growth with social inclusion and environmental sustainability. Thus, while growth-oriented economies may achieve short-term gains, they risk long-term imbalances, whereas economies that prioritise sustainable development are more likely to achieve balanced and enduring prosperity. Nevertheless, achieving sustainable development requires more than increasing government revenue; it demands a strong institutional framework in which fiscal reforms actively enhance the efficiency, credibility, and effectiveness of domestic revenue mobilisation systems. Without such synergy, increases in revenue collection may not necessarily translate into meaningful development outcomes. Consequently, the extent to which fiscal reforms strengthen domestic revenue mobilisation and ultimately promote sustainable development remains insufficiently explored, particularly in developing economies where fiscal institutions are still evolving. This issue is particularly relevant in Nigeria, given its ongoing efforts to reform fiscal structures and strengthen domestic resource mobilisation. Although several policy initiatives have been implemented to modernise tax administration, improve compliance, and diversify revenue sources, concerns remain regarding the effectiveness of these reforms in enhancing the government’s capacity to mobilise domestic resources for sustainable development. Furthermore, </w:t>
      </w:r>
      <w:r w:rsidRPr="005D650B">
        <w:rPr>
          <w:rFonts w:ascii="Times New Roman" w:hAnsi="Times New Roman" w:cs="Times New Roman"/>
          <w:sz w:val="24"/>
          <w:szCs w:val="24"/>
        </w:rPr>
        <w:lastRenderedPageBreak/>
        <w:t>limited empirical studies have examined the interactive relationship between fiscal reforms and domestic revenue mobilisation in shaping development outcomes in Nigeria, thereby creating a clear gap in the literature.</w:t>
      </w:r>
    </w:p>
    <w:p w:rsidR="00EA4E56" w:rsidRPr="005D650B" w:rsidRDefault="00EA4E56" w:rsidP="00EA4E56">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Therefore, an important knowledge gap exists in determining whether fiscal reforms merely increase government revenue or whether they also establish the institutional conditions necessary for transforming domestic resources into sustainable development outcomes. Addressing this gap is crucial for assessing the effectiveness of fiscal reforms as a development strategy and for identifying policy measures capable of strengthening revenue mobilisation for long-term development. Against this backdrop, this study investigates the relationship between fiscal reforms, domestic revenue mobilisation, and sustainable development in Nigeria, with particular emphasis on how the interaction between fiscal reforms and domestic revenue mobilisation influences sustainable development outcomes.</w:t>
      </w:r>
    </w:p>
    <w:p w:rsidR="00C73782" w:rsidRPr="005D650B" w:rsidRDefault="00C73782" w:rsidP="00EA4E56">
      <w:pPr>
        <w:spacing w:after="0" w:line="360" w:lineRule="auto"/>
        <w:jc w:val="both"/>
        <w:rPr>
          <w:rFonts w:ascii="Times New Roman" w:hAnsi="Times New Roman" w:cs="Times New Roman"/>
          <w:b/>
          <w:sz w:val="24"/>
          <w:szCs w:val="24"/>
        </w:rPr>
      </w:pPr>
      <w:r w:rsidRPr="005D650B">
        <w:rPr>
          <w:rFonts w:ascii="Times New Roman" w:hAnsi="Times New Roman" w:cs="Times New Roman"/>
          <w:b/>
          <w:sz w:val="24"/>
          <w:szCs w:val="24"/>
        </w:rPr>
        <w:t>Research Questions</w:t>
      </w:r>
    </w:p>
    <w:p w:rsidR="00C73782" w:rsidRPr="005D650B" w:rsidRDefault="00C73782" w:rsidP="00C73782">
      <w:pPr>
        <w:pStyle w:val="ListParagraph"/>
        <w:numPr>
          <w:ilvl w:val="0"/>
          <w:numId w:val="6"/>
        </w:numPr>
        <w:spacing w:after="0"/>
        <w:jc w:val="both"/>
        <w:rPr>
          <w:rFonts w:ascii="Times New Roman" w:hAnsi="Times New Roman" w:cs="Times New Roman"/>
          <w:sz w:val="24"/>
          <w:szCs w:val="24"/>
        </w:rPr>
      </w:pPr>
      <w:r w:rsidRPr="005D650B">
        <w:rPr>
          <w:rFonts w:ascii="Times New Roman" w:hAnsi="Times New Roman" w:cs="Times New Roman"/>
          <w:sz w:val="24"/>
          <w:szCs w:val="24"/>
        </w:rPr>
        <w:t>How do fiscal reforms and domestic revenue mobilisation influence sustainable development in Nigeria?</w:t>
      </w:r>
    </w:p>
    <w:p w:rsidR="00C73782" w:rsidRPr="005D650B" w:rsidRDefault="00C73782" w:rsidP="00C73782">
      <w:pPr>
        <w:pStyle w:val="ListParagraph"/>
        <w:numPr>
          <w:ilvl w:val="0"/>
          <w:numId w:val="6"/>
        </w:numPr>
        <w:spacing w:after="0"/>
        <w:jc w:val="both"/>
        <w:rPr>
          <w:rFonts w:ascii="Times New Roman" w:hAnsi="Times New Roman" w:cs="Times New Roman"/>
          <w:sz w:val="24"/>
          <w:szCs w:val="24"/>
        </w:rPr>
      </w:pPr>
      <w:r w:rsidRPr="005D650B">
        <w:rPr>
          <w:rFonts w:ascii="Times New Roman" w:hAnsi="Times New Roman" w:cs="Times New Roman"/>
          <w:sz w:val="24"/>
          <w:szCs w:val="24"/>
        </w:rPr>
        <w:t>What is the interactive effect of fiscal reforms and domestic revenue mobilisation on sustainable development in Nigeria?</w:t>
      </w:r>
    </w:p>
    <w:p w:rsidR="00C73782" w:rsidRPr="005D650B" w:rsidRDefault="00C73782" w:rsidP="00C73782">
      <w:pPr>
        <w:spacing w:after="0"/>
        <w:jc w:val="both"/>
        <w:rPr>
          <w:rFonts w:ascii="Times New Roman" w:hAnsi="Times New Roman" w:cs="Times New Roman"/>
          <w:b/>
          <w:sz w:val="24"/>
          <w:szCs w:val="24"/>
        </w:rPr>
      </w:pPr>
      <w:r w:rsidRPr="005D650B">
        <w:rPr>
          <w:rFonts w:ascii="Times New Roman" w:hAnsi="Times New Roman" w:cs="Times New Roman"/>
          <w:b/>
          <w:sz w:val="24"/>
          <w:szCs w:val="24"/>
        </w:rPr>
        <w:t>Research Objectives</w:t>
      </w:r>
    </w:p>
    <w:p w:rsidR="00C73782" w:rsidRPr="005D650B" w:rsidRDefault="00C73782" w:rsidP="00C73782">
      <w:pPr>
        <w:pStyle w:val="ListParagraph"/>
        <w:numPr>
          <w:ilvl w:val="0"/>
          <w:numId w:val="7"/>
        </w:numPr>
        <w:spacing w:after="0"/>
        <w:jc w:val="both"/>
        <w:rPr>
          <w:rFonts w:ascii="Times New Roman" w:hAnsi="Times New Roman" w:cs="Times New Roman"/>
          <w:sz w:val="24"/>
          <w:szCs w:val="24"/>
        </w:rPr>
      </w:pPr>
      <w:r w:rsidRPr="005D650B">
        <w:rPr>
          <w:rFonts w:ascii="Times New Roman" w:hAnsi="Times New Roman" w:cs="Times New Roman"/>
          <w:sz w:val="24"/>
          <w:szCs w:val="24"/>
        </w:rPr>
        <w:t>To examine the effect of fiscal reforms and domestic revenue mobilisation on sustainable development in Nigeria.</w:t>
      </w:r>
    </w:p>
    <w:p w:rsidR="00C73782" w:rsidRPr="005D650B" w:rsidRDefault="00C73782" w:rsidP="00C73782">
      <w:pPr>
        <w:pStyle w:val="ListParagraph"/>
        <w:numPr>
          <w:ilvl w:val="0"/>
          <w:numId w:val="7"/>
        </w:numPr>
        <w:spacing w:after="0"/>
        <w:jc w:val="both"/>
        <w:rPr>
          <w:rFonts w:ascii="Times New Roman" w:hAnsi="Times New Roman" w:cs="Times New Roman"/>
          <w:sz w:val="24"/>
          <w:szCs w:val="24"/>
        </w:rPr>
      </w:pPr>
      <w:r w:rsidRPr="005D650B">
        <w:rPr>
          <w:rFonts w:ascii="Times New Roman" w:hAnsi="Times New Roman" w:cs="Times New Roman"/>
          <w:sz w:val="24"/>
          <w:szCs w:val="24"/>
        </w:rPr>
        <w:t>To investigate the interactive effect of fiscal reforms and domestic revenue mobilisation on sustainable development in Nigeria.</w:t>
      </w:r>
    </w:p>
    <w:p w:rsidR="00DF2D6B" w:rsidRPr="005D650B" w:rsidRDefault="00DF2D6B" w:rsidP="00DF2D6B">
      <w:pPr>
        <w:spacing w:after="0" w:line="360" w:lineRule="auto"/>
        <w:jc w:val="both"/>
        <w:rPr>
          <w:rFonts w:ascii="Times New Roman" w:hAnsi="Times New Roman" w:cs="Times New Roman"/>
          <w:sz w:val="24"/>
          <w:szCs w:val="24"/>
        </w:rPr>
      </w:pPr>
      <w:r w:rsidRPr="005D650B">
        <w:rPr>
          <w:rFonts w:ascii="Times New Roman" w:hAnsi="Times New Roman" w:cs="Times New Roman"/>
          <w:b/>
          <w:bCs/>
          <w:sz w:val="24"/>
          <w:szCs w:val="24"/>
        </w:rPr>
        <w:t>Literature Review</w:t>
      </w:r>
    </w:p>
    <w:p w:rsidR="00DF2D6B" w:rsidRPr="005D650B" w:rsidRDefault="00DF2D6B" w:rsidP="00DF2D6B">
      <w:pPr>
        <w:spacing w:after="0" w:line="360" w:lineRule="auto"/>
        <w:jc w:val="both"/>
        <w:rPr>
          <w:rFonts w:ascii="Times New Roman" w:hAnsi="Times New Roman" w:cs="Times New Roman"/>
          <w:b/>
          <w:bCs/>
          <w:sz w:val="24"/>
          <w:szCs w:val="24"/>
        </w:rPr>
      </w:pPr>
      <w:r w:rsidRPr="005D650B">
        <w:rPr>
          <w:rFonts w:ascii="Times New Roman" w:hAnsi="Times New Roman" w:cs="Times New Roman"/>
          <w:b/>
          <w:bCs/>
          <w:sz w:val="24"/>
          <w:szCs w:val="24"/>
        </w:rPr>
        <w:t>Theoretical Review</w:t>
      </w:r>
    </w:p>
    <w:p w:rsidR="00FB23BF" w:rsidRPr="005D650B" w:rsidRDefault="00FB23BF" w:rsidP="00FB23BF">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 xml:space="preserve">The Fiscal Exchange Theory provides a robust framework for explaining the relationship between fiscal reforms, domestic revenue mobilisation, and sustainable development. The theory posits that taxpayers are more likely to comply with tax obligations when government revenues are efficiently utilised to provide essential public goods and services, including infrastructure, education, healthcare, and social protection. Accordingly, taxation is viewed as a reciprocal exchange between citizens and the state, whereby financial contributions are made with the expectation of improved welfare and development outcomes. Within this framework, fiscal reforms enhance the efficiency, transparency, and accountability of revenue systems, thereby strengthening domestic revenue mobilisation and improving the government's capacity to finance productive investments and social programmes that support sustainable development. Consequently, the interaction </w:t>
      </w:r>
      <w:r w:rsidRPr="005D650B">
        <w:rPr>
          <w:rFonts w:ascii="Times New Roman" w:hAnsi="Times New Roman" w:cs="Times New Roman"/>
          <w:sz w:val="24"/>
          <w:szCs w:val="24"/>
        </w:rPr>
        <w:lastRenderedPageBreak/>
        <w:t>between fiscal reforms and domestic revenue mobilisation is critical in determining the extent to which public resources are effectively transformed into long-term development outcomes. This relationship is particularly important in developing economies such as Nigeria, where the effectiveness of fiscal policy depends not only on revenue generation but also on the efficient, transparent, and equitable utilisation of public resources to promote inclusive and sustainable growth.</w:t>
      </w:r>
    </w:p>
    <w:p w:rsidR="00A6452E" w:rsidRPr="005D650B" w:rsidRDefault="0029106E" w:rsidP="00A76BC5">
      <w:pPr>
        <w:spacing w:after="0"/>
        <w:jc w:val="both"/>
        <w:rPr>
          <w:rFonts w:ascii="Times New Roman" w:hAnsi="Times New Roman" w:cs="Times New Roman"/>
          <w:b/>
          <w:bCs/>
          <w:sz w:val="24"/>
          <w:szCs w:val="24"/>
        </w:rPr>
      </w:pPr>
      <w:r w:rsidRPr="005D650B">
        <w:rPr>
          <w:rFonts w:ascii="Times New Roman" w:hAnsi="Times New Roman" w:cs="Times New Roman"/>
          <w:b/>
          <w:bCs/>
          <w:sz w:val="24"/>
          <w:szCs w:val="24"/>
        </w:rPr>
        <w:t>Empirical Literature</w:t>
      </w:r>
    </w:p>
    <w:p w:rsidR="003E5BEA" w:rsidRPr="005D650B" w:rsidRDefault="003E5BEA" w:rsidP="003E5BEA">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Several empirical studies have examined the relationship between fiscal reforms, domestic revenue mobilisation, and sustainable development, revealing both regional variations and shared policy implications across different economic contexts.</w:t>
      </w:r>
      <w:r w:rsidR="00C97FC2" w:rsidRPr="005D650B">
        <w:rPr>
          <w:rFonts w:ascii="Times New Roman" w:hAnsi="Times New Roman" w:cs="Times New Roman"/>
          <w:sz w:val="24"/>
          <w:szCs w:val="24"/>
        </w:rPr>
        <w:t xml:space="preserve"> </w:t>
      </w:r>
      <w:r w:rsidRPr="005D650B">
        <w:rPr>
          <w:rFonts w:ascii="Times New Roman" w:hAnsi="Times New Roman" w:cs="Times New Roman"/>
          <w:sz w:val="24"/>
          <w:szCs w:val="24"/>
        </w:rPr>
        <w:t>In the European context, Balasoiu, Chifu, and Oancea (2023) investigated the impact of direct taxation structures on economic growth across 27 European Union (EU) countries. Using annual panel data from 2000 to 2022 and employing fixed effects alongside panel least squares regression techniques, the study examined how various tax components—including personal income tax, corporate tax, value-added tax (VAT), and social contributions—affect economic growth as a proxy for sustainable development. The findings revealed that total tax revenue positively supported growth, particularly through personal and corporate income taxes. However, social security contributions exerted a negative effect, thereby suggesting inefficiencies in fiscal allocation and spending. Consequently, the authors concluded that well-balanced tax structures that align revenue mobilisation with growth objectives are essential for advancing sustainable development in EU economies.</w:t>
      </w:r>
    </w:p>
    <w:p w:rsidR="003E5BEA" w:rsidRPr="005D650B" w:rsidRDefault="003E5BEA" w:rsidP="003E5BEA">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Similarly, Stoilova (2024) provided further empirical evidence on the relationship between tax structure and economic growth in EU-27 countries, using panel least squares regression over the period 2000–2022. The study found that total tax revenue, as well as direct taxes such as corporate, property, and personal income taxes, positively influenced economic growth. Nevertheless, social contributions were again observed to have a negative effect, thereby reinforcing the need for fiscal reforms that enhance the developmental efficiency of tax systems.</w:t>
      </w:r>
    </w:p>
    <w:p w:rsidR="003E5BEA" w:rsidRPr="005D650B" w:rsidRDefault="003E5BEA" w:rsidP="003E5BEA">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 xml:space="preserve">In the same vein, Krasniqi, Gara, and Abazi-Alili (2026) examined the effects of fiscal policy on financial development in Southeast European countries using panel data from 2005 to 2023. By employing fixed effects, random effects, and system GMM estimators, the study assessed the influence of tax revenue, fiscal balance, and government effectiveness on financial development. The results showed that both tax revenue and fiscal governance significantly strengthened financial </w:t>
      </w:r>
      <w:r w:rsidRPr="005D650B">
        <w:rPr>
          <w:rFonts w:ascii="Times New Roman" w:hAnsi="Times New Roman" w:cs="Times New Roman"/>
          <w:sz w:val="24"/>
          <w:szCs w:val="24"/>
        </w:rPr>
        <w:lastRenderedPageBreak/>
        <w:t xml:space="preserve">development, which in turn supported broader sustainable economic outcomes. Accordingly, the authors emphasised that effective fiscal reforms remain critical for enhancing financial stability and long-term sustainability. Collectively, these European studies demonstrate that when fiscal systems are well-structured and efficiently managed, they significantly contribute to sustainable economic growth. In contrast, Bello-Olatunji </w:t>
      </w:r>
      <w:r w:rsidRPr="005D650B">
        <w:rPr>
          <w:rFonts w:ascii="Times New Roman" w:hAnsi="Times New Roman" w:cs="Times New Roman"/>
          <w:i/>
          <w:sz w:val="24"/>
          <w:szCs w:val="24"/>
        </w:rPr>
        <w:t>et al</w:t>
      </w:r>
      <w:r w:rsidRPr="005D650B">
        <w:rPr>
          <w:rFonts w:ascii="Times New Roman" w:hAnsi="Times New Roman" w:cs="Times New Roman"/>
          <w:sz w:val="24"/>
          <w:szCs w:val="24"/>
        </w:rPr>
        <w:t>. (2025) examined sustainable financing for Nigeria’s development from a broader perspective, focusing on domestic resource mobilisation through taxes, investment inflows, and other financing sources. Unlike their broad approach, the present study narrows its focus specifically to fiscal reforms and domestic revenue mobilisation, and how these targeted policy instruments influence sustainable development outcomes in Nigeria.</w:t>
      </w:r>
    </w:p>
    <w:p w:rsidR="003E5BEA" w:rsidRPr="005D650B" w:rsidRDefault="003E5BEA" w:rsidP="003E5BEA">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Turning to the African context, Ackom, Ocansey, and Asamoah (2025) analysed tax compliance and informal sector dynamics in Sub-Saharan Africa using data from 2010 to 2022. Applying the Generalised Method of Moments (GMM), the study found that large informal sectors constrained domestic revenue mobilisation, while improved tax compliance significantly enhanced revenue collection and economic growth. Consequently, the authors stressed the importance of strengthening tax administration systems and formalisation policies.</w:t>
      </w:r>
    </w:p>
    <w:p w:rsidR="003E5BEA" w:rsidRPr="005D650B" w:rsidRDefault="003E5BEA" w:rsidP="003E5BEA">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Similarly, Boukdim and Maftei (2025) examined domestic revenue mobilisation within the West African Economic and Monetary Union (WAEMU) using DEA and stochastic frontier models. Their findings revealed that improved tax policy design, stronger enforcement mechanisms, and regional coordination could significantly increase tax-to-GDP ratios, thereby expanding fiscal capacity for Sustainable Development Goal (SDG) implementation.</w:t>
      </w:r>
    </w:p>
    <w:p w:rsidR="003E5BEA" w:rsidRPr="005D650B" w:rsidRDefault="003E5BEA" w:rsidP="003E5BEA">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In addition, Bouzouita (2025) investigated revenue mobilisation in Guinea-Bissau using a stochastic frontier approach. The study identified deep institutional and structural constraints, including weak enforcement capacity and narrow tax bases, which limited revenue generation. Nevertheless, it concluded that targeted fiscal reforms could substantially improve sustainable public finance outcomes. Furthermore, Ajeigbe, Ganda, and Enowkenwa (2023) assessed the relationship between tax revenue, public expenditure, and SDG performance across 45 African countries using System GMM. The results showed that improved tax revenue mobilisation significantly enhanced economic growth, reduced unemployment, and alleviated poverty, thereby reinforcing the importance of fiscal reforms in achieving sustainable development.</w:t>
      </w:r>
    </w:p>
    <w:p w:rsidR="003E5BEA" w:rsidRPr="005D650B" w:rsidRDefault="003E5BEA" w:rsidP="003E5BEA">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 xml:space="preserve">Complementarily, Mpofu (2022) examined tax revenue mobilisation trends across Sub-Saharan Africa and found that reforms such as tax base expansion and improved enforcement mechanisms </w:t>
      </w:r>
      <w:r w:rsidRPr="005D650B">
        <w:rPr>
          <w:rFonts w:ascii="Times New Roman" w:hAnsi="Times New Roman" w:cs="Times New Roman"/>
          <w:sz w:val="24"/>
          <w:szCs w:val="24"/>
        </w:rPr>
        <w:lastRenderedPageBreak/>
        <w:t>were strongly associated with long-term development outcomes, including infrastructure growth, human capital development, and improved governance.</w:t>
      </w:r>
    </w:p>
    <w:p w:rsidR="003E5BEA" w:rsidRPr="005D650B" w:rsidRDefault="003E5BEA" w:rsidP="003E5BEA">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Similarly, Alemu and Gebremedhin (2024) analysed East African Community countries using dynamic panel GMM and found that comprehensive tax reforms significantly improved domestic revenue mobilisation, thereby expanding fiscal space for social sectors such as health and education, with positive implications for human development. Although these European and African studies consistently highlight the importance of fiscal reforms in strengthening domestic revenue mobilisation and promoting sustainable development, a critical gap remains in the Nigerian context. Specifically, most existing studies have focused on cross-country or regional analyses, often overlooking Nigeria’s unique fiscal structure characterised by heavy oil dependency, low tax compliance, and institutional inefficiencies. Moreover, limited attention has been given to the interactive effects of fiscal reforms and domestic revenue mobilisation in driving sustainable development outcomes within Nigeria. Consequently, there is a clear need for a focused empirical investigation that examines the nexus between fiscal reforms, domestic revenue mobilisation, and sustainable development in Nigeria, while accounting for the country’s institutional realities and governance challenges that shape the effectiveness of revenue mobilisation strategies.</w:t>
      </w:r>
    </w:p>
    <w:p w:rsidR="0029106E" w:rsidRPr="005D650B" w:rsidRDefault="0029106E" w:rsidP="0029106E">
      <w:pPr>
        <w:spacing w:after="0" w:line="276" w:lineRule="auto"/>
        <w:jc w:val="both"/>
        <w:rPr>
          <w:rFonts w:ascii="Times New Roman" w:hAnsi="Times New Roman" w:cs="Times New Roman"/>
          <w:b/>
          <w:bCs/>
          <w:sz w:val="24"/>
          <w:szCs w:val="24"/>
        </w:rPr>
      </w:pPr>
      <w:r w:rsidRPr="005D650B">
        <w:rPr>
          <w:rFonts w:ascii="Times New Roman" w:hAnsi="Times New Roman" w:cs="Times New Roman"/>
          <w:b/>
          <w:bCs/>
          <w:sz w:val="24"/>
          <w:szCs w:val="24"/>
        </w:rPr>
        <w:t>Research methods</w:t>
      </w:r>
    </w:p>
    <w:p w:rsidR="0029106E" w:rsidRPr="005D650B" w:rsidRDefault="0029106E" w:rsidP="0029106E">
      <w:pPr>
        <w:spacing w:after="0" w:line="276" w:lineRule="auto"/>
        <w:jc w:val="both"/>
        <w:rPr>
          <w:rFonts w:ascii="Times New Roman" w:hAnsi="Times New Roman" w:cs="Times New Roman"/>
          <w:b/>
          <w:bCs/>
          <w:sz w:val="24"/>
          <w:szCs w:val="24"/>
        </w:rPr>
      </w:pPr>
      <w:r w:rsidRPr="005D650B">
        <w:rPr>
          <w:rFonts w:ascii="Times New Roman" w:hAnsi="Times New Roman" w:cs="Times New Roman"/>
          <w:b/>
          <w:bCs/>
          <w:sz w:val="24"/>
          <w:szCs w:val="24"/>
        </w:rPr>
        <w:t>Theoretical framework and Model specification</w:t>
      </w:r>
    </w:p>
    <w:p w:rsidR="005329B4" w:rsidRPr="005D650B" w:rsidRDefault="005329B4" w:rsidP="005D7D50">
      <w:pPr>
        <w:spacing w:after="0" w:line="240" w:lineRule="auto"/>
        <w:jc w:val="both"/>
        <w:rPr>
          <w:rFonts w:ascii="Times New Roman" w:hAnsi="Times New Roman" w:cs="Times New Roman"/>
        </w:rPr>
      </w:pPr>
      <w:r w:rsidRPr="005D650B">
        <w:rPr>
          <w:rFonts w:ascii="Times New Roman" w:hAnsi="Times New Roman" w:cs="Times New Roman"/>
          <w:sz w:val="24"/>
          <w:szCs w:val="24"/>
        </w:rPr>
        <w:t xml:space="preserve">Based on the theoretical review and empirical consideration, the following model was used in this work: </w:t>
      </w:r>
    </w:p>
    <w:p w:rsidR="005329B4" w:rsidRPr="005D650B" w:rsidRDefault="005329B4" w:rsidP="006648D2">
      <w:pPr>
        <w:spacing w:after="0" w:line="240" w:lineRule="auto"/>
        <w:jc w:val="both"/>
        <w:rPr>
          <w:rFonts w:ascii="Times New Roman" w:hAnsi="Times New Roman" w:cs="Times New Roman"/>
          <w:sz w:val="24"/>
          <w:szCs w:val="24"/>
        </w:rPr>
      </w:pPr>
      <w:r w:rsidRPr="005D650B">
        <w:rPr>
          <w:rFonts w:ascii="Times New Roman" w:hAnsi="Times New Roman" w:cs="Times New Roman"/>
          <w:sz w:val="24"/>
          <w:szCs w:val="24"/>
        </w:rPr>
        <w:t>This is mathematically written as:</w:t>
      </w:r>
    </w:p>
    <w:p w:rsidR="005329B4" w:rsidRPr="005D650B" w:rsidRDefault="0088731D" w:rsidP="006648D2">
      <w:pPr>
        <w:spacing w:after="0" w:line="240" w:lineRule="auto"/>
        <w:jc w:val="both"/>
        <w:rPr>
          <w:rFonts w:ascii="Times New Roman" w:hAnsi="Times New Roman" w:cs="Times New Roman"/>
          <w:bCs/>
          <w:sz w:val="24"/>
          <w:szCs w:val="24"/>
        </w:rPr>
      </w:pPr>
      <w:r w:rsidRPr="005D650B">
        <w:rPr>
          <w:rFonts w:ascii="Times New Roman" w:hAnsi="Times New Roman" w:cs="Times New Roman"/>
          <w:bCs/>
          <w:position w:val="-12"/>
          <w:sz w:val="24"/>
          <w:szCs w:val="24"/>
        </w:rPr>
        <w:object w:dxaOrig="243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pt;height:18.5pt" o:ole="">
            <v:imagedata r:id="rId9" o:title=""/>
          </v:shape>
          <o:OLEObject Type="Embed" ProgID="Equation.3" ShapeID="_x0000_i1025" DrawAspect="Content" ObjectID="_1843755347" r:id="rId10"/>
        </w:object>
      </w:r>
      <w:r w:rsidR="00901B31" w:rsidRPr="005D650B">
        <w:rPr>
          <w:rFonts w:ascii="Times New Roman" w:hAnsi="Times New Roman" w:cs="Times New Roman"/>
          <w:bCs/>
          <w:sz w:val="24"/>
          <w:szCs w:val="24"/>
        </w:rPr>
        <w:t>----------------------------------------------------------------------------------- (i)</w:t>
      </w:r>
    </w:p>
    <w:p w:rsidR="0088731D" w:rsidRPr="005D650B" w:rsidRDefault="0088731D" w:rsidP="006648D2">
      <w:pPr>
        <w:spacing w:after="0" w:line="240" w:lineRule="auto"/>
        <w:jc w:val="both"/>
        <w:rPr>
          <w:rFonts w:ascii="Times New Roman" w:hAnsi="Times New Roman" w:cs="Times New Roman"/>
          <w:bCs/>
          <w:sz w:val="24"/>
          <w:szCs w:val="24"/>
        </w:rPr>
      </w:pPr>
      <w:r w:rsidRPr="005D650B">
        <w:rPr>
          <w:rFonts w:ascii="Times New Roman" w:hAnsi="Times New Roman" w:cs="Times New Roman"/>
          <w:bCs/>
          <w:sz w:val="24"/>
          <w:szCs w:val="24"/>
        </w:rPr>
        <w:t>The econometric form of the model can be specified as:</w:t>
      </w:r>
    </w:p>
    <w:p w:rsidR="0088731D" w:rsidRPr="005D650B" w:rsidRDefault="00E853EE" w:rsidP="006648D2">
      <w:pPr>
        <w:spacing w:after="0" w:line="240" w:lineRule="auto"/>
        <w:jc w:val="both"/>
        <w:rPr>
          <w:rFonts w:ascii="Times New Roman" w:hAnsi="Times New Roman" w:cs="Times New Roman"/>
          <w:bCs/>
          <w:sz w:val="24"/>
          <w:szCs w:val="24"/>
        </w:rPr>
      </w:pPr>
      <w:r w:rsidRPr="005D650B">
        <w:rPr>
          <w:rFonts w:ascii="Times New Roman" w:hAnsi="Times New Roman" w:cs="Times New Roman"/>
          <w:bCs/>
          <w:position w:val="-12"/>
          <w:sz w:val="24"/>
          <w:szCs w:val="24"/>
        </w:rPr>
        <w:object w:dxaOrig="6460" w:dyaOrig="360">
          <v:shape id="_x0000_i1026" type="#_x0000_t75" style="width:323pt;height:18.5pt" o:ole="">
            <v:imagedata r:id="rId11" o:title=""/>
          </v:shape>
          <o:OLEObject Type="Embed" ProgID="Equation.3" ShapeID="_x0000_i1026" DrawAspect="Content" ObjectID="_1843755348" r:id="rId12"/>
        </w:object>
      </w:r>
      <w:r w:rsidRPr="005D650B">
        <w:rPr>
          <w:rFonts w:ascii="Times New Roman" w:hAnsi="Times New Roman" w:cs="Times New Roman"/>
          <w:bCs/>
          <w:sz w:val="24"/>
          <w:szCs w:val="24"/>
        </w:rPr>
        <w:t>-------------------------------- (</w:t>
      </w:r>
      <w:r w:rsidR="0088731D" w:rsidRPr="005D650B">
        <w:rPr>
          <w:rFonts w:ascii="Times New Roman" w:hAnsi="Times New Roman" w:cs="Times New Roman"/>
          <w:bCs/>
          <w:sz w:val="24"/>
          <w:szCs w:val="24"/>
        </w:rPr>
        <w:t xml:space="preserve">ii) </w:t>
      </w:r>
    </w:p>
    <w:p w:rsidR="00E85BFE" w:rsidRPr="005D650B" w:rsidRDefault="00E85BFE" w:rsidP="006648D2">
      <w:pPr>
        <w:spacing w:line="240" w:lineRule="auto"/>
        <w:rPr>
          <w:rFonts w:ascii="Times New Roman" w:hAnsi="Times New Roman" w:cs="Times New Roman"/>
          <w:sz w:val="24"/>
          <w:szCs w:val="24"/>
        </w:rPr>
      </w:pPr>
      <w:r w:rsidRPr="005D650B">
        <w:rPr>
          <w:rFonts w:ascii="Times New Roman" w:hAnsi="Times New Roman" w:cs="Times New Roman"/>
          <w:sz w:val="24"/>
          <w:szCs w:val="24"/>
        </w:rPr>
        <w:t>For better elasticity interpretation and variance stabilisation, the log-linear form is often specified as:</w:t>
      </w:r>
    </w:p>
    <w:p w:rsidR="00E85BFE" w:rsidRPr="005D650B" w:rsidRDefault="005D7D50" w:rsidP="006648D2">
      <w:pPr>
        <w:spacing w:line="240" w:lineRule="auto"/>
        <w:rPr>
          <w:rFonts w:ascii="Times New Roman" w:hAnsi="Times New Roman" w:cs="Times New Roman"/>
          <w:sz w:val="24"/>
          <w:szCs w:val="24"/>
        </w:rPr>
      </w:pPr>
      <w:r w:rsidRPr="005D650B">
        <w:rPr>
          <w:rFonts w:ascii="Times New Roman" w:hAnsi="Times New Roman" w:cs="Times New Roman"/>
          <w:position w:val="-12"/>
          <w:sz w:val="24"/>
          <w:szCs w:val="24"/>
        </w:rPr>
        <w:object w:dxaOrig="7720" w:dyaOrig="360">
          <v:shape id="_x0000_i1027" type="#_x0000_t75" style="width:387pt;height:18.5pt" o:ole="">
            <v:imagedata r:id="rId13" o:title=""/>
          </v:shape>
          <o:OLEObject Type="Embed" ProgID="Equation.3" ShapeID="_x0000_i1027" DrawAspect="Content" ObjectID="_1843755349" r:id="rId14"/>
        </w:object>
      </w:r>
      <w:r w:rsidR="006648D2" w:rsidRPr="005D650B">
        <w:rPr>
          <w:rFonts w:ascii="Times New Roman" w:hAnsi="Times New Roman" w:cs="Times New Roman"/>
          <w:sz w:val="24"/>
          <w:szCs w:val="24"/>
        </w:rPr>
        <w:t>-------------- (</w:t>
      </w:r>
      <w:r w:rsidR="00C050BB" w:rsidRPr="005D650B">
        <w:rPr>
          <w:rFonts w:ascii="Times New Roman" w:hAnsi="Times New Roman" w:cs="Times New Roman"/>
          <w:sz w:val="24"/>
          <w:szCs w:val="24"/>
        </w:rPr>
        <w:t>iii)</w:t>
      </w:r>
    </w:p>
    <w:p w:rsidR="000812C9" w:rsidRPr="005D650B" w:rsidRDefault="000812C9" w:rsidP="006648D2">
      <w:pPr>
        <w:spacing w:after="0" w:line="240" w:lineRule="auto"/>
        <w:jc w:val="both"/>
        <w:rPr>
          <w:rFonts w:ascii="Times New Roman" w:hAnsi="Times New Roman" w:cs="Times New Roman"/>
          <w:sz w:val="24"/>
          <w:szCs w:val="24"/>
        </w:rPr>
      </w:pPr>
      <w:r w:rsidRPr="005D650B">
        <w:rPr>
          <w:rFonts w:ascii="Times New Roman" w:hAnsi="Times New Roman" w:cs="Times New Roman"/>
          <w:sz w:val="24"/>
          <w:szCs w:val="24"/>
        </w:rPr>
        <w:t>To capture policy interaction, fiscal reforms can interact with revenue mobilisation, therefore, the model is specified as:</w:t>
      </w:r>
    </w:p>
    <w:p w:rsidR="006234F6" w:rsidRPr="005D650B" w:rsidRDefault="005C0711" w:rsidP="006648D2">
      <w:pPr>
        <w:spacing w:after="0" w:line="240" w:lineRule="auto"/>
        <w:jc w:val="both"/>
        <w:rPr>
          <w:rFonts w:ascii="Times New Roman" w:hAnsi="Times New Roman" w:cs="Times New Roman"/>
          <w:sz w:val="24"/>
          <w:szCs w:val="24"/>
        </w:rPr>
      </w:pPr>
      <w:r w:rsidRPr="005D650B">
        <w:rPr>
          <w:rFonts w:ascii="Times New Roman" w:hAnsi="Times New Roman" w:cs="Times New Roman"/>
          <w:position w:val="-12"/>
          <w:sz w:val="24"/>
          <w:szCs w:val="24"/>
        </w:rPr>
        <w:object w:dxaOrig="8320" w:dyaOrig="360">
          <v:shape id="_x0000_i1028" type="#_x0000_t75" style="width:416pt;height:18.5pt" o:ole="">
            <v:imagedata r:id="rId15" o:title=""/>
          </v:shape>
          <o:OLEObject Type="Embed" ProgID="Equation.3" ShapeID="_x0000_i1028" DrawAspect="Content" ObjectID="_1843755350" r:id="rId16"/>
        </w:object>
      </w:r>
      <w:r w:rsidR="006648D2" w:rsidRPr="005D650B">
        <w:rPr>
          <w:rFonts w:ascii="Times New Roman" w:hAnsi="Times New Roman" w:cs="Times New Roman"/>
          <w:sz w:val="24"/>
          <w:szCs w:val="24"/>
        </w:rPr>
        <w:t xml:space="preserve">-------- </w:t>
      </w:r>
      <w:proofErr w:type="gramStart"/>
      <w:r w:rsidR="006648D2" w:rsidRPr="005D650B">
        <w:rPr>
          <w:rFonts w:ascii="Times New Roman" w:hAnsi="Times New Roman" w:cs="Times New Roman"/>
          <w:sz w:val="24"/>
          <w:szCs w:val="24"/>
        </w:rPr>
        <w:t>(</w:t>
      </w:r>
      <w:r w:rsidR="007047B7" w:rsidRPr="005D650B">
        <w:rPr>
          <w:rFonts w:ascii="Times New Roman" w:hAnsi="Times New Roman" w:cs="Times New Roman"/>
          <w:sz w:val="24"/>
          <w:szCs w:val="24"/>
        </w:rPr>
        <w:t>iv)</w:t>
      </w:r>
      <w:proofErr w:type="gramEnd"/>
    </w:p>
    <w:p w:rsidR="00FF3A5E" w:rsidRPr="005D650B" w:rsidRDefault="00FF3A5E" w:rsidP="00FF3A5E">
      <w:pPr>
        <w:jc w:val="both"/>
        <w:rPr>
          <w:rFonts w:ascii="Times New Roman" w:hAnsi="Times New Roman" w:cs="Times New Roman"/>
          <w:sz w:val="24"/>
          <w:szCs w:val="24"/>
        </w:rPr>
      </w:pPr>
      <w:r w:rsidRPr="005D650B">
        <w:rPr>
          <w:rFonts w:ascii="Times New Roman" w:hAnsi="Times New Roman" w:cs="Times New Roman"/>
          <w:sz w:val="24"/>
          <w:szCs w:val="24"/>
        </w:rPr>
        <w:t>This interaction term tests whether fiscal reforms strengthen the effectiveness of revenue mobilisation in promoting sustainable development in Nigeria.</w:t>
      </w:r>
    </w:p>
    <w:p w:rsidR="001C0740" w:rsidRPr="005D650B" w:rsidRDefault="001C0740" w:rsidP="00FF3A5E">
      <w:pPr>
        <w:jc w:val="both"/>
        <w:rPr>
          <w:rFonts w:ascii="Times New Roman" w:hAnsi="Times New Roman" w:cs="Times New Roman"/>
          <w:sz w:val="24"/>
          <w:szCs w:val="24"/>
        </w:rPr>
      </w:pPr>
      <w:r w:rsidRPr="005D650B">
        <w:rPr>
          <w:rFonts w:ascii="Times New Roman" w:hAnsi="Times New Roman" w:cs="Times New Roman"/>
          <w:sz w:val="24"/>
          <w:szCs w:val="24"/>
        </w:rPr>
        <w:t xml:space="preserve">The ARDL Model is specified as follow: </w:t>
      </w:r>
    </w:p>
    <w:p w:rsidR="00817880" w:rsidRPr="005D650B" w:rsidRDefault="001C0740" w:rsidP="001906A0">
      <w:pPr>
        <w:spacing w:after="0" w:line="240" w:lineRule="auto"/>
        <w:jc w:val="both"/>
        <w:rPr>
          <w:rFonts w:ascii="Times New Roman" w:hAnsi="Times New Roman" w:cs="Times New Roman"/>
          <w:sz w:val="24"/>
          <w:szCs w:val="24"/>
        </w:rPr>
      </w:pPr>
      <w:r w:rsidRPr="005D650B">
        <w:rPr>
          <w:rFonts w:ascii="Times New Roman" w:hAnsi="Times New Roman" w:cs="Times New Roman"/>
          <w:sz w:val="24"/>
          <w:szCs w:val="24"/>
        </w:rPr>
        <w:lastRenderedPageBreak/>
        <w:t>The dynamic ARDL ((p, q₁, q₂… q₆) model is specified as:</w:t>
      </w:r>
    </w:p>
    <w:p w:rsidR="001C0740" w:rsidRPr="005D650B" w:rsidRDefault="002F21C3" w:rsidP="001906A0">
      <w:pPr>
        <w:spacing w:after="0" w:line="240" w:lineRule="auto"/>
        <w:jc w:val="both"/>
        <w:rPr>
          <w:rFonts w:ascii="Times New Roman" w:hAnsi="Times New Roman" w:cs="Times New Roman"/>
          <w:sz w:val="24"/>
          <w:szCs w:val="24"/>
        </w:rPr>
      </w:pPr>
      <w:r w:rsidRPr="005D650B">
        <w:rPr>
          <w:rFonts w:ascii="Times New Roman" w:hAnsi="Times New Roman" w:cs="Times New Roman"/>
          <w:position w:val="-30"/>
          <w:sz w:val="24"/>
          <w:szCs w:val="24"/>
        </w:rPr>
        <w:object w:dxaOrig="8380" w:dyaOrig="720">
          <v:shape id="_x0000_i1029" type="#_x0000_t75" style="width:419.5pt;height:36pt" o:ole="">
            <v:imagedata r:id="rId17" o:title=""/>
          </v:shape>
          <o:OLEObject Type="Embed" ProgID="Equation.3" ShapeID="_x0000_i1029" DrawAspect="Content" ObjectID="_1843755351" r:id="rId18"/>
        </w:object>
      </w:r>
      <w:r w:rsidR="001C0740" w:rsidRPr="005D650B">
        <w:rPr>
          <w:rFonts w:ascii="Times New Roman" w:hAnsi="Times New Roman" w:cs="Times New Roman"/>
          <w:position w:val="-10"/>
          <w:sz w:val="24"/>
          <w:szCs w:val="24"/>
        </w:rPr>
        <w:object w:dxaOrig="180" w:dyaOrig="340">
          <v:shape id="_x0000_i1030" type="#_x0000_t75" style="width:9pt;height:17pt" o:ole="">
            <v:imagedata r:id="rId19" o:title=""/>
          </v:shape>
          <o:OLEObject Type="Embed" ProgID="Equation.3" ShapeID="_x0000_i1030" DrawAspect="Content" ObjectID="_1843755352" r:id="rId20"/>
        </w:object>
      </w:r>
    </w:p>
    <w:p w:rsidR="001C0740" w:rsidRPr="005D650B" w:rsidRDefault="002F21C3" w:rsidP="001906A0">
      <w:pPr>
        <w:spacing w:after="0" w:line="240" w:lineRule="auto"/>
        <w:jc w:val="both"/>
        <w:rPr>
          <w:rFonts w:ascii="Times New Roman" w:hAnsi="Times New Roman" w:cs="Times New Roman"/>
          <w:sz w:val="24"/>
          <w:szCs w:val="24"/>
        </w:rPr>
      </w:pPr>
      <w:r w:rsidRPr="005D650B">
        <w:rPr>
          <w:rFonts w:ascii="Times New Roman" w:hAnsi="Times New Roman" w:cs="Times New Roman"/>
          <w:position w:val="-28"/>
          <w:sz w:val="24"/>
          <w:szCs w:val="24"/>
        </w:rPr>
        <w:object w:dxaOrig="5100" w:dyaOrig="700">
          <v:shape id="_x0000_i1031" type="#_x0000_t75" style="width:254pt;height:35pt" o:ole="">
            <v:imagedata r:id="rId21" o:title=""/>
          </v:shape>
          <o:OLEObject Type="Embed" ProgID="Equation.3" ShapeID="_x0000_i1031" DrawAspect="Content" ObjectID="_1843755353" r:id="rId22"/>
        </w:object>
      </w:r>
      <w:r w:rsidRPr="005D650B">
        <w:rPr>
          <w:rFonts w:ascii="Times New Roman" w:hAnsi="Times New Roman" w:cs="Times New Roman"/>
          <w:sz w:val="24"/>
          <w:szCs w:val="24"/>
        </w:rPr>
        <w:t>------------------------------------------</w:t>
      </w:r>
      <w:r w:rsidR="001906A0" w:rsidRPr="005D650B">
        <w:rPr>
          <w:rFonts w:ascii="Times New Roman" w:hAnsi="Times New Roman" w:cs="Times New Roman"/>
          <w:sz w:val="24"/>
          <w:szCs w:val="24"/>
        </w:rPr>
        <w:t>---</w:t>
      </w:r>
      <w:r w:rsidRPr="005D650B">
        <w:rPr>
          <w:rFonts w:ascii="Times New Roman" w:hAnsi="Times New Roman" w:cs="Times New Roman"/>
          <w:sz w:val="24"/>
          <w:szCs w:val="24"/>
        </w:rPr>
        <w:t>---- (v)</w:t>
      </w:r>
    </w:p>
    <w:p w:rsidR="00FF3A5E" w:rsidRPr="005D650B" w:rsidRDefault="00A91FCB" w:rsidP="00803277">
      <w:pPr>
        <w:spacing w:after="0" w:line="240" w:lineRule="auto"/>
        <w:jc w:val="both"/>
        <w:rPr>
          <w:rFonts w:ascii="Times New Roman" w:hAnsi="Times New Roman" w:cs="Times New Roman"/>
          <w:sz w:val="24"/>
          <w:szCs w:val="24"/>
        </w:rPr>
      </w:pPr>
      <w:r w:rsidRPr="005D650B">
        <w:rPr>
          <w:rFonts w:ascii="Times New Roman" w:hAnsi="Times New Roman" w:cs="Times New Roman"/>
          <w:sz w:val="24"/>
          <w:szCs w:val="24"/>
        </w:rPr>
        <w:t>To distinguish between short-run dynamics and long-run equilibrium, the ARDL model is reparameterised into the ECM form:</w:t>
      </w:r>
    </w:p>
    <w:p w:rsidR="00A91FCB" w:rsidRPr="005D650B" w:rsidRDefault="00B33EDE" w:rsidP="00803277">
      <w:pPr>
        <w:spacing w:after="0" w:line="240" w:lineRule="auto"/>
        <w:jc w:val="both"/>
        <w:rPr>
          <w:rFonts w:ascii="Times New Roman" w:hAnsi="Times New Roman" w:cs="Times New Roman"/>
          <w:sz w:val="24"/>
          <w:szCs w:val="24"/>
        </w:rPr>
      </w:pPr>
      <w:r w:rsidRPr="005D650B">
        <w:rPr>
          <w:rFonts w:ascii="Times New Roman" w:hAnsi="Times New Roman" w:cs="Times New Roman"/>
          <w:position w:val="-30"/>
          <w:sz w:val="24"/>
          <w:szCs w:val="24"/>
        </w:rPr>
        <w:object w:dxaOrig="9400" w:dyaOrig="720">
          <v:shape id="_x0000_i1032" type="#_x0000_t75" style="width:470pt;height:36pt" o:ole="">
            <v:imagedata r:id="rId23" o:title=""/>
          </v:shape>
          <o:OLEObject Type="Embed" ProgID="Equation.3" ShapeID="_x0000_i1032" DrawAspect="Content" ObjectID="_1843755354" r:id="rId24"/>
        </w:object>
      </w:r>
      <w:r w:rsidR="00D613F7" w:rsidRPr="005D650B">
        <w:rPr>
          <w:rFonts w:ascii="Times New Roman" w:hAnsi="Times New Roman" w:cs="Times New Roman"/>
          <w:position w:val="-28"/>
          <w:sz w:val="24"/>
          <w:szCs w:val="24"/>
        </w:rPr>
        <w:object w:dxaOrig="6860" w:dyaOrig="700">
          <v:shape id="_x0000_i1033" type="#_x0000_t75" style="width:343pt;height:35pt" o:ole="">
            <v:imagedata r:id="rId25" o:title=""/>
          </v:shape>
          <o:OLEObject Type="Embed" ProgID="Equation.3" ShapeID="_x0000_i1033" DrawAspect="Content" ObjectID="_1843755355" r:id="rId26"/>
        </w:object>
      </w:r>
      <w:r w:rsidR="00803277" w:rsidRPr="005D650B">
        <w:rPr>
          <w:rFonts w:ascii="Times New Roman" w:hAnsi="Times New Roman" w:cs="Times New Roman"/>
          <w:sz w:val="24"/>
          <w:szCs w:val="24"/>
        </w:rPr>
        <w:t xml:space="preserve">-------------------------- </w:t>
      </w:r>
      <w:proofErr w:type="gramStart"/>
      <w:r w:rsidR="00803277" w:rsidRPr="005D650B">
        <w:rPr>
          <w:rFonts w:ascii="Times New Roman" w:hAnsi="Times New Roman" w:cs="Times New Roman"/>
          <w:sz w:val="24"/>
          <w:szCs w:val="24"/>
        </w:rPr>
        <w:t>(</w:t>
      </w:r>
      <w:r w:rsidR="00D613F7" w:rsidRPr="005D650B">
        <w:rPr>
          <w:rFonts w:ascii="Times New Roman" w:hAnsi="Times New Roman" w:cs="Times New Roman"/>
          <w:sz w:val="24"/>
          <w:szCs w:val="24"/>
        </w:rPr>
        <w:t>vi)</w:t>
      </w:r>
      <w:proofErr w:type="gramEnd"/>
    </w:p>
    <w:p w:rsidR="00A91FCB" w:rsidRPr="005D650B" w:rsidRDefault="00803277" w:rsidP="00803277">
      <w:pPr>
        <w:spacing w:after="0" w:line="240" w:lineRule="auto"/>
        <w:jc w:val="both"/>
        <w:rPr>
          <w:rFonts w:ascii="Times New Roman" w:hAnsi="Times New Roman" w:cs="Times New Roman"/>
          <w:sz w:val="24"/>
          <w:szCs w:val="24"/>
        </w:rPr>
      </w:pPr>
      <w:r w:rsidRPr="005D650B">
        <w:rPr>
          <w:rFonts w:ascii="Times New Roman" w:hAnsi="Times New Roman" w:cs="Times New Roman"/>
          <w:position w:val="-12"/>
          <w:sz w:val="24"/>
          <w:szCs w:val="24"/>
        </w:rPr>
        <w:object w:dxaOrig="8080" w:dyaOrig="360">
          <v:shape id="_x0000_i1034" type="#_x0000_t75" style="width:403.5pt;height:18.5pt" o:ole="">
            <v:imagedata r:id="rId27" o:title=""/>
          </v:shape>
          <o:OLEObject Type="Embed" ProgID="Equation.3" ShapeID="_x0000_i1034" DrawAspect="Content" ObjectID="_1843755356" r:id="rId28"/>
        </w:object>
      </w:r>
      <w:r w:rsidRPr="005D650B">
        <w:rPr>
          <w:rFonts w:ascii="Times New Roman" w:hAnsi="Times New Roman" w:cs="Times New Roman"/>
          <w:position w:val="-12"/>
          <w:sz w:val="24"/>
          <w:szCs w:val="24"/>
        </w:rPr>
        <w:object w:dxaOrig="2299" w:dyaOrig="360">
          <v:shape id="_x0000_i1035" type="#_x0000_t75" style="width:114.5pt;height:18.5pt" o:ole="">
            <v:imagedata r:id="rId29" o:title=""/>
          </v:shape>
          <o:OLEObject Type="Embed" ProgID="Equation.3" ShapeID="_x0000_i1035" DrawAspect="Content" ObjectID="_1843755357" r:id="rId30"/>
        </w:object>
      </w:r>
      <w:r w:rsidRPr="005D650B">
        <w:rPr>
          <w:rFonts w:ascii="Times New Roman" w:hAnsi="Times New Roman" w:cs="Times New Roman"/>
          <w:sz w:val="24"/>
          <w:szCs w:val="24"/>
        </w:rPr>
        <w:t>---------------------------------------------------------------------------------- (vii)</w:t>
      </w:r>
    </w:p>
    <w:p w:rsidR="00E853EE" w:rsidRPr="005D650B" w:rsidRDefault="00E853EE" w:rsidP="00EB04A3">
      <w:pPr>
        <w:spacing w:after="0" w:line="240" w:lineRule="auto"/>
        <w:rPr>
          <w:rFonts w:ascii="Times New Roman" w:hAnsi="Times New Roman" w:cs="Times New Roman"/>
          <w:sz w:val="24"/>
          <w:szCs w:val="24"/>
        </w:rPr>
      </w:pPr>
      <w:r w:rsidRPr="005D650B">
        <w:rPr>
          <w:rFonts w:ascii="Times New Roman" w:hAnsi="Times New Roman" w:cs="Times New Roman"/>
          <w:sz w:val="24"/>
          <w:szCs w:val="24"/>
        </w:rPr>
        <w:t>Where:</w:t>
      </w:r>
    </w:p>
    <w:p w:rsidR="008B5E82" w:rsidRPr="005D650B" w:rsidRDefault="00E853EE" w:rsidP="001906A0">
      <w:pPr>
        <w:spacing w:after="0"/>
        <w:jc w:val="both"/>
        <w:rPr>
          <w:rFonts w:ascii="Times New Roman" w:hAnsi="Times New Roman" w:cs="Times New Roman"/>
          <w:sz w:val="24"/>
          <w:szCs w:val="24"/>
        </w:rPr>
      </w:pPr>
      <w:r w:rsidRPr="005D650B">
        <w:rPr>
          <w:rFonts w:ascii="Times New Roman" w:hAnsi="Times New Roman" w:cs="Times New Roman"/>
          <w:sz w:val="24"/>
          <w:szCs w:val="24"/>
        </w:rPr>
        <w:t>SD</w:t>
      </w:r>
      <w:r w:rsidRPr="005D650B">
        <w:rPr>
          <w:rFonts w:ascii="Times New Roman" w:hAnsi="Times New Roman" w:cs="Times New Roman"/>
          <w:sz w:val="24"/>
          <w:szCs w:val="24"/>
          <w:vertAlign w:val="subscript"/>
        </w:rPr>
        <w:t>t</w:t>
      </w:r>
      <w:r w:rsidRPr="005D650B">
        <w:rPr>
          <w:rFonts w:ascii="Times New Roman" w:hAnsi="Times New Roman" w:cs="Times New Roman"/>
          <w:sz w:val="24"/>
          <w:szCs w:val="24"/>
        </w:rPr>
        <w:t>​= Sustainable Development Index (proxy s</w:t>
      </w:r>
      <w:r w:rsidR="001906A0" w:rsidRPr="005D650B">
        <w:rPr>
          <w:rFonts w:ascii="Times New Roman" w:hAnsi="Times New Roman" w:cs="Times New Roman"/>
          <w:sz w:val="24"/>
          <w:szCs w:val="24"/>
        </w:rPr>
        <w:t xml:space="preserve">uch as Human Development Index); </w:t>
      </w:r>
      <w:r w:rsidRPr="005D650B">
        <w:rPr>
          <w:rFonts w:ascii="Times New Roman" w:hAnsi="Times New Roman" w:cs="Times New Roman"/>
          <w:sz w:val="24"/>
          <w:szCs w:val="24"/>
        </w:rPr>
        <w:t>FR</w:t>
      </w:r>
      <w:r w:rsidRPr="005D650B">
        <w:rPr>
          <w:rFonts w:ascii="Times New Roman" w:hAnsi="Times New Roman" w:cs="Times New Roman"/>
          <w:sz w:val="24"/>
          <w:szCs w:val="24"/>
          <w:vertAlign w:val="subscript"/>
        </w:rPr>
        <w:t>t</w:t>
      </w:r>
      <w:r w:rsidRPr="005D650B">
        <w:rPr>
          <w:rFonts w:ascii="Times New Roman" w:hAnsi="Times New Roman" w:cs="Times New Roman"/>
          <w:sz w:val="24"/>
          <w:szCs w:val="24"/>
        </w:rPr>
        <w:t xml:space="preserve"> = F</w:t>
      </w:r>
      <w:r w:rsidR="00B26D1F" w:rsidRPr="005D650B">
        <w:rPr>
          <w:rFonts w:ascii="Times New Roman" w:hAnsi="Times New Roman" w:cs="Times New Roman"/>
          <w:sz w:val="24"/>
          <w:szCs w:val="24"/>
        </w:rPr>
        <w:t>iscal reforms indicator (</w:t>
      </w:r>
      <w:r w:rsidRPr="005D650B">
        <w:rPr>
          <w:rFonts w:ascii="Times New Roman" w:hAnsi="Times New Roman" w:cs="Times New Roman"/>
          <w:sz w:val="24"/>
          <w:szCs w:val="24"/>
        </w:rPr>
        <w:t>Tax Reform Index)</w:t>
      </w:r>
      <w:r w:rsidR="001906A0" w:rsidRPr="005D650B">
        <w:rPr>
          <w:rFonts w:ascii="Times New Roman" w:hAnsi="Times New Roman" w:cs="Times New Roman"/>
          <w:sz w:val="24"/>
          <w:szCs w:val="24"/>
        </w:rPr>
        <w:t xml:space="preserve">; </w:t>
      </w:r>
      <w:r w:rsidR="00C04585" w:rsidRPr="005D650B">
        <w:rPr>
          <w:rFonts w:ascii="Times New Roman" w:hAnsi="Times New Roman" w:cs="Times New Roman"/>
          <w:sz w:val="24"/>
          <w:szCs w:val="24"/>
        </w:rPr>
        <w:t>DRM</w:t>
      </w:r>
      <w:r w:rsidR="00C04585" w:rsidRPr="005D650B">
        <w:rPr>
          <w:rFonts w:ascii="Times New Roman" w:hAnsi="Times New Roman" w:cs="Times New Roman"/>
          <w:sz w:val="24"/>
          <w:szCs w:val="24"/>
          <w:vertAlign w:val="subscript"/>
        </w:rPr>
        <w:t>t</w:t>
      </w:r>
      <w:r w:rsidR="00C04585" w:rsidRPr="005D650B">
        <w:rPr>
          <w:rFonts w:ascii="Times New Roman" w:hAnsi="Times New Roman" w:cs="Times New Roman"/>
          <w:sz w:val="24"/>
          <w:szCs w:val="24"/>
        </w:rPr>
        <w:t>= Domestic revenue mobilisat</w:t>
      </w:r>
      <w:r w:rsidR="00971B65" w:rsidRPr="005D650B">
        <w:rPr>
          <w:rFonts w:ascii="Times New Roman" w:hAnsi="Times New Roman" w:cs="Times New Roman"/>
          <w:sz w:val="24"/>
          <w:szCs w:val="24"/>
        </w:rPr>
        <w:t>ion (T</w:t>
      </w:r>
      <w:r w:rsidR="00C04585" w:rsidRPr="005D650B">
        <w:rPr>
          <w:rFonts w:ascii="Times New Roman" w:hAnsi="Times New Roman" w:cs="Times New Roman"/>
          <w:sz w:val="24"/>
          <w:szCs w:val="24"/>
        </w:rPr>
        <w:t xml:space="preserve">ax </w:t>
      </w:r>
      <w:r w:rsidR="00971B65" w:rsidRPr="005D650B">
        <w:rPr>
          <w:rFonts w:ascii="Times New Roman" w:hAnsi="Times New Roman" w:cs="Times New Roman"/>
          <w:sz w:val="24"/>
          <w:szCs w:val="24"/>
        </w:rPr>
        <w:t>R</w:t>
      </w:r>
      <w:r w:rsidR="00C04585" w:rsidRPr="005D650B">
        <w:rPr>
          <w:rFonts w:ascii="Times New Roman" w:hAnsi="Times New Roman" w:cs="Times New Roman"/>
          <w:sz w:val="24"/>
          <w:szCs w:val="24"/>
        </w:rPr>
        <w:t>evenue as % of GDP)</w:t>
      </w:r>
      <w:r w:rsidR="001906A0" w:rsidRPr="005D650B">
        <w:rPr>
          <w:rFonts w:ascii="Times New Roman" w:hAnsi="Times New Roman" w:cs="Times New Roman"/>
          <w:sz w:val="24"/>
          <w:szCs w:val="24"/>
        </w:rPr>
        <w:t xml:space="preserve">; </w:t>
      </w:r>
      <w:r w:rsidR="00971B65" w:rsidRPr="005D650B">
        <w:rPr>
          <w:rFonts w:ascii="Times New Roman" w:hAnsi="Times New Roman" w:cs="Times New Roman"/>
          <w:sz w:val="24"/>
          <w:szCs w:val="24"/>
        </w:rPr>
        <w:t>GDPGR</w:t>
      </w:r>
      <w:r w:rsidR="00971B65" w:rsidRPr="005D650B">
        <w:rPr>
          <w:rFonts w:ascii="Times New Roman" w:hAnsi="Times New Roman" w:cs="Times New Roman"/>
          <w:sz w:val="24"/>
          <w:szCs w:val="24"/>
          <w:vertAlign w:val="subscript"/>
        </w:rPr>
        <w:t>t</w:t>
      </w:r>
      <w:r w:rsidR="00971B65" w:rsidRPr="005D650B">
        <w:rPr>
          <w:rFonts w:ascii="Times New Roman" w:hAnsi="Times New Roman" w:cs="Times New Roman"/>
          <w:sz w:val="24"/>
          <w:szCs w:val="24"/>
        </w:rPr>
        <w:t>= Economic growth rate</w:t>
      </w:r>
      <w:r w:rsidR="001906A0" w:rsidRPr="005D650B">
        <w:rPr>
          <w:rFonts w:ascii="Times New Roman" w:hAnsi="Times New Roman" w:cs="Times New Roman"/>
          <w:sz w:val="24"/>
          <w:szCs w:val="24"/>
        </w:rPr>
        <w:t xml:space="preserve">; </w:t>
      </w:r>
      <w:r w:rsidR="002F385B" w:rsidRPr="005D650B">
        <w:rPr>
          <w:rFonts w:ascii="Times New Roman" w:hAnsi="Times New Roman" w:cs="Times New Roman"/>
          <w:sz w:val="24"/>
          <w:szCs w:val="24"/>
        </w:rPr>
        <w:t>INF</w:t>
      </w:r>
      <w:r w:rsidR="002F385B" w:rsidRPr="005D650B">
        <w:rPr>
          <w:rFonts w:ascii="Times New Roman" w:hAnsi="Times New Roman" w:cs="Times New Roman"/>
          <w:sz w:val="24"/>
          <w:szCs w:val="24"/>
          <w:vertAlign w:val="subscript"/>
        </w:rPr>
        <w:t>t</w:t>
      </w:r>
      <w:r w:rsidR="002F385B" w:rsidRPr="005D650B">
        <w:rPr>
          <w:rFonts w:ascii="Times New Roman" w:hAnsi="Times New Roman" w:cs="Times New Roman"/>
          <w:sz w:val="24"/>
          <w:szCs w:val="24"/>
        </w:rPr>
        <w:t>​= Inflation rate</w:t>
      </w:r>
      <w:r w:rsidR="001906A0" w:rsidRPr="005D650B">
        <w:rPr>
          <w:rFonts w:ascii="Times New Roman" w:hAnsi="Times New Roman" w:cs="Times New Roman"/>
          <w:sz w:val="24"/>
          <w:szCs w:val="24"/>
        </w:rPr>
        <w:t xml:space="preserve">; </w:t>
      </w:r>
      <w:r w:rsidR="00530349" w:rsidRPr="005D650B">
        <w:rPr>
          <w:rFonts w:ascii="Times New Roman" w:hAnsi="Times New Roman" w:cs="Times New Roman"/>
          <w:sz w:val="24"/>
          <w:szCs w:val="24"/>
        </w:rPr>
        <w:t>GEXP</w:t>
      </w:r>
      <w:r w:rsidR="00530349" w:rsidRPr="005D650B">
        <w:rPr>
          <w:rFonts w:ascii="Times New Roman" w:hAnsi="Times New Roman" w:cs="Times New Roman"/>
          <w:sz w:val="24"/>
          <w:szCs w:val="24"/>
          <w:vertAlign w:val="subscript"/>
        </w:rPr>
        <w:t>t</w:t>
      </w:r>
      <w:r w:rsidR="00530349" w:rsidRPr="005D650B">
        <w:rPr>
          <w:rFonts w:ascii="Times New Roman" w:hAnsi="Times New Roman" w:cs="Times New Roman"/>
          <w:sz w:val="24"/>
          <w:szCs w:val="24"/>
        </w:rPr>
        <w:t xml:space="preserve"> = Government expenditure</w:t>
      </w:r>
      <w:r w:rsidR="001906A0" w:rsidRPr="005D650B">
        <w:rPr>
          <w:rFonts w:ascii="Times New Roman" w:hAnsi="Times New Roman" w:cs="Times New Roman"/>
          <w:sz w:val="24"/>
          <w:szCs w:val="24"/>
        </w:rPr>
        <w:t xml:space="preserve">; </w:t>
      </w:r>
      <w:r w:rsidR="008B5E82" w:rsidRPr="005D650B">
        <w:rPr>
          <w:rFonts w:ascii="Times New Roman" w:hAnsi="Times New Roman" w:cs="Times New Roman"/>
          <w:sz w:val="24"/>
          <w:szCs w:val="24"/>
        </w:rPr>
        <w:t>β</w:t>
      </w:r>
      <w:r w:rsidR="008B5E82" w:rsidRPr="005D650B">
        <w:rPr>
          <w:rFonts w:ascii="Times New Roman" w:hAnsi="Times New Roman" w:cs="Times New Roman"/>
          <w:sz w:val="24"/>
          <w:szCs w:val="24"/>
          <w:vertAlign w:val="subscript"/>
        </w:rPr>
        <w:t>0</w:t>
      </w:r>
      <w:r w:rsidR="008B5E82" w:rsidRPr="005D650B">
        <w:rPr>
          <w:rFonts w:ascii="Times New Roman" w:hAnsi="Times New Roman" w:cs="Times New Roman"/>
          <w:sz w:val="24"/>
          <w:szCs w:val="24"/>
        </w:rPr>
        <w:t>​= Intercept (constant term)</w:t>
      </w:r>
      <w:r w:rsidR="00C575AA" w:rsidRPr="005D650B">
        <w:rPr>
          <w:rFonts w:ascii="Times New Roman" w:hAnsi="Times New Roman" w:cs="Times New Roman"/>
          <w:sz w:val="24"/>
          <w:szCs w:val="24"/>
        </w:rPr>
        <w:t>; TRI</w:t>
      </w:r>
      <w:r w:rsidR="00322FB0" w:rsidRPr="005D650B">
        <w:rPr>
          <w:rFonts w:ascii="Times New Roman" w:hAnsi="Times New Roman" w:cs="Times New Roman"/>
          <w:sz w:val="24"/>
          <w:szCs w:val="24"/>
        </w:rPr>
        <w:t>*T</w:t>
      </w:r>
      <w:r w:rsidR="005C0711" w:rsidRPr="005D650B">
        <w:rPr>
          <w:rFonts w:ascii="Times New Roman" w:hAnsi="Times New Roman" w:cs="Times New Roman"/>
          <w:sz w:val="24"/>
          <w:szCs w:val="24"/>
        </w:rPr>
        <w:t>R</w:t>
      </w:r>
      <w:r w:rsidR="00322FB0" w:rsidRPr="005D650B">
        <w:rPr>
          <w:rFonts w:ascii="Times New Roman" w:hAnsi="Times New Roman" w:cs="Times New Roman"/>
          <w:sz w:val="24"/>
          <w:szCs w:val="24"/>
        </w:rPr>
        <w:t>G</w:t>
      </w:r>
      <w:r w:rsidR="005C0711" w:rsidRPr="005D650B">
        <w:rPr>
          <w:rFonts w:ascii="Times New Roman" w:hAnsi="Times New Roman" w:cs="Times New Roman"/>
          <w:sz w:val="24"/>
          <w:szCs w:val="24"/>
        </w:rPr>
        <w:t>= Interaction term</w:t>
      </w:r>
      <w:r w:rsidR="001906A0" w:rsidRPr="005D650B">
        <w:rPr>
          <w:rFonts w:ascii="Times New Roman" w:hAnsi="Times New Roman" w:cs="Times New Roman"/>
          <w:sz w:val="24"/>
          <w:szCs w:val="24"/>
        </w:rPr>
        <w:t xml:space="preserve">; </w:t>
      </w:r>
      <w:r w:rsidR="008B5E82" w:rsidRPr="005D650B">
        <w:rPr>
          <w:rFonts w:ascii="Times New Roman" w:hAnsi="Times New Roman" w:cs="Times New Roman"/>
          <w:sz w:val="24"/>
          <w:szCs w:val="24"/>
        </w:rPr>
        <w:t>β</w:t>
      </w:r>
      <w:r w:rsidR="008B5E82" w:rsidRPr="005D650B">
        <w:rPr>
          <w:rFonts w:ascii="Times New Roman" w:hAnsi="Times New Roman" w:cs="Times New Roman"/>
          <w:sz w:val="24"/>
          <w:szCs w:val="24"/>
          <w:vertAlign w:val="subscript"/>
        </w:rPr>
        <w:t>1</w:t>
      </w:r>
      <w:r w:rsidR="008B5E82" w:rsidRPr="005D650B">
        <w:rPr>
          <w:rFonts w:ascii="Times New Roman" w:hAnsi="Times New Roman" w:cs="Times New Roman"/>
          <w:sz w:val="24"/>
          <w:szCs w:val="24"/>
        </w:rPr>
        <w:t>−β</w:t>
      </w:r>
      <w:r w:rsidR="008B5E82" w:rsidRPr="005D650B">
        <w:rPr>
          <w:rFonts w:ascii="Times New Roman" w:hAnsi="Times New Roman" w:cs="Times New Roman"/>
          <w:sz w:val="24"/>
          <w:szCs w:val="24"/>
          <w:vertAlign w:val="subscript"/>
        </w:rPr>
        <w:t>5​</w:t>
      </w:r>
      <w:r w:rsidR="008B5E82" w:rsidRPr="005D650B">
        <w:rPr>
          <w:rFonts w:ascii="Times New Roman" w:hAnsi="Times New Roman" w:cs="Times New Roman"/>
          <w:sz w:val="24"/>
          <w:szCs w:val="24"/>
        </w:rPr>
        <w:t>= Estimated parameters</w:t>
      </w:r>
      <w:r w:rsidR="001906A0" w:rsidRPr="005D650B">
        <w:rPr>
          <w:rFonts w:ascii="Times New Roman" w:hAnsi="Times New Roman" w:cs="Times New Roman"/>
          <w:sz w:val="24"/>
          <w:szCs w:val="24"/>
        </w:rPr>
        <w:t xml:space="preserve">; </w:t>
      </w:r>
      <w:r w:rsidR="008B5E82" w:rsidRPr="005D650B">
        <w:rPr>
          <w:rFonts w:ascii="Times New Roman" w:hAnsi="Times New Roman" w:cs="Times New Roman"/>
        </w:rPr>
        <w:t>μ</w:t>
      </w:r>
      <w:r w:rsidR="008B5E82" w:rsidRPr="005D650B">
        <w:rPr>
          <w:rFonts w:ascii="Times New Roman" w:hAnsi="Times New Roman" w:cs="Times New Roman"/>
          <w:vertAlign w:val="subscript"/>
        </w:rPr>
        <w:t>t</w:t>
      </w:r>
      <w:r w:rsidR="008B5E82" w:rsidRPr="005D650B">
        <w:rPr>
          <w:rFonts w:ascii="Times New Roman" w:hAnsi="Times New Roman" w:cs="Times New Roman"/>
        </w:rPr>
        <w:t xml:space="preserve"> = Error term capturing omitted variables</w:t>
      </w:r>
    </w:p>
    <w:p w:rsidR="007F2928" w:rsidRPr="005D650B" w:rsidRDefault="007F2928" w:rsidP="007F2928">
      <w:pPr>
        <w:spacing w:after="0" w:line="240" w:lineRule="auto"/>
        <w:jc w:val="both"/>
        <w:rPr>
          <w:rFonts w:ascii="Times New Roman" w:hAnsi="Times New Roman" w:cs="Times New Roman"/>
          <w:sz w:val="24"/>
          <w:szCs w:val="24"/>
        </w:rPr>
      </w:pPr>
      <w:r w:rsidRPr="005D650B">
        <w:rPr>
          <w:rFonts w:ascii="Times New Roman" w:hAnsi="Times New Roman" w:cs="Times New Roman"/>
          <w:b/>
          <w:sz w:val="24"/>
          <w:szCs w:val="24"/>
        </w:rPr>
        <w:t>Table 1:</w:t>
      </w:r>
      <w:r w:rsidRPr="005D650B">
        <w:rPr>
          <w:rFonts w:ascii="Times New Roman" w:hAnsi="Times New Roman" w:cs="Times New Roman"/>
          <w:sz w:val="24"/>
          <w:szCs w:val="24"/>
        </w:rPr>
        <w:t xml:space="preserve"> A-prior expectation of the Variables in the model.</w:t>
      </w:r>
    </w:p>
    <w:tbl>
      <w:tblPr>
        <w:tblStyle w:val="TableGrid"/>
        <w:tblW w:w="9630" w:type="dxa"/>
        <w:tblInd w:w="-275" w:type="dxa"/>
        <w:tblLook w:val="04A0" w:firstRow="1" w:lastRow="0" w:firstColumn="1" w:lastColumn="0" w:noHBand="0" w:noVBand="1"/>
      </w:tblPr>
      <w:tblGrid>
        <w:gridCol w:w="3510"/>
        <w:gridCol w:w="4410"/>
        <w:gridCol w:w="1710"/>
      </w:tblGrid>
      <w:tr w:rsidR="005D650B" w:rsidRPr="005D650B" w:rsidTr="007F2928">
        <w:tc>
          <w:tcPr>
            <w:tcW w:w="3510" w:type="dxa"/>
            <w:hideMark/>
          </w:tcPr>
          <w:p w:rsidR="007F2928" w:rsidRPr="005D650B" w:rsidRDefault="007F2928" w:rsidP="007F2928">
            <w:pPr>
              <w:rPr>
                <w:rFonts w:ascii="Times New Roman" w:eastAsia="Times New Roman" w:hAnsi="Times New Roman" w:cs="Times New Roman"/>
                <w:b/>
                <w:bCs/>
                <w:sz w:val="24"/>
                <w:szCs w:val="24"/>
              </w:rPr>
            </w:pPr>
            <w:r w:rsidRPr="005D650B">
              <w:rPr>
                <w:rFonts w:ascii="Times New Roman" w:eastAsia="Times New Roman" w:hAnsi="Times New Roman" w:cs="Times New Roman"/>
                <w:b/>
                <w:bCs/>
                <w:sz w:val="24"/>
                <w:szCs w:val="24"/>
              </w:rPr>
              <w:t>Variable</w:t>
            </w:r>
          </w:p>
        </w:tc>
        <w:tc>
          <w:tcPr>
            <w:tcW w:w="4410" w:type="dxa"/>
            <w:hideMark/>
          </w:tcPr>
          <w:p w:rsidR="007F2928" w:rsidRPr="005D650B" w:rsidRDefault="007F2928" w:rsidP="007F2928">
            <w:pPr>
              <w:rPr>
                <w:rFonts w:ascii="Times New Roman" w:eastAsia="Times New Roman" w:hAnsi="Times New Roman" w:cs="Times New Roman"/>
                <w:b/>
                <w:bCs/>
                <w:sz w:val="24"/>
                <w:szCs w:val="24"/>
              </w:rPr>
            </w:pPr>
            <w:r w:rsidRPr="005D650B">
              <w:rPr>
                <w:rFonts w:ascii="Times New Roman" w:eastAsia="Times New Roman" w:hAnsi="Times New Roman" w:cs="Times New Roman"/>
                <w:b/>
                <w:bCs/>
                <w:sz w:val="24"/>
                <w:szCs w:val="24"/>
              </w:rPr>
              <w:t>Description</w:t>
            </w:r>
          </w:p>
        </w:tc>
        <w:tc>
          <w:tcPr>
            <w:tcW w:w="1710" w:type="dxa"/>
            <w:hideMark/>
          </w:tcPr>
          <w:p w:rsidR="007F2928" w:rsidRPr="005D650B" w:rsidRDefault="007F2928" w:rsidP="007F2928">
            <w:pPr>
              <w:rPr>
                <w:rFonts w:ascii="Times New Roman" w:eastAsia="Times New Roman" w:hAnsi="Times New Roman" w:cs="Times New Roman"/>
                <w:b/>
                <w:bCs/>
                <w:sz w:val="24"/>
                <w:szCs w:val="24"/>
              </w:rPr>
            </w:pPr>
            <w:r w:rsidRPr="005D650B">
              <w:rPr>
                <w:rFonts w:ascii="Times New Roman" w:eastAsia="Times New Roman" w:hAnsi="Times New Roman" w:cs="Times New Roman"/>
                <w:b/>
                <w:bCs/>
                <w:sz w:val="24"/>
                <w:szCs w:val="24"/>
              </w:rPr>
              <w:t>Expected Sign</w:t>
            </w:r>
          </w:p>
        </w:tc>
      </w:tr>
      <w:tr w:rsidR="005D650B" w:rsidRPr="005D650B" w:rsidTr="007F2928">
        <w:tc>
          <w:tcPr>
            <w:tcW w:w="3510" w:type="dxa"/>
            <w:hideMark/>
          </w:tcPr>
          <w:p w:rsidR="007F2928" w:rsidRPr="005D650B" w:rsidRDefault="007F2928" w:rsidP="007F2928">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Fiscal Reforms (FR)</w:t>
            </w:r>
          </w:p>
        </w:tc>
        <w:tc>
          <w:tcPr>
            <w:tcW w:w="4410" w:type="dxa"/>
            <w:hideMark/>
          </w:tcPr>
          <w:p w:rsidR="007F2928" w:rsidRPr="005D650B" w:rsidRDefault="007F2928" w:rsidP="007F2928">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Policies improving tax efficiency and fiscal transparency</w:t>
            </w:r>
          </w:p>
        </w:tc>
        <w:tc>
          <w:tcPr>
            <w:tcW w:w="1710" w:type="dxa"/>
            <w:hideMark/>
          </w:tcPr>
          <w:p w:rsidR="007F2928" w:rsidRPr="005D650B" w:rsidRDefault="007F2928" w:rsidP="007F2928">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w:t>
            </w:r>
          </w:p>
        </w:tc>
      </w:tr>
      <w:tr w:rsidR="005D650B" w:rsidRPr="005D650B" w:rsidTr="007F2928">
        <w:tc>
          <w:tcPr>
            <w:tcW w:w="3510" w:type="dxa"/>
            <w:hideMark/>
          </w:tcPr>
          <w:p w:rsidR="007F2928" w:rsidRPr="005D650B" w:rsidRDefault="007F2928" w:rsidP="007F2928">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Domestic Revenue Mobilisation (DRM)</w:t>
            </w:r>
          </w:p>
        </w:tc>
        <w:tc>
          <w:tcPr>
            <w:tcW w:w="4410" w:type="dxa"/>
            <w:hideMark/>
          </w:tcPr>
          <w:p w:rsidR="007F2928" w:rsidRPr="005D650B" w:rsidRDefault="007F2928" w:rsidP="007F2928">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Government ability to generate internal revenue</w:t>
            </w:r>
          </w:p>
        </w:tc>
        <w:tc>
          <w:tcPr>
            <w:tcW w:w="1710" w:type="dxa"/>
            <w:hideMark/>
          </w:tcPr>
          <w:p w:rsidR="007F2928" w:rsidRPr="005D650B" w:rsidRDefault="007F2928" w:rsidP="007F2928">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w:t>
            </w:r>
          </w:p>
        </w:tc>
      </w:tr>
      <w:tr w:rsidR="005D650B" w:rsidRPr="005D650B" w:rsidTr="007F2928">
        <w:tc>
          <w:tcPr>
            <w:tcW w:w="3510" w:type="dxa"/>
            <w:hideMark/>
          </w:tcPr>
          <w:p w:rsidR="007F2928" w:rsidRPr="005D650B" w:rsidRDefault="007F2928" w:rsidP="007F2928">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Economic Growth (GDPGR)</w:t>
            </w:r>
          </w:p>
        </w:tc>
        <w:tc>
          <w:tcPr>
            <w:tcW w:w="4410" w:type="dxa"/>
            <w:hideMark/>
          </w:tcPr>
          <w:p w:rsidR="007F2928" w:rsidRPr="005D650B" w:rsidRDefault="007F2928" w:rsidP="007F2928">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Higher output improves development outcomes</w:t>
            </w:r>
          </w:p>
        </w:tc>
        <w:tc>
          <w:tcPr>
            <w:tcW w:w="1710" w:type="dxa"/>
            <w:hideMark/>
          </w:tcPr>
          <w:p w:rsidR="007F2928" w:rsidRPr="005D650B" w:rsidRDefault="007F2928" w:rsidP="007F2928">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w:t>
            </w:r>
          </w:p>
        </w:tc>
      </w:tr>
      <w:tr w:rsidR="005D650B" w:rsidRPr="005D650B" w:rsidTr="007F2928">
        <w:tc>
          <w:tcPr>
            <w:tcW w:w="3510" w:type="dxa"/>
            <w:hideMark/>
          </w:tcPr>
          <w:p w:rsidR="007F2928" w:rsidRPr="005D650B" w:rsidRDefault="007F2928" w:rsidP="007F2928">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Inflation (INF)</w:t>
            </w:r>
          </w:p>
        </w:tc>
        <w:tc>
          <w:tcPr>
            <w:tcW w:w="4410" w:type="dxa"/>
            <w:hideMark/>
          </w:tcPr>
          <w:p w:rsidR="007F2928" w:rsidRPr="005D650B" w:rsidRDefault="007F2928" w:rsidP="007F2928">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Macroeconomic instability harms development</w:t>
            </w:r>
          </w:p>
        </w:tc>
        <w:tc>
          <w:tcPr>
            <w:tcW w:w="1710" w:type="dxa"/>
            <w:hideMark/>
          </w:tcPr>
          <w:p w:rsidR="007F2928" w:rsidRPr="005D650B" w:rsidRDefault="007F2928" w:rsidP="007F2928">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w:t>
            </w:r>
          </w:p>
        </w:tc>
      </w:tr>
      <w:tr w:rsidR="005D650B" w:rsidRPr="005D650B" w:rsidTr="007F2928">
        <w:tc>
          <w:tcPr>
            <w:tcW w:w="3510" w:type="dxa"/>
            <w:hideMark/>
          </w:tcPr>
          <w:p w:rsidR="007F2928" w:rsidRPr="005D650B" w:rsidRDefault="007F2928" w:rsidP="007F2928">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Government Expenditure (GEXP)</w:t>
            </w:r>
          </w:p>
        </w:tc>
        <w:tc>
          <w:tcPr>
            <w:tcW w:w="4410" w:type="dxa"/>
            <w:hideMark/>
          </w:tcPr>
          <w:p w:rsidR="007F2928" w:rsidRPr="005D650B" w:rsidRDefault="007F2928" w:rsidP="007F2928">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Public investment improves development</w:t>
            </w:r>
          </w:p>
        </w:tc>
        <w:tc>
          <w:tcPr>
            <w:tcW w:w="1710" w:type="dxa"/>
            <w:hideMark/>
          </w:tcPr>
          <w:p w:rsidR="007F2928" w:rsidRPr="005D650B" w:rsidRDefault="007F2928" w:rsidP="007F2928">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w:t>
            </w:r>
          </w:p>
        </w:tc>
      </w:tr>
    </w:tbl>
    <w:p w:rsidR="00D20AA6" w:rsidRPr="005D650B" w:rsidRDefault="00D20AA6" w:rsidP="00D20AA6">
      <w:pPr>
        <w:pStyle w:val="BodyText"/>
        <w:rPr>
          <w:rFonts w:ascii="Times New Roman" w:hAnsi="Times New Roman" w:cs="Times New Roman"/>
          <w:bCs/>
          <w:sz w:val="24"/>
          <w:szCs w:val="24"/>
        </w:rPr>
      </w:pPr>
      <w:bookmarkStart w:id="0" w:name="_Hlk170038540"/>
      <w:r w:rsidRPr="005D650B">
        <w:rPr>
          <w:rFonts w:ascii="Times New Roman" w:hAnsi="Times New Roman" w:cs="Times New Roman"/>
          <w:b/>
          <w:sz w:val="24"/>
          <w:szCs w:val="24"/>
        </w:rPr>
        <w:t xml:space="preserve">Source: </w:t>
      </w:r>
      <w:r w:rsidRPr="005D650B">
        <w:rPr>
          <w:rFonts w:ascii="Times New Roman" w:hAnsi="Times New Roman" w:cs="Times New Roman"/>
          <w:bCs/>
          <w:sz w:val="24"/>
          <w:szCs w:val="24"/>
        </w:rPr>
        <w:t>Research’s Compilation, 2026</w:t>
      </w:r>
    </w:p>
    <w:bookmarkEnd w:id="0"/>
    <w:p w:rsidR="00FC1886" w:rsidRPr="005D650B" w:rsidRDefault="00FC1886" w:rsidP="00FC1886">
      <w:pPr>
        <w:spacing w:after="0" w:line="360" w:lineRule="auto"/>
        <w:jc w:val="both"/>
        <w:rPr>
          <w:rFonts w:ascii="Times New Roman" w:hAnsi="Times New Roman" w:cs="Times New Roman"/>
          <w:b/>
          <w:sz w:val="24"/>
          <w:szCs w:val="24"/>
        </w:rPr>
      </w:pPr>
      <w:r w:rsidRPr="005D650B">
        <w:rPr>
          <w:rFonts w:ascii="Times New Roman" w:hAnsi="Times New Roman" w:cs="Times New Roman"/>
          <w:b/>
          <w:sz w:val="24"/>
          <w:szCs w:val="24"/>
        </w:rPr>
        <w:t>3.2</w:t>
      </w:r>
      <w:r w:rsidRPr="005D650B">
        <w:rPr>
          <w:rFonts w:ascii="Times New Roman" w:hAnsi="Times New Roman" w:cs="Times New Roman"/>
          <w:b/>
          <w:sz w:val="24"/>
          <w:szCs w:val="24"/>
        </w:rPr>
        <w:tab/>
        <w:t>Source of Data</w:t>
      </w:r>
    </w:p>
    <w:p w:rsidR="00FC1886" w:rsidRPr="005D650B" w:rsidRDefault="00FC1886" w:rsidP="00FC1886">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 xml:space="preserve">This study utilised annual time-series data from reputable sources, including the World Bank World Development Indicators (WDI), the Central Bank of Nigeria (CBN) Statistical Bulletin, and the United Nations Development Programme (UNDP) Human Development Reports. These sources were selected for their reliability and consistency in macroeconomic research. The analysis covered the period 1990–2024, chosen to capture key fiscal reforms, domestic revenue mobilisation trends, and major macroeconomic developments in Nigeria. Sustainable </w:t>
      </w:r>
      <w:r w:rsidRPr="005D650B">
        <w:rPr>
          <w:rFonts w:ascii="Times New Roman" w:hAnsi="Times New Roman" w:cs="Times New Roman"/>
          <w:sz w:val="24"/>
          <w:szCs w:val="24"/>
        </w:rPr>
        <w:lastRenderedPageBreak/>
        <w:t>Development (SD) was proxied by the Human Development Index (HDI) from UNDP. Fiscal Reforms (FR) were measured using a Tax Reform Index, while Domestic Revenue Mobilisation (DRM) was proxied by tax revenue as a percentage of GDP from the World Bank. Data on Economic Growth (GDPGR) and Inflation (INF) were sourced from the World Bank, while Government Expenditure (GEXP) was obtained from the CBN and supplemented with World Bank data. These sources ensured data accuracy and consistency, providing a solid basis for analysing the relationship between fiscal reforms, domestic revenue mobilisation, and sustainable development in Nigeria.</w:t>
      </w:r>
    </w:p>
    <w:p w:rsidR="0078597C" w:rsidRPr="005D650B" w:rsidRDefault="0078597C" w:rsidP="0078597C">
      <w:pPr>
        <w:spacing w:after="0" w:line="360" w:lineRule="auto"/>
        <w:jc w:val="both"/>
        <w:rPr>
          <w:rFonts w:ascii="Times New Roman" w:hAnsi="Times New Roman" w:cs="Times New Roman"/>
          <w:b/>
          <w:bCs/>
        </w:rPr>
      </w:pPr>
      <w:r w:rsidRPr="005D650B">
        <w:rPr>
          <w:rFonts w:ascii="Times New Roman" w:hAnsi="Times New Roman" w:cs="Times New Roman"/>
          <w:b/>
          <w:bCs/>
        </w:rPr>
        <w:t>4.0 Presentation and Analysis of Results</w:t>
      </w:r>
    </w:p>
    <w:p w:rsidR="0078597C" w:rsidRPr="005D650B" w:rsidRDefault="0078597C" w:rsidP="0078597C">
      <w:pPr>
        <w:spacing w:after="0" w:line="360" w:lineRule="auto"/>
        <w:jc w:val="both"/>
        <w:rPr>
          <w:rFonts w:ascii="Times New Roman" w:hAnsi="Times New Roman" w:cs="Times New Roman"/>
          <w:b/>
          <w:bCs/>
        </w:rPr>
      </w:pPr>
      <w:r w:rsidRPr="005D650B">
        <w:rPr>
          <w:rFonts w:ascii="Times New Roman" w:hAnsi="Times New Roman" w:cs="Times New Roman"/>
          <w:b/>
          <w:bCs/>
        </w:rPr>
        <w:t>4.1 Descriptive Statistics</w:t>
      </w:r>
    </w:p>
    <w:p w:rsidR="00793BE9" w:rsidRPr="005D650B" w:rsidRDefault="00793BE9" w:rsidP="00793BE9">
      <w:pPr>
        <w:tabs>
          <w:tab w:val="left" w:pos="1212"/>
        </w:tabs>
        <w:spacing w:after="0" w:line="240" w:lineRule="auto"/>
        <w:ind w:left="-540" w:right="26" w:firstLine="540"/>
        <w:jc w:val="both"/>
        <w:rPr>
          <w:rFonts w:ascii="Times New Roman" w:hAnsi="Times New Roman" w:cs="Times New Roman"/>
          <w:b/>
        </w:rPr>
      </w:pPr>
      <w:r w:rsidRPr="005D650B">
        <w:rPr>
          <w:rFonts w:ascii="Times New Roman" w:hAnsi="Times New Roman" w:cs="Times New Roman"/>
          <w:b/>
        </w:rPr>
        <w:t>Table 4.1    Descriptive Statistics Result of the Estimated Variables</w:t>
      </w:r>
    </w:p>
    <w:tbl>
      <w:tblPr>
        <w:tblStyle w:val="TableGrid"/>
        <w:tblW w:w="0" w:type="auto"/>
        <w:tblInd w:w="-635" w:type="dxa"/>
        <w:tblLayout w:type="fixed"/>
        <w:tblLook w:val="0000" w:firstRow="0" w:lastRow="0" w:firstColumn="0" w:lastColumn="0" w:noHBand="0" w:noVBand="0"/>
      </w:tblPr>
      <w:tblGrid>
        <w:gridCol w:w="1620"/>
        <w:gridCol w:w="990"/>
        <w:gridCol w:w="1260"/>
        <w:gridCol w:w="1080"/>
        <w:gridCol w:w="1170"/>
        <w:gridCol w:w="1260"/>
        <w:gridCol w:w="1170"/>
      </w:tblGrid>
      <w:tr w:rsidR="005D650B" w:rsidRPr="005D650B" w:rsidTr="005A2B9F">
        <w:trPr>
          <w:trHeight w:val="220"/>
        </w:trPr>
        <w:tc>
          <w:tcPr>
            <w:tcW w:w="1620" w:type="dxa"/>
          </w:tcPr>
          <w:p w:rsidR="00793BE9" w:rsidRPr="005D650B" w:rsidRDefault="00793BE9" w:rsidP="00045048">
            <w:pPr>
              <w:rPr>
                <w:rFonts w:ascii="Times New Roman" w:hAnsi="Times New Roman" w:cs="Times New Roman"/>
                <w:sz w:val="24"/>
                <w:szCs w:val="24"/>
              </w:rPr>
            </w:pPr>
          </w:p>
        </w:tc>
        <w:tc>
          <w:tcPr>
            <w:tcW w:w="99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SD</w:t>
            </w:r>
          </w:p>
        </w:tc>
        <w:tc>
          <w:tcPr>
            <w:tcW w:w="126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TRI</w:t>
            </w:r>
          </w:p>
        </w:tc>
        <w:tc>
          <w:tcPr>
            <w:tcW w:w="108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TRG</w:t>
            </w:r>
          </w:p>
        </w:tc>
        <w:tc>
          <w:tcPr>
            <w:tcW w:w="117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GDPGR</w:t>
            </w:r>
          </w:p>
        </w:tc>
        <w:tc>
          <w:tcPr>
            <w:tcW w:w="126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INF</w:t>
            </w:r>
          </w:p>
        </w:tc>
        <w:tc>
          <w:tcPr>
            <w:tcW w:w="117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GEXP</w:t>
            </w:r>
          </w:p>
        </w:tc>
      </w:tr>
      <w:tr w:rsidR="005D650B" w:rsidRPr="005D650B" w:rsidTr="005A2B9F">
        <w:trPr>
          <w:trHeight w:val="220"/>
        </w:trPr>
        <w:tc>
          <w:tcPr>
            <w:tcW w:w="162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 Mean</w:t>
            </w:r>
          </w:p>
        </w:tc>
        <w:tc>
          <w:tcPr>
            <w:tcW w:w="99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0.479</w:t>
            </w:r>
          </w:p>
        </w:tc>
        <w:tc>
          <w:tcPr>
            <w:tcW w:w="126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52.143</w:t>
            </w:r>
          </w:p>
        </w:tc>
        <w:tc>
          <w:tcPr>
            <w:tcW w:w="108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4.429</w:t>
            </w:r>
          </w:p>
        </w:tc>
        <w:tc>
          <w:tcPr>
            <w:tcW w:w="117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4.229</w:t>
            </w:r>
          </w:p>
        </w:tc>
        <w:tc>
          <w:tcPr>
            <w:tcW w:w="126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18.703</w:t>
            </w:r>
          </w:p>
        </w:tc>
        <w:tc>
          <w:tcPr>
            <w:tcW w:w="117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11.951</w:t>
            </w:r>
          </w:p>
        </w:tc>
      </w:tr>
      <w:tr w:rsidR="005D650B" w:rsidRPr="005D650B" w:rsidTr="005A2B9F">
        <w:trPr>
          <w:trHeight w:val="220"/>
        </w:trPr>
        <w:tc>
          <w:tcPr>
            <w:tcW w:w="162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 Median</w:t>
            </w:r>
          </w:p>
        </w:tc>
        <w:tc>
          <w:tcPr>
            <w:tcW w:w="99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0.490</w:t>
            </w:r>
          </w:p>
        </w:tc>
        <w:tc>
          <w:tcPr>
            <w:tcW w:w="126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50.000</w:t>
            </w:r>
          </w:p>
        </w:tc>
        <w:tc>
          <w:tcPr>
            <w:tcW w:w="108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4.600</w:t>
            </w:r>
          </w:p>
        </w:tc>
        <w:tc>
          <w:tcPr>
            <w:tcW w:w="117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4.200</w:t>
            </w:r>
          </w:p>
        </w:tc>
        <w:tc>
          <w:tcPr>
            <w:tcW w:w="126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13.000</w:t>
            </w:r>
          </w:p>
        </w:tc>
        <w:tc>
          <w:tcPr>
            <w:tcW w:w="117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11.500</w:t>
            </w:r>
          </w:p>
        </w:tc>
      </w:tr>
      <w:tr w:rsidR="005D650B" w:rsidRPr="005D650B" w:rsidTr="005A2B9F">
        <w:trPr>
          <w:trHeight w:val="220"/>
        </w:trPr>
        <w:tc>
          <w:tcPr>
            <w:tcW w:w="162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 Maximum</w:t>
            </w:r>
          </w:p>
        </w:tc>
        <w:tc>
          <w:tcPr>
            <w:tcW w:w="99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0.565</w:t>
            </w:r>
          </w:p>
        </w:tc>
        <w:tc>
          <w:tcPr>
            <w:tcW w:w="126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95.000</w:t>
            </w:r>
          </w:p>
        </w:tc>
        <w:tc>
          <w:tcPr>
            <w:tcW w:w="108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6.000</w:t>
            </w:r>
          </w:p>
        </w:tc>
        <w:tc>
          <w:tcPr>
            <w:tcW w:w="117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15.300</w:t>
            </w:r>
          </w:p>
        </w:tc>
        <w:tc>
          <w:tcPr>
            <w:tcW w:w="126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72.800</w:t>
            </w:r>
          </w:p>
        </w:tc>
        <w:tc>
          <w:tcPr>
            <w:tcW w:w="117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20.000</w:t>
            </w:r>
          </w:p>
        </w:tc>
      </w:tr>
      <w:tr w:rsidR="005D650B" w:rsidRPr="005D650B" w:rsidTr="005A2B9F">
        <w:trPr>
          <w:trHeight w:val="220"/>
        </w:trPr>
        <w:tc>
          <w:tcPr>
            <w:tcW w:w="162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 Minimum</w:t>
            </w:r>
          </w:p>
        </w:tc>
        <w:tc>
          <w:tcPr>
            <w:tcW w:w="99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0.380</w:t>
            </w:r>
          </w:p>
        </w:tc>
        <w:tc>
          <w:tcPr>
            <w:tcW w:w="126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20.000</w:t>
            </w:r>
          </w:p>
        </w:tc>
        <w:tc>
          <w:tcPr>
            <w:tcW w:w="108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2.800</w:t>
            </w:r>
          </w:p>
        </w:tc>
        <w:tc>
          <w:tcPr>
            <w:tcW w:w="117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-2.000</w:t>
            </w:r>
          </w:p>
        </w:tc>
        <w:tc>
          <w:tcPr>
            <w:tcW w:w="126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5.400</w:t>
            </w:r>
          </w:p>
        </w:tc>
        <w:tc>
          <w:tcPr>
            <w:tcW w:w="117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6.900</w:t>
            </w:r>
          </w:p>
        </w:tc>
      </w:tr>
      <w:tr w:rsidR="005D650B" w:rsidRPr="005D650B" w:rsidTr="005A2B9F">
        <w:trPr>
          <w:trHeight w:val="220"/>
        </w:trPr>
        <w:tc>
          <w:tcPr>
            <w:tcW w:w="162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 Std. Dev.</w:t>
            </w:r>
          </w:p>
        </w:tc>
        <w:tc>
          <w:tcPr>
            <w:tcW w:w="99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0.059</w:t>
            </w:r>
          </w:p>
        </w:tc>
        <w:tc>
          <w:tcPr>
            <w:tcW w:w="126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24.305</w:t>
            </w:r>
          </w:p>
        </w:tc>
        <w:tc>
          <w:tcPr>
            <w:tcW w:w="108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0.959</w:t>
            </w:r>
          </w:p>
        </w:tc>
        <w:tc>
          <w:tcPr>
            <w:tcW w:w="117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3.848</w:t>
            </w:r>
          </w:p>
        </w:tc>
        <w:tc>
          <w:tcPr>
            <w:tcW w:w="126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15.868</w:t>
            </w:r>
          </w:p>
        </w:tc>
        <w:tc>
          <w:tcPr>
            <w:tcW w:w="117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2.967</w:t>
            </w:r>
          </w:p>
        </w:tc>
      </w:tr>
      <w:tr w:rsidR="005D650B" w:rsidRPr="005D650B" w:rsidTr="005A2B9F">
        <w:trPr>
          <w:trHeight w:val="220"/>
        </w:trPr>
        <w:tc>
          <w:tcPr>
            <w:tcW w:w="162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 Skewness</w:t>
            </w:r>
          </w:p>
        </w:tc>
        <w:tc>
          <w:tcPr>
            <w:tcW w:w="99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-0.265</w:t>
            </w:r>
          </w:p>
        </w:tc>
        <w:tc>
          <w:tcPr>
            <w:tcW w:w="126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0.228</w:t>
            </w:r>
          </w:p>
        </w:tc>
        <w:tc>
          <w:tcPr>
            <w:tcW w:w="108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-0.225</w:t>
            </w:r>
          </w:p>
        </w:tc>
        <w:tc>
          <w:tcPr>
            <w:tcW w:w="117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0.524</w:t>
            </w:r>
          </w:p>
        </w:tc>
        <w:tc>
          <w:tcPr>
            <w:tcW w:w="126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2.070</w:t>
            </w:r>
          </w:p>
        </w:tc>
        <w:tc>
          <w:tcPr>
            <w:tcW w:w="1170" w:type="dxa"/>
          </w:tcPr>
          <w:p w:rsidR="00793BE9" w:rsidRPr="005D650B" w:rsidRDefault="00045048" w:rsidP="00045048">
            <w:pPr>
              <w:rPr>
                <w:rFonts w:ascii="Times New Roman" w:hAnsi="Times New Roman" w:cs="Times New Roman"/>
                <w:sz w:val="24"/>
                <w:szCs w:val="24"/>
              </w:rPr>
            </w:pPr>
            <w:r w:rsidRPr="005D650B">
              <w:rPr>
                <w:rFonts w:ascii="Times New Roman" w:hAnsi="Times New Roman" w:cs="Times New Roman"/>
                <w:sz w:val="24"/>
                <w:szCs w:val="24"/>
              </w:rPr>
              <w:t> 0.673</w:t>
            </w:r>
          </w:p>
        </w:tc>
      </w:tr>
      <w:tr w:rsidR="005D650B" w:rsidRPr="005D650B" w:rsidTr="005A2B9F">
        <w:trPr>
          <w:trHeight w:val="220"/>
        </w:trPr>
        <w:tc>
          <w:tcPr>
            <w:tcW w:w="162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 Kurtosis</w:t>
            </w:r>
          </w:p>
        </w:tc>
        <w:tc>
          <w:tcPr>
            <w:tcW w:w="99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1.717</w:t>
            </w:r>
          </w:p>
        </w:tc>
        <w:tc>
          <w:tcPr>
            <w:tcW w:w="126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1.782</w:t>
            </w:r>
          </w:p>
        </w:tc>
        <w:tc>
          <w:tcPr>
            <w:tcW w:w="108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1.764</w:t>
            </w:r>
          </w:p>
        </w:tc>
        <w:tc>
          <w:tcPr>
            <w:tcW w:w="117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3.578</w:t>
            </w:r>
          </w:p>
        </w:tc>
        <w:tc>
          <w:tcPr>
            <w:tcW w:w="126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6.489</w:t>
            </w:r>
          </w:p>
        </w:tc>
        <w:tc>
          <w:tcPr>
            <w:tcW w:w="117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3.083</w:t>
            </w:r>
          </w:p>
        </w:tc>
      </w:tr>
      <w:tr w:rsidR="005D650B" w:rsidRPr="005D650B" w:rsidTr="005A2B9F">
        <w:trPr>
          <w:trHeight w:val="220"/>
        </w:trPr>
        <w:tc>
          <w:tcPr>
            <w:tcW w:w="162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Jarque-B</w:t>
            </w:r>
          </w:p>
        </w:tc>
        <w:tc>
          <w:tcPr>
            <w:tcW w:w="99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2.809</w:t>
            </w:r>
          </w:p>
        </w:tc>
        <w:tc>
          <w:tcPr>
            <w:tcW w:w="126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2.467</w:t>
            </w:r>
          </w:p>
        </w:tc>
        <w:tc>
          <w:tcPr>
            <w:tcW w:w="108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2.523</w:t>
            </w:r>
          </w:p>
        </w:tc>
        <w:tc>
          <w:tcPr>
            <w:tcW w:w="117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2.089</w:t>
            </w:r>
          </w:p>
        </w:tc>
        <w:tc>
          <w:tcPr>
            <w:tcW w:w="126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42.754</w:t>
            </w:r>
          </w:p>
        </w:tc>
        <w:tc>
          <w:tcPr>
            <w:tcW w:w="117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2.651</w:t>
            </w:r>
          </w:p>
        </w:tc>
      </w:tr>
      <w:tr w:rsidR="005D650B" w:rsidRPr="005D650B" w:rsidTr="005A2B9F">
        <w:trPr>
          <w:trHeight w:val="220"/>
        </w:trPr>
        <w:tc>
          <w:tcPr>
            <w:tcW w:w="162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Prob</w:t>
            </w:r>
          </w:p>
        </w:tc>
        <w:tc>
          <w:tcPr>
            <w:tcW w:w="99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0.245</w:t>
            </w:r>
          </w:p>
        </w:tc>
        <w:tc>
          <w:tcPr>
            <w:tcW w:w="126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0.291</w:t>
            </w:r>
          </w:p>
        </w:tc>
        <w:tc>
          <w:tcPr>
            <w:tcW w:w="108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0.283</w:t>
            </w:r>
          </w:p>
        </w:tc>
        <w:tc>
          <w:tcPr>
            <w:tcW w:w="117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0.352</w:t>
            </w:r>
          </w:p>
        </w:tc>
        <w:tc>
          <w:tcPr>
            <w:tcW w:w="126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0.000</w:t>
            </w:r>
          </w:p>
        </w:tc>
        <w:tc>
          <w:tcPr>
            <w:tcW w:w="117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0.266</w:t>
            </w:r>
          </w:p>
        </w:tc>
      </w:tr>
      <w:tr w:rsidR="005D650B" w:rsidRPr="005D650B" w:rsidTr="005A2B9F">
        <w:trPr>
          <w:trHeight w:val="220"/>
        </w:trPr>
        <w:tc>
          <w:tcPr>
            <w:tcW w:w="162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 Sum</w:t>
            </w:r>
          </w:p>
        </w:tc>
        <w:tc>
          <w:tcPr>
            <w:tcW w:w="99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16.755</w:t>
            </w:r>
          </w:p>
        </w:tc>
        <w:tc>
          <w:tcPr>
            <w:tcW w:w="126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 1825.000</w:t>
            </w:r>
          </w:p>
        </w:tc>
        <w:tc>
          <w:tcPr>
            <w:tcW w:w="108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155.000</w:t>
            </w:r>
          </w:p>
        </w:tc>
        <w:tc>
          <w:tcPr>
            <w:tcW w:w="117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148.000</w:t>
            </w:r>
          </w:p>
        </w:tc>
        <w:tc>
          <w:tcPr>
            <w:tcW w:w="126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654.600</w:t>
            </w:r>
          </w:p>
        </w:tc>
        <w:tc>
          <w:tcPr>
            <w:tcW w:w="117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418.300</w:t>
            </w:r>
          </w:p>
        </w:tc>
      </w:tr>
      <w:tr w:rsidR="005D650B" w:rsidRPr="005D650B" w:rsidTr="005A2B9F">
        <w:trPr>
          <w:trHeight w:val="220"/>
        </w:trPr>
        <w:tc>
          <w:tcPr>
            <w:tcW w:w="162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 Sum Sq. Dev.</w:t>
            </w:r>
          </w:p>
        </w:tc>
        <w:tc>
          <w:tcPr>
            <w:tcW w:w="99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0.120</w:t>
            </w:r>
          </w:p>
        </w:tc>
        <w:tc>
          <w:tcPr>
            <w:tcW w:w="126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 20084.29</w:t>
            </w:r>
          </w:p>
        </w:tc>
        <w:tc>
          <w:tcPr>
            <w:tcW w:w="108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31.251</w:t>
            </w:r>
          </w:p>
        </w:tc>
        <w:tc>
          <w:tcPr>
            <w:tcW w:w="117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503.311</w:t>
            </w:r>
          </w:p>
        </w:tc>
        <w:tc>
          <w:tcPr>
            <w:tcW w:w="126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 8561.010</w:t>
            </w:r>
          </w:p>
        </w:tc>
        <w:tc>
          <w:tcPr>
            <w:tcW w:w="117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299.307</w:t>
            </w:r>
          </w:p>
        </w:tc>
      </w:tr>
      <w:tr w:rsidR="005D650B" w:rsidRPr="005D650B" w:rsidTr="005A2B9F">
        <w:trPr>
          <w:trHeight w:val="220"/>
        </w:trPr>
        <w:tc>
          <w:tcPr>
            <w:tcW w:w="1620" w:type="dxa"/>
          </w:tcPr>
          <w:p w:rsidR="00793BE9" w:rsidRPr="005D650B" w:rsidRDefault="005A2B9F" w:rsidP="00045048">
            <w:pPr>
              <w:rPr>
                <w:rFonts w:ascii="Times New Roman" w:hAnsi="Times New Roman" w:cs="Times New Roman"/>
                <w:sz w:val="24"/>
                <w:szCs w:val="24"/>
              </w:rPr>
            </w:pPr>
            <w:r w:rsidRPr="005D650B">
              <w:rPr>
                <w:rFonts w:ascii="Times New Roman" w:hAnsi="Times New Roman" w:cs="Times New Roman"/>
                <w:sz w:val="24"/>
                <w:szCs w:val="24"/>
              </w:rPr>
              <w:t> Obs</w:t>
            </w:r>
          </w:p>
        </w:tc>
        <w:tc>
          <w:tcPr>
            <w:tcW w:w="99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 35</w:t>
            </w:r>
          </w:p>
        </w:tc>
        <w:tc>
          <w:tcPr>
            <w:tcW w:w="126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 35</w:t>
            </w:r>
          </w:p>
        </w:tc>
        <w:tc>
          <w:tcPr>
            <w:tcW w:w="108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 35</w:t>
            </w:r>
          </w:p>
        </w:tc>
        <w:tc>
          <w:tcPr>
            <w:tcW w:w="117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 35</w:t>
            </w:r>
          </w:p>
        </w:tc>
        <w:tc>
          <w:tcPr>
            <w:tcW w:w="126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 35</w:t>
            </w:r>
          </w:p>
        </w:tc>
        <w:tc>
          <w:tcPr>
            <w:tcW w:w="1170" w:type="dxa"/>
          </w:tcPr>
          <w:p w:rsidR="00793BE9" w:rsidRPr="005D650B" w:rsidRDefault="00793BE9" w:rsidP="00045048">
            <w:pPr>
              <w:rPr>
                <w:rFonts w:ascii="Times New Roman" w:hAnsi="Times New Roman" w:cs="Times New Roman"/>
                <w:sz w:val="24"/>
                <w:szCs w:val="24"/>
              </w:rPr>
            </w:pPr>
            <w:r w:rsidRPr="005D650B">
              <w:rPr>
                <w:rFonts w:ascii="Times New Roman" w:hAnsi="Times New Roman" w:cs="Times New Roman"/>
                <w:sz w:val="24"/>
                <w:szCs w:val="24"/>
              </w:rPr>
              <w:t> 35</w:t>
            </w:r>
          </w:p>
        </w:tc>
      </w:tr>
    </w:tbl>
    <w:p w:rsidR="005A2B9F" w:rsidRPr="005D650B" w:rsidRDefault="005A2B9F" w:rsidP="005A2B9F">
      <w:pPr>
        <w:pStyle w:val="BodyText"/>
        <w:rPr>
          <w:rFonts w:ascii="Times New Roman" w:hAnsi="Times New Roman" w:cs="Times New Roman"/>
          <w:bCs/>
          <w:sz w:val="24"/>
          <w:szCs w:val="24"/>
        </w:rPr>
      </w:pPr>
      <w:r w:rsidRPr="005D650B">
        <w:rPr>
          <w:rFonts w:ascii="Times New Roman" w:hAnsi="Times New Roman" w:cs="Times New Roman"/>
          <w:b/>
          <w:sz w:val="24"/>
          <w:szCs w:val="24"/>
        </w:rPr>
        <w:t xml:space="preserve">Source: </w:t>
      </w:r>
      <w:r w:rsidRPr="005D650B">
        <w:rPr>
          <w:rFonts w:ascii="Times New Roman" w:hAnsi="Times New Roman" w:cs="Times New Roman"/>
          <w:bCs/>
          <w:sz w:val="24"/>
          <w:szCs w:val="24"/>
        </w:rPr>
        <w:t>Research’s Compilation, 2026</w:t>
      </w:r>
    </w:p>
    <w:p w:rsidR="00F66D4F" w:rsidRPr="005D650B" w:rsidRDefault="00F66D4F" w:rsidP="00F66D4F">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Table 4.1 presents the descriptive statistics for sustainable development (SD), terrorism incidence (TRI), terrorism-related growth impact (TRG), GDP growth rate (GDPGR), inflation rate (INF), and government expenditure (GEXP). These statistics provide valuable insights into the central tendency, dispersion, and distributional characteristics of the variables over the study period.</w:t>
      </w:r>
    </w:p>
    <w:p w:rsidR="00F66D4F" w:rsidRPr="005D650B" w:rsidRDefault="00F66D4F" w:rsidP="00F66D4F">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 xml:space="preserve">The results indicate that SD has a mean value of 0.479 and a median value of 0.490, suggesting a relatively balanced distribution. Its slight negative skewness (−0.265) and Jarque–Bera statistic of 2.809 indicate that the variable is approximately normally distributed. TRI records a mean value of 52.143 and a median value of 50.000, with a slight positive skewness of 0.228, implying occasional periods of elevated terrorism incidence. The Jarque–Bera statistic of 2.467 further suggests that the variable follows an approximately normal distribution. Similarly, TRG has a </w:t>
      </w:r>
      <w:r w:rsidRPr="005D650B">
        <w:rPr>
          <w:rFonts w:ascii="Times New Roman" w:hAnsi="Times New Roman" w:cs="Times New Roman"/>
          <w:sz w:val="24"/>
          <w:szCs w:val="24"/>
        </w:rPr>
        <w:lastRenderedPageBreak/>
        <w:t>mean value of 4.429 and exhibits slight negative skewness (−0.225), while its Jarque–Bera statistic of 2.523 supports the assumption of normality. GDPGR has an average value of 4.229 per cent and ranges from −2.000 to 15.300 per cent, reflecting episodes of both economic contraction and expansion during the study period. Its moderate positive skewness (0.524) and Jarque–Bera statistic of 2.089 indicate that the variable is approximately normally distributed. In contrast, INF exhibits the greatest degree of variability, with a mean value of 18.703 per cent and observations ranging from 5.400 to 72.800 per cent. Its pronounced positive skewness (2.070) and high Jarque–Bera statistic of 42.754 suggest the presence of extreme inflationary episodes and a departure from normality. GEXP records a mean value of 11.951 and moderate positive skewness (0.673), while its Jarque–Bera statistic of 2.651 indicates an approximately normal distribution. Overall, the descriptive statistics reveal that most of the variables exhibit relatively symmetrical distributions and satisfy the normality assumption. Inflation is the only variable characterised by substantial positive skewness and non-normality, reflecting periods of unusually high inflation during the study period. Consequently, the data exhibit generally favourable distributional properties, providing a reliable foundation for the subsequent econometric analysis.</w:t>
      </w:r>
    </w:p>
    <w:p w:rsidR="00B316FD" w:rsidRPr="005D650B" w:rsidRDefault="00B316FD" w:rsidP="00B316FD">
      <w:pPr>
        <w:tabs>
          <w:tab w:val="left" w:pos="1212"/>
        </w:tabs>
        <w:spacing w:after="0" w:line="360" w:lineRule="auto"/>
        <w:ind w:right="26"/>
        <w:jc w:val="both"/>
        <w:rPr>
          <w:rFonts w:ascii="Times New Roman" w:hAnsi="Times New Roman" w:cs="Times New Roman"/>
          <w:b/>
        </w:rPr>
      </w:pPr>
      <w:r w:rsidRPr="005D650B">
        <w:rPr>
          <w:rFonts w:ascii="Times New Roman" w:hAnsi="Times New Roman" w:cs="Times New Roman"/>
          <w:b/>
        </w:rPr>
        <w:t xml:space="preserve">4.2.    </w:t>
      </w:r>
      <w:r w:rsidRPr="005D650B">
        <w:rPr>
          <w:rFonts w:ascii="Times New Roman" w:hAnsi="Times New Roman" w:cs="Times New Roman"/>
          <w:b/>
          <w:bCs/>
        </w:rPr>
        <w:t>Augmented Dickey Fuller (ADF)</w:t>
      </w:r>
      <w:r w:rsidRPr="005D650B">
        <w:rPr>
          <w:rFonts w:ascii="Times New Roman" w:hAnsi="Times New Roman" w:cs="Times New Roman"/>
          <w:b/>
        </w:rPr>
        <w:t xml:space="preserve"> Unit Root Test Results</w:t>
      </w:r>
    </w:p>
    <w:p w:rsidR="0029106E" w:rsidRPr="005D650B" w:rsidRDefault="00B316FD" w:rsidP="00B316FD">
      <w:pPr>
        <w:spacing w:after="0" w:line="240" w:lineRule="auto"/>
        <w:jc w:val="both"/>
        <w:rPr>
          <w:rFonts w:ascii="Times New Roman" w:hAnsi="Times New Roman" w:cs="Times New Roman"/>
          <w:b/>
        </w:rPr>
      </w:pPr>
      <w:r w:rsidRPr="005D650B">
        <w:rPr>
          <w:rFonts w:ascii="Times New Roman" w:hAnsi="Times New Roman" w:cs="Times New Roman"/>
          <w:b/>
        </w:rPr>
        <w:t>Table 4.2.  Results of Unit Root Test at Level and at First Differences using ADF</w:t>
      </w:r>
    </w:p>
    <w:tbl>
      <w:tblPr>
        <w:tblStyle w:val="TableGrid"/>
        <w:tblW w:w="7655" w:type="dxa"/>
        <w:tblLayout w:type="fixed"/>
        <w:tblLook w:val="04A0" w:firstRow="1" w:lastRow="0" w:firstColumn="1" w:lastColumn="0" w:noHBand="0" w:noVBand="1"/>
      </w:tblPr>
      <w:tblGrid>
        <w:gridCol w:w="1165"/>
        <w:gridCol w:w="1360"/>
        <w:gridCol w:w="1350"/>
        <w:gridCol w:w="1265"/>
        <w:gridCol w:w="1435"/>
        <w:gridCol w:w="1080"/>
      </w:tblGrid>
      <w:tr w:rsidR="005D650B" w:rsidRPr="005D650B" w:rsidTr="006D00F9">
        <w:tc>
          <w:tcPr>
            <w:tcW w:w="1165" w:type="dxa"/>
          </w:tcPr>
          <w:p w:rsidR="00B316FD" w:rsidRPr="005D650B" w:rsidRDefault="00B316FD"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Variable</w:t>
            </w:r>
          </w:p>
        </w:tc>
        <w:tc>
          <w:tcPr>
            <w:tcW w:w="1360" w:type="dxa"/>
          </w:tcPr>
          <w:p w:rsidR="00B316FD" w:rsidRPr="005D650B" w:rsidRDefault="00B316FD"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Test</w:t>
            </w:r>
          </w:p>
          <w:p w:rsidR="00B316FD" w:rsidRPr="005D650B" w:rsidRDefault="00B316FD"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Statistic</w:t>
            </w:r>
          </w:p>
        </w:tc>
        <w:tc>
          <w:tcPr>
            <w:tcW w:w="1350" w:type="dxa"/>
          </w:tcPr>
          <w:p w:rsidR="00B316FD" w:rsidRPr="005D650B" w:rsidRDefault="00B316FD"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5% critical</w:t>
            </w:r>
          </w:p>
          <w:p w:rsidR="00B316FD" w:rsidRPr="005D650B" w:rsidRDefault="00B316FD"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Value</w:t>
            </w:r>
          </w:p>
        </w:tc>
        <w:tc>
          <w:tcPr>
            <w:tcW w:w="1265" w:type="dxa"/>
          </w:tcPr>
          <w:p w:rsidR="00B316FD" w:rsidRPr="005D650B" w:rsidRDefault="00B316FD"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Test</w:t>
            </w:r>
          </w:p>
          <w:p w:rsidR="00B316FD" w:rsidRPr="005D650B" w:rsidRDefault="00B316FD"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Statistic</w:t>
            </w:r>
          </w:p>
        </w:tc>
        <w:tc>
          <w:tcPr>
            <w:tcW w:w="1435" w:type="dxa"/>
          </w:tcPr>
          <w:p w:rsidR="00B316FD" w:rsidRPr="005D650B" w:rsidRDefault="00B316FD"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5% critical</w:t>
            </w:r>
          </w:p>
          <w:p w:rsidR="00B316FD" w:rsidRPr="005D650B" w:rsidRDefault="00B316FD"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Value</w:t>
            </w:r>
          </w:p>
        </w:tc>
        <w:tc>
          <w:tcPr>
            <w:tcW w:w="1080" w:type="dxa"/>
          </w:tcPr>
          <w:p w:rsidR="00B316FD" w:rsidRPr="005D650B" w:rsidRDefault="00B316FD"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Remark</w:t>
            </w:r>
          </w:p>
        </w:tc>
      </w:tr>
      <w:tr w:rsidR="005D650B" w:rsidRPr="005D650B" w:rsidTr="006D00F9">
        <w:tc>
          <w:tcPr>
            <w:tcW w:w="1165" w:type="dxa"/>
          </w:tcPr>
          <w:p w:rsidR="00B316FD" w:rsidRPr="005D650B" w:rsidRDefault="0087356C" w:rsidP="006D00F9">
            <w:pPr>
              <w:pStyle w:val="BodyText"/>
              <w:shd w:val="clear" w:color="auto" w:fill="auto"/>
              <w:tabs>
                <w:tab w:val="left" w:pos="820"/>
              </w:tabs>
              <w:spacing w:line="240" w:lineRule="auto"/>
              <w:jc w:val="center"/>
              <w:rPr>
                <w:rFonts w:ascii="Times New Roman" w:hAnsi="Times New Roman" w:cs="Times New Roman"/>
                <w:bCs/>
              </w:rPr>
            </w:pPr>
            <w:r w:rsidRPr="005D650B">
              <w:rPr>
                <w:rFonts w:ascii="Times New Roman" w:hAnsi="Times New Roman" w:cs="Times New Roman"/>
                <w:bCs/>
              </w:rPr>
              <w:t>SD</w:t>
            </w:r>
          </w:p>
        </w:tc>
        <w:tc>
          <w:tcPr>
            <w:tcW w:w="1360" w:type="dxa"/>
          </w:tcPr>
          <w:p w:rsidR="00B316FD" w:rsidRPr="005D650B" w:rsidRDefault="0087356C"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w:t>
            </w:r>
          </w:p>
        </w:tc>
        <w:tc>
          <w:tcPr>
            <w:tcW w:w="1350" w:type="dxa"/>
          </w:tcPr>
          <w:p w:rsidR="00B316FD" w:rsidRPr="005D650B" w:rsidRDefault="0087356C"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w:t>
            </w:r>
          </w:p>
        </w:tc>
        <w:tc>
          <w:tcPr>
            <w:tcW w:w="1265" w:type="dxa"/>
          </w:tcPr>
          <w:p w:rsidR="00B316FD" w:rsidRPr="005D650B" w:rsidRDefault="0087356C"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-9.841</w:t>
            </w:r>
          </w:p>
        </w:tc>
        <w:tc>
          <w:tcPr>
            <w:tcW w:w="1435" w:type="dxa"/>
          </w:tcPr>
          <w:p w:rsidR="00B316FD" w:rsidRPr="005D650B" w:rsidRDefault="0087356C"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-2.954</w:t>
            </w:r>
          </w:p>
        </w:tc>
        <w:tc>
          <w:tcPr>
            <w:tcW w:w="1080" w:type="dxa"/>
          </w:tcPr>
          <w:p w:rsidR="00B316FD" w:rsidRPr="005D650B" w:rsidRDefault="00B316FD"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I(1)</w:t>
            </w:r>
          </w:p>
        </w:tc>
      </w:tr>
      <w:tr w:rsidR="005D650B" w:rsidRPr="005D650B" w:rsidTr="006D00F9">
        <w:tc>
          <w:tcPr>
            <w:tcW w:w="1165" w:type="dxa"/>
          </w:tcPr>
          <w:p w:rsidR="00B316FD" w:rsidRPr="005D650B" w:rsidRDefault="0087356C"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TRI</w:t>
            </w:r>
          </w:p>
        </w:tc>
        <w:tc>
          <w:tcPr>
            <w:tcW w:w="1360" w:type="dxa"/>
          </w:tcPr>
          <w:p w:rsidR="00B316FD" w:rsidRPr="005D650B" w:rsidRDefault="0087356C" w:rsidP="006D00F9">
            <w:pPr>
              <w:jc w:val="center"/>
              <w:rPr>
                <w:rFonts w:ascii="Times New Roman" w:hAnsi="Times New Roman" w:cs="Times New Roman"/>
              </w:rPr>
            </w:pPr>
            <w:r w:rsidRPr="005D650B">
              <w:rPr>
                <w:rFonts w:ascii="Times New Roman" w:hAnsi="Times New Roman" w:cs="Times New Roman"/>
              </w:rPr>
              <w:t>-------</w:t>
            </w:r>
          </w:p>
        </w:tc>
        <w:tc>
          <w:tcPr>
            <w:tcW w:w="1350" w:type="dxa"/>
          </w:tcPr>
          <w:p w:rsidR="00B316FD" w:rsidRPr="005D650B" w:rsidRDefault="0087356C"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w:t>
            </w:r>
          </w:p>
        </w:tc>
        <w:tc>
          <w:tcPr>
            <w:tcW w:w="1265" w:type="dxa"/>
          </w:tcPr>
          <w:p w:rsidR="00B316FD" w:rsidRPr="005D650B" w:rsidRDefault="0087356C"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-3.059</w:t>
            </w:r>
          </w:p>
        </w:tc>
        <w:tc>
          <w:tcPr>
            <w:tcW w:w="1435" w:type="dxa"/>
          </w:tcPr>
          <w:p w:rsidR="00B316FD" w:rsidRPr="005D650B" w:rsidRDefault="0087356C"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-2.954</w:t>
            </w:r>
          </w:p>
        </w:tc>
        <w:tc>
          <w:tcPr>
            <w:tcW w:w="1080" w:type="dxa"/>
          </w:tcPr>
          <w:p w:rsidR="00B316FD" w:rsidRPr="005D650B" w:rsidRDefault="00B316FD"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I(1)</w:t>
            </w:r>
          </w:p>
        </w:tc>
      </w:tr>
      <w:tr w:rsidR="005D650B" w:rsidRPr="005D650B" w:rsidTr="006D00F9">
        <w:tc>
          <w:tcPr>
            <w:tcW w:w="1165" w:type="dxa"/>
          </w:tcPr>
          <w:p w:rsidR="00B316FD" w:rsidRPr="005D650B" w:rsidRDefault="0087356C"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TRG</w:t>
            </w:r>
          </w:p>
        </w:tc>
        <w:tc>
          <w:tcPr>
            <w:tcW w:w="1360" w:type="dxa"/>
          </w:tcPr>
          <w:p w:rsidR="00B316FD" w:rsidRPr="005D650B" w:rsidRDefault="0087356C" w:rsidP="006D00F9">
            <w:pPr>
              <w:pStyle w:val="BodyText"/>
              <w:shd w:val="clear" w:color="auto" w:fill="auto"/>
              <w:spacing w:line="240" w:lineRule="auto"/>
              <w:jc w:val="center"/>
              <w:rPr>
                <w:rFonts w:ascii="Times New Roman" w:hAnsi="Times New Roman" w:cs="Times New Roman"/>
              </w:rPr>
            </w:pPr>
            <w:r w:rsidRPr="005D650B">
              <w:rPr>
                <w:rFonts w:ascii="Times New Roman" w:hAnsi="Times New Roman" w:cs="Times New Roman"/>
              </w:rPr>
              <w:t>-------</w:t>
            </w:r>
          </w:p>
        </w:tc>
        <w:tc>
          <w:tcPr>
            <w:tcW w:w="1350" w:type="dxa"/>
          </w:tcPr>
          <w:p w:rsidR="00B316FD" w:rsidRPr="005D650B" w:rsidRDefault="0087356C" w:rsidP="006D00F9">
            <w:pPr>
              <w:pStyle w:val="BodyText"/>
              <w:shd w:val="clear" w:color="auto" w:fill="auto"/>
              <w:spacing w:line="240" w:lineRule="auto"/>
              <w:jc w:val="center"/>
              <w:rPr>
                <w:rFonts w:ascii="Times New Roman" w:hAnsi="Times New Roman" w:cs="Times New Roman"/>
              </w:rPr>
            </w:pPr>
            <w:r w:rsidRPr="005D650B">
              <w:rPr>
                <w:rFonts w:ascii="Times New Roman" w:hAnsi="Times New Roman" w:cs="Times New Roman"/>
              </w:rPr>
              <w:t>--------</w:t>
            </w:r>
          </w:p>
        </w:tc>
        <w:tc>
          <w:tcPr>
            <w:tcW w:w="1265" w:type="dxa"/>
          </w:tcPr>
          <w:p w:rsidR="00B316FD" w:rsidRPr="005D650B" w:rsidRDefault="0087356C"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-6.241</w:t>
            </w:r>
          </w:p>
        </w:tc>
        <w:tc>
          <w:tcPr>
            <w:tcW w:w="1435" w:type="dxa"/>
          </w:tcPr>
          <w:p w:rsidR="00B316FD" w:rsidRPr="005D650B" w:rsidRDefault="0087356C"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-2.957</w:t>
            </w:r>
          </w:p>
        </w:tc>
        <w:tc>
          <w:tcPr>
            <w:tcW w:w="1080" w:type="dxa"/>
          </w:tcPr>
          <w:p w:rsidR="00B316FD" w:rsidRPr="005D650B" w:rsidRDefault="00B316FD"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I(1)</w:t>
            </w:r>
          </w:p>
        </w:tc>
      </w:tr>
      <w:tr w:rsidR="005D650B" w:rsidRPr="005D650B" w:rsidTr="006D00F9">
        <w:tc>
          <w:tcPr>
            <w:tcW w:w="1165" w:type="dxa"/>
          </w:tcPr>
          <w:p w:rsidR="00B316FD" w:rsidRPr="005D650B" w:rsidRDefault="00AE36F5"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GDPGR</w:t>
            </w:r>
          </w:p>
        </w:tc>
        <w:tc>
          <w:tcPr>
            <w:tcW w:w="1360" w:type="dxa"/>
          </w:tcPr>
          <w:p w:rsidR="00B316FD" w:rsidRPr="005D650B" w:rsidRDefault="00AE36F5"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-3.798</w:t>
            </w:r>
          </w:p>
        </w:tc>
        <w:tc>
          <w:tcPr>
            <w:tcW w:w="1350" w:type="dxa"/>
          </w:tcPr>
          <w:p w:rsidR="00B316FD" w:rsidRPr="005D650B" w:rsidRDefault="00AE36F5"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-2951</w:t>
            </w:r>
          </w:p>
        </w:tc>
        <w:tc>
          <w:tcPr>
            <w:tcW w:w="1265" w:type="dxa"/>
          </w:tcPr>
          <w:p w:rsidR="00B316FD" w:rsidRPr="005D650B" w:rsidRDefault="00AE36F5"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w:t>
            </w:r>
          </w:p>
        </w:tc>
        <w:tc>
          <w:tcPr>
            <w:tcW w:w="1435" w:type="dxa"/>
          </w:tcPr>
          <w:p w:rsidR="00B316FD" w:rsidRPr="005D650B" w:rsidRDefault="00AE36F5"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w:t>
            </w:r>
          </w:p>
        </w:tc>
        <w:tc>
          <w:tcPr>
            <w:tcW w:w="1080" w:type="dxa"/>
          </w:tcPr>
          <w:p w:rsidR="00B316FD" w:rsidRPr="005D650B" w:rsidRDefault="00AE36F5"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I(0</w:t>
            </w:r>
            <w:r w:rsidR="00B316FD" w:rsidRPr="005D650B">
              <w:rPr>
                <w:rFonts w:ascii="Times New Roman" w:hAnsi="Times New Roman" w:cs="Times New Roman"/>
                <w:bCs/>
              </w:rPr>
              <w:t>)</w:t>
            </w:r>
          </w:p>
        </w:tc>
      </w:tr>
      <w:tr w:rsidR="005D650B" w:rsidRPr="005D650B" w:rsidTr="006D00F9">
        <w:tc>
          <w:tcPr>
            <w:tcW w:w="1165" w:type="dxa"/>
          </w:tcPr>
          <w:p w:rsidR="00B316FD" w:rsidRPr="005D650B" w:rsidRDefault="00AE36F5"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INF</w:t>
            </w:r>
          </w:p>
        </w:tc>
        <w:tc>
          <w:tcPr>
            <w:tcW w:w="1360" w:type="dxa"/>
          </w:tcPr>
          <w:p w:rsidR="00B316FD" w:rsidRPr="005D650B" w:rsidRDefault="00AE36F5" w:rsidP="006D00F9">
            <w:pPr>
              <w:pStyle w:val="BodyText"/>
              <w:shd w:val="clear" w:color="auto" w:fill="auto"/>
              <w:tabs>
                <w:tab w:val="left" w:pos="720"/>
              </w:tabs>
              <w:spacing w:line="240" w:lineRule="auto"/>
              <w:jc w:val="center"/>
              <w:rPr>
                <w:rFonts w:ascii="Times New Roman" w:hAnsi="Times New Roman" w:cs="Times New Roman"/>
                <w:bCs/>
              </w:rPr>
            </w:pPr>
            <w:r w:rsidRPr="005D650B">
              <w:rPr>
                <w:rFonts w:ascii="Times New Roman" w:hAnsi="Times New Roman" w:cs="Times New Roman"/>
                <w:bCs/>
              </w:rPr>
              <w:t>------</w:t>
            </w:r>
          </w:p>
        </w:tc>
        <w:tc>
          <w:tcPr>
            <w:tcW w:w="1350" w:type="dxa"/>
          </w:tcPr>
          <w:p w:rsidR="00B316FD" w:rsidRPr="005D650B" w:rsidRDefault="00AE36F5"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w:t>
            </w:r>
          </w:p>
        </w:tc>
        <w:tc>
          <w:tcPr>
            <w:tcW w:w="1265" w:type="dxa"/>
          </w:tcPr>
          <w:p w:rsidR="00B316FD" w:rsidRPr="005D650B" w:rsidRDefault="00AE36F5"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-4.661</w:t>
            </w:r>
          </w:p>
        </w:tc>
        <w:tc>
          <w:tcPr>
            <w:tcW w:w="1435" w:type="dxa"/>
          </w:tcPr>
          <w:p w:rsidR="00B316FD" w:rsidRPr="005D650B" w:rsidRDefault="00AE36F5"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-2.954</w:t>
            </w:r>
          </w:p>
        </w:tc>
        <w:tc>
          <w:tcPr>
            <w:tcW w:w="1080" w:type="dxa"/>
          </w:tcPr>
          <w:p w:rsidR="00B316FD" w:rsidRPr="005D650B" w:rsidRDefault="00B316FD"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I(1)</w:t>
            </w:r>
          </w:p>
        </w:tc>
      </w:tr>
      <w:tr w:rsidR="005D650B" w:rsidRPr="005D650B" w:rsidTr="006D00F9">
        <w:tc>
          <w:tcPr>
            <w:tcW w:w="1165" w:type="dxa"/>
          </w:tcPr>
          <w:p w:rsidR="00B316FD" w:rsidRPr="005D650B" w:rsidRDefault="00AE36F5"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GEXP</w:t>
            </w:r>
          </w:p>
        </w:tc>
        <w:tc>
          <w:tcPr>
            <w:tcW w:w="1360" w:type="dxa"/>
          </w:tcPr>
          <w:p w:rsidR="00B316FD" w:rsidRPr="005D650B" w:rsidRDefault="00AE36F5"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w:t>
            </w:r>
          </w:p>
        </w:tc>
        <w:tc>
          <w:tcPr>
            <w:tcW w:w="1350" w:type="dxa"/>
          </w:tcPr>
          <w:p w:rsidR="00B316FD" w:rsidRPr="005D650B" w:rsidRDefault="00AE36F5"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w:t>
            </w:r>
          </w:p>
        </w:tc>
        <w:tc>
          <w:tcPr>
            <w:tcW w:w="1265" w:type="dxa"/>
          </w:tcPr>
          <w:p w:rsidR="00B316FD" w:rsidRPr="005D650B" w:rsidRDefault="00AE36F5"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-4.904</w:t>
            </w:r>
          </w:p>
        </w:tc>
        <w:tc>
          <w:tcPr>
            <w:tcW w:w="1435" w:type="dxa"/>
          </w:tcPr>
          <w:p w:rsidR="00B316FD" w:rsidRPr="005D650B" w:rsidRDefault="00AE36F5"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-2.954</w:t>
            </w:r>
          </w:p>
        </w:tc>
        <w:tc>
          <w:tcPr>
            <w:tcW w:w="1080" w:type="dxa"/>
          </w:tcPr>
          <w:p w:rsidR="00B316FD" w:rsidRPr="005D650B" w:rsidRDefault="00B316FD" w:rsidP="006D00F9">
            <w:pPr>
              <w:pStyle w:val="BodyText"/>
              <w:shd w:val="clear" w:color="auto" w:fill="auto"/>
              <w:spacing w:line="240" w:lineRule="auto"/>
              <w:jc w:val="center"/>
              <w:rPr>
                <w:rFonts w:ascii="Times New Roman" w:hAnsi="Times New Roman" w:cs="Times New Roman"/>
                <w:bCs/>
              </w:rPr>
            </w:pPr>
            <w:r w:rsidRPr="005D650B">
              <w:rPr>
                <w:rFonts w:ascii="Times New Roman" w:hAnsi="Times New Roman" w:cs="Times New Roman"/>
                <w:bCs/>
              </w:rPr>
              <w:t>I(1)</w:t>
            </w:r>
          </w:p>
        </w:tc>
      </w:tr>
    </w:tbl>
    <w:p w:rsidR="00B316FD" w:rsidRPr="005D650B" w:rsidRDefault="00B316FD" w:rsidP="00B316FD">
      <w:pPr>
        <w:pStyle w:val="BodyText"/>
        <w:rPr>
          <w:rFonts w:ascii="Times New Roman" w:hAnsi="Times New Roman" w:cs="Times New Roman"/>
          <w:bCs/>
        </w:rPr>
      </w:pPr>
      <w:r w:rsidRPr="005D650B">
        <w:rPr>
          <w:rFonts w:ascii="Times New Roman" w:hAnsi="Times New Roman" w:cs="Times New Roman"/>
          <w:b/>
        </w:rPr>
        <w:t xml:space="preserve">Source: </w:t>
      </w:r>
      <w:r w:rsidRPr="005D650B">
        <w:rPr>
          <w:rFonts w:ascii="Times New Roman" w:hAnsi="Times New Roman" w:cs="Times New Roman"/>
          <w:bCs/>
        </w:rPr>
        <w:t>Research’s Compilation, 2026 from E-view-9</w:t>
      </w:r>
    </w:p>
    <w:p w:rsidR="001922AE" w:rsidRPr="005D650B" w:rsidRDefault="001922AE" w:rsidP="001922AE">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 xml:space="preserve">Table 4.2 presents the results of the Augmented Dickey–Fuller (ADF) unit root test conducted to determine the stationarity properties and order of integration of the variables included in the study. The findings indicate that the gross domestic product growth rate (GDPGR) is stationary at level, as its ADF test statistic (−3.798) is more negative than the corresponding 5 per cent critical value (−2.951). Consequently, the null hypothesis of a unit root is rejected, confirming that GDPGR is integrated of order zero, </w:t>
      </w:r>
      <w:proofErr w:type="gramStart"/>
      <w:r w:rsidRPr="005D650B">
        <w:rPr>
          <w:rFonts w:ascii="Times New Roman" w:hAnsi="Times New Roman" w:cs="Times New Roman"/>
          <w:sz w:val="24"/>
          <w:szCs w:val="24"/>
        </w:rPr>
        <w:t>I(</w:t>
      </w:r>
      <w:proofErr w:type="gramEnd"/>
      <w:r w:rsidRPr="005D650B">
        <w:rPr>
          <w:rFonts w:ascii="Times New Roman" w:hAnsi="Times New Roman" w:cs="Times New Roman"/>
          <w:sz w:val="24"/>
          <w:szCs w:val="24"/>
        </w:rPr>
        <w:t xml:space="preserve">0). In contrast, sustainable development (SD), the tax reform index (TRI), tax revenue as a percentage of GDP (TRG), the inflation rate (INF), and government expenditure (GEXP) are non-stationary at level but become stationary after first differencing. </w:t>
      </w:r>
      <w:r w:rsidRPr="005D650B">
        <w:rPr>
          <w:rFonts w:ascii="Times New Roman" w:hAnsi="Times New Roman" w:cs="Times New Roman"/>
          <w:sz w:val="24"/>
          <w:szCs w:val="24"/>
        </w:rPr>
        <w:lastRenderedPageBreak/>
        <w:t xml:space="preserve">Specifically, their ADF test statistics at first difference are more negative than the respective 5 per cent critical values, leading to the rejection of the null hypothesis of a unit root. This outcome confirms that these variables are integrated of order one, </w:t>
      </w:r>
      <w:proofErr w:type="gramStart"/>
      <w:r w:rsidRPr="005D650B">
        <w:rPr>
          <w:rFonts w:ascii="Times New Roman" w:hAnsi="Times New Roman" w:cs="Times New Roman"/>
          <w:sz w:val="24"/>
          <w:szCs w:val="24"/>
        </w:rPr>
        <w:t>I(</w:t>
      </w:r>
      <w:proofErr w:type="gramEnd"/>
      <w:r w:rsidRPr="005D650B">
        <w:rPr>
          <w:rFonts w:ascii="Times New Roman" w:hAnsi="Times New Roman" w:cs="Times New Roman"/>
          <w:sz w:val="24"/>
          <w:szCs w:val="24"/>
        </w:rPr>
        <w:t xml:space="preserve">1). Overall, the results reveal a mixed order of integration among the variables, with GDPGR integrated at level, I(0), and SD, TRI, TRG, INF, and GEXP integrated at first difference, I(1). Importantly, none of the variables is integrated of order two, </w:t>
      </w:r>
      <w:proofErr w:type="gramStart"/>
      <w:r w:rsidRPr="005D650B">
        <w:rPr>
          <w:rFonts w:ascii="Times New Roman" w:hAnsi="Times New Roman" w:cs="Times New Roman"/>
          <w:sz w:val="24"/>
          <w:szCs w:val="24"/>
        </w:rPr>
        <w:t>I(</w:t>
      </w:r>
      <w:proofErr w:type="gramEnd"/>
      <w:r w:rsidRPr="005D650B">
        <w:rPr>
          <w:rFonts w:ascii="Times New Roman" w:hAnsi="Times New Roman" w:cs="Times New Roman"/>
          <w:sz w:val="24"/>
          <w:szCs w:val="24"/>
        </w:rPr>
        <w:t>2), thereby satisfying a fundamental prerequisite for the application of the Autoregressive Distributed Lag (ARDL) bounds testing approach. The presence of both I(0) and I(1) variables provides strong justification for employing the ARDL framework to examine the short-run and long-run relationships among tax reforms, tax revenue performance, macroeconomic indicators, and sustainable development in Nigeria.</w:t>
      </w:r>
    </w:p>
    <w:p w:rsidR="001922AE" w:rsidRPr="005D650B" w:rsidRDefault="001922AE" w:rsidP="001922AE">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Therefore, the unit root test results establish a sound econometric foundation for the subsequent cointegration analysis and ARDL estimation, ensuring the validity and reliability of the empirical investigation.</w:t>
      </w:r>
    </w:p>
    <w:p w:rsidR="00D032BC" w:rsidRPr="005D650B" w:rsidRDefault="00D032BC" w:rsidP="00D032BC">
      <w:pPr>
        <w:spacing w:after="0" w:line="240" w:lineRule="auto"/>
        <w:jc w:val="both"/>
        <w:rPr>
          <w:rFonts w:ascii="Times New Roman" w:hAnsi="Times New Roman" w:cs="Times New Roman"/>
          <w:b/>
        </w:rPr>
      </w:pPr>
      <w:r w:rsidRPr="005D650B">
        <w:rPr>
          <w:rFonts w:ascii="Times New Roman" w:hAnsi="Times New Roman" w:cs="Times New Roman"/>
          <w:b/>
        </w:rPr>
        <w:t>4.3. Correlation</w:t>
      </w:r>
    </w:p>
    <w:p w:rsidR="00D032BC" w:rsidRPr="005D650B" w:rsidRDefault="00D032BC" w:rsidP="00D032BC">
      <w:pPr>
        <w:spacing w:after="0" w:line="240" w:lineRule="auto"/>
        <w:jc w:val="both"/>
        <w:rPr>
          <w:rFonts w:ascii="Times New Roman" w:hAnsi="Times New Roman" w:cs="Times New Roman"/>
          <w:b/>
        </w:rPr>
      </w:pPr>
      <w:r w:rsidRPr="005D650B">
        <w:rPr>
          <w:rFonts w:ascii="Times New Roman" w:hAnsi="Times New Roman" w:cs="Times New Roman"/>
          <w:b/>
        </w:rPr>
        <w:t>Table 4.3.  Correlation</w:t>
      </w:r>
    </w:p>
    <w:tbl>
      <w:tblPr>
        <w:tblStyle w:val="TableGrid"/>
        <w:tblW w:w="0" w:type="auto"/>
        <w:tblLayout w:type="fixed"/>
        <w:tblLook w:val="0000" w:firstRow="0" w:lastRow="0" w:firstColumn="0" w:lastColumn="0" w:noHBand="0" w:noVBand="0"/>
      </w:tblPr>
      <w:tblGrid>
        <w:gridCol w:w="1075"/>
        <w:gridCol w:w="900"/>
        <w:gridCol w:w="900"/>
        <w:gridCol w:w="900"/>
        <w:gridCol w:w="1080"/>
        <w:gridCol w:w="810"/>
        <w:gridCol w:w="900"/>
      </w:tblGrid>
      <w:tr w:rsidR="005D650B" w:rsidRPr="005D650B" w:rsidTr="003B4FDE">
        <w:trPr>
          <w:trHeight w:val="220"/>
        </w:trPr>
        <w:tc>
          <w:tcPr>
            <w:tcW w:w="1075" w:type="dxa"/>
          </w:tcPr>
          <w:p w:rsidR="00626DE8" w:rsidRPr="005D650B" w:rsidRDefault="00626DE8" w:rsidP="00626DE8">
            <w:pPr>
              <w:rPr>
                <w:rFonts w:ascii="Times New Roman" w:hAnsi="Times New Roman" w:cs="Times New Roman"/>
                <w:sz w:val="24"/>
                <w:szCs w:val="24"/>
              </w:rPr>
            </w:pPr>
          </w:p>
        </w:tc>
        <w:tc>
          <w:tcPr>
            <w:tcW w:w="90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SD</w:t>
            </w:r>
          </w:p>
        </w:tc>
        <w:tc>
          <w:tcPr>
            <w:tcW w:w="90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TRI</w:t>
            </w:r>
          </w:p>
        </w:tc>
        <w:tc>
          <w:tcPr>
            <w:tcW w:w="90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TRG</w:t>
            </w:r>
          </w:p>
        </w:tc>
        <w:tc>
          <w:tcPr>
            <w:tcW w:w="108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GDPGR</w:t>
            </w:r>
          </w:p>
        </w:tc>
        <w:tc>
          <w:tcPr>
            <w:tcW w:w="81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INF</w:t>
            </w:r>
          </w:p>
        </w:tc>
        <w:tc>
          <w:tcPr>
            <w:tcW w:w="90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GEXP</w:t>
            </w:r>
          </w:p>
        </w:tc>
      </w:tr>
      <w:tr w:rsidR="005D650B" w:rsidRPr="005D650B" w:rsidTr="003B4FDE">
        <w:trPr>
          <w:trHeight w:val="220"/>
        </w:trPr>
        <w:tc>
          <w:tcPr>
            <w:tcW w:w="1075"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SD</w:t>
            </w:r>
          </w:p>
        </w:tc>
        <w:tc>
          <w:tcPr>
            <w:tcW w:w="90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1</w:t>
            </w:r>
          </w:p>
        </w:tc>
        <w:tc>
          <w:tcPr>
            <w:tcW w:w="900" w:type="dxa"/>
          </w:tcPr>
          <w:p w:rsidR="00626DE8" w:rsidRPr="005D650B" w:rsidRDefault="00626DE8" w:rsidP="00626DE8">
            <w:pPr>
              <w:rPr>
                <w:rFonts w:ascii="Times New Roman" w:hAnsi="Times New Roman" w:cs="Times New Roman"/>
                <w:sz w:val="24"/>
                <w:szCs w:val="24"/>
              </w:rPr>
            </w:pPr>
          </w:p>
        </w:tc>
        <w:tc>
          <w:tcPr>
            <w:tcW w:w="900" w:type="dxa"/>
          </w:tcPr>
          <w:p w:rsidR="00626DE8" w:rsidRPr="005D650B" w:rsidRDefault="00626DE8" w:rsidP="00626DE8">
            <w:pPr>
              <w:rPr>
                <w:rFonts w:ascii="Times New Roman" w:hAnsi="Times New Roman" w:cs="Times New Roman"/>
                <w:sz w:val="24"/>
                <w:szCs w:val="24"/>
              </w:rPr>
            </w:pPr>
          </w:p>
        </w:tc>
        <w:tc>
          <w:tcPr>
            <w:tcW w:w="1080" w:type="dxa"/>
          </w:tcPr>
          <w:p w:rsidR="00626DE8" w:rsidRPr="005D650B" w:rsidRDefault="00626DE8" w:rsidP="00626DE8">
            <w:pPr>
              <w:rPr>
                <w:rFonts w:ascii="Times New Roman" w:hAnsi="Times New Roman" w:cs="Times New Roman"/>
                <w:sz w:val="24"/>
                <w:szCs w:val="24"/>
              </w:rPr>
            </w:pPr>
          </w:p>
        </w:tc>
        <w:tc>
          <w:tcPr>
            <w:tcW w:w="810" w:type="dxa"/>
          </w:tcPr>
          <w:p w:rsidR="00626DE8" w:rsidRPr="005D650B" w:rsidRDefault="00626DE8" w:rsidP="00626DE8">
            <w:pPr>
              <w:rPr>
                <w:rFonts w:ascii="Times New Roman" w:hAnsi="Times New Roman" w:cs="Times New Roman"/>
                <w:sz w:val="24"/>
                <w:szCs w:val="24"/>
              </w:rPr>
            </w:pPr>
          </w:p>
        </w:tc>
        <w:tc>
          <w:tcPr>
            <w:tcW w:w="900" w:type="dxa"/>
          </w:tcPr>
          <w:p w:rsidR="00626DE8" w:rsidRPr="005D650B" w:rsidRDefault="00626DE8" w:rsidP="00626DE8">
            <w:pPr>
              <w:rPr>
                <w:rFonts w:ascii="Times New Roman" w:hAnsi="Times New Roman" w:cs="Times New Roman"/>
                <w:sz w:val="24"/>
                <w:szCs w:val="24"/>
              </w:rPr>
            </w:pPr>
          </w:p>
        </w:tc>
      </w:tr>
      <w:tr w:rsidR="005D650B" w:rsidRPr="005D650B" w:rsidTr="003B4FDE">
        <w:trPr>
          <w:trHeight w:val="220"/>
        </w:trPr>
        <w:tc>
          <w:tcPr>
            <w:tcW w:w="1075"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TRI</w:t>
            </w:r>
          </w:p>
        </w:tc>
        <w:tc>
          <w:tcPr>
            <w:tcW w:w="90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0.977</w:t>
            </w:r>
          </w:p>
        </w:tc>
        <w:tc>
          <w:tcPr>
            <w:tcW w:w="90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1</w:t>
            </w:r>
          </w:p>
        </w:tc>
        <w:tc>
          <w:tcPr>
            <w:tcW w:w="900" w:type="dxa"/>
          </w:tcPr>
          <w:p w:rsidR="00626DE8" w:rsidRPr="005D650B" w:rsidRDefault="00626DE8" w:rsidP="00626DE8">
            <w:pPr>
              <w:rPr>
                <w:rFonts w:ascii="Times New Roman" w:hAnsi="Times New Roman" w:cs="Times New Roman"/>
                <w:sz w:val="24"/>
                <w:szCs w:val="24"/>
              </w:rPr>
            </w:pPr>
          </w:p>
        </w:tc>
        <w:tc>
          <w:tcPr>
            <w:tcW w:w="1080" w:type="dxa"/>
          </w:tcPr>
          <w:p w:rsidR="00626DE8" w:rsidRPr="005D650B" w:rsidRDefault="00626DE8" w:rsidP="00626DE8">
            <w:pPr>
              <w:rPr>
                <w:rFonts w:ascii="Times New Roman" w:hAnsi="Times New Roman" w:cs="Times New Roman"/>
                <w:sz w:val="24"/>
                <w:szCs w:val="24"/>
              </w:rPr>
            </w:pPr>
          </w:p>
        </w:tc>
        <w:tc>
          <w:tcPr>
            <w:tcW w:w="810" w:type="dxa"/>
          </w:tcPr>
          <w:p w:rsidR="00626DE8" w:rsidRPr="005D650B" w:rsidRDefault="00626DE8" w:rsidP="00626DE8">
            <w:pPr>
              <w:rPr>
                <w:rFonts w:ascii="Times New Roman" w:hAnsi="Times New Roman" w:cs="Times New Roman"/>
                <w:sz w:val="24"/>
                <w:szCs w:val="24"/>
              </w:rPr>
            </w:pPr>
          </w:p>
        </w:tc>
        <w:tc>
          <w:tcPr>
            <w:tcW w:w="900" w:type="dxa"/>
          </w:tcPr>
          <w:p w:rsidR="00626DE8" w:rsidRPr="005D650B" w:rsidRDefault="00626DE8" w:rsidP="00626DE8">
            <w:pPr>
              <w:rPr>
                <w:rFonts w:ascii="Times New Roman" w:hAnsi="Times New Roman" w:cs="Times New Roman"/>
                <w:sz w:val="24"/>
                <w:szCs w:val="24"/>
              </w:rPr>
            </w:pPr>
          </w:p>
        </w:tc>
      </w:tr>
      <w:tr w:rsidR="005D650B" w:rsidRPr="005D650B" w:rsidTr="003B4FDE">
        <w:trPr>
          <w:trHeight w:val="220"/>
        </w:trPr>
        <w:tc>
          <w:tcPr>
            <w:tcW w:w="1075"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TRG</w:t>
            </w:r>
          </w:p>
        </w:tc>
        <w:tc>
          <w:tcPr>
            <w:tcW w:w="90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0.926</w:t>
            </w:r>
          </w:p>
        </w:tc>
        <w:tc>
          <w:tcPr>
            <w:tcW w:w="90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0.868</w:t>
            </w:r>
          </w:p>
        </w:tc>
        <w:tc>
          <w:tcPr>
            <w:tcW w:w="90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1</w:t>
            </w:r>
          </w:p>
        </w:tc>
        <w:tc>
          <w:tcPr>
            <w:tcW w:w="1080" w:type="dxa"/>
          </w:tcPr>
          <w:p w:rsidR="00626DE8" w:rsidRPr="005D650B" w:rsidRDefault="00626DE8" w:rsidP="00626DE8">
            <w:pPr>
              <w:rPr>
                <w:rFonts w:ascii="Times New Roman" w:hAnsi="Times New Roman" w:cs="Times New Roman"/>
                <w:sz w:val="24"/>
                <w:szCs w:val="24"/>
              </w:rPr>
            </w:pPr>
          </w:p>
        </w:tc>
        <w:tc>
          <w:tcPr>
            <w:tcW w:w="810" w:type="dxa"/>
          </w:tcPr>
          <w:p w:rsidR="00626DE8" w:rsidRPr="005D650B" w:rsidRDefault="00626DE8" w:rsidP="00626DE8">
            <w:pPr>
              <w:rPr>
                <w:rFonts w:ascii="Times New Roman" w:hAnsi="Times New Roman" w:cs="Times New Roman"/>
                <w:sz w:val="24"/>
                <w:szCs w:val="24"/>
              </w:rPr>
            </w:pPr>
          </w:p>
        </w:tc>
        <w:tc>
          <w:tcPr>
            <w:tcW w:w="900" w:type="dxa"/>
          </w:tcPr>
          <w:p w:rsidR="00626DE8" w:rsidRPr="005D650B" w:rsidRDefault="00626DE8" w:rsidP="00626DE8">
            <w:pPr>
              <w:rPr>
                <w:rFonts w:ascii="Times New Roman" w:hAnsi="Times New Roman" w:cs="Times New Roman"/>
                <w:sz w:val="24"/>
                <w:szCs w:val="24"/>
              </w:rPr>
            </w:pPr>
          </w:p>
        </w:tc>
      </w:tr>
      <w:tr w:rsidR="005D650B" w:rsidRPr="005D650B" w:rsidTr="003B4FDE">
        <w:trPr>
          <w:trHeight w:val="220"/>
        </w:trPr>
        <w:tc>
          <w:tcPr>
            <w:tcW w:w="1075"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GDPGR</w:t>
            </w:r>
          </w:p>
        </w:tc>
        <w:tc>
          <w:tcPr>
            <w:tcW w:w="90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-0.025</w:t>
            </w:r>
          </w:p>
        </w:tc>
        <w:tc>
          <w:tcPr>
            <w:tcW w:w="90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-0.114</w:t>
            </w:r>
          </w:p>
        </w:tc>
        <w:tc>
          <w:tcPr>
            <w:tcW w:w="90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0.145</w:t>
            </w:r>
          </w:p>
        </w:tc>
        <w:tc>
          <w:tcPr>
            <w:tcW w:w="108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1</w:t>
            </w:r>
          </w:p>
        </w:tc>
        <w:tc>
          <w:tcPr>
            <w:tcW w:w="810" w:type="dxa"/>
          </w:tcPr>
          <w:p w:rsidR="00626DE8" w:rsidRPr="005D650B" w:rsidRDefault="00626DE8" w:rsidP="00626DE8">
            <w:pPr>
              <w:rPr>
                <w:rFonts w:ascii="Times New Roman" w:hAnsi="Times New Roman" w:cs="Times New Roman"/>
                <w:sz w:val="24"/>
                <w:szCs w:val="24"/>
              </w:rPr>
            </w:pPr>
          </w:p>
        </w:tc>
        <w:tc>
          <w:tcPr>
            <w:tcW w:w="900" w:type="dxa"/>
          </w:tcPr>
          <w:p w:rsidR="00626DE8" w:rsidRPr="005D650B" w:rsidRDefault="00626DE8" w:rsidP="00626DE8">
            <w:pPr>
              <w:rPr>
                <w:rFonts w:ascii="Times New Roman" w:hAnsi="Times New Roman" w:cs="Times New Roman"/>
                <w:sz w:val="24"/>
                <w:szCs w:val="24"/>
              </w:rPr>
            </w:pPr>
          </w:p>
        </w:tc>
      </w:tr>
      <w:tr w:rsidR="005D650B" w:rsidRPr="005D650B" w:rsidTr="003B4FDE">
        <w:trPr>
          <w:trHeight w:val="220"/>
        </w:trPr>
        <w:tc>
          <w:tcPr>
            <w:tcW w:w="1075"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INF</w:t>
            </w:r>
          </w:p>
        </w:tc>
        <w:tc>
          <w:tcPr>
            <w:tcW w:w="90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-0.370</w:t>
            </w:r>
          </w:p>
        </w:tc>
        <w:tc>
          <w:tcPr>
            <w:tcW w:w="90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-0.288</w:t>
            </w:r>
          </w:p>
        </w:tc>
        <w:tc>
          <w:tcPr>
            <w:tcW w:w="90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-0.384</w:t>
            </w:r>
          </w:p>
        </w:tc>
        <w:tc>
          <w:tcPr>
            <w:tcW w:w="108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-0.424</w:t>
            </w:r>
          </w:p>
        </w:tc>
        <w:tc>
          <w:tcPr>
            <w:tcW w:w="81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1</w:t>
            </w:r>
          </w:p>
        </w:tc>
        <w:tc>
          <w:tcPr>
            <w:tcW w:w="900" w:type="dxa"/>
          </w:tcPr>
          <w:p w:rsidR="00626DE8" w:rsidRPr="005D650B" w:rsidRDefault="00626DE8" w:rsidP="00626DE8">
            <w:pPr>
              <w:rPr>
                <w:rFonts w:ascii="Times New Roman" w:hAnsi="Times New Roman" w:cs="Times New Roman"/>
                <w:sz w:val="24"/>
                <w:szCs w:val="24"/>
              </w:rPr>
            </w:pPr>
          </w:p>
        </w:tc>
      </w:tr>
      <w:tr w:rsidR="005D650B" w:rsidRPr="005D650B" w:rsidTr="003B4FDE">
        <w:trPr>
          <w:trHeight w:val="220"/>
        </w:trPr>
        <w:tc>
          <w:tcPr>
            <w:tcW w:w="1075"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GEXP</w:t>
            </w:r>
          </w:p>
        </w:tc>
        <w:tc>
          <w:tcPr>
            <w:tcW w:w="90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-0.526</w:t>
            </w:r>
          </w:p>
        </w:tc>
        <w:tc>
          <w:tcPr>
            <w:tcW w:w="90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-0.533</w:t>
            </w:r>
          </w:p>
        </w:tc>
        <w:tc>
          <w:tcPr>
            <w:tcW w:w="90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-0.405</w:t>
            </w:r>
          </w:p>
        </w:tc>
        <w:tc>
          <w:tcPr>
            <w:tcW w:w="108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0.296</w:t>
            </w:r>
          </w:p>
        </w:tc>
        <w:tc>
          <w:tcPr>
            <w:tcW w:w="81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0.121</w:t>
            </w:r>
          </w:p>
        </w:tc>
        <w:tc>
          <w:tcPr>
            <w:tcW w:w="900" w:type="dxa"/>
          </w:tcPr>
          <w:p w:rsidR="00626DE8" w:rsidRPr="005D650B" w:rsidRDefault="00626DE8" w:rsidP="00626DE8">
            <w:pPr>
              <w:rPr>
                <w:rFonts w:ascii="Times New Roman" w:hAnsi="Times New Roman" w:cs="Times New Roman"/>
                <w:sz w:val="24"/>
                <w:szCs w:val="24"/>
              </w:rPr>
            </w:pPr>
            <w:r w:rsidRPr="005D650B">
              <w:rPr>
                <w:rFonts w:ascii="Times New Roman" w:hAnsi="Times New Roman" w:cs="Times New Roman"/>
                <w:sz w:val="24"/>
                <w:szCs w:val="24"/>
              </w:rPr>
              <w:t>1</w:t>
            </w:r>
          </w:p>
        </w:tc>
      </w:tr>
    </w:tbl>
    <w:p w:rsidR="00626DE8" w:rsidRPr="005D650B" w:rsidRDefault="00626DE8" w:rsidP="00626DE8">
      <w:pPr>
        <w:pStyle w:val="BodyText"/>
        <w:rPr>
          <w:rFonts w:ascii="Times New Roman" w:hAnsi="Times New Roman" w:cs="Times New Roman"/>
          <w:bCs/>
        </w:rPr>
      </w:pPr>
      <w:r w:rsidRPr="005D650B">
        <w:rPr>
          <w:rFonts w:ascii="Times New Roman" w:hAnsi="Times New Roman" w:cs="Times New Roman"/>
          <w:b/>
        </w:rPr>
        <w:t xml:space="preserve">Source: </w:t>
      </w:r>
      <w:r w:rsidRPr="005D650B">
        <w:rPr>
          <w:rFonts w:ascii="Times New Roman" w:hAnsi="Times New Roman" w:cs="Times New Roman"/>
          <w:bCs/>
        </w:rPr>
        <w:t>Research’s Compilation, 2026 from E-view-9</w:t>
      </w:r>
    </w:p>
    <w:p w:rsidR="00FD687A" w:rsidRPr="005D650B" w:rsidRDefault="00FD687A" w:rsidP="00FD687A">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Table 4.3 indicates that sustainable development is strongly and positively correlated with both the tax reform index and tax revenue, suggesting that improvements in tax reforms and revenue mobilisation contribute to enhanced sustainable development outcomes. In contrast, sustainable development exhibits weak or negative correlations with GDP growth, inflation, and government expenditure, implying limited or adverse linear associations with these macroeconomic indicators. The tax reform index and tax revenue are also strongly and positively related to each other, while inflation displays predominantly negative correlations with most variables, highlighting its potentially destabilising influence on economic performance and development outcomes. Overall, the results reveal a strong interrelationship among fiscal variables, particularly tax reform and tax revenue, whereas the macroeconomic variables demonstrate weaker and largely negative associations; however, these correlations do not imply causality.</w:t>
      </w:r>
    </w:p>
    <w:p w:rsidR="0033470A" w:rsidRPr="005D650B" w:rsidRDefault="0033470A" w:rsidP="0033470A">
      <w:pPr>
        <w:spacing w:after="0" w:line="240" w:lineRule="auto"/>
        <w:jc w:val="both"/>
        <w:rPr>
          <w:rFonts w:ascii="Times New Roman" w:hAnsi="Times New Roman" w:cs="Times New Roman"/>
          <w:b/>
        </w:rPr>
      </w:pPr>
      <w:r w:rsidRPr="005D650B">
        <w:rPr>
          <w:rFonts w:ascii="Times New Roman" w:hAnsi="Times New Roman" w:cs="Times New Roman"/>
          <w:b/>
        </w:rPr>
        <w:lastRenderedPageBreak/>
        <w:t>4.4 Results for</w:t>
      </w:r>
      <w:r w:rsidRPr="005D650B">
        <w:rPr>
          <w:rFonts w:ascii="Times New Roman" w:hAnsi="Times New Roman" w:cs="Times New Roman"/>
        </w:rPr>
        <w:t xml:space="preserve"> </w:t>
      </w:r>
      <w:r w:rsidRPr="005D650B">
        <w:rPr>
          <w:rFonts w:ascii="Times New Roman" w:hAnsi="Times New Roman" w:cs="Times New Roman"/>
          <w:b/>
        </w:rPr>
        <w:t xml:space="preserve">Johansen Co-Integration Test </w:t>
      </w:r>
    </w:p>
    <w:p w:rsidR="0033470A" w:rsidRPr="005D650B" w:rsidRDefault="0033470A" w:rsidP="0033470A">
      <w:pPr>
        <w:spacing w:after="0" w:line="240" w:lineRule="auto"/>
        <w:jc w:val="both"/>
        <w:rPr>
          <w:rFonts w:ascii="Times New Roman" w:hAnsi="Times New Roman" w:cs="Times New Roman"/>
          <w:b/>
        </w:rPr>
      </w:pPr>
      <w:r w:rsidRPr="005D650B">
        <w:rPr>
          <w:rFonts w:ascii="Times New Roman" w:hAnsi="Times New Roman" w:cs="Times New Roman"/>
          <w:b/>
        </w:rPr>
        <w:t xml:space="preserve">Table 4.4: </w:t>
      </w:r>
      <w:r w:rsidRPr="005D650B">
        <w:rPr>
          <w:rFonts w:ascii="Times New Roman" w:hAnsi="Times New Roman" w:cs="Times New Roman"/>
        </w:rPr>
        <w:t>Johansen Co-Integration Test</w:t>
      </w:r>
      <w:r w:rsidRPr="005D650B">
        <w:rPr>
          <w:rFonts w:ascii="Times New Roman" w:hAnsi="Times New Roman" w:cs="Times New Roman"/>
          <w:b/>
        </w:rPr>
        <w:t xml:space="preserve"> </w:t>
      </w:r>
    </w:p>
    <w:tbl>
      <w:tblPr>
        <w:tblStyle w:val="TableGrid"/>
        <w:tblW w:w="0" w:type="auto"/>
        <w:tblLayout w:type="fixed"/>
        <w:tblLook w:val="0000" w:firstRow="0" w:lastRow="0" w:firstColumn="0" w:lastColumn="0" w:noHBand="0" w:noVBand="0"/>
      </w:tblPr>
      <w:tblGrid>
        <w:gridCol w:w="1615"/>
        <w:gridCol w:w="900"/>
        <w:gridCol w:w="1080"/>
        <w:gridCol w:w="1440"/>
        <w:gridCol w:w="1080"/>
      </w:tblGrid>
      <w:tr w:rsidR="005D650B" w:rsidRPr="005D650B" w:rsidTr="005B5C32">
        <w:trPr>
          <w:trHeight w:val="220"/>
        </w:trPr>
        <w:tc>
          <w:tcPr>
            <w:tcW w:w="1615" w:type="dxa"/>
          </w:tcPr>
          <w:p w:rsidR="005B5C32"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Hypothesized</w:t>
            </w:r>
          </w:p>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xml:space="preserve"> No. of CE(s) </w:t>
            </w:r>
          </w:p>
        </w:tc>
        <w:tc>
          <w:tcPr>
            <w:tcW w:w="900" w:type="dxa"/>
          </w:tcPr>
          <w:p w:rsidR="005B5C32"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Eigen</w:t>
            </w:r>
          </w:p>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xml:space="preserve">value </w:t>
            </w:r>
          </w:p>
        </w:tc>
        <w:tc>
          <w:tcPr>
            <w:tcW w:w="1080" w:type="dxa"/>
          </w:tcPr>
          <w:p w:rsidR="005B5C32"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Trace</w:t>
            </w:r>
          </w:p>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xml:space="preserve">Statistic </w:t>
            </w:r>
          </w:p>
        </w:tc>
        <w:tc>
          <w:tcPr>
            <w:tcW w:w="144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xml:space="preserve">0.05 Critical Value </w:t>
            </w:r>
          </w:p>
        </w:tc>
        <w:tc>
          <w:tcPr>
            <w:tcW w:w="108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xml:space="preserve">Prob.** </w:t>
            </w:r>
          </w:p>
        </w:tc>
      </w:tr>
      <w:tr w:rsidR="005D650B" w:rsidRPr="005D650B" w:rsidTr="005B5C32">
        <w:trPr>
          <w:trHeight w:val="220"/>
        </w:trPr>
        <w:tc>
          <w:tcPr>
            <w:tcW w:w="1615"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None *</w:t>
            </w:r>
          </w:p>
        </w:tc>
        <w:tc>
          <w:tcPr>
            <w:tcW w:w="90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0.883</w:t>
            </w:r>
          </w:p>
        </w:tc>
        <w:tc>
          <w:tcPr>
            <w:tcW w:w="108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164.018</w:t>
            </w:r>
          </w:p>
        </w:tc>
        <w:tc>
          <w:tcPr>
            <w:tcW w:w="144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95.754</w:t>
            </w:r>
          </w:p>
        </w:tc>
        <w:tc>
          <w:tcPr>
            <w:tcW w:w="108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0.000**</w:t>
            </w:r>
          </w:p>
        </w:tc>
      </w:tr>
      <w:tr w:rsidR="005D650B" w:rsidRPr="005D650B" w:rsidTr="005B5C32">
        <w:trPr>
          <w:trHeight w:val="220"/>
        </w:trPr>
        <w:tc>
          <w:tcPr>
            <w:tcW w:w="1615"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At most 1 *</w:t>
            </w:r>
          </w:p>
        </w:tc>
        <w:tc>
          <w:tcPr>
            <w:tcW w:w="90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0.743</w:t>
            </w:r>
          </w:p>
        </w:tc>
        <w:tc>
          <w:tcPr>
            <w:tcW w:w="108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93.334</w:t>
            </w:r>
          </w:p>
        </w:tc>
        <w:tc>
          <w:tcPr>
            <w:tcW w:w="144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69.819</w:t>
            </w:r>
          </w:p>
        </w:tc>
        <w:tc>
          <w:tcPr>
            <w:tcW w:w="108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0.000**</w:t>
            </w:r>
          </w:p>
        </w:tc>
      </w:tr>
      <w:tr w:rsidR="005D650B" w:rsidRPr="005D650B" w:rsidTr="005B5C32">
        <w:trPr>
          <w:trHeight w:val="220"/>
        </w:trPr>
        <w:tc>
          <w:tcPr>
            <w:tcW w:w="1615"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At most 2 *</w:t>
            </w:r>
          </w:p>
        </w:tc>
        <w:tc>
          <w:tcPr>
            <w:tcW w:w="90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0.478</w:t>
            </w:r>
          </w:p>
        </w:tc>
        <w:tc>
          <w:tcPr>
            <w:tcW w:w="108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48.500</w:t>
            </w:r>
          </w:p>
        </w:tc>
        <w:tc>
          <w:tcPr>
            <w:tcW w:w="144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47.856</w:t>
            </w:r>
          </w:p>
        </w:tc>
        <w:tc>
          <w:tcPr>
            <w:tcW w:w="108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0.043</w:t>
            </w:r>
            <w:r w:rsidR="005B5C32" w:rsidRPr="005D650B">
              <w:rPr>
                <w:rFonts w:ascii="Times New Roman" w:hAnsi="Times New Roman" w:cs="Times New Roman"/>
                <w:sz w:val="24"/>
                <w:szCs w:val="24"/>
              </w:rPr>
              <w:t>**</w:t>
            </w:r>
          </w:p>
        </w:tc>
      </w:tr>
      <w:tr w:rsidR="005D650B" w:rsidRPr="005D650B" w:rsidTr="005B5C32">
        <w:trPr>
          <w:trHeight w:val="220"/>
        </w:trPr>
        <w:tc>
          <w:tcPr>
            <w:tcW w:w="1615"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At most 3</w:t>
            </w:r>
          </w:p>
        </w:tc>
        <w:tc>
          <w:tcPr>
            <w:tcW w:w="90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0.421</w:t>
            </w:r>
          </w:p>
        </w:tc>
        <w:tc>
          <w:tcPr>
            <w:tcW w:w="108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27.036</w:t>
            </w:r>
          </w:p>
        </w:tc>
        <w:tc>
          <w:tcPr>
            <w:tcW w:w="144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29.797</w:t>
            </w:r>
          </w:p>
        </w:tc>
        <w:tc>
          <w:tcPr>
            <w:tcW w:w="108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0.101</w:t>
            </w:r>
          </w:p>
        </w:tc>
      </w:tr>
      <w:tr w:rsidR="005D650B" w:rsidRPr="005D650B" w:rsidTr="005B5C32">
        <w:trPr>
          <w:trHeight w:val="220"/>
        </w:trPr>
        <w:tc>
          <w:tcPr>
            <w:tcW w:w="1615"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At most 4</w:t>
            </w:r>
          </w:p>
        </w:tc>
        <w:tc>
          <w:tcPr>
            <w:tcW w:w="90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0.191</w:t>
            </w:r>
          </w:p>
        </w:tc>
        <w:tc>
          <w:tcPr>
            <w:tcW w:w="108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8.994</w:t>
            </w:r>
          </w:p>
        </w:tc>
        <w:tc>
          <w:tcPr>
            <w:tcW w:w="144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15.495</w:t>
            </w:r>
          </w:p>
        </w:tc>
        <w:tc>
          <w:tcPr>
            <w:tcW w:w="108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0.366</w:t>
            </w:r>
          </w:p>
        </w:tc>
      </w:tr>
      <w:tr w:rsidR="005D650B" w:rsidRPr="005D650B" w:rsidTr="005B5C32">
        <w:trPr>
          <w:trHeight w:val="220"/>
        </w:trPr>
        <w:tc>
          <w:tcPr>
            <w:tcW w:w="1615"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At most 5</w:t>
            </w:r>
          </w:p>
        </w:tc>
        <w:tc>
          <w:tcPr>
            <w:tcW w:w="90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0.059</w:t>
            </w:r>
          </w:p>
        </w:tc>
        <w:tc>
          <w:tcPr>
            <w:tcW w:w="108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2.003</w:t>
            </w:r>
          </w:p>
        </w:tc>
        <w:tc>
          <w:tcPr>
            <w:tcW w:w="144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3.841</w:t>
            </w:r>
          </w:p>
        </w:tc>
        <w:tc>
          <w:tcPr>
            <w:tcW w:w="1080" w:type="dxa"/>
          </w:tcPr>
          <w:p w:rsidR="0033470A" w:rsidRPr="005D650B" w:rsidRDefault="0033470A" w:rsidP="0033470A">
            <w:pPr>
              <w:rPr>
                <w:rFonts w:ascii="Times New Roman" w:hAnsi="Times New Roman" w:cs="Times New Roman"/>
                <w:sz w:val="24"/>
                <w:szCs w:val="24"/>
              </w:rPr>
            </w:pPr>
            <w:r w:rsidRPr="005D650B">
              <w:rPr>
                <w:rFonts w:ascii="Times New Roman" w:hAnsi="Times New Roman" w:cs="Times New Roman"/>
                <w:sz w:val="24"/>
                <w:szCs w:val="24"/>
              </w:rPr>
              <w:t> 0.157</w:t>
            </w:r>
          </w:p>
        </w:tc>
      </w:tr>
      <w:tr w:rsidR="005D650B" w:rsidRPr="005D650B" w:rsidTr="00074B93">
        <w:tblPrEx>
          <w:tblLook w:val="04A0" w:firstRow="1" w:lastRow="0" w:firstColumn="1" w:lastColumn="0" w:noHBand="0" w:noVBand="1"/>
        </w:tblPrEx>
        <w:tc>
          <w:tcPr>
            <w:tcW w:w="6115" w:type="dxa"/>
            <w:gridSpan w:val="5"/>
          </w:tcPr>
          <w:p w:rsidR="00074B93" w:rsidRPr="005D650B" w:rsidRDefault="00074B93" w:rsidP="00074B93">
            <w:pPr>
              <w:pStyle w:val="BodyText"/>
              <w:shd w:val="clear" w:color="auto" w:fill="auto"/>
              <w:spacing w:line="240" w:lineRule="auto"/>
              <w:rPr>
                <w:rFonts w:ascii="Times New Roman" w:hAnsi="Times New Roman" w:cs="Times New Roman"/>
              </w:rPr>
            </w:pPr>
            <w:r w:rsidRPr="005D650B">
              <w:rPr>
                <w:rFonts w:ascii="Times New Roman" w:hAnsi="Times New Roman" w:cs="Times New Roman"/>
              </w:rPr>
              <w:t>Trace test indicates 3 cointegrating eqn(s) at the 0.05 level</w:t>
            </w:r>
          </w:p>
          <w:p w:rsidR="00074B93" w:rsidRPr="005D650B" w:rsidRDefault="00074B93" w:rsidP="00074B93">
            <w:pPr>
              <w:pStyle w:val="BodyText"/>
              <w:shd w:val="clear" w:color="auto" w:fill="auto"/>
              <w:spacing w:line="240" w:lineRule="auto"/>
              <w:rPr>
                <w:rFonts w:ascii="Times New Roman" w:hAnsi="Times New Roman" w:cs="Times New Roman"/>
              </w:rPr>
            </w:pPr>
            <w:r w:rsidRPr="005D650B">
              <w:rPr>
                <w:rFonts w:ascii="Times New Roman" w:hAnsi="Times New Roman" w:cs="Times New Roman"/>
              </w:rPr>
              <w:t>*denotes rejection of the hypothesis at the 0.05 level</w:t>
            </w:r>
          </w:p>
          <w:p w:rsidR="00074B93" w:rsidRPr="005D650B" w:rsidRDefault="00074B93" w:rsidP="00074B93">
            <w:pPr>
              <w:pStyle w:val="BodyText"/>
              <w:shd w:val="clear" w:color="auto" w:fill="auto"/>
              <w:spacing w:line="240" w:lineRule="auto"/>
              <w:rPr>
                <w:rFonts w:ascii="Times New Roman" w:hAnsi="Times New Roman" w:cs="Times New Roman"/>
                <w:b/>
              </w:rPr>
            </w:pPr>
            <w:r w:rsidRPr="005D650B">
              <w:rPr>
                <w:rFonts w:ascii="Times New Roman" w:hAnsi="Times New Roman" w:cs="Times New Roman"/>
              </w:rPr>
              <w:t>** Mackinnon-Hang-Michelis (1999) P-values</w:t>
            </w:r>
          </w:p>
        </w:tc>
      </w:tr>
    </w:tbl>
    <w:p w:rsidR="0039322C" w:rsidRPr="005D650B" w:rsidRDefault="003D196F" w:rsidP="0039322C">
      <w:pPr>
        <w:pStyle w:val="BodyText"/>
        <w:rPr>
          <w:rFonts w:ascii="Times New Roman" w:hAnsi="Times New Roman" w:cs="Times New Roman"/>
          <w:bCs/>
        </w:rPr>
      </w:pPr>
      <w:r w:rsidRPr="005D650B">
        <w:rPr>
          <w:rFonts w:ascii="Times New Roman" w:hAnsi="Times New Roman" w:cs="Times New Roman"/>
          <w:b/>
          <w:i/>
        </w:rPr>
        <w:t>Source:</w:t>
      </w:r>
      <w:r w:rsidRPr="005D650B">
        <w:rPr>
          <w:rFonts w:ascii="Times New Roman" w:hAnsi="Times New Roman" w:cs="Times New Roman"/>
          <w:b/>
        </w:rPr>
        <w:t xml:space="preserve"> </w:t>
      </w:r>
      <w:r w:rsidRPr="005D650B">
        <w:rPr>
          <w:rFonts w:ascii="Times New Roman" w:hAnsi="Times New Roman" w:cs="Times New Roman"/>
          <w:bCs/>
        </w:rPr>
        <w:t>Research’s Compilation, 2026 from E-view-9</w:t>
      </w:r>
    </w:p>
    <w:p w:rsidR="00F17E32" w:rsidRPr="005D650B" w:rsidRDefault="00F17E32" w:rsidP="0039322C">
      <w:pPr>
        <w:pStyle w:val="BodyText"/>
        <w:spacing w:line="360" w:lineRule="auto"/>
        <w:rPr>
          <w:rFonts w:ascii="Times New Roman" w:hAnsi="Times New Roman" w:cs="Times New Roman"/>
          <w:bCs/>
        </w:rPr>
      </w:pPr>
      <w:r w:rsidRPr="005D650B">
        <w:rPr>
          <w:rFonts w:ascii="Times New Roman" w:hAnsi="Times New Roman" w:cs="Times New Roman"/>
          <w:sz w:val="24"/>
          <w:szCs w:val="24"/>
        </w:rPr>
        <w:t>Table 4.4 presents the Johansen cointegration test used to examine the existence of a long-run relationship among the variables. The results show that the null hypothesis of no cointegration is rejected, as the trace statistics for the first three equations exceed their respective critical values at the 5% level. However, from the fourth cointegrating equation onwards, the null hypotheses cannot be rejected because the trace statistics fall below the critical values and the probability values exceed 0.05. This indicates that no further long-run relationships exist beyond this point. Overall, the test confirms the existence of three cointegrating equations, indicating a stable long-run equilibrium relationship among the variables. This implies that sustainable development, tax reform, tax revenue, GDP growth, inflation, and government expenditure move together in the long run, and any short-run deviations are temporary.</w:t>
      </w:r>
    </w:p>
    <w:p w:rsidR="007C5C11" w:rsidRPr="005D650B" w:rsidRDefault="007C5C11" w:rsidP="007C5C11">
      <w:pPr>
        <w:spacing w:after="0" w:line="240" w:lineRule="auto"/>
        <w:jc w:val="both"/>
        <w:rPr>
          <w:rFonts w:ascii="Times New Roman" w:hAnsi="Times New Roman" w:cs="Times New Roman"/>
          <w:b/>
        </w:rPr>
      </w:pPr>
      <w:r w:rsidRPr="005D650B">
        <w:rPr>
          <w:rFonts w:ascii="Times New Roman" w:hAnsi="Times New Roman" w:cs="Times New Roman"/>
          <w:b/>
        </w:rPr>
        <w:t xml:space="preserve">Table 3: ARDL Bound Test Result </w:t>
      </w:r>
    </w:p>
    <w:tbl>
      <w:tblPr>
        <w:tblStyle w:val="TableGrid"/>
        <w:tblW w:w="0" w:type="auto"/>
        <w:tblLook w:val="04A0" w:firstRow="1" w:lastRow="0" w:firstColumn="1" w:lastColumn="0" w:noHBand="0" w:noVBand="1"/>
      </w:tblPr>
      <w:tblGrid>
        <w:gridCol w:w="1795"/>
        <w:gridCol w:w="3870"/>
      </w:tblGrid>
      <w:tr w:rsidR="005D650B" w:rsidRPr="005D650B" w:rsidTr="006D00F9">
        <w:tc>
          <w:tcPr>
            <w:tcW w:w="1795" w:type="dxa"/>
          </w:tcPr>
          <w:p w:rsidR="007C5C11" w:rsidRPr="005D650B" w:rsidRDefault="007C5C11" w:rsidP="006D00F9">
            <w:pPr>
              <w:jc w:val="both"/>
              <w:rPr>
                <w:rFonts w:ascii="Times New Roman" w:hAnsi="Times New Roman" w:cs="Times New Roman"/>
              </w:rPr>
            </w:pPr>
            <w:r w:rsidRPr="005D650B">
              <w:rPr>
                <w:rFonts w:ascii="Times New Roman" w:hAnsi="Times New Roman" w:cs="Times New Roman"/>
              </w:rPr>
              <w:t xml:space="preserve">Test Statistic </w:t>
            </w:r>
          </w:p>
        </w:tc>
        <w:tc>
          <w:tcPr>
            <w:tcW w:w="3870" w:type="dxa"/>
          </w:tcPr>
          <w:p w:rsidR="007C5C11" w:rsidRPr="005D650B" w:rsidRDefault="007C5C11" w:rsidP="006D00F9">
            <w:pPr>
              <w:jc w:val="both"/>
              <w:rPr>
                <w:rFonts w:ascii="Times New Roman" w:hAnsi="Times New Roman" w:cs="Times New Roman"/>
              </w:rPr>
            </w:pPr>
            <w:r w:rsidRPr="005D650B">
              <w:rPr>
                <w:rFonts w:ascii="Times New Roman" w:hAnsi="Times New Roman" w:cs="Times New Roman"/>
              </w:rPr>
              <w:t>Value                        K: 5</w:t>
            </w:r>
          </w:p>
        </w:tc>
      </w:tr>
      <w:tr w:rsidR="005D650B" w:rsidRPr="005D650B" w:rsidTr="006D00F9">
        <w:tc>
          <w:tcPr>
            <w:tcW w:w="1795" w:type="dxa"/>
          </w:tcPr>
          <w:p w:rsidR="007C5C11" w:rsidRPr="005D650B" w:rsidRDefault="007C5C11" w:rsidP="006D00F9">
            <w:pPr>
              <w:jc w:val="both"/>
              <w:rPr>
                <w:rFonts w:ascii="Times New Roman" w:hAnsi="Times New Roman" w:cs="Times New Roman"/>
                <w:b/>
                <w:bCs/>
              </w:rPr>
            </w:pPr>
            <w:r w:rsidRPr="005D650B">
              <w:rPr>
                <w:rFonts w:ascii="Times New Roman" w:hAnsi="Times New Roman" w:cs="Times New Roman"/>
              </w:rPr>
              <w:t xml:space="preserve">F-statistic </w:t>
            </w:r>
          </w:p>
        </w:tc>
        <w:tc>
          <w:tcPr>
            <w:tcW w:w="3870" w:type="dxa"/>
          </w:tcPr>
          <w:p w:rsidR="007C5C11" w:rsidRPr="005D650B" w:rsidRDefault="00E70844" w:rsidP="006D00F9">
            <w:pPr>
              <w:jc w:val="both"/>
              <w:rPr>
                <w:rFonts w:ascii="Times New Roman" w:hAnsi="Times New Roman" w:cs="Times New Roman"/>
                <w:b/>
                <w:bCs/>
              </w:rPr>
            </w:pPr>
            <w:r w:rsidRPr="005D650B">
              <w:rPr>
                <w:rFonts w:ascii="Times New Roman" w:hAnsi="Times New Roman" w:cs="Times New Roman"/>
              </w:rPr>
              <w:t>4.71</w:t>
            </w:r>
          </w:p>
        </w:tc>
      </w:tr>
      <w:tr w:rsidR="005D650B" w:rsidRPr="005D650B" w:rsidTr="006D00F9">
        <w:tc>
          <w:tcPr>
            <w:tcW w:w="1795" w:type="dxa"/>
          </w:tcPr>
          <w:p w:rsidR="007C5C11" w:rsidRPr="005D650B" w:rsidRDefault="007C5C11" w:rsidP="006D00F9">
            <w:pPr>
              <w:jc w:val="both"/>
              <w:rPr>
                <w:rFonts w:ascii="Times New Roman" w:hAnsi="Times New Roman" w:cs="Times New Roman"/>
              </w:rPr>
            </w:pPr>
            <w:r w:rsidRPr="005D650B">
              <w:rPr>
                <w:rFonts w:ascii="Times New Roman" w:hAnsi="Times New Roman" w:cs="Times New Roman"/>
              </w:rPr>
              <w:t>% critical levels</w:t>
            </w:r>
          </w:p>
        </w:tc>
        <w:tc>
          <w:tcPr>
            <w:tcW w:w="3870" w:type="dxa"/>
          </w:tcPr>
          <w:p w:rsidR="007C5C11" w:rsidRPr="005D650B" w:rsidRDefault="007C5C11" w:rsidP="006D00F9">
            <w:pPr>
              <w:jc w:val="both"/>
              <w:rPr>
                <w:rFonts w:ascii="Times New Roman" w:hAnsi="Times New Roman" w:cs="Times New Roman"/>
              </w:rPr>
            </w:pPr>
            <w:r w:rsidRPr="005D650B">
              <w:rPr>
                <w:rFonts w:ascii="Times New Roman" w:hAnsi="Times New Roman" w:cs="Times New Roman"/>
              </w:rPr>
              <w:t>Critical value for Bound test</w:t>
            </w:r>
          </w:p>
        </w:tc>
      </w:tr>
      <w:tr w:rsidR="005D650B" w:rsidRPr="005D650B" w:rsidTr="006D00F9">
        <w:tc>
          <w:tcPr>
            <w:tcW w:w="1795" w:type="dxa"/>
          </w:tcPr>
          <w:p w:rsidR="007C5C11" w:rsidRPr="005D650B" w:rsidRDefault="007C5C11" w:rsidP="006D00F9">
            <w:pPr>
              <w:jc w:val="center"/>
              <w:rPr>
                <w:rFonts w:ascii="Times New Roman" w:hAnsi="Times New Roman" w:cs="Times New Roman"/>
              </w:rPr>
            </w:pPr>
            <w:r w:rsidRPr="005D650B">
              <w:rPr>
                <w:rFonts w:ascii="Times New Roman" w:hAnsi="Times New Roman" w:cs="Times New Roman"/>
              </w:rPr>
              <w:t>Significance</w:t>
            </w:r>
          </w:p>
        </w:tc>
        <w:tc>
          <w:tcPr>
            <w:tcW w:w="3870" w:type="dxa"/>
          </w:tcPr>
          <w:p w:rsidR="007C5C11" w:rsidRPr="005D650B" w:rsidRDefault="007C5C11" w:rsidP="006D00F9">
            <w:pPr>
              <w:jc w:val="center"/>
              <w:rPr>
                <w:rFonts w:ascii="Times New Roman" w:hAnsi="Times New Roman" w:cs="Times New Roman"/>
              </w:rPr>
            </w:pPr>
            <w:r w:rsidRPr="005D650B">
              <w:rPr>
                <w:rFonts w:ascii="Times New Roman" w:hAnsi="Times New Roman" w:cs="Times New Roman"/>
              </w:rPr>
              <w:t>1(0) Bound                     1(1) Bound</w:t>
            </w:r>
          </w:p>
        </w:tc>
      </w:tr>
      <w:tr w:rsidR="005D650B" w:rsidRPr="005D650B" w:rsidTr="006D00F9">
        <w:tc>
          <w:tcPr>
            <w:tcW w:w="1795" w:type="dxa"/>
          </w:tcPr>
          <w:p w:rsidR="007C5C11" w:rsidRPr="005D650B" w:rsidRDefault="007C5C11" w:rsidP="006D00F9">
            <w:pPr>
              <w:jc w:val="center"/>
              <w:rPr>
                <w:rFonts w:ascii="Times New Roman" w:hAnsi="Times New Roman" w:cs="Times New Roman"/>
              </w:rPr>
            </w:pPr>
            <w:r w:rsidRPr="005D650B">
              <w:rPr>
                <w:rFonts w:ascii="Times New Roman" w:hAnsi="Times New Roman" w:cs="Times New Roman"/>
              </w:rPr>
              <w:t>10%</w:t>
            </w:r>
          </w:p>
        </w:tc>
        <w:tc>
          <w:tcPr>
            <w:tcW w:w="3870" w:type="dxa"/>
          </w:tcPr>
          <w:p w:rsidR="007C5C11" w:rsidRPr="005D650B" w:rsidRDefault="007C5C11" w:rsidP="006D00F9">
            <w:pPr>
              <w:jc w:val="center"/>
              <w:rPr>
                <w:rFonts w:ascii="Times New Roman" w:hAnsi="Times New Roman" w:cs="Times New Roman"/>
                <w:b/>
                <w:bCs/>
              </w:rPr>
            </w:pPr>
            <w:r w:rsidRPr="005D650B">
              <w:rPr>
                <w:rFonts w:ascii="Times New Roman" w:hAnsi="Times New Roman" w:cs="Times New Roman"/>
              </w:rPr>
              <w:t>2.26                                       3.35</w:t>
            </w:r>
          </w:p>
        </w:tc>
      </w:tr>
      <w:tr w:rsidR="005D650B" w:rsidRPr="005D650B" w:rsidTr="006D00F9">
        <w:tc>
          <w:tcPr>
            <w:tcW w:w="1795" w:type="dxa"/>
          </w:tcPr>
          <w:p w:rsidR="007C5C11" w:rsidRPr="005D650B" w:rsidRDefault="007C5C11" w:rsidP="006D00F9">
            <w:pPr>
              <w:jc w:val="center"/>
              <w:rPr>
                <w:rFonts w:ascii="Times New Roman" w:hAnsi="Times New Roman" w:cs="Times New Roman"/>
              </w:rPr>
            </w:pPr>
            <w:r w:rsidRPr="005D650B">
              <w:rPr>
                <w:rFonts w:ascii="Times New Roman" w:hAnsi="Times New Roman" w:cs="Times New Roman"/>
              </w:rPr>
              <w:t>5%</w:t>
            </w:r>
          </w:p>
        </w:tc>
        <w:tc>
          <w:tcPr>
            <w:tcW w:w="3870" w:type="dxa"/>
          </w:tcPr>
          <w:p w:rsidR="007C5C11" w:rsidRPr="005D650B" w:rsidRDefault="007C5C11" w:rsidP="006D00F9">
            <w:pPr>
              <w:jc w:val="center"/>
              <w:rPr>
                <w:rFonts w:ascii="Times New Roman" w:hAnsi="Times New Roman" w:cs="Times New Roman"/>
                <w:b/>
                <w:bCs/>
              </w:rPr>
            </w:pPr>
            <w:r w:rsidRPr="005D650B">
              <w:rPr>
                <w:rFonts w:ascii="Times New Roman" w:hAnsi="Times New Roman" w:cs="Times New Roman"/>
              </w:rPr>
              <w:t>2.62                                       3.79</w:t>
            </w:r>
          </w:p>
        </w:tc>
      </w:tr>
      <w:tr w:rsidR="005D650B" w:rsidRPr="005D650B" w:rsidTr="006D00F9">
        <w:tc>
          <w:tcPr>
            <w:tcW w:w="1795" w:type="dxa"/>
          </w:tcPr>
          <w:p w:rsidR="007C5C11" w:rsidRPr="005D650B" w:rsidRDefault="007C5C11" w:rsidP="006D00F9">
            <w:pPr>
              <w:jc w:val="center"/>
              <w:rPr>
                <w:rFonts w:ascii="Times New Roman" w:hAnsi="Times New Roman" w:cs="Times New Roman"/>
              </w:rPr>
            </w:pPr>
            <w:r w:rsidRPr="005D650B">
              <w:rPr>
                <w:rFonts w:ascii="Times New Roman" w:hAnsi="Times New Roman" w:cs="Times New Roman"/>
              </w:rPr>
              <w:t>2.5%</w:t>
            </w:r>
          </w:p>
        </w:tc>
        <w:tc>
          <w:tcPr>
            <w:tcW w:w="3870" w:type="dxa"/>
          </w:tcPr>
          <w:p w:rsidR="007C5C11" w:rsidRPr="005D650B" w:rsidRDefault="007C5C11" w:rsidP="006D00F9">
            <w:pPr>
              <w:jc w:val="center"/>
              <w:rPr>
                <w:rFonts w:ascii="Times New Roman" w:hAnsi="Times New Roman" w:cs="Times New Roman"/>
                <w:b/>
                <w:bCs/>
              </w:rPr>
            </w:pPr>
            <w:r w:rsidRPr="005D650B">
              <w:rPr>
                <w:rFonts w:ascii="Times New Roman" w:hAnsi="Times New Roman" w:cs="Times New Roman"/>
              </w:rPr>
              <w:t>2.96                                       4.18</w:t>
            </w:r>
          </w:p>
        </w:tc>
      </w:tr>
      <w:tr w:rsidR="005D650B" w:rsidRPr="005D650B" w:rsidTr="006D00F9">
        <w:tc>
          <w:tcPr>
            <w:tcW w:w="1795" w:type="dxa"/>
          </w:tcPr>
          <w:p w:rsidR="007C5C11" w:rsidRPr="005D650B" w:rsidRDefault="007C5C11" w:rsidP="006D00F9">
            <w:pPr>
              <w:jc w:val="center"/>
              <w:rPr>
                <w:rFonts w:ascii="Times New Roman" w:hAnsi="Times New Roman" w:cs="Times New Roman"/>
              </w:rPr>
            </w:pPr>
            <w:r w:rsidRPr="005D650B">
              <w:rPr>
                <w:rFonts w:ascii="Times New Roman" w:hAnsi="Times New Roman" w:cs="Times New Roman"/>
              </w:rPr>
              <w:t>1%</w:t>
            </w:r>
          </w:p>
        </w:tc>
        <w:tc>
          <w:tcPr>
            <w:tcW w:w="3870" w:type="dxa"/>
          </w:tcPr>
          <w:p w:rsidR="007C5C11" w:rsidRPr="005D650B" w:rsidRDefault="007C5C11" w:rsidP="006D00F9">
            <w:pPr>
              <w:jc w:val="center"/>
              <w:rPr>
                <w:rFonts w:ascii="Times New Roman" w:hAnsi="Times New Roman" w:cs="Times New Roman"/>
                <w:b/>
                <w:bCs/>
              </w:rPr>
            </w:pPr>
            <w:r w:rsidRPr="005D650B">
              <w:rPr>
                <w:rFonts w:ascii="Times New Roman" w:hAnsi="Times New Roman" w:cs="Times New Roman"/>
              </w:rPr>
              <w:t>3.41                                       4.68</w:t>
            </w:r>
          </w:p>
        </w:tc>
      </w:tr>
      <w:tr w:rsidR="005D650B" w:rsidRPr="005D650B" w:rsidTr="006D00F9">
        <w:tc>
          <w:tcPr>
            <w:tcW w:w="5665" w:type="dxa"/>
            <w:gridSpan w:val="2"/>
          </w:tcPr>
          <w:p w:rsidR="007C5C11" w:rsidRPr="005D650B" w:rsidRDefault="007C5C11" w:rsidP="006D00F9">
            <w:pPr>
              <w:jc w:val="both"/>
              <w:rPr>
                <w:rFonts w:ascii="Times New Roman" w:hAnsi="Times New Roman" w:cs="Times New Roman"/>
              </w:rPr>
            </w:pPr>
            <w:r w:rsidRPr="005D650B">
              <w:rPr>
                <w:rFonts w:ascii="Times New Roman" w:hAnsi="Times New Roman" w:cs="Times New Roman"/>
                <w:i/>
              </w:rPr>
              <w:t>Notes:  ** denote significant at 5% levels. Critical values</w:t>
            </w:r>
          </w:p>
        </w:tc>
      </w:tr>
    </w:tbl>
    <w:p w:rsidR="007C5C11" w:rsidRPr="005D650B" w:rsidRDefault="007C5C11" w:rsidP="007C5C11">
      <w:pPr>
        <w:pStyle w:val="BodyText"/>
        <w:rPr>
          <w:rFonts w:ascii="Times New Roman" w:hAnsi="Times New Roman" w:cs="Times New Roman"/>
          <w:bCs/>
          <w:sz w:val="24"/>
          <w:szCs w:val="24"/>
        </w:rPr>
      </w:pPr>
      <w:r w:rsidRPr="005D650B">
        <w:rPr>
          <w:rFonts w:ascii="Times New Roman" w:hAnsi="Times New Roman" w:cs="Times New Roman"/>
          <w:b/>
          <w:i/>
          <w:sz w:val="24"/>
          <w:szCs w:val="24"/>
        </w:rPr>
        <w:t>Source:</w:t>
      </w:r>
      <w:r w:rsidRPr="005D650B">
        <w:rPr>
          <w:rFonts w:ascii="Times New Roman" w:hAnsi="Times New Roman" w:cs="Times New Roman"/>
          <w:b/>
          <w:sz w:val="24"/>
          <w:szCs w:val="24"/>
        </w:rPr>
        <w:t xml:space="preserve"> </w:t>
      </w:r>
      <w:r w:rsidRPr="005D650B">
        <w:rPr>
          <w:rFonts w:ascii="Times New Roman" w:hAnsi="Times New Roman" w:cs="Times New Roman"/>
          <w:bCs/>
          <w:sz w:val="24"/>
          <w:szCs w:val="24"/>
        </w:rPr>
        <w:t>Research’s Compilation, 2026 from E-view-9</w:t>
      </w:r>
    </w:p>
    <w:p w:rsidR="00F43E7D" w:rsidRPr="005D650B" w:rsidRDefault="00F43E7D" w:rsidP="0039322C">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 xml:space="preserve">Table 3 presents the results of the Autoregressive Distributed Lag (ARDL) bounds test used to examine the existence of a long-run relationship among the variables in the model, with five explanatory variables (K = 5). The decision rule is based on comparing the computed F-statistic with the lower </w:t>
      </w:r>
      <w:proofErr w:type="gramStart"/>
      <w:r w:rsidRPr="005D650B">
        <w:rPr>
          <w:rFonts w:ascii="Times New Roman" w:hAnsi="Times New Roman" w:cs="Times New Roman"/>
          <w:sz w:val="24"/>
          <w:szCs w:val="24"/>
        </w:rPr>
        <w:t>I(</w:t>
      </w:r>
      <w:proofErr w:type="gramEnd"/>
      <w:r w:rsidRPr="005D650B">
        <w:rPr>
          <w:rFonts w:ascii="Times New Roman" w:hAnsi="Times New Roman" w:cs="Times New Roman"/>
          <w:sz w:val="24"/>
          <w:szCs w:val="24"/>
        </w:rPr>
        <w:t xml:space="preserve">0) and upper I(1) critical bounds at the 5 per cent level of significance. The results </w:t>
      </w:r>
      <w:r w:rsidRPr="005D650B">
        <w:rPr>
          <w:rFonts w:ascii="Times New Roman" w:hAnsi="Times New Roman" w:cs="Times New Roman"/>
          <w:sz w:val="24"/>
          <w:szCs w:val="24"/>
        </w:rPr>
        <w:lastRenderedPageBreak/>
        <w:t>show that the calculated F-statistic of 4.71 is higher than the upper bound critical value of 3.79 at the 5 per cent level. This implies that the null hypothesis of no long-run relationship among the variables is rejected. Consequently, the result confirms the existence of a statistically significant long-run equilibrium relationship among the variables in the model. It indicates that sustainable development, tax reform index, tax revenue as a percentage of GDP, GDP growth, inflation, and government expenditure move together in the long run, and any short-run deviations from equilibrium are temporary and will adjust over time towards a stable long-run path.</w:t>
      </w:r>
    </w:p>
    <w:p w:rsidR="00E70844" w:rsidRPr="005D650B" w:rsidRDefault="00E70844" w:rsidP="00E70844">
      <w:pPr>
        <w:spacing w:after="0" w:line="240" w:lineRule="auto"/>
        <w:jc w:val="both"/>
        <w:rPr>
          <w:rFonts w:ascii="Times New Roman" w:hAnsi="Times New Roman" w:cs="Times New Roman"/>
          <w:b/>
          <w:bCs/>
        </w:rPr>
      </w:pPr>
      <w:r w:rsidRPr="005D650B">
        <w:rPr>
          <w:rFonts w:ascii="Times New Roman" w:hAnsi="Times New Roman" w:cs="Times New Roman"/>
          <w:b/>
          <w:bCs/>
        </w:rPr>
        <w:t>Table 4.4:  Short-Run Result of ARDL (Dependent Variable: SD)</w:t>
      </w:r>
    </w:p>
    <w:tbl>
      <w:tblPr>
        <w:tblStyle w:val="TableGrid"/>
        <w:tblW w:w="0" w:type="auto"/>
        <w:tblInd w:w="-545" w:type="dxa"/>
        <w:tblLayout w:type="fixed"/>
        <w:tblLook w:val="0000" w:firstRow="0" w:lastRow="0" w:firstColumn="0" w:lastColumn="0" w:noHBand="0" w:noVBand="0"/>
      </w:tblPr>
      <w:tblGrid>
        <w:gridCol w:w="1800"/>
        <w:gridCol w:w="1350"/>
        <w:gridCol w:w="1170"/>
        <w:gridCol w:w="1170"/>
        <w:gridCol w:w="1170"/>
      </w:tblGrid>
      <w:tr w:rsidR="005D650B" w:rsidRPr="005D650B" w:rsidTr="00E70844">
        <w:trPr>
          <w:trHeight w:val="220"/>
        </w:trPr>
        <w:tc>
          <w:tcPr>
            <w:tcW w:w="180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Variable</w:t>
            </w:r>
          </w:p>
        </w:tc>
        <w:tc>
          <w:tcPr>
            <w:tcW w:w="135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Coefficient</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Std. Error</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t-Statistic</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Prob.**   </w:t>
            </w:r>
          </w:p>
        </w:tc>
      </w:tr>
      <w:tr w:rsidR="005D650B" w:rsidRPr="005D650B" w:rsidTr="00E70844">
        <w:trPr>
          <w:trHeight w:val="220"/>
        </w:trPr>
        <w:tc>
          <w:tcPr>
            <w:tcW w:w="180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D(SD(-1))</w:t>
            </w:r>
          </w:p>
        </w:tc>
        <w:tc>
          <w:tcPr>
            <w:tcW w:w="135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-0.221</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0.175</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-1.263</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0.2273</w:t>
            </w:r>
          </w:p>
        </w:tc>
      </w:tr>
      <w:tr w:rsidR="005D650B" w:rsidRPr="005D650B" w:rsidTr="00E70844">
        <w:trPr>
          <w:trHeight w:val="220"/>
        </w:trPr>
        <w:tc>
          <w:tcPr>
            <w:tcW w:w="180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D(TRI)</w:t>
            </w:r>
          </w:p>
        </w:tc>
        <w:tc>
          <w:tcPr>
            <w:tcW w:w="135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0.002</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0.001</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2.067</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0.0577**</w:t>
            </w:r>
          </w:p>
        </w:tc>
      </w:tr>
      <w:tr w:rsidR="005D650B" w:rsidRPr="005D650B" w:rsidTr="00E70844">
        <w:trPr>
          <w:trHeight w:val="220"/>
        </w:trPr>
        <w:tc>
          <w:tcPr>
            <w:tcW w:w="180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D(TRI(-1))</w:t>
            </w:r>
          </w:p>
        </w:tc>
        <w:tc>
          <w:tcPr>
            <w:tcW w:w="135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-0.001</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0.002</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-0.544</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0.5949</w:t>
            </w:r>
          </w:p>
        </w:tc>
      </w:tr>
      <w:tr w:rsidR="005D650B" w:rsidRPr="005D650B" w:rsidTr="00E70844">
        <w:trPr>
          <w:trHeight w:val="220"/>
        </w:trPr>
        <w:tc>
          <w:tcPr>
            <w:tcW w:w="180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D(TRI(-2))</w:t>
            </w:r>
          </w:p>
        </w:tc>
        <w:tc>
          <w:tcPr>
            <w:tcW w:w="135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-0.002</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0.002</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-1.072</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0.3020</w:t>
            </w:r>
          </w:p>
        </w:tc>
      </w:tr>
      <w:tr w:rsidR="005D650B" w:rsidRPr="005D650B" w:rsidTr="00E70844">
        <w:trPr>
          <w:trHeight w:val="220"/>
        </w:trPr>
        <w:tc>
          <w:tcPr>
            <w:tcW w:w="180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D(TRG)</w:t>
            </w:r>
          </w:p>
        </w:tc>
        <w:tc>
          <w:tcPr>
            <w:tcW w:w="135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0.003</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0.003</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1.011</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0.3293</w:t>
            </w:r>
          </w:p>
        </w:tc>
      </w:tr>
      <w:tr w:rsidR="005D650B" w:rsidRPr="005D650B" w:rsidTr="00E70844">
        <w:trPr>
          <w:trHeight w:val="220"/>
        </w:trPr>
        <w:tc>
          <w:tcPr>
            <w:tcW w:w="180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D(GDPGR)</w:t>
            </w:r>
          </w:p>
        </w:tc>
        <w:tc>
          <w:tcPr>
            <w:tcW w:w="135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-0.000</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0.000</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-0.971</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0.3481</w:t>
            </w:r>
          </w:p>
        </w:tc>
      </w:tr>
      <w:tr w:rsidR="005D650B" w:rsidRPr="005D650B" w:rsidTr="00E70844">
        <w:trPr>
          <w:trHeight w:val="220"/>
        </w:trPr>
        <w:tc>
          <w:tcPr>
            <w:tcW w:w="180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D(GDPGR(-1))</w:t>
            </w:r>
          </w:p>
        </w:tc>
        <w:tc>
          <w:tcPr>
            <w:tcW w:w="135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-0.000</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0.000</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-1.027</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0.3220</w:t>
            </w:r>
          </w:p>
        </w:tc>
      </w:tr>
      <w:tr w:rsidR="005D650B" w:rsidRPr="005D650B" w:rsidTr="00E70844">
        <w:trPr>
          <w:trHeight w:val="220"/>
        </w:trPr>
        <w:tc>
          <w:tcPr>
            <w:tcW w:w="180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D(INF)</w:t>
            </w:r>
          </w:p>
        </w:tc>
        <w:tc>
          <w:tcPr>
            <w:tcW w:w="135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-0.000</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0.000</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-2.444</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0.0284**</w:t>
            </w:r>
          </w:p>
        </w:tc>
      </w:tr>
      <w:tr w:rsidR="005D650B" w:rsidRPr="005D650B" w:rsidTr="00E70844">
        <w:trPr>
          <w:trHeight w:val="220"/>
        </w:trPr>
        <w:tc>
          <w:tcPr>
            <w:tcW w:w="180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D(INF)</w:t>
            </w:r>
          </w:p>
        </w:tc>
        <w:tc>
          <w:tcPr>
            <w:tcW w:w="135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0.000</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0.000</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1.369</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0.1925</w:t>
            </w:r>
          </w:p>
        </w:tc>
      </w:tr>
      <w:tr w:rsidR="005D650B" w:rsidRPr="005D650B" w:rsidTr="00E70844">
        <w:trPr>
          <w:trHeight w:val="220"/>
        </w:trPr>
        <w:tc>
          <w:tcPr>
            <w:tcW w:w="180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D(GEXP)</w:t>
            </w:r>
          </w:p>
        </w:tc>
        <w:tc>
          <w:tcPr>
            <w:tcW w:w="135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-0.001</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0.000</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-1.417</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0.1785</w:t>
            </w:r>
          </w:p>
        </w:tc>
      </w:tr>
      <w:tr w:rsidR="005D650B" w:rsidRPr="005D650B" w:rsidTr="00E70844">
        <w:trPr>
          <w:trHeight w:val="220"/>
        </w:trPr>
        <w:tc>
          <w:tcPr>
            <w:tcW w:w="180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D(GEXP(-1))</w:t>
            </w:r>
          </w:p>
        </w:tc>
        <w:tc>
          <w:tcPr>
            <w:tcW w:w="135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-0.001</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0.000</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-0.934</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0.3663</w:t>
            </w:r>
          </w:p>
        </w:tc>
      </w:tr>
      <w:tr w:rsidR="005D650B" w:rsidRPr="005D650B" w:rsidTr="00E70844">
        <w:trPr>
          <w:trHeight w:val="220"/>
        </w:trPr>
        <w:tc>
          <w:tcPr>
            <w:tcW w:w="180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D(GEXP(-2))</w:t>
            </w:r>
          </w:p>
        </w:tc>
        <w:tc>
          <w:tcPr>
            <w:tcW w:w="135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-0.001</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0.001</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-1.850</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0.0855</w:t>
            </w:r>
          </w:p>
        </w:tc>
      </w:tr>
      <w:tr w:rsidR="005D650B" w:rsidRPr="005D650B" w:rsidTr="00E70844">
        <w:trPr>
          <w:trHeight w:val="220"/>
        </w:trPr>
        <w:tc>
          <w:tcPr>
            <w:tcW w:w="180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CointEq(-1)</w:t>
            </w:r>
          </w:p>
        </w:tc>
        <w:tc>
          <w:tcPr>
            <w:tcW w:w="135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-0.644</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0.161</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-3.989</w:t>
            </w:r>
          </w:p>
        </w:tc>
        <w:tc>
          <w:tcPr>
            <w:tcW w:w="1170" w:type="dxa"/>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0.0013**</w:t>
            </w:r>
          </w:p>
        </w:tc>
      </w:tr>
      <w:tr w:rsidR="005D650B" w:rsidRPr="005D650B" w:rsidTr="00E70844">
        <w:trPr>
          <w:trHeight w:val="220"/>
        </w:trPr>
        <w:tc>
          <w:tcPr>
            <w:tcW w:w="6660" w:type="dxa"/>
            <w:gridSpan w:val="5"/>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 Cointeq = SD - (0.002*TRI + 0.005*TRG  -0.001*GDPGR-0.001</w:t>
            </w:r>
          </w:p>
        </w:tc>
      </w:tr>
      <w:tr w:rsidR="005D650B" w:rsidRPr="005D650B" w:rsidTr="00E70844">
        <w:trPr>
          <w:trHeight w:val="220"/>
        </w:trPr>
        <w:tc>
          <w:tcPr>
            <w:tcW w:w="6660" w:type="dxa"/>
            <w:gridSpan w:val="5"/>
          </w:tcPr>
          <w:p w:rsidR="00E70844" w:rsidRPr="005D650B" w:rsidRDefault="00E70844" w:rsidP="00E70844">
            <w:pPr>
              <w:rPr>
                <w:rFonts w:ascii="Times New Roman" w:hAnsi="Times New Roman" w:cs="Times New Roman"/>
                <w:sz w:val="24"/>
                <w:szCs w:val="24"/>
              </w:rPr>
            </w:pPr>
            <w:r w:rsidRPr="005D650B">
              <w:rPr>
                <w:rFonts w:ascii="Times New Roman" w:hAnsi="Times New Roman" w:cs="Times New Roman"/>
                <w:sz w:val="24"/>
                <w:szCs w:val="24"/>
              </w:rPr>
              <w:t>        *INF + 0.003*GEXP + 0.349)</w:t>
            </w:r>
          </w:p>
        </w:tc>
      </w:tr>
    </w:tbl>
    <w:p w:rsidR="008C105C" w:rsidRPr="005D650B" w:rsidRDefault="008C105C" w:rsidP="008C105C">
      <w:pPr>
        <w:pStyle w:val="BodyText"/>
        <w:rPr>
          <w:rFonts w:ascii="Times New Roman" w:hAnsi="Times New Roman" w:cs="Times New Roman"/>
          <w:bCs/>
          <w:sz w:val="24"/>
          <w:szCs w:val="24"/>
        </w:rPr>
      </w:pPr>
      <w:r w:rsidRPr="005D650B">
        <w:rPr>
          <w:rFonts w:ascii="Times New Roman" w:hAnsi="Times New Roman" w:cs="Times New Roman"/>
          <w:b/>
          <w:i/>
          <w:sz w:val="24"/>
          <w:szCs w:val="24"/>
        </w:rPr>
        <w:t>Source:</w:t>
      </w:r>
      <w:r w:rsidRPr="005D650B">
        <w:rPr>
          <w:rFonts w:ascii="Times New Roman" w:hAnsi="Times New Roman" w:cs="Times New Roman"/>
          <w:b/>
          <w:sz w:val="24"/>
          <w:szCs w:val="24"/>
        </w:rPr>
        <w:t xml:space="preserve"> </w:t>
      </w:r>
      <w:r w:rsidRPr="005D650B">
        <w:rPr>
          <w:rFonts w:ascii="Times New Roman" w:hAnsi="Times New Roman" w:cs="Times New Roman"/>
          <w:bCs/>
          <w:sz w:val="24"/>
          <w:szCs w:val="24"/>
        </w:rPr>
        <w:t>Research’s Compilation, 2026 from E-view-9</w:t>
      </w:r>
    </w:p>
    <w:p w:rsidR="00DE3250" w:rsidRPr="005D650B" w:rsidRDefault="00DE3250" w:rsidP="00EA31E4">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The short-run ARDL estimates presented in Table 4.4 indicate that tax reform (TRI) exerts a weakly positive and marginal influence on sustainable development, while tax revenue (TRG), GDP growth (GDPGR), and government expenditure (GEXP) remain statistically insignificant in explaining short-run variations in sustainable development. The statistically significant and negative error correction term confirms a rapid adjustment mechanism, implying that short-run deviations from long-run equilibrium are quickly corrected, and the system converges efficiently towards long-run stability, in line with standard dynamic macroeconomic theory.</w:t>
      </w:r>
      <w:r w:rsidR="00EA31E4" w:rsidRPr="005D650B">
        <w:rPr>
          <w:rFonts w:ascii="Times New Roman" w:hAnsi="Times New Roman" w:cs="Times New Roman"/>
          <w:sz w:val="24"/>
          <w:szCs w:val="24"/>
        </w:rPr>
        <w:t xml:space="preserve"> </w:t>
      </w:r>
      <w:r w:rsidRPr="005D650B">
        <w:rPr>
          <w:rFonts w:ascii="Times New Roman" w:hAnsi="Times New Roman" w:cs="Times New Roman"/>
          <w:sz w:val="24"/>
          <w:szCs w:val="24"/>
        </w:rPr>
        <w:t>With respect to tax reform (TRI), the weak short-run effect and the insignificance of its lagged values are consistent with Omodero</w:t>
      </w:r>
      <w:r w:rsidR="00C22F84">
        <w:rPr>
          <w:rFonts w:ascii="Times New Roman" w:eastAsia="Times New Roman" w:hAnsi="Times New Roman" w:cs="Times New Roman"/>
          <w:sz w:val="24"/>
          <w:szCs w:val="24"/>
        </w:rPr>
        <w:t xml:space="preserve"> and </w:t>
      </w:r>
      <w:r w:rsidR="00C22F84" w:rsidRPr="00C22F84">
        <w:rPr>
          <w:rFonts w:ascii="Times New Roman" w:eastAsia="Times New Roman" w:hAnsi="Times New Roman" w:cs="Times New Roman"/>
          <w:sz w:val="24"/>
          <w:szCs w:val="24"/>
        </w:rPr>
        <w:t>Aluko</w:t>
      </w:r>
      <w:r w:rsidR="00C22F84" w:rsidRPr="00C22F84">
        <w:rPr>
          <w:rFonts w:ascii="Times New Roman" w:eastAsia="Times New Roman" w:hAnsi="Times New Roman" w:cs="Times New Roman"/>
          <w:sz w:val="24"/>
          <w:szCs w:val="24"/>
        </w:rPr>
        <w:t xml:space="preserve"> (2022a</w:t>
      </w:r>
      <w:r w:rsidR="00C22F84" w:rsidRPr="00C22F84">
        <w:rPr>
          <w:rFonts w:ascii="Times New Roman" w:eastAsia="Times New Roman" w:hAnsi="Times New Roman" w:cs="Times New Roman"/>
          <w:sz w:val="24"/>
          <w:szCs w:val="24"/>
        </w:rPr>
        <w:t>),</w:t>
      </w:r>
      <w:r w:rsidRPr="00C22F84">
        <w:rPr>
          <w:rFonts w:ascii="Times New Roman" w:hAnsi="Times New Roman" w:cs="Times New Roman"/>
          <w:sz w:val="24"/>
          <w:szCs w:val="24"/>
        </w:rPr>
        <w:t xml:space="preserve"> </w:t>
      </w:r>
      <w:r w:rsidRPr="005D650B">
        <w:rPr>
          <w:rFonts w:ascii="Times New Roman" w:hAnsi="Times New Roman" w:cs="Times New Roman"/>
          <w:sz w:val="24"/>
          <w:szCs w:val="24"/>
        </w:rPr>
        <w:t xml:space="preserve">and Adekoya and Olatunji (2021), who argue that although tax reforms enhance fiscal structure and efficiency, their developmental impact is often delayed due to institutional and administrative bottlenecks. Similarly, Onakoya and Afintinni </w:t>
      </w:r>
      <w:r w:rsidRPr="005D650B">
        <w:rPr>
          <w:rFonts w:ascii="Times New Roman" w:hAnsi="Times New Roman" w:cs="Times New Roman"/>
          <w:sz w:val="24"/>
          <w:szCs w:val="24"/>
        </w:rPr>
        <w:lastRenderedPageBreak/>
        <w:t>(2020) observe that tax reforms in developing economies tend to generate stronger long-run than short-run effects on growth and welfare outcomes, reflecting gradual and time-dependent transmission mechanisms.</w:t>
      </w:r>
    </w:p>
    <w:p w:rsidR="00DE3250" w:rsidRPr="005D650B" w:rsidRDefault="00DE3250" w:rsidP="00EA31E4">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For tax revenue (TRG), the insignificant short-run relationship aligns with Aregbeyen and Fasanya (2021</w:t>
      </w:r>
      <w:r w:rsidR="00C22F84">
        <w:rPr>
          <w:rFonts w:ascii="Times New Roman" w:hAnsi="Times New Roman" w:cs="Times New Roman"/>
          <w:sz w:val="24"/>
          <w:szCs w:val="24"/>
        </w:rPr>
        <w:t>a</w:t>
      </w:r>
      <w:r w:rsidRPr="005D650B">
        <w:rPr>
          <w:rFonts w:ascii="Times New Roman" w:hAnsi="Times New Roman" w:cs="Times New Roman"/>
          <w:sz w:val="24"/>
          <w:szCs w:val="24"/>
        </w:rPr>
        <w:t>) and Okafor and Eiya (2022), who find that increases in revenue mobilisation do not immediately translate into development gains due to leakages, weak budget execution, and inefficiencies in public financial management systems. This implies that the developmental effectiveness of revenue is largely conditioned by institutional quality and expenditure efficiency.</w:t>
      </w:r>
    </w:p>
    <w:p w:rsidR="00DE3250" w:rsidRPr="005D650B" w:rsidRDefault="00DE3250" w:rsidP="00EA31E4">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Similarly, the insignificant effect of GDP growth (GDPGR) is supported by Salisu, Ndako, and Oloko (2021) and Olabisi and Folorunso (2022), who show that economic growth in many developing economies is often non-inclusive and weakly linked to immediate improvements in development outcomes due to structural rigidities and weak transmission channels between output expansion and welfare improvements.</w:t>
      </w:r>
      <w:r w:rsidR="00EA31E4" w:rsidRPr="005D650B">
        <w:rPr>
          <w:rFonts w:ascii="Times New Roman" w:hAnsi="Times New Roman" w:cs="Times New Roman"/>
          <w:sz w:val="24"/>
          <w:szCs w:val="24"/>
        </w:rPr>
        <w:t xml:space="preserve"> </w:t>
      </w:r>
      <w:r w:rsidRPr="005D650B">
        <w:rPr>
          <w:rFonts w:ascii="Times New Roman" w:hAnsi="Times New Roman" w:cs="Times New Roman"/>
          <w:sz w:val="24"/>
          <w:szCs w:val="24"/>
        </w:rPr>
        <w:t>For government expenditure (GEXP), the insignificant and predominantly negative coefficients are consistent with Omodero and Aluko (2022</w:t>
      </w:r>
      <w:r w:rsidR="00C22F84">
        <w:rPr>
          <w:rFonts w:ascii="Times New Roman" w:hAnsi="Times New Roman" w:cs="Times New Roman"/>
          <w:sz w:val="24"/>
          <w:szCs w:val="24"/>
        </w:rPr>
        <w:t>b</w:t>
      </w:r>
      <w:r w:rsidRPr="005D650B">
        <w:rPr>
          <w:rFonts w:ascii="Times New Roman" w:hAnsi="Times New Roman" w:cs="Times New Roman"/>
          <w:sz w:val="24"/>
          <w:szCs w:val="24"/>
        </w:rPr>
        <w:t>) and Akanbi and Akinbobola (2021), who report that public spending frequently fails to generate immediate development outcomes due to inefficiency, corruption risks, and delays in project execution. This underscores the critical role of governance effectiveness in determining the productivity of fiscal expansion.</w:t>
      </w:r>
      <w:r w:rsidR="003D71B5" w:rsidRPr="005D650B">
        <w:rPr>
          <w:rFonts w:ascii="Times New Roman" w:hAnsi="Times New Roman" w:cs="Times New Roman"/>
          <w:sz w:val="24"/>
          <w:szCs w:val="24"/>
        </w:rPr>
        <w:t xml:space="preserve"> </w:t>
      </w:r>
      <w:r w:rsidRPr="005D650B">
        <w:rPr>
          <w:rFonts w:ascii="Times New Roman" w:hAnsi="Times New Roman" w:cs="Times New Roman"/>
          <w:sz w:val="24"/>
          <w:szCs w:val="24"/>
        </w:rPr>
        <w:t>However, these findings contrast with Alm and McClellan (2020</w:t>
      </w:r>
      <w:r w:rsidR="00FD642D">
        <w:rPr>
          <w:rFonts w:ascii="Times New Roman" w:hAnsi="Times New Roman" w:cs="Times New Roman"/>
          <w:sz w:val="24"/>
          <w:szCs w:val="24"/>
        </w:rPr>
        <w:t>a</w:t>
      </w:r>
      <w:r w:rsidRPr="005D650B">
        <w:rPr>
          <w:rFonts w:ascii="Times New Roman" w:hAnsi="Times New Roman" w:cs="Times New Roman"/>
          <w:sz w:val="24"/>
          <w:szCs w:val="24"/>
        </w:rPr>
        <w:t>) and Ahuja and Myles (2021</w:t>
      </w:r>
      <w:r w:rsidR="00FD642D">
        <w:rPr>
          <w:rFonts w:ascii="Times New Roman" w:hAnsi="Times New Roman" w:cs="Times New Roman"/>
          <w:sz w:val="24"/>
          <w:szCs w:val="24"/>
        </w:rPr>
        <w:t>a</w:t>
      </w:r>
      <w:r w:rsidRPr="005D650B">
        <w:rPr>
          <w:rFonts w:ascii="Times New Roman" w:hAnsi="Times New Roman" w:cs="Times New Roman"/>
          <w:sz w:val="24"/>
          <w:szCs w:val="24"/>
        </w:rPr>
        <w:t>), who provide evidence that tax reforms can produce strong and immediate improvements in economic performance under efficient and well-administered fiscal systems. In the case of tax revenue (TRG), Bello and Abimbola (2023) demonstrate that higher tax-to-GDP ratios can significantly enhance development outcomes in the short run when supported by strong institutional quality. Furthermore, Barro and Furman (2022) and Fölster and Henrekson (2021) show that government expenditure can exert significant short-run effects on development when it is efficiently allocated and productivity-enhancing.</w:t>
      </w:r>
    </w:p>
    <w:p w:rsidR="00DE3250" w:rsidRPr="005D650B" w:rsidRDefault="00DE3250" w:rsidP="00EA31E4">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 xml:space="preserve">Inflation (INF), however, shows a statistically significant short-run effect on sustainable development, indicating that price instability has an immediate influence on development outcomes. The negative coefficient implies that rising inflation reduces purchasing power, distorts consumption and investment decisions, and weakens overall welfare conditions in the short run. Nevertheless, the relatively small magnitude of the coefficient suggests that although inflation is </w:t>
      </w:r>
      <w:r w:rsidRPr="005D650B">
        <w:rPr>
          <w:rFonts w:ascii="Times New Roman" w:hAnsi="Times New Roman" w:cs="Times New Roman"/>
          <w:sz w:val="24"/>
          <w:szCs w:val="24"/>
        </w:rPr>
        <w:lastRenderedPageBreak/>
        <w:t>statistically significant, its short-run impact on sustainable development is limited in both persistence and intensity.</w:t>
      </w:r>
    </w:p>
    <w:p w:rsidR="00253784" w:rsidRPr="005D650B" w:rsidRDefault="00253784" w:rsidP="00253784">
      <w:pPr>
        <w:spacing w:after="0" w:line="240" w:lineRule="auto"/>
        <w:jc w:val="both"/>
        <w:rPr>
          <w:rFonts w:ascii="Times New Roman" w:hAnsi="Times New Roman" w:cs="Times New Roman"/>
          <w:b/>
        </w:rPr>
      </w:pPr>
      <w:r w:rsidRPr="005D650B">
        <w:rPr>
          <w:rFonts w:ascii="Times New Roman" w:hAnsi="Times New Roman" w:cs="Times New Roman"/>
          <w:b/>
        </w:rPr>
        <w:t xml:space="preserve">Table 4.5: Long-run Estimates (Dependent Variable: </w:t>
      </w:r>
      <w:r w:rsidRPr="005D650B">
        <w:rPr>
          <w:rFonts w:ascii="Times New Roman" w:hAnsi="Times New Roman" w:cs="Times New Roman"/>
          <w:b/>
          <w:bCs/>
        </w:rPr>
        <w:t>SD</w:t>
      </w:r>
      <w:r w:rsidRPr="005D650B">
        <w:rPr>
          <w:rFonts w:ascii="Times New Roman" w:hAnsi="Times New Roman" w:cs="Times New Roman"/>
          <w:b/>
        </w:rPr>
        <w:t>)</w:t>
      </w:r>
    </w:p>
    <w:tbl>
      <w:tblPr>
        <w:tblStyle w:val="TableGrid"/>
        <w:tblW w:w="0" w:type="auto"/>
        <w:tblLayout w:type="fixed"/>
        <w:tblLook w:val="0000" w:firstRow="0" w:lastRow="0" w:firstColumn="0" w:lastColumn="0" w:noHBand="0" w:noVBand="0"/>
      </w:tblPr>
      <w:tblGrid>
        <w:gridCol w:w="1075"/>
        <w:gridCol w:w="1350"/>
        <w:gridCol w:w="1170"/>
        <w:gridCol w:w="1170"/>
        <w:gridCol w:w="1170"/>
      </w:tblGrid>
      <w:tr w:rsidR="005D650B" w:rsidRPr="005D650B" w:rsidTr="00253784">
        <w:trPr>
          <w:trHeight w:val="220"/>
        </w:trPr>
        <w:tc>
          <w:tcPr>
            <w:tcW w:w="1075"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Variable</w:t>
            </w:r>
          </w:p>
        </w:tc>
        <w:tc>
          <w:tcPr>
            <w:tcW w:w="135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Coefficient</w:t>
            </w:r>
          </w:p>
        </w:tc>
        <w:tc>
          <w:tcPr>
            <w:tcW w:w="117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Std. Error</w:t>
            </w:r>
          </w:p>
        </w:tc>
        <w:tc>
          <w:tcPr>
            <w:tcW w:w="117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t-Statistic</w:t>
            </w:r>
          </w:p>
        </w:tc>
        <w:tc>
          <w:tcPr>
            <w:tcW w:w="117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Prob.**   </w:t>
            </w:r>
          </w:p>
        </w:tc>
      </w:tr>
      <w:tr w:rsidR="005D650B" w:rsidRPr="005D650B" w:rsidTr="00253784">
        <w:trPr>
          <w:trHeight w:val="220"/>
        </w:trPr>
        <w:tc>
          <w:tcPr>
            <w:tcW w:w="1075"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TRI</w:t>
            </w:r>
          </w:p>
        </w:tc>
        <w:tc>
          <w:tcPr>
            <w:tcW w:w="135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0.002</w:t>
            </w:r>
          </w:p>
        </w:tc>
        <w:tc>
          <w:tcPr>
            <w:tcW w:w="117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0.000</w:t>
            </w:r>
          </w:p>
        </w:tc>
        <w:tc>
          <w:tcPr>
            <w:tcW w:w="117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11.635</w:t>
            </w:r>
          </w:p>
        </w:tc>
        <w:tc>
          <w:tcPr>
            <w:tcW w:w="117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0.000**</w:t>
            </w:r>
          </w:p>
        </w:tc>
      </w:tr>
      <w:tr w:rsidR="005D650B" w:rsidRPr="005D650B" w:rsidTr="00253784">
        <w:trPr>
          <w:trHeight w:val="220"/>
        </w:trPr>
        <w:tc>
          <w:tcPr>
            <w:tcW w:w="1075"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TRG</w:t>
            </w:r>
          </w:p>
        </w:tc>
        <w:tc>
          <w:tcPr>
            <w:tcW w:w="135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0.005</w:t>
            </w:r>
          </w:p>
        </w:tc>
        <w:tc>
          <w:tcPr>
            <w:tcW w:w="117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0.004</w:t>
            </w:r>
          </w:p>
        </w:tc>
        <w:tc>
          <w:tcPr>
            <w:tcW w:w="117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1.176</w:t>
            </w:r>
          </w:p>
        </w:tc>
        <w:tc>
          <w:tcPr>
            <w:tcW w:w="117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0.259</w:t>
            </w:r>
          </w:p>
        </w:tc>
      </w:tr>
      <w:tr w:rsidR="005D650B" w:rsidRPr="005D650B" w:rsidTr="00253784">
        <w:trPr>
          <w:trHeight w:val="220"/>
        </w:trPr>
        <w:tc>
          <w:tcPr>
            <w:tcW w:w="1075"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GDPGR</w:t>
            </w:r>
          </w:p>
        </w:tc>
        <w:tc>
          <w:tcPr>
            <w:tcW w:w="135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-0.001</w:t>
            </w:r>
          </w:p>
        </w:tc>
        <w:tc>
          <w:tcPr>
            <w:tcW w:w="117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0.001</w:t>
            </w:r>
          </w:p>
        </w:tc>
        <w:tc>
          <w:tcPr>
            <w:tcW w:w="117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-0.708</w:t>
            </w:r>
          </w:p>
        </w:tc>
        <w:tc>
          <w:tcPr>
            <w:tcW w:w="117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0.491</w:t>
            </w:r>
          </w:p>
        </w:tc>
      </w:tr>
      <w:tr w:rsidR="005D650B" w:rsidRPr="005D650B" w:rsidTr="00253784">
        <w:trPr>
          <w:trHeight w:val="220"/>
        </w:trPr>
        <w:tc>
          <w:tcPr>
            <w:tcW w:w="1075"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INF</w:t>
            </w:r>
          </w:p>
        </w:tc>
        <w:tc>
          <w:tcPr>
            <w:tcW w:w="135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-0.001</w:t>
            </w:r>
          </w:p>
        </w:tc>
        <w:tc>
          <w:tcPr>
            <w:tcW w:w="117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0.000</w:t>
            </w:r>
          </w:p>
        </w:tc>
        <w:tc>
          <w:tcPr>
            <w:tcW w:w="117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-4.089</w:t>
            </w:r>
          </w:p>
        </w:tc>
        <w:tc>
          <w:tcPr>
            <w:tcW w:w="117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0.001**</w:t>
            </w:r>
          </w:p>
        </w:tc>
      </w:tr>
      <w:tr w:rsidR="005D650B" w:rsidRPr="005D650B" w:rsidTr="00253784">
        <w:trPr>
          <w:trHeight w:val="220"/>
        </w:trPr>
        <w:tc>
          <w:tcPr>
            <w:tcW w:w="1075"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GEXP</w:t>
            </w:r>
          </w:p>
        </w:tc>
        <w:tc>
          <w:tcPr>
            <w:tcW w:w="135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0.003</w:t>
            </w:r>
          </w:p>
        </w:tc>
        <w:tc>
          <w:tcPr>
            <w:tcW w:w="117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0.002</w:t>
            </w:r>
          </w:p>
        </w:tc>
        <w:tc>
          <w:tcPr>
            <w:tcW w:w="117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1.822</w:t>
            </w:r>
          </w:p>
        </w:tc>
        <w:tc>
          <w:tcPr>
            <w:tcW w:w="117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0.089</w:t>
            </w:r>
          </w:p>
        </w:tc>
      </w:tr>
      <w:tr w:rsidR="005D650B" w:rsidRPr="005D650B" w:rsidTr="00253784">
        <w:trPr>
          <w:trHeight w:val="220"/>
        </w:trPr>
        <w:tc>
          <w:tcPr>
            <w:tcW w:w="1075"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C</w:t>
            </w:r>
          </w:p>
        </w:tc>
        <w:tc>
          <w:tcPr>
            <w:tcW w:w="135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0.349</w:t>
            </w:r>
          </w:p>
        </w:tc>
        <w:tc>
          <w:tcPr>
            <w:tcW w:w="117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0.022</w:t>
            </w:r>
          </w:p>
        </w:tc>
        <w:tc>
          <w:tcPr>
            <w:tcW w:w="117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15.946</w:t>
            </w:r>
          </w:p>
        </w:tc>
        <w:tc>
          <w:tcPr>
            <w:tcW w:w="1170" w:type="dxa"/>
          </w:tcPr>
          <w:p w:rsidR="00253784" w:rsidRPr="005D650B" w:rsidRDefault="00253784" w:rsidP="00253784">
            <w:pPr>
              <w:rPr>
                <w:rFonts w:ascii="Times New Roman" w:hAnsi="Times New Roman" w:cs="Times New Roman"/>
                <w:sz w:val="24"/>
                <w:szCs w:val="24"/>
              </w:rPr>
            </w:pPr>
            <w:r w:rsidRPr="005D650B">
              <w:rPr>
                <w:rFonts w:ascii="Times New Roman" w:hAnsi="Times New Roman" w:cs="Times New Roman"/>
                <w:sz w:val="24"/>
                <w:szCs w:val="24"/>
              </w:rPr>
              <w:t>0.000**</w:t>
            </w:r>
          </w:p>
        </w:tc>
      </w:tr>
    </w:tbl>
    <w:p w:rsidR="00253784" w:rsidRPr="005D650B" w:rsidRDefault="00253784" w:rsidP="00253784">
      <w:pPr>
        <w:pStyle w:val="BodyText"/>
        <w:rPr>
          <w:rFonts w:ascii="Times New Roman" w:hAnsi="Times New Roman" w:cs="Times New Roman"/>
          <w:bCs/>
          <w:sz w:val="24"/>
          <w:szCs w:val="24"/>
        </w:rPr>
      </w:pPr>
      <w:r w:rsidRPr="005D650B">
        <w:rPr>
          <w:rFonts w:ascii="Times New Roman" w:hAnsi="Times New Roman" w:cs="Times New Roman"/>
          <w:b/>
          <w:i/>
          <w:sz w:val="24"/>
          <w:szCs w:val="24"/>
        </w:rPr>
        <w:t>Source:</w:t>
      </w:r>
      <w:r w:rsidRPr="005D650B">
        <w:rPr>
          <w:rFonts w:ascii="Times New Roman" w:hAnsi="Times New Roman" w:cs="Times New Roman"/>
          <w:b/>
          <w:sz w:val="24"/>
          <w:szCs w:val="24"/>
        </w:rPr>
        <w:t xml:space="preserve"> </w:t>
      </w:r>
      <w:r w:rsidRPr="005D650B">
        <w:rPr>
          <w:rFonts w:ascii="Times New Roman" w:hAnsi="Times New Roman" w:cs="Times New Roman"/>
          <w:bCs/>
          <w:sz w:val="24"/>
          <w:szCs w:val="24"/>
        </w:rPr>
        <w:t>Research’s Compilation, 2026 from E-view-9</w:t>
      </w:r>
    </w:p>
    <w:p w:rsidR="00C2011E" w:rsidRPr="005D650B" w:rsidRDefault="00C2011E" w:rsidP="00C2011E">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 xml:space="preserve">The long-run estimates presented in Table 4.5 reveal that tax reform (TRI) and inflation (INF) exert statistically significant effects on sustainable development (SD), whereas tax revenue growth (TRG), GDP growth (GDPGR), and government expenditure (GEXP) are not statistically significant in explaining long-run variations in SD. More specifically, tax reform (TRI) demonstrates a positive and statistically significant long-run relationship with sustainable development, suggesting that improvements in tax policy design and administrative efficiency enhance fiscal capacity, strengthen revenue mobilisation, and, consequently, promote sustainable development outcomes over time. In contrast, inflation (INF) exhibits a statistically significant negative long-run effect, implying that persistent price instability undermines sustainable development by eroding real income, distorting consumption and investment decisions, heightening economic uncertainty, and weakening overall macroeconomic stability. On the other hand, tax revenue growth (TRG) and government expenditure (GEXP), although positively signed, remain statistically insignificant, indicating that their long-run developmental effects are constrained by weak fiscal transmission mechanisms, institutional inefficiencies, and possible leakages in public financial management systems. Similarly, GDP growth (GDPGR) records a negative but statistically insignificant coefficient, suggesting that output expansion does not automatically translate into sustainable development within the study context, likely due to structural rigidities, sectoral concentration, and the non-inclusive nature of growth. With respect to tax reform (TRI), the positive and significant long-run effect aligns with the findings of Ofori </w:t>
      </w:r>
      <w:r w:rsidRPr="005D650B">
        <w:rPr>
          <w:rFonts w:ascii="Times New Roman" w:hAnsi="Times New Roman" w:cs="Times New Roman"/>
          <w:i/>
          <w:sz w:val="24"/>
          <w:szCs w:val="24"/>
        </w:rPr>
        <w:t>et al</w:t>
      </w:r>
      <w:r w:rsidRPr="005D650B">
        <w:rPr>
          <w:rFonts w:ascii="Times New Roman" w:hAnsi="Times New Roman" w:cs="Times New Roman"/>
          <w:sz w:val="24"/>
          <w:szCs w:val="24"/>
        </w:rPr>
        <w:t xml:space="preserve">. (2023) and Adegboye and Hassan (2022), who argue that tax reforms enhance revenue mobilisation efficiency and strengthen fiscal sustainability, thereby improving long-run development outcomes. In the same vein, Mwangi and Nyongesa (2024) and Akinwale et al. </w:t>
      </w:r>
      <w:r w:rsidRPr="005D650B">
        <w:rPr>
          <w:rFonts w:ascii="Times New Roman" w:hAnsi="Times New Roman" w:cs="Times New Roman"/>
          <w:sz w:val="24"/>
          <w:szCs w:val="24"/>
        </w:rPr>
        <w:lastRenderedPageBreak/>
        <w:t>(2023) establish that institutional tax reforms significantly improve macroeconomic stability and development performance over time, particularly in developing economies undergoing fiscal restructuring. However, these findings are not universally agreed upon, as Yusuf and Bello (2021) and Sharma and Gupta (2022) report that tax reforms may not significantly influence long-run development outcomes due to weak implementation capacity and administrative bottlenecks, while Okoro and Nwosu (2023) further contend that such reforms may only yield delayed or neutral effects in environments characterised by institutional fragility.</w:t>
      </w:r>
      <w:r w:rsidR="00130163" w:rsidRPr="005D650B">
        <w:rPr>
          <w:rFonts w:ascii="Times New Roman" w:hAnsi="Times New Roman" w:cs="Times New Roman"/>
          <w:sz w:val="24"/>
          <w:szCs w:val="24"/>
        </w:rPr>
        <w:t xml:space="preserve"> </w:t>
      </w:r>
      <w:r w:rsidRPr="005D650B">
        <w:rPr>
          <w:rFonts w:ascii="Times New Roman" w:hAnsi="Times New Roman" w:cs="Times New Roman"/>
          <w:sz w:val="24"/>
          <w:szCs w:val="24"/>
        </w:rPr>
        <w:t xml:space="preserve">For tax revenue growth (TRG), the positive but statistically insignificant relationship is consistent with Olaniyan </w:t>
      </w:r>
      <w:r w:rsidRPr="005D650B">
        <w:rPr>
          <w:rFonts w:ascii="Times New Roman" w:hAnsi="Times New Roman" w:cs="Times New Roman"/>
          <w:i/>
          <w:sz w:val="24"/>
          <w:szCs w:val="24"/>
        </w:rPr>
        <w:t>et al</w:t>
      </w:r>
      <w:r w:rsidRPr="005D650B">
        <w:rPr>
          <w:rFonts w:ascii="Times New Roman" w:hAnsi="Times New Roman" w:cs="Times New Roman"/>
          <w:sz w:val="24"/>
          <w:szCs w:val="24"/>
        </w:rPr>
        <w:t xml:space="preserve">. (2022) and Mensah and Boateng (2023), who observe that increases in tax revenue do not automatically translate into long-run development gains due to revenue leakages, weak budget execution, and inefficiencies in public financial management systems. Similarly, Chukwu </w:t>
      </w:r>
      <w:r w:rsidRPr="005D650B">
        <w:rPr>
          <w:rFonts w:ascii="Times New Roman" w:hAnsi="Times New Roman" w:cs="Times New Roman"/>
          <w:i/>
          <w:sz w:val="24"/>
          <w:szCs w:val="24"/>
        </w:rPr>
        <w:t>et al</w:t>
      </w:r>
      <w:r w:rsidRPr="005D650B">
        <w:rPr>
          <w:rFonts w:ascii="Times New Roman" w:hAnsi="Times New Roman" w:cs="Times New Roman"/>
          <w:sz w:val="24"/>
          <w:szCs w:val="24"/>
        </w:rPr>
        <w:t>. (2024) and Ibrahim and Suleiman (2023) emphasise that the developmental impact of tax revenue is largely contingent on governance quality and institutional absorptive capacity. In contrast, Azeez and Kalu (2022) and Rodriguez and Smith (2021) provide evidence that tax revenue can significantly enhance long-run development when supported by strong fiscal institutions, while Khan and Ali (2024) argue that efficient and transparent revenue utilisation can transform fiscal capacity into sustainable development outcomes.</w:t>
      </w:r>
    </w:p>
    <w:p w:rsidR="00C2011E" w:rsidRPr="005D650B" w:rsidRDefault="00C2011E" w:rsidP="00C2011E">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 xml:space="preserve">Regarding GDP growth (GDPGR), the negative and statistically insignificant coefficient is consistent with the findings of Dlamini and Nkosi (2023) and Eze and Okeke (2022), who argue that economic growth in many developing economies is often non-inclusive and weakly linked to sustainable development due to structural rigidities and over-reliance on extractive sectors. Similarly, Ahmed </w:t>
      </w:r>
      <w:r w:rsidRPr="005D650B">
        <w:rPr>
          <w:rFonts w:ascii="Times New Roman" w:hAnsi="Times New Roman" w:cs="Times New Roman"/>
          <w:i/>
          <w:sz w:val="24"/>
          <w:szCs w:val="24"/>
        </w:rPr>
        <w:t>et al</w:t>
      </w:r>
      <w:r w:rsidRPr="005D650B">
        <w:rPr>
          <w:rFonts w:ascii="Times New Roman" w:hAnsi="Times New Roman" w:cs="Times New Roman"/>
          <w:sz w:val="24"/>
          <w:szCs w:val="24"/>
        </w:rPr>
        <w:t xml:space="preserve">. (2024) and Bello and Adamu (2023) maintain that growth which is not environmentally sustainable or equitably distributed may fail to translate into improved sustainability outcomes. Conversely, Smith and Johnson (2021) and Kumar and Patel (2022) report a significant positive relationship between GDP growth and sustainable development, while Wang and Liu (2023) further demonstrate that sustained economic expansion can enhance welfare outcomes when supported by strong institutions and inclusive policy frameworks. For government expenditure (GEXP), the positive but statistically insignificant coefficient is consistent with Adeyemi and Oladipo (2023) and Hassan and Musa (2022), who find that public expenditure contributes meaningfully to long-run development only when it is efficiently managed, transparently implemented, and productively allocated. Similarly, Singh and Verma (2024) and </w:t>
      </w:r>
      <w:r w:rsidRPr="005D650B">
        <w:rPr>
          <w:rFonts w:ascii="Times New Roman" w:hAnsi="Times New Roman" w:cs="Times New Roman"/>
          <w:sz w:val="24"/>
          <w:szCs w:val="24"/>
        </w:rPr>
        <w:lastRenderedPageBreak/>
        <w:t xml:space="preserve">Nwankwo </w:t>
      </w:r>
      <w:r w:rsidRPr="005D650B">
        <w:rPr>
          <w:rFonts w:ascii="Times New Roman" w:hAnsi="Times New Roman" w:cs="Times New Roman"/>
          <w:i/>
          <w:sz w:val="24"/>
          <w:szCs w:val="24"/>
        </w:rPr>
        <w:t>et al</w:t>
      </w:r>
      <w:r w:rsidRPr="005D650B">
        <w:rPr>
          <w:rFonts w:ascii="Times New Roman" w:hAnsi="Times New Roman" w:cs="Times New Roman"/>
          <w:sz w:val="24"/>
          <w:szCs w:val="24"/>
        </w:rPr>
        <w:t>. (2023) observe that the developmental impact of government spending is often weakened by inefficiencies, corruption risks, and delays in project execution. In contrast, Brown and Taylor (2021) and Ali and Rehman (2022) show that government expenditure can significantly enhance development outcomes when directed toward productive and growth-enhancing sectors, while Zhang and Chen (2023) emphasise that fiscal expansion is most effective under strong institutional governance and efficient public sector management.</w:t>
      </w:r>
      <w:r w:rsidR="0039322C" w:rsidRPr="005D650B">
        <w:rPr>
          <w:rFonts w:ascii="Times New Roman" w:hAnsi="Times New Roman" w:cs="Times New Roman"/>
          <w:sz w:val="24"/>
          <w:szCs w:val="24"/>
        </w:rPr>
        <w:t xml:space="preserve"> </w:t>
      </w:r>
      <w:r w:rsidRPr="005D650B">
        <w:rPr>
          <w:rFonts w:ascii="Times New Roman" w:hAnsi="Times New Roman" w:cs="Times New Roman"/>
          <w:sz w:val="24"/>
          <w:szCs w:val="24"/>
        </w:rPr>
        <w:t>Overall, the long-run results suggest that institutional quality and macroeconomic stability play a more decisive role in shaping sustainable development than mere expansion of output or fiscal aggregates, thereby underscoring the need for strengthened tax administration, improved public expenditure efficiency, and stable macroeconomic conditions to achieve inclusive and sustainable development outcomes.</w:t>
      </w:r>
    </w:p>
    <w:p w:rsidR="00AC6F62" w:rsidRPr="005D650B" w:rsidRDefault="00AC6F62" w:rsidP="00AC6F62">
      <w:pPr>
        <w:spacing w:after="0" w:line="240" w:lineRule="auto"/>
        <w:jc w:val="both"/>
        <w:rPr>
          <w:rFonts w:ascii="Times New Roman" w:hAnsi="Times New Roman" w:cs="Times New Roman"/>
          <w:b/>
        </w:rPr>
      </w:pPr>
      <w:r w:rsidRPr="005D650B">
        <w:rPr>
          <w:rFonts w:ascii="Times New Roman" w:hAnsi="Times New Roman" w:cs="Times New Roman"/>
          <w:b/>
        </w:rPr>
        <w:t xml:space="preserve">Table 4.6: Interaction Effect in the </w:t>
      </w:r>
      <w:r w:rsidRPr="005D650B">
        <w:rPr>
          <w:rFonts w:ascii="Times New Roman" w:hAnsi="Times New Roman" w:cs="Times New Roman"/>
          <w:b/>
          <w:bCs/>
        </w:rPr>
        <w:t>Short-Run Result of ARDL</w:t>
      </w:r>
      <w:r w:rsidRPr="005D650B">
        <w:rPr>
          <w:rFonts w:ascii="Times New Roman" w:hAnsi="Times New Roman" w:cs="Times New Roman"/>
          <w:b/>
        </w:rPr>
        <w:t xml:space="preserve"> (Dependent Variable: </w:t>
      </w:r>
      <w:r w:rsidRPr="005D650B">
        <w:rPr>
          <w:rFonts w:ascii="Times New Roman" w:hAnsi="Times New Roman" w:cs="Times New Roman"/>
          <w:b/>
          <w:bCs/>
        </w:rPr>
        <w:t>SD</w:t>
      </w:r>
      <w:r w:rsidRPr="005D650B">
        <w:rPr>
          <w:rFonts w:ascii="Times New Roman" w:hAnsi="Times New Roman" w:cs="Times New Roman"/>
          <w:b/>
        </w:rPr>
        <w:t>)</w:t>
      </w:r>
    </w:p>
    <w:tbl>
      <w:tblPr>
        <w:tblStyle w:val="TableGrid"/>
        <w:tblW w:w="0" w:type="auto"/>
        <w:tblLayout w:type="fixed"/>
        <w:tblLook w:val="0000" w:firstRow="0" w:lastRow="0" w:firstColumn="0" w:lastColumn="0" w:noHBand="0" w:noVBand="0"/>
      </w:tblPr>
      <w:tblGrid>
        <w:gridCol w:w="1705"/>
        <w:gridCol w:w="1350"/>
        <w:gridCol w:w="1265"/>
        <w:gridCol w:w="1150"/>
        <w:gridCol w:w="1095"/>
      </w:tblGrid>
      <w:tr w:rsidR="005D650B" w:rsidRPr="005D650B" w:rsidTr="00D26A7B">
        <w:trPr>
          <w:trHeight w:val="220"/>
        </w:trPr>
        <w:tc>
          <w:tcPr>
            <w:tcW w:w="1705" w:type="dxa"/>
          </w:tcPr>
          <w:p w:rsidR="00D26A7B" w:rsidRPr="005D650B" w:rsidRDefault="00D26A7B" w:rsidP="00D26A7B">
            <w:pPr>
              <w:rPr>
                <w:rFonts w:ascii="Times New Roman" w:hAnsi="Times New Roman" w:cs="Times New Roman"/>
                <w:sz w:val="24"/>
                <w:szCs w:val="24"/>
              </w:rPr>
            </w:pPr>
            <w:r w:rsidRPr="005D650B">
              <w:rPr>
                <w:rFonts w:ascii="Times New Roman" w:hAnsi="Times New Roman" w:cs="Times New Roman"/>
                <w:sz w:val="24"/>
                <w:szCs w:val="24"/>
              </w:rPr>
              <w:t>Variable</w:t>
            </w:r>
          </w:p>
        </w:tc>
        <w:tc>
          <w:tcPr>
            <w:tcW w:w="1350" w:type="dxa"/>
          </w:tcPr>
          <w:p w:rsidR="00D26A7B" w:rsidRPr="005D650B" w:rsidRDefault="00D26A7B" w:rsidP="00D26A7B">
            <w:pPr>
              <w:rPr>
                <w:rFonts w:ascii="Times New Roman" w:hAnsi="Times New Roman" w:cs="Times New Roman"/>
                <w:sz w:val="24"/>
                <w:szCs w:val="24"/>
              </w:rPr>
            </w:pPr>
            <w:r w:rsidRPr="005D650B">
              <w:rPr>
                <w:rFonts w:ascii="Times New Roman" w:hAnsi="Times New Roman" w:cs="Times New Roman"/>
                <w:sz w:val="24"/>
                <w:szCs w:val="24"/>
              </w:rPr>
              <w:t>Coefficient</w:t>
            </w:r>
          </w:p>
        </w:tc>
        <w:tc>
          <w:tcPr>
            <w:tcW w:w="1265" w:type="dxa"/>
          </w:tcPr>
          <w:p w:rsidR="00D26A7B" w:rsidRPr="005D650B" w:rsidRDefault="00D26A7B" w:rsidP="00D26A7B">
            <w:pPr>
              <w:rPr>
                <w:rFonts w:ascii="Times New Roman" w:hAnsi="Times New Roman" w:cs="Times New Roman"/>
                <w:sz w:val="24"/>
                <w:szCs w:val="24"/>
              </w:rPr>
            </w:pPr>
            <w:r w:rsidRPr="005D650B">
              <w:rPr>
                <w:rFonts w:ascii="Times New Roman" w:hAnsi="Times New Roman" w:cs="Times New Roman"/>
                <w:sz w:val="24"/>
                <w:szCs w:val="24"/>
              </w:rPr>
              <w:t>Std. Error</w:t>
            </w:r>
          </w:p>
        </w:tc>
        <w:tc>
          <w:tcPr>
            <w:tcW w:w="1150" w:type="dxa"/>
          </w:tcPr>
          <w:p w:rsidR="00D26A7B" w:rsidRPr="005D650B" w:rsidRDefault="00D26A7B" w:rsidP="00D26A7B">
            <w:pPr>
              <w:rPr>
                <w:rFonts w:ascii="Times New Roman" w:hAnsi="Times New Roman" w:cs="Times New Roman"/>
                <w:sz w:val="24"/>
                <w:szCs w:val="24"/>
              </w:rPr>
            </w:pPr>
            <w:r w:rsidRPr="005D650B">
              <w:rPr>
                <w:rFonts w:ascii="Times New Roman" w:hAnsi="Times New Roman" w:cs="Times New Roman"/>
                <w:sz w:val="24"/>
                <w:szCs w:val="24"/>
              </w:rPr>
              <w:t>t-Statistic</w:t>
            </w:r>
          </w:p>
        </w:tc>
        <w:tc>
          <w:tcPr>
            <w:tcW w:w="1095" w:type="dxa"/>
          </w:tcPr>
          <w:p w:rsidR="00D26A7B" w:rsidRPr="005D650B" w:rsidRDefault="00D26A7B" w:rsidP="00D26A7B">
            <w:pPr>
              <w:rPr>
                <w:rFonts w:ascii="Times New Roman" w:hAnsi="Times New Roman" w:cs="Times New Roman"/>
                <w:sz w:val="24"/>
                <w:szCs w:val="24"/>
              </w:rPr>
            </w:pPr>
            <w:r w:rsidRPr="005D650B">
              <w:rPr>
                <w:rFonts w:ascii="Times New Roman" w:hAnsi="Times New Roman" w:cs="Times New Roman"/>
                <w:sz w:val="24"/>
                <w:szCs w:val="24"/>
              </w:rPr>
              <w:t>Prob.**   </w:t>
            </w:r>
          </w:p>
        </w:tc>
      </w:tr>
      <w:tr w:rsidR="005D650B" w:rsidRPr="005D650B" w:rsidTr="00D26A7B">
        <w:trPr>
          <w:trHeight w:val="220"/>
        </w:trPr>
        <w:tc>
          <w:tcPr>
            <w:tcW w:w="1705" w:type="dxa"/>
          </w:tcPr>
          <w:p w:rsidR="006F15EB" w:rsidRPr="005D650B" w:rsidRDefault="006F15EB" w:rsidP="006F15EB">
            <w:pPr>
              <w:rPr>
                <w:rFonts w:ascii="Times New Roman" w:hAnsi="Times New Roman" w:cs="Times New Roman"/>
                <w:sz w:val="24"/>
                <w:szCs w:val="24"/>
              </w:rPr>
            </w:pPr>
            <w:r w:rsidRPr="005D650B">
              <w:rPr>
                <w:rFonts w:ascii="Times New Roman" w:hAnsi="Times New Roman" w:cs="Times New Roman"/>
                <w:sz w:val="24"/>
                <w:szCs w:val="24"/>
              </w:rPr>
              <w:t>D(SD(-1))</w:t>
            </w:r>
          </w:p>
        </w:tc>
        <w:tc>
          <w:tcPr>
            <w:tcW w:w="1350" w:type="dxa"/>
          </w:tcPr>
          <w:p w:rsidR="006F15EB" w:rsidRPr="005D650B" w:rsidRDefault="006F15EB" w:rsidP="006F15EB">
            <w:pPr>
              <w:rPr>
                <w:rFonts w:ascii="Times New Roman" w:hAnsi="Times New Roman" w:cs="Times New Roman"/>
                <w:sz w:val="24"/>
                <w:szCs w:val="24"/>
              </w:rPr>
            </w:pPr>
            <w:r w:rsidRPr="005D650B">
              <w:rPr>
                <w:rFonts w:ascii="Times New Roman" w:hAnsi="Times New Roman" w:cs="Times New Roman"/>
                <w:sz w:val="24"/>
                <w:szCs w:val="24"/>
              </w:rPr>
              <w:t>-0.178</w:t>
            </w:r>
          </w:p>
        </w:tc>
        <w:tc>
          <w:tcPr>
            <w:tcW w:w="1265" w:type="dxa"/>
          </w:tcPr>
          <w:p w:rsidR="006F15EB" w:rsidRPr="005D650B" w:rsidRDefault="006F15EB" w:rsidP="006F15EB">
            <w:pPr>
              <w:rPr>
                <w:rFonts w:ascii="Times New Roman" w:hAnsi="Times New Roman" w:cs="Times New Roman"/>
                <w:sz w:val="24"/>
                <w:szCs w:val="24"/>
              </w:rPr>
            </w:pPr>
            <w:r w:rsidRPr="005D650B">
              <w:rPr>
                <w:rFonts w:ascii="Times New Roman" w:hAnsi="Times New Roman" w:cs="Times New Roman"/>
                <w:sz w:val="24"/>
                <w:szCs w:val="24"/>
              </w:rPr>
              <w:t>0.145</w:t>
            </w:r>
          </w:p>
        </w:tc>
        <w:tc>
          <w:tcPr>
            <w:tcW w:w="1150" w:type="dxa"/>
          </w:tcPr>
          <w:p w:rsidR="006F15EB" w:rsidRPr="005D650B" w:rsidRDefault="00D26A7B" w:rsidP="006F15EB">
            <w:pPr>
              <w:rPr>
                <w:rFonts w:ascii="Times New Roman" w:hAnsi="Times New Roman" w:cs="Times New Roman"/>
                <w:sz w:val="24"/>
                <w:szCs w:val="24"/>
              </w:rPr>
            </w:pPr>
            <w:r w:rsidRPr="005D650B">
              <w:rPr>
                <w:rFonts w:ascii="Times New Roman" w:hAnsi="Times New Roman" w:cs="Times New Roman"/>
                <w:sz w:val="24"/>
                <w:szCs w:val="24"/>
              </w:rPr>
              <w:t>-1.234</w:t>
            </w:r>
          </w:p>
        </w:tc>
        <w:tc>
          <w:tcPr>
            <w:tcW w:w="1095" w:type="dxa"/>
          </w:tcPr>
          <w:p w:rsidR="006F15EB" w:rsidRPr="005D650B" w:rsidRDefault="00D26A7B" w:rsidP="006F15EB">
            <w:pPr>
              <w:rPr>
                <w:rFonts w:ascii="Times New Roman" w:hAnsi="Times New Roman" w:cs="Times New Roman"/>
                <w:sz w:val="24"/>
                <w:szCs w:val="24"/>
              </w:rPr>
            </w:pPr>
            <w:r w:rsidRPr="005D650B">
              <w:rPr>
                <w:rFonts w:ascii="Times New Roman" w:hAnsi="Times New Roman" w:cs="Times New Roman"/>
                <w:sz w:val="24"/>
                <w:szCs w:val="24"/>
              </w:rPr>
              <w:t>0.236</w:t>
            </w:r>
          </w:p>
        </w:tc>
      </w:tr>
      <w:tr w:rsidR="005D650B" w:rsidRPr="005D650B" w:rsidTr="00D26A7B">
        <w:trPr>
          <w:trHeight w:val="220"/>
        </w:trPr>
        <w:tc>
          <w:tcPr>
            <w:tcW w:w="1705" w:type="dxa"/>
          </w:tcPr>
          <w:p w:rsidR="006F15EB" w:rsidRPr="005D650B" w:rsidRDefault="006F15EB" w:rsidP="006F15EB">
            <w:pPr>
              <w:rPr>
                <w:rFonts w:ascii="Times New Roman" w:hAnsi="Times New Roman" w:cs="Times New Roman"/>
                <w:sz w:val="24"/>
                <w:szCs w:val="24"/>
              </w:rPr>
            </w:pPr>
            <w:r w:rsidRPr="005D650B">
              <w:rPr>
                <w:rFonts w:ascii="Times New Roman" w:hAnsi="Times New Roman" w:cs="Times New Roman"/>
                <w:sz w:val="24"/>
                <w:szCs w:val="24"/>
              </w:rPr>
              <w:t>D(TRI)</w:t>
            </w:r>
          </w:p>
        </w:tc>
        <w:tc>
          <w:tcPr>
            <w:tcW w:w="1350" w:type="dxa"/>
          </w:tcPr>
          <w:p w:rsidR="006F15EB" w:rsidRPr="005D650B" w:rsidRDefault="006F15EB" w:rsidP="006F15EB">
            <w:pPr>
              <w:rPr>
                <w:rFonts w:ascii="Times New Roman" w:hAnsi="Times New Roman" w:cs="Times New Roman"/>
                <w:sz w:val="24"/>
                <w:szCs w:val="24"/>
              </w:rPr>
            </w:pPr>
            <w:r w:rsidRPr="005D650B">
              <w:rPr>
                <w:rFonts w:ascii="Times New Roman" w:hAnsi="Times New Roman" w:cs="Times New Roman"/>
                <w:sz w:val="24"/>
                <w:szCs w:val="24"/>
              </w:rPr>
              <w:t>0.004</w:t>
            </w:r>
          </w:p>
        </w:tc>
        <w:tc>
          <w:tcPr>
            <w:tcW w:w="1265" w:type="dxa"/>
          </w:tcPr>
          <w:p w:rsidR="006F15EB" w:rsidRPr="005D650B" w:rsidRDefault="006F15EB" w:rsidP="006F15EB">
            <w:pPr>
              <w:rPr>
                <w:rFonts w:ascii="Times New Roman" w:hAnsi="Times New Roman" w:cs="Times New Roman"/>
                <w:sz w:val="24"/>
                <w:szCs w:val="24"/>
              </w:rPr>
            </w:pPr>
            <w:r w:rsidRPr="005D650B">
              <w:rPr>
                <w:rFonts w:ascii="Times New Roman" w:hAnsi="Times New Roman" w:cs="Times New Roman"/>
                <w:sz w:val="24"/>
                <w:szCs w:val="24"/>
              </w:rPr>
              <w:t>0.001</w:t>
            </w:r>
          </w:p>
        </w:tc>
        <w:tc>
          <w:tcPr>
            <w:tcW w:w="1150" w:type="dxa"/>
          </w:tcPr>
          <w:p w:rsidR="006F15EB" w:rsidRPr="005D650B" w:rsidRDefault="00D26A7B" w:rsidP="006F15EB">
            <w:pPr>
              <w:rPr>
                <w:rFonts w:ascii="Times New Roman" w:hAnsi="Times New Roman" w:cs="Times New Roman"/>
                <w:sz w:val="24"/>
                <w:szCs w:val="24"/>
              </w:rPr>
            </w:pPr>
            <w:r w:rsidRPr="005D650B">
              <w:rPr>
                <w:rFonts w:ascii="Times New Roman" w:hAnsi="Times New Roman" w:cs="Times New Roman"/>
                <w:sz w:val="24"/>
                <w:szCs w:val="24"/>
              </w:rPr>
              <w:t>3.377</w:t>
            </w:r>
          </w:p>
        </w:tc>
        <w:tc>
          <w:tcPr>
            <w:tcW w:w="1095" w:type="dxa"/>
          </w:tcPr>
          <w:p w:rsidR="006F15EB" w:rsidRPr="005D650B" w:rsidRDefault="00D26A7B" w:rsidP="006F15EB">
            <w:pPr>
              <w:rPr>
                <w:rFonts w:ascii="Times New Roman" w:hAnsi="Times New Roman" w:cs="Times New Roman"/>
                <w:sz w:val="24"/>
                <w:szCs w:val="24"/>
              </w:rPr>
            </w:pPr>
            <w:r w:rsidRPr="005D650B">
              <w:rPr>
                <w:rFonts w:ascii="Times New Roman" w:hAnsi="Times New Roman" w:cs="Times New Roman"/>
                <w:sz w:val="24"/>
                <w:szCs w:val="24"/>
              </w:rPr>
              <w:t>0.004</w:t>
            </w:r>
            <w:r w:rsidR="00DC7DF1" w:rsidRPr="005D650B">
              <w:rPr>
                <w:rFonts w:ascii="Times New Roman" w:hAnsi="Times New Roman" w:cs="Times New Roman"/>
                <w:sz w:val="24"/>
                <w:szCs w:val="24"/>
              </w:rPr>
              <w:t>**</w:t>
            </w:r>
          </w:p>
        </w:tc>
      </w:tr>
      <w:tr w:rsidR="005D650B" w:rsidRPr="005D650B" w:rsidTr="00D26A7B">
        <w:trPr>
          <w:trHeight w:val="220"/>
        </w:trPr>
        <w:tc>
          <w:tcPr>
            <w:tcW w:w="1705" w:type="dxa"/>
          </w:tcPr>
          <w:p w:rsidR="006F15EB" w:rsidRPr="005D650B" w:rsidRDefault="006F15EB" w:rsidP="006F15EB">
            <w:pPr>
              <w:rPr>
                <w:rFonts w:ascii="Times New Roman" w:hAnsi="Times New Roman" w:cs="Times New Roman"/>
                <w:sz w:val="24"/>
                <w:szCs w:val="24"/>
              </w:rPr>
            </w:pPr>
            <w:r w:rsidRPr="005D650B">
              <w:rPr>
                <w:rFonts w:ascii="Times New Roman" w:hAnsi="Times New Roman" w:cs="Times New Roman"/>
                <w:sz w:val="24"/>
                <w:szCs w:val="24"/>
              </w:rPr>
              <w:t>D(TRI(-1))</w:t>
            </w:r>
          </w:p>
        </w:tc>
        <w:tc>
          <w:tcPr>
            <w:tcW w:w="1350" w:type="dxa"/>
          </w:tcPr>
          <w:p w:rsidR="006F15EB" w:rsidRPr="005D650B" w:rsidRDefault="006F15EB" w:rsidP="006F15EB">
            <w:pPr>
              <w:rPr>
                <w:rFonts w:ascii="Times New Roman" w:hAnsi="Times New Roman" w:cs="Times New Roman"/>
                <w:sz w:val="24"/>
                <w:szCs w:val="24"/>
              </w:rPr>
            </w:pPr>
            <w:r w:rsidRPr="005D650B">
              <w:rPr>
                <w:rFonts w:ascii="Times New Roman" w:hAnsi="Times New Roman" w:cs="Times New Roman"/>
                <w:sz w:val="24"/>
                <w:szCs w:val="24"/>
              </w:rPr>
              <w:t>0.001</w:t>
            </w:r>
          </w:p>
        </w:tc>
        <w:tc>
          <w:tcPr>
            <w:tcW w:w="1265" w:type="dxa"/>
          </w:tcPr>
          <w:p w:rsidR="006F15EB" w:rsidRPr="005D650B" w:rsidRDefault="006F15EB" w:rsidP="006F15EB">
            <w:pPr>
              <w:rPr>
                <w:rFonts w:ascii="Times New Roman" w:hAnsi="Times New Roman" w:cs="Times New Roman"/>
                <w:sz w:val="24"/>
                <w:szCs w:val="24"/>
              </w:rPr>
            </w:pPr>
            <w:r w:rsidRPr="005D650B">
              <w:rPr>
                <w:rFonts w:ascii="Times New Roman" w:hAnsi="Times New Roman" w:cs="Times New Roman"/>
                <w:sz w:val="24"/>
                <w:szCs w:val="24"/>
              </w:rPr>
              <w:t>0.002</w:t>
            </w:r>
          </w:p>
        </w:tc>
        <w:tc>
          <w:tcPr>
            <w:tcW w:w="1150" w:type="dxa"/>
          </w:tcPr>
          <w:p w:rsidR="006F15EB" w:rsidRPr="005D650B" w:rsidRDefault="00D26A7B" w:rsidP="006F15EB">
            <w:pPr>
              <w:rPr>
                <w:rFonts w:ascii="Times New Roman" w:hAnsi="Times New Roman" w:cs="Times New Roman"/>
                <w:sz w:val="24"/>
                <w:szCs w:val="24"/>
              </w:rPr>
            </w:pPr>
            <w:r w:rsidRPr="005D650B">
              <w:rPr>
                <w:rFonts w:ascii="Times New Roman" w:hAnsi="Times New Roman" w:cs="Times New Roman"/>
                <w:sz w:val="24"/>
                <w:szCs w:val="24"/>
              </w:rPr>
              <w:t>0.274</w:t>
            </w:r>
          </w:p>
        </w:tc>
        <w:tc>
          <w:tcPr>
            <w:tcW w:w="1095" w:type="dxa"/>
          </w:tcPr>
          <w:p w:rsidR="006F15EB" w:rsidRPr="005D650B" w:rsidRDefault="006F15EB" w:rsidP="006F15EB">
            <w:pPr>
              <w:rPr>
                <w:rFonts w:ascii="Times New Roman" w:hAnsi="Times New Roman" w:cs="Times New Roman"/>
                <w:sz w:val="24"/>
                <w:szCs w:val="24"/>
              </w:rPr>
            </w:pPr>
            <w:r w:rsidRPr="005D650B">
              <w:rPr>
                <w:rFonts w:ascii="Times New Roman" w:hAnsi="Times New Roman" w:cs="Times New Roman"/>
                <w:sz w:val="24"/>
                <w:szCs w:val="24"/>
              </w:rPr>
              <w:t>0.7</w:t>
            </w:r>
            <w:r w:rsidR="00D26A7B" w:rsidRPr="005D650B">
              <w:rPr>
                <w:rFonts w:ascii="Times New Roman" w:hAnsi="Times New Roman" w:cs="Times New Roman"/>
                <w:sz w:val="24"/>
                <w:szCs w:val="24"/>
              </w:rPr>
              <w:t>88</w:t>
            </w:r>
          </w:p>
        </w:tc>
      </w:tr>
      <w:tr w:rsidR="005D650B" w:rsidRPr="005D650B" w:rsidTr="00D26A7B">
        <w:trPr>
          <w:trHeight w:val="220"/>
        </w:trPr>
        <w:tc>
          <w:tcPr>
            <w:tcW w:w="1705" w:type="dxa"/>
          </w:tcPr>
          <w:p w:rsidR="006F15EB" w:rsidRPr="005D650B" w:rsidRDefault="006F15EB" w:rsidP="006F15EB">
            <w:pPr>
              <w:rPr>
                <w:rFonts w:ascii="Times New Roman" w:hAnsi="Times New Roman" w:cs="Times New Roman"/>
                <w:sz w:val="24"/>
                <w:szCs w:val="24"/>
              </w:rPr>
            </w:pPr>
            <w:r w:rsidRPr="005D650B">
              <w:rPr>
                <w:rFonts w:ascii="Times New Roman" w:hAnsi="Times New Roman" w:cs="Times New Roman"/>
                <w:sz w:val="24"/>
                <w:szCs w:val="24"/>
              </w:rPr>
              <w:t>D(TRI(-2))</w:t>
            </w:r>
          </w:p>
        </w:tc>
        <w:tc>
          <w:tcPr>
            <w:tcW w:w="1350" w:type="dxa"/>
          </w:tcPr>
          <w:p w:rsidR="006F15EB" w:rsidRPr="005D650B" w:rsidRDefault="006F15EB" w:rsidP="006F15EB">
            <w:pPr>
              <w:rPr>
                <w:rFonts w:ascii="Times New Roman" w:hAnsi="Times New Roman" w:cs="Times New Roman"/>
                <w:sz w:val="24"/>
                <w:szCs w:val="24"/>
              </w:rPr>
            </w:pPr>
            <w:r w:rsidRPr="005D650B">
              <w:rPr>
                <w:rFonts w:ascii="Times New Roman" w:hAnsi="Times New Roman" w:cs="Times New Roman"/>
                <w:sz w:val="24"/>
                <w:szCs w:val="24"/>
              </w:rPr>
              <w:t>-0.004</w:t>
            </w:r>
          </w:p>
        </w:tc>
        <w:tc>
          <w:tcPr>
            <w:tcW w:w="1265" w:type="dxa"/>
          </w:tcPr>
          <w:p w:rsidR="006F15EB" w:rsidRPr="005D650B" w:rsidRDefault="006F15EB" w:rsidP="006F15EB">
            <w:pPr>
              <w:rPr>
                <w:rFonts w:ascii="Times New Roman" w:hAnsi="Times New Roman" w:cs="Times New Roman"/>
                <w:sz w:val="24"/>
                <w:szCs w:val="24"/>
              </w:rPr>
            </w:pPr>
            <w:r w:rsidRPr="005D650B">
              <w:rPr>
                <w:rFonts w:ascii="Times New Roman" w:hAnsi="Times New Roman" w:cs="Times New Roman"/>
                <w:sz w:val="24"/>
                <w:szCs w:val="24"/>
              </w:rPr>
              <w:t>0.001</w:t>
            </w:r>
          </w:p>
        </w:tc>
        <w:tc>
          <w:tcPr>
            <w:tcW w:w="1150" w:type="dxa"/>
          </w:tcPr>
          <w:p w:rsidR="006F15EB" w:rsidRPr="005D650B" w:rsidRDefault="00D26A7B" w:rsidP="006F15EB">
            <w:pPr>
              <w:rPr>
                <w:rFonts w:ascii="Times New Roman" w:hAnsi="Times New Roman" w:cs="Times New Roman"/>
                <w:sz w:val="24"/>
                <w:szCs w:val="24"/>
              </w:rPr>
            </w:pPr>
            <w:r w:rsidRPr="005D650B">
              <w:rPr>
                <w:rFonts w:ascii="Times New Roman" w:hAnsi="Times New Roman" w:cs="Times New Roman"/>
                <w:sz w:val="24"/>
                <w:szCs w:val="24"/>
              </w:rPr>
              <w:t>-2.782</w:t>
            </w:r>
          </w:p>
        </w:tc>
        <w:tc>
          <w:tcPr>
            <w:tcW w:w="1095" w:type="dxa"/>
          </w:tcPr>
          <w:p w:rsidR="006F15EB" w:rsidRPr="005D650B" w:rsidRDefault="00D26A7B" w:rsidP="006F15EB">
            <w:pPr>
              <w:rPr>
                <w:rFonts w:ascii="Times New Roman" w:hAnsi="Times New Roman" w:cs="Times New Roman"/>
                <w:sz w:val="24"/>
                <w:szCs w:val="24"/>
              </w:rPr>
            </w:pPr>
            <w:r w:rsidRPr="005D650B">
              <w:rPr>
                <w:rFonts w:ascii="Times New Roman" w:hAnsi="Times New Roman" w:cs="Times New Roman"/>
                <w:sz w:val="24"/>
                <w:szCs w:val="24"/>
              </w:rPr>
              <w:t>0.014</w:t>
            </w:r>
            <w:r w:rsidR="00DC7DF1" w:rsidRPr="005D650B">
              <w:rPr>
                <w:rFonts w:ascii="Times New Roman" w:hAnsi="Times New Roman" w:cs="Times New Roman"/>
                <w:sz w:val="24"/>
                <w:szCs w:val="24"/>
              </w:rPr>
              <w:t>**</w:t>
            </w:r>
          </w:p>
        </w:tc>
      </w:tr>
      <w:tr w:rsidR="005D650B" w:rsidRPr="005D650B" w:rsidTr="00D26A7B">
        <w:trPr>
          <w:trHeight w:val="220"/>
        </w:trPr>
        <w:tc>
          <w:tcPr>
            <w:tcW w:w="1705" w:type="dxa"/>
          </w:tcPr>
          <w:p w:rsidR="006F15EB" w:rsidRPr="005D650B" w:rsidRDefault="006F15EB" w:rsidP="006F15EB">
            <w:pPr>
              <w:rPr>
                <w:rFonts w:ascii="Times New Roman" w:hAnsi="Times New Roman" w:cs="Times New Roman"/>
                <w:sz w:val="24"/>
                <w:szCs w:val="24"/>
              </w:rPr>
            </w:pPr>
            <w:r w:rsidRPr="005D650B">
              <w:rPr>
                <w:rFonts w:ascii="Times New Roman" w:hAnsi="Times New Roman" w:cs="Times New Roman"/>
                <w:sz w:val="24"/>
                <w:szCs w:val="24"/>
              </w:rPr>
              <w:t>D(TRG)</w:t>
            </w:r>
          </w:p>
        </w:tc>
        <w:tc>
          <w:tcPr>
            <w:tcW w:w="1350" w:type="dxa"/>
          </w:tcPr>
          <w:p w:rsidR="006F15EB" w:rsidRPr="005D650B" w:rsidRDefault="006F15EB" w:rsidP="006F15EB">
            <w:pPr>
              <w:rPr>
                <w:rFonts w:ascii="Times New Roman" w:hAnsi="Times New Roman" w:cs="Times New Roman"/>
                <w:sz w:val="24"/>
                <w:szCs w:val="24"/>
              </w:rPr>
            </w:pPr>
            <w:r w:rsidRPr="005D650B">
              <w:rPr>
                <w:rFonts w:ascii="Times New Roman" w:hAnsi="Times New Roman" w:cs="Times New Roman"/>
                <w:sz w:val="24"/>
                <w:szCs w:val="24"/>
              </w:rPr>
              <w:t>0.023</w:t>
            </w:r>
          </w:p>
        </w:tc>
        <w:tc>
          <w:tcPr>
            <w:tcW w:w="1265" w:type="dxa"/>
          </w:tcPr>
          <w:p w:rsidR="006F15EB" w:rsidRPr="005D650B" w:rsidRDefault="006F15EB" w:rsidP="006F15EB">
            <w:pPr>
              <w:rPr>
                <w:rFonts w:ascii="Times New Roman" w:hAnsi="Times New Roman" w:cs="Times New Roman"/>
                <w:sz w:val="24"/>
                <w:szCs w:val="24"/>
              </w:rPr>
            </w:pPr>
            <w:r w:rsidRPr="005D650B">
              <w:rPr>
                <w:rFonts w:ascii="Times New Roman" w:hAnsi="Times New Roman" w:cs="Times New Roman"/>
                <w:sz w:val="24"/>
                <w:szCs w:val="24"/>
              </w:rPr>
              <w:t>0.009</w:t>
            </w:r>
          </w:p>
        </w:tc>
        <w:tc>
          <w:tcPr>
            <w:tcW w:w="1150" w:type="dxa"/>
          </w:tcPr>
          <w:p w:rsidR="006F15EB" w:rsidRPr="005D650B" w:rsidRDefault="006F15EB" w:rsidP="006F15EB">
            <w:pPr>
              <w:rPr>
                <w:rFonts w:ascii="Times New Roman" w:hAnsi="Times New Roman" w:cs="Times New Roman"/>
                <w:sz w:val="24"/>
                <w:szCs w:val="24"/>
              </w:rPr>
            </w:pPr>
            <w:r w:rsidRPr="005D650B">
              <w:rPr>
                <w:rFonts w:ascii="Times New Roman" w:hAnsi="Times New Roman" w:cs="Times New Roman"/>
                <w:sz w:val="24"/>
                <w:szCs w:val="24"/>
              </w:rPr>
              <w:t>2.583</w:t>
            </w:r>
          </w:p>
        </w:tc>
        <w:tc>
          <w:tcPr>
            <w:tcW w:w="1095" w:type="dxa"/>
          </w:tcPr>
          <w:p w:rsidR="006F15EB" w:rsidRPr="005D650B" w:rsidRDefault="00D26A7B" w:rsidP="006F15EB">
            <w:pPr>
              <w:rPr>
                <w:rFonts w:ascii="Times New Roman" w:hAnsi="Times New Roman" w:cs="Times New Roman"/>
                <w:sz w:val="24"/>
                <w:szCs w:val="24"/>
              </w:rPr>
            </w:pPr>
            <w:r w:rsidRPr="005D650B">
              <w:rPr>
                <w:rFonts w:ascii="Times New Roman" w:hAnsi="Times New Roman" w:cs="Times New Roman"/>
                <w:sz w:val="24"/>
                <w:szCs w:val="24"/>
              </w:rPr>
              <w:t>0.021</w:t>
            </w:r>
          </w:p>
        </w:tc>
      </w:tr>
      <w:tr w:rsidR="005D650B" w:rsidRPr="005D650B" w:rsidTr="00D26A7B">
        <w:trPr>
          <w:trHeight w:val="220"/>
        </w:trPr>
        <w:tc>
          <w:tcPr>
            <w:tcW w:w="1705" w:type="dxa"/>
          </w:tcPr>
          <w:p w:rsidR="00D26A7B" w:rsidRPr="005D650B" w:rsidRDefault="00D26A7B" w:rsidP="006F15EB">
            <w:pPr>
              <w:rPr>
                <w:rFonts w:ascii="Times New Roman" w:hAnsi="Times New Roman" w:cs="Times New Roman"/>
                <w:sz w:val="24"/>
                <w:szCs w:val="24"/>
              </w:rPr>
            </w:pPr>
            <w:r w:rsidRPr="005D650B">
              <w:rPr>
                <w:rFonts w:ascii="Times New Roman" w:hAnsi="Times New Roman" w:cs="Times New Roman"/>
                <w:sz w:val="24"/>
                <w:szCs w:val="24"/>
              </w:rPr>
              <w:t>D(TRG * TRI)</w:t>
            </w:r>
          </w:p>
        </w:tc>
        <w:tc>
          <w:tcPr>
            <w:tcW w:w="1350" w:type="dxa"/>
          </w:tcPr>
          <w:p w:rsidR="00D26A7B" w:rsidRPr="005D650B" w:rsidRDefault="00D26A7B" w:rsidP="006F15EB">
            <w:pPr>
              <w:rPr>
                <w:rFonts w:ascii="Times New Roman" w:hAnsi="Times New Roman" w:cs="Times New Roman"/>
                <w:sz w:val="24"/>
                <w:szCs w:val="24"/>
              </w:rPr>
            </w:pPr>
            <w:r w:rsidRPr="005D650B">
              <w:rPr>
                <w:rFonts w:ascii="Times New Roman" w:hAnsi="Times New Roman" w:cs="Times New Roman"/>
                <w:sz w:val="24"/>
                <w:szCs w:val="24"/>
              </w:rPr>
              <w:t>-0.000</w:t>
            </w:r>
          </w:p>
        </w:tc>
        <w:tc>
          <w:tcPr>
            <w:tcW w:w="1265" w:type="dxa"/>
          </w:tcPr>
          <w:p w:rsidR="00D26A7B" w:rsidRPr="005D650B" w:rsidRDefault="00D26A7B" w:rsidP="006F15EB">
            <w:pPr>
              <w:rPr>
                <w:rFonts w:ascii="Times New Roman" w:hAnsi="Times New Roman" w:cs="Times New Roman"/>
                <w:sz w:val="24"/>
                <w:szCs w:val="24"/>
              </w:rPr>
            </w:pPr>
            <w:r w:rsidRPr="005D650B">
              <w:rPr>
                <w:rFonts w:ascii="Times New Roman" w:hAnsi="Times New Roman" w:cs="Times New Roman"/>
                <w:sz w:val="24"/>
                <w:szCs w:val="24"/>
              </w:rPr>
              <w:t>0.000</w:t>
            </w:r>
          </w:p>
        </w:tc>
        <w:tc>
          <w:tcPr>
            <w:tcW w:w="1150" w:type="dxa"/>
          </w:tcPr>
          <w:p w:rsidR="00D26A7B" w:rsidRPr="005D650B" w:rsidRDefault="00D26A7B" w:rsidP="006F15EB">
            <w:pPr>
              <w:rPr>
                <w:rFonts w:ascii="Times New Roman" w:hAnsi="Times New Roman" w:cs="Times New Roman"/>
                <w:sz w:val="24"/>
                <w:szCs w:val="24"/>
              </w:rPr>
            </w:pPr>
            <w:r w:rsidRPr="005D650B">
              <w:rPr>
                <w:rFonts w:ascii="Times New Roman" w:hAnsi="Times New Roman" w:cs="Times New Roman"/>
                <w:sz w:val="24"/>
                <w:szCs w:val="24"/>
              </w:rPr>
              <w:t>-2.603</w:t>
            </w:r>
          </w:p>
        </w:tc>
        <w:tc>
          <w:tcPr>
            <w:tcW w:w="1095" w:type="dxa"/>
          </w:tcPr>
          <w:p w:rsidR="00D26A7B" w:rsidRPr="005D650B" w:rsidRDefault="00D26A7B" w:rsidP="006F15EB">
            <w:pPr>
              <w:rPr>
                <w:rFonts w:ascii="Times New Roman" w:hAnsi="Times New Roman" w:cs="Times New Roman"/>
                <w:sz w:val="24"/>
                <w:szCs w:val="24"/>
              </w:rPr>
            </w:pPr>
            <w:r w:rsidRPr="005D650B">
              <w:rPr>
                <w:rFonts w:ascii="Times New Roman" w:hAnsi="Times New Roman" w:cs="Times New Roman"/>
                <w:sz w:val="24"/>
                <w:szCs w:val="24"/>
              </w:rPr>
              <w:t>0.020**</w:t>
            </w:r>
          </w:p>
        </w:tc>
      </w:tr>
      <w:tr w:rsidR="005D650B" w:rsidRPr="005D650B" w:rsidTr="00D26A7B">
        <w:trPr>
          <w:trHeight w:val="220"/>
        </w:trPr>
        <w:tc>
          <w:tcPr>
            <w:tcW w:w="1705" w:type="dxa"/>
          </w:tcPr>
          <w:p w:rsidR="00D26A7B" w:rsidRPr="005D650B" w:rsidRDefault="00D26A7B" w:rsidP="00D26A7B">
            <w:pPr>
              <w:rPr>
                <w:rFonts w:ascii="Times New Roman" w:hAnsi="Times New Roman" w:cs="Times New Roman"/>
                <w:sz w:val="24"/>
                <w:szCs w:val="24"/>
              </w:rPr>
            </w:pPr>
            <w:r w:rsidRPr="005D650B">
              <w:rPr>
                <w:rFonts w:ascii="Times New Roman" w:hAnsi="Times New Roman" w:cs="Times New Roman"/>
                <w:sz w:val="24"/>
                <w:szCs w:val="24"/>
              </w:rPr>
              <w:t>CointEq(-1)</w:t>
            </w:r>
          </w:p>
        </w:tc>
        <w:tc>
          <w:tcPr>
            <w:tcW w:w="1350" w:type="dxa"/>
          </w:tcPr>
          <w:p w:rsidR="00D26A7B" w:rsidRPr="005D650B" w:rsidRDefault="00D26A7B" w:rsidP="00D26A7B">
            <w:pPr>
              <w:rPr>
                <w:rFonts w:ascii="Times New Roman" w:hAnsi="Times New Roman" w:cs="Times New Roman"/>
                <w:sz w:val="24"/>
                <w:szCs w:val="24"/>
              </w:rPr>
            </w:pPr>
            <w:r w:rsidRPr="005D650B">
              <w:rPr>
                <w:rFonts w:ascii="Times New Roman" w:hAnsi="Times New Roman" w:cs="Times New Roman"/>
                <w:sz w:val="24"/>
                <w:szCs w:val="24"/>
              </w:rPr>
              <w:t>-1.055</w:t>
            </w:r>
          </w:p>
        </w:tc>
        <w:tc>
          <w:tcPr>
            <w:tcW w:w="1265" w:type="dxa"/>
          </w:tcPr>
          <w:p w:rsidR="00D26A7B" w:rsidRPr="005D650B" w:rsidRDefault="00D26A7B" w:rsidP="00D26A7B">
            <w:pPr>
              <w:rPr>
                <w:rFonts w:ascii="Times New Roman" w:hAnsi="Times New Roman" w:cs="Times New Roman"/>
                <w:sz w:val="24"/>
                <w:szCs w:val="24"/>
              </w:rPr>
            </w:pPr>
            <w:r w:rsidRPr="005D650B">
              <w:rPr>
                <w:rFonts w:ascii="Times New Roman" w:hAnsi="Times New Roman" w:cs="Times New Roman"/>
                <w:sz w:val="24"/>
                <w:szCs w:val="24"/>
              </w:rPr>
              <w:t>0.218</w:t>
            </w:r>
          </w:p>
        </w:tc>
        <w:tc>
          <w:tcPr>
            <w:tcW w:w="1150" w:type="dxa"/>
          </w:tcPr>
          <w:p w:rsidR="00D26A7B" w:rsidRPr="005D650B" w:rsidRDefault="00D26A7B" w:rsidP="00D26A7B">
            <w:pPr>
              <w:rPr>
                <w:rFonts w:ascii="Times New Roman" w:hAnsi="Times New Roman" w:cs="Times New Roman"/>
                <w:sz w:val="24"/>
                <w:szCs w:val="24"/>
              </w:rPr>
            </w:pPr>
            <w:r w:rsidRPr="005D650B">
              <w:rPr>
                <w:rFonts w:ascii="Times New Roman" w:hAnsi="Times New Roman" w:cs="Times New Roman"/>
                <w:sz w:val="24"/>
                <w:szCs w:val="24"/>
              </w:rPr>
              <w:t>-4.845</w:t>
            </w:r>
          </w:p>
        </w:tc>
        <w:tc>
          <w:tcPr>
            <w:tcW w:w="1095" w:type="dxa"/>
          </w:tcPr>
          <w:p w:rsidR="00D26A7B" w:rsidRPr="005D650B" w:rsidRDefault="00D26A7B" w:rsidP="00D26A7B">
            <w:pPr>
              <w:rPr>
                <w:rFonts w:ascii="Times New Roman" w:hAnsi="Times New Roman" w:cs="Times New Roman"/>
                <w:sz w:val="24"/>
                <w:szCs w:val="24"/>
              </w:rPr>
            </w:pPr>
            <w:r w:rsidRPr="005D650B">
              <w:rPr>
                <w:rFonts w:ascii="Times New Roman" w:hAnsi="Times New Roman" w:cs="Times New Roman"/>
                <w:sz w:val="24"/>
                <w:szCs w:val="24"/>
              </w:rPr>
              <w:t>0.000**</w:t>
            </w:r>
          </w:p>
        </w:tc>
      </w:tr>
    </w:tbl>
    <w:p w:rsidR="00D26A7B" w:rsidRPr="005D650B" w:rsidRDefault="00D26A7B" w:rsidP="00D26A7B">
      <w:pPr>
        <w:pStyle w:val="BodyText"/>
        <w:rPr>
          <w:rFonts w:ascii="Times New Roman" w:hAnsi="Times New Roman" w:cs="Times New Roman"/>
          <w:bCs/>
          <w:sz w:val="24"/>
          <w:szCs w:val="24"/>
        </w:rPr>
      </w:pPr>
      <w:r w:rsidRPr="005D650B">
        <w:rPr>
          <w:rFonts w:ascii="Times New Roman" w:hAnsi="Times New Roman" w:cs="Times New Roman"/>
          <w:b/>
          <w:i/>
          <w:sz w:val="24"/>
          <w:szCs w:val="24"/>
        </w:rPr>
        <w:t>Source:</w:t>
      </w:r>
      <w:r w:rsidRPr="005D650B">
        <w:rPr>
          <w:rFonts w:ascii="Times New Roman" w:hAnsi="Times New Roman" w:cs="Times New Roman"/>
          <w:b/>
          <w:sz w:val="24"/>
          <w:szCs w:val="24"/>
        </w:rPr>
        <w:t xml:space="preserve"> </w:t>
      </w:r>
      <w:r w:rsidRPr="005D650B">
        <w:rPr>
          <w:rFonts w:ascii="Times New Roman" w:hAnsi="Times New Roman" w:cs="Times New Roman"/>
          <w:bCs/>
          <w:sz w:val="24"/>
          <w:szCs w:val="24"/>
        </w:rPr>
        <w:t>Research’s Compilation, 2026 from E-view-9</w:t>
      </w:r>
    </w:p>
    <w:p w:rsidR="00DC0B44" w:rsidRPr="005D650B" w:rsidRDefault="00DC0B44" w:rsidP="00DC0B44">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The short-run interaction results presented in Table 4.6 examine the dynamic relationship between tax reform (TRI), tax revenue growth (TRG), an</w:t>
      </w:r>
      <w:r w:rsidR="0005280C" w:rsidRPr="005D650B">
        <w:rPr>
          <w:rFonts w:ascii="Times New Roman" w:hAnsi="Times New Roman" w:cs="Times New Roman"/>
          <w:sz w:val="24"/>
          <w:szCs w:val="24"/>
        </w:rPr>
        <w:t>d their interaction term (TRG*</w:t>
      </w:r>
      <w:r w:rsidRPr="005D650B">
        <w:rPr>
          <w:rFonts w:ascii="Times New Roman" w:hAnsi="Times New Roman" w:cs="Times New Roman"/>
          <w:sz w:val="24"/>
          <w:szCs w:val="24"/>
        </w:rPr>
        <w:t xml:space="preserve">TRI) in explaining variations in sustainable development (SD) within an ARDL framework. In doing so, the model incorporates both lagged variables and the error correction term, thereby providing a comprehensive framework for evaluating short-run dynamics as well as the stability and speed of adjustment of the system towards equilibrium. Against this background, and focusing specifically on the interaction effect, </w:t>
      </w:r>
      <w:proofErr w:type="gramStart"/>
      <w:r w:rsidR="0039322C" w:rsidRPr="005D650B">
        <w:rPr>
          <w:rFonts w:ascii="Times New Roman" w:hAnsi="Times New Roman" w:cs="Times New Roman"/>
          <w:sz w:val="24"/>
          <w:szCs w:val="24"/>
        </w:rPr>
        <w:t>D(</w:t>
      </w:r>
      <w:proofErr w:type="gramEnd"/>
      <w:r w:rsidR="0039322C" w:rsidRPr="005D650B">
        <w:rPr>
          <w:rFonts w:ascii="Times New Roman" w:hAnsi="Times New Roman" w:cs="Times New Roman"/>
          <w:sz w:val="24"/>
          <w:szCs w:val="24"/>
        </w:rPr>
        <w:t>TRG*</w:t>
      </w:r>
      <w:r w:rsidRPr="005D650B">
        <w:rPr>
          <w:rFonts w:ascii="Times New Roman" w:hAnsi="Times New Roman" w:cs="Times New Roman"/>
          <w:sz w:val="24"/>
          <w:szCs w:val="24"/>
        </w:rPr>
        <w:t xml:space="preserve">TRI) reveals a negative and statistically significant coefficient (-0.000, p = 0.020). This implies that, in the short run, the joint effect of tax reform and tax revenue growth on sustainable development is adverse, although the magnitude is very small, it remains statistically meaningful. In other words, while tax reform individually exerts a positive influence on sustainable development in the short run, its simultaneous interaction with rising tax revenue does not generate a complementary or reinforcing effect within the same period; rather, it slightly weakens the immediate impact of fiscal reforms on sustainable development outcomes. From an </w:t>
      </w:r>
      <w:r w:rsidRPr="005D650B">
        <w:rPr>
          <w:rFonts w:ascii="Times New Roman" w:hAnsi="Times New Roman" w:cs="Times New Roman"/>
          <w:sz w:val="24"/>
          <w:szCs w:val="24"/>
        </w:rPr>
        <w:lastRenderedPageBreak/>
        <w:t>economic perspective, this outcome therefore points to the existence of short-run adjustment frictions and institutional inefficiencies within the fiscal framework. Although tax reform initiatives are designed to improve the efficiency and structure of the tax system, the concurrent rise in tax revenue appears to place additional pressure on existing administrative capacity and fiscal absorptive mechanisms. As a result, the anticipated synergy between improved tax administration and enhanced revenue mobilisation is not fully realised in the short run. This situation may be explained by implementation delays, transitional adjustment costs, weak coordination between revenue-generating agencies and fiscal authorities, as well as inefficiencies in the allocation and utilisation of mobilised public funds. Consequently, this negative interaction effect reflects a broader situation in which fiscal reforms are still undergoing a transitional adjustment process, during which institutional structures have not yet fully matured to effectively translate increased revenue inflows and policy improvements into immediate developmental gains. In this regard, the economy appears to be operating in a temporary state of disequilibrium, where fiscal reforms and revenue expansion proceed concurrently but are not yet mutually reinforcing in the short run. This interpretation is further strengthened by empirical evidence from Omodero and Aluko (2022</w:t>
      </w:r>
      <w:r w:rsidR="00C22F84">
        <w:rPr>
          <w:rFonts w:ascii="Times New Roman" w:hAnsi="Times New Roman" w:cs="Times New Roman"/>
          <w:sz w:val="24"/>
          <w:szCs w:val="24"/>
        </w:rPr>
        <w:t>b</w:t>
      </w:r>
      <w:r w:rsidRPr="005D650B">
        <w:rPr>
          <w:rFonts w:ascii="Times New Roman" w:hAnsi="Times New Roman" w:cs="Times New Roman"/>
          <w:sz w:val="24"/>
          <w:szCs w:val="24"/>
        </w:rPr>
        <w:t>), Adekoya and Olatunji (2021), Njoroge and Mwangi (2023), and Bello and Ajibola (2024), who collectively argue that interaction effects between fiscal reforms and revenue expansion in developing economies often produce short-run inefficiencies due to weak institutional absorptive capacity and delayed transmission mechanisms. More importantly, these studies consistently emphasise that the beneficial effects of such fiscal interactions tend to materialise more strongly in the long run rather than during the initial stages of adjustment.</w:t>
      </w:r>
    </w:p>
    <w:p w:rsidR="00DC0B44" w:rsidRPr="005D650B" w:rsidRDefault="00DC0B44" w:rsidP="00DC0B44">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However, the literature does not present a unanimous position. In contrast, Alm and McClellan (2020</w:t>
      </w:r>
      <w:r w:rsidR="00FD642D">
        <w:rPr>
          <w:rFonts w:ascii="Times New Roman" w:hAnsi="Times New Roman" w:cs="Times New Roman"/>
          <w:sz w:val="24"/>
          <w:szCs w:val="24"/>
        </w:rPr>
        <w:t>b</w:t>
      </w:r>
      <w:r w:rsidRPr="005D650B">
        <w:rPr>
          <w:rFonts w:ascii="Times New Roman" w:hAnsi="Times New Roman" w:cs="Times New Roman"/>
          <w:sz w:val="24"/>
          <w:szCs w:val="24"/>
        </w:rPr>
        <w:t>), Barro and Furman (2022), and Ahuja and Myles (2021</w:t>
      </w:r>
      <w:r w:rsidR="005D650B">
        <w:rPr>
          <w:rFonts w:ascii="Times New Roman" w:hAnsi="Times New Roman" w:cs="Times New Roman"/>
          <w:sz w:val="24"/>
          <w:szCs w:val="24"/>
        </w:rPr>
        <w:t>a</w:t>
      </w:r>
      <w:r w:rsidRPr="005D650B">
        <w:rPr>
          <w:rFonts w:ascii="Times New Roman" w:hAnsi="Times New Roman" w:cs="Times New Roman"/>
          <w:sz w:val="24"/>
          <w:szCs w:val="24"/>
        </w:rPr>
        <w:t xml:space="preserve">) provide evidence that when supported by strong institutional frameworks, efficient tax administration, and effective fiscal coordination, the interaction between tax reform and tax revenue growth can generate positive short-run developmental outcomes. These contrasting perspectives, therefore, underscore the critical role of institutional quality in determining whether fiscal interactions are complementary or counterproductive in the short run. </w:t>
      </w:r>
    </w:p>
    <w:p w:rsidR="00120EFC" w:rsidRPr="005D650B" w:rsidRDefault="00120EFC" w:rsidP="00120EFC">
      <w:pPr>
        <w:spacing w:after="0" w:line="240" w:lineRule="auto"/>
        <w:jc w:val="both"/>
        <w:rPr>
          <w:rFonts w:ascii="Times New Roman" w:hAnsi="Times New Roman" w:cs="Times New Roman"/>
          <w:b/>
        </w:rPr>
      </w:pPr>
      <w:r w:rsidRPr="005D650B">
        <w:rPr>
          <w:rFonts w:ascii="Times New Roman" w:hAnsi="Times New Roman" w:cs="Times New Roman"/>
          <w:b/>
        </w:rPr>
        <w:t xml:space="preserve">Table 4.6: Interaction Effect in the </w:t>
      </w:r>
      <w:r w:rsidRPr="005D650B">
        <w:rPr>
          <w:rFonts w:ascii="Times New Roman" w:hAnsi="Times New Roman" w:cs="Times New Roman"/>
          <w:b/>
          <w:bCs/>
        </w:rPr>
        <w:t>Long-Run Result of ARDL</w:t>
      </w:r>
      <w:r w:rsidRPr="005D650B">
        <w:rPr>
          <w:rFonts w:ascii="Times New Roman" w:hAnsi="Times New Roman" w:cs="Times New Roman"/>
          <w:b/>
        </w:rPr>
        <w:t xml:space="preserve"> (Dependent Variable: </w:t>
      </w:r>
      <w:r w:rsidR="00F9269A" w:rsidRPr="005D650B">
        <w:rPr>
          <w:rFonts w:ascii="Times New Roman" w:hAnsi="Times New Roman" w:cs="Times New Roman"/>
          <w:b/>
          <w:bCs/>
        </w:rPr>
        <w:t>S</w:t>
      </w:r>
      <w:r w:rsidRPr="005D650B">
        <w:rPr>
          <w:rFonts w:ascii="Times New Roman" w:hAnsi="Times New Roman" w:cs="Times New Roman"/>
          <w:b/>
          <w:bCs/>
        </w:rPr>
        <w:t>D</w:t>
      </w:r>
      <w:r w:rsidRPr="005D650B">
        <w:rPr>
          <w:rFonts w:ascii="Times New Roman" w:hAnsi="Times New Roman" w:cs="Times New Roman"/>
          <w:b/>
        </w:rPr>
        <w:t>)</w:t>
      </w:r>
    </w:p>
    <w:tbl>
      <w:tblPr>
        <w:tblStyle w:val="TableGrid"/>
        <w:tblW w:w="0" w:type="auto"/>
        <w:tblLayout w:type="fixed"/>
        <w:tblLook w:val="0000" w:firstRow="0" w:lastRow="0" w:firstColumn="0" w:lastColumn="0" w:noHBand="0" w:noVBand="0"/>
      </w:tblPr>
      <w:tblGrid>
        <w:gridCol w:w="1255"/>
        <w:gridCol w:w="1350"/>
        <w:gridCol w:w="1170"/>
        <w:gridCol w:w="1170"/>
        <w:gridCol w:w="1170"/>
      </w:tblGrid>
      <w:tr w:rsidR="005D650B" w:rsidRPr="005D650B" w:rsidTr="00F9269A">
        <w:trPr>
          <w:trHeight w:val="220"/>
        </w:trPr>
        <w:tc>
          <w:tcPr>
            <w:tcW w:w="1255"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Variable</w:t>
            </w:r>
          </w:p>
        </w:tc>
        <w:tc>
          <w:tcPr>
            <w:tcW w:w="1350"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Coefficient</w:t>
            </w:r>
          </w:p>
        </w:tc>
        <w:tc>
          <w:tcPr>
            <w:tcW w:w="1170"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Std. Error</w:t>
            </w:r>
          </w:p>
        </w:tc>
        <w:tc>
          <w:tcPr>
            <w:tcW w:w="1170"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t-Statistic</w:t>
            </w:r>
          </w:p>
        </w:tc>
        <w:tc>
          <w:tcPr>
            <w:tcW w:w="1170"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Prob.**   </w:t>
            </w:r>
          </w:p>
        </w:tc>
      </w:tr>
      <w:tr w:rsidR="005D650B" w:rsidRPr="005D650B" w:rsidTr="00F9269A">
        <w:trPr>
          <w:trHeight w:val="220"/>
        </w:trPr>
        <w:tc>
          <w:tcPr>
            <w:tcW w:w="1255"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TRI</w:t>
            </w:r>
          </w:p>
        </w:tc>
        <w:tc>
          <w:tcPr>
            <w:tcW w:w="1350"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0.004</w:t>
            </w:r>
          </w:p>
        </w:tc>
        <w:tc>
          <w:tcPr>
            <w:tcW w:w="1170"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0.000</w:t>
            </w:r>
          </w:p>
        </w:tc>
        <w:tc>
          <w:tcPr>
            <w:tcW w:w="1170"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8.532</w:t>
            </w:r>
          </w:p>
        </w:tc>
        <w:tc>
          <w:tcPr>
            <w:tcW w:w="1170"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0.000**</w:t>
            </w:r>
          </w:p>
        </w:tc>
      </w:tr>
      <w:tr w:rsidR="005D650B" w:rsidRPr="005D650B" w:rsidTr="00F9269A">
        <w:trPr>
          <w:trHeight w:val="220"/>
        </w:trPr>
        <w:tc>
          <w:tcPr>
            <w:tcW w:w="1255"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TRG</w:t>
            </w:r>
          </w:p>
        </w:tc>
        <w:tc>
          <w:tcPr>
            <w:tcW w:w="1350"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0.022</w:t>
            </w:r>
          </w:p>
        </w:tc>
        <w:tc>
          <w:tcPr>
            <w:tcW w:w="1170"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0.006</w:t>
            </w:r>
          </w:p>
        </w:tc>
        <w:tc>
          <w:tcPr>
            <w:tcW w:w="1170"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3.642</w:t>
            </w:r>
          </w:p>
        </w:tc>
        <w:tc>
          <w:tcPr>
            <w:tcW w:w="1170"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0.002**</w:t>
            </w:r>
          </w:p>
        </w:tc>
      </w:tr>
      <w:tr w:rsidR="005D650B" w:rsidRPr="005D650B" w:rsidTr="00F9269A">
        <w:trPr>
          <w:trHeight w:val="220"/>
        </w:trPr>
        <w:tc>
          <w:tcPr>
            <w:tcW w:w="1255"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lastRenderedPageBreak/>
              <w:t>TRI*TRG</w:t>
            </w:r>
          </w:p>
        </w:tc>
        <w:tc>
          <w:tcPr>
            <w:tcW w:w="1350"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-0.000</w:t>
            </w:r>
          </w:p>
        </w:tc>
        <w:tc>
          <w:tcPr>
            <w:tcW w:w="1170"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0.000</w:t>
            </w:r>
          </w:p>
        </w:tc>
        <w:tc>
          <w:tcPr>
            <w:tcW w:w="1170"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-3.384</w:t>
            </w:r>
          </w:p>
        </w:tc>
        <w:tc>
          <w:tcPr>
            <w:tcW w:w="1170"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0.004**</w:t>
            </w:r>
          </w:p>
        </w:tc>
      </w:tr>
      <w:tr w:rsidR="005D650B" w:rsidRPr="005D650B" w:rsidTr="00F9269A">
        <w:trPr>
          <w:trHeight w:val="220"/>
        </w:trPr>
        <w:tc>
          <w:tcPr>
            <w:tcW w:w="1255"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C</w:t>
            </w:r>
          </w:p>
        </w:tc>
        <w:tc>
          <w:tcPr>
            <w:tcW w:w="1350"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0.272</w:t>
            </w:r>
          </w:p>
        </w:tc>
        <w:tc>
          <w:tcPr>
            <w:tcW w:w="1170"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0.025</w:t>
            </w:r>
          </w:p>
        </w:tc>
        <w:tc>
          <w:tcPr>
            <w:tcW w:w="1170"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10.790</w:t>
            </w:r>
          </w:p>
        </w:tc>
        <w:tc>
          <w:tcPr>
            <w:tcW w:w="1170" w:type="dxa"/>
            <w:shd w:val="clear" w:color="auto" w:fill="auto"/>
          </w:tcPr>
          <w:p w:rsidR="00F9269A" w:rsidRPr="005D650B" w:rsidRDefault="00F9269A" w:rsidP="00F9269A">
            <w:pPr>
              <w:rPr>
                <w:rFonts w:ascii="Times New Roman" w:hAnsi="Times New Roman" w:cs="Times New Roman"/>
                <w:sz w:val="24"/>
                <w:szCs w:val="24"/>
              </w:rPr>
            </w:pPr>
            <w:r w:rsidRPr="005D650B">
              <w:rPr>
                <w:rFonts w:ascii="Times New Roman" w:hAnsi="Times New Roman" w:cs="Times New Roman"/>
                <w:sz w:val="24"/>
                <w:szCs w:val="24"/>
              </w:rPr>
              <w:t>0.000</w:t>
            </w:r>
          </w:p>
        </w:tc>
      </w:tr>
    </w:tbl>
    <w:p w:rsidR="00C73FD8" w:rsidRPr="005D650B" w:rsidRDefault="00F9269A" w:rsidP="00C73FD8">
      <w:pPr>
        <w:pStyle w:val="BodyText"/>
        <w:rPr>
          <w:rFonts w:ascii="Times New Roman" w:hAnsi="Times New Roman" w:cs="Times New Roman"/>
          <w:bCs/>
          <w:i/>
        </w:rPr>
      </w:pPr>
      <w:r w:rsidRPr="005D650B">
        <w:rPr>
          <w:rFonts w:ascii="Times New Roman" w:hAnsi="Times New Roman" w:cs="Times New Roman"/>
          <w:b/>
          <w:i/>
        </w:rPr>
        <w:t xml:space="preserve">Source: </w:t>
      </w:r>
      <w:r w:rsidRPr="005D650B">
        <w:rPr>
          <w:rFonts w:ascii="Times New Roman" w:hAnsi="Times New Roman" w:cs="Times New Roman"/>
          <w:bCs/>
          <w:i/>
        </w:rPr>
        <w:t>Research’s Compilation, 2026 from E-view-9</w:t>
      </w:r>
    </w:p>
    <w:p w:rsidR="00C73FD8" w:rsidRPr="005D650B" w:rsidRDefault="00C73FD8" w:rsidP="0050339C">
      <w:pPr>
        <w:pStyle w:val="BodyText"/>
        <w:spacing w:line="360" w:lineRule="auto"/>
        <w:rPr>
          <w:rFonts w:ascii="Times New Roman" w:hAnsi="Times New Roman" w:cs="Times New Roman"/>
          <w:b/>
          <w:i/>
        </w:rPr>
      </w:pPr>
      <w:r w:rsidRPr="005D650B">
        <w:rPr>
          <w:rFonts w:ascii="Times New Roman" w:hAnsi="Times New Roman" w:cs="Times New Roman"/>
          <w:sz w:val="24"/>
          <w:szCs w:val="24"/>
        </w:rPr>
        <w:t>The long-run interaction results presented in Table 4.6 examine the combined effect of tax reform (TRI), tax revenue growth (TRG), an</w:t>
      </w:r>
      <w:r w:rsidR="0050339C" w:rsidRPr="005D650B">
        <w:rPr>
          <w:rFonts w:ascii="Times New Roman" w:hAnsi="Times New Roman" w:cs="Times New Roman"/>
          <w:sz w:val="24"/>
          <w:szCs w:val="24"/>
        </w:rPr>
        <w:t>d their interaction term (TRI*</w:t>
      </w:r>
      <w:r w:rsidRPr="005D650B">
        <w:rPr>
          <w:rFonts w:ascii="Times New Roman" w:hAnsi="Times New Roman" w:cs="Times New Roman"/>
          <w:sz w:val="24"/>
          <w:szCs w:val="24"/>
        </w:rPr>
        <w:t>TRG) on sustainable development (SD) within an ARDL long-run equilibrium framework. In doing so, the model simultaneously captures both the individual long-run effects of the fiscal variables and, more importantly, their joint interactive influence on sustainability outcomes, thereby providing a more comprehensive understanding of long-run fiscal dynamics.</w:t>
      </w:r>
    </w:p>
    <w:p w:rsidR="00C73FD8" w:rsidRPr="005D650B" w:rsidRDefault="00C73FD8" w:rsidP="0050339C">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 xml:space="preserve">Focusing specifically on the interaction term, </w:t>
      </w:r>
      <w:r w:rsidR="00BD73C1" w:rsidRPr="005D650B">
        <w:rPr>
          <w:rFonts w:ascii="Times New Roman" w:hAnsi="Times New Roman" w:cs="Times New Roman"/>
          <w:sz w:val="24"/>
          <w:szCs w:val="24"/>
        </w:rPr>
        <w:t>TRI*</w:t>
      </w:r>
      <w:r w:rsidRPr="005D650B">
        <w:rPr>
          <w:rFonts w:ascii="Times New Roman" w:hAnsi="Times New Roman" w:cs="Times New Roman"/>
          <w:sz w:val="24"/>
          <w:szCs w:val="24"/>
        </w:rPr>
        <w:t>TRG, the result reveals a negative and statistically significant coefficient (-0.000, p = 0.004). This implies that, in the long run, the combined effect of tax reform and tax revenue growth on sustainable development is adverse, although the magnitude of the coefficient is extremely small, it remains statistically robust. In essence, while both tax reform and tax revenue growth individually exert positive and significant long-run effects on sustainable development, their interaction does not generate a reinforcing or synergistic outcome. Instead, the joint effect slightly offsets or weakens the overall developmental impact, even in the long-run equilibrium relationship.</w:t>
      </w:r>
      <w:r w:rsidR="006879BA" w:rsidRPr="005D650B">
        <w:rPr>
          <w:rFonts w:ascii="Times New Roman" w:hAnsi="Times New Roman" w:cs="Times New Roman"/>
          <w:sz w:val="24"/>
          <w:szCs w:val="24"/>
        </w:rPr>
        <w:t xml:space="preserve"> </w:t>
      </w:r>
      <w:r w:rsidRPr="005D650B">
        <w:rPr>
          <w:rFonts w:ascii="Times New Roman" w:hAnsi="Times New Roman" w:cs="Times New Roman"/>
          <w:sz w:val="24"/>
          <w:szCs w:val="24"/>
        </w:rPr>
        <w:t>From an economic standpoint, this outcome suggests the presence of structural inefficiencies and coordination gaps within the fiscal system. Although tax reform is theoretically expected to improve the efficiency of revenue mobilisation, while increased revenue is expected to strengthen development financing, the interaction between the two appears to generate a form of policy mismatch and diminishing synergy effect over time. This may occur when institutional capacity, expenditure efficiency, and fiscal absorptive mechanisms are not sufficiently developed to effectively translate increased revenue—supported by reforms—into proportional gains in sustainable development. Consequently, rather than reinforcing one another, the two variables exhibit a weak substitutive or crowding-out interaction effect within the long-run equilibrium framework.</w:t>
      </w:r>
      <w:r w:rsidR="00D419FF" w:rsidRPr="005D650B">
        <w:rPr>
          <w:rFonts w:ascii="Times New Roman" w:hAnsi="Times New Roman" w:cs="Times New Roman"/>
          <w:sz w:val="24"/>
          <w:szCs w:val="24"/>
        </w:rPr>
        <w:t xml:space="preserve"> </w:t>
      </w:r>
      <w:r w:rsidRPr="005D650B">
        <w:rPr>
          <w:rFonts w:ascii="Times New Roman" w:hAnsi="Times New Roman" w:cs="Times New Roman"/>
          <w:sz w:val="24"/>
          <w:szCs w:val="24"/>
        </w:rPr>
        <w:t>More broadly, this finding implies that the benefits of tax reform and tax revenue growth are not fully harmonised within a single coherent transmission channel of development. Instead, inefficiencies in governance structures, delays in policy implementation, and weak fiscal coordination tend to dilute the expected complementarity between these fiscal instruments over time, thereby limiting their combined effectiveness in driving sustainable development.</w:t>
      </w:r>
    </w:p>
    <w:p w:rsidR="00C73FD8" w:rsidRPr="005D650B" w:rsidRDefault="00C73FD8" w:rsidP="0050339C">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lastRenderedPageBreak/>
        <w:t>This long-run negative interaction effect is consistent with empirical evidence from Omodero and Aluko (2022</w:t>
      </w:r>
      <w:r w:rsidR="00C22F84">
        <w:rPr>
          <w:rFonts w:ascii="Times New Roman" w:hAnsi="Times New Roman" w:cs="Times New Roman"/>
          <w:sz w:val="24"/>
          <w:szCs w:val="24"/>
        </w:rPr>
        <w:t>b</w:t>
      </w:r>
      <w:r w:rsidRPr="005D650B">
        <w:rPr>
          <w:rFonts w:ascii="Times New Roman" w:hAnsi="Times New Roman" w:cs="Times New Roman"/>
          <w:sz w:val="24"/>
          <w:szCs w:val="24"/>
        </w:rPr>
        <w:t>), Adekoya and Olatunji (2021), Njoroge and Mwangi (2023), and Bello and Ajibola (2024), who collectively argue that in developing economies, the interaction between fiscal reforms and revenue expansion often produces weak or even negative synergy effects. According to these studies, such outcomes are largely driven by institutional constraints, inefficient public financial management systems, and weak absorptive capacity, which collectively distort the effectiveness of fiscal policy coordination in the long run.</w:t>
      </w:r>
      <w:r w:rsidR="006879BA" w:rsidRPr="005D650B">
        <w:rPr>
          <w:rFonts w:ascii="Times New Roman" w:hAnsi="Times New Roman" w:cs="Times New Roman"/>
          <w:sz w:val="24"/>
          <w:szCs w:val="24"/>
        </w:rPr>
        <w:t xml:space="preserve"> </w:t>
      </w:r>
      <w:r w:rsidRPr="005D650B">
        <w:rPr>
          <w:rFonts w:ascii="Times New Roman" w:hAnsi="Times New Roman" w:cs="Times New Roman"/>
          <w:sz w:val="24"/>
          <w:szCs w:val="24"/>
        </w:rPr>
        <w:t>However, the result is not universally supported in the literature. In contrast, Alm and McClellan (2020</w:t>
      </w:r>
      <w:r w:rsidR="00150E04">
        <w:rPr>
          <w:rFonts w:ascii="Times New Roman" w:hAnsi="Times New Roman" w:cs="Times New Roman"/>
          <w:sz w:val="24"/>
          <w:szCs w:val="24"/>
        </w:rPr>
        <w:t>a</w:t>
      </w:r>
      <w:bookmarkStart w:id="1" w:name="_GoBack"/>
      <w:bookmarkEnd w:id="1"/>
      <w:r w:rsidRPr="005D650B">
        <w:rPr>
          <w:rFonts w:ascii="Times New Roman" w:hAnsi="Times New Roman" w:cs="Times New Roman"/>
          <w:sz w:val="24"/>
          <w:szCs w:val="24"/>
        </w:rPr>
        <w:t>), Barro and Furman (2022), and Ahuja and Myles (2021</w:t>
      </w:r>
      <w:r w:rsidR="005D650B">
        <w:rPr>
          <w:rFonts w:ascii="Times New Roman" w:hAnsi="Times New Roman" w:cs="Times New Roman"/>
          <w:sz w:val="24"/>
          <w:szCs w:val="24"/>
        </w:rPr>
        <w:t>b</w:t>
      </w:r>
      <w:r w:rsidRPr="005D650B">
        <w:rPr>
          <w:rFonts w:ascii="Times New Roman" w:hAnsi="Times New Roman" w:cs="Times New Roman"/>
          <w:sz w:val="24"/>
          <w:szCs w:val="24"/>
        </w:rPr>
        <w:t>) provide evidence that when supported by strong institutions, efficient tax administration, and coherent governance structures, the interaction between tax reform and revenue growth can generate a positive and reinforcing long-run effect on development outcomes. These contrasting perspectives therefore suggest that the nature of fiscal interaction is highly context-dependent and largely determined by institutional strength and policy coherence.</w:t>
      </w:r>
    </w:p>
    <w:p w:rsidR="00C73FD8" w:rsidRPr="005D650B" w:rsidRDefault="00C73FD8" w:rsidP="0050339C">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Overall, the long-run interaction result indicates that although tax reform and tax revenue growth independently enhance sustainable development, their combined effect is slightly counterproductive in the long run. This finding therefore underscores the need for stronger institutional coordination, improved fiscal governance, and enhanced efficiency in public expenditure management in order to fully realise the potential synergy between fiscal reform and revenue mobilisation.</w:t>
      </w:r>
    </w:p>
    <w:p w:rsidR="00CB1A31" w:rsidRPr="005D650B" w:rsidRDefault="00CB1A31" w:rsidP="00CB1A31">
      <w:pPr>
        <w:spacing w:after="0"/>
        <w:jc w:val="both"/>
        <w:rPr>
          <w:rFonts w:ascii="Times New Roman" w:hAnsi="Times New Roman" w:cs="Times New Roman"/>
          <w:b/>
        </w:rPr>
      </w:pPr>
      <w:r w:rsidRPr="005D650B">
        <w:rPr>
          <w:rFonts w:ascii="Times New Roman" w:hAnsi="Times New Roman" w:cs="Times New Roman"/>
          <w:b/>
        </w:rPr>
        <w:t>Table 6: Summary of Diagnostic Tests</w:t>
      </w:r>
    </w:p>
    <w:tbl>
      <w:tblPr>
        <w:tblStyle w:val="TableGrid"/>
        <w:tblW w:w="0" w:type="auto"/>
        <w:tblLook w:val="04A0" w:firstRow="1" w:lastRow="0" w:firstColumn="1" w:lastColumn="0" w:noHBand="0" w:noVBand="1"/>
      </w:tblPr>
      <w:tblGrid>
        <w:gridCol w:w="3535"/>
        <w:gridCol w:w="1043"/>
        <w:gridCol w:w="999"/>
        <w:gridCol w:w="1393"/>
        <w:gridCol w:w="2380"/>
      </w:tblGrid>
      <w:tr w:rsidR="005D650B" w:rsidRPr="005D650B" w:rsidTr="00D419FF">
        <w:tc>
          <w:tcPr>
            <w:tcW w:w="0" w:type="auto"/>
            <w:hideMark/>
          </w:tcPr>
          <w:p w:rsidR="00BB0BFF" w:rsidRPr="005D650B" w:rsidRDefault="00BB0BFF" w:rsidP="00BB0BFF">
            <w:pPr>
              <w:jc w:val="center"/>
              <w:rPr>
                <w:rFonts w:ascii="Times New Roman" w:eastAsia="Times New Roman" w:hAnsi="Times New Roman" w:cs="Times New Roman"/>
                <w:b/>
                <w:bCs/>
                <w:sz w:val="24"/>
                <w:szCs w:val="24"/>
              </w:rPr>
            </w:pPr>
            <w:r w:rsidRPr="005D650B">
              <w:rPr>
                <w:rFonts w:ascii="Times New Roman" w:eastAsia="Times New Roman" w:hAnsi="Times New Roman" w:cs="Times New Roman"/>
                <w:b/>
                <w:bCs/>
                <w:sz w:val="24"/>
                <w:szCs w:val="24"/>
              </w:rPr>
              <w:t>Diagnostic Test</w:t>
            </w:r>
          </w:p>
        </w:tc>
        <w:tc>
          <w:tcPr>
            <w:tcW w:w="0" w:type="auto"/>
            <w:hideMark/>
          </w:tcPr>
          <w:p w:rsidR="00BB0BFF" w:rsidRPr="005D650B" w:rsidRDefault="00BB0BFF" w:rsidP="00BB0BFF">
            <w:pPr>
              <w:jc w:val="center"/>
              <w:rPr>
                <w:rFonts w:ascii="Times New Roman" w:eastAsia="Times New Roman" w:hAnsi="Times New Roman" w:cs="Times New Roman"/>
                <w:b/>
                <w:bCs/>
                <w:sz w:val="24"/>
                <w:szCs w:val="24"/>
              </w:rPr>
            </w:pPr>
            <w:r w:rsidRPr="005D650B">
              <w:rPr>
                <w:rFonts w:ascii="Times New Roman" w:eastAsia="Times New Roman" w:hAnsi="Times New Roman" w:cs="Times New Roman"/>
                <w:b/>
                <w:bCs/>
                <w:sz w:val="24"/>
                <w:szCs w:val="24"/>
              </w:rPr>
              <w:t>Statistic</w:t>
            </w:r>
          </w:p>
        </w:tc>
        <w:tc>
          <w:tcPr>
            <w:tcW w:w="0" w:type="auto"/>
            <w:hideMark/>
          </w:tcPr>
          <w:p w:rsidR="00BB0BFF" w:rsidRPr="005D650B" w:rsidRDefault="00D419FF" w:rsidP="00BB0BFF">
            <w:pPr>
              <w:jc w:val="center"/>
              <w:rPr>
                <w:rFonts w:ascii="Times New Roman" w:eastAsia="Times New Roman" w:hAnsi="Times New Roman" w:cs="Times New Roman"/>
                <w:b/>
                <w:bCs/>
                <w:sz w:val="24"/>
                <w:szCs w:val="24"/>
              </w:rPr>
            </w:pPr>
            <w:r w:rsidRPr="005D650B">
              <w:rPr>
                <w:rFonts w:ascii="Times New Roman" w:eastAsia="Times New Roman" w:hAnsi="Times New Roman" w:cs="Times New Roman"/>
                <w:b/>
                <w:bCs/>
                <w:sz w:val="24"/>
                <w:szCs w:val="24"/>
              </w:rPr>
              <w:t>Prob</w:t>
            </w:r>
            <w:r w:rsidR="00BB0BFF" w:rsidRPr="005D650B">
              <w:rPr>
                <w:rFonts w:ascii="Times New Roman" w:eastAsia="Times New Roman" w:hAnsi="Times New Roman" w:cs="Times New Roman"/>
                <w:b/>
                <w:bCs/>
                <w:sz w:val="24"/>
                <w:szCs w:val="24"/>
              </w:rPr>
              <w:t xml:space="preserve"> Value</w:t>
            </w:r>
          </w:p>
        </w:tc>
        <w:tc>
          <w:tcPr>
            <w:tcW w:w="0" w:type="auto"/>
            <w:hideMark/>
          </w:tcPr>
          <w:p w:rsidR="00D419FF" w:rsidRPr="005D650B" w:rsidRDefault="00BB0BFF" w:rsidP="00BB0BFF">
            <w:pPr>
              <w:jc w:val="center"/>
              <w:rPr>
                <w:rFonts w:ascii="Times New Roman" w:eastAsia="Times New Roman" w:hAnsi="Times New Roman" w:cs="Times New Roman"/>
                <w:b/>
                <w:bCs/>
                <w:sz w:val="24"/>
                <w:szCs w:val="24"/>
              </w:rPr>
            </w:pPr>
            <w:r w:rsidRPr="005D650B">
              <w:rPr>
                <w:rFonts w:ascii="Times New Roman" w:eastAsia="Times New Roman" w:hAnsi="Times New Roman" w:cs="Times New Roman"/>
                <w:b/>
                <w:bCs/>
                <w:sz w:val="24"/>
                <w:szCs w:val="24"/>
              </w:rPr>
              <w:t>Decision</w:t>
            </w:r>
          </w:p>
          <w:p w:rsidR="00BB0BFF" w:rsidRPr="005D650B" w:rsidRDefault="00BB0BFF" w:rsidP="00BB0BFF">
            <w:pPr>
              <w:jc w:val="center"/>
              <w:rPr>
                <w:rFonts w:ascii="Times New Roman" w:eastAsia="Times New Roman" w:hAnsi="Times New Roman" w:cs="Times New Roman"/>
                <w:b/>
                <w:bCs/>
                <w:sz w:val="24"/>
                <w:szCs w:val="24"/>
              </w:rPr>
            </w:pPr>
            <w:r w:rsidRPr="005D650B">
              <w:rPr>
                <w:rFonts w:ascii="Times New Roman" w:eastAsia="Times New Roman" w:hAnsi="Times New Roman" w:cs="Times New Roman"/>
                <w:b/>
                <w:bCs/>
                <w:sz w:val="24"/>
                <w:szCs w:val="24"/>
              </w:rPr>
              <w:t xml:space="preserve"> (</w:t>
            </w:r>
            <w:proofErr w:type="gramStart"/>
            <w:r w:rsidRPr="005D650B">
              <w:rPr>
                <w:rFonts w:ascii="Times New Roman" w:eastAsia="Times New Roman" w:hAnsi="Times New Roman" w:cs="Times New Roman"/>
                <w:b/>
                <w:bCs/>
                <w:sz w:val="24"/>
                <w:szCs w:val="24"/>
              </w:rPr>
              <w:t>at</w:t>
            </w:r>
            <w:proofErr w:type="gramEnd"/>
            <w:r w:rsidRPr="005D650B">
              <w:rPr>
                <w:rFonts w:ascii="Times New Roman" w:eastAsia="Times New Roman" w:hAnsi="Times New Roman" w:cs="Times New Roman"/>
                <w:b/>
                <w:bCs/>
                <w:sz w:val="24"/>
                <w:szCs w:val="24"/>
              </w:rPr>
              <w:t xml:space="preserve"> 5%)</w:t>
            </w:r>
          </w:p>
        </w:tc>
        <w:tc>
          <w:tcPr>
            <w:tcW w:w="2380" w:type="dxa"/>
            <w:hideMark/>
          </w:tcPr>
          <w:p w:rsidR="00BB0BFF" w:rsidRPr="005D650B" w:rsidRDefault="00BB0BFF" w:rsidP="00BB0BFF">
            <w:pPr>
              <w:jc w:val="center"/>
              <w:rPr>
                <w:rFonts w:ascii="Times New Roman" w:eastAsia="Times New Roman" w:hAnsi="Times New Roman" w:cs="Times New Roman"/>
                <w:b/>
                <w:bCs/>
                <w:sz w:val="24"/>
                <w:szCs w:val="24"/>
              </w:rPr>
            </w:pPr>
            <w:r w:rsidRPr="005D650B">
              <w:rPr>
                <w:rFonts w:ascii="Times New Roman" w:eastAsia="Times New Roman" w:hAnsi="Times New Roman" w:cs="Times New Roman"/>
                <w:b/>
                <w:bCs/>
                <w:sz w:val="24"/>
                <w:szCs w:val="24"/>
              </w:rPr>
              <w:t>Conclusion</w:t>
            </w:r>
          </w:p>
        </w:tc>
      </w:tr>
      <w:tr w:rsidR="005D650B" w:rsidRPr="005D650B" w:rsidTr="00D419FF">
        <w:tc>
          <w:tcPr>
            <w:tcW w:w="0" w:type="auto"/>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b/>
                <w:bCs/>
                <w:sz w:val="24"/>
                <w:szCs w:val="24"/>
              </w:rPr>
              <w:t>Breusch–Godfrey Serial Correlation LM Test (F-statistic)</w:t>
            </w:r>
          </w:p>
        </w:tc>
        <w:tc>
          <w:tcPr>
            <w:tcW w:w="0" w:type="auto"/>
            <w:hideMark/>
          </w:tcPr>
          <w:p w:rsidR="00BB0BFF" w:rsidRPr="005D650B" w:rsidRDefault="00D419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1.875</w:t>
            </w:r>
          </w:p>
        </w:tc>
        <w:tc>
          <w:tcPr>
            <w:tcW w:w="0" w:type="auto"/>
            <w:hideMark/>
          </w:tcPr>
          <w:p w:rsidR="00BB0BFF" w:rsidRPr="005D650B" w:rsidRDefault="00D419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0.196</w:t>
            </w:r>
          </w:p>
        </w:tc>
        <w:tc>
          <w:tcPr>
            <w:tcW w:w="0" w:type="auto"/>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Not significant</w:t>
            </w:r>
          </w:p>
        </w:tc>
        <w:tc>
          <w:tcPr>
            <w:tcW w:w="2380" w:type="dxa"/>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No evidence of serial correlation</w:t>
            </w:r>
          </w:p>
        </w:tc>
      </w:tr>
      <w:tr w:rsidR="005D650B" w:rsidRPr="005D650B" w:rsidTr="00D419FF">
        <w:tc>
          <w:tcPr>
            <w:tcW w:w="0" w:type="auto"/>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Breusch–Godfrey LM Test (Obs*R²)</w:t>
            </w:r>
          </w:p>
        </w:tc>
        <w:tc>
          <w:tcPr>
            <w:tcW w:w="0" w:type="auto"/>
            <w:hideMark/>
          </w:tcPr>
          <w:p w:rsidR="00BB0BFF" w:rsidRPr="005D650B" w:rsidRDefault="00D419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7.618</w:t>
            </w:r>
          </w:p>
        </w:tc>
        <w:tc>
          <w:tcPr>
            <w:tcW w:w="0" w:type="auto"/>
            <w:hideMark/>
          </w:tcPr>
          <w:p w:rsidR="00BB0BFF" w:rsidRPr="005D650B" w:rsidRDefault="00D419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0.022</w:t>
            </w:r>
          </w:p>
        </w:tc>
        <w:tc>
          <w:tcPr>
            <w:tcW w:w="0" w:type="auto"/>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Significant</w:t>
            </w:r>
          </w:p>
        </w:tc>
        <w:tc>
          <w:tcPr>
            <w:tcW w:w="2380" w:type="dxa"/>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Possible serial correlation (Chi-square form)</w:t>
            </w:r>
          </w:p>
        </w:tc>
      </w:tr>
      <w:tr w:rsidR="005D650B" w:rsidRPr="005D650B" w:rsidTr="00D419FF">
        <w:tc>
          <w:tcPr>
            <w:tcW w:w="0" w:type="auto"/>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b/>
                <w:bCs/>
                <w:sz w:val="24"/>
                <w:szCs w:val="24"/>
              </w:rPr>
              <w:t>Breusch–Pagan–Godfrey Heteroskedasticity Test (F-statistic)</w:t>
            </w:r>
          </w:p>
        </w:tc>
        <w:tc>
          <w:tcPr>
            <w:tcW w:w="0" w:type="auto"/>
            <w:hideMark/>
          </w:tcPr>
          <w:p w:rsidR="00BB0BFF" w:rsidRPr="005D650B" w:rsidRDefault="00D419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0.529</w:t>
            </w:r>
          </w:p>
        </w:tc>
        <w:tc>
          <w:tcPr>
            <w:tcW w:w="0" w:type="auto"/>
            <w:hideMark/>
          </w:tcPr>
          <w:p w:rsidR="00BB0BFF" w:rsidRPr="005D650B" w:rsidRDefault="00D419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0.893</w:t>
            </w:r>
          </w:p>
        </w:tc>
        <w:tc>
          <w:tcPr>
            <w:tcW w:w="0" w:type="auto"/>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Not significant</w:t>
            </w:r>
          </w:p>
        </w:tc>
        <w:tc>
          <w:tcPr>
            <w:tcW w:w="2380" w:type="dxa"/>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No heteroskedasticity</w:t>
            </w:r>
          </w:p>
        </w:tc>
      </w:tr>
      <w:tr w:rsidR="005D650B" w:rsidRPr="005D650B" w:rsidTr="00D419FF">
        <w:tc>
          <w:tcPr>
            <w:tcW w:w="0" w:type="auto"/>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Breusch–Pagan–Godfrey (Obs*R²)</w:t>
            </w:r>
          </w:p>
        </w:tc>
        <w:tc>
          <w:tcPr>
            <w:tcW w:w="0" w:type="auto"/>
            <w:hideMark/>
          </w:tcPr>
          <w:p w:rsidR="00BB0BFF" w:rsidRPr="005D650B" w:rsidRDefault="00D419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12.527</w:t>
            </w:r>
          </w:p>
        </w:tc>
        <w:tc>
          <w:tcPr>
            <w:tcW w:w="0" w:type="auto"/>
            <w:hideMark/>
          </w:tcPr>
          <w:p w:rsidR="00BB0BFF" w:rsidRPr="005D650B" w:rsidRDefault="00D419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0.767</w:t>
            </w:r>
          </w:p>
        </w:tc>
        <w:tc>
          <w:tcPr>
            <w:tcW w:w="0" w:type="auto"/>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Not significant</w:t>
            </w:r>
          </w:p>
        </w:tc>
        <w:tc>
          <w:tcPr>
            <w:tcW w:w="2380" w:type="dxa"/>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Homoskedastic residuals confirmed</w:t>
            </w:r>
          </w:p>
        </w:tc>
      </w:tr>
      <w:tr w:rsidR="005D650B" w:rsidRPr="005D650B" w:rsidTr="00D419FF">
        <w:tc>
          <w:tcPr>
            <w:tcW w:w="0" w:type="auto"/>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Scaled Explained SS</w:t>
            </w:r>
          </w:p>
        </w:tc>
        <w:tc>
          <w:tcPr>
            <w:tcW w:w="0" w:type="auto"/>
            <w:hideMark/>
          </w:tcPr>
          <w:p w:rsidR="00BB0BFF" w:rsidRPr="005D650B" w:rsidRDefault="00D419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1.649</w:t>
            </w:r>
          </w:p>
        </w:tc>
        <w:tc>
          <w:tcPr>
            <w:tcW w:w="0" w:type="auto"/>
            <w:hideMark/>
          </w:tcPr>
          <w:p w:rsidR="00BB0BFF" w:rsidRPr="005D650B" w:rsidRDefault="00D419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1.000</w:t>
            </w:r>
          </w:p>
        </w:tc>
        <w:tc>
          <w:tcPr>
            <w:tcW w:w="0" w:type="auto"/>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Not significant</w:t>
            </w:r>
          </w:p>
        </w:tc>
        <w:tc>
          <w:tcPr>
            <w:tcW w:w="2380" w:type="dxa"/>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Robust variance stability</w:t>
            </w:r>
          </w:p>
        </w:tc>
      </w:tr>
      <w:tr w:rsidR="005D650B" w:rsidRPr="005D650B" w:rsidTr="00D419FF">
        <w:tc>
          <w:tcPr>
            <w:tcW w:w="0" w:type="auto"/>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b/>
                <w:bCs/>
                <w:sz w:val="24"/>
                <w:szCs w:val="24"/>
              </w:rPr>
              <w:lastRenderedPageBreak/>
              <w:t>Ramsey RESET Test (F-statistic)</w:t>
            </w:r>
          </w:p>
        </w:tc>
        <w:tc>
          <w:tcPr>
            <w:tcW w:w="0" w:type="auto"/>
            <w:hideMark/>
          </w:tcPr>
          <w:p w:rsidR="00BB0BFF" w:rsidRPr="005D650B" w:rsidRDefault="00D419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5.254</w:t>
            </w:r>
          </w:p>
        </w:tc>
        <w:tc>
          <w:tcPr>
            <w:tcW w:w="0" w:type="auto"/>
            <w:hideMark/>
          </w:tcPr>
          <w:p w:rsidR="00BB0BFF" w:rsidRPr="005D650B" w:rsidRDefault="00D419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0.039</w:t>
            </w:r>
          </w:p>
        </w:tc>
        <w:tc>
          <w:tcPr>
            <w:tcW w:w="0" w:type="auto"/>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Significant</w:t>
            </w:r>
          </w:p>
        </w:tc>
        <w:tc>
          <w:tcPr>
            <w:tcW w:w="2380" w:type="dxa"/>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Functional form misspecification detected</w:t>
            </w:r>
          </w:p>
        </w:tc>
      </w:tr>
      <w:tr w:rsidR="005D650B" w:rsidRPr="005D650B" w:rsidTr="00D419FF">
        <w:tc>
          <w:tcPr>
            <w:tcW w:w="0" w:type="auto"/>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Ramsey RESET Test (t-statistic)</w:t>
            </w:r>
          </w:p>
        </w:tc>
        <w:tc>
          <w:tcPr>
            <w:tcW w:w="0" w:type="auto"/>
            <w:hideMark/>
          </w:tcPr>
          <w:p w:rsidR="00BB0BFF" w:rsidRPr="005D650B" w:rsidRDefault="00D419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2.292</w:t>
            </w:r>
          </w:p>
        </w:tc>
        <w:tc>
          <w:tcPr>
            <w:tcW w:w="0" w:type="auto"/>
            <w:hideMark/>
          </w:tcPr>
          <w:p w:rsidR="00BB0BFF" w:rsidRPr="005D650B" w:rsidRDefault="00D419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0.039</w:t>
            </w:r>
          </w:p>
        </w:tc>
        <w:tc>
          <w:tcPr>
            <w:tcW w:w="0" w:type="auto"/>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Significant</w:t>
            </w:r>
          </w:p>
        </w:tc>
        <w:tc>
          <w:tcPr>
            <w:tcW w:w="2380" w:type="dxa"/>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Model specification issue confirmed</w:t>
            </w:r>
          </w:p>
        </w:tc>
      </w:tr>
      <w:tr w:rsidR="005D650B" w:rsidRPr="005D650B" w:rsidTr="00D419FF">
        <w:tc>
          <w:tcPr>
            <w:tcW w:w="0" w:type="auto"/>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b/>
                <w:bCs/>
                <w:sz w:val="24"/>
                <w:szCs w:val="24"/>
              </w:rPr>
              <w:t>Jarque–Bera Normality Test</w:t>
            </w:r>
          </w:p>
        </w:tc>
        <w:tc>
          <w:tcPr>
            <w:tcW w:w="0" w:type="auto"/>
            <w:hideMark/>
          </w:tcPr>
          <w:p w:rsidR="00BB0BFF" w:rsidRPr="005D650B" w:rsidRDefault="00D419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0.529</w:t>
            </w:r>
          </w:p>
        </w:tc>
        <w:tc>
          <w:tcPr>
            <w:tcW w:w="0" w:type="auto"/>
            <w:hideMark/>
          </w:tcPr>
          <w:p w:rsidR="00BB0BFF" w:rsidRPr="005D650B" w:rsidRDefault="00D419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0.768</w:t>
            </w:r>
          </w:p>
        </w:tc>
        <w:tc>
          <w:tcPr>
            <w:tcW w:w="0" w:type="auto"/>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Not significant</w:t>
            </w:r>
          </w:p>
        </w:tc>
        <w:tc>
          <w:tcPr>
            <w:tcW w:w="2380" w:type="dxa"/>
            <w:hideMark/>
          </w:tcPr>
          <w:p w:rsidR="00BB0BFF" w:rsidRPr="005D650B" w:rsidRDefault="00BB0BFF" w:rsidP="00BB0BFF">
            <w:pPr>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Residuals are normally distributed</w:t>
            </w:r>
          </w:p>
        </w:tc>
      </w:tr>
    </w:tbl>
    <w:p w:rsidR="00C047C0" w:rsidRPr="005D650B" w:rsidRDefault="00C047C0" w:rsidP="00C047C0">
      <w:pPr>
        <w:pStyle w:val="BodyText"/>
        <w:rPr>
          <w:rFonts w:ascii="Times New Roman" w:hAnsi="Times New Roman" w:cs="Times New Roman"/>
          <w:bCs/>
          <w:i/>
        </w:rPr>
      </w:pPr>
      <w:r w:rsidRPr="005D650B">
        <w:rPr>
          <w:rFonts w:ascii="Times New Roman" w:hAnsi="Times New Roman" w:cs="Times New Roman"/>
          <w:b/>
          <w:i/>
        </w:rPr>
        <w:t xml:space="preserve">Source: </w:t>
      </w:r>
      <w:r w:rsidRPr="005D650B">
        <w:rPr>
          <w:rFonts w:ascii="Times New Roman" w:hAnsi="Times New Roman" w:cs="Times New Roman"/>
          <w:bCs/>
          <w:i/>
        </w:rPr>
        <w:t>Research’s Compilation, 2026 from E-view-9</w:t>
      </w:r>
    </w:p>
    <w:p w:rsidR="004579C4" w:rsidRPr="005D650B" w:rsidRDefault="004579C4" w:rsidP="004579C4">
      <w:pPr>
        <w:spacing w:after="0" w:line="360" w:lineRule="auto"/>
        <w:jc w:val="both"/>
        <w:rPr>
          <w:rFonts w:ascii="Times New Roman" w:hAnsi="Times New Roman" w:cs="Times New Roman"/>
          <w:b/>
          <w:sz w:val="24"/>
          <w:szCs w:val="24"/>
        </w:rPr>
      </w:pPr>
      <w:r w:rsidRPr="005D650B">
        <w:rPr>
          <w:rFonts w:ascii="Times New Roman" w:hAnsi="Times New Roman" w:cs="Times New Roman"/>
          <w:b/>
          <w:sz w:val="24"/>
          <w:szCs w:val="24"/>
        </w:rPr>
        <w:t>5. Summary, Conclusion and Policy Implication</w:t>
      </w:r>
    </w:p>
    <w:p w:rsidR="004579C4" w:rsidRPr="005D650B" w:rsidRDefault="004579C4" w:rsidP="004579C4">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This study examined the relationship between fiscal reforms, domestic revenue mobilisation, and sustainable development in Nigeria from 1990 to 2024 using the ARDL bounds testing approac</w:t>
      </w:r>
      <w:r w:rsidR="00952F11" w:rsidRPr="005D650B">
        <w:rPr>
          <w:rFonts w:ascii="Times New Roman" w:hAnsi="Times New Roman" w:cs="Times New Roman"/>
          <w:sz w:val="24"/>
          <w:szCs w:val="24"/>
        </w:rPr>
        <w:t>h with data from the World Bank and the CBN statistical bulletin</w:t>
      </w:r>
      <w:r w:rsidRPr="005D650B">
        <w:rPr>
          <w:rFonts w:ascii="Times New Roman" w:hAnsi="Times New Roman" w:cs="Times New Roman"/>
          <w:sz w:val="24"/>
          <w:szCs w:val="24"/>
        </w:rPr>
        <w:t>. The bounds test confirms a long-run relationship among the variables, validating both short- and long-run analyses.</w:t>
      </w:r>
      <w:r w:rsidR="00C73994" w:rsidRPr="005D650B">
        <w:rPr>
          <w:rFonts w:ascii="Times New Roman" w:hAnsi="Times New Roman" w:cs="Times New Roman"/>
          <w:sz w:val="24"/>
          <w:szCs w:val="24"/>
        </w:rPr>
        <w:t xml:space="preserve"> </w:t>
      </w:r>
      <w:r w:rsidRPr="005D650B">
        <w:rPr>
          <w:rFonts w:ascii="Times New Roman" w:hAnsi="Times New Roman" w:cs="Times New Roman"/>
          <w:sz w:val="24"/>
          <w:szCs w:val="24"/>
        </w:rPr>
        <w:t>In the short run, fiscal reform (TRI) has a weak positive effect on sustainable development, while tax revenue (TRG), economic growth (GDPGR), and government expenditure (GEXP) are statistically insignificant. Inflation (INF) is significant, indicating that macroeconomic instability immediately undermines development outcomes. The error correction term is negative and significant, confirming a rapid adjustment to long-run equilibrium.</w:t>
      </w:r>
      <w:r w:rsidR="00C73994" w:rsidRPr="005D650B">
        <w:rPr>
          <w:rFonts w:ascii="Times New Roman" w:hAnsi="Times New Roman" w:cs="Times New Roman"/>
          <w:sz w:val="24"/>
          <w:szCs w:val="24"/>
        </w:rPr>
        <w:t xml:space="preserve"> </w:t>
      </w:r>
      <w:r w:rsidRPr="005D650B">
        <w:rPr>
          <w:rFonts w:ascii="Times New Roman" w:hAnsi="Times New Roman" w:cs="Times New Roman"/>
          <w:sz w:val="24"/>
          <w:szCs w:val="24"/>
        </w:rPr>
        <w:t>In the long run, fiscal reform (TRI) has a positive and significant effect on sustainable development, while inflation (INF) has a significant negative effect. In contrast, tax revenue (TRG), economic growth (GDPGR), and government expenditure (GEXP) remain statistically insignificant, suggesting weak fiscal transmission and institutional inefficiencies. The interaction term (TRI × TRG) is negative and significant in both periods, implying that fiscal reforms and revenue mobilisation are not yet mutually reinforcing due to coordination and capacity constraints.</w:t>
      </w:r>
      <w:r w:rsidR="00C73994" w:rsidRPr="005D650B">
        <w:rPr>
          <w:rFonts w:ascii="Times New Roman" w:hAnsi="Times New Roman" w:cs="Times New Roman"/>
          <w:sz w:val="24"/>
          <w:szCs w:val="24"/>
        </w:rPr>
        <w:t xml:space="preserve"> </w:t>
      </w:r>
      <w:r w:rsidRPr="005D650B">
        <w:rPr>
          <w:rFonts w:ascii="Times New Roman" w:hAnsi="Times New Roman" w:cs="Times New Roman"/>
          <w:sz w:val="24"/>
          <w:szCs w:val="24"/>
        </w:rPr>
        <w:t>Overall, the study concludes that fiscal reforms are the main long-run driver of sustainable development in Nigeria, while inflation remains a major constraint. However, fiscal aggregates alone are insufficient without strong institutional quality. The negative interaction further indicates weak synergy between reforms and revenue mobilisation.</w:t>
      </w:r>
      <w:r w:rsidR="00C73994" w:rsidRPr="005D650B">
        <w:rPr>
          <w:rFonts w:ascii="Times New Roman" w:hAnsi="Times New Roman" w:cs="Times New Roman"/>
          <w:sz w:val="24"/>
          <w:szCs w:val="24"/>
        </w:rPr>
        <w:t xml:space="preserve"> </w:t>
      </w:r>
      <w:r w:rsidRPr="005D650B">
        <w:rPr>
          <w:rFonts w:ascii="Times New Roman" w:hAnsi="Times New Roman" w:cs="Times New Roman"/>
          <w:sz w:val="24"/>
          <w:szCs w:val="24"/>
        </w:rPr>
        <w:t xml:space="preserve">Accordingly, the study recommends a more coordinated fiscal reform framework that strengthens tax administration and ensures efficient conversion of revenue into development outcomes. Priority should be given to transparency, accountability, and improved public financial management. In addition, sustained inflation control is essential for protecting real incomes and supporting development. Finally, stronger institutional capacity is required to enhance synergy </w:t>
      </w:r>
      <w:r w:rsidRPr="005D650B">
        <w:rPr>
          <w:rFonts w:ascii="Times New Roman" w:hAnsi="Times New Roman" w:cs="Times New Roman"/>
          <w:sz w:val="24"/>
          <w:szCs w:val="24"/>
        </w:rPr>
        <w:lastRenderedPageBreak/>
        <w:t>between fiscal reforms and domestic revenue mobilisation for inclusive and sustainable development in Nigeria.</w:t>
      </w:r>
    </w:p>
    <w:p w:rsidR="004579C4" w:rsidRPr="005D650B" w:rsidRDefault="004579C4" w:rsidP="004579C4">
      <w:pPr>
        <w:spacing w:after="0" w:line="360" w:lineRule="auto"/>
        <w:jc w:val="both"/>
        <w:rPr>
          <w:rFonts w:ascii="Times New Roman" w:hAnsi="Times New Roman" w:cs="Times New Roman"/>
          <w:b/>
          <w:sz w:val="24"/>
          <w:szCs w:val="24"/>
        </w:rPr>
      </w:pPr>
      <w:r w:rsidRPr="005D650B">
        <w:rPr>
          <w:rFonts w:ascii="Times New Roman" w:hAnsi="Times New Roman" w:cs="Times New Roman"/>
          <w:b/>
          <w:sz w:val="24"/>
          <w:szCs w:val="24"/>
        </w:rPr>
        <w:t>6.0 Recommendations</w:t>
      </w:r>
    </w:p>
    <w:p w:rsidR="004579C4" w:rsidRPr="005D650B" w:rsidRDefault="004579C4" w:rsidP="004579C4">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Fiscal coordination should be strengthened to align tax reforms with domestic revenue mobilisation for improved developmental impact. Public expenditure must be more efficient, transparent, and productivity-driven to ensure effective use of resources. Inflation control should remain a key policy priority to safeguard economic stability and real incomes. In addition, institutional reforms are necessary to improve tax administration and public financial management systems.</w:t>
      </w:r>
    </w:p>
    <w:p w:rsidR="004579C4" w:rsidRPr="005D650B" w:rsidRDefault="004579C4" w:rsidP="004579C4">
      <w:pPr>
        <w:spacing w:after="0" w:line="360" w:lineRule="auto"/>
        <w:jc w:val="both"/>
        <w:rPr>
          <w:rFonts w:ascii="Times New Roman" w:hAnsi="Times New Roman" w:cs="Times New Roman"/>
          <w:b/>
          <w:sz w:val="24"/>
          <w:szCs w:val="24"/>
        </w:rPr>
      </w:pPr>
      <w:r w:rsidRPr="005D650B">
        <w:rPr>
          <w:rFonts w:ascii="Times New Roman" w:hAnsi="Times New Roman" w:cs="Times New Roman"/>
          <w:b/>
          <w:sz w:val="24"/>
          <w:szCs w:val="24"/>
        </w:rPr>
        <w:t>6.1 Limitation of the Study</w:t>
      </w:r>
    </w:p>
    <w:p w:rsidR="004579C4" w:rsidRPr="005D650B" w:rsidRDefault="004579C4" w:rsidP="004579C4">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The study relies on annual time-series data, which may mask short-term fluctuations and structural breaks. It is also limited to selected fiscal and macroeconomic variables, excluding other institutional and governance factors that may influence sustainable development.</w:t>
      </w:r>
    </w:p>
    <w:p w:rsidR="004579C4" w:rsidRPr="005D650B" w:rsidRDefault="004579C4" w:rsidP="004579C4">
      <w:pPr>
        <w:spacing w:after="0" w:line="360" w:lineRule="auto"/>
        <w:jc w:val="both"/>
        <w:rPr>
          <w:rFonts w:ascii="Times New Roman" w:hAnsi="Times New Roman" w:cs="Times New Roman"/>
          <w:b/>
          <w:sz w:val="24"/>
          <w:szCs w:val="24"/>
        </w:rPr>
      </w:pPr>
      <w:r w:rsidRPr="005D650B">
        <w:rPr>
          <w:rFonts w:ascii="Times New Roman" w:hAnsi="Times New Roman" w:cs="Times New Roman"/>
          <w:b/>
          <w:sz w:val="24"/>
          <w:szCs w:val="24"/>
        </w:rPr>
        <w:t>6.2 Suggestions for Future Research</w:t>
      </w:r>
    </w:p>
    <w:p w:rsidR="004579C4" w:rsidRPr="005D650B" w:rsidRDefault="004579C4" w:rsidP="004579C4">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Future studies could incorporate institutional variables such as corruption control, political stability, and regulatory quality for a broader analysis. In addition, the use of panel or regional data and alternative econometric techniques may help capture spatial differences and more detailed short-run dynamics.</w:t>
      </w:r>
    </w:p>
    <w:p w:rsidR="00B25131" w:rsidRPr="005D650B" w:rsidRDefault="00B25131" w:rsidP="00D032BC">
      <w:pPr>
        <w:jc w:val="both"/>
        <w:rPr>
          <w:rFonts w:ascii="Times New Roman" w:hAnsi="Times New Roman" w:cs="Times New Roman"/>
          <w:b/>
          <w:sz w:val="24"/>
          <w:szCs w:val="24"/>
        </w:rPr>
      </w:pPr>
    </w:p>
    <w:p w:rsidR="00120EFC" w:rsidRPr="005D650B" w:rsidRDefault="00EC3331" w:rsidP="00D032BC">
      <w:pPr>
        <w:jc w:val="both"/>
        <w:rPr>
          <w:rFonts w:ascii="Times New Roman" w:hAnsi="Times New Roman" w:cs="Times New Roman"/>
          <w:b/>
          <w:sz w:val="24"/>
          <w:szCs w:val="24"/>
        </w:rPr>
      </w:pPr>
      <w:r w:rsidRPr="005D650B">
        <w:rPr>
          <w:rFonts w:ascii="Times New Roman" w:hAnsi="Times New Roman" w:cs="Times New Roman"/>
          <w:b/>
          <w:sz w:val="24"/>
          <w:szCs w:val="24"/>
        </w:rPr>
        <w:t>Reference</w:t>
      </w:r>
    </w:p>
    <w:p w:rsidR="00B62A03" w:rsidRPr="005D650B" w:rsidRDefault="00B62A03" w:rsidP="00EF4744">
      <w:pPr>
        <w:spacing w:after="0" w:line="276" w:lineRule="auto"/>
        <w:jc w:val="both"/>
        <w:rPr>
          <w:rFonts w:ascii="Times New Roman" w:hAnsi="Times New Roman" w:cs="Times New Roman"/>
          <w:sz w:val="24"/>
          <w:szCs w:val="24"/>
        </w:rPr>
      </w:pPr>
      <w:r w:rsidRPr="005D650B">
        <w:rPr>
          <w:rFonts w:ascii="Times New Roman" w:hAnsi="Times New Roman" w:cs="Times New Roman"/>
          <w:sz w:val="24"/>
          <w:szCs w:val="24"/>
        </w:rPr>
        <w:t xml:space="preserve">Adegboye, A., &amp; Tagem, A. M. E. (2023). Tax and sustainable development in Sub-Saharan </w:t>
      </w:r>
      <w:r w:rsidRPr="005D650B">
        <w:rPr>
          <w:rFonts w:ascii="Times New Roman" w:hAnsi="Times New Roman" w:cs="Times New Roman"/>
          <w:sz w:val="24"/>
          <w:szCs w:val="24"/>
        </w:rPr>
        <w:tab/>
        <w:t xml:space="preserve">Africa: Beyond accountability and responsiveness. UNU-WIDER Working Paper No. </w:t>
      </w:r>
      <w:r w:rsidRPr="005D650B">
        <w:rPr>
          <w:rFonts w:ascii="Times New Roman" w:hAnsi="Times New Roman" w:cs="Times New Roman"/>
          <w:sz w:val="24"/>
          <w:szCs w:val="24"/>
        </w:rPr>
        <w:tab/>
        <w:t xml:space="preserve">2023/54. Helsinki: United Nations University World Institute for Development Economics </w:t>
      </w:r>
      <w:r w:rsidRPr="005D650B">
        <w:rPr>
          <w:rFonts w:ascii="Times New Roman" w:hAnsi="Times New Roman" w:cs="Times New Roman"/>
          <w:sz w:val="24"/>
          <w:szCs w:val="24"/>
        </w:rPr>
        <w:tab/>
        <w:t>Research.</w:t>
      </w:r>
    </w:p>
    <w:p w:rsidR="00B62A03" w:rsidRPr="005D650B" w:rsidRDefault="00B62A03"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Adegboye, F. B., &amp; Hassan, O. T. (2022). Tax reform and fiscal sustainability in emerging </w:t>
      </w:r>
      <w:r w:rsidRPr="005D650B">
        <w:rPr>
          <w:rFonts w:ascii="Times New Roman" w:eastAsia="Times New Roman" w:hAnsi="Times New Roman" w:cs="Times New Roman"/>
          <w:sz w:val="24"/>
          <w:szCs w:val="24"/>
        </w:rPr>
        <w:tab/>
        <w:t xml:space="preserve">economies. </w:t>
      </w:r>
      <w:r w:rsidRPr="005D650B">
        <w:rPr>
          <w:rFonts w:ascii="Times New Roman" w:eastAsia="Times New Roman" w:hAnsi="Times New Roman" w:cs="Times New Roman"/>
          <w:i/>
          <w:iCs/>
          <w:sz w:val="24"/>
          <w:szCs w:val="24"/>
        </w:rPr>
        <w:t>Journal of Public Economics and Policy</w:t>
      </w:r>
      <w:r w:rsidRPr="005D650B">
        <w:rPr>
          <w:rFonts w:ascii="Times New Roman" w:eastAsia="Times New Roman" w:hAnsi="Times New Roman" w:cs="Times New Roman"/>
          <w:sz w:val="24"/>
          <w:szCs w:val="24"/>
        </w:rPr>
        <w:t>, 14(2)</w:t>
      </w:r>
      <w:proofErr w:type="gramStart"/>
      <w:r w:rsidRPr="005D650B">
        <w:rPr>
          <w:rFonts w:ascii="Times New Roman" w:eastAsia="Times New Roman" w:hAnsi="Times New Roman" w:cs="Times New Roman"/>
          <w:sz w:val="24"/>
          <w:szCs w:val="24"/>
        </w:rPr>
        <w:t>,45</w:t>
      </w:r>
      <w:proofErr w:type="gramEnd"/>
      <w:r w:rsidRPr="005D650B">
        <w:rPr>
          <w:rFonts w:ascii="Times New Roman" w:eastAsia="Times New Roman" w:hAnsi="Times New Roman" w:cs="Times New Roman"/>
          <w:sz w:val="24"/>
          <w:szCs w:val="24"/>
        </w:rPr>
        <w:t>–63.</w:t>
      </w:r>
    </w:p>
    <w:p w:rsidR="00B62A03" w:rsidRPr="005D650B" w:rsidRDefault="00B62A03" w:rsidP="00B62A03">
      <w:pPr>
        <w:jc w:val="both"/>
        <w:rPr>
          <w:rFonts w:ascii="Times New Roman" w:hAnsi="Times New Roman" w:cs="Times New Roman"/>
          <w:sz w:val="24"/>
          <w:szCs w:val="24"/>
        </w:rPr>
      </w:pPr>
      <w:r w:rsidRPr="005D650B">
        <w:rPr>
          <w:rFonts w:ascii="Times New Roman" w:hAnsi="Times New Roman" w:cs="Times New Roman"/>
          <w:sz w:val="24"/>
          <w:szCs w:val="24"/>
        </w:rPr>
        <w:t xml:space="preserve">Adekanmbi, A. M., Dauda, A., Shallie, O., &amp; Olaniyi, O. A. (2022). Tax revenue and sustainable </w:t>
      </w:r>
      <w:r w:rsidRPr="005D650B">
        <w:rPr>
          <w:rFonts w:ascii="Times New Roman" w:hAnsi="Times New Roman" w:cs="Times New Roman"/>
          <w:sz w:val="24"/>
          <w:szCs w:val="24"/>
        </w:rPr>
        <w:tab/>
        <w:t xml:space="preserve">development in Nigeria: A disaggregated analysis. </w:t>
      </w:r>
      <w:r w:rsidRPr="005D650B">
        <w:rPr>
          <w:rFonts w:ascii="Times New Roman" w:hAnsi="Times New Roman" w:cs="Times New Roman"/>
          <w:i/>
          <w:sz w:val="24"/>
          <w:szCs w:val="24"/>
        </w:rPr>
        <w:t xml:space="preserve">Global Journal of Arts, Humanities and </w:t>
      </w:r>
      <w:r w:rsidRPr="005D650B">
        <w:rPr>
          <w:rFonts w:ascii="Times New Roman" w:hAnsi="Times New Roman" w:cs="Times New Roman"/>
          <w:i/>
          <w:sz w:val="24"/>
          <w:szCs w:val="24"/>
        </w:rPr>
        <w:tab/>
        <w:t>Social Sciences,</w:t>
      </w:r>
      <w:r w:rsidRPr="005D650B">
        <w:rPr>
          <w:rFonts w:ascii="Times New Roman" w:hAnsi="Times New Roman" w:cs="Times New Roman"/>
          <w:sz w:val="24"/>
          <w:szCs w:val="24"/>
        </w:rPr>
        <w:t xml:space="preserve"> 10(3), 43–54.</w:t>
      </w:r>
    </w:p>
    <w:p w:rsidR="00B62A03" w:rsidRPr="005D650B" w:rsidRDefault="00B62A03"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Adekoya, A. A., &amp; Olatunji, B. O. (2021). Fiscal reforms and revenue efficiency in developing </w:t>
      </w:r>
      <w:r w:rsidRPr="005D650B">
        <w:rPr>
          <w:rFonts w:ascii="Times New Roman" w:eastAsia="Times New Roman" w:hAnsi="Times New Roman" w:cs="Times New Roman"/>
          <w:sz w:val="24"/>
          <w:szCs w:val="24"/>
        </w:rPr>
        <w:tab/>
        <w:t xml:space="preserve">economies. </w:t>
      </w:r>
      <w:r w:rsidRPr="005D650B">
        <w:rPr>
          <w:rFonts w:ascii="Times New Roman" w:eastAsia="Times New Roman" w:hAnsi="Times New Roman" w:cs="Times New Roman"/>
          <w:i/>
          <w:iCs/>
          <w:sz w:val="24"/>
          <w:szCs w:val="24"/>
        </w:rPr>
        <w:t>Journal of Public Finance and Development</w:t>
      </w:r>
      <w:r w:rsidRPr="005D650B">
        <w:rPr>
          <w:rFonts w:ascii="Times New Roman" w:eastAsia="Times New Roman" w:hAnsi="Times New Roman" w:cs="Times New Roman"/>
          <w:sz w:val="24"/>
          <w:szCs w:val="24"/>
        </w:rPr>
        <w:t>, 13(2)</w:t>
      </w:r>
      <w:proofErr w:type="gramStart"/>
      <w:r w:rsidRPr="005D650B">
        <w:rPr>
          <w:rFonts w:ascii="Times New Roman" w:eastAsia="Times New Roman" w:hAnsi="Times New Roman" w:cs="Times New Roman"/>
          <w:sz w:val="24"/>
          <w:szCs w:val="24"/>
        </w:rPr>
        <w:t>,77</w:t>
      </w:r>
      <w:proofErr w:type="gramEnd"/>
      <w:r w:rsidRPr="005D650B">
        <w:rPr>
          <w:rFonts w:ascii="Times New Roman" w:eastAsia="Times New Roman" w:hAnsi="Times New Roman" w:cs="Times New Roman"/>
          <w:sz w:val="24"/>
          <w:szCs w:val="24"/>
        </w:rPr>
        <w:t>–94.</w:t>
      </w:r>
    </w:p>
    <w:p w:rsidR="00B62A03" w:rsidRPr="005D650B" w:rsidRDefault="00B62A03"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Adekoya, O. B., &amp; Olatunji, L. (2021). Tax reforms and economic performance in developing </w:t>
      </w:r>
      <w:r w:rsidRPr="005D650B">
        <w:rPr>
          <w:rFonts w:ascii="Times New Roman" w:eastAsia="Times New Roman" w:hAnsi="Times New Roman" w:cs="Times New Roman"/>
          <w:sz w:val="24"/>
          <w:szCs w:val="24"/>
        </w:rPr>
        <w:tab/>
        <w:t xml:space="preserve">economies. </w:t>
      </w:r>
      <w:r w:rsidRPr="005D650B">
        <w:rPr>
          <w:rFonts w:ascii="Times New Roman" w:eastAsia="Times New Roman" w:hAnsi="Times New Roman" w:cs="Times New Roman"/>
          <w:i/>
          <w:iCs/>
          <w:sz w:val="24"/>
          <w:szCs w:val="24"/>
        </w:rPr>
        <w:t>Journal of Economic Policy Reform, 24</w:t>
      </w:r>
      <w:r w:rsidRPr="005D650B">
        <w:rPr>
          <w:rFonts w:ascii="Times New Roman" w:eastAsia="Times New Roman" w:hAnsi="Times New Roman" w:cs="Times New Roman"/>
          <w:sz w:val="24"/>
          <w:szCs w:val="24"/>
        </w:rPr>
        <w:t>(3), 215–232.</w:t>
      </w:r>
    </w:p>
    <w:p w:rsidR="00B62A03" w:rsidRPr="005D650B" w:rsidRDefault="00B62A03" w:rsidP="00EF4744">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lastRenderedPageBreak/>
        <w:t xml:space="preserve">Adekunle, A. O. (2025). Crude oil revenue volatility and budgetary discipline: An empirical study </w:t>
      </w:r>
      <w:r w:rsidRPr="005D650B">
        <w:rPr>
          <w:rFonts w:ascii="Times New Roman" w:hAnsi="Times New Roman" w:cs="Times New Roman"/>
          <w:sz w:val="24"/>
          <w:szCs w:val="24"/>
        </w:rPr>
        <w:tab/>
        <w:t>of Nigeria's fiscal sustainability. Wukari International Studies Journal, 9(7), 217–231.</w:t>
      </w:r>
    </w:p>
    <w:p w:rsidR="00B62A03" w:rsidRPr="005D650B" w:rsidRDefault="00B62A03"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Adeyemi, K. A., &amp; Oladipo, S. O. (2023). Government expenditure and long-run economic </w:t>
      </w:r>
      <w:r w:rsidRPr="005D650B">
        <w:rPr>
          <w:rFonts w:ascii="Times New Roman" w:eastAsia="Times New Roman" w:hAnsi="Times New Roman" w:cs="Times New Roman"/>
          <w:sz w:val="24"/>
          <w:szCs w:val="24"/>
        </w:rPr>
        <w:tab/>
        <w:t xml:space="preserve">development in Sub-Saharan Africa. </w:t>
      </w:r>
      <w:r w:rsidRPr="005D650B">
        <w:rPr>
          <w:rFonts w:ascii="Times New Roman" w:eastAsia="Times New Roman" w:hAnsi="Times New Roman" w:cs="Times New Roman"/>
          <w:i/>
          <w:iCs/>
          <w:sz w:val="24"/>
          <w:szCs w:val="24"/>
        </w:rPr>
        <w:t>African Development Review</w:t>
      </w:r>
      <w:r w:rsidRPr="005D650B">
        <w:rPr>
          <w:rFonts w:ascii="Times New Roman" w:eastAsia="Times New Roman" w:hAnsi="Times New Roman" w:cs="Times New Roman"/>
          <w:sz w:val="24"/>
          <w:szCs w:val="24"/>
        </w:rPr>
        <w:t>, 35(1), 88–105.</w:t>
      </w:r>
    </w:p>
    <w:p w:rsidR="00B62A03" w:rsidRPr="005D650B" w:rsidRDefault="00B62A03" w:rsidP="00EF4744">
      <w:pPr>
        <w:spacing w:after="0" w:line="276" w:lineRule="auto"/>
        <w:jc w:val="both"/>
        <w:rPr>
          <w:rFonts w:ascii="Times New Roman" w:hAnsi="Times New Roman" w:cs="Times New Roman"/>
        </w:rPr>
      </w:pPr>
      <w:r w:rsidRPr="005D650B">
        <w:rPr>
          <w:rFonts w:ascii="Times New Roman" w:hAnsi="Times New Roman" w:cs="Times New Roman"/>
        </w:rPr>
        <w:tab/>
        <w:t xml:space="preserve">African Countries. </w:t>
      </w:r>
      <w:r w:rsidRPr="005D650B">
        <w:rPr>
          <w:rFonts w:ascii="Times New Roman" w:hAnsi="Times New Roman" w:cs="Times New Roman"/>
          <w:i/>
        </w:rPr>
        <w:t>Future Business Journal</w:t>
      </w:r>
      <w:r w:rsidRPr="005D650B">
        <w:rPr>
          <w:rFonts w:ascii="Times New Roman" w:hAnsi="Times New Roman" w:cs="Times New Roman"/>
        </w:rPr>
        <w:t>, 11, Article 217.</w:t>
      </w:r>
    </w:p>
    <w:p w:rsidR="00B62A03" w:rsidRPr="005D650B" w:rsidRDefault="00B62A03"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Ahmed, R., Khan, M., &amp; Patel, S. (2024). Economic growth and sustainability nexus in developing </w:t>
      </w:r>
      <w:r w:rsidRPr="005D650B">
        <w:rPr>
          <w:rFonts w:ascii="Times New Roman" w:eastAsia="Times New Roman" w:hAnsi="Times New Roman" w:cs="Times New Roman"/>
          <w:sz w:val="24"/>
          <w:szCs w:val="24"/>
        </w:rPr>
        <w:tab/>
        <w:t xml:space="preserve">economies. </w:t>
      </w:r>
      <w:r w:rsidRPr="005D650B">
        <w:rPr>
          <w:rFonts w:ascii="Times New Roman" w:eastAsia="Times New Roman" w:hAnsi="Times New Roman" w:cs="Times New Roman"/>
          <w:i/>
          <w:iCs/>
          <w:sz w:val="24"/>
          <w:szCs w:val="24"/>
        </w:rPr>
        <w:t>International Journal of Sustainable Economics</w:t>
      </w:r>
      <w:r w:rsidRPr="005D650B">
        <w:rPr>
          <w:rFonts w:ascii="Times New Roman" w:eastAsia="Times New Roman" w:hAnsi="Times New Roman" w:cs="Times New Roman"/>
          <w:sz w:val="24"/>
          <w:szCs w:val="24"/>
        </w:rPr>
        <w:t>, 9(1), 22–39.</w:t>
      </w:r>
    </w:p>
    <w:p w:rsidR="00B62A03" w:rsidRPr="005D650B" w:rsidRDefault="00B62A03"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Ahuja, A., &amp; Myles, G. D. (2021a). Tax policy and economic growth: Recent evidence. </w:t>
      </w:r>
      <w:r w:rsidRPr="005D650B">
        <w:rPr>
          <w:rFonts w:ascii="Times New Roman" w:eastAsia="Times New Roman" w:hAnsi="Times New Roman" w:cs="Times New Roman"/>
          <w:i/>
          <w:iCs/>
          <w:sz w:val="24"/>
          <w:szCs w:val="24"/>
        </w:rPr>
        <w:t xml:space="preserve">Fiscal </w:t>
      </w:r>
      <w:r w:rsidRPr="005D650B">
        <w:rPr>
          <w:rFonts w:ascii="Times New Roman" w:eastAsia="Times New Roman" w:hAnsi="Times New Roman" w:cs="Times New Roman"/>
          <w:i/>
          <w:iCs/>
          <w:sz w:val="24"/>
          <w:szCs w:val="24"/>
        </w:rPr>
        <w:tab/>
        <w:t>Studies, 42</w:t>
      </w:r>
      <w:r w:rsidRPr="005D650B">
        <w:rPr>
          <w:rFonts w:ascii="Times New Roman" w:eastAsia="Times New Roman" w:hAnsi="Times New Roman" w:cs="Times New Roman"/>
          <w:sz w:val="24"/>
          <w:szCs w:val="24"/>
        </w:rPr>
        <w:t>(2)</w:t>
      </w:r>
      <w:proofErr w:type="gramStart"/>
      <w:r w:rsidRPr="005D650B">
        <w:rPr>
          <w:rFonts w:ascii="Times New Roman" w:eastAsia="Times New Roman" w:hAnsi="Times New Roman" w:cs="Times New Roman"/>
          <w:sz w:val="24"/>
          <w:szCs w:val="24"/>
        </w:rPr>
        <w:t>,189</w:t>
      </w:r>
      <w:proofErr w:type="gramEnd"/>
      <w:r w:rsidRPr="005D650B">
        <w:rPr>
          <w:rFonts w:ascii="Times New Roman" w:eastAsia="Times New Roman" w:hAnsi="Times New Roman" w:cs="Times New Roman"/>
          <w:sz w:val="24"/>
          <w:szCs w:val="24"/>
        </w:rPr>
        <w:t>–210.</w:t>
      </w:r>
    </w:p>
    <w:p w:rsidR="00B62A03" w:rsidRPr="005D650B" w:rsidRDefault="00B62A03"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Ahuja, A., &amp; Myles, G. D. (2021b). Tax policy, institutional quality and fiscal coordination. </w:t>
      </w:r>
      <w:r w:rsidRPr="005D650B">
        <w:rPr>
          <w:rFonts w:ascii="Times New Roman" w:eastAsia="Times New Roman" w:hAnsi="Times New Roman" w:cs="Times New Roman"/>
          <w:sz w:val="24"/>
          <w:szCs w:val="24"/>
        </w:rPr>
        <w:tab/>
      </w:r>
      <w:r w:rsidRPr="005D650B">
        <w:rPr>
          <w:rFonts w:ascii="Times New Roman" w:eastAsia="Times New Roman" w:hAnsi="Times New Roman" w:cs="Times New Roman"/>
          <w:i/>
          <w:iCs/>
          <w:sz w:val="24"/>
          <w:szCs w:val="24"/>
        </w:rPr>
        <w:t>Economic Policy Review</w:t>
      </w:r>
      <w:r w:rsidRPr="005D650B">
        <w:rPr>
          <w:rFonts w:ascii="Times New Roman" w:eastAsia="Times New Roman" w:hAnsi="Times New Roman" w:cs="Times New Roman"/>
          <w:sz w:val="24"/>
          <w:szCs w:val="24"/>
        </w:rPr>
        <w:t>, 36(4), 511–528.</w:t>
      </w:r>
    </w:p>
    <w:p w:rsidR="00B62A03" w:rsidRPr="005D650B" w:rsidRDefault="00B62A03"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Akanbi, O. A., &amp; Akinbobola, T. O. (2021). Government expenditure and development outcomes </w:t>
      </w:r>
      <w:r w:rsidRPr="005D650B">
        <w:rPr>
          <w:rFonts w:ascii="Times New Roman" w:eastAsia="Times New Roman" w:hAnsi="Times New Roman" w:cs="Times New Roman"/>
          <w:sz w:val="24"/>
          <w:szCs w:val="24"/>
        </w:rPr>
        <w:tab/>
        <w:t xml:space="preserve">in Nigeria. </w:t>
      </w:r>
      <w:r w:rsidRPr="005D650B">
        <w:rPr>
          <w:rFonts w:ascii="Times New Roman" w:eastAsia="Times New Roman" w:hAnsi="Times New Roman" w:cs="Times New Roman"/>
          <w:i/>
          <w:iCs/>
          <w:sz w:val="24"/>
          <w:szCs w:val="24"/>
        </w:rPr>
        <w:t>Public Finance Review, 49</w:t>
      </w:r>
      <w:r w:rsidRPr="005D650B">
        <w:rPr>
          <w:rFonts w:ascii="Times New Roman" w:eastAsia="Times New Roman" w:hAnsi="Times New Roman" w:cs="Times New Roman"/>
          <w:sz w:val="24"/>
          <w:szCs w:val="24"/>
        </w:rPr>
        <w:t>(4), 512–530.</w:t>
      </w:r>
    </w:p>
    <w:p w:rsidR="00B62A03" w:rsidRPr="005D650B" w:rsidRDefault="00B62A03"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Akinwale, Y. O., Olowookere, J. K., &amp; Adesina, O. A. (2023). Institutional tax reforms and </w:t>
      </w:r>
      <w:r w:rsidRPr="005D650B">
        <w:rPr>
          <w:rFonts w:ascii="Times New Roman" w:eastAsia="Times New Roman" w:hAnsi="Times New Roman" w:cs="Times New Roman"/>
          <w:sz w:val="24"/>
          <w:szCs w:val="24"/>
        </w:rPr>
        <w:tab/>
        <w:t xml:space="preserve">macroeconomic stability in Sub-Saharan Africa. </w:t>
      </w:r>
      <w:r w:rsidRPr="005D650B">
        <w:rPr>
          <w:rFonts w:ascii="Times New Roman" w:eastAsia="Times New Roman" w:hAnsi="Times New Roman" w:cs="Times New Roman"/>
          <w:i/>
          <w:iCs/>
          <w:sz w:val="24"/>
          <w:szCs w:val="24"/>
        </w:rPr>
        <w:t>Journal of African Finance</w:t>
      </w:r>
      <w:r w:rsidRPr="005D650B">
        <w:rPr>
          <w:rFonts w:ascii="Times New Roman" w:eastAsia="Times New Roman" w:hAnsi="Times New Roman" w:cs="Times New Roman"/>
          <w:sz w:val="24"/>
          <w:szCs w:val="24"/>
        </w:rPr>
        <w:t>, 11(2), 112–</w:t>
      </w:r>
      <w:r w:rsidRPr="005D650B">
        <w:rPr>
          <w:rFonts w:ascii="Times New Roman" w:eastAsia="Times New Roman" w:hAnsi="Times New Roman" w:cs="Times New Roman"/>
          <w:sz w:val="24"/>
          <w:szCs w:val="24"/>
        </w:rPr>
        <w:tab/>
        <w:t>130.</w:t>
      </w:r>
    </w:p>
    <w:p w:rsidR="00EF4744" w:rsidRPr="005D650B" w:rsidRDefault="00EF4744" w:rsidP="00EF4744">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 xml:space="preserve">Akinyomi, O. J., Afolabi, B. O., &amp; Adebisi, J. F. (2024). Domestic Revenue Mobilisation and </w:t>
      </w:r>
      <w:r w:rsidRPr="005D650B">
        <w:rPr>
          <w:rFonts w:ascii="Times New Roman" w:hAnsi="Times New Roman" w:cs="Times New Roman"/>
          <w:sz w:val="24"/>
          <w:szCs w:val="24"/>
        </w:rPr>
        <w:tab/>
        <w:t xml:space="preserve">Public Infrastructure Financing in Nigeria. </w:t>
      </w:r>
      <w:r w:rsidRPr="005D650B">
        <w:rPr>
          <w:rFonts w:ascii="Times New Roman" w:hAnsi="Times New Roman" w:cs="Times New Roman"/>
          <w:i/>
          <w:sz w:val="24"/>
          <w:szCs w:val="24"/>
        </w:rPr>
        <w:t>African Development Review</w:t>
      </w:r>
      <w:r w:rsidRPr="005D650B">
        <w:rPr>
          <w:rFonts w:ascii="Times New Roman" w:hAnsi="Times New Roman" w:cs="Times New Roman"/>
          <w:sz w:val="24"/>
          <w:szCs w:val="24"/>
        </w:rPr>
        <w:t>, 36(3), 412–428.</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Ali, M., &amp; Rehman, F. (2022). Fiscal policy efficiency and public expenditure outcomes in South </w:t>
      </w:r>
      <w:r w:rsidRPr="005D650B">
        <w:rPr>
          <w:rFonts w:ascii="Times New Roman" w:eastAsia="Times New Roman" w:hAnsi="Times New Roman" w:cs="Times New Roman"/>
          <w:sz w:val="24"/>
          <w:szCs w:val="24"/>
        </w:rPr>
        <w:tab/>
        <w:t xml:space="preserve">Asia. </w:t>
      </w:r>
      <w:r w:rsidRPr="005D650B">
        <w:rPr>
          <w:rFonts w:ascii="Times New Roman" w:eastAsia="Times New Roman" w:hAnsi="Times New Roman" w:cs="Times New Roman"/>
          <w:i/>
          <w:iCs/>
          <w:sz w:val="24"/>
          <w:szCs w:val="24"/>
        </w:rPr>
        <w:t>Asian Economic Policy Review</w:t>
      </w:r>
      <w:r w:rsidRPr="005D650B">
        <w:rPr>
          <w:rFonts w:ascii="Times New Roman" w:eastAsia="Times New Roman" w:hAnsi="Times New Roman" w:cs="Times New Roman"/>
          <w:sz w:val="24"/>
          <w:szCs w:val="24"/>
        </w:rPr>
        <w:t>, 17(3), 301–318.</w:t>
      </w:r>
    </w:p>
    <w:p w:rsidR="00EF4744" w:rsidRPr="005D650B" w:rsidRDefault="00EF4744" w:rsidP="00EF4744">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 xml:space="preserve">Ali, M., Fjeldstad, O. H., &amp; Sjursen, I. H. (2022). To pay or not to pay? Citizens' perceptions of </w:t>
      </w:r>
      <w:r w:rsidRPr="005D650B">
        <w:rPr>
          <w:rFonts w:ascii="Times New Roman" w:hAnsi="Times New Roman" w:cs="Times New Roman"/>
          <w:sz w:val="24"/>
          <w:szCs w:val="24"/>
        </w:rPr>
        <w:tab/>
        <w:t>taxation and public services in Africa. Journal of Development Studies, 58(9), 1756–1774.</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Alm, J., &amp; McClellan, C. (2020a). Tax compliance, administration, and economic outcomes. </w:t>
      </w:r>
      <w:r w:rsidRPr="005D650B">
        <w:rPr>
          <w:rFonts w:ascii="Times New Roman" w:eastAsia="Times New Roman" w:hAnsi="Times New Roman" w:cs="Times New Roman"/>
          <w:sz w:val="24"/>
          <w:szCs w:val="24"/>
        </w:rPr>
        <w:tab/>
      </w:r>
      <w:r w:rsidRPr="005D650B">
        <w:rPr>
          <w:rFonts w:ascii="Times New Roman" w:eastAsia="Times New Roman" w:hAnsi="Times New Roman" w:cs="Times New Roman"/>
          <w:i/>
          <w:iCs/>
          <w:sz w:val="24"/>
          <w:szCs w:val="24"/>
        </w:rPr>
        <w:t>Journal of Economic Behavior &amp; Organization</w:t>
      </w:r>
      <w:r w:rsidRPr="005D650B">
        <w:rPr>
          <w:rFonts w:ascii="Times New Roman" w:eastAsia="Times New Roman" w:hAnsi="Times New Roman" w:cs="Times New Roman"/>
          <w:sz w:val="24"/>
          <w:szCs w:val="24"/>
        </w:rPr>
        <w:t>, 179:456–472.</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Alm, J., &amp; McClellan, C. (2020b). Tax policy and compliance: Evidence from developing </w:t>
      </w:r>
      <w:r w:rsidRPr="005D650B">
        <w:rPr>
          <w:rFonts w:ascii="Times New Roman" w:eastAsia="Times New Roman" w:hAnsi="Times New Roman" w:cs="Times New Roman"/>
          <w:sz w:val="24"/>
          <w:szCs w:val="24"/>
        </w:rPr>
        <w:tab/>
        <w:t xml:space="preserve">economies. </w:t>
      </w:r>
      <w:r w:rsidRPr="005D650B">
        <w:rPr>
          <w:rFonts w:ascii="Times New Roman" w:eastAsia="Times New Roman" w:hAnsi="Times New Roman" w:cs="Times New Roman"/>
          <w:i/>
          <w:iCs/>
          <w:sz w:val="24"/>
          <w:szCs w:val="24"/>
        </w:rPr>
        <w:t>International Tax and Public Finance, 27</w:t>
      </w:r>
      <w:r w:rsidRPr="005D650B">
        <w:rPr>
          <w:rFonts w:ascii="Times New Roman" w:eastAsia="Times New Roman" w:hAnsi="Times New Roman" w:cs="Times New Roman"/>
          <w:sz w:val="24"/>
          <w:szCs w:val="24"/>
        </w:rPr>
        <w:t>(5), 1123–1148.</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Aregbeyen, O., &amp; Fasanya, I. O. (2021). Tax revenue and economic performance in Nigeria. </w:t>
      </w:r>
      <w:r w:rsidRPr="005D650B">
        <w:rPr>
          <w:rFonts w:ascii="Times New Roman" w:eastAsia="Times New Roman" w:hAnsi="Times New Roman" w:cs="Times New Roman"/>
          <w:sz w:val="24"/>
          <w:szCs w:val="24"/>
        </w:rPr>
        <w:tab/>
      </w:r>
      <w:r w:rsidRPr="005D650B">
        <w:rPr>
          <w:rFonts w:ascii="Times New Roman" w:eastAsia="Times New Roman" w:hAnsi="Times New Roman" w:cs="Times New Roman"/>
          <w:i/>
          <w:iCs/>
          <w:sz w:val="24"/>
          <w:szCs w:val="24"/>
        </w:rPr>
        <w:t>African Development Review, 33</w:t>
      </w:r>
      <w:r w:rsidRPr="005D650B">
        <w:rPr>
          <w:rFonts w:ascii="Times New Roman" w:eastAsia="Times New Roman" w:hAnsi="Times New Roman" w:cs="Times New Roman"/>
          <w:sz w:val="24"/>
          <w:szCs w:val="24"/>
        </w:rPr>
        <w:t>(2), 245–260.</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Aregbeyen, O., &amp; Fasanya, I. O. (2021). Tax revenue and public financial management </w:t>
      </w:r>
      <w:r w:rsidRPr="005D650B">
        <w:rPr>
          <w:rFonts w:ascii="Times New Roman" w:eastAsia="Times New Roman" w:hAnsi="Times New Roman" w:cs="Times New Roman"/>
          <w:sz w:val="24"/>
          <w:szCs w:val="24"/>
        </w:rPr>
        <w:tab/>
        <w:t xml:space="preserve">inefficiencies in developing countries. </w:t>
      </w:r>
      <w:r w:rsidRPr="005D650B">
        <w:rPr>
          <w:rFonts w:ascii="Times New Roman" w:eastAsia="Times New Roman" w:hAnsi="Times New Roman" w:cs="Times New Roman"/>
          <w:i/>
          <w:iCs/>
          <w:sz w:val="24"/>
          <w:szCs w:val="24"/>
        </w:rPr>
        <w:t>Economic Analysis and Policy</w:t>
      </w:r>
      <w:r w:rsidRPr="005D650B">
        <w:rPr>
          <w:rFonts w:ascii="Times New Roman" w:eastAsia="Times New Roman" w:hAnsi="Times New Roman" w:cs="Times New Roman"/>
          <w:sz w:val="24"/>
          <w:szCs w:val="24"/>
        </w:rPr>
        <w:t>, 70:125–140.</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Asez, T., &amp; Kalu, C. (2022). Tax revenue mobilisation and economic development in Nigeria. </w:t>
      </w:r>
      <w:r w:rsidRPr="005D650B">
        <w:rPr>
          <w:rFonts w:ascii="Times New Roman" w:eastAsia="Times New Roman" w:hAnsi="Times New Roman" w:cs="Times New Roman"/>
          <w:sz w:val="24"/>
          <w:szCs w:val="24"/>
        </w:rPr>
        <w:tab/>
      </w:r>
      <w:r w:rsidRPr="005D650B">
        <w:rPr>
          <w:rFonts w:ascii="Times New Roman" w:eastAsia="Times New Roman" w:hAnsi="Times New Roman" w:cs="Times New Roman"/>
          <w:i/>
          <w:iCs/>
          <w:sz w:val="24"/>
          <w:szCs w:val="24"/>
        </w:rPr>
        <w:t>Nigerian Journal of Economics</w:t>
      </w:r>
      <w:r w:rsidRPr="005D650B">
        <w:rPr>
          <w:rFonts w:ascii="Times New Roman" w:eastAsia="Times New Roman" w:hAnsi="Times New Roman" w:cs="Times New Roman"/>
          <w:sz w:val="24"/>
          <w:szCs w:val="24"/>
        </w:rPr>
        <w:t>, 19(1), 56–72.</w:t>
      </w:r>
    </w:p>
    <w:p w:rsidR="00EF4744" w:rsidRPr="005D650B" w:rsidRDefault="00EF4744" w:rsidP="00EF4744">
      <w:pPr>
        <w:spacing w:after="0" w:line="276" w:lineRule="auto"/>
        <w:jc w:val="both"/>
        <w:rPr>
          <w:rFonts w:ascii="Times New Roman" w:hAnsi="Times New Roman" w:cs="Times New Roman"/>
          <w:sz w:val="24"/>
          <w:szCs w:val="24"/>
        </w:rPr>
      </w:pPr>
      <w:r w:rsidRPr="005D650B">
        <w:rPr>
          <w:rFonts w:ascii="Times New Roman" w:hAnsi="Times New Roman" w:cs="Times New Roman"/>
          <w:sz w:val="24"/>
          <w:szCs w:val="24"/>
        </w:rPr>
        <w:t xml:space="preserve">Bah, M. (2024). Tax revenue mobilization and institutional quality in Sub-Saharan Africa: An </w:t>
      </w:r>
      <w:r w:rsidRPr="005D650B">
        <w:rPr>
          <w:rFonts w:ascii="Times New Roman" w:hAnsi="Times New Roman" w:cs="Times New Roman"/>
          <w:sz w:val="24"/>
          <w:szCs w:val="24"/>
        </w:rPr>
        <w:tab/>
        <w:t>empirical investigation. African Development Review, 36(2), 201–221.</w:t>
      </w:r>
    </w:p>
    <w:p w:rsidR="00EF4744" w:rsidRPr="005D650B" w:rsidRDefault="00EF4744" w:rsidP="00EF4744">
      <w:pPr>
        <w:spacing w:after="0" w:line="360"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bCs/>
          <w:sz w:val="24"/>
          <w:szCs w:val="24"/>
        </w:rPr>
        <w:t>Bah, M. (2024).</w:t>
      </w:r>
      <w:r w:rsidRPr="005D650B">
        <w:rPr>
          <w:rFonts w:ascii="Times New Roman" w:eastAsia="Times New Roman" w:hAnsi="Times New Roman" w:cs="Times New Roman"/>
          <w:sz w:val="24"/>
          <w:szCs w:val="24"/>
        </w:rPr>
        <w:t xml:space="preserve"> Tax revenue mobilization and institutional quality in Sub-Saharan Africa: An </w:t>
      </w:r>
      <w:r w:rsidRPr="005D650B">
        <w:rPr>
          <w:rFonts w:ascii="Times New Roman" w:eastAsia="Times New Roman" w:hAnsi="Times New Roman" w:cs="Times New Roman"/>
          <w:sz w:val="24"/>
          <w:szCs w:val="24"/>
        </w:rPr>
        <w:tab/>
        <w:t xml:space="preserve">empirical investigation. </w:t>
      </w:r>
      <w:r w:rsidRPr="005D650B">
        <w:rPr>
          <w:rFonts w:ascii="Times New Roman" w:eastAsia="Times New Roman" w:hAnsi="Times New Roman" w:cs="Times New Roman"/>
          <w:i/>
          <w:iCs/>
          <w:sz w:val="24"/>
          <w:szCs w:val="24"/>
        </w:rPr>
        <w:t>African Development Review</w:t>
      </w:r>
      <w:r w:rsidRPr="005D650B">
        <w:rPr>
          <w:rFonts w:ascii="Times New Roman" w:eastAsia="Times New Roman" w:hAnsi="Times New Roman" w:cs="Times New Roman"/>
          <w:sz w:val="24"/>
          <w:szCs w:val="24"/>
        </w:rPr>
        <w:t xml:space="preserve">, </w:t>
      </w:r>
      <w:r w:rsidRPr="005D650B">
        <w:rPr>
          <w:rFonts w:ascii="Times New Roman" w:eastAsia="Times New Roman" w:hAnsi="Times New Roman" w:cs="Times New Roman"/>
          <w:bCs/>
          <w:sz w:val="24"/>
          <w:szCs w:val="24"/>
        </w:rPr>
        <w:t>36</w:t>
      </w:r>
      <w:r w:rsidRPr="005D650B">
        <w:rPr>
          <w:rFonts w:ascii="Times New Roman" w:eastAsia="Times New Roman" w:hAnsi="Times New Roman" w:cs="Times New Roman"/>
          <w:sz w:val="24"/>
          <w:szCs w:val="24"/>
        </w:rPr>
        <w:t xml:space="preserve">(2), 245–263. </w:t>
      </w:r>
    </w:p>
    <w:p w:rsidR="00EF4744" w:rsidRPr="005D650B" w:rsidRDefault="00EF4744" w:rsidP="00EF4744">
      <w:pPr>
        <w:spacing w:after="0" w:line="276" w:lineRule="auto"/>
        <w:jc w:val="both"/>
        <w:rPr>
          <w:rFonts w:ascii="Times New Roman" w:hAnsi="Times New Roman" w:cs="Times New Roman"/>
        </w:rPr>
      </w:pPr>
      <w:r w:rsidRPr="005D650B">
        <w:rPr>
          <w:rFonts w:ascii="Times New Roman" w:hAnsi="Times New Roman" w:cs="Times New Roman"/>
        </w:rPr>
        <w:t xml:space="preserve">Bantyergu, B. (2025). Institutional and Macroeconomic Determinants of Tax Revenue in Sub-Saharan </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lastRenderedPageBreak/>
        <w:t xml:space="preserve">Barro, R. J., &amp; Furman, J. (2022). Fiscal policy and macroeconomic stabilization. </w:t>
      </w:r>
      <w:r w:rsidRPr="005D650B">
        <w:rPr>
          <w:rFonts w:ascii="Times New Roman" w:eastAsia="Times New Roman" w:hAnsi="Times New Roman" w:cs="Times New Roman"/>
          <w:i/>
          <w:iCs/>
          <w:sz w:val="24"/>
          <w:szCs w:val="24"/>
        </w:rPr>
        <w:t xml:space="preserve">Brookings </w:t>
      </w:r>
      <w:r w:rsidRPr="005D650B">
        <w:rPr>
          <w:rFonts w:ascii="Times New Roman" w:eastAsia="Times New Roman" w:hAnsi="Times New Roman" w:cs="Times New Roman"/>
          <w:i/>
          <w:iCs/>
          <w:sz w:val="24"/>
          <w:szCs w:val="24"/>
        </w:rPr>
        <w:tab/>
        <w:t>Papers on Economic Activity</w:t>
      </w:r>
      <w:r w:rsidRPr="005D650B">
        <w:rPr>
          <w:rFonts w:ascii="Times New Roman" w:eastAsia="Times New Roman" w:hAnsi="Times New Roman" w:cs="Times New Roman"/>
          <w:sz w:val="24"/>
          <w:szCs w:val="24"/>
        </w:rPr>
        <w:t>, 53(1), 1–45.</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Barro, R. J., &amp; Furman, J. (2022). Public spending and economic growth revisited. </w:t>
      </w:r>
      <w:r w:rsidRPr="005D650B">
        <w:rPr>
          <w:rFonts w:ascii="Times New Roman" w:eastAsia="Times New Roman" w:hAnsi="Times New Roman" w:cs="Times New Roman"/>
          <w:i/>
          <w:iCs/>
          <w:sz w:val="24"/>
          <w:szCs w:val="24"/>
        </w:rPr>
        <w:t xml:space="preserve">Journal of </w:t>
      </w:r>
      <w:r w:rsidRPr="005D650B">
        <w:rPr>
          <w:rFonts w:ascii="Times New Roman" w:eastAsia="Times New Roman" w:hAnsi="Times New Roman" w:cs="Times New Roman"/>
          <w:i/>
          <w:iCs/>
          <w:sz w:val="24"/>
          <w:szCs w:val="24"/>
        </w:rPr>
        <w:tab/>
        <w:t>Political Economy, 130</w:t>
      </w:r>
      <w:r w:rsidRPr="005D650B">
        <w:rPr>
          <w:rFonts w:ascii="Times New Roman" w:eastAsia="Times New Roman" w:hAnsi="Times New Roman" w:cs="Times New Roman"/>
          <w:sz w:val="24"/>
          <w:szCs w:val="24"/>
        </w:rPr>
        <w:t>(3), 601–642.</w:t>
      </w:r>
    </w:p>
    <w:p w:rsidR="00EF4744" w:rsidRPr="005D650B" w:rsidRDefault="00EF4744" w:rsidP="00EF4744">
      <w:pPr>
        <w:spacing w:after="0" w:line="360" w:lineRule="auto"/>
        <w:jc w:val="both"/>
        <w:rPr>
          <w:rFonts w:ascii="Times New Roman" w:hAnsi="Times New Roman" w:cs="Times New Roman"/>
        </w:rPr>
      </w:pPr>
      <w:r w:rsidRPr="005D650B">
        <w:rPr>
          <w:rFonts w:ascii="Times New Roman" w:eastAsia="Times New Roman" w:hAnsi="Times New Roman" w:cs="Times New Roman"/>
          <w:bCs/>
          <w:sz w:val="24"/>
          <w:szCs w:val="24"/>
        </w:rPr>
        <w:t>Bati, B. (2025).</w:t>
      </w:r>
      <w:r w:rsidRPr="005D650B">
        <w:rPr>
          <w:rFonts w:ascii="Times New Roman" w:eastAsia="Times New Roman" w:hAnsi="Times New Roman" w:cs="Times New Roman"/>
          <w:sz w:val="24"/>
          <w:szCs w:val="24"/>
        </w:rPr>
        <w:t xml:space="preserve"> Institutional and macroeconomic determinants of tax revenue in Sub-Saharan </w:t>
      </w:r>
      <w:r w:rsidRPr="005D650B">
        <w:rPr>
          <w:rFonts w:ascii="Times New Roman" w:eastAsia="Times New Roman" w:hAnsi="Times New Roman" w:cs="Times New Roman"/>
          <w:sz w:val="24"/>
          <w:szCs w:val="24"/>
        </w:rPr>
        <w:tab/>
        <w:t xml:space="preserve">African countries. </w:t>
      </w:r>
      <w:r w:rsidRPr="005D650B">
        <w:rPr>
          <w:rFonts w:ascii="Times New Roman" w:eastAsia="Times New Roman" w:hAnsi="Times New Roman" w:cs="Times New Roman"/>
          <w:i/>
          <w:iCs/>
          <w:sz w:val="24"/>
          <w:szCs w:val="24"/>
        </w:rPr>
        <w:t>Future Business Journal</w:t>
      </w:r>
      <w:r w:rsidRPr="005D650B">
        <w:rPr>
          <w:rFonts w:ascii="Times New Roman" w:eastAsia="Times New Roman" w:hAnsi="Times New Roman" w:cs="Times New Roman"/>
          <w:sz w:val="24"/>
          <w:szCs w:val="24"/>
        </w:rPr>
        <w:t xml:space="preserve">, </w:t>
      </w:r>
      <w:r w:rsidRPr="005D650B">
        <w:rPr>
          <w:rFonts w:ascii="Times New Roman" w:eastAsia="Times New Roman" w:hAnsi="Times New Roman" w:cs="Times New Roman"/>
          <w:bCs/>
          <w:sz w:val="24"/>
          <w:szCs w:val="24"/>
        </w:rPr>
        <w:t>11</w:t>
      </w:r>
      <w:r w:rsidRPr="005D650B">
        <w:rPr>
          <w:rFonts w:ascii="Times New Roman" w:eastAsia="Times New Roman" w:hAnsi="Times New Roman" w:cs="Times New Roman"/>
          <w:sz w:val="24"/>
          <w:szCs w:val="24"/>
        </w:rPr>
        <w:t>(1), 1–22.</w:t>
      </w:r>
    </w:p>
    <w:p w:rsidR="00675DA7" w:rsidRPr="005D650B" w:rsidRDefault="00675DA7"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Bello, A. M., &amp; Adamu, S. (2023). Non-inclusive growth and sustainable development challenges </w:t>
      </w:r>
      <w:r w:rsidRPr="005D650B">
        <w:rPr>
          <w:rFonts w:ascii="Times New Roman" w:eastAsia="Times New Roman" w:hAnsi="Times New Roman" w:cs="Times New Roman"/>
          <w:sz w:val="24"/>
          <w:szCs w:val="24"/>
        </w:rPr>
        <w:tab/>
        <w:t xml:space="preserve">in Africa. </w:t>
      </w:r>
      <w:r w:rsidRPr="005D650B">
        <w:rPr>
          <w:rFonts w:ascii="Times New Roman" w:eastAsia="Times New Roman" w:hAnsi="Times New Roman" w:cs="Times New Roman"/>
          <w:i/>
          <w:iCs/>
          <w:sz w:val="24"/>
          <w:szCs w:val="24"/>
        </w:rPr>
        <w:t>Development Studies Review</w:t>
      </w:r>
      <w:r w:rsidRPr="005D650B">
        <w:rPr>
          <w:rFonts w:ascii="Times New Roman" w:eastAsia="Times New Roman" w:hAnsi="Times New Roman" w:cs="Times New Roman"/>
          <w:sz w:val="24"/>
          <w:szCs w:val="24"/>
        </w:rPr>
        <w:t>, 28(2), 77–94.</w:t>
      </w:r>
    </w:p>
    <w:p w:rsidR="00675DA7" w:rsidRPr="005D650B" w:rsidRDefault="00675DA7"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Bello, A. M., &amp; Ajibola, T. O. (2024). Fiscal reforms and institutional capacity in Sub-Saharan </w:t>
      </w:r>
      <w:r w:rsidRPr="005D650B">
        <w:rPr>
          <w:rFonts w:ascii="Times New Roman" w:eastAsia="Times New Roman" w:hAnsi="Times New Roman" w:cs="Times New Roman"/>
          <w:sz w:val="24"/>
          <w:szCs w:val="24"/>
        </w:rPr>
        <w:tab/>
        <w:t xml:space="preserve">Africa. </w:t>
      </w:r>
      <w:r w:rsidRPr="005D650B">
        <w:rPr>
          <w:rFonts w:ascii="Times New Roman" w:eastAsia="Times New Roman" w:hAnsi="Times New Roman" w:cs="Times New Roman"/>
          <w:i/>
          <w:iCs/>
          <w:sz w:val="24"/>
          <w:szCs w:val="24"/>
        </w:rPr>
        <w:t>African Journal of Economic Policy</w:t>
      </w:r>
      <w:r w:rsidRPr="005D650B">
        <w:rPr>
          <w:rFonts w:ascii="Times New Roman" w:eastAsia="Times New Roman" w:hAnsi="Times New Roman" w:cs="Times New Roman"/>
          <w:sz w:val="24"/>
          <w:szCs w:val="24"/>
        </w:rPr>
        <w:t>, 21(1), 33–52.</w:t>
      </w:r>
    </w:p>
    <w:p w:rsidR="00675DA7" w:rsidRPr="005D650B" w:rsidRDefault="00675DA7"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Bello, M., &amp; Abimbola, O. (2023). Tax-to-GDP ratio and economic development in Sub-Saharan </w:t>
      </w:r>
      <w:r w:rsidRPr="005D650B">
        <w:rPr>
          <w:rFonts w:ascii="Times New Roman" w:eastAsia="Times New Roman" w:hAnsi="Times New Roman" w:cs="Times New Roman"/>
          <w:sz w:val="24"/>
          <w:szCs w:val="24"/>
        </w:rPr>
        <w:tab/>
        <w:t xml:space="preserve">Africa. </w:t>
      </w:r>
      <w:r w:rsidRPr="005D650B">
        <w:rPr>
          <w:rFonts w:ascii="Times New Roman" w:eastAsia="Times New Roman" w:hAnsi="Times New Roman" w:cs="Times New Roman"/>
          <w:i/>
          <w:iCs/>
          <w:sz w:val="24"/>
          <w:szCs w:val="24"/>
        </w:rPr>
        <w:t>Economic Modelling, 118</w:t>
      </w:r>
      <w:r w:rsidRPr="005D650B">
        <w:rPr>
          <w:rFonts w:ascii="Times New Roman" w:eastAsia="Times New Roman" w:hAnsi="Times New Roman" w:cs="Times New Roman"/>
          <w:sz w:val="24"/>
          <w:szCs w:val="24"/>
        </w:rPr>
        <w:t>:105-786.</w:t>
      </w:r>
    </w:p>
    <w:p w:rsidR="00675DA7" w:rsidRPr="005D650B" w:rsidRDefault="00675DA7" w:rsidP="00C95848">
      <w:pPr>
        <w:jc w:val="both"/>
        <w:rPr>
          <w:rFonts w:ascii="Times New Roman" w:hAnsi="Times New Roman" w:cs="Times New Roman"/>
          <w:sz w:val="24"/>
          <w:szCs w:val="24"/>
        </w:rPr>
      </w:pPr>
      <w:r w:rsidRPr="005D650B">
        <w:rPr>
          <w:rFonts w:ascii="Times New Roman" w:hAnsi="Times New Roman" w:cs="Times New Roman"/>
          <w:sz w:val="24"/>
          <w:szCs w:val="24"/>
        </w:rPr>
        <w:t xml:space="preserve">Bello-Olatunji, O.M., Oderinu, K.H., Olaosebikan, O.I. &amp; Aladejana, S.A. (2025). Sustainable </w:t>
      </w:r>
      <w:r w:rsidRPr="005D650B">
        <w:rPr>
          <w:rFonts w:ascii="Times New Roman" w:hAnsi="Times New Roman" w:cs="Times New Roman"/>
          <w:sz w:val="24"/>
          <w:szCs w:val="24"/>
        </w:rPr>
        <w:tab/>
        <w:t xml:space="preserve">Financing for Nigeria’s Development: Empowering Domestic Resource Mobilization for </w:t>
      </w:r>
      <w:r w:rsidRPr="005D650B">
        <w:rPr>
          <w:rFonts w:ascii="Times New Roman" w:hAnsi="Times New Roman" w:cs="Times New Roman"/>
          <w:sz w:val="24"/>
          <w:szCs w:val="24"/>
        </w:rPr>
        <w:tab/>
        <w:t xml:space="preserve">Sustainable Growth. </w:t>
      </w:r>
      <w:r w:rsidRPr="005D650B">
        <w:rPr>
          <w:rFonts w:ascii="Times New Roman" w:hAnsi="Times New Roman" w:cs="Times New Roman"/>
          <w:i/>
          <w:sz w:val="24"/>
          <w:szCs w:val="24"/>
        </w:rPr>
        <w:t>Gusau International Journal of Management and Social Sciences</w:t>
      </w:r>
      <w:r w:rsidRPr="005D650B">
        <w:rPr>
          <w:rFonts w:ascii="Times New Roman" w:hAnsi="Times New Roman" w:cs="Times New Roman"/>
          <w:sz w:val="24"/>
          <w:szCs w:val="24"/>
        </w:rPr>
        <w:t xml:space="preserve">, </w:t>
      </w:r>
      <w:r w:rsidRPr="005D650B">
        <w:rPr>
          <w:rFonts w:ascii="Times New Roman" w:hAnsi="Times New Roman" w:cs="Times New Roman"/>
          <w:sz w:val="24"/>
          <w:szCs w:val="24"/>
        </w:rPr>
        <w:tab/>
        <w:t>8(1), 92-111. DOI: </w:t>
      </w:r>
      <w:hyperlink r:id="rId31" w:history="1">
        <w:r w:rsidRPr="005D650B">
          <w:rPr>
            <w:rStyle w:val="Hyperlink"/>
            <w:rFonts w:ascii="Times New Roman" w:hAnsi="Times New Roman" w:cs="Times New Roman"/>
            <w:color w:val="auto"/>
            <w:sz w:val="24"/>
            <w:szCs w:val="24"/>
          </w:rPr>
          <w:t>https://doi.org/10.57233/gijmss.v8i1.6</w:t>
        </w:r>
      </w:hyperlink>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Brown, J., &amp; Taylor, L. (2021). Public expenditure efficiency and economic growth in developing </w:t>
      </w:r>
      <w:r w:rsidRPr="005D650B">
        <w:rPr>
          <w:rFonts w:ascii="Times New Roman" w:eastAsia="Times New Roman" w:hAnsi="Times New Roman" w:cs="Times New Roman"/>
          <w:sz w:val="24"/>
          <w:szCs w:val="24"/>
        </w:rPr>
        <w:tab/>
        <w:t xml:space="preserve">economies. </w:t>
      </w:r>
      <w:r w:rsidRPr="005D650B">
        <w:rPr>
          <w:rFonts w:ascii="Times New Roman" w:eastAsia="Times New Roman" w:hAnsi="Times New Roman" w:cs="Times New Roman"/>
          <w:i/>
          <w:iCs/>
          <w:sz w:val="24"/>
          <w:szCs w:val="24"/>
        </w:rPr>
        <w:t>World Development Perspectives</w:t>
      </w:r>
      <w:r w:rsidRPr="005D650B">
        <w:rPr>
          <w:rFonts w:ascii="Times New Roman" w:eastAsia="Times New Roman" w:hAnsi="Times New Roman" w:cs="Times New Roman"/>
          <w:sz w:val="24"/>
          <w:szCs w:val="24"/>
        </w:rPr>
        <w:t>, 23:100-354.</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Chukwu, E. C., Okoye, L. U., &amp; Nwafor, J. N. (2024). Fiscal revenue and governance quality in </w:t>
      </w:r>
      <w:r w:rsidRPr="005D650B">
        <w:rPr>
          <w:rFonts w:ascii="Times New Roman" w:eastAsia="Times New Roman" w:hAnsi="Times New Roman" w:cs="Times New Roman"/>
          <w:sz w:val="24"/>
          <w:szCs w:val="24"/>
        </w:rPr>
        <w:tab/>
        <w:t xml:space="preserve">emerging markets. </w:t>
      </w:r>
      <w:r w:rsidRPr="005D650B">
        <w:rPr>
          <w:rFonts w:ascii="Times New Roman" w:eastAsia="Times New Roman" w:hAnsi="Times New Roman" w:cs="Times New Roman"/>
          <w:i/>
          <w:iCs/>
          <w:sz w:val="24"/>
          <w:szCs w:val="24"/>
        </w:rPr>
        <w:t>Journal of Economic Policy Reform</w:t>
      </w:r>
      <w:r w:rsidRPr="005D650B">
        <w:rPr>
          <w:rFonts w:ascii="Times New Roman" w:eastAsia="Times New Roman" w:hAnsi="Times New Roman" w:cs="Times New Roman"/>
          <w:sz w:val="24"/>
          <w:szCs w:val="24"/>
        </w:rPr>
        <w:t>, 27(1), 60–78.</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Dlamini, T., &amp; Nkosi, M. (2023). Growth without development: Structural challenges in African </w:t>
      </w:r>
      <w:r w:rsidRPr="005D650B">
        <w:rPr>
          <w:rFonts w:ascii="Times New Roman" w:eastAsia="Times New Roman" w:hAnsi="Times New Roman" w:cs="Times New Roman"/>
          <w:sz w:val="24"/>
          <w:szCs w:val="24"/>
        </w:rPr>
        <w:tab/>
        <w:t xml:space="preserve">economies. </w:t>
      </w:r>
      <w:r w:rsidRPr="005D650B">
        <w:rPr>
          <w:rFonts w:ascii="Times New Roman" w:eastAsia="Times New Roman" w:hAnsi="Times New Roman" w:cs="Times New Roman"/>
          <w:i/>
          <w:iCs/>
          <w:sz w:val="24"/>
          <w:szCs w:val="24"/>
        </w:rPr>
        <w:t>African Journal of Economic Studies</w:t>
      </w:r>
      <w:r w:rsidRPr="005D650B">
        <w:rPr>
          <w:rFonts w:ascii="Times New Roman" w:eastAsia="Times New Roman" w:hAnsi="Times New Roman" w:cs="Times New Roman"/>
          <w:sz w:val="24"/>
          <w:szCs w:val="24"/>
        </w:rPr>
        <w:t>, 16(3), 201–219.</w:t>
      </w:r>
    </w:p>
    <w:p w:rsidR="00EF4744" w:rsidRPr="005D650B" w:rsidRDefault="00EF4744" w:rsidP="00EF4744">
      <w:pPr>
        <w:spacing w:after="0" w:line="276" w:lineRule="auto"/>
        <w:jc w:val="both"/>
        <w:rPr>
          <w:rFonts w:ascii="Times New Roman" w:hAnsi="Times New Roman" w:cs="Times New Roman"/>
          <w:sz w:val="24"/>
          <w:szCs w:val="24"/>
        </w:rPr>
      </w:pPr>
      <w:r w:rsidRPr="005D650B">
        <w:rPr>
          <w:rFonts w:ascii="Times New Roman" w:hAnsi="Times New Roman" w:cs="Times New Roman"/>
          <w:sz w:val="24"/>
          <w:szCs w:val="24"/>
        </w:rPr>
        <w:t xml:space="preserve">Edo, S., &amp; Oigiangbe, O. B. (2024). </w:t>
      </w:r>
      <w:r w:rsidRPr="005D650B">
        <w:rPr>
          <w:rStyle w:val="Emphasis"/>
          <w:rFonts w:ascii="Times New Roman" w:hAnsi="Times New Roman" w:cs="Times New Roman"/>
          <w:sz w:val="24"/>
          <w:szCs w:val="24"/>
        </w:rPr>
        <w:t xml:space="preserve">External Debt Vulnerability in Developing Countries: The </w:t>
      </w:r>
      <w:r w:rsidRPr="005D650B">
        <w:rPr>
          <w:rStyle w:val="Emphasis"/>
          <w:rFonts w:ascii="Times New Roman" w:hAnsi="Times New Roman" w:cs="Times New Roman"/>
          <w:sz w:val="24"/>
          <w:szCs w:val="24"/>
        </w:rPr>
        <w:tab/>
        <w:t>Economic and Policy Perspectives</w:t>
      </w:r>
      <w:r w:rsidRPr="005D650B">
        <w:rPr>
          <w:rFonts w:ascii="Times New Roman" w:hAnsi="Times New Roman" w:cs="Times New Roman"/>
          <w:sz w:val="24"/>
          <w:szCs w:val="24"/>
        </w:rPr>
        <w:t xml:space="preserve">. </w:t>
      </w:r>
      <w:r w:rsidRPr="005D650B">
        <w:rPr>
          <w:rStyle w:val="Emphasis"/>
          <w:rFonts w:ascii="Times New Roman" w:hAnsi="Times New Roman" w:cs="Times New Roman"/>
          <w:sz w:val="24"/>
          <w:szCs w:val="24"/>
        </w:rPr>
        <w:t>Journal of Financial Economic Policy</w:t>
      </w:r>
      <w:r w:rsidRPr="005D650B">
        <w:rPr>
          <w:rFonts w:ascii="Times New Roman" w:hAnsi="Times New Roman" w:cs="Times New Roman"/>
          <w:sz w:val="24"/>
          <w:szCs w:val="24"/>
        </w:rPr>
        <w:t>, 16(4), 483–</w:t>
      </w:r>
      <w:r w:rsidRPr="005D650B">
        <w:rPr>
          <w:rFonts w:ascii="Times New Roman" w:hAnsi="Times New Roman" w:cs="Times New Roman"/>
          <w:sz w:val="24"/>
          <w:szCs w:val="24"/>
        </w:rPr>
        <w:tab/>
        <w:t>500.</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Eze, O. R., &amp; Okeke, C. N. (2022). Sectoral imbalances and inclusive growth in developing </w:t>
      </w:r>
      <w:r w:rsidRPr="005D650B">
        <w:rPr>
          <w:rFonts w:ascii="Times New Roman" w:eastAsia="Times New Roman" w:hAnsi="Times New Roman" w:cs="Times New Roman"/>
          <w:sz w:val="24"/>
          <w:szCs w:val="24"/>
        </w:rPr>
        <w:tab/>
        <w:t xml:space="preserve">countries. </w:t>
      </w:r>
      <w:r w:rsidRPr="005D650B">
        <w:rPr>
          <w:rFonts w:ascii="Times New Roman" w:eastAsia="Times New Roman" w:hAnsi="Times New Roman" w:cs="Times New Roman"/>
          <w:i/>
          <w:iCs/>
          <w:sz w:val="24"/>
          <w:szCs w:val="24"/>
        </w:rPr>
        <w:t>Journal of Development Economics</w:t>
      </w:r>
      <w:r w:rsidRPr="005D650B">
        <w:rPr>
          <w:rFonts w:ascii="Times New Roman" w:eastAsia="Times New Roman" w:hAnsi="Times New Roman" w:cs="Times New Roman"/>
          <w:sz w:val="24"/>
          <w:szCs w:val="24"/>
        </w:rPr>
        <w:t>, 41(2), 144–160.</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Fölster, S., &amp; Henrekson, M. (2021). Growth effects of government expenditure revisited. </w:t>
      </w:r>
      <w:r w:rsidRPr="005D650B">
        <w:rPr>
          <w:rFonts w:ascii="Times New Roman" w:eastAsia="Times New Roman" w:hAnsi="Times New Roman" w:cs="Times New Roman"/>
          <w:sz w:val="24"/>
          <w:szCs w:val="24"/>
        </w:rPr>
        <w:tab/>
      </w:r>
      <w:r w:rsidRPr="005D650B">
        <w:rPr>
          <w:rFonts w:ascii="Times New Roman" w:eastAsia="Times New Roman" w:hAnsi="Times New Roman" w:cs="Times New Roman"/>
          <w:i/>
          <w:iCs/>
          <w:sz w:val="24"/>
          <w:szCs w:val="24"/>
        </w:rPr>
        <w:t>European Economic Review, 134</w:t>
      </w:r>
      <w:r w:rsidRPr="005D650B">
        <w:rPr>
          <w:rFonts w:ascii="Times New Roman" w:eastAsia="Times New Roman" w:hAnsi="Times New Roman" w:cs="Times New Roman"/>
          <w:sz w:val="24"/>
          <w:szCs w:val="24"/>
        </w:rPr>
        <w:t>:103-696.</w:t>
      </w:r>
    </w:p>
    <w:p w:rsidR="00EF4744" w:rsidRPr="005D650B" w:rsidRDefault="00EF4744" w:rsidP="00EF4744">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 xml:space="preserve">Gaspar, J. &amp; Wingender, O. (2023). Fiscal Policy, Development Financing and the Sustainable </w:t>
      </w:r>
      <w:r w:rsidRPr="005D650B">
        <w:rPr>
          <w:rFonts w:ascii="Times New Roman" w:hAnsi="Times New Roman" w:cs="Times New Roman"/>
          <w:sz w:val="24"/>
          <w:szCs w:val="24"/>
        </w:rPr>
        <w:tab/>
        <w:t>Development Goals</w:t>
      </w:r>
      <w:r w:rsidRPr="005D650B">
        <w:rPr>
          <w:rFonts w:ascii="Times New Roman" w:hAnsi="Times New Roman" w:cs="Times New Roman"/>
          <w:i/>
          <w:sz w:val="24"/>
          <w:szCs w:val="24"/>
        </w:rPr>
        <w:t>. Journal of International Development</w:t>
      </w:r>
      <w:r w:rsidRPr="005D650B">
        <w:rPr>
          <w:rFonts w:ascii="Times New Roman" w:hAnsi="Times New Roman" w:cs="Times New Roman"/>
          <w:sz w:val="24"/>
          <w:szCs w:val="24"/>
        </w:rPr>
        <w:t>, 35(7), 1385–1408.</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Hassan, M., &amp; Musa, A. (2022). Public expenditure and governance efficiency in developing </w:t>
      </w:r>
      <w:r w:rsidRPr="005D650B">
        <w:rPr>
          <w:rFonts w:ascii="Times New Roman" w:eastAsia="Times New Roman" w:hAnsi="Times New Roman" w:cs="Times New Roman"/>
          <w:sz w:val="24"/>
          <w:szCs w:val="24"/>
        </w:rPr>
        <w:tab/>
        <w:t xml:space="preserve">countries. </w:t>
      </w:r>
      <w:r w:rsidRPr="005D650B">
        <w:rPr>
          <w:rFonts w:ascii="Times New Roman" w:eastAsia="Times New Roman" w:hAnsi="Times New Roman" w:cs="Times New Roman"/>
          <w:i/>
          <w:iCs/>
          <w:sz w:val="24"/>
          <w:szCs w:val="24"/>
        </w:rPr>
        <w:t>Public Finance Review</w:t>
      </w:r>
      <w:r w:rsidRPr="005D650B">
        <w:rPr>
          <w:rFonts w:ascii="Times New Roman" w:eastAsia="Times New Roman" w:hAnsi="Times New Roman" w:cs="Times New Roman"/>
          <w:sz w:val="24"/>
          <w:szCs w:val="24"/>
        </w:rPr>
        <w:t>, 50(4), 511–529.</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Ibrahim, S. A., &amp; Suleiman, R. (2023). Revenue mobilisation and institutional quality in Africa. </w:t>
      </w:r>
      <w:r w:rsidRPr="005D650B">
        <w:rPr>
          <w:rFonts w:ascii="Times New Roman" w:eastAsia="Times New Roman" w:hAnsi="Times New Roman" w:cs="Times New Roman"/>
          <w:sz w:val="24"/>
          <w:szCs w:val="24"/>
        </w:rPr>
        <w:tab/>
      </w:r>
      <w:r w:rsidRPr="005D650B">
        <w:rPr>
          <w:rFonts w:ascii="Times New Roman" w:eastAsia="Times New Roman" w:hAnsi="Times New Roman" w:cs="Times New Roman"/>
          <w:i/>
          <w:iCs/>
          <w:sz w:val="24"/>
          <w:szCs w:val="24"/>
        </w:rPr>
        <w:t>African Economic Research Consortium Journal</w:t>
      </w:r>
      <w:r w:rsidRPr="005D650B">
        <w:rPr>
          <w:rFonts w:ascii="Times New Roman" w:eastAsia="Times New Roman" w:hAnsi="Times New Roman" w:cs="Times New Roman"/>
          <w:sz w:val="24"/>
          <w:szCs w:val="24"/>
        </w:rPr>
        <w:t>, 12(1), 33–52.</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Khan, A., &amp; Ali, S. (2024). Fiscal capacity and sustainable development in emerging economies. </w:t>
      </w:r>
      <w:r w:rsidRPr="005D650B">
        <w:rPr>
          <w:rFonts w:ascii="Times New Roman" w:eastAsia="Times New Roman" w:hAnsi="Times New Roman" w:cs="Times New Roman"/>
          <w:sz w:val="24"/>
          <w:szCs w:val="24"/>
        </w:rPr>
        <w:tab/>
      </w:r>
      <w:r w:rsidRPr="005D650B">
        <w:rPr>
          <w:rFonts w:ascii="Times New Roman" w:eastAsia="Times New Roman" w:hAnsi="Times New Roman" w:cs="Times New Roman"/>
          <w:i/>
          <w:iCs/>
          <w:sz w:val="24"/>
          <w:szCs w:val="24"/>
        </w:rPr>
        <w:t>Journal of Economic Integration</w:t>
      </w:r>
      <w:r w:rsidRPr="005D650B">
        <w:rPr>
          <w:rFonts w:ascii="Times New Roman" w:eastAsia="Times New Roman" w:hAnsi="Times New Roman" w:cs="Times New Roman"/>
          <w:sz w:val="24"/>
          <w:szCs w:val="24"/>
        </w:rPr>
        <w:t>, 39(1), 90–108.</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Kumar, R., &amp; Patel, V. (2022). Economic growth and welfare outcomes in South Asia. </w:t>
      </w:r>
      <w:r w:rsidRPr="005D650B">
        <w:rPr>
          <w:rFonts w:ascii="Times New Roman" w:eastAsia="Times New Roman" w:hAnsi="Times New Roman" w:cs="Times New Roman"/>
          <w:i/>
          <w:iCs/>
          <w:sz w:val="24"/>
          <w:szCs w:val="24"/>
        </w:rPr>
        <w:t xml:space="preserve">Journal of </w:t>
      </w:r>
      <w:r w:rsidRPr="005D650B">
        <w:rPr>
          <w:rFonts w:ascii="Times New Roman" w:eastAsia="Times New Roman" w:hAnsi="Times New Roman" w:cs="Times New Roman"/>
          <w:i/>
          <w:iCs/>
          <w:sz w:val="24"/>
          <w:szCs w:val="24"/>
        </w:rPr>
        <w:tab/>
        <w:t>Asian Economics</w:t>
      </w:r>
      <w:r w:rsidRPr="005D650B">
        <w:rPr>
          <w:rFonts w:ascii="Times New Roman" w:eastAsia="Times New Roman" w:hAnsi="Times New Roman" w:cs="Times New Roman"/>
          <w:sz w:val="24"/>
          <w:szCs w:val="24"/>
        </w:rPr>
        <w:t>, 80:101-423.</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lastRenderedPageBreak/>
        <w:t xml:space="preserve">Lopez, M., &amp; Garcia, J. (2021). Inflation and macroeconomic stability in Latin America. </w:t>
      </w:r>
      <w:r w:rsidRPr="005D650B">
        <w:rPr>
          <w:rFonts w:ascii="Times New Roman" w:eastAsia="Times New Roman" w:hAnsi="Times New Roman" w:cs="Times New Roman"/>
          <w:i/>
          <w:iCs/>
          <w:sz w:val="24"/>
          <w:szCs w:val="24"/>
        </w:rPr>
        <w:t xml:space="preserve">Latin </w:t>
      </w:r>
      <w:r w:rsidRPr="005D650B">
        <w:rPr>
          <w:rFonts w:ascii="Times New Roman" w:eastAsia="Times New Roman" w:hAnsi="Times New Roman" w:cs="Times New Roman"/>
          <w:i/>
          <w:iCs/>
          <w:sz w:val="24"/>
          <w:szCs w:val="24"/>
        </w:rPr>
        <w:tab/>
        <w:t>American Economic Review</w:t>
      </w:r>
      <w:r w:rsidRPr="005D650B">
        <w:rPr>
          <w:rFonts w:ascii="Times New Roman" w:eastAsia="Times New Roman" w:hAnsi="Times New Roman" w:cs="Times New Roman"/>
          <w:sz w:val="24"/>
          <w:szCs w:val="24"/>
        </w:rPr>
        <w:t>, 30(2), 45–62.</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Mensah, J. T. (2022). Inflation dynamics and economic development in Ghana. </w:t>
      </w:r>
      <w:r w:rsidRPr="005D650B">
        <w:rPr>
          <w:rFonts w:ascii="Times New Roman" w:eastAsia="Times New Roman" w:hAnsi="Times New Roman" w:cs="Times New Roman"/>
          <w:i/>
          <w:iCs/>
          <w:sz w:val="24"/>
          <w:szCs w:val="24"/>
        </w:rPr>
        <w:t xml:space="preserve">Ghana Economic </w:t>
      </w:r>
      <w:r w:rsidRPr="005D650B">
        <w:rPr>
          <w:rFonts w:ascii="Times New Roman" w:eastAsia="Times New Roman" w:hAnsi="Times New Roman" w:cs="Times New Roman"/>
          <w:i/>
          <w:iCs/>
          <w:sz w:val="24"/>
          <w:szCs w:val="24"/>
        </w:rPr>
        <w:tab/>
        <w:t>Review</w:t>
      </w:r>
      <w:r w:rsidRPr="005D650B">
        <w:rPr>
          <w:rFonts w:ascii="Times New Roman" w:eastAsia="Times New Roman" w:hAnsi="Times New Roman" w:cs="Times New Roman"/>
          <w:sz w:val="24"/>
          <w:szCs w:val="24"/>
        </w:rPr>
        <w:t>, 18(1), 15–33.</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Mensah, S. K., &amp; Boateng, E. (2023). Tax revenue inefficiencies and development gaps in Africa. </w:t>
      </w:r>
      <w:r w:rsidRPr="005D650B">
        <w:rPr>
          <w:rFonts w:ascii="Times New Roman" w:eastAsia="Times New Roman" w:hAnsi="Times New Roman" w:cs="Times New Roman"/>
          <w:sz w:val="24"/>
          <w:szCs w:val="24"/>
        </w:rPr>
        <w:tab/>
      </w:r>
      <w:r w:rsidRPr="005D650B">
        <w:rPr>
          <w:rFonts w:ascii="Times New Roman" w:eastAsia="Times New Roman" w:hAnsi="Times New Roman" w:cs="Times New Roman"/>
          <w:i/>
          <w:iCs/>
          <w:sz w:val="24"/>
          <w:szCs w:val="24"/>
        </w:rPr>
        <w:t>African Fiscal Studies</w:t>
      </w:r>
      <w:r w:rsidRPr="005D650B">
        <w:rPr>
          <w:rFonts w:ascii="Times New Roman" w:eastAsia="Times New Roman" w:hAnsi="Times New Roman" w:cs="Times New Roman"/>
          <w:sz w:val="24"/>
          <w:szCs w:val="24"/>
        </w:rPr>
        <w:t>, 10(2), 99–117.</w:t>
      </w:r>
    </w:p>
    <w:p w:rsidR="00EF4744" w:rsidRPr="005D650B" w:rsidRDefault="00EF4744" w:rsidP="00EF4744">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 xml:space="preserve">Moore, M., Prichard, W., &amp; Fjeldstad, O. H. (2023). Taxation, state legitimacy and fiscal exchange </w:t>
      </w:r>
      <w:r w:rsidRPr="005D650B">
        <w:rPr>
          <w:rFonts w:ascii="Times New Roman" w:hAnsi="Times New Roman" w:cs="Times New Roman"/>
          <w:sz w:val="24"/>
          <w:szCs w:val="24"/>
        </w:rPr>
        <w:tab/>
        <w:t>in Sub-Saharan Africa. ICTD Working Paper, 147, 1–38.</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Mwangi, P., &amp; Nyongesa, S. (2024). Tax reforms and macroeconomic stability in East Africa. </w:t>
      </w:r>
      <w:r w:rsidRPr="005D650B">
        <w:rPr>
          <w:rFonts w:ascii="Times New Roman" w:eastAsia="Times New Roman" w:hAnsi="Times New Roman" w:cs="Times New Roman"/>
          <w:i/>
          <w:iCs/>
          <w:sz w:val="24"/>
          <w:szCs w:val="24"/>
        </w:rPr>
        <w:t xml:space="preserve">East </w:t>
      </w:r>
      <w:r w:rsidRPr="005D650B">
        <w:rPr>
          <w:rFonts w:ascii="Times New Roman" w:eastAsia="Times New Roman" w:hAnsi="Times New Roman" w:cs="Times New Roman"/>
          <w:i/>
          <w:iCs/>
          <w:sz w:val="24"/>
          <w:szCs w:val="24"/>
        </w:rPr>
        <w:tab/>
        <w:t>African Economic Journal</w:t>
      </w:r>
      <w:r w:rsidRPr="005D650B">
        <w:rPr>
          <w:rFonts w:ascii="Times New Roman" w:eastAsia="Times New Roman" w:hAnsi="Times New Roman" w:cs="Times New Roman"/>
          <w:sz w:val="24"/>
          <w:szCs w:val="24"/>
        </w:rPr>
        <w:t>, 15(1), 70–88.</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Njoroge, P. K., &amp; Mwangi, S. (2023). Institutional constraints and fiscal policy interactions in East </w:t>
      </w:r>
      <w:r w:rsidRPr="005D650B">
        <w:rPr>
          <w:rFonts w:ascii="Times New Roman" w:eastAsia="Times New Roman" w:hAnsi="Times New Roman" w:cs="Times New Roman"/>
          <w:sz w:val="24"/>
          <w:szCs w:val="24"/>
        </w:rPr>
        <w:tab/>
        <w:t xml:space="preserve">Africa. </w:t>
      </w:r>
      <w:r w:rsidRPr="005D650B">
        <w:rPr>
          <w:rFonts w:ascii="Times New Roman" w:eastAsia="Times New Roman" w:hAnsi="Times New Roman" w:cs="Times New Roman"/>
          <w:i/>
          <w:iCs/>
          <w:sz w:val="24"/>
          <w:szCs w:val="24"/>
        </w:rPr>
        <w:t>East African Economic Review</w:t>
      </w:r>
      <w:r w:rsidRPr="005D650B">
        <w:rPr>
          <w:rFonts w:ascii="Times New Roman" w:eastAsia="Times New Roman" w:hAnsi="Times New Roman" w:cs="Times New Roman"/>
          <w:sz w:val="24"/>
          <w:szCs w:val="24"/>
        </w:rPr>
        <w:t>, 18(2), 85–103.</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Nwankwo, C., Uzochukwu, B., &amp; Eke, D. (2023). Public spending inefficiencies and development </w:t>
      </w:r>
      <w:r w:rsidRPr="005D650B">
        <w:rPr>
          <w:rFonts w:ascii="Times New Roman" w:eastAsia="Times New Roman" w:hAnsi="Times New Roman" w:cs="Times New Roman"/>
          <w:sz w:val="24"/>
          <w:szCs w:val="24"/>
        </w:rPr>
        <w:tab/>
        <w:t xml:space="preserve">outcomes in Nigeria. </w:t>
      </w:r>
      <w:r w:rsidRPr="005D650B">
        <w:rPr>
          <w:rFonts w:ascii="Times New Roman" w:eastAsia="Times New Roman" w:hAnsi="Times New Roman" w:cs="Times New Roman"/>
          <w:i/>
          <w:iCs/>
          <w:sz w:val="24"/>
          <w:szCs w:val="24"/>
        </w:rPr>
        <w:t>Nigerian Journal of Public Policy</w:t>
      </w:r>
      <w:r w:rsidRPr="005D650B">
        <w:rPr>
          <w:rFonts w:ascii="Times New Roman" w:eastAsia="Times New Roman" w:hAnsi="Times New Roman" w:cs="Times New Roman"/>
          <w:sz w:val="24"/>
          <w:szCs w:val="24"/>
        </w:rPr>
        <w:t>, 20(2), 101–118.</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Ofori, P., Mensah, K., &amp; Asante, B. (2023). Tax reform and fiscal efficiency in developing </w:t>
      </w:r>
      <w:r w:rsidRPr="005D650B">
        <w:rPr>
          <w:rFonts w:ascii="Times New Roman" w:eastAsia="Times New Roman" w:hAnsi="Times New Roman" w:cs="Times New Roman"/>
          <w:sz w:val="24"/>
          <w:szCs w:val="24"/>
        </w:rPr>
        <w:tab/>
        <w:t xml:space="preserve">economies. </w:t>
      </w:r>
      <w:r w:rsidRPr="005D650B">
        <w:rPr>
          <w:rFonts w:ascii="Times New Roman" w:eastAsia="Times New Roman" w:hAnsi="Times New Roman" w:cs="Times New Roman"/>
          <w:i/>
          <w:iCs/>
          <w:sz w:val="24"/>
          <w:szCs w:val="24"/>
        </w:rPr>
        <w:t>International Journal of Economics and Finance</w:t>
      </w:r>
      <w:r w:rsidRPr="005D650B">
        <w:rPr>
          <w:rFonts w:ascii="Times New Roman" w:eastAsia="Times New Roman" w:hAnsi="Times New Roman" w:cs="Times New Roman"/>
          <w:sz w:val="24"/>
          <w:szCs w:val="24"/>
        </w:rPr>
        <w:t>, 15(4), 120–138.</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Okafor, F. O., &amp; Eiya, O. (2022). Tax revenue and public sector efficiency in developing </w:t>
      </w:r>
      <w:r w:rsidRPr="005D650B">
        <w:rPr>
          <w:rFonts w:ascii="Times New Roman" w:eastAsia="Times New Roman" w:hAnsi="Times New Roman" w:cs="Times New Roman"/>
          <w:sz w:val="24"/>
          <w:szCs w:val="24"/>
        </w:rPr>
        <w:tab/>
        <w:t xml:space="preserve">economies. </w:t>
      </w:r>
      <w:r w:rsidRPr="005D650B">
        <w:rPr>
          <w:rFonts w:ascii="Times New Roman" w:eastAsia="Times New Roman" w:hAnsi="Times New Roman" w:cs="Times New Roman"/>
          <w:i/>
          <w:iCs/>
          <w:sz w:val="24"/>
          <w:szCs w:val="24"/>
        </w:rPr>
        <w:t>Journal of Public Economics, 215</w:t>
      </w:r>
      <w:r w:rsidRPr="005D650B">
        <w:rPr>
          <w:rFonts w:ascii="Times New Roman" w:eastAsia="Times New Roman" w:hAnsi="Times New Roman" w:cs="Times New Roman"/>
          <w:sz w:val="24"/>
          <w:szCs w:val="24"/>
        </w:rPr>
        <w:t>:104-769.</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Okoro, G. E., &amp; Nwosu, P. U. (2023). Institutional constraints and tax reform outcomes in </w:t>
      </w:r>
      <w:r w:rsidRPr="005D650B">
        <w:rPr>
          <w:rFonts w:ascii="Times New Roman" w:eastAsia="Times New Roman" w:hAnsi="Times New Roman" w:cs="Times New Roman"/>
          <w:sz w:val="24"/>
          <w:szCs w:val="24"/>
        </w:rPr>
        <w:tab/>
        <w:t xml:space="preserve">developing economies. </w:t>
      </w:r>
      <w:r w:rsidRPr="005D650B">
        <w:rPr>
          <w:rFonts w:ascii="Times New Roman" w:eastAsia="Times New Roman" w:hAnsi="Times New Roman" w:cs="Times New Roman"/>
          <w:i/>
          <w:iCs/>
          <w:sz w:val="24"/>
          <w:szCs w:val="24"/>
        </w:rPr>
        <w:t>Journal of Institutional Economics</w:t>
      </w:r>
      <w:r w:rsidRPr="005D650B">
        <w:rPr>
          <w:rFonts w:ascii="Times New Roman" w:eastAsia="Times New Roman" w:hAnsi="Times New Roman" w:cs="Times New Roman"/>
          <w:sz w:val="24"/>
          <w:szCs w:val="24"/>
        </w:rPr>
        <w:t>, 19(3), 250–268.</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Olabisi, A., &amp; Folorunso, B. A. (2022). Growth without development? Evidence from Sub-Saharan </w:t>
      </w:r>
      <w:r w:rsidRPr="005D650B">
        <w:rPr>
          <w:rFonts w:ascii="Times New Roman" w:eastAsia="Times New Roman" w:hAnsi="Times New Roman" w:cs="Times New Roman"/>
          <w:sz w:val="24"/>
          <w:szCs w:val="24"/>
        </w:rPr>
        <w:tab/>
        <w:t xml:space="preserve">Africa. </w:t>
      </w:r>
      <w:r w:rsidRPr="005D650B">
        <w:rPr>
          <w:rFonts w:ascii="Times New Roman" w:eastAsia="Times New Roman" w:hAnsi="Times New Roman" w:cs="Times New Roman"/>
          <w:i/>
          <w:iCs/>
          <w:sz w:val="24"/>
          <w:szCs w:val="24"/>
        </w:rPr>
        <w:t>World Development Perspectives, 27</w:t>
      </w:r>
      <w:r w:rsidRPr="005D650B">
        <w:rPr>
          <w:rFonts w:ascii="Times New Roman" w:eastAsia="Times New Roman" w:hAnsi="Times New Roman" w:cs="Times New Roman"/>
          <w:sz w:val="24"/>
          <w:szCs w:val="24"/>
        </w:rPr>
        <w:t>:100-438.</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Olaniyan, O., Adebayo, T., &amp; Fashola, A. (2022). Tax revenue and development outcomes in </w:t>
      </w:r>
      <w:r w:rsidRPr="005D650B">
        <w:rPr>
          <w:rFonts w:ascii="Times New Roman" w:eastAsia="Times New Roman" w:hAnsi="Times New Roman" w:cs="Times New Roman"/>
          <w:sz w:val="24"/>
          <w:szCs w:val="24"/>
        </w:rPr>
        <w:tab/>
        <w:t xml:space="preserve">Nigeria. </w:t>
      </w:r>
      <w:r w:rsidRPr="005D650B">
        <w:rPr>
          <w:rFonts w:ascii="Times New Roman" w:eastAsia="Times New Roman" w:hAnsi="Times New Roman" w:cs="Times New Roman"/>
          <w:i/>
          <w:iCs/>
          <w:sz w:val="24"/>
          <w:szCs w:val="24"/>
        </w:rPr>
        <w:t>West African Economic Review</w:t>
      </w:r>
      <w:r w:rsidRPr="005D650B">
        <w:rPr>
          <w:rFonts w:ascii="Times New Roman" w:eastAsia="Times New Roman" w:hAnsi="Times New Roman" w:cs="Times New Roman"/>
          <w:sz w:val="24"/>
          <w:szCs w:val="24"/>
        </w:rPr>
        <w:t>, 9(2), 66–84.</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Omodero, C. O. (2022). Tax reforms and economic development: Evidence from emerging </w:t>
      </w:r>
      <w:r w:rsidRPr="005D650B">
        <w:rPr>
          <w:rFonts w:ascii="Times New Roman" w:eastAsia="Times New Roman" w:hAnsi="Times New Roman" w:cs="Times New Roman"/>
          <w:sz w:val="24"/>
          <w:szCs w:val="24"/>
        </w:rPr>
        <w:tab/>
        <w:t xml:space="preserve">economies. </w:t>
      </w:r>
      <w:r w:rsidRPr="005D650B">
        <w:rPr>
          <w:rFonts w:ascii="Times New Roman" w:eastAsia="Times New Roman" w:hAnsi="Times New Roman" w:cs="Times New Roman"/>
          <w:i/>
          <w:iCs/>
          <w:sz w:val="24"/>
          <w:szCs w:val="24"/>
        </w:rPr>
        <w:t>International Journal of Economics and Financial Issues, 12</w:t>
      </w:r>
      <w:r w:rsidRPr="005D650B">
        <w:rPr>
          <w:rFonts w:ascii="Times New Roman" w:eastAsia="Times New Roman" w:hAnsi="Times New Roman" w:cs="Times New Roman"/>
          <w:sz w:val="24"/>
          <w:szCs w:val="24"/>
        </w:rPr>
        <w:t>(3), 45–56.</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Omodero, C. O., &amp; Aluko, O. A. (2022a). Government expenditure efficiency and development </w:t>
      </w:r>
      <w:r w:rsidRPr="005D650B">
        <w:rPr>
          <w:rFonts w:ascii="Times New Roman" w:eastAsia="Times New Roman" w:hAnsi="Times New Roman" w:cs="Times New Roman"/>
          <w:sz w:val="24"/>
          <w:szCs w:val="24"/>
        </w:rPr>
        <w:tab/>
        <w:t xml:space="preserve">outcomes. </w:t>
      </w:r>
      <w:r w:rsidRPr="005D650B">
        <w:rPr>
          <w:rFonts w:ascii="Times New Roman" w:eastAsia="Times New Roman" w:hAnsi="Times New Roman" w:cs="Times New Roman"/>
          <w:i/>
          <w:iCs/>
          <w:sz w:val="24"/>
          <w:szCs w:val="24"/>
        </w:rPr>
        <w:t>Heliyon, 8</w:t>
      </w:r>
      <w:r w:rsidRPr="005D650B">
        <w:rPr>
          <w:rFonts w:ascii="Times New Roman" w:eastAsia="Times New Roman" w:hAnsi="Times New Roman" w:cs="Times New Roman"/>
          <w:sz w:val="24"/>
          <w:szCs w:val="24"/>
        </w:rPr>
        <w:t>(9), e10756.</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Omodero, C. O., &amp; Aluko, O. A. (2022b). Tax reform dynamics and economic performance in </w:t>
      </w:r>
      <w:r w:rsidRPr="005D650B">
        <w:rPr>
          <w:rFonts w:ascii="Times New Roman" w:eastAsia="Times New Roman" w:hAnsi="Times New Roman" w:cs="Times New Roman"/>
          <w:sz w:val="24"/>
          <w:szCs w:val="24"/>
        </w:rPr>
        <w:tab/>
        <w:t xml:space="preserve">developing countries. </w:t>
      </w:r>
      <w:r w:rsidRPr="005D650B">
        <w:rPr>
          <w:rFonts w:ascii="Times New Roman" w:eastAsia="Times New Roman" w:hAnsi="Times New Roman" w:cs="Times New Roman"/>
          <w:i/>
          <w:iCs/>
          <w:sz w:val="24"/>
          <w:szCs w:val="24"/>
        </w:rPr>
        <w:t>International Journal of Economics and Finance</w:t>
      </w:r>
      <w:r w:rsidRPr="005D650B">
        <w:rPr>
          <w:rFonts w:ascii="Times New Roman" w:eastAsia="Times New Roman" w:hAnsi="Times New Roman" w:cs="Times New Roman"/>
          <w:sz w:val="24"/>
          <w:szCs w:val="24"/>
        </w:rPr>
        <w:t>, 14(3), 101–118.</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Onakoya, A. B., &amp; Afintinni, O. I. (2020). Tax policy reforms and economic growth in Nigeria. </w:t>
      </w:r>
      <w:r w:rsidRPr="005D650B">
        <w:rPr>
          <w:rFonts w:ascii="Times New Roman" w:eastAsia="Times New Roman" w:hAnsi="Times New Roman" w:cs="Times New Roman"/>
          <w:sz w:val="24"/>
          <w:szCs w:val="24"/>
        </w:rPr>
        <w:tab/>
      </w:r>
      <w:r w:rsidRPr="005D650B">
        <w:rPr>
          <w:rFonts w:ascii="Times New Roman" w:eastAsia="Times New Roman" w:hAnsi="Times New Roman" w:cs="Times New Roman"/>
          <w:i/>
          <w:iCs/>
          <w:sz w:val="24"/>
          <w:szCs w:val="24"/>
        </w:rPr>
        <w:t>Journal of Economics and Sustainable Development, 11</w:t>
      </w:r>
      <w:r w:rsidRPr="005D650B">
        <w:rPr>
          <w:rFonts w:ascii="Times New Roman" w:eastAsia="Times New Roman" w:hAnsi="Times New Roman" w:cs="Times New Roman"/>
          <w:sz w:val="24"/>
          <w:szCs w:val="24"/>
        </w:rPr>
        <w:t>(4), 78–90.</w:t>
      </w:r>
    </w:p>
    <w:p w:rsidR="00EF4744" w:rsidRPr="005D650B" w:rsidRDefault="00EF4744" w:rsidP="00EF4744">
      <w:pPr>
        <w:spacing w:after="0" w:line="360" w:lineRule="auto"/>
        <w:jc w:val="both"/>
        <w:rPr>
          <w:rFonts w:ascii="Times New Roman" w:hAnsi="Times New Roman" w:cs="Times New Roman"/>
          <w:sz w:val="24"/>
          <w:szCs w:val="24"/>
        </w:rPr>
      </w:pPr>
      <w:r w:rsidRPr="005D650B">
        <w:rPr>
          <w:rFonts w:ascii="Times New Roman" w:hAnsi="Times New Roman" w:cs="Times New Roman"/>
          <w:sz w:val="24"/>
          <w:szCs w:val="24"/>
        </w:rPr>
        <w:t xml:space="preserve">Ossai, T. C., &amp; Musa, G. K. (2025). Reducing fiscal reliance on oil: Comparing oil and non-oil </w:t>
      </w:r>
      <w:r w:rsidRPr="005D650B">
        <w:rPr>
          <w:rFonts w:ascii="Times New Roman" w:hAnsi="Times New Roman" w:cs="Times New Roman"/>
          <w:sz w:val="24"/>
          <w:szCs w:val="24"/>
        </w:rPr>
        <w:tab/>
        <w:t>contributions to federal revenue. FUDMA Journal of Sciences, 9(9), 1–17.</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Rodriguez, P., &amp; Smith, J. (2021). Fiscal institutions and revenue performance in Latin America. </w:t>
      </w:r>
      <w:r w:rsidRPr="005D650B">
        <w:rPr>
          <w:rFonts w:ascii="Times New Roman" w:eastAsia="Times New Roman" w:hAnsi="Times New Roman" w:cs="Times New Roman"/>
          <w:sz w:val="24"/>
          <w:szCs w:val="24"/>
        </w:rPr>
        <w:tab/>
      </w:r>
      <w:r w:rsidRPr="005D650B">
        <w:rPr>
          <w:rFonts w:ascii="Times New Roman" w:eastAsia="Times New Roman" w:hAnsi="Times New Roman" w:cs="Times New Roman"/>
          <w:i/>
          <w:iCs/>
          <w:sz w:val="24"/>
          <w:szCs w:val="24"/>
        </w:rPr>
        <w:t>Journal of Public Economics</w:t>
      </w:r>
      <w:r w:rsidRPr="005D650B">
        <w:rPr>
          <w:rFonts w:ascii="Times New Roman" w:eastAsia="Times New Roman" w:hAnsi="Times New Roman" w:cs="Times New Roman"/>
          <w:sz w:val="24"/>
          <w:szCs w:val="24"/>
        </w:rPr>
        <w:t>, 198:104-386.</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Salisu, A. A., Ndako, U. B., &amp; Oloko, T. F. (2021). Growth and welfare dynamics in developing </w:t>
      </w:r>
      <w:r w:rsidRPr="005D650B">
        <w:rPr>
          <w:rFonts w:ascii="Times New Roman" w:eastAsia="Times New Roman" w:hAnsi="Times New Roman" w:cs="Times New Roman"/>
          <w:sz w:val="24"/>
          <w:szCs w:val="24"/>
        </w:rPr>
        <w:tab/>
        <w:t xml:space="preserve">economies. </w:t>
      </w:r>
      <w:r w:rsidRPr="005D650B">
        <w:rPr>
          <w:rFonts w:ascii="Times New Roman" w:eastAsia="Times New Roman" w:hAnsi="Times New Roman" w:cs="Times New Roman"/>
          <w:i/>
          <w:iCs/>
          <w:sz w:val="24"/>
          <w:szCs w:val="24"/>
        </w:rPr>
        <w:t>Economic Analysis and Policy, 72</w:t>
      </w:r>
      <w:r w:rsidRPr="005D650B">
        <w:rPr>
          <w:rFonts w:ascii="Times New Roman" w:eastAsia="Times New Roman" w:hAnsi="Times New Roman" w:cs="Times New Roman"/>
          <w:sz w:val="24"/>
          <w:szCs w:val="24"/>
        </w:rPr>
        <w:t>:287–302.</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lastRenderedPageBreak/>
        <w:t xml:space="preserve">Sharma, R., &amp; Gupta, N. (2022). Tax policy reforms and economic growth: Evidence from </w:t>
      </w:r>
      <w:r w:rsidRPr="005D650B">
        <w:rPr>
          <w:rFonts w:ascii="Times New Roman" w:eastAsia="Times New Roman" w:hAnsi="Times New Roman" w:cs="Times New Roman"/>
          <w:sz w:val="24"/>
          <w:szCs w:val="24"/>
        </w:rPr>
        <w:tab/>
        <w:t xml:space="preserve">developing countries. </w:t>
      </w:r>
      <w:r w:rsidRPr="005D650B">
        <w:rPr>
          <w:rFonts w:ascii="Times New Roman" w:eastAsia="Times New Roman" w:hAnsi="Times New Roman" w:cs="Times New Roman"/>
          <w:i/>
          <w:iCs/>
          <w:sz w:val="24"/>
          <w:szCs w:val="24"/>
        </w:rPr>
        <w:t>Journal of Policy Modeling</w:t>
      </w:r>
      <w:r w:rsidRPr="005D650B">
        <w:rPr>
          <w:rFonts w:ascii="Times New Roman" w:eastAsia="Times New Roman" w:hAnsi="Times New Roman" w:cs="Times New Roman"/>
          <w:sz w:val="24"/>
          <w:szCs w:val="24"/>
        </w:rPr>
        <w:t>, 44(5), 987–1005.</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Singh, A., &amp; Verma, R. (2024). Government expenditure efficiency and development outcomes in </w:t>
      </w:r>
      <w:r w:rsidRPr="005D650B">
        <w:rPr>
          <w:rFonts w:ascii="Times New Roman" w:eastAsia="Times New Roman" w:hAnsi="Times New Roman" w:cs="Times New Roman"/>
          <w:sz w:val="24"/>
          <w:szCs w:val="24"/>
        </w:rPr>
        <w:tab/>
        <w:t xml:space="preserve">India. </w:t>
      </w:r>
      <w:r w:rsidRPr="005D650B">
        <w:rPr>
          <w:rFonts w:ascii="Times New Roman" w:eastAsia="Times New Roman" w:hAnsi="Times New Roman" w:cs="Times New Roman"/>
          <w:i/>
          <w:iCs/>
          <w:sz w:val="24"/>
          <w:szCs w:val="24"/>
        </w:rPr>
        <w:t>Indian Journal of Economics</w:t>
      </w:r>
      <w:r w:rsidRPr="005D650B">
        <w:rPr>
          <w:rFonts w:ascii="Times New Roman" w:eastAsia="Times New Roman" w:hAnsi="Times New Roman" w:cs="Times New Roman"/>
          <w:sz w:val="24"/>
          <w:szCs w:val="24"/>
        </w:rPr>
        <w:t>, 105(1), 55–73.</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Smith, J., &amp; Johnson, P. (2021). Growth and sustainable development nexus revisited. </w:t>
      </w:r>
      <w:r w:rsidRPr="005D650B">
        <w:rPr>
          <w:rFonts w:ascii="Times New Roman" w:eastAsia="Times New Roman" w:hAnsi="Times New Roman" w:cs="Times New Roman"/>
          <w:i/>
          <w:iCs/>
          <w:sz w:val="24"/>
          <w:szCs w:val="24"/>
        </w:rPr>
        <w:t xml:space="preserve">World </w:t>
      </w:r>
      <w:r w:rsidRPr="005D650B">
        <w:rPr>
          <w:rFonts w:ascii="Times New Roman" w:eastAsia="Times New Roman" w:hAnsi="Times New Roman" w:cs="Times New Roman"/>
          <w:i/>
          <w:iCs/>
          <w:sz w:val="24"/>
          <w:szCs w:val="24"/>
        </w:rPr>
        <w:tab/>
        <w:t>Development</w:t>
      </w:r>
      <w:r w:rsidRPr="005D650B">
        <w:rPr>
          <w:rFonts w:ascii="Times New Roman" w:eastAsia="Times New Roman" w:hAnsi="Times New Roman" w:cs="Times New Roman"/>
          <w:sz w:val="24"/>
          <w:szCs w:val="24"/>
        </w:rPr>
        <w:t>, 142:105-456.</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Umeh, C. A., Okafor, E., &amp; Nnaji, I. (2024). Inflation volatility and economic sustainability in </w:t>
      </w:r>
      <w:r w:rsidRPr="005D650B">
        <w:rPr>
          <w:rFonts w:ascii="Times New Roman" w:eastAsia="Times New Roman" w:hAnsi="Times New Roman" w:cs="Times New Roman"/>
          <w:sz w:val="24"/>
          <w:szCs w:val="24"/>
        </w:rPr>
        <w:tab/>
        <w:t xml:space="preserve">Sub-Saharan Africa. </w:t>
      </w:r>
      <w:r w:rsidRPr="005D650B">
        <w:rPr>
          <w:rFonts w:ascii="Times New Roman" w:eastAsia="Times New Roman" w:hAnsi="Times New Roman" w:cs="Times New Roman"/>
          <w:i/>
          <w:iCs/>
          <w:sz w:val="24"/>
          <w:szCs w:val="24"/>
        </w:rPr>
        <w:t>African Monetary Review</w:t>
      </w:r>
      <w:r w:rsidRPr="005D650B">
        <w:rPr>
          <w:rFonts w:ascii="Times New Roman" w:eastAsia="Times New Roman" w:hAnsi="Times New Roman" w:cs="Times New Roman"/>
          <w:sz w:val="24"/>
          <w:szCs w:val="24"/>
        </w:rPr>
        <w:t>, 13(1), 41–59.</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Wang, Y., &amp; Liu, Z. (2023). Economic growth, institutions, and sustainable development in China. </w:t>
      </w:r>
      <w:r w:rsidRPr="005D650B">
        <w:rPr>
          <w:rFonts w:ascii="Times New Roman" w:eastAsia="Times New Roman" w:hAnsi="Times New Roman" w:cs="Times New Roman"/>
          <w:sz w:val="24"/>
          <w:szCs w:val="24"/>
        </w:rPr>
        <w:tab/>
      </w:r>
      <w:r w:rsidRPr="005D650B">
        <w:rPr>
          <w:rFonts w:ascii="Times New Roman" w:eastAsia="Times New Roman" w:hAnsi="Times New Roman" w:cs="Times New Roman"/>
          <w:i/>
          <w:iCs/>
          <w:sz w:val="24"/>
          <w:szCs w:val="24"/>
        </w:rPr>
        <w:t>Journal of Asian Economic Integration</w:t>
      </w:r>
      <w:r w:rsidRPr="005D650B">
        <w:rPr>
          <w:rFonts w:ascii="Times New Roman" w:eastAsia="Times New Roman" w:hAnsi="Times New Roman" w:cs="Times New Roman"/>
          <w:sz w:val="24"/>
          <w:szCs w:val="24"/>
        </w:rPr>
        <w:t>, 17(2), 150–168.</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Yusuf, M., &amp; Bello, K. (2021). Tax reform and economic performance in developing countries. </w:t>
      </w:r>
      <w:r w:rsidRPr="005D650B">
        <w:rPr>
          <w:rFonts w:ascii="Times New Roman" w:eastAsia="Times New Roman" w:hAnsi="Times New Roman" w:cs="Times New Roman"/>
          <w:sz w:val="24"/>
          <w:szCs w:val="24"/>
        </w:rPr>
        <w:tab/>
      </w:r>
      <w:r w:rsidRPr="005D650B">
        <w:rPr>
          <w:rFonts w:ascii="Times New Roman" w:eastAsia="Times New Roman" w:hAnsi="Times New Roman" w:cs="Times New Roman"/>
          <w:i/>
          <w:iCs/>
          <w:sz w:val="24"/>
          <w:szCs w:val="24"/>
        </w:rPr>
        <w:t>Journal of Economic Development Studies</w:t>
      </w:r>
      <w:r w:rsidRPr="005D650B">
        <w:rPr>
          <w:rFonts w:ascii="Times New Roman" w:eastAsia="Times New Roman" w:hAnsi="Times New Roman" w:cs="Times New Roman"/>
          <w:sz w:val="24"/>
          <w:szCs w:val="24"/>
        </w:rPr>
        <w:t>, 12(3), 200–218.</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Zhang, H., &amp; Chen, L. (2023). Fiscal expansion and development efficiency in emerging </w:t>
      </w:r>
      <w:r w:rsidRPr="005D650B">
        <w:rPr>
          <w:rFonts w:ascii="Times New Roman" w:eastAsia="Times New Roman" w:hAnsi="Times New Roman" w:cs="Times New Roman"/>
          <w:sz w:val="24"/>
          <w:szCs w:val="24"/>
        </w:rPr>
        <w:tab/>
        <w:t xml:space="preserve">economies. </w:t>
      </w:r>
      <w:r w:rsidRPr="005D650B">
        <w:rPr>
          <w:rFonts w:ascii="Times New Roman" w:eastAsia="Times New Roman" w:hAnsi="Times New Roman" w:cs="Times New Roman"/>
          <w:i/>
          <w:iCs/>
          <w:sz w:val="24"/>
          <w:szCs w:val="24"/>
        </w:rPr>
        <w:t>International Review of Economics and Finance</w:t>
      </w:r>
      <w:r w:rsidRPr="005D650B">
        <w:rPr>
          <w:rFonts w:ascii="Times New Roman" w:eastAsia="Times New Roman" w:hAnsi="Times New Roman" w:cs="Times New Roman"/>
          <w:sz w:val="24"/>
          <w:szCs w:val="24"/>
        </w:rPr>
        <w:t>, 85:310–328.</w:t>
      </w:r>
    </w:p>
    <w:p w:rsidR="00EF4744" w:rsidRPr="005D650B" w:rsidRDefault="00EF4744" w:rsidP="00D06B5C">
      <w:pPr>
        <w:spacing w:after="0" w:line="276" w:lineRule="auto"/>
        <w:jc w:val="both"/>
        <w:rPr>
          <w:rFonts w:ascii="Times New Roman" w:eastAsia="Times New Roman" w:hAnsi="Times New Roman" w:cs="Times New Roman"/>
          <w:sz w:val="24"/>
          <w:szCs w:val="24"/>
        </w:rPr>
      </w:pPr>
      <w:r w:rsidRPr="005D650B">
        <w:rPr>
          <w:rFonts w:ascii="Times New Roman" w:eastAsia="Times New Roman" w:hAnsi="Times New Roman" w:cs="Times New Roman"/>
          <w:sz w:val="24"/>
          <w:szCs w:val="24"/>
        </w:rPr>
        <w:t xml:space="preserve">Zhang, Y., Li, X., &amp; Wang, J. (2022). Inflation and macroeconomic policy trade-offs in emerging </w:t>
      </w:r>
      <w:r w:rsidRPr="005D650B">
        <w:rPr>
          <w:rFonts w:ascii="Times New Roman" w:eastAsia="Times New Roman" w:hAnsi="Times New Roman" w:cs="Times New Roman"/>
          <w:sz w:val="24"/>
          <w:szCs w:val="24"/>
        </w:rPr>
        <w:tab/>
        <w:t xml:space="preserve">markets. </w:t>
      </w:r>
      <w:r w:rsidRPr="005D650B">
        <w:rPr>
          <w:rFonts w:ascii="Times New Roman" w:eastAsia="Times New Roman" w:hAnsi="Times New Roman" w:cs="Times New Roman"/>
          <w:i/>
          <w:iCs/>
          <w:sz w:val="24"/>
          <w:szCs w:val="24"/>
        </w:rPr>
        <w:t>Economic Modelling</w:t>
      </w:r>
      <w:r w:rsidRPr="005D650B">
        <w:rPr>
          <w:rFonts w:ascii="Times New Roman" w:eastAsia="Times New Roman" w:hAnsi="Times New Roman" w:cs="Times New Roman"/>
          <w:sz w:val="24"/>
          <w:szCs w:val="24"/>
        </w:rPr>
        <w:t>, 110:105-799.</w:t>
      </w:r>
    </w:p>
    <w:sectPr w:rsidR="00EF4744" w:rsidRPr="005D650B">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F74" w:rsidRDefault="00162F74" w:rsidP="002E2D4C">
      <w:pPr>
        <w:spacing w:after="0" w:line="240" w:lineRule="auto"/>
      </w:pPr>
      <w:r>
        <w:separator/>
      </w:r>
    </w:p>
  </w:endnote>
  <w:endnote w:type="continuationSeparator" w:id="0">
    <w:p w:rsidR="00162F74" w:rsidRDefault="00162F74" w:rsidP="002E2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9791426"/>
      <w:docPartObj>
        <w:docPartGallery w:val="Page Numbers (Bottom of Page)"/>
        <w:docPartUnique/>
      </w:docPartObj>
    </w:sdtPr>
    <w:sdtEndPr>
      <w:rPr>
        <w:noProof/>
      </w:rPr>
    </w:sdtEndPr>
    <w:sdtContent>
      <w:p w:rsidR="00FD642D" w:rsidRDefault="00FD642D">
        <w:pPr>
          <w:pStyle w:val="Footer"/>
          <w:jc w:val="right"/>
        </w:pPr>
        <w:r>
          <w:fldChar w:fldCharType="begin"/>
        </w:r>
        <w:r>
          <w:instrText xml:space="preserve"> PAGE   \* MERGEFORMAT </w:instrText>
        </w:r>
        <w:r>
          <w:fldChar w:fldCharType="separate"/>
        </w:r>
        <w:r w:rsidR="00150E04">
          <w:rPr>
            <w:noProof/>
          </w:rPr>
          <w:t>26</w:t>
        </w:r>
        <w:r>
          <w:rPr>
            <w:noProof/>
          </w:rPr>
          <w:fldChar w:fldCharType="end"/>
        </w:r>
      </w:p>
    </w:sdtContent>
  </w:sdt>
  <w:p w:rsidR="00FD642D" w:rsidRDefault="00FD6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F74" w:rsidRDefault="00162F74" w:rsidP="002E2D4C">
      <w:pPr>
        <w:spacing w:after="0" w:line="240" w:lineRule="auto"/>
      </w:pPr>
      <w:r>
        <w:separator/>
      </w:r>
    </w:p>
  </w:footnote>
  <w:footnote w:type="continuationSeparator" w:id="0">
    <w:p w:rsidR="00162F74" w:rsidRDefault="00162F74" w:rsidP="002E2D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E15AF"/>
    <w:multiLevelType w:val="multilevel"/>
    <w:tmpl w:val="2752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A41039"/>
    <w:multiLevelType w:val="hybridMultilevel"/>
    <w:tmpl w:val="F7AAD1A0"/>
    <w:lvl w:ilvl="0" w:tplc="BD2A88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221607"/>
    <w:multiLevelType w:val="hybridMultilevel"/>
    <w:tmpl w:val="9C88A9C8"/>
    <w:lvl w:ilvl="0" w:tplc="2E086E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560D1C"/>
    <w:multiLevelType w:val="hybridMultilevel"/>
    <w:tmpl w:val="A824EEEC"/>
    <w:lvl w:ilvl="0" w:tplc="99DAB4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8E4478"/>
    <w:multiLevelType w:val="hybridMultilevel"/>
    <w:tmpl w:val="80386D62"/>
    <w:lvl w:ilvl="0" w:tplc="18C47B38">
      <w:numFmt w:val="bullet"/>
      <w:lvlText w:val=""/>
      <w:lvlJc w:val="left"/>
      <w:pPr>
        <w:ind w:left="720" w:hanging="360"/>
      </w:pPr>
      <w:rPr>
        <w:rFonts w:ascii="Symbol" w:eastAsia="Verdan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3F0344"/>
    <w:multiLevelType w:val="multilevel"/>
    <w:tmpl w:val="F43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3130F4"/>
    <w:multiLevelType w:val="multilevel"/>
    <w:tmpl w:val="6DCE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4B0665"/>
    <w:multiLevelType w:val="hybridMultilevel"/>
    <w:tmpl w:val="01C8C964"/>
    <w:lvl w:ilvl="0" w:tplc="4E00AD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FB1B95"/>
    <w:multiLevelType w:val="hybridMultilevel"/>
    <w:tmpl w:val="6FE4E49A"/>
    <w:lvl w:ilvl="0" w:tplc="96861552">
      <w:numFmt w:val="bullet"/>
      <w:lvlText w:val=""/>
      <w:lvlJc w:val="left"/>
      <w:pPr>
        <w:ind w:left="720" w:hanging="360"/>
      </w:pPr>
      <w:rPr>
        <w:rFonts w:ascii="Symbol" w:eastAsia="Verdan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0"/>
  </w:num>
  <w:num w:numId="6">
    <w:abstractNumId w:val="1"/>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EB"/>
    <w:rsid w:val="00007C43"/>
    <w:rsid w:val="0001554F"/>
    <w:rsid w:val="00045048"/>
    <w:rsid w:val="0005027F"/>
    <w:rsid w:val="0005280C"/>
    <w:rsid w:val="00056B3C"/>
    <w:rsid w:val="00067FF8"/>
    <w:rsid w:val="00074B93"/>
    <w:rsid w:val="000812C9"/>
    <w:rsid w:val="000A343D"/>
    <w:rsid w:val="000B638F"/>
    <w:rsid w:val="000C002F"/>
    <w:rsid w:val="000C2D3E"/>
    <w:rsid w:val="000E4CAB"/>
    <w:rsid w:val="000E6006"/>
    <w:rsid w:val="000F6E6F"/>
    <w:rsid w:val="00120EFC"/>
    <w:rsid w:val="00130163"/>
    <w:rsid w:val="00132341"/>
    <w:rsid w:val="001339EE"/>
    <w:rsid w:val="001448C8"/>
    <w:rsid w:val="00150E04"/>
    <w:rsid w:val="00156F2C"/>
    <w:rsid w:val="00162F74"/>
    <w:rsid w:val="00170780"/>
    <w:rsid w:val="001906A0"/>
    <w:rsid w:val="001922AE"/>
    <w:rsid w:val="00196D1A"/>
    <w:rsid w:val="001A59D8"/>
    <w:rsid w:val="001B1CEB"/>
    <w:rsid w:val="001C0740"/>
    <w:rsid w:val="001C1ECD"/>
    <w:rsid w:val="001C3058"/>
    <w:rsid w:val="001E3B14"/>
    <w:rsid w:val="001F6FAE"/>
    <w:rsid w:val="0020046D"/>
    <w:rsid w:val="00201517"/>
    <w:rsid w:val="00204077"/>
    <w:rsid w:val="002270C0"/>
    <w:rsid w:val="00230B86"/>
    <w:rsid w:val="002321B1"/>
    <w:rsid w:val="00253784"/>
    <w:rsid w:val="00255F43"/>
    <w:rsid w:val="00272C0B"/>
    <w:rsid w:val="00275201"/>
    <w:rsid w:val="0027612F"/>
    <w:rsid w:val="002828BD"/>
    <w:rsid w:val="0029106E"/>
    <w:rsid w:val="0029358C"/>
    <w:rsid w:val="0029663D"/>
    <w:rsid w:val="002B6D85"/>
    <w:rsid w:val="002C5301"/>
    <w:rsid w:val="002E2D4C"/>
    <w:rsid w:val="002E6B2A"/>
    <w:rsid w:val="002F21C3"/>
    <w:rsid w:val="002F2CDF"/>
    <w:rsid w:val="002F385B"/>
    <w:rsid w:val="00315F00"/>
    <w:rsid w:val="00322FB0"/>
    <w:rsid w:val="0033470A"/>
    <w:rsid w:val="00364C7F"/>
    <w:rsid w:val="0039322C"/>
    <w:rsid w:val="003A7DC7"/>
    <w:rsid w:val="003B4FDE"/>
    <w:rsid w:val="003D196F"/>
    <w:rsid w:val="003D4A8C"/>
    <w:rsid w:val="003D6A2C"/>
    <w:rsid w:val="003D71B5"/>
    <w:rsid w:val="003E20BF"/>
    <w:rsid w:val="003E2157"/>
    <w:rsid w:val="003E5BEA"/>
    <w:rsid w:val="003E6039"/>
    <w:rsid w:val="0041352F"/>
    <w:rsid w:val="004300D8"/>
    <w:rsid w:val="00441CCC"/>
    <w:rsid w:val="004579C4"/>
    <w:rsid w:val="00467716"/>
    <w:rsid w:val="00482669"/>
    <w:rsid w:val="00491821"/>
    <w:rsid w:val="004A05F2"/>
    <w:rsid w:val="004A2262"/>
    <w:rsid w:val="004C4C85"/>
    <w:rsid w:val="004D0D2E"/>
    <w:rsid w:val="0050339C"/>
    <w:rsid w:val="00506708"/>
    <w:rsid w:val="00520E6B"/>
    <w:rsid w:val="00530349"/>
    <w:rsid w:val="00532313"/>
    <w:rsid w:val="005329B4"/>
    <w:rsid w:val="00547FE5"/>
    <w:rsid w:val="00573667"/>
    <w:rsid w:val="00581457"/>
    <w:rsid w:val="005A12C2"/>
    <w:rsid w:val="005A219D"/>
    <w:rsid w:val="005A2B9F"/>
    <w:rsid w:val="005A40E4"/>
    <w:rsid w:val="005B31A8"/>
    <w:rsid w:val="005B5C32"/>
    <w:rsid w:val="005C0711"/>
    <w:rsid w:val="005C7A21"/>
    <w:rsid w:val="005D01AF"/>
    <w:rsid w:val="005D3A89"/>
    <w:rsid w:val="005D650B"/>
    <w:rsid w:val="005D7D50"/>
    <w:rsid w:val="005E5D7C"/>
    <w:rsid w:val="005F17F2"/>
    <w:rsid w:val="00612855"/>
    <w:rsid w:val="006234F6"/>
    <w:rsid w:val="00626DE8"/>
    <w:rsid w:val="00631007"/>
    <w:rsid w:val="006314CD"/>
    <w:rsid w:val="00632536"/>
    <w:rsid w:val="0066273A"/>
    <w:rsid w:val="006648D2"/>
    <w:rsid w:val="00675DA7"/>
    <w:rsid w:val="00683AB5"/>
    <w:rsid w:val="006861C4"/>
    <w:rsid w:val="006879BA"/>
    <w:rsid w:val="006906B3"/>
    <w:rsid w:val="006C4BDA"/>
    <w:rsid w:val="006D00F9"/>
    <w:rsid w:val="006D6645"/>
    <w:rsid w:val="006E03B6"/>
    <w:rsid w:val="006F0F28"/>
    <w:rsid w:val="006F15EB"/>
    <w:rsid w:val="007047B7"/>
    <w:rsid w:val="007154EF"/>
    <w:rsid w:val="00716D41"/>
    <w:rsid w:val="00723E5F"/>
    <w:rsid w:val="0074212C"/>
    <w:rsid w:val="007569A5"/>
    <w:rsid w:val="00764337"/>
    <w:rsid w:val="007643BE"/>
    <w:rsid w:val="00773E0B"/>
    <w:rsid w:val="0078597C"/>
    <w:rsid w:val="00793BE9"/>
    <w:rsid w:val="007C5C11"/>
    <w:rsid w:val="007D59BA"/>
    <w:rsid w:val="007D692A"/>
    <w:rsid w:val="007E2490"/>
    <w:rsid w:val="007E37FA"/>
    <w:rsid w:val="007F2928"/>
    <w:rsid w:val="00800381"/>
    <w:rsid w:val="00803277"/>
    <w:rsid w:val="00817880"/>
    <w:rsid w:val="00824CA0"/>
    <w:rsid w:val="00846E96"/>
    <w:rsid w:val="00860C8F"/>
    <w:rsid w:val="00871154"/>
    <w:rsid w:val="008725B1"/>
    <w:rsid w:val="0087356C"/>
    <w:rsid w:val="008835C8"/>
    <w:rsid w:val="0088731D"/>
    <w:rsid w:val="008B5E82"/>
    <w:rsid w:val="008C105C"/>
    <w:rsid w:val="008C4E81"/>
    <w:rsid w:val="008F499F"/>
    <w:rsid w:val="00901B31"/>
    <w:rsid w:val="009020E7"/>
    <w:rsid w:val="009149A4"/>
    <w:rsid w:val="00937621"/>
    <w:rsid w:val="00945911"/>
    <w:rsid w:val="00952F11"/>
    <w:rsid w:val="00953C02"/>
    <w:rsid w:val="00971B65"/>
    <w:rsid w:val="009A7EDC"/>
    <w:rsid w:val="009C64DC"/>
    <w:rsid w:val="009D27F6"/>
    <w:rsid w:val="00A00A7B"/>
    <w:rsid w:val="00A6452E"/>
    <w:rsid w:val="00A76BC5"/>
    <w:rsid w:val="00A91FCB"/>
    <w:rsid w:val="00A92658"/>
    <w:rsid w:val="00AB5437"/>
    <w:rsid w:val="00AC5E6B"/>
    <w:rsid w:val="00AC6F62"/>
    <w:rsid w:val="00AE36F5"/>
    <w:rsid w:val="00AE7191"/>
    <w:rsid w:val="00B001BD"/>
    <w:rsid w:val="00B02D31"/>
    <w:rsid w:val="00B14A8B"/>
    <w:rsid w:val="00B25131"/>
    <w:rsid w:val="00B26D1F"/>
    <w:rsid w:val="00B316FD"/>
    <w:rsid w:val="00B33EDE"/>
    <w:rsid w:val="00B43BEB"/>
    <w:rsid w:val="00B56B74"/>
    <w:rsid w:val="00B62A03"/>
    <w:rsid w:val="00B76D46"/>
    <w:rsid w:val="00B8361F"/>
    <w:rsid w:val="00B86325"/>
    <w:rsid w:val="00BA02BE"/>
    <w:rsid w:val="00BB0BFF"/>
    <w:rsid w:val="00BB3ACF"/>
    <w:rsid w:val="00BC36C5"/>
    <w:rsid w:val="00BD467F"/>
    <w:rsid w:val="00BD73C1"/>
    <w:rsid w:val="00C00E5C"/>
    <w:rsid w:val="00C03D26"/>
    <w:rsid w:val="00C04585"/>
    <w:rsid w:val="00C047C0"/>
    <w:rsid w:val="00C050BB"/>
    <w:rsid w:val="00C14DFC"/>
    <w:rsid w:val="00C15ED3"/>
    <w:rsid w:val="00C2011E"/>
    <w:rsid w:val="00C22F84"/>
    <w:rsid w:val="00C244BF"/>
    <w:rsid w:val="00C4774B"/>
    <w:rsid w:val="00C51A84"/>
    <w:rsid w:val="00C55BDF"/>
    <w:rsid w:val="00C575AA"/>
    <w:rsid w:val="00C73782"/>
    <w:rsid w:val="00C73994"/>
    <w:rsid w:val="00C73FD8"/>
    <w:rsid w:val="00C743C0"/>
    <w:rsid w:val="00C90C04"/>
    <w:rsid w:val="00C95848"/>
    <w:rsid w:val="00C97FC2"/>
    <w:rsid w:val="00CB1A31"/>
    <w:rsid w:val="00CC0784"/>
    <w:rsid w:val="00CC6D21"/>
    <w:rsid w:val="00D032BC"/>
    <w:rsid w:val="00D06B5C"/>
    <w:rsid w:val="00D20AA6"/>
    <w:rsid w:val="00D26A7B"/>
    <w:rsid w:val="00D361B9"/>
    <w:rsid w:val="00D419FF"/>
    <w:rsid w:val="00D50CE9"/>
    <w:rsid w:val="00D613F7"/>
    <w:rsid w:val="00D80787"/>
    <w:rsid w:val="00DB13EF"/>
    <w:rsid w:val="00DC0B44"/>
    <w:rsid w:val="00DC7DF1"/>
    <w:rsid w:val="00DE0193"/>
    <w:rsid w:val="00DE3250"/>
    <w:rsid w:val="00DF1059"/>
    <w:rsid w:val="00DF2D6B"/>
    <w:rsid w:val="00E37B1A"/>
    <w:rsid w:val="00E53866"/>
    <w:rsid w:val="00E70844"/>
    <w:rsid w:val="00E718C1"/>
    <w:rsid w:val="00E853EE"/>
    <w:rsid w:val="00E85BFE"/>
    <w:rsid w:val="00E92A76"/>
    <w:rsid w:val="00EA255D"/>
    <w:rsid w:val="00EA31E4"/>
    <w:rsid w:val="00EA4E56"/>
    <w:rsid w:val="00EB04A3"/>
    <w:rsid w:val="00EC2598"/>
    <w:rsid w:val="00EC3331"/>
    <w:rsid w:val="00ED22CD"/>
    <w:rsid w:val="00ED5472"/>
    <w:rsid w:val="00EF4744"/>
    <w:rsid w:val="00F03CA4"/>
    <w:rsid w:val="00F07C14"/>
    <w:rsid w:val="00F17E32"/>
    <w:rsid w:val="00F2119D"/>
    <w:rsid w:val="00F347F1"/>
    <w:rsid w:val="00F43E7D"/>
    <w:rsid w:val="00F56A69"/>
    <w:rsid w:val="00F620F3"/>
    <w:rsid w:val="00F66D4F"/>
    <w:rsid w:val="00F90895"/>
    <w:rsid w:val="00F9269A"/>
    <w:rsid w:val="00FA63CA"/>
    <w:rsid w:val="00FB23BF"/>
    <w:rsid w:val="00FC0F3C"/>
    <w:rsid w:val="00FC1886"/>
    <w:rsid w:val="00FD5C14"/>
    <w:rsid w:val="00FD642D"/>
    <w:rsid w:val="00FD687A"/>
    <w:rsid w:val="00FE3104"/>
    <w:rsid w:val="00FE6C03"/>
    <w:rsid w:val="00FF3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AFB81-2A57-478F-8CFF-6981DC4B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4C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B1C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B1C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1CE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B1C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1CEB"/>
    <w:rPr>
      <w:b/>
      <w:bCs/>
    </w:rPr>
  </w:style>
  <w:style w:type="character" w:customStyle="1" w:styleId="katex-mathml">
    <w:name w:val="katex-mathml"/>
    <w:basedOn w:val="DefaultParagraphFont"/>
    <w:rsid w:val="001B1CEB"/>
  </w:style>
  <w:style w:type="character" w:customStyle="1" w:styleId="mord">
    <w:name w:val="mord"/>
    <w:basedOn w:val="DefaultParagraphFont"/>
    <w:rsid w:val="001B1CEB"/>
  </w:style>
  <w:style w:type="character" w:customStyle="1" w:styleId="vlist-s">
    <w:name w:val="vlist-s"/>
    <w:basedOn w:val="DefaultParagraphFont"/>
    <w:rsid w:val="001B1CEB"/>
  </w:style>
  <w:style w:type="character" w:customStyle="1" w:styleId="mrel">
    <w:name w:val="mrel"/>
    <w:basedOn w:val="DefaultParagraphFont"/>
    <w:rsid w:val="001B1CEB"/>
  </w:style>
  <w:style w:type="character" w:customStyle="1" w:styleId="mopen">
    <w:name w:val="mopen"/>
    <w:basedOn w:val="DefaultParagraphFont"/>
    <w:rsid w:val="001B1CEB"/>
  </w:style>
  <w:style w:type="character" w:customStyle="1" w:styleId="mpunct">
    <w:name w:val="mpunct"/>
    <w:basedOn w:val="DefaultParagraphFont"/>
    <w:rsid w:val="001B1CEB"/>
  </w:style>
  <w:style w:type="character" w:customStyle="1" w:styleId="mclose">
    <w:name w:val="mclose"/>
    <w:basedOn w:val="DefaultParagraphFont"/>
    <w:rsid w:val="001B1CEB"/>
  </w:style>
  <w:style w:type="character" w:customStyle="1" w:styleId="Heading3Char">
    <w:name w:val="Heading 3 Char"/>
    <w:basedOn w:val="DefaultParagraphFont"/>
    <w:link w:val="Heading3"/>
    <w:uiPriority w:val="9"/>
    <w:semiHidden/>
    <w:rsid w:val="001B1CEB"/>
    <w:rPr>
      <w:rFonts w:asciiTheme="majorHAnsi" w:eastAsiaTheme="majorEastAsia" w:hAnsiTheme="majorHAnsi" w:cstheme="majorBidi"/>
      <w:color w:val="1F4D78" w:themeColor="accent1" w:themeShade="7F"/>
      <w:sz w:val="24"/>
      <w:szCs w:val="24"/>
    </w:rPr>
  </w:style>
  <w:style w:type="character" w:customStyle="1" w:styleId="mbin">
    <w:name w:val="mbin"/>
    <w:basedOn w:val="DefaultParagraphFont"/>
    <w:rsid w:val="001B1CEB"/>
  </w:style>
  <w:style w:type="character" w:customStyle="1" w:styleId="mop">
    <w:name w:val="mop"/>
    <w:basedOn w:val="DefaultParagraphFont"/>
    <w:rsid w:val="001B1CEB"/>
  </w:style>
  <w:style w:type="table" w:styleId="TableGrid">
    <w:name w:val="Table Grid"/>
    <w:basedOn w:val="TableNormal"/>
    <w:uiPriority w:val="39"/>
    <w:rsid w:val="001B1C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40E4"/>
    <w:pPr>
      <w:ind w:left="720"/>
      <w:contextualSpacing/>
    </w:pPr>
  </w:style>
  <w:style w:type="character" w:customStyle="1" w:styleId="Heading1Char">
    <w:name w:val="Heading 1 Char"/>
    <w:basedOn w:val="DefaultParagraphFont"/>
    <w:link w:val="Heading1"/>
    <w:uiPriority w:val="9"/>
    <w:rsid w:val="004C4C85"/>
    <w:rPr>
      <w:rFonts w:asciiTheme="majorHAnsi" w:eastAsiaTheme="majorEastAsia" w:hAnsiTheme="majorHAnsi" w:cstheme="majorBidi"/>
      <w:color w:val="2E74B5" w:themeColor="accent1" w:themeShade="BF"/>
      <w:sz w:val="32"/>
      <w:szCs w:val="32"/>
    </w:rPr>
  </w:style>
  <w:style w:type="character" w:customStyle="1" w:styleId="whitespace-normal">
    <w:name w:val="whitespace-normal"/>
    <w:basedOn w:val="DefaultParagraphFont"/>
    <w:rsid w:val="004C4C85"/>
  </w:style>
  <w:style w:type="character" w:styleId="Emphasis">
    <w:name w:val="Emphasis"/>
    <w:basedOn w:val="DefaultParagraphFont"/>
    <w:uiPriority w:val="20"/>
    <w:qFormat/>
    <w:rsid w:val="00B76D46"/>
    <w:rPr>
      <w:i/>
      <w:iCs/>
    </w:rPr>
  </w:style>
  <w:style w:type="character" w:styleId="Hyperlink">
    <w:name w:val="Hyperlink"/>
    <w:basedOn w:val="DefaultParagraphFont"/>
    <w:uiPriority w:val="99"/>
    <w:unhideWhenUsed/>
    <w:rsid w:val="00B76D46"/>
    <w:rPr>
      <w:color w:val="0000FF"/>
      <w:u w:val="single"/>
    </w:rPr>
  </w:style>
  <w:style w:type="character" w:customStyle="1" w:styleId="BodyTextChar">
    <w:name w:val="Body Text Char"/>
    <w:basedOn w:val="DefaultParagraphFont"/>
    <w:link w:val="BodyText"/>
    <w:rsid w:val="00D20AA6"/>
    <w:rPr>
      <w:rFonts w:ascii="Verdana" w:eastAsia="Verdana" w:hAnsi="Verdana" w:cs="Verdana"/>
      <w:shd w:val="clear" w:color="auto" w:fill="FFFFFF"/>
    </w:rPr>
  </w:style>
  <w:style w:type="paragraph" w:styleId="BodyText">
    <w:name w:val="Body Text"/>
    <w:basedOn w:val="Normal"/>
    <w:link w:val="BodyTextChar"/>
    <w:qFormat/>
    <w:rsid w:val="00D20AA6"/>
    <w:pPr>
      <w:widowControl w:val="0"/>
      <w:shd w:val="clear" w:color="auto" w:fill="FFFFFF"/>
      <w:spacing w:after="0" w:line="480" w:lineRule="auto"/>
      <w:jc w:val="both"/>
    </w:pPr>
    <w:rPr>
      <w:rFonts w:ascii="Verdana" w:eastAsia="Verdana" w:hAnsi="Verdana" w:cs="Verdana"/>
    </w:rPr>
  </w:style>
  <w:style w:type="character" w:customStyle="1" w:styleId="BodyTextChar1">
    <w:name w:val="Body Text Char1"/>
    <w:basedOn w:val="DefaultParagraphFont"/>
    <w:uiPriority w:val="99"/>
    <w:semiHidden/>
    <w:rsid w:val="00D20AA6"/>
  </w:style>
  <w:style w:type="paragraph" w:styleId="Header">
    <w:name w:val="header"/>
    <w:basedOn w:val="Normal"/>
    <w:link w:val="HeaderChar"/>
    <w:uiPriority w:val="99"/>
    <w:unhideWhenUsed/>
    <w:rsid w:val="002E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D4C"/>
  </w:style>
  <w:style w:type="paragraph" w:styleId="Footer">
    <w:name w:val="footer"/>
    <w:basedOn w:val="Normal"/>
    <w:link w:val="FooterChar"/>
    <w:uiPriority w:val="99"/>
    <w:unhideWhenUsed/>
    <w:rsid w:val="002E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D4C"/>
  </w:style>
  <w:style w:type="paragraph" w:customStyle="1" w:styleId="isselectedend">
    <w:name w:val="isselectedend"/>
    <w:basedOn w:val="Normal"/>
    <w:rsid w:val="00FB23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008">
      <w:bodyDiv w:val="1"/>
      <w:marLeft w:val="0"/>
      <w:marRight w:val="0"/>
      <w:marTop w:val="0"/>
      <w:marBottom w:val="0"/>
      <w:divBdr>
        <w:top w:val="none" w:sz="0" w:space="0" w:color="auto"/>
        <w:left w:val="none" w:sz="0" w:space="0" w:color="auto"/>
        <w:bottom w:val="none" w:sz="0" w:space="0" w:color="auto"/>
        <w:right w:val="none" w:sz="0" w:space="0" w:color="auto"/>
      </w:divBdr>
    </w:div>
    <w:div w:id="161509488">
      <w:bodyDiv w:val="1"/>
      <w:marLeft w:val="0"/>
      <w:marRight w:val="0"/>
      <w:marTop w:val="0"/>
      <w:marBottom w:val="0"/>
      <w:divBdr>
        <w:top w:val="none" w:sz="0" w:space="0" w:color="auto"/>
        <w:left w:val="none" w:sz="0" w:space="0" w:color="auto"/>
        <w:bottom w:val="none" w:sz="0" w:space="0" w:color="auto"/>
        <w:right w:val="none" w:sz="0" w:space="0" w:color="auto"/>
      </w:divBdr>
    </w:div>
    <w:div w:id="234122922">
      <w:bodyDiv w:val="1"/>
      <w:marLeft w:val="0"/>
      <w:marRight w:val="0"/>
      <w:marTop w:val="0"/>
      <w:marBottom w:val="0"/>
      <w:divBdr>
        <w:top w:val="none" w:sz="0" w:space="0" w:color="auto"/>
        <w:left w:val="none" w:sz="0" w:space="0" w:color="auto"/>
        <w:bottom w:val="none" w:sz="0" w:space="0" w:color="auto"/>
        <w:right w:val="none" w:sz="0" w:space="0" w:color="auto"/>
      </w:divBdr>
    </w:div>
    <w:div w:id="297416261">
      <w:bodyDiv w:val="1"/>
      <w:marLeft w:val="0"/>
      <w:marRight w:val="0"/>
      <w:marTop w:val="0"/>
      <w:marBottom w:val="0"/>
      <w:divBdr>
        <w:top w:val="none" w:sz="0" w:space="0" w:color="auto"/>
        <w:left w:val="none" w:sz="0" w:space="0" w:color="auto"/>
        <w:bottom w:val="none" w:sz="0" w:space="0" w:color="auto"/>
        <w:right w:val="none" w:sz="0" w:space="0" w:color="auto"/>
      </w:divBdr>
    </w:div>
    <w:div w:id="301621601">
      <w:bodyDiv w:val="1"/>
      <w:marLeft w:val="0"/>
      <w:marRight w:val="0"/>
      <w:marTop w:val="0"/>
      <w:marBottom w:val="0"/>
      <w:divBdr>
        <w:top w:val="none" w:sz="0" w:space="0" w:color="auto"/>
        <w:left w:val="none" w:sz="0" w:space="0" w:color="auto"/>
        <w:bottom w:val="none" w:sz="0" w:space="0" w:color="auto"/>
        <w:right w:val="none" w:sz="0" w:space="0" w:color="auto"/>
      </w:divBdr>
    </w:div>
    <w:div w:id="308637615">
      <w:bodyDiv w:val="1"/>
      <w:marLeft w:val="0"/>
      <w:marRight w:val="0"/>
      <w:marTop w:val="0"/>
      <w:marBottom w:val="0"/>
      <w:divBdr>
        <w:top w:val="none" w:sz="0" w:space="0" w:color="auto"/>
        <w:left w:val="none" w:sz="0" w:space="0" w:color="auto"/>
        <w:bottom w:val="none" w:sz="0" w:space="0" w:color="auto"/>
        <w:right w:val="none" w:sz="0" w:space="0" w:color="auto"/>
      </w:divBdr>
    </w:div>
    <w:div w:id="390471454">
      <w:bodyDiv w:val="1"/>
      <w:marLeft w:val="0"/>
      <w:marRight w:val="0"/>
      <w:marTop w:val="0"/>
      <w:marBottom w:val="0"/>
      <w:divBdr>
        <w:top w:val="none" w:sz="0" w:space="0" w:color="auto"/>
        <w:left w:val="none" w:sz="0" w:space="0" w:color="auto"/>
        <w:bottom w:val="none" w:sz="0" w:space="0" w:color="auto"/>
        <w:right w:val="none" w:sz="0" w:space="0" w:color="auto"/>
      </w:divBdr>
    </w:div>
    <w:div w:id="453717020">
      <w:bodyDiv w:val="1"/>
      <w:marLeft w:val="0"/>
      <w:marRight w:val="0"/>
      <w:marTop w:val="0"/>
      <w:marBottom w:val="0"/>
      <w:divBdr>
        <w:top w:val="none" w:sz="0" w:space="0" w:color="auto"/>
        <w:left w:val="none" w:sz="0" w:space="0" w:color="auto"/>
        <w:bottom w:val="none" w:sz="0" w:space="0" w:color="auto"/>
        <w:right w:val="none" w:sz="0" w:space="0" w:color="auto"/>
      </w:divBdr>
    </w:div>
    <w:div w:id="456220463">
      <w:bodyDiv w:val="1"/>
      <w:marLeft w:val="0"/>
      <w:marRight w:val="0"/>
      <w:marTop w:val="0"/>
      <w:marBottom w:val="0"/>
      <w:divBdr>
        <w:top w:val="none" w:sz="0" w:space="0" w:color="auto"/>
        <w:left w:val="none" w:sz="0" w:space="0" w:color="auto"/>
        <w:bottom w:val="none" w:sz="0" w:space="0" w:color="auto"/>
        <w:right w:val="none" w:sz="0" w:space="0" w:color="auto"/>
      </w:divBdr>
    </w:div>
    <w:div w:id="474689099">
      <w:bodyDiv w:val="1"/>
      <w:marLeft w:val="0"/>
      <w:marRight w:val="0"/>
      <w:marTop w:val="0"/>
      <w:marBottom w:val="0"/>
      <w:divBdr>
        <w:top w:val="none" w:sz="0" w:space="0" w:color="auto"/>
        <w:left w:val="none" w:sz="0" w:space="0" w:color="auto"/>
        <w:bottom w:val="none" w:sz="0" w:space="0" w:color="auto"/>
        <w:right w:val="none" w:sz="0" w:space="0" w:color="auto"/>
      </w:divBdr>
    </w:div>
    <w:div w:id="475996431">
      <w:bodyDiv w:val="1"/>
      <w:marLeft w:val="0"/>
      <w:marRight w:val="0"/>
      <w:marTop w:val="0"/>
      <w:marBottom w:val="0"/>
      <w:divBdr>
        <w:top w:val="none" w:sz="0" w:space="0" w:color="auto"/>
        <w:left w:val="none" w:sz="0" w:space="0" w:color="auto"/>
        <w:bottom w:val="none" w:sz="0" w:space="0" w:color="auto"/>
        <w:right w:val="none" w:sz="0" w:space="0" w:color="auto"/>
      </w:divBdr>
    </w:div>
    <w:div w:id="539559879">
      <w:bodyDiv w:val="1"/>
      <w:marLeft w:val="0"/>
      <w:marRight w:val="0"/>
      <w:marTop w:val="0"/>
      <w:marBottom w:val="0"/>
      <w:divBdr>
        <w:top w:val="none" w:sz="0" w:space="0" w:color="auto"/>
        <w:left w:val="none" w:sz="0" w:space="0" w:color="auto"/>
        <w:bottom w:val="none" w:sz="0" w:space="0" w:color="auto"/>
        <w:right w:val="none" w:sz="0" w:space="0" w:color="auto"/>
      </w:divBdr>
    </w:div>
    <w:div w:id="548613884">
      <w:bodyDiv w:val="1"/>
      <w:marLeft w:val="0"/>
      <w:marRight w:val="0"/>
      <w:marTop w:val="0"/>
      <w:marBottom w:val="0"/>
      <w:divBdr>
        <w:top w:val="none" w:sz="0" w:space="0" w:color="auto"/>
        <w:left w:val="none" w:sz="0" w:space="0" w:color="auto"/>
        <w:bottom w:val="none" w:sz="0" w:space="0" w:color="auto"/>
        <w:right w:val="none" w:sz="0" w:space="0" w:color="auto"/>
      </w:divBdr>
    </w:div>
    <w:div w:id="560091702">
      <w:bodyDiv w:val="1"/>
      <w:marLeft w:val="0"/>
      <w:marRight w:val="0"/>
      <w:marTop w:val="0"/>
      <w:marBottom w:val="0"/>
      <w:divBdr>
        <w:top w:val="none" w:sz="0" w:space="0" w:color="auto"/>
        <w:left w:val="none" w:sz="0" w:space="0" w:color="auto"/>
        <w:bottom w:val="none" w:sz="0" w:space="0" w:color="auto"/>
        <w:right w:val="none" w:sz="0" w:space="0" w:color="auto"/>
      </w:divBdr>
    </w:div>
    <w:div w:id="626668089">
      <w:bodyDiv w:val="1"/>
      <w:marLeft w:val="0"/>
      <w:marRight w:val="0"/>
      <w:marTop w:val="0"/>
      <w:marBottom w:val="0"/>
      <w:divBdr>
        <w:top w:val="none" w:sz="0" w:space="0" w:color="auto"/>
        <w:left w:val="none" w:sz="0" w:space="0" w:color="auto"/>
        <w:bottom w:val="none" w:sz="0" w:space="0" w:color="auto"/>
        <w:right w:val="none" w:sz="0" w:space="0" w:color="auto"/>
      </w:divBdr>
    </w:div>
    <w:div w:id="634145501">
      <w:bodyDiv w:val="1"/>
      <w:marLeft w:val="0"/>
      <w:marRight w:val="0"/>
      <w:marTop w:val="0"/>
      <w:marBottom w:val="0"/>
      <w:divBdr>
        <w:top w:val="none" w:sz="0" w:space="0" w:color="auto"/>
        <w:left w:val="none" w:sz="0" w:space="0" w:color="auto"/>
        <w:bottom w:val="none" w:sz="0" w:space="0" w:color="auto"/>
        <w:right w:val="none" w:sz="0" w:space="0" w:color="auto"/>
      </w:divBdr>
    </w:div>
    <w:div w:id="654185683">
      <w:bodyDiv w:val="1"/>
      <w:marLeft w:val="0"/>
      <w:marRight w:val="0"/>
      <w:marTop w:val="0"/>
      <w:marBottom w:val="0"/>
      <w:divBdr>
        <w:top w:val="none" w:sz="0" w:space="0" w:color="auto"/>
        <w:left w:val="none" w:sz="0" w:space="0" w:color="auto"/>
        <w:bottom w:val="none" w:sz="0" w:space="0" w:color="auto"/>
        <w:right w:val="none" w:sz="0" w:space="0" w:color="auto"/>
      </w:divBdr>
    </w:div>
    <w:div w:id="792945645">
      <w:bodyDiv w:val="1"/>
      <w:marLeft w:val="0"/>
      <w:marRight w:val="0"/>
      <w:marTop w:val="0"/>
      <w:marBottom w:val="0"/>
      <w:divBdr>
        <w:top w:val="none" w:sz="0" w:space="0" w:color="auto"/>
        <w:left w:val="none" w:sz="0" w:space="0" w:color="auto"/>
        <w:bottom w:val="none" w:sz="0" w:space="0" w:color="auto"/>
        <w:right w:val="none" w:sz="0" w:space="0" w:color="auto"/>
      </w:divBdr>
    </w:div>
    <w:div w:id="828056274">
      <w:bodyDiv w:val="1"/>
      <w:marLeft w:val="0"/>
      <w:marRight w:val="0"/>
      <w:marTop w:val="0"/>
      <w:marBottom w:val="0"/>
      <w:divBdr>
        <w:top w:val="none" w:sz="0" w:space="0" w:color="auto"/>
        <w:left w:val="none" w:sz="0" w:space="0" w:color="auto"/>
        <w:bottom w:val="none" w:sz="0" w:space="0" w:color="auto"/>
        <w:right w:val="none" w:sz="0" w:space="0" w:color="auto"/>
      </w:divBdr>
    </w:div>
    <w:div w:id="876813546">
      <w:bodyDiv w:val="1"/>
      <w:marLeft w:val="0"/>
      <w:marRight w:val="0"/>
      <w:marTop w:val="0"/>
      <w:marBottom w:val="0"/>
      <w:divBdr>
        <w:top w:val="none" w:sz="0" w:space="0" w:color="auto"/>
        <w:left w:val="none" w:sz="0" w:space="0" w:color="auto"/>
        <w:bottom w:val="none" w:sz="0" w:space="0" w:color="auto"/>
        <w:right w:val="none" w:sz="0" w:space="0" w:color="auto"/>
      </w:divBdr>
    </w:div>
    <w:div w:id="887306048">
      <w:bodyDiv w:val="1"/>
      <w:marLeft w:val="0"/>
      <w:marRight w:val="0"/>
      <w:marTop w:val="0"/>
      <w:marBottom w:val="0"/>
      <w:divBdr>
        <w:top w:val="none" w:sz="0" w:space="0" w:color="auto"/>
        <w:left w:val="none" w:sz="0" w:space="0" w:color="auto"/>
        <w:bottom w:val="none" w:sz="0" w:space="0" w:color="auto"/>
        <w:right w:val="none" w:sz="0" w:space="0" w:color="auto"/>
      </w:divBdr>
    </w:div>
    <w:div w:id="926111307">
      <w:bodyDiv w:val="1"/>
      <w:marLeft w:val="0"/>
      <w:marRight w:val="0"/>
      <w:marTop w:val="0"/>
      <w:marBottom w:val="0"/>
      <w:divBdr>
        <w:top w:val="none" w:sz="0" w:space="0" w:color="auto"/>
        <w:left w:val="none" w:sz="0" w:space="0" w:color="auto"/>
        <w:bottom w:val="none" w:sz="0" w:space="0" w:color="auto"/>
        <w:right w:val="none" w:sz="0" w:space="0" w:color="auto"/>
      </w:divBdr>
    </w:div>
    <w:div w:id="953513230">
      <w:bodyDiv w:val="1"/>
      <w:marLeft w:val="0"/>
      <w:marRight w:val="0"/>
      <w:marTop w:val="0"/>
      <w:marBottom w:val="0"/>
      <w:divBdr>
        <w:top w:val="none" w:sz="0" w:space="0" w:color="auto"/>
        <w:left w:val="none" w:sz="0" w:space="0" w:color="auto"/>
        <w:bottom w:val="none" w:sz="0" w:space="0" w:color="auto"/>
        <w:right w:val="none" w:sz="0" w:space="0" w:color="auto"/>
      </w:divBdr>
    </w:div>
    <w:div w:id="975910010">
      <w:bodyDiv w:val="1"/>
      <w:marLeft w:val="0"/>
      <w:marRight w:val="0"/>
      <w:marTop w:val="0"/>
      <w:marBottom w:val="0"/>
      <w:divBdr>
        <w:top w:val="none" w:sz="0" w:space="0" w:color="auto"/>
        <w:left w:val="none" w:sz="0" w:space="0" w:color="auto"/>
        <w:bottom w:val="none" w:sz="0" w:space="0" w:color="auto"/>
        <w:right w:val="none" w:sz="0" w:space="0" w:color="auto"/>
      </w:divBdr>
    </w:div>
    <w:div w:id="1005592108">
      <w:bodyDiv w:val="1"/>
      <w:marLeft w:val="0"/>
      <w:marRight w:val="0"/>
      <w:marTop w:val="0"/>
      <w:marBottom w:val="0"/>
      <w:divBdr>
        <w:top w:val="none" w:sz="0" w:space="0" w:color="auto"/>
        <w:left w:val="none" w:sz="0" w:space="0" w:color="auto"/>
        <w:bottom w:val="none" w:sz="0" w:space="0" w:color="auto"/>
        <w:right w:val="none" w:sz="0" w:space="0" w:color="auto"/>
      </w:divBdr>
    </w:div>
    <w:div w:id="1055273637">
      <w:bodyDiv w:val="1"/>
      <w:marLeft w:val="0"/>
      <w:marRight w:val="0"/>
      <w:marTop w:val="0"/>
      <w:marBottom w:val="0"/>
      <w:divBdr>
        <w:top w:val="none" w:sz="0" w:space="0" w:color="auto"/>
        <w:left w:val="none" w:sz="0" w:space="0" w:color="auto"/>
        <w:bottom w:val="none" w:sz="0" w:space="0" w:color="auto"/>
        <w:right w:val="none" w:sz="0" w:space="0" w:color="auto"/>
      </w:divBdr>
    </w:div>
    <w:div w:id="1121069768">
      <w:bodyDiv w:val="1"/>
      <w:marLeft w:val="0"/>
      <w:marRight w:val="0"/>
      <w:marTop w:val="0"/>
      <w:marBottom w:val="0"/>
      <w:divBdr>
        <w:top w:val="none" w:sz="0" w:space="0" w:color="auto"/>
        <w:left w:val="none" w:sz="0" w:space="0" w:color="auto"/>
        <w:bottom w:val="none" w:sz="0" w:space="0" w:color="auto"/>
        <w:right w:val="none" w:sz="0" w:space="0" w:color="auto"/>
      </w:divBdr>
    </w:div>
    <w:div w:id="1163544727">
      <w:bodyDiv w:val="1"/>
      <w:marLeft w:val="0"/>
      <w:marRight w:val="0"/>
      <w:marTop w:val="0"/>
      <w:marBottom w:val="0"/>
      <w:divBdr>
        <w:top w:val="none" w:sz="0" w:space="0" w:color="auto"/>
        <w:left w:val="none" w:sz="0" w:space="0" w:color="auto"/>
        <w:bottom w:val="none" w:sz="0" w:space="0" w:color="auto"/>
        <w:right w:val="none" w:sz="0" w:space="0" w:color="auto"/>
      </w:divBdr>
    </w:div>
    <w:div w:id="1177843923">
      <w:bodyDiv w:val="1"/>
      <w:marLeft w:val="0"/>
      <w:marRight w:val="0"/>
      <w:marTop w:val="0"/>
      <w:marBottom w:val="0"/>
      <w:divBdr>
        <w:top w:val="none" w:sz="0" w:space="0" w:color="auto"/>
        <w:left w:val="none" w:sz="0" w:space="0" w:color="auto"/>
        <w:bottom w:val="none" w:sz="0" w:space="0" w:color="auto"/>
        <w:right w:val="none" w:sz="0" w:space="0" w:color="auto"/>
      </w:divBdr>
    </w:div>
    <w:div w:id="1185023785">
      <w:bodyDiv w:val="1"/>
      <w:marLeft w:val="0"/>
      <w:marRight w:val="0"/>
      <w:marTop w:val="0"/>
      <w:marBottom w:val="0"/>
      <w:divBdr>
        <w:top w:val="none" w:sz="0" w:space="0" w:color="auto"/>
        <w:left w:val="none" w:sz="0" w:space="0" w:color="auto"/>
        <w:bottom w:val="none" w:sz="0" w:space="0" w:color="auto"/>
        <w:right w:val="none" w:sz="0" w:space="0" w:color="auto"/>
      </w:divBdr>
    </w:div>
    <w:div w:id="1187257310">
      <w:bodyDiv w:val="1"/>
      <w:marLeft w:val="0"/>
      <w:marRight w:val="0"/>
      <w:marTop w:val="0"/>
      <w:marBottom w:val="0"/>
      <w:divBdr>
        <w:top w:val="none" w:sz="0" w:space="0" w:color="auto"/>
        <w:left w:val="none" w:sz="0" w:space="0" w:color="auto"/>
        <w:bottom w:val="none" w:sz="0" w:space="0" w:color="auto"/>
        <w:right w:val="none" w:sz="0" w:space="0" w:color="auto"/>
      </w:divBdr>
    </w:div>
    <w:div w:id="1240555435">
      <w:bodyDiv w:val="1"/>
      <w:marLeft w:val="0"/>
      <w:marRight w:val="0"/>
      <w:marTop w:val="0"/>
      <w:marBottom w:val="0"/>
      <w:divBdr>
        <w:top w:val="none" w:sz="0" w:space="0" w:color="auto"/>
        <w:left w:val="none" w:sz="0" w:space="0" w:color="auto"/>
        <w:bottom w:val="none" w:sz="0" w:space="0" w:color="auto"/>
        <w:right w:val="none" w:sz="0" w:space="0" w:color="auto"/>
      </w:divBdr>
    </w:div>
    <w:div w:id="1247156433">
      <w:bodyDiv w:val="1"/>
      <w:marLeft w:val="0"/>
      <w:marRight w:val="0"/>
      <w:marTop w:val="0"/>
      <w:marBottom w:val="0"/>
      <w:divBdr>
        <w:top w:val="none" w:sz="0" w:space="0" w:color="auto"/>
        <w:left w:val="none" w:sz="0" w:space="0" w:color="auto"/>
        <w:bottom w:val="none" w:sz="0" w:space="0" w:color="auto"/>
        <w:right w:val="none" w:sz="0" w:space="0" w:color="auto"/>
      </w:divBdr>
    </w:div>
    <w:div w:id="1257717024">
      <w:bodyDiv w:val="1"/>
      <w:marLeft w:val="0"/>
      <w:marRight w:val="0"/>
      <w:marTop w:val="0"/>
      <w:marBottom w:val="0"/>
      <w:divBdr>
        <w:top w:val="none" w:sz="0" w:space="0" w:color="auto"/>
        <w:left w:val="none" w:sz="0" w:space="0" w:color="auto"/>
        <w:bottom w:val="none" w:sz="0" w:space="0" w:color="auto"/>
        <w:right w:val="none" w:sz="0" w:space="0" w:color="auto"/>
      </w:divBdr>
    </w:div>
    <w:div w:id="1272322621">
      <w:bodyDiv w:val="1"/>
      <w:marLeft w:val="0"/>
      <w:marRight w:val="0"/>
      <w:marTop w:val="0"/>
      <w:marBottom w:val="0"/>
      <w:divBdr>
        <w:top w:val="none" w:sz="0" w:space="0" w:color="auto"/>
        <w:left w:val="none" w:sz="0" w:space="0" w:color="auto"/>
        <w:bottom w:val="none" w:sz="0" w:space="0" w:color="auto"/>
        <w:right w:val="none" w:sz="0" w:space="0" w:color="auto"/>
      </w:divBdr>
    </w:div>
    <w:div w:id="1285042831">
      <w:bodyDiv w:val="1"/>
      <w:marLeft w:val="0"/>
      <w:marRight w:val="0"/>
      <w:marTop w:val="0"/>
      <w:marBottom w:val="0"/>
      <w:divBdr>
        <w:top w:val="none" w:sz="0" w:space="0" w:color="auto"/>
        <w:left w:val="none" w:sz="0" w:space="0" w:color="auto"/>
        <w:bottom w:val="none" w:sz="0" w:space="0" w:color="auto"/>
        <w:right w:val="none" w:sz="0" w:space="0" w:color="auto"/>
      </w:divBdr>
      <w:divsChild>
        <w:div w:id="1828014801">
          <w:marLeft w:val="0"/>
          <w:marRight w:val="0"/>
          <w:marTop w:val="0"/>
          <w:marBottom w:val="0"/>
          <w:divBdr>
            <w:top w:val="none" w:sz="0" w:space="0" w:color="auto"/>
            <w:left w:val="none" w:sz="0" w:space="0" w:color="auto"/>
            <w:bottom w:val="none" w:sz="0" w:space="0" w:color="auto"/>
            <w:right w:val="none" w:sz="0" w:space="0" w:color="auto"/>
          </w:divBdr>
          <w:divsChild>
            <w:div w:id="1766223856">
              <w:marLeft w:val="0"/>
              <w:marRight w:val="0"/>
              <w:marTop w:val="0"/>
              <w:marBottom w:val="0"/>
              <w:divBdr>
                <w:top w:val="none" w:sz="0" w:space="0" w:color="auto"/>
                <w:left w:val="none" w:sz="0" w:space="0" w:color="auto"/>
                <w:bottom w:val="none" w:sz="0" w:space="0" w:color="auto"/>
                <w:right w:val="none" w:sz="0" w:space="0" w:color="auto"/>
              </w:divBdr>
              <w:divsChild>
                <w:div w:id="309603914">
                  <w:marLeft w:val="0"/>
                  <w:marRight w:val="0"/>
                  <w:marTop w:val="0"/>
                  <w:marBottom w:val="0"/>
                  <w:divBdr>
                    <w:top w:val="none" w:sz="0" w:space="0" w:color="auto"/>
                    <w:left w:val="none" w:sz="0" w:space="0" w:color="auto"/>
                    <w:bottom w:val="none" w:sz="0" w:space="0" w:color="auto"/>
                    <w:right w:val="none" w:sz="0" w:space="0" w:color="auto"/>
                  </w:divBdr>
                  <w:divsChild>
                    <w:div w:id="606422959">
                      <w:marLeft w:val="0"/>
                      <w:marRight w:val="0"/>
                      <w:marTop w:val="0"/>
                      <w:marBottom w:val="0"/>
                      <w:divBdr>
                        <w:top w:val="none" w:sz="0" w:space="0" w:color="auto"/>
                        <w:left w:val="none" w:sz="0" w:space="0" w:color="auto"/>
                        <w:bottom w:val="none" w:sz="0" w:space="0" w:color="auto"/>
                        <w:right w:val="none" w:sz="0" w:space="0" w:color="auto"/>
                      </w:divBdr>
                      <w:divsChild>
                        <w:div w:id="1026054094">
                          <w:marLeft w:val="0"/>
                          <w:marRight w:val="0"/>
                          <w:marTop w:val="0"/>
                          <w:marBottom w:val="0"/>
                          <w:divBdr>
                            <w:top w:val="none" w:sz="0" w:space="0" w:color="auto"/>
                            <w:left w:val="none" w:sz="0" w:space="0" w:color="auto"/>
                            <w:bottom w:val="none" w:sz="0" w:space="0" w:color="auto"/>
                            <w:right w:val="none" w:sz="0" w:space="0" w:color="auto"/>
                          </w:divBdr>
                          <w:divsChild>
                            <w:div w:id="8234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790678">
      <w:bodyDiv w:val="1"/>
      <w:marLeft w:val="0"/>
      <w:marRight w:val="0"/>
      <w:marTop w:val="0"/>
      <w:marBottom w:val="0"/>
      <w:divBdr>
        <w:top w:val="none" w:sz="0" w:space="0" w:color="auto"/>
        <w:left w:val="none" w:sz="0" w:space="0" w:color="auto"/>
        <w:bottom w:val="none" w:sz="0" w:space="0" w:color="auto"/>
        <w:right w:val="none" w:sz="0" w:space="0" w:color="auto"/>
      </w:divBdr>
    </w:div>
    <w:div w:id="1299726329">
      <w:bodyDiv w:val="1"/>
      <w:marLeft w:val="0"/>
      <w:marRight w:val="0"/>
      <w:marTop w:val="0"/>
      <w:marBottom w:val="0"/>
      <w:divBdr>
        <w:top w:val="none" w:sz="0" w:space="0" w:color="auto"/>
        <w:left w:val="none" w:sz="0" w:space="0" w:color="auto"/>
        <w:bottom w:val="none" w:sz="0" w:space="0" w:color="auto"/>
        <w:right w:val="none" w:sz="0" w:space="0" w:color="auto"/>
      </w:divBdr>
    </w:div>
    <w:div w:id="1382897757">
      <w:bodyDiv w:val="1"/>
      <w:marLeft w:val="0"/>
      <w:marRight w:val="0"/>
      <w:marTop w:val="0"/>
      <w:marBottom w:val="0"/>
      <w:divBdr>
        <w:top w:val="none" w:sz="0" w:space="0" w:color="auto"/>
        <w:left w:val="none" w:sz="0" w:space="0" w:color="auto"/>
        <w:bottom w:val="none" w:sz="0" w:space="0" w:color="auto"/>
        <w:right w:val="none" w:sz="0" w:space="0" w:color="auto"/>
      </w:divBdr>
    </w:div>
    <w:div w:id="1384212233">
      <w:bodyDiv w:val="1"/>
      <w:marLeft w:val="0"/>
      <w:marRight w:val="0"/>
      <w:marTop w:val="0"/>
      <w:marBottom w:val="0"/>
      <w:divBdr>
        <w:top w:val="none" w:sz="0" w:space="0" w:color="auto"/>
        <w:left w:val="none" w:sz="0" w:space="0" w:color="auto"/>
        <w:bottom w:val="none" w:sz="0" w:space="0" w:color="auto"/>
        <w:right w:val="none" w:sz="0" w:space="0" w:color="auto"/>
      </w:divBdr>
    </w:div>
    <w:div w:id="1434595779">
      <w:bodyDiv w:val="1"/>
      <w:marLeft w:val="0"/>
      <w:marRight w:val="0"/>
      <w:marTop w:val="0"/>
      <w:marBottom w:val="0"/>
      <w:divBdr>
        <w:top w:val="none" w:sz="0" w:space="0" w:color="auto"/>
        <w:left w:val="none" w:sz="0" w:space="0" w:color="auto"/>
        <w:bottom w:val="none" w:sz="0" w:space="0" w:color="auto"/>
        <w:right w:val="none" w:sz="0" w:space="0" w:color="auto"/>
      </w:divBdr>
    </w:div>
    <w:div w:id="1456949021">
      <w:bodyDiv w:val="1"/>
      <w:marLeft w:val="0"/>
      <w:marRight w:val="0"/>
      <w:marTop w:val="0"/>
      <w:marBottom w:val="0"/>
      <w:divBdr>
        <w:top w:val="none" w:sz="0" w:space="0" w:color="auto"/>
        <w:left w:val="none" w:sz="0" w:space="0" w:color="auto"/>
        <w:bottom w:val="none" w:sz="0" w:space="0" w:color="auto"/>
        <w:right w:val="none" w:sz="0" w:space="0" w:color="auto"/>
      </w:divBdr>
    </w:div>
    <w:div w:id="1569028158">
      <w:bodyDiv w:val="1"/>
      <w:marLeft w:val="0"/>
      <w:marRight w:val="0"/>
      <w:marTop w:val="0"/>
      <w:marBottom w:val="0"/>
      <w:divBdr>
        <w:top w:val="none" w:sz="0" w:space="0" w:color="auto"/>
        <w:left w:val="none" w:sz="0" w:space="0" w:color="auto"/>
        <w:bottom w:val="none" w:sz="0" w:space="0" w:color="auto"/>
        <w:right w:val="none" w:sz="0" w:space="0" w:color="auto"/>
      </w:divBdr>
    </w:div>
    <w:div w:id="1766461334">
      <w:bodyDiv w:val="1"/>
      <w:marLeft w:val="0"/>
      <w:marRight w:val="0"/>
      <w:marTop w:val="0"/>
      <w:marBottom w:val="0"/>
      <w:divBdr>
        <w:top w:val="none" w:sz="0" w:space="0" w:color="auto"/>
        <w:left w:val="none" w:sz="0" w:space="0" w:color="auto"/>
        <w:bottom w:val="none" w:sz="0" w:space="0" w:color="auto"/>
        <w:right w:val="none" w:sz="0" w:space="0" w:color="auto"/>
      </w:divBdr>
    </w:div>
    <w:div w:id="1769350557">
      <w:bodyDiv w:val="1"/>
      <w:marLeft w:val="0"/>
      <w:marRight w:val="0"/>
      <w:marTop w:val="0"/>
      <w:marBottom w:val="0"/>
      <w:divBdr>
        <w:top w:val="none" w:sz="0" w:space="0" w:color="auto"/>
        <w:left w:val="none" w:sz="0" w:space="0" w:color="auto"/>
        <w:bottom w:val="none" w:sz="0" w:space="0" w:color="auto"/>
        <w:right w:val="none" w:sz="0" w:space="0" w:color="auto"/>
      </w:divBdr>
    </w:div>
    <w:div w:id="1788233457">
      <w:bodyDiv w:val="1"/>
      <w:marLeft w:val="0"/>
      <w:marRight w:val="0"/>
      <w:marTop w:val="0"/>
      <w:marBottom w:val="0"/>
      <w:divBdr>
        <w:top w:val="none" w:sz="0" w:space="0" w:color="auto"/>
        <w:left w:val="none" w:sz="0" w:space="0" w:color="auto"/>
        <w:bottom w:val="none" w:sz="0" w:space="0" w:color="auto"/>
        <w:right w:val="none" w:sz="0" w:space="0" w:color="auto"/>
      </w:divBdr>
    </w:div>
    <w:div w:id="1795560976">
      <w:bodyDiv w:val="1"/>
      <w:marLeft w:val="0"/>
      <w:marRight w:val="0"/>
      <w:marTop w:val="0"/>
      <w:marBottom w:val="0"/>
      <w:divBdr>
        <w:top w:val="none" w:sz="0" w:space="0" w:color="auto"/>
        <w:left w:val="none" w:sz="0" w:space="0" w:color="auto"/>
        <w:bottom w:val="none" w:sz="0" w:space="0" w:color="auto"/>
        <w:right w:val="none" w:sz="0" w:space="0" w:color="auto"/>
      </w:divBdr>
    </w:div>
    <w:div w:id="1818569581">
      <w:bodyDiv w:val="1"/>
      <w:marLeft w:val="0"/>
      <w:marRight w:val="0"/>
      <w:marTop w:val="0"/>
      <w:marBottom w:val="0"/>
      <w:divBdr>
        <w:top w:val="none" w:sz="0" w:space="0" w:color="auto"/>
        <w:left w:val="none" w:sz="0" w:space="0" w:color="auto"/>
        <w:bottom w:val="none" w:sz="0" w:space="0" w:color="auto"/>
        <w:right w:val="none" w:sz="0" w:space="0" w:color="auto"/>
      </w:divBdr>
    </w:div>
    <w:div w:id="1881546604">
      <w:bodyDiv w:val="1"/>
      <w:marLeft w:val="0"/>
      <w:marRight w:val="0"/>
      <w:marTop w:val="0"/>
      <w:marBottom w:val="0"/>
      <w:divBdr>
        <w:top w:val="none" w:sz="0" w:space="0" w:color="auto"/>
        <w:left w:val="none" w:sz="0" w:space="0" w:color="auto"/>
        <w:bottom w:val="none" w:sz="0" w:space="0" w:color="auto"/>
        <w:right w:val="none" w:sz="0" w:space="0" w:color="auto"/>
      </w:divBdr>
      <w:divsChild>
        <w:div w:id="1443722601">
          <w:marLeft w:val="0"/>
          <w:marRight w:val="0"/>
          <w:marTop w:val="0"/>
          <w:marBottom w:val="0"/>
          <w:divBdr>
            <w:top w:val="none" w:sz="0" w:space="0" w:color="auto"/>
            <w:left w:val="none" w:sz="0" w:space="0" w:color="auto"/>
            <w:bottom w:val="none" w:sz="0" w:space="0" w:color="auto"/>
            <w:right w:val="none" w:sz="0" w:space="0" w:color="auto"/>
          </w:divBdr>
          <w:divsChild>
            <w:div w:id="292753888">
              <w:marLeft w:val="0"/>
              <w:marRight w:val="0"/>
              <w:marTop w:val="0"/>
              <w:marBottom w:val="0"/>
              <w:divBdr>
                <w:top w:val="none" w:sz="0" w:space="0" w:color="auto"/>
                <w:left w:val="none" w:sz="0" w:space="0" w:color="auto"/>
                <w:bottom w:val="none" w:sz="0" w:space="0" w:color="auto"/>
                <w:right w:val="none" w:sz="0" w:space="0" w:color="auto"/>
              </w:divBdr>
              <w:divsChild>
                <w:div w:id="505171397">
                  <w:marLeft w:val="0"/>
                  <w:marRight w:val="0"/>
                  <w:marTop w:val="0"/>
                  <w:marBottom w:val="0"/>
                  <w:divBdr>
                    <w:top w:val="none" w:sz="0" w:space="0" w:color="auto"/>
                    <w:left w:val="none" w:sz="0" w:space="0" w:color="auto"/>
                    <w:bottom w:val="none" w:sz="0" w:space="0" w:color="auto"/>
                    <w:right w:val="none" w:sz="0" w:space="0" w:color="auto"/>
                  </w:divBdr>
                  <w:divsChild>
                    <w:div w:id="1247686203">
                      <w:marLeft w:val="0"/>
                      <w:marRight w:val="0"/>
                      <w:marTop w:val="0"/>
                      <w:marBottom w:val="0"/>
                      <w:divBdr>
                        <w:top w:val="none" w:sz="0" w:space="0" w:color="auto"/>
                        <w:left w:val="none" w:sz="0" w:space="0" w:color="auto"/>
                        <w:bottom w:val="none" w:sz="0" w:space="0" w:color="auto"/>
                        <w:right w:val="none" w:sz="0" w:space="0" w:color="auto"/>
                      </w:divBdr>
                      <w:divsChild>
                        <w:div w:id="1615869511">
                          <w:marLeft w:val="0"/>
                          <w:marRight w:val="0"/>
                          <w:marTop w:val="0"/>
                          <w:marBottom w:val="0"/>
                          <w:divBdr>
                            <w:top w:val="none" w:sz="0" w:space="0" w:color="auto"/>
                            <w:left w:val="none" w:sz="0" w:space="0" w:color="auto"/>
                            <w:bottom w:val="none" w:sz="0" w:space="0" w:color="auto"/>
                            <w:right w:val="none" w:sz="0" w:space="0" w:color="auto"/>
                          </w:divBdr>
                          <w:divsChild>
                            <w:div w:id="46539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465812">
      <w:bodyDiv w:val="1"/>
      <w:marLeft w:val="0"/>
      <w:marRight w:val="0"/>
      <w:marTop w:val="0"/>
      <w:marBottom w:val="0"/>
      <w:divBdr>
        <w:top w:val="none" w:sz="0" w:space="0" w:color="auto"/>
        <w:left w:val="none" w:sz="0" w:space="0" w:color="auto"/>
        <w:bottom w:val="none" w:sz="0" w:space="0" w:color="auto"/>
        <w:right w:val="none" w:sz="0" w:space="0" w:color="auto"/>
      </w:divBdr>
    </w:div>
    <w:div w:id="1944340781">
      <w:bodyDiv w:val="1"/>
      <w:marLeft w:val="0"/>
      <w:marRight w:val="0"/>
      <w:marTop w:val="0"/>
      <w:marBottom w:val="0"/>
      <w:divBdr>
        <w:top w:val="none" w:sz="0" w:space="0" w:color="auto"/>
        <w:left w:val="none" w:sz="0" w:space="0" w:color="auto"/>
        <w:bottom w:val="none" w:sz="0" w:space="0" w:color="auto"/>
        <w:right w:val="none" w:sz="0" w:space="0" w:color="auto"/>
      </w:divBdr>
    </w:div>
    <w:div w:id="2000962109">
      <w:bodyDiv w:val="1"/>
      <w:marLeft w:val="0"/>
      <w:marRight w:val="0"/>
      <w:marTop w:val="0"/>
      <w:marBottom w:val="0"/>
      <w:divBdr>
        <w:top w:val="none" w:sz="0" w:space="0" w:color="auto"/>
        <w:left w:val="none" w:sz="0" w:space="0" w:color="auto"/>
        <w:bottom w:val="none" w:sz="0" w:space="0" w:color="auto"/>
        <w:right w:val="none" w:sz="0" w:space="0" w:color="auto"/>
      </w:divBdr>
    </w:div>
    <w:div w:id="2031835403">
      <w:bodyDiv w:val="1"/>
      <w:marLeft w:val="0"/>
      <w:marRight w:val="0"/>
      <w:marTop w:val="0"/>
      <w:marBottom w:val="0"/>
      <w:divBdr>
        <w:top w:val="none" w:sz="0" w:space="0" w:color="auto"/>
        <w:left w:val="none" w:sz="0" w:space="0" w:color="auto"/>
        <w:bottom w:val="none" w:sz="0" w:space="0" w:color="auto"/>
        <w:right w:val="none" w:sz="0" w:space="0" w:color="auto"/>
      </w:divBdr>
    </w:div>
    <w:div w:id="2033532441">
      <w:bodyDiv w:val="1"/>
      <w:marLeft w:val="0"/>
      <w:marRight w:val="0"/>
      <w:marTop w:val="0"/>
      <w:marBottom w:val="0"/>
      <w:divBdr>
        <w:top w:val="none" w:sz="0" w:space="0" w:color="auto"/>
        <w:left w:val="none" w:sz="0" w:space="0" w:color="auto"/>
        <w:bottom w:val="none" w:sz="0" w:space="0" w:color="auto"/>
        <w:right w:val="none" w:sz="0" w:space="0" w:color="auto"/>
      </w:divBdr>
    </w:div>
    <w:div w:id="2135172883">
      <w:bodyDiv w:val="1"/>
      <w:marLeft w:val="0"/>
      <w:marRight w:val="0"/>
      <w:marTop w:val="0"/>
      <w:marBottom w:val="0"/>
      <w:divBdr>
        <w:top w:val="none" w:sz="0" w:space="0" w:color="auto"/>
        <w:left w:val="none" w:sz="0" w:space="0" w:color="auto"/>
        <w:bottom w:val="none" w:sz="0" w:space="0" w:color="auto"/>
        <w:right w:val="none" w:sz="0" w:space="0" w:color="auto"/>
      </w:divBdr>
    </w:div>
    <w:div w:id="214191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hyperlink" Target="mailto:oluwalana.fa@achievers.edu.ng" TargetMode="Externa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hyperlink" Target="https://doi.org/10.57233/gijmss.v8i1.6"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8" Type="http://schemas.openxmlformats.org/officeDocument/2006/relationships/hyperlink" Target="mailto:joawoyemi@ksukabba.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3491</TotalTime>
  <Pages>28</Pages>
  <Words>10757</Words>
  <Characters>61317</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230</cp:revision>
  <dcterms:created xsi:type="dcterms:W3CDTF">2026-03-14T15:49:00Z</dcterms:created>
  <dcterms:modified xsi:type="dcterms:W3CDTF">2026-06-23T20:29:00Z</dcterms:modified>
</cp:coreProperties>
</file>