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F47EC" w14:textId="79E35F49" w:rsidR="00024043" w:rsidRDefault="00CC2972" w:rsidP="00355D14">
      <w:pPr>
        <w:spacing w:after="0" w:line="240" w:lineRule="auto"/>
        <w:jc w:val="center"/>
        <w:rPr>
          <w:rFonts w:ascii="Arial" w:hAnsi="Arial" w:cs="Arial"/>
          <w:b/>
          <w:bCs/>
          <w:sz w:val="24"/>
          <w:szCs w:val="24"/>
        </w:rPr>
      </w:pPr>
      <w:r>
        <w:rPr>
          <w:rFonts w:ascii="Arial" w:hAnsi="Arial" w:cs="Arial"/>
          <w:b/>
          <w:bCs/>
          <w:noProof/>
          <w:sz w:val="24"/>
          <w:szCs w:val="24"/>
        </w:rPr>
        <mc:AlternateContent>
          <mc:Choice Requires="wps">
            <w:drawing>
              <wp:anchor distT="0" distB="0" distL="114300" distR="114300" simplePos="0" relativeHeight="251715584" behindDoc="0" locked="0" layoutInCell="1" allowOverlap="1" wp14:anchorId="5087385B" wp14:editId="729C04CA">
                <wp:simplePos x="0" y="0"/>
                <wp:positionH relativeFrom="column">
                  <wp:posOffset>-15403</wp:posOffset>
                </wp:positionH>
                <wp:positionV relativeFrom="paragraph">
                  <wp:posOffset>-506730</wp:posOffset>
                </wp:positionV>
                <wp:extent cx="162963" cy="190123"/>
                <wp:effectExtent l="0" t="0" r="8890" b="635"/>
                <wp:wrapNone/>
                <wp:docPr id="1284809259" name="Rectangle 16"/>
                <wp:cNvGraphicFramePr/>
                <a:graphic xmlns:a="http://schemas.openxmlformats.org/drawingml/2006/main">
                  <a:graphicData uri="http://schemas.microsoft.com/office/word/2010/wordprocessingShape">
                    <wps:wsp>
                      <wps:cNvSpPr/>
                      <wps:spPr>
                        <a:xfrm>
                          <a:off x="0" y="0"/>
                          <a:ext cx="162963" cy="19012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A734C" id="Rectangle 16" o:spid="_x0000_s1026" style="position:absolute;margin-left:-1.2pt;margin-top:-39.9pt;width:12.85pt;height:1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" fillcolor="white [3212]" stroked="f" strokeweight="1pt"/>
            </w:pict>
          </mc:Fallback>
        </mc:AlternateContent>
      </w:r>
    </w:p>
    <w:p w14:paraId="3D6838C2" w14:textId="7F4601C8" w:rsidR="00E41FA6" w:rsidRDefault="00E62DB3" w:rsidP="00355D14">
      <w:pPr>
        <w:spacing w:after="0" w:line="240" w:lineRule="auto"/>
        <w:jc w:val="center"/>
        <w:rPr>
          <w:rFonts w:ascii="Arial" w:hAnsi="Arial" w:cs="Arial"/>
          <w:b/>
          <w:bCs/>
          <w:sz w:val="24"/>
          <w:szCs w:val="24"/>
        </w:rPr>
      </w:pPr>
      <w:r>
        <w:rPr>
          <w:rFonts w:ascii="Arial" w:hAnsi="Arial" w:cs="Arial"/>
          <w:b/>
          <w:bCs/>
          <w:sz w:val="24"/>
          <w:szCs w:val="24"/>
        </w:rPr>
        <w:t>SCHOOL-BASED DISASTER PREPAREDNESS AND RESPONSE</w:t>
      </w:r>
      <w:r w:rsidR="00355D14">
        <w:rPr>
          <w:rFonts w:ascii="Arial" w:hAnsi="Arial" w:cs="Arial"/>
          <w:b/>
          <w:bCs/>
          <w:sz w:val="24"/>
          <w:szCs w:val="24"/>
        </w:rPr>
        <w:t xml:space="preserve"> </w:t>
      </w:r>
      <w:r>
        <w:rPr>
          <w:rFonts w:ascii="Arial" w:hAnsi="Arial" w:cs="Arial"/>
          <w:b/>
          <w:bCs/>
          <w:sz w:val="24"/>
          <w:szCs w:val="24"/>
        </w:rPr>
        <w:t xml:space="preserve">MEASURES OF SCHOOL </w:t>
      </w:r>
      <w:r w:rsidR="0009092D">
        <w:rPr>
          <w:rFonts w:ascii="Arial" w:hAnsi="Arial" w:cs="Arial"/>
          <w:b/>
          <w:bCs/>
          <w:sz w:val="24"/>
          <w:szCs w:val="24"/>
        </w:rPr>
        <w:t>HEADS</w:t>
      </w:r>
      <w:r>
        <w:rPr>
          <w:rFonts w:ascii="Arial" w:hAnsi="Arial" w:cs="Arial"/>
          <w:b/>
          <w:bCs/>
          <w:sz w:val="24"/>
          <w:szCs w:val="24"/>
        </w:rPr>
        <w:t xml:space="preserve"> IN DAVAO DE ORO </w:t>
      </w:r>
    </w:p>
    <w:p w14:paraId="1F6E5C8D" w14:textId="77777777" w:rsidR="00E41FA6" w:rsidRDefault="00E62DB3" w:rsidP="00E41FA6">
      <w:pPr>
        <w:spacing w:after="0" w:line="240" w:lineRule="auto"/>
        <w:jc w:val="center"/>
        <w:rPr>
          <w:rFonts w:ascii="Arial" w:hAnsi="Arial" w:cs="Arial"/>
          <w:b/>
          <w:bCs/>
          <w:sz w:val="24"/>
          <w:szCs w:val="24"/>
        </w:rPr>
      </w:pPr>
      <w:r>
        <w:rPr>
          <w:rFonts w:ascii="Arial" w:hAnsi="Arial" w:cs="Arial"/>
          <w:b/>
          <w:bCs/>
          <w:sz w:val="24"/>
          <w:szCs w:val="24"/>
        </w:rPr>
        <w:t/>
      </w:r>
      <w:r w:rsidR="00162BDA">
        <w:rPr>
          <w:rFonts w:ascii="Arial" w:hAnsi="Arial" w:cs="Arial"/>
          <w:b/>
          <w:bCs/>
          <w:sz w:val="24"/>
          <w:szCs w:val="24"/>
        </w:rPr>
        <w:t xml:space="preserve"/>
      </w:r>
      <w:r w:rsidR="00355D14">
        <w:rPr>
          <w:rFonts w:ascii="Arial" w:hAnsi="Arial" w:cs="Arial"/>
          <w:b/>
          <w:bCs/>
          <w:sz w:val="24"/>
          <w:szCs w:val="24"/>
        </w:rPr>
        <w:t/>
      </w:r>
    </w:p>
    <w:p w14:paraId="4C920A1D" w14:textId="77777777" w:rsidR="00E41FA6" w:rsidRDefault="00E41FA6" w:rsidP="00E41FA6">
      <w:pPr>
        <w:spacing w:after="0" w:line="240" w:lineRule="auto"/>
        <w:jc w:val="center"/>
        <w:rPr>
          <w:rFonts w:ascii="Arial" w:hAnsi="Arial" w:cs="Arial"/>
          <w:b/>
          <w:bCs/>
          <w:sz w:val="24"/>
          <w:szCs w:val="24"/>
        </w:rPr>
      </w:pPr>
    </w:p>
    <w:p w14:paraId="0810B530" w14:textId="77777777" w:rsidR="00E41FA6" w:rsidRDefault="00E41FA6" w:rsidP="00E41FA6">
      <w:pPr>
        <w:spacing w:after="0" w:line="240" w:lineRule="auto"/>
        <w:jc w:val="center"/>
        <w:rPr>
          <w:rFonts w:ascii="Arial" w:hAnsi="Arial" w:cs="Arial"/>
          <w:b/>
          <w:bCs/>
          <w:sz w:val="24"/>
          <w:szCs w:val="24"/>
        </w:rPr>
      </w:pPr>
    </w:p>
    <w:p w14:paraId="1DA4554A" w14:textId="77777777" w:rsidR="00E41FA6" w:rsidRDefault="00E41FA6" w:rsidP="00E41FA6">
      <w:pPr>
        <w:spacing w:after="0" w:line="240" w:lineRule="auto"/>
        <w:jc w:val="center"/>
        <w:rPr>
          <w:rFonts w:ascii="Arial" w:hAnsi="Arial" w:cs="Arial"/>
          <w:b/>
          <w:bCs/>
          <w:sz w:val="24"/>
          <w:szCs w:val="24"/>
        </w:rPr>
      </w:pPr>
    </w:p>
    <w:p w14:paraId="7A3DADD3" w14:textId="26BE2295" w:rsidR="00B237E2" w:rsidRPr="00E41FA6" w:rsidRDefault="00B31217" w:rsidP="00E41FA6">
      <w:pPr>
        <w:spacing w:after="0" w:line="240" w:lineRule="auto"/>
        <w:jc w:val="center"/>
        <w:rPr>
          <w:rFonts w:ascii="Arial" w:hAnsi="Arial" w:cs="Arial"/>
          <w:b/>
          <w:bCs/>
          <w:sz w:val="24"/>
          <w:szCs w:val="24"/>
        </w:rPr>
      </w:pPr>
      <w:r w:rsidRPr="00064C44">
        <w:rPr>
          <w:rFonts w:ascii="Arial" w:eastAsia="Times New Roman" w:hAnsi="Arial" w:cs="Arial"/>
          <w:noProof/>
          <w:sz w:val="24"/>
          <w:szCs w:val="24"/>
          <w:lang w:val="en-PH" w:eastAsia="en-PH"/>
        </w:rPr>
        <w:drawing>
          <wp:anchor distT="0" distB="0" distL="114300" distR="114300" simplePos="0" relativeHeight="251659264" behindDoc="1" locked="0" layoutInCell="1" allowOverlap="1" wp14:anchorId="62FDB861" wp14:editId="16093815">
            <wp:simplePos x="0" y="0"/>
            <wp:positionH relativeFrom="margin">
              <wp:posOffset>2057400</wp:posOffset>
            </wp:positionH>
            <wp:positionV relativeFrom="paragraph">
              <wp:posOffset>158224</wp:posOffset>
            </wp:positionV>
            <wp:extent cx="1362075" cy="1322705"/>
            <wp:effectExtent l="0" t="0" r="9525" b="0"/>
            <wp:wrapTight wrapText="bothSides">
              <wp:wrapPolygon edited="0">
                <wp:start x="0" y="0"/>
                <wp:lineTo x="0" y="21154"/>
                <wp:lineTo x="21449" y="21154"/>
                <wp:lineTo x="21449" y="0"/>
                <wp:lineTo x="0" y="0"/>
              </wp:wrapPolygon>
            </wp:wrapTight>
            <wp:docPr id="1" name="Picture 1" descr="LOGO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2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BA54F" w14:textId="5D692BB2" w:rsidR="00B237E2" w:rsidRPr="00B237E2" w:rsidRDefault="00B237E2" w:rsidP="00B237E2">
      <w:pPr>
        <w:rPr>
          <w:rFonts w:ascii="Arial" w:hAnsi="Arial" w:cs="Arial"/>
          <w:sz w:val="24"/>
          <w:szCs w:val="24"/>
        </w:rPr>
      </w:pPr>
    </w:p>
    <w:p w14:paraId="257031A1" w14:textId="4A66F2CB" w:rsidR="00B237E2" w:rsidRPr="00B237E2" w:rsidRDefault="00B237E2" w:rsidP="00B237E2">
      <w:pPr>
        <w:rPr>
          <w:rFonts w:ascii="Arial" w:hAnsi="Arial" w:cs="Arial"/>
          <w:sz w:val="24"/>
          <w:szCs w:val="24"/>
        </w:rPr>
      </w:pPr>
    </w:p>
    <w:p w14:paraId="38C8C2A7" w14:textId="77777777" w:rsidR="00B237E2" w:rsidRPr="00B237E2" w:rsidRDefault="00B237E2" w:rsidP="00B237E2">
      <w:pPr>
        <w:rPr>
          <w:rFonts w:ascii="Arial" w:hAnsi="Arial" w:cs="Arial"/>
          <w:sz w:val="24"/>
          <w:szCs w:val="24"/>
        </w:rPr>
      </w:pPr>
    </w:p>
    <w:p w14:paraId="1E9BC5D4" w14:textId="77777777" w:rsidR="00B237E2" w:rsidRPr="00B237E2" w:rsidRDefault="00B237E2" w:rsidP="00B237E2">
      <w:pPr>
        <w:rPr>
          <w:rFonts w:ascii="Arial" w:hAnsi="Arial" w:cs="Arial"/>
          <w:sz w:val="24"/>
          <w:szCs w:val="24"/>
        </w:rPr>
      </w:pPr>
    </w:p>
    <w:p w14:paraId="6790B392" w14:textId="77777777" w:rsidR="00B237E2" w:rsidRPr="00311F19" w:rsidRDefault="00B237E2" w:rsidP="00311F19">
      <w:pPr>
        <w:pStyle w:val="NoSpacing"/>
        <w:jc w:val="both"/>
        <w:rPr>
          <w:rFonts w:ascii="Arial" w:hAnsi="Arial" w:cs="Arial"/>
          <w:bCs/>
          <w:sz w:val="24"/>
          <w:szCs w:val="24"/>
        </w:rPr>
      </w:pPr>
    </w:p>
    <w:p w14:paraId="399ECE55" w14:textId="77777777" w:rsidR="00E41FA6" w:rsidRDefault="00E41FA6" w:rsidP="00695D90">
      <w:pPr>
        <w:pBdr>
          <w:top w:val="nil"/>
          <w:left w:val="nil"/>
          <w:bottom w:val="nil"/>
          <w:right w:val="nil"/>
          <w:between w:val="nil"/>
        </w:pBdr>
        <w:spacing w:after="0" w:line="240" w:lineRule="auto"/>
        <w:jc w:val="center"/>
        <w:rPr>
          <w:rFonts w:ascii="Arial" w:eastAsia="Arial" w:hAnsi="Arial" w:cs="Arial"/>
          <w:color w:val="000000"/>
        </w:rPr>
      </w:pPr>
    </w:p>
    <w:p w14:paraId="42D688BF" w14:textId="77777777" w:rsidR="00E41FA6" w:rsidRDefault="00E41FA6" w:rsidP="00695D90">
      <w:pPr>
        <w:pBdr>
          <w:top w:val="nil"/>
          <w:left w:val="nil"/>
          <w:bottom w:val="nil"/>
          <w:right w:val="nil"/>
          <w:between w:val="nil"/>
        </w:pBdr>
        <w:spacing w:after="0" w:line="240" w:lineRule="auto"/>
        <w:jc w:val="center"/>
        <w:rPr>
          <w:rFonts w:ascii="Arial" w:eastAsia="Arial" w:hAnsi="Arial" w:cs="Arial"/>
          <w:color w:val="000000"/>
        </w:rPr>
      </w:pPr>
    </w:p>
    <w:p w14:paraId="02C9E8D3" w14:textId="77777777" w:rsidR="00E41FA6" w:rsidRDefault="00E41FA6" w:rsidP="00695D90">
      <w:pPr>
        <w:pBdr>
          <w:top w:val="nil"/>
          <w:left w:val="nil"/>
          <w:bottom w:val="nil"/>
          <w:right w:val="nil"/>
          <w:between w:val="nil"/>
        </w:pBdr>
        <w:spacing w:after="0" w:line="240" w:lineRule="auto"/>
        <w:jc w:val="center"/>
        <w:rPr>
          <w:rFonts w:ascii="Arial" w:eastAsia="Arial" w:hAnsi="Arial" w:cs="Arial"/>
          <w:color w:val="000000"/>
        </w:rPr>
      </w:pPr>
    </w:p>
    <w:p w14:paraId="677FD1A7" w14:textId="77777777" w:rsidR="00E41FA6" w:rsidRDefault="00E41FA6" w:rsidP="00695D90">
      <w:pPr>
        <w:pBdr>
          <w:top w:val="nil"/>
          <w:left w:val="nil"/>
          <w:bottom w:val="nil"/>
          <w:right w:val="nil"/>
          <w:between w:val="nil"/>
        </w:pBdr>
        <w:spacing w:after="0" w:line="240" w:lineRule="auto"/>
        <w:jc w:val="center"/>
        <w:rPr>
          <w:rFonts w:ascii="Arial" w:eastAsia="Arial" w:hAnsi="Arial" w:cs="Arial"/>
          <w:color w:val="000000"/>
        </w:rPr>
      </w:pPr>
    </w:p>
    <w:p w14:paraId="7429546E" w14:textId="77777777" w:rsidR="00E41FA6" w:rsidRDefault="00E41FA6" w:rsidP="00695D90">
      <w:pPr>
        <w:pBdr>
          <w:top w:val="nil"/>
          <w:left w:val="nil"/>
          <w:bottom w:val="nil"/>
          <w:right w:val="nil"/>
          <w:between w:val="nil"/>
        </w:pBdr>
        <w:spacing w:after="0" w:line="240" w:lineRule="auto"/>
        <w:jc w:val="center"/>
        <w:rPr>
          <w:rFonts w:ascii="Arial" w:eastAsia="Arial" w:hAnsi="Arial" w:cs="Arial"/>
          <w:color w:val="000000"/>
        </w:rPr>
      </w:pPr>
    </w:p>
    <w:p w14:paraId="5FFF1C48" w14:textId="3B48D53D" w:rsidR="00695D90" w:rsidRDefault="00695D90" w:rsidP="00695D90">
      <w:pPr>
        <w:pBdr>
          <w:top w:val="nil"/>
          <w:left w:val="nil"/>
          <w:bottom w:val="nil"/>
          <w:right w:val="nil"/>
          <w:between w:val="nil"/>
        </w:pBdr>
        <w:spacing w:after="0" w:line="240" w:lineRule="auto"/>
        <w:jc w:val="center"/>
      </w:pPr>
      <w:r>
        <w:rPr>
          <w:rFonts w:ascii="Arial" w:eastAsia="Arial" w:hAnsi="Arial" w:cs="Arial"/>
          <w:color w:val="000000"/>
        </w:rPr>
        <w:t/>
      </w:r>
    </w:p>
    <w:p w14:paraId="58ECD923" w14:textId="77777777" w:rsidR="00695D90" w:rsidRDefault="00695D90" w:rsidP="00695D90">
      <w:pPr>
        <w:pBdr>
          <w:top w:val="nil"/>
          <w:left w:val="nil"/>
          <w:bottom w:val="nil"/>
          <w:right w:val="nil"/>
          <w:between w:val="nil"/>
        </w:pBdr>
        <w:spacing w:after="0" w:line="240" w:lineRule="auto"/>
        <w:jc w:val="center"/>
      </w:pPr>
      <w:r>
        <w:rPr>
          <w:rFonts w:ascii="Arial" w:eastAsia="Arial" w:hAnsi="Arial" w:cs="Arial"/>
          <w:color w:val="000000"/>
        </w:rPr>
        <w:t/>
      </w:r>
    </w:p>
    <w:p w14:paraId="1152EB89" w14:textId="77777777" w:rsidR="00695D90" w:rsidRDefault="00695D90" w:rsidP="00695D90">
      <w:pPr>
        <w:pBdr>
          <w:top w:val="nil"/>
          <w:left w:val="nil"/>
          <w:bottom w:val="nil"/>
          <w:right w:val="nil"/>
          <w:between w:val="nil"/>
        </w:pBdr>
        <w:spacing w:after="0" w:line="240" w:lineRule="auto"/>
        <w:jc w:val="center"/>
      </w:pPr>
      <w:r>
        <w:rPr>
          <w:rFonts w:ascii="Arial" w:eastAsia="Arial" w:hAnsi="Arial" w:cs="Arial"/>
          <w:color w:val="000000"/>
        </w:rPr>
        <w:t/>
      </w:r>
    </w:p>
    <w:p w14:paraId="77653F21" w14:textId="62606AF9" w:rsidR="00695D90" w:rsidRDefault="00695D90" w:rsidP="00E41FA6">
      <w:pPr>
        <w:pBdr>
          <w:top w:val="nil"/>
          <w:left w:val="nil"/>
          <w:bottom w:val="nil"/>
          <w:right w:val="nil"/>
          <w:between w:val="nil"/>
        </w:pBdr>
        <w:spacing w:after="0" w:line="240" w:lineRule="auto"/>
        <w:jc w:val="center"/>
        <w:rPr>
          <w:rFonts w:ascii="Arial" w:eastAsia="Arial" w:hAnsi="Arial" w:cs="Arial"/>
          <w:color w:val="000000"/>
        </w:rPr>
      </w:pPr>
      <w:proofErr w:type="spellStart"/>
      <w:r>
        <w:rPr>
          <w:rFonts w:ascii="Arial" w:eastAsia="Arial" w:hAnsi="Arial" w:cs="Arial"/>
          <w:color w:val="000000"/>
        </w:rPr>
        <w:t/>
      </w:r>
      <w:proofErr w:type="spellEnd"/>
      <w:r>
        <w:rPr>
          <w:rFonts w:ascii="Arial" w:eastAsia="Arial" w:hAnsi="Arial" w:cs="Arial"/>
          <w:color w:val="000000"/>
        </w:rPr>
        <w:t xml:space="preserve"/>
      </w:r>
    </w:p>
    <w:p w14:paraId="39AAD15E" w14:textId="77777777" w:rsidR="00E41FA6" w:rsidRDefault="00E41FA6" w:rsidP="00E41FA6">
      <w:pPr>
        <w:pBdr>
          <w:top w:val="nil"/>
          <w:left w:val="nil"/>
          <w:bottom w:val="nil"/>
          <w:right w:val="nil"/>
          <w:between w:val="nil"/>
        </w:pBdr>
        <w:spacing w:after="0" w:line="240" w:lineRule="auto"/>
        <w:jc w:val="center"/>
        <w:rPr>
          <w:rFonts w:ascii="Arial" w:eastAsia="Arial" w:hAnsi="Arial" w:cs="Arial"/>
          <w:color w:val="000000"/>
        </w:rPr>
      </w:pPr>
    </w:p>
    <w:p w14:paraId="3B8CA10A" w14:textId="77777777" w:rsidR="00E41FA6" w:rsidRDefault="00E41FA6" w:rsidP="00E41FA6">
      <w:pPr>
        <w:pBdr>
          <w:top w:val="nil"/>
          <w:left w:val="nil"/>
          <w:bottom w:val="nil"/>
          <w:right w:val="nil"/>
          <w:between w:val="nil"/>
        </w:pBdr>
        <w:spacing w:after="0" w:line="240" w:lineRule="auto"/>
        <w:jc w:val="center"/>
        <w:rPr>
          <w:rFonts w:ascii="Arial" w:eastAsia="Arial" w:hAnsi="Arial" w:cs="Arial"/>
          <w:color w:val="000000"/>
        </w:rPr>
      </w:pPr>
    </w:p>
    <w:p w14:paraId="284634D4" w14:textId="77777777" w:rsidR="00E41FA6" w:rsidRDefault="00E41FA6" w:rsidP="00E41FA6">
      <w:pPr>
        <w:pBdr>
          <w:top w:val="nil"/>
          <w:left w:val="nil"/>
          <w:bottom w:val="nil"/>
          <w:right w:val="nil"/>
          <w:between w:val="nil"/>
        </w:pBdr>
        <w:spacing w:after="0" w:line="240" w:lineRule="auto"/>
        <w:jc w:val="center"/>
        <w:rPr>
          <w:rFonts w:ascii="Arial" w:eastAsia="Arial" w:hAnsi="Arial" w:cs="Arial"/>
          <w:color w:val="000000"/>
        </w:rPr>
      </w:pPr>
    </w:p>
    <w:p w14:paraId="584029E7" w14:textId="77777777" w:rsidR="00E41FA6" w:rsidRDefault="00E41FA6" w:rsidP="00E41FA6">
      <w:pPr>
        <w:pBdr>
          <w:top w:val="nil"/>
          <w:left w:val="nil"/>
          <w:bottom w:val="nil"/>
          <w:right w:val="nil"/>
          <w:between w:val="nil"/>
        </w:pBdr>
        <w:spacing w:after="0" w:line="240" w:lineRule="auto"/>
        <w:jc w:val="center"/>
        <w:rPr>
          <w:rFonts w:ascii="Arial" w:eastAsia="Arial" w:hAnsi="Arial" w:cs="Arial"/>
          <w:color w:val="000000"/>
        </w:rPr>
      </w:pPr>
    </w:p>
    <w:p w14:paraId="438DB4BC" w14:textId="77777777" w:rsidR="00E41FA6" w:rsidRPr="00E41FA6" w:rsidRDefault="00E41FA6" w:rsidP="00E41FA6">
      <w:pPr>
        <w:pBdr>
          <w:top w:val="nil"/>
          <w:left w:val="nil"/>
          <w:bottom w:val="nil"/>
          <w:right w:val="nil"/>
          <w:between w:val="nil"/>
        </w:pBdr>
        <w:spacing w:after="0" w:line="240" w:lineRule="auto"/>
        <w:jc w:val="center"/>
      </w:pPr>
    </w:p>
    <w:p w14:paraId="0233BE31" w14:textId="77777777" w:rsidR="00695D90" w:rsidRPr="00DF22C5" w:rsidRDefault="00695D90" w:rsidP="00695D90">
      <w:pPr>
        <w:spacing w:after="0" w:line="240" w:lineRule="auto"/>
        <w:jc w:val="center"/>
        <w:rPr>
          <w:rFonts w:ascii="Arial" w:hAnsi="Arial" w:cs="Arial"/>
        </w:rPr>
      </w:pPr>
      <w:r w:rsidRPr="00DF22C5">
        <w:rPr>
          <w:rFonts w:ascii="Arial" w:hAnsi="Arial" w:cs="Arial"/>
          <w:color w:val="000000"/>
        </w:rPr>
        <w:t/>
      </w:r>
    </w:p>
    <w:p w14:paraId="1614122E" w14:textId="77777777" w:rsidR="00695D90" w:rsidRPr="00DF22C5" w:rsidRDefault="00695D90" w:rsidP="00695D90">
      <w:pPr>
        <w:spacing w:after="0" w:line="240" w:lineRule="auto"/>
        <w:jc w:val="center"/>
        <w:rPr>
          <w:rFonts w:ascii="Arial" w:hAnsi="Arial" w:cs="Arial"/>
        </w:rPr>
      </w:pPr>
      <w:r w:rsidRPr="00DF22C5">
        <w:rPr>
          <w:rFonts w:ascii="Arial" w:hAnsi="Arial" w:cs="Arial"/>
          <w:color w:val="000000"/>
        </w:rPr>
        <w:t xml:space="preserve"/>
      </w:r>
    </w:p>
    <w:p w14:paraId="11102631" w14:textId="7068D271" w:rsidR="003A5D4B" w:rsidRDefault="00695D90" w:rsidP="003A5D4B">
      <w:pPr>
        <w:spacing w:after="0" w:line="240" w:lineRule="auto"/>
        <w:jc w:val="center"/>
        <w:rPr>
          <w:rFonts w:ascii="Arial" w:hAnsi="Arial" w:cs="Arial"/>
          <w:b/>
          <w:color w:val="000000"/>
        </w:rPr>
      </w:pPr>
      <w:r w:rsidRPr="00DF22C5">
        <w:rPr>
          <w:rFonts w:ascii="Arial" w:hAnsi="Arial" w:cs="Arial"/>
          <w:b/>
          <w:color w:val="000000"/>
        </w:rPr>
        <w:t/>
      </w:r>
    </w:p>
    <w:p w14:paraId="01856F1A" w14:textId="77777777" w:rsidR="00E41FA6" w:rsidRDefault="00E41FA6" w:rsidP="003A5D4B">
      <w:pPr>
        <w:spacing w:after="0" w:line="240" w:lineRule="auto"/>
        <w:jc w:val="center"/>
        <w:rPr>
          <w:rFonts w:ascii="Arial" w:hAnsi="Arial" w:cs="Arial"/>
          <w:b/>
          <w:color w:val="000000"/>
        </w:rPr>
      </w:pPr>
    </w:p>
    <w:p w14:paraId="29C59256" w14:textId="77777777" w:rsidR="00E41FA6" w:rsidRDefault="00E41FA6" w:rsidP="003A5D4B">
      <w:pPr>
        <w:spacing w:after="0" w:line="240" w:lineRule="auto"/>
        <w:jc w:val="center"/>
        <w:rPr>
          <w:rFonts w:ascii="Arial" w:hAnsi="Arial" w:cs="Arial"/>
          <w:b/>
          <w:color w:val="000000"/>
        </w:rPr>
      </w:pPr>
    </w:p>
    <w:p w14:paraId="49AE2E02" w14:textId="77777777" w:rsidR="00E41FA6" w:rsidRDefault="00E41FA6" w:rsidP="003A5D4B">
      <w:pPr>
        <w:spacing w:after="0" w:line="240" w:lineRule="auto"/>
        <w:jc w:val="center"/>
        <w:rPr>
          <w:rFonts w:ascii="Arial" w:hAnsi="Arial" w:cs="Arial"/>
          <w:b/>
          <w:color w:val="000000"/>
        </w:rPr>
      </w:pPr>
    </w:p>
    <w:p w14:paraId="242350EC" w14:textId="77777777" w:rsidR="00E41FA6" w:rsidRDefault="00E41FA6" w:rsidP="003A5D4B">
      <w:pPr>
        <w:spacing w:after="0" w:line="240" w:lineRule="auto"/>
        <w:jc w:val="center"/>
        <w:rPr>
          <w:rFonts w:ascii="Arial" w:hAnsi="Arial" w:cs="Arial"/>
          <w:b/>
          <w:color w:val="000000"/>
        </w:rPr>
      </w:pPr>
    </w:p>
    <w:p w14:paraId="5C476377" w14:textId="77777777" w:rsidR="00E41FA6" w:rsidRPr="00E41FA6" w:rsidRDefault="00E41FA6" w:rsidP="003A5D4B">
      <w:pPr>
        <w:spacing w:after="0" w:line="240" w:lineRule="auto"/>
        <w:jc w:val="center"/>
        <w:rPr>
          <w:rFonts w:ascii="Arial" w:hAnsi="Arial" w:cs="Arial"/>
          <w:b/>
        </w:rPr>
      </w:pPr>
    </w:p>
    <w:p w14:paraId="443FFA6D" w14:textId="77777777" w:rsidR="00E41FA6" w:rsidRDefault="003A5D4B" w:rsidP="00E41FA6">
      <w:pPr>
        <w:spacing w:after="0" w:line="240" w:lineRule="auto"/>
        <w:jc w:val="center"/>
        <w:rPr>
          <w:rFonts w:ascii="Arial" w:eastAsia="Calibri" w:hAnsi="Arial" w:cs="Arial"/>
          <w:b/>
          <w:kern w:val="0"/>
          <w:sz w:val="24"/>
          <w:szCs w:val="24"/>
          <w:lang w:bidi="en-US"/>
          <w14:ligatures w14:val="none"/>
        </w:rPr>
      </w:pPr>
      <w:r>
        <w:rPr>
          <w:rFonts w:ascii="Arial" w:eastAsia="Calibri" w:hAnsi="Arial" w:cs="Arial"/>
          <w:b/>
          <w:kern w:val="0"/>
          <w:sz w:val="24"/>
          <w:szCs w:val="24"/>
          <w:lang w:bidi="en-US"/>
          <w14:ligatures w14:val="none"/>
        </w:rPr>
        <w:t xml:space="preserve"/>
      </w:r>
      <w:r w:rsidR="00AD7599">
        <w:rPr>
          <w:rFonts w:ascii="Arial" w:eastAsia="Calibri" w:hAnsi="Arial" w:cs="Arial"/>
          <w:b/>
          <w:kern w:val="0"/>
          <w:sz w:val="24"/>
          <w:szCs w:val="24"/>
          <w:lang w:bidi="en-US"/>
          <w14:ligatures w14:val="none"/>
        </w:rPr>
        <w:t xml:space="preserve"/>
      </w:r>
      <w:r>
        <w:rPr>
          <w:rFonts w:ascii="Arial" w:eastAsia="Calibri" w:hAnsi="Arial" w:cs="Arial"/>
          <w:b/>
          <w:kern w:val="0"/>
          <w:sz w:val="24"/>
          <w:szCs w:val="24"/>
          <w:lang w:bidi="en-US"/>
          <w14:ligatures w14:val="none"/>
        </w:rPr>
        <w:t/>
      </w:r>
    </w:p>
    <w:p w14:paraId="42254BE8" w14:textId="77777777" w:rsidR="00E41FA6" w:rsidRDefault="00E41FA6" w:rsidP="00E41FA6">
      <w:pPr>
        <w:spacing w:after="0" w:line="240" w:lineRule="auto"/>
        <w:jc w:val="center"/>
        <w:rPr>
          <w:rFonts w:ascii="Arial" w:eastAsia="Calibri" w:hAnsi="Arial" w:cs="Arial"/>
          <w:b/>
          <w:kern w:val="0"/>
          <w:sz w:val="24"/>
          <w:szCs w:val="24"/>
          <w:lang w:bidi="en-US"/>
          <w14:ligatures w14:val="none"/>
        </w:rPr>
      </w:pPr>
    </w:p>
    <w:p w14:paraId="79EBBAC2" w14:textId="77777777" w:rsidR="00E41FA6" w:rsidRDefault="00E41FA6" w:rsidP="00E41FA6">
      <w:pPr>
        <w:spacing w:after="0" w:line="240" w:lineRule="auto"/>
        <w:jc w:val="center"/>
        <w:rPr>
          <w:rFonts w:ascii="Arial" w:eastAsia="Calibri" w:hAnsi="Arial" w:cs="Arial"/>
          <w:b/>
          <w:kern w:val="0"/>
          <w:sz w:val="24"/>
          <w:szCs w:val="24"/>
          <w:lang w:bidi="en-US"/>
          <w14:ligatures w14:val="none"/>
        </w:rPr>
      </w:pPr>
    </w:p>
    <w:p w14:paraId="3EBC4D64" w14:textId="77777777" w:rsidR="00E41FA6" w:rsidRDefault="00E41FA6" w:rsidP="00E41FA6">
      <w:pPr>
        <w:spacing w:after="0" w:line="240" w:lineRule="auto"/>
        <w:jc w:val="center"/>
        <w:rPr>
          <w:rFonts w:ascii="Arial" w:eastAsia="Calibri" w:hAnsi="Arial" w:cs="Arial"/>
          <w:b/>
          <w:kern w:val="0"/>
          <w:sz w:val="24"/>
          <w:szCs w:val="24"/>
          <w:lang w:bidi="en-US"/>
          <w14:ligatures w14:val="none"/>
        </w:rPr>
      </w:pPr>
    </w:p>
    <w:p w14:paraId="50774CDA" w14:textId="77777777" w:rsidR="00E41FA6" w:rsidRDefault="00E41FA6" w:rsidP="00E41FA6">
      <w:pPr>
        <w:spacing w:after="0" w:line="240" w:lineRule="auto"/>
        <w:jc w:val="center"/>
        <w:rPr>
          <w:rFonts w:ascii="Arial" w:eastAsia="Calibri" w:hAnsi="Arial" w:cs="Arial"/>
          <w:b/>
          <w:kern w:val="0"/>
          <w:sz w:val="24"/>
          <w:szCs w:val="24"/>
          <w:lang w:bidi="en-US"/>
          <w14:ligatures w14:val="none"/>
        </w:rPr>
      </w:pPr>
    </w:p>
    <w:p w14:paraId="31F3BE3E" w14:textId="77777777" w:rsidR="00E41FA6" w:rsidRDefault="00E41FA6" w:rsidP="00E41FA6">
      <w:pPr>
        <w:spacing w:after="0" w:line="240" w:lineRule="auto"/>
        <w:jc w:val="center"/>
        <w:rPr>
          <w:rFonts w:ascii="Arial" w:eastAsia="Calibri" w:hAnsi="Arial" w:cs="Arial"/>
          <w:b/>
          <w:kern w:val="0"/>
          <w:sz w:val="24"/>
          <w:szCs w:val="24"/>
          <w:lang w:bidi="en-US"/>
          <w14:ligatures w14:val="none"/>
        </w:rPr>
      </w:pPr>
    </w:p>
    <w:p w14:paraId="28BF67FC" w14:textId="77777777" w:rsidR="00E41FA6" w:rsidRDefault="00E41FA6" w:rsidP="00E41FA6">
      <w:pPr>
        <w:spacing w:after="0" w:line="240" w:lineRule="auto"/>
        <w:jc w:val="center"/>
        <w:rPr>
          <w:rFonts w:ascii="Arial" w:eastAsia="Calibri" w:hAnsi="Arial" w:cs="Arial"/>
          <w:b/>
          <w:kern w:val="0"/>
          <w:sz w:val="24"/>
          <w:szCs w:val="24"/>
          <w:lang w:bidi="en-US"/>
          <w14:ligatures w14:val="none"/>
        </w:rPr>
      </w:pPr>
    </w:p>
    <w:p w14:paraId="6B97E3D1" w14:textId="4D0DB11B" w:rsidR="00112C6F" w:rsidRPr="00E41FA6" w:rsidRDefault="009A55FB" w:rsidP="00E41FA6">
      <w:pPr>
        <w:spacing w:after="0" w:line="240" w:lineRule="auto"/>
        <w:jc w:val="center"/>
        <w:rPr>
          <w:rFonts w:ascii="Arial" w:eastAsia="Calibri" w:hAnsi="Arial" w:cs="Arial"/>
          <w:b/>
          <w:kern w:val="0"/>
          <w:sz w:val="24"/>
          <w:szCs w:val="24"/>
          <w:lang w:bidi="en-US"/>
          <w14:ligatures w14:val="none"/>
        </w:rPr>
        <w:sectPr w:rsidR="00112C6F" w:rsidRPr="00E41FA6" w:rsidSect="00DF20C3">
          <w:headerReference w:type="default" r:id="rId9"/>
          <w:headerReference w:type="first" r:id="rId10"/>
          <w:pgSz w:w="12240" w:h="15840" w:code="1"/>
          <w:pgMar w:top="1440" w:right="1440" w:bottom="1440" w:left="2160" w:header="720" w:footer="720" w:gutter="0"/>
          <w:cols w:space="720"/>
          <w:titlePg/>
          <w:docGrid w:linePitch="360"/>
        </w:sectPr>
      </w:pPr>
      <w:r>
        <w:rPr>
          <w:rFonts w:ascii="Arial" w:eastAsia="Calibri" w:hAnsi="Arial" w:cs="Arial"/>
          <w:b/>
          <w:kern w:val="0"/>
          <w:sz w:val="24"/>
          <w:szCs w:val="24"/>
          <w:lang w:bidi="en-US"/>
          <w14:ligatures w14:val="none"/>
        </w:rPr>
        <w:t/>
      </w:r>
    </w:p>
    <w:p w14:paraId="5822DFB6" w14:textId="24DED5B6" w:rsidR="00935DA4" w:rsidRDefault="00935DA4" w:rsidP="00473164">
      <w:pPr>
        <w:spacing w:after="0" w:line="480" w:lineRule="auto"/>
        <w:jc w:val="center"/>
        <w:rPr>
          <w:rFonts w:ascii="Arial" w:hAnsi="Arial" w:cs="Arial"/>
          <w:b/>
          <w:bCs/>
          <w:sz w:val="24"/>
          <w:szCs w:val="24"/>
        </w:rPr>
      </w:pPr>
      <w:r>
        <w:rPr>
          <w:rFonts w:ascii="Arial" w:hAnsi="Arial" w:cs="Arial"/>
          <w:b/>
          <w:bCs/>
          <w:sz w:val="24"/>
          <w:szCs w:val="24"/>
        </w:rPr>
        <w:lastRenderedPageBreak/>
        <w:t/>
      </w:r>
      <w:r w:rsidR="00473164">
        <w:rPr>
          <w:rFonts w:ascii="Arial" w:hAnsi="Arial" w:cs="Arial"/>
          <w:b/>
          <w:bCs/>
          <w:sz w:val="24"/>
          <w:szCs w:val="24"/>
        </w:rPr>
        <w:t/>
      </w:r>
      <w:r>
        <w:rPr>
          <w:rFonts w:ascii="Arial" w:hAnsi="Arial" w:cs="Arial"/>
          <w:b/>
          <w:bCs/>
          <w:sz w:val="24"/>
          <w:szCs w:val="24"/>
        </w:rPr>
        <w:t xml:space="preserve"/>
      </w:r>
      <w:r w:rsidR="005B4E3C">
        <w:rPr>
          <w:rFonts w:ascii="Arial" w:hAnsi="Arial" w:cs="Arial"/>
          <w:b/>
          <w:bCs/>
          <w:sz w:val="24"/>
          <w:szCs w:val="24"/>
        </w:rPr>
        <w:t/>
      </w:r>
    </w:p>
    <w:p w14:paraId="5F3D509E" w14:textId="3AB54B9F" w:rsidR="00B237E2" w:rsidRDefault="00B237E2" w:rsidP="00473164">
      <w:pPr>
        <w:spacing w:after="0" w:line="480" w:lineRule="auto"/>
        <w:jc w:val="center"/>
        <w:rPr>
          <w:rFonts w:ascii="Arial" w:hAnsi="Arial" w:cs="Arial"/>
          <w:b/>
          <w:bCs/>
          <w:sz w:val="24"/>
          <w:szCs w:val="24"/>
        </w:rPr>
      </w:pPr>
      <w:r w:rsidRPr="00DD6916">
        <w:rPr>
          <w:rFonts w:ascii="Arial" w:hAnsi="Arial" w:cs="Arial"/>
          <w:b/>
          <w:bCs/>
          <w:sz w:val="24"/>
          <w:szCs w:val="24"/>
        </w:rPr>
        <w:t>INTRODUCTION</w:t>
      </w:r>
    </w:p>
    <w:p w14:paraId="4E4A9C08" w14:textId="77777777" w:rsidR="00B237E2" w:rsidRDefault="00B237E2" w:rsidP="00473164">
      <w:pPr>
        <w:spacing w:after="0" w:line="480" w:lineRule="auto"/>
        <w:rPr>
          <w:rFonts w:ascii="Arial" w:hAnsi="Arial" w:cs="Arial"/>
          <w:b/>
          <w:bCs/>
          <w:sz w:val="24"/>
          <w:szCs w:val="24"/>
        </w:rPr>
      </w:pPr>
      <w:r>
        <w:rPr>
          <w:rFonts w:ascii="Arial" w:hAnsi="Arial" w:cs="Arial"/>
          <w:b/>
          <w:bCs/>
          <w:sz w:val="24"/>
          <w:szCs w:val="24"/>
        </w:rPr>
        <w:t>Background of the Study</w:t>
      </w:r>
    </w:p>
    <w:p w14:paraId="408EBD29" w14:textId="127E7699" w:rsidR="00B30807" w:rsidRDefault="00B30807" w:rsidP="00E8000C">
      <w:pPr>
        <w:spacing w:after="0" w:line="480" w:lineRule="auto"/>
        <w:ind w:firstLine="720"/>
        <w:jc w:val="both"/>
        <w:rPr>
          <w:rFonts w:ascii="Arial" w:hAnsi="Arial" w:cs="Arial"/>
        </w:rPr>
      </w:pPr>
      <w:r w:rsidRPr="00B30807">
        <w:rPr>
          <w:rFonts w:ascii="Arial" w:hAnsi="Arial" w:cs="Arial"/>
        </w:rPr>
        <w:t xml:space="preserve">School-based disaster preparedness and response measures refer to the structured actions implemented by educational institutions to reduce risks, protect learners and personnel, and sustain school operations before, during, and after weather-related hazards such as tropical cyclones, heavy rainfall, flooding, and rain-induced landslides. These measures commonly include hazard identification, early warning systems, evacuation planning, preparedness drills, capacity building of school personnel, coordination with local disaster authorities, and continuity of learning strategies during disruptions. Recent studies emphasize that effective school-based disaster preparedness depends on organized planning, clear emergency procedures, disaster education, and institutional readiness. Lassa, Petal, and Surjan (2023) highlighted that schools with disaster management plans and recovery strategies are better positioned to reduce learning disruption caused by flooding. Syarif, </w:t>
      </w:r>
      <w:proofErr w:type="spellStart"/>
      <w:r w:rsidRPr="00B30807">
        <w:rPr>
          <w:rFonts w:ascii="Arial" w:hAnsi="Arial" w:cs="Arial"/>
        </w:rPr>
        <w:t>Maddatuang</w:t>
      </w:r>
      <w:proofErr w:type="spellEnd"/>
      <w:r w:rsidRPr="00B30807">
        <w:rPr>
          <w:rFonts w:ascii="Arial" w:hAnsi="Arial" w:cs="Arial"/>
        </w:rPr>
        <w:t xml:space="preserve">, </w:t>
      </w:r>
      <w:proofErr w:type="spellStart"/>
      <w:r w:rsidRPr="00B30807">
        <w:rPr>
          <w:rFonts w:ascii="Arial" w:hAnsi="Arial" w:cs="Arial"/>
        </w:rPr>
        <w:t>Saputro</w:t>
      </w:r>
      <w:proofErr w:type="spellEnd"/>
      <w:r w:rsidRPr="00B30807">
        <w:rPr>
          <w:rFonts w:ascii="Arial" w:hAnsi="Arial" w:cs="Arial"/>
        </w:rPr>
        <w:t>, Carver, and Cutter (202</w:t>
      </w:r>
      <w:r w:rsidR="00C001CA">
        <w:rPr>
          <w:rFonts w:ascii="Arial" w:hAnsi="Arial" w:cs="Arial"/>
        </w:rPr>
        <w:t>4</w:t>
      </w:r>
      <w:r w:rsidRPr="00B30807">
        <w:rPr>
          <w:rFonts w:ascii="Arial" w:hAnsi="Arial" w:cs="Arial"/>
        </w:rPr>
        <w:t xml:space="preserve">) also found that disaster education, emergency planning, and school-based mitigation efforts contribute to students’ preparedness for flood-related hazards. Similarly, </w:t>
      </w:r>
      <w:proofErr w:type="spellStart"/>
      <w:r w:rsidRPr="00B30807">
        <w:rPr>
          <w:rFonts w:ascii="Arial" w:hAnsi="Arial" w:cs="Arial"/>
        </w:rPr>
        <w:t>Morote</w:t>
      </w:r>
      <w:proofErr w:type="spellEnd"/>
      <w:r w:rsidRPr="00B30807">
        <w:rPr>
          <w:rFonts w:ascii="Arial" w:hAnsi="Arial" w:cs="Arial"/>
        </w:rPr>
        <w:t xml:space="preserve"> and </w:t>
      </w:r>
      <w:proofErr w:type="spellStart"/>
      <w:r w:rsidRPr="00B30807">
        <w:rPr>
          <w:rFonts w:ascii="Arial" w:hAnsi="Arial" w:cs="Arial"/>
        </w:rPr>
        <w:t>Olcina</w:t>
      </w:r>
      <w:proofErr w:type="spellEnd"/>
      <w:r w:rsidRPr="00B30807">
        <w:rPr>
          <w:rFonts w:ascii="Arial" w:hAnsi="Arial" w:cs="Arial"/>
        </w:rPr>
        <w:t xml:space="preserve"> (2024) emphasized that flood-related disaster education strengthens awareness and preparedness among learners. These findings show that school-based preparedness and response measures are essential in reducing the effects of weather-related calamities and ensuring the safety and continuity of education.</w:t>
      </w:r>
    </w:p>
    <w:p w14:paraId="13A1EC97" w14:textId="77777777" w:rsidR="00B30807" w:rsidRDefault="00B30807" w:rsidP="00E8000C">
      <w:pPr>
        <w:spacing w:after="0" w:line="480" w:lineRule="auto"/>
        <w:ind w:firstLine="720"/>
        <w:jc w:val="both"/>
        <w:rPr>
          <w:rFonts w:ascii="Arial" w:hAnsi="Arial" w:cs="Arial"/>
        </w:rPr>
      </w:pPr>
      <w:r w:rsidRPr="00B30807">
        <w:rPr>
          <w:rFonts w:ascii="Arial" w:hAnsi="Arial" w:cs="Arial"/>
        </w:rPr>
        <w:t xml:space="preserve">International literature further shows that schools exposed to weather-related calamities require strong preparedness systems, clear response protocols, and hazard-specific disaster education. In Indonesia, Lassa et al. (2023) examined the effects of flooding on schools and found that floods caused disruptions in learning quality, school </w:t>
      </w:r>
      <w:r w:rsidRPr="00B30807">
        <w:rPr>
          <w:rFonts w:ascii="Arial" w:hAnsi="Arial" w:cs="Arial"/>
        </w:rPr>
        <w:lastRenderedPageBreak/>
        <w:t xml:space="preserve">facilities, and educational recovery, thereby emphasizing the need for school-level disaster plans and response mechanisms. Also in Indonesia, </w:t>
      </w:r>
      <w:proofErr w:type="spellStart"/>
      <w:r w:rsidRPr="00B30807">
        <w:rPr>
          <w:rFonts w:ascii="Arial" w:hAnsi="Arial" w:cs="Arial"/>
        </w:rPr>
        <w:t>Syarif</w:t>
      </w:r>
      <w:proofErr w:type="spellEnd"/>
      <w:r w:rsidRPr="00B30807">
        <w:rPr>
          <w:rFonts w:ascii="Arial" w:hAnsi="Arial" w:cs="Arial"/>
        </w:rPr>
        <w:t xml:space="preserve"> et al. (2023) reported that students’ flood mitigation preparedness was influenced by disaster knowledge, emergency response planning, warning systems, and school-based disaster education. In Spain, </w:t>
      </w:r>
      <w:proofErr w:type="spellStart"/>
      <w:r w:rsidRPr="00B30807">
        <w:rPr>
          <w:rFonts w:ascii="Arial" w:hAnsi="Arial" w:cs="Arial"/>
        </w:rPr>
        <w:t>Morote</w:t>
      </w:r>
      <w:proofErr w:type="spellEnd"/>
      <w:r w:rsidRPr="00B30807">
        <w:rPr>
          <w:rFonts w:ascii="Arial" w:hAnsi="Arial" w:cs="Arial"/>
        </w:rPr>
        <w:t xml:space="preserve"> and </w:t>
      </w:r>
      <w:proofErr w:type="spellStart"/>
      <w:r w:rsidRPr="00B30807">
        <w:rPr>
          <w:rFonts w:ascii="Arial" w:hAnsi="Arial" w:cs="Arial"/>
        </w:rPr>
        <w:t>Olcina</w:t>
      </w:r>
      <w:proofErr w:type="spellEnd"/>
      <w:r w:rsidRPr="00B30807">
        <w:rPr>
          <w:rFonts w:ascii="Arial" w:hAnsi="Arial" w:cs="Arial"/>
        </w:rPr>
        <w:t xml:space="preserve"> (2024) found that students still had limited flood-related training, which indicates the need for stronger school-based instruction on flood prevention and response. Collectively, these international studies suggest that school preparedness is not limited to having written plans; rather, it requires continuous training, learner participation, early warning communication, and leadership support to ensure that schools can respond effectively to weather-related hazards.</w:t>
      </w:r>
    </w:p>
    <w:p w14:paraId="6DA87F82" w14:textId="246A0DD8" w:rsidR="00B50ED8" w:rsidRDefault="00B50ED8" w:rsidP="00E8000C">
      <w:pPr>
        <w:spacing w:after="0" w:line="480" w:lineRule="auto"/>
        <w:ind w:firstLine="720"/>
        <w:jc w:val="both"/>
        <w:rPr>
          <w:rFonts w:ascii="Arial" w:hAnsi="Arial" w:cs="Arial"/>
        </w:rPr>
      </w:pPr>
      <w:r w:rsidRPr="00B50ED8">
        <w:rPr>
          <w:rFonts w:ascii="Arial" w:hAnsi="Arial" w:cs="Arial"/>
        </w:rPr>
        <w:t>Collectively, these studies suggest that school heads play a central role in translating weather-hazard risks into concrete school actions, particularly in strengthening preparedness plans, communication systems, teacher training, student orientation, coordination with local responders, and recovery strategies that protect learners and sustain education during and after calamities.</w:t>
      </w:r>
    </w:p>
    <w:p w14:paraId="2319A609" w14:textId="77777777" w:rsidR="00B30807" w:rsidRDefault="00B30807" w:rsidP="00605C50">
      <w:pPr>
        <w:spacing w:after="0" w:line="480" w:lineRule="auto"/>
        <w:ind w:firstLine="720"/>
        <w:jc w:val="both"/>
        <w:rPr>
          <w:rFonts w:ascii="Arial" w:hAnsi="Arial" w:cs="Arial"/>
        </w:rPr>
      </w:pPr>
      <w:r w:rsidRPr="00B30807">
        <w:rPr>
          <w:rFonts w:ascii="Arial" w:hAnsi="Arial" w:cs="Arial"/>
        </w:rPr>
        <w:t xml:space="preserve">In the Philippine context, school-based disaster preparedness and response measures are highly significant because the country is frequently affected by typhoons, flooding, and rain-induced landslides. School heads play a central role in translating disaster risk reduction and management policies into actual school practices through preparedness planning, coordination, drills, resource mobilization, and continuity of learning arrangements. </w:t>
      </w:r>
      <w:proofErr w:type="spellStart"/>
      <w:r w:rsidRPr="00B30807">
        <w:rPr>
          <w:rFonts w:ascii="Arial" w:hAnsi="Arial" w:cs="Arial"/>
        </w:rPr>
        <w:t>Cabuga</w:t>
      </w:r>
      <w:proofErr w:type="spellEnd"/>
      <w:r w:rsidRPr="00B30807">
        <w:rPr>
          <w:rFonts w:ascii="Arial" w:hAnsi="Arial" w:cs="Arial"/>
        </w:rPr>
        <w:t xml:space="preserve"> and Cañete (2023) found that disaster preparedness and related knowledge among Filipino senior high school students improve when DRRM is integrated into school activities and educational programs. </w:t>
      </w:r>
      <w:proofErr w:type="spellStart"/>
      <w:r w:rsidRPr="00B30807">
        <w:rPr>
          <w:rFonts w:ascii="Arial" w:hAnsi="Arial" w:cs="Arial"/>
        </w:rPr>
        <w:t>Hordista</w:t>
      </w:r>
      <w:proofErr w:type="spellEnd"/>
      <w:r w:rsidRPr="00B30807">
        <w:rPr>
          <w:rFonts w:ascii="Arial" w:hAnsi="Arial" w:cs="Arial"/>
        </w:rPr>
        <w:t xml:space="preserve"> (2023) reported that teachers and administrators demonstrated high awareness, preparedness, and implementation of DRRM programs, showing the importance of school personnel </w:t>
      </w:r>
      <w:r w:rsidRPr="00B30807">
        <w:rPr>
          <w:rFonts w:ascii="Arial" w:hAnsi="Arial" w:cs="Arial"/>
        </w:rPr>
        <w:lastRenderedPageBreak/>
        <w:t xml:space="preserve">readiness in disaster management. Acierto, </w:t>
      </w:r>
      <w:proofErr w:type="spellStart"/>
      <w:r w:rsidRPr="00B30807">
        <w:rPr>
          <w:rFonts w:ascii="Arial" w:hAnsi="Arial" w:cs="Arial"/>
        </w:rPr>
        <w:t>Robas</w:t>
      </w:r>
      <w:proofErr w:type="spellEnd"/>
      <w:r w:rsidRPr="00B30807">
        <w:rPr>
          <w:rFonts w:ascii="Arial" w:hAnsi="Arial" w:cs="Arial"/>
        </w:rPr>
        <w:t>, and Monte (2023) likewise found that although Philippine elementary schools implement DRRM programs, challenges remain in areas such as school disaster risk reduction management, resources, training, and policy implementation. These studies indicate that while DRRM is already recognized in Philippine schools, the effectiveness of preparedness and response measures still depends largely on the leadership, coordination, and implementation capacity of school heads.</w:t>
      </w:r>
    </w:p>
    <w:p w14:paraId="3B21A607" w14:textId="77777777" w:rsidR="00B30807" w:rsidRDefault="00B30807" w:rsidP="00605C50">
      <w:pPr>
        <w:spacing w:after="0" w:line="480" w:lineRule="auto"/>
        <w:ind w:firstLine="720"/>
        <w:jc w:val="both"/>
        <w:rPr>
          <w:rFonts w:ascii="Arial" w:hAnsi="Arial" w:cs="Arial"/>
        </w:rPr>
      </w:pPr>
      <w:r w:rsidRPr="00B30807">
        <w:rPr>
          <w:rFonts w:ascii="Arial" w:hAnsi="Arial" w:cs="Arial"/>
        </w:rPr>
        <w:t>This study is anchored on DepEd Order No. 033, s. 2021, titled “School-Based Disaster Preparedness and Response Measures for Tropical Cyclones, Flooding, and Other Weather-Related Disturbances and Calamities.” This policy provides guidance to schools in implementing preparedness and response measures before, during, and after weather-related hazards. It emphasizes the responsibility of school heads in ensuring that disaster preparedness protocols are properly integrated into school operations, communication systems, evacuation procedures, and learning continuity mechanisms. In this study, DepEd Order No. 033, s. 2021 serves as an important policy foundation because it directly aligns with the focus on school-based preparedness and response measures for tropical cyclones, flooding, and other weather-related calamities.</w:t>
      </w:r>
    </w:p>
    <w:p w14:paraId="1FCE12AE" w14:textId="7A1CBA3D" w:rsidR="00605C50" w:rsidRPr="00BA66D6" w:rsidRDefault="00605C50" w:rsidP="00605C50">
      <w:pPr>
        <w:spacing w:after="0" w:line="480" w:lineRule="auto"/>
        <w:ind w:firstLine="720"/>
        <w:jc w:val="both"/>
        <w:rPr>
          <w:rFonts w:ascii="Arial" w:hAnsi="Arial" w:cs="Arial"/>
        </w:rPr>
      </w:pPr>
      <w:r w:rsidRPr="00BA66D6">
        <w:rPr>
          <w:rFonts w:ascii="Arial" w:hAnsi="Arial" w:cs="Arial"/>
        </w:rPr>
        <w:t xml:space="preserve">While national policies are in place, significant gaps remain in their implementation at the school level, especially in rural and high-risk areas. Local studies by Domingo Dela Cruz and </w:t>
      </w:r>
      <w:proofErr w:type="spellStart"/>
      <w:r w:rsidRPr="00BA66D6">
        <w:rPr>
          <w:rFonts w:ascii="Arial" w:hAnsi="Arial" w:cs="Arial"/>
        </w:rPr>
        <w:t>Ormilla</w:t>
      </w:r>
      <w:proofErr w:type="spellEnd"/>
      <w:r w:rsidRPr="00BA66D6">
        <w:rPr>
          <w:rFonts w:ascii="Arial" w:hAnsi="Arial" w:cs="Arial"/>
        </w:rPr>
        <w:t xml:space="preserve"> (2022) and Acierto et al. (2023) reveal that while most school principals recognize the importance of disaster preparedness, many face challenges in resources, training, and local governance support, hindering effective policy implementation. These findings indicate that despite a strong policy framework, discrepancies in local capacity and resources remain, necessitating a more in-depth investigation into how school heads implement these policies on the ground.</w:t>
      </w:r>
    </w:p>
    <w:p w14:paraId="42FA77C8" w14:textId="77777777" w:rsidR="00B30807" w:rsidRDefault="00B30807" w:rsidP="00605C50">
      <w:pPr>
        <w:spacing w:after="0" w:line="480" w:lineRule="auto"/>
        <w:ind w:firstLine="720"/>
        <w:jc w:val="both"/>
        <w:rPr>
          <w:rFonts w:ascii="Arial" w:hAnsi="Arial" w:cs="Arial"/>
        </w:rPr>
      </w:pPr>
      <w:r w:rsidRPr="00B30807">
        <w:rPr>
          <w:rFonts w:ascii="Arial" w:hAnsi="Arial" w:cs="Arial"/>
        </w:rPr>
        <w:lastRenderedPageBreak/>
        <w:t>The local situation in Davao de Oro further underscores the importance of examining school-based disaster preparedness and response measures. The province is vulnerable to weather-related hazards such as heavy rainfall, flooding, and rain-induced landslides, which can disrupt classes, damage school facilities, and threaten the safety of learners and personnel. Although existing studies have examined DRRM awareness, student preparedness, and school-level implementation in other Philippine settings, limited research has focused on how school heads in Davao de Oro Division lead and operationalize disaster preparedness and response measures in weather-related hazard contexts. This gap is significant because school heads are expected to serve not only as administrative leaders but also as key decision-makers during preparedness, response, and recovery situations.</w:t>
      </w:r>
    </w:p>
    <w:p w14:paraId="5641CE51" w14:textId="512CE92E" w:rsidR="00605C50" w:rsidRPr="00BA66D6" w:rsidRDefault="00605C50" w:rsidP="00605C50">
      <w:pPr>
        <w:spacing w:after="0" w:line="480" w:lineRule="auto"/>
        <w:ind w:firstLine="720"/>
        <w:jc w:val="both"/>
        <w:rPr>
          <w:rFonts w:ascii="Arial" w:hAnsi="Arial" w:cs="Arial"/>
        </w:rPr>
      </w:pPr>
      <w:r w:rsidRPr="00BA66D6">
        <w:rPr>
          <w:rFonts w:ascii="Arial" w:hAnsi="Arial" w:cs="Arial"/>
        </w:rPr>
        <w:t xml:space="preserve">Despite the substantial progress in the implementation of DRRM policies in schools, there remains a critical gap in the literature regarding how school heads and DRRM coordinators actively implement disaster preparedness and response measures, particularly in the context of Davao de Oro. Existing studies, such as the work by Abenoja et al. (2023), focused on student perceptions of DRRM preparedness, but they did not address the leadership roles and strategies employed by school heads to implement these policies effectively. Similarly, studies by Domingo Dela Cruz and </w:t>
      </w:r>
      <w:proofErr w:type="spellStart"/>
      <w:r w:rsidRPr="00BA66D6">
        <w:rPr>
          <w:rFonts w:ascii="Arial" w:hAnsi="Arial" w:cs="Arial"/>
        </w:rPr>
        <w:t>Ormilla</w:t>
      </w:r>
      <w:proofErr w:type="spellEnd"/>
      <w:r w:rsidRPr="00BA66D6">
        <w:rPr>
          <w:rFonts w:ascii="Arial" w:hAnsi="Arial" w:cs="Arial"/>
        </w:rPr>
        <w:t xml:space="preserve"> (2022) and Acierto et al. (2023) have explored DRRM practices in schools but have either been geographically focused on other regions or lacked a local leadership focus. These studies provide valuable insight into the state of DRRM implementation but do not sufficiently address the operational challenges faced by school heads in implementing DRRM policies in disaster-prone and resource-constrained areas.</w:t>
      </w:r>
    </w:p>
    <w:p w14:paraId="75B469F1" w14:textId="77777777" w:rsidR="00C630FE" w:rsidRDefault="00605C50" w:rsidP="00605C50">
      <w:pPr>
        <w:spacing w:after="0" w:line="480" w:lineRule="auto"/>
        <w:jc w:val="both"/>
        <w:rPr>
          <w:rFonts w:ascii="Arial" w:hAnsi="Arial" w:cs="Arial"/>
        </w:rPr>
      </w:pPr>
      <w:r>
        <w:rPr>
          <w:rFonts w:ascii="Arial" w:hAnsi="Arial" w:cs="Arial"/>
        </w:rPr>
        <w:tab/>
      </w:r>
      <w:r w:rsidR="004C3B8C" w:rsidRPr="004C3B8C">
        <w:rPr>
          <w:rFonts w:ascii="Arial" w:hAnsi="Arial" w:cs="Arial"/>
        </w:rPr>
        <w:t xml:space="preserve">This study addresses the existing gap in the literature by focusing specifically on the </w:t>
      </w:r>
      <w:r w:rsidR="00B30807">
        <w:rPr>
          <w:rFonts w:ascii="Arial" w:hAnsi="Arial" w:cs="Arial"/>
        </w:rPr>
        <w:t>implementation of school-based disaster preparedness and response measures</w:t>
      </w:r>
      <w:r w:rsidR="004C3B8C" w:rsidRPr="004C3B8C">
        <w:rPr>
          <w:rFonts w:ascii="Arial" w:hAnsi="Arial" w:cs="Arial"/>
        </w:rPr>
        <w:t xml:space="preserve"> of </w:t>
      </w:r>
      <w:r w:rsidR="004C3B8C" w:rsidRPr="004C3B8C">
        <w:rPr>
          <w:rFonts w:ascii="Arial" w:hAnsi="Arial" w:cs="Arial"/>
        </w:rPr>
        <w:lastRenderedPageBreak/>
        <w:t xml:space="preserve">school heads in the Davao de Oro Division, a region highly exposed to weather-related hazards such as tropical cyclones, flooding, and rain-induced landslides. </w:t>
      </w:r>
    </w:p>
    <w:p w14:paraId="5FB2A448" w14:textId="743E3795" w:rsidR="00C630FE" w:rsidRDefault="004C3B8C" w:rsidP="00605C50">
      <w:pPr>
        <w:spacing w:after="0" w:line="480" w:lineRule="auto"/>
        <w:jc w:val="both"/>
        <w:rPr>
          <w:rFonts w:ascii="Arial" w:hAnsi="Arial" w:cs="Arial"/>
        </w:rPr>
      </w:pPr>
      <w:r>
        <w:rPr>
          <w:rFonts w:ascii="Arial" w:hAnsi="Arial" w:cs="Arial"/>
        </w:rPr>
        <w:tab/>
      </w:r>
      <w:r w:rsidRPr="004C3B8C">
        <w:rPr>
          <w:rFonts w:ascii="Arial" w:hAnsi="Arial" w:cs="Arial"/>
        </w:rPr>
        <w:t>To bridge this gap, the study utilizes a mixed-methods approach, integrating quantitative data with qualitative insights gathered from school heads and school DRRM coordinators to provide a more comprehensive understanding of disaster preparedness and response. Furthermore, the study is anchored on the CMP Model, which serves as the analytical framework for evaluating three key indicators: preparedness in normal times, preparedness for response, and disaster preparedness and response measures. In addition, the study explores the challenges encountered by school heads in operationalizing national DRRM policies into effective local practices and generates evidence-based insights that may strengthen disaster resilience and school-based emergency preparedness systems in Philippine basic education settings.</w:t>
      </w:r>
    </w:p>
    <w:p w14:paraId="2DBB185D" w14:textId="54B7A571" w:rsidR="00605C50" w:rsidRPr="00BA66D6" w:rsidRDefault="00605C50" w:rsidP="00605C50">
      <w:pPr>
        <w:spacing w:after="0" w:line="480" w:lineRule="auto"/>
        <w:jc w:val="both"/>
        <w:rPr>
          <w:rFonts w:ascii="Arial" w:hAnsi="Arial" w:cs="Arial"/>
          <w:b/>
          <w:bCs/>
        </w:rPr>
      </w:pPr>
      <w:r w:rsidRPr="00C461C7">
        <w:rPr>
          <w:rFonts w:ascii="Arial" w:hAnsi="Arial" w:cs="Arial"/>
          <w:b/>
          <w:bCs/>
        </w:rPr>
        <w:t>Purpose Statement</w:t>
      </w:r>
    </w:p>
    <w:p w14:paraId="51A52318" w14:textId="474027FC" w:rsidR="00BA6519" w:rsidRDefault="00BA6519" w:rsidP="004D3C16">
      <w:pPr>
        <w:pStyle w:val="NormalWeb"/>
        <w:spacing w:after="0" w:line="480" w:lineRule="auto"/>
        <w:jc w:val="both"/>
        <w:rPr>
          <w:rFonts w:ascii="Arial" w:hAnsi="Arial" w:cs="Arial"/>
          <w:sz w:val="22"/>
          <w:szCs w:val="22"/>
        </w:rPr>
      </w:pPr>
      <w:r>
        <w:rPr>
          <w:rFonts w:ascii="Arial" w:hAnsi="Arial" w:cs="Arial"/>
          <w:sz w:val="22"/>
          <w:szCs w:val="22"/>
        </w:rPr>
        <w:tab/>
      </w:r>
      <w:r w:rsidRPr="00BA6519">
        <w:rPr>
          <w:rFonts w:ascii="Arial" w:hAnsi="Arial" w:cs="Arial"/>
          <w:sz w:val="22"/>
          <w:szCs w:val="22"/>
        </w:rPr>
        <w:t>The explanatory sequential mixed-methods study aimed to examine the extent of implementation and explore the standpoints that explain the quantitative results on the implementation of school-based disaster preparedness and response measures in terms of preparedness in normal times, preparedness for response, and disaster response measures. By integrating both numerical and qualitative findings, the study sought to provide policymakers and education leaders with evidence-based insights that may strengthen disaster resilience and improve the implementation of disaster risk reduction and management (DRRM) programs in schools located in disaster-prone areas.</w:t>
      </w:r>
    </w:p>
    <w:p w14:paraId="5A2938C7" w14:textId="541C02D2" w:rsidR="00605C50" w:rsidRPr="00C461C7" w:rsidRDefault="00605C50" w:rsidP="004D3C16">
      <w:pPr>
        <w:pStyle w:val="NormalWeb"/>
        <w:spacing w:after="0" w:line="480" w:lineRule="auto"/>
        <w:jc w:val="both"/>
        <w:rPr>
          <w:rFonts w:ascii="Arial" w:hAnsi="Arial" w:cs="Arial"/>
          <w:b/>
          <w:bCs/>
          <w:sz w:val="22"/>
          <w:szCs w:val="22"/>
        </w:rPr>
      </w:pPr>
      <w:r w:rsidRPr="00C461C7">
        <w:rPr>
          <w:rFonts w:ascii="Arial" w:hAnsi="Arial" w:cs="Arial"/>
          <w:b/>
          <w:bCs/>
          <w:sz w:val="22"/>
          <w:szCs w:val="22"/>
        </w:rPr>
        <w:t>Research Questions</w:t>
      </w:r>
    </w:p>
    <w:p w14:paraId="4EE9685E" w14:textId="2F19F4B0" w:rsidR="00605C50" w:rsidRPr="00C461C7" w:rsidRDefault="00605C50" w:rsidP="00605C50">
      <w:pPr>
        <w:pStyle w:val="NormalWeb"/>
        <w:spacing w:after="0" w:line="480" w:lineRule="auto"/>
        <w:jc w:val="both"/>
        <w:rPr>
          <w:rFonts w:ascii="Arial" w:eastAsia="Times New Roman" w:hAnsi="Arial" w:cs="Arial"/>
          <w:kern w:val="0"/>
          <w:sz w:val="22"/>
          <w:szCs w:val="22"/>
          <w:lang w:val="en-PH" w:eastAsia="en-PH"/>
          <w14:ligatures w14:val="none"/>
        </w:rPr>
      </w:pPr>
      <w:r w:rsidRPr="00C461C7">
        <w:rPr>
          <w:rFonts w:ascii="Arial" w:hAnsi="Arial" w:cs="Arial"/>
          <w:sz w:val="22"/>
          <w:szCs w:val="22"/>
        </w:rPr>
        <w:tab/>
      </w:r>
      <w:r w:rsidRPr="00C461C7">
        <w:rPr>
          <w:rFonts w:ascii="Arial" w:eastAsia="Times New Roman" w:hAnsi="Arial" w:cs="Arial"/>
          <w:kern w:val="0"/>
          <w:sz w:val="22"/>
          <w:szCs w:val="22"/>
          <w:lang w:val="en-PH" w:eastAsia="en-PH"/>
          <w14:ligatures w14:val="none"/>
        </w:rPr>
        <w:t xml:space="preserve">Specifically, </w:t>
      </w:r>
      <w:r w:rsidR="00BA6519">
        <w:rPr>
          <w:rFonts w:ascii="Arial" w:eastAsia="Times New Roman" w:hAnsi="Arial" w:cs="Arial"/>
          <w:kern w:val="0"/>
          <w:sz w:val="22"/>
          <w:szCs w:val="22"/>
          <w:lang w:val="en-PH" w:eastAsia="en-PH"/>
          <w14:ligatures w14:val="none"/>
        </w:rPr>
        <w:t>this study aimed to answer the following questions:</w:t>
      </w:r>
    </w:p>
    <w:p w14:paraId="6B55CE77" w14:textId="77777777" w:rsidR="00605C50" w:rsidRPr="00BA6519" w:rsidRDefault="00605C50" w:rsidP="00605C50">
      <w:pPr>
        <w:numPr>
          <w:ilvl w:val="0"/>
          <w:numId w:val="3"/>
        </w:numPr>
        <w:spacing w:after="0" w:line="480" w:lineRule="auto"/>
        <w:rPr>
          <w:rFonts w:ascii="Arial" w:eastAsia="Times New Roman" w:hAnsi="Arial" w:cs="Arial"/>
          <w:kern w:val="0"/>
          <w:lang w:val="en-PH" w:eastAsia="en-PH"/>
          <w14:ligatures w14:val="none"/>
        </w:rPr>
      </w:pPr>
      <w:r w:rsidRPr="00BA6519">
        <w:rPr>
          <w:rFonts w:ascii="Arial" w:eastAsia="Times New Roman" w:hAnsi="Arial" w:cs="Arial"/>
          <w:kern w:val="0"/>
          <w:lang w:val="en-PH" w:eastAsia="en-PH"/>
          <w14:ligatures w14:val="none"/>
        </w:rPr>
        <w:t>What is the extent of implementation disaster preparedness and response measures among School Heads and DRRM coordinators in terms of:</w:t>
      </w:r>
    </w:p>
    <w:p w14:paraId="55DE8FC9" w14:textId="77777777" w:rsidR="00605C50" w:rsidRPr="00BA6519" w:rsidRDefault="00605C50" w:rsidP="00605C50">
      <w:pPr>
        <w:pStyle w:val="ListParagraph"/>
        <w:numPr>
          <w:ilvl w:val="1"/>
          <w:numId w:val="31"/>
        </w:numPr>
        <w:spacing w:after="0" w:line="480" w:lineRule="auto"/>
        <w:rPr>
          <w:rFonts w:ascii="Arial" w:eastAsia="Times New Roman" w:hAnsi="Arial" w:cs="Arial"/>
          <w:kern w:val="0"/>
          <w:lang w:val="en-PH" w:eastAsia="en-PH"/>
          <w14:ligatures w14:val="none"/>
        </w:rPr>
      </w:pPr>
      <w:r w:rsidRPr="00BA6519">
        <w:rPr>
          <w:rFonts w:ascii="Arial" w:eastAsia="Times New Roman" w:hAnsi="Arial" w:cs="Arial"/>
          <w:kern w:val="0"/>
          <w:lang w:val="en-PH" w:eastAsia="en-PH"/>
          <w14:ligatures w14:val="none"/>
        </w:rPr>
        <w:lastRenderedPageBreak/>
        <w:t>Preparedness in Normal Times;</w:t>
      </w:r>
    </w:p>
    <w:p w14:paraId="563EE2DE" w14:textId="77777777" w:rsidR="00605C50" w:rsidRPr="00BA6519" w:rsidRDefault="00605C50" w:rsidP="00605C50">
      <w:pPr>
        <w:pStyle w:val="ListParagraph"/>
        <w:numPr>
          <w:ilvl w:val="1"/>
          <w:numId w:val="31"/>
        </w:numPr>
        <w:spacing w:after="0" w:line="480" w:lineRule="auto"/>
        <w:rPr>
          <w:rFonts w:ascii="Arial" w:eastAsia="Times New Roman" w:hAnsi="Arial" w:cs="Arial"/>
          <w:kern w:val="0"/>
          <w:lang w:val="en-PH" w:eastAsia="en-PH"/>
          <w14:ligatures w14:val="none"/>
        </w:rPr>
      </w:pPr>
      <w:r w:rsidRPr="00BA6519">
        <w:rPr>
          <w:rFonts w:ascii="Arial" w:eastAsia="Times New Roman" w:hAnsi="Arial" w:cs="Arial"/>
          <w:kern w:val="0"/>
          <w:lang w:val="en-PH" w:eastAsia="en-PH"/>
          <w14:ligatures w14:val="none"/>
        </w:rPr>
        <w:t>Preparedness for Response;</w:t>
      </w:r>
    </w:p>
    <w:p w14:paraId="4592381D" w14:textId="77777777" w:rsidR="00605C50" w:rsidRPr="00BA6519" w:rsidRDefault="00605C50" w:rsidP="00605C50">
      <w:pPr>
        <w:pStyle w:val="ListParagraph"/>
        <w:numPr>
          <w:ilvl w:val="1"/>
          <w:numId w:val="31"/>
        </w:numPr>
        <w:spacing w:after="0" w:line="480" w:lineRule="auto"/>
        <w:rPr>
          <w:rFonts w:ascii="Arial" w:eastAsia="Times New Roman" w:hAnsi="Arial" w:cs="Arial"/>
          <w:kern w:val="0"/>
          <w:lang w:val="en-PH" w:eastAsia="en-PH"/>
          <w14:ligatures w14:val="none"/>
        </w:rPr>
      </w:pPr>
      <w:r w:rsidRPr="00BA6519">
        <w:rPr>
          <w:rFonts w:ascii="Arial" w:eastAsia="Times New Roman" w:hAnsi="Arial" w:cs="Arial"/>
          <w:kern w:val="0"/>
          <w:lang w:val="en-PH" w:eastAsia="en-PH"/>
          <w14:ligatures w14:val="none"/>
        </w:rPr>
        <w:t>Disaster Response Measures</w:t>
      </w:r>
    </w:p>
    <w:p w14:paraId="157F85BB" w14:textId="77777777" w:rsidR="00605C50" w:rsidRPr="00943A2D" w:rsidRDefault="00605C50" w:rsidP="00605C50">
      <w:pPr>
        <w:pStyle w:val="ListParagraph"/>
        <w:numPr>
          <w:ilvl w:val="0"/>
          <w:numId w:val="3"/>
        </w:numPr>
        <w:spacing w:after="0" w:line="480" w:lineRule="auto"/>
        <w:rPr>
          <w:rFonts w:ascii="Arial" w:eastAsia="Arial" w:hAnsi="Arial" w:cs="Arial"/>
        </w:rPr>
      </w:pPr>
      <w:r w:rsidRPr="00943A2D">
        <w:rPr>
          <w:rFonts w:ascii="Arial" w:eastAsia="Times New Roman" w:hAnsi="Arial" w:cs="Arial"/>
          <w:kern w:val="0"/>
          <w:lang w:eastAsia="en-PH"/>
          <w14:ligatures w14:val="none"/>
        </w:rPr>
        <w:t>What are the standpoints of school heads and Disaster Risk Reduction Management (DRRM) coordinators on the salient elements identified in the quantitative results?</w:t>
      </w:r>
    </w:p>
    <w:p w14:paraId="583A1E90" w14:textId="77777777" w:rsidR="00605C50" w:rsidRPr="00071083" w:rsidRDefault="00605C50" w:rsidP="00605C50">
      <w:pPr>
        <w:pStyle w:val="ListParagraph"/>
        <w:numPr>
          <w:ilvl w:val="0"/>
          <w:numId w:val="3"/>
        </w:numPr>
        <w:spacing w:after="0" w:line="480" w:lineRule="auto"/>
        <w:jc w:val="both"/>
        <w:rPr>
          <w:rFonts w:ascii="Arial" w:eastAsia="Arial" w:hAnsi="Arial" w:cs="Arial"/>
          <w:b/>
          <w:bCs/>
        </w:rPr>
      </w:pPr>
      <w:r w:rsidRPr="00943A2D">
        <w:rPr>
          <w:rFonts w:ascii="Arial" w:eastAsia="Times New Roman" w:hAnsi="Arial" w:cs="Arial"/>
          <w:kern w:val="0"/>
          <w:lang w:eastAsia="en-PH"/>
          <w14:ligatures w14:val="none"/>
        </w:rPr>
        <w:t>How do the</w:t>
      </w:r>
      <w:r w:rsidRPr="00C461C7">
        <w:rPr>
          <w:rFonts w:ascii="Arial" w:eastAsia="Times New Roman" w:hAnsi="Arial" w:cs="Arial"/>
          <w:kern w:val="0"/>
          <w:lang w:eastAsia="en-PH"/>
          <w14:ligatures w14:val="none"/>
        </w:rPr>
        <w:t xml:space="preserve"> qualitative results explain the quantitative results of the study?</w:t>
      </w:r>
    </w:p>
    <w:p w14:paraId="48B36D07" w14:textId="3142E94A" w:rsidR="00605C50" w:rsidRPr="003E1CB4" w:rsidRDefault="00605C50" w:rsidP="00605C50">
      <w:pPr>
        <w:spacing w:after="0" w:line="480" w:lineRule="auto"/>
        <w:jc w:val="both"/>
        <w:rPr>
          <w:rFonts w:ascii="Arial" w:eastAsia="Arial" w:hAnsi="Arial" w:cs="Arial"/>
        </w:rPr>
      </w:pPr>
      <w:r w:rsidRPr="003E1CB4">
        <w:rPr>
          <w:rFonts w:ascii="Arial" w:eastAsia="Arial" w:hAnsi="Arial" w:cs="Arial"/>
          <w:b/>
          <w:bCs/>
        </w:rPr>
        <w:t xml:space="preserve">Theoretical </w:t>
      </w:r>
      <w:r w:rsidR="00473164">
        <w:rPr>
          <w:rFonts w:ascii="Arial" w:eastAsia="Arial" w:hAnsi="Arial" w:cs="Arial"/>
          <w:b/>
          <w:bCs/>
        </w:rPr>
        <w:t>Framework</w:t>
      </w:r>
    </w:p>
    <w:p w14:paraId="1020D212" w14:textId="633D15D0" w:rsidR="00605C50" w:rsidRDefault="00F505E0" w:rsidP="00EE1E65">
      <w:pPr>
        <w:pStyle w:val="NormalWeb"/>
        <w:spacing w:after="0" w:line="480" w:lineRule="auto"/>
        <w:ind w:firstLine="720"/>
        <w:jc w:val="both"/>
        <w:rPr>
          <w:rFonts w:ascii="Arial" w:hAnsi="Arial" w:cs="Arial"/>
          <w:sz w:val="22"/>
          <w:szCs w:val="22"/>
        </w:rPr>
      </w:pPr>
      <w:r w:rsidRPr="00F505E0">
        <w:rPr>
          <w:rFonts w:ascii="Arial" w:hAnsi="Arial" w:cs="Arial"/>
          <w:sz w:val="22"/>
          <w:szCs w:val="22"/>
        </w:rPr>
        <w:t>This study was anchored on the Crisis Management Plan (CMP) Framework developed by Reeves, Kanan, and Plog (2010), which provides a structured approach to crisis preparedness, response, and recovery in school settings. The CMP framework emphasizes that effective crisis management requires systematic planning, coordinated response mechanisms, and structured recovery processes to ensure the safety of learners and the continuity of education during weather-related hazards such as tropical cyclones, flooding, and rain-induced landslides. Supporting this framework, Crisis Management Theory (Pearson &amp; Clair, 1998; Mitroff, 2005) explains that organizational effectiveness during disasters depends on anticipatory planning, rapid response, and leadership decision-making under uncertainty, making it highly relevant to school-based disaster preparedness and response measures.</w:t>
      </w:r>
    </w:p>
    <w:p w14:paraId="6572B69D" w14:textId="01A0ABB2" w:rsidR="00EE1E65" w:rsidRDefault="00EE1E65" w:rsidP="00EE1E65">
      <w:pPr>
        <w:pStyle w:val="NormalWeb"/>
        <w:spacing w:after="0" w:line="480" w:lineRule="auto"/>
        <w:ind w:firstLine="720"/>
        <w:jc w:val="both"/>
        <w:rPr>
          <w:rFonts w:ascii="Arial" w:hAnsi="Arial" w:cs="Arial"/>
          <w:sz w:val="22"/>
          <w:szCs w:val="22"/>
        </w:rPr>
      </w:pPr>
      <w:r w:rsidRPr="00F505E0">
        <w:rPr>
          <w:rFonts w:ascii="Arial" w:hAnsi="Arial" w:cs="Arial"/>
          <w:sz w:val="22"/>
          <w:szCs w:val="22"/>
        </w:rPr>
        <w:t xml:space="preserve">Crisis Management Theory (Mitroff, 2005; Pearson &amp; Clair, 1998) was integrated in this study to strengthen the interpretation of school-based disaster preparedness and response measures. This theory emphasizes that organizational effectiveness during crises depends on anticipatory preparedness, structured response decision-making, and strong leadership under uncertain and high-pressure conditions. In the context of this study, the theory is strongly aligned with preparedness in normal times, as it highlights the </w:t>
      </w:r>
      <w:r w:rsidRPr="00F505E0">
        <w:rPr>
          <w:rFonts w:ascii="Arial" w:hAnsi="Arial" w:cs="Arial"/>
          <w:sz w:val="22"/>
          <w:szCs w:val="22"/>
        </w:rPr>
        <w:lastRenderedPageBreak/>
        <w:t>importance of proactive planning and risk reduction; preparedness for response, as it supports decision-making processes during active disaster situations; and disaster response measures, as it underscores leadership actions during recovery and stabilization phases in schools affected by weather-related hazards.</w:t>
      </w:r>
    </w:p>
    <w:p w14:paraId="5F2CBE32" w14:textId="77777777" w:rsidR="00605C50" w:rsidRPr="00F62E09" w:rsidRDefault="00605C50" w:rsidP="00605C50">
      <w:pPr>
        <w:spacing w:after="0" w:line="480" w:lineRule="auto"/>
        <w:rPr>
          <w:rFonts w:ascii="Arial" w:hAnsi="Arial" w:cs="Arial"/>
          <w:b/>
        </w:rPr>
      </w:pPr>
      <w:r w:rsidRPr="00F62E09">
        <w:rPr>
          <w:rFonts w:ascii="Arial" w:hAnsi="Arial" w:cs="Arial"/>
          <w:b/>
        </w:rPr>
        <w:t xml:space="preserve">Figure. 1 </w:t>
      </w:r>
    </w:p>
    <w:p w14:paraId="52895BAE" w14:textId="77777777" w:rsidR="00605C50" w:rsidRPr="00F62E09" w:rsidRDefault="00605C50" w:rsidP="00605C50">
      <w:pPr>
        <w:spacing w:after="0" w:line="360" w:lineRule="auto"/>
        <w:rPr>
          <w:rFonts w:ascii="Arial" w:hAnsi="Arial" w:cs="Arial"/>
          <w:bCs/>
          <w:i/>
          <w:iCs/>
        </w:rPr>
      </w:pPr>
      <w:r>
        <w:rPr>
          <w:rFonts w:ascii="Arial" w:hAnsi="Arial" w:cs="Arial"/>
          <w:bCs/>
          <w:i/>
          <w:iCs/>
        </w:rPr>
        <w:t>Crisis Management Plan</w:t>
      </w:r>
      <w:r w:rsidRPr="00F62E09">
        <w:rPr>
          <w:rFonts w:ascii="Arial" w:hAnsi="Arial" w:cs="Arial"/>
          <w:bCs/>
          <w:i/>
          <w:iCs/>
        </w:rPr>
        <w:t xml:space="preserve"> (C</w:t>
      </w:r>
      <w:r>
        <w:rPr>
          <w:rFonts w:ascii="Arial" w:hAnsi="Arial" w:cs="Arial"/>
          <w:bCs/>
          <w:i/>
          <w:iCs/>
        </w:rPr>
        <w:t>MP</w:t>
      </w:r>
      <w:r w:rsidRPr="00F62E09">
        <w:rPr>
          <w:rFonts w:ascii="Arial" w:hAnsi="Arial" w:cs="Arial"/>
          <w:bCs/>
          <w:i/>
          <w:iCs/>
        </w:rPr>
        <w:t xml:space="preserve">) </w:t>
      </w:r>
      <w:r>
        <w:rPr>
          <w:rFonts w:ascii="Arial" w:hAnsi="Arial" w:cs="Arial"/>
          <w:bCs/>
          <w:i/>
          <w:iCs/>
        </w:rPr>
        <w:t>Framework</w:t>
      </w:r>
      <w:r w:rsidRPr="00F62E09">
        <w:rPr>
          <w:rFonts w:ascii="Arial" w:hAnsi="Arial" w:cs="Arial"/>
          <w:bCs/>
          <w:i/>
          <w:iCs/>
        </w:rPr>
        <w:t xml:space="preserve"> (</w:t>
      </w:r>
      <w:r>
        <w:rPr>
          <w:rFonts w:ascii="Arial" w:hAnsi="Arial" w:cs="Arial"/>
          <w:bCs/>
          <w:i/>
          <w:iCs/>
        </w:rPr>
        <w:t>Reeves, Kana, and Plog, 2010</w:t>
      </w:r>
      <w:r w:rsidRPr="00F62E09">
        <w:rPr>
          <w:rFonts w:ascii="Arial" w:hAnsi="Arial" w:cs="Arial"/>
          <w:bCs/>
          <w:i/>
          <w:iCs/>
        </w:rPr>
        <w:t>)</w:t>
      </w:r>
    </w:p>
    <w:p w14:paraId="7A8F020A" w14:textId="77777777" w:rsidR="00605C50" w:rsidRDefault="00605C50" w:rsidP="00605C50">
      <w:pPr>
        <w:pStyle w:val="NormalWeb"/>
        <w:spacing w:line="480" w:lineRule="auto"/>
        <w:ind w:firstLine="720"/>
        <w:jc w:val="both"/>
        <w:rPr>
          <w:rFonts w:ascii="Arial" w:hAnsi="Arial" w:cs="Arial"/>
          <w:sz w:val="22"/>
          <w:szCs w:val="22"/>
        </w:rPr>
      </w:pPr>
      <w:r>
        <w:rPr>
          <w:rFonts w:ascii="Arial" w:hAnsi="Arial" w:cs="Arial"/>
          <w:noProof/>
          <w:sz w:val="22"/>
          <w:szCs w:val="22"/>
        </w:rPr>
        <w:drawing>
          <wp:anchor distT="0" distB="0" distL="114300" distR="114300" simplePos="0" relativeHeight="251717632" behindDoc="0" locked="0" layoutInCell="1" allowOverlap="1" wp14:anchorId="4FD155B7" wp14:editId="2CD22AC5">
            <wp:simplePos x="0" y="0"/>
            <wp:positionH relativeFrom="column">
              <wp:posOffset>-95213</wp:posOffset>
            </wp:positionH>
            <wp:positionV relativeFrom="paragraph">
              <wp:posOffset>68536</wp:posOffset>
            </wp:positionV>
            <wp:extent cx="5486400" cy="3132455"/>
            <wp:effectExtent l="0" t="0" r="0" b="0"/>
            <wp:wrapNone/>
            <wp:docPr id="13490576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57668" name="Picture 1349057668"/>
                    <pic:cNvPicPr/>
                  </pic:nvPicPr>
                  <pic:blipFill rotWithShape="1">
                    <a:blip r:embed="rId11" cstate="print">
                      <a:extLst>
                        <a:ext uri="{28A0092B-C50C-407E-A947-70E740481C1C}">
                          <a14:useLocalDpi xmlns:a14="http://schemas.microsoft.com/office/drawing/2010/main" val="0"/>
                        </a:ext>
                      </a:extLst>
                    </a:blip>
                    <a:srcRect t="14356"/>
                    <a:stretch>
                      <a:fillRect/>
                    </a:stretch>
                  </pic:blipFill>
                  <pic:spPr bwMode="auto">
                    <a:xfrm>
                      <a:off x="0" y="0"/>
                      <a:ext cx="5486400" cy="31324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B4E460C" w14:textId="77777777" w:rsidR="00605C50" w:rsidRDefault="00605C50" w:rsidP="00605C50">
      <w:pPr>
        <w:pStyle w:val="NormalWeb"/>
        <w:spacing w:line="480" w:lineRule="auto"/>
        <w:jc w:val="both"/>
        <w:rPr>
          <w:rFonts w:ascii="Arial" w:hAnsi="Arial" w:cs="Arial"/>
          <w:sz w:val="22"/>
          <w:szCs w:val="22"/>
        </w:rPr>
      </w:pPr>
    </w:p>
    <w:p w14:paraId="64E2237B" w14:textId="77777777" w:rsidR="00605C50" w:rsidRDefault="00605C50" w:rsidP="00605C50">
      <w:pPr>
        <w:pStyle w:val="NormalWeb"/>
        <w:spacing w:line="480" w:lineRule="auto"/>
        <w:jc w:val="both"/>
        <w:rPr>
          <w:rFonts w:ascii="Arial" w:hAnsi="Arial" w:cs="Arial"/>
          <w:sz w:val="22"/>
          <w:szCs w:val="22"/>
        </w:rPr>
      </w:pPr>
    </w:p>
    <w:p w14:paraId="52781FD1" w14:textId="77777777" w:rsidR="00605C50" w:rsidRDefault="00605C50" w:rsidP="00605C50">
      <w:pPr>
        <w:pStyle w:val="NormalWeb"/>
        <w:spacing w:line="480" w:lineRule="auto"/>
        <w:ind w:firstLine="720"/>
        <w:jc w:val="both"/>
        <w:rPr>
          <w:rFonts w:ascii="Arial" w:hAnsi="Arial" w:cs="Arial"/>
          <w:sz w:val="22"/>
          <w:szCs w:val="22"/>
        </w:rPr>
      </w:pPr>
    </w:p>
    <w:p w14:paraId="6569719C" w14:textId="77777777" w:rsidR="00605C50" w:rsidRDefault="00605C50" w:rsidP="00605C50">
      <w:pPr>
        <w:pStyle w:val="NormalWeb"/>
        <w:spacing w:after="0" w:line="480" w:lineRule="auto"/>
        <w:ind w:firstLine="720"/>
        <w:jc w:val="both"/>
        <w:rPr>
          <w:rFonts w:ascii="Arial" w:hAnsi="Arial" w:cs="Arial"/>
          <w:sz w:val="22"/>
          <w:szCs w:val="22"/>
        </w:rPr>
      </w:pPr>
    </w:p>
    <w:p w14:paraId="193861F7" w14:textId="77777777" w:rsidR="00605C50" w:rsidRDefault="00605C50" w:rsidP="00605C50">
      <w:pPr>
        <w:pStyle w:val="NormalWeb"/>
        <w:spacing w:after="0" w:line="480" w:lineRule="auto"/>
        <w:ind w:firstLine="720"/>
        <w:jc w:val="both"/>
        <w:rPr>
          <w:rFonts w:ascii="Arial" w:hAnsi="Arial" w:cs="Arial"/>
          <w:sz w:val="22"/>
          <w:szCs w:val="22"/>
        </w:rPr>
      </w:pPr>
    </w:p>
    <w:p w14:paraId="2312F09D" w14:textId="77777777" w:rsidR="00605C50" w:rsidRDefault="00605C50" w:rsidP="00605C50">
      <w:pPr>
        <w:pStyle w:val="NormalWeb"/>
        <w:spacing w:after="0" w:line="480" w:lineRule="auto"/>
        <w:ind w:firstLine="720"/>
        <w:jc w:val="both"/>
        <w:rPr>
          <w:rFonts w:ascii="Arial" w:hAnsi="Arial" w:cs="Arial"/>
          <w:sz w:val="22"/>
          <w:szCs w:val="22"/>
        </w:rPr>
      </w:pPr>
    </w:p>
    <w:p w14:paraId="28A56D23" w14:textId="77777777" w:rsidR="00605C50" w:rsidRDefault="00605C50" w:rsidP="00605C50">
      <w:pPr>
        <w:pStyle w:val="NormalWeb"/>
        <w:spacing w:after="0" w:line="480" w:lineRule="auto"/>
        <w:ind w:firstLine="720"/>
        <w:jc w:val="both"/>
        <w:rPr>
          <w:rFonts w:ascii="Arial" w:hAnsi="Arial" w:cs="Arial"/>
          <w:sz w:val="22"/>
          <w:szCs w:val="22"/>
        </w:rPr>
      </w:pPr>
    </w:p>
    <w:p w14:paraId="6D5890BC" w14:textId="77777777" w:rsidR="00605C50" w:rsidRDefault="00605C50" w:rsidP="00605C50">
      <w:pPr>
        <w:pStyle w:val="NormalWeb"/>
        <w:spacing w:after="0" w:line="480" w:lineRule="auto"/>
        <w:ind w:firstLine="720"/>
        <w:jc w:val="both"/>
        <w:rPr>
          <w:rFonts w:ascii="Arial" w:hAnsi="Arial" w:cs="Arial"/>
          <w:sz w:val="22"/>
          <w:szCs w:val="22"/>
        </w:rPr>
      </w:pPr>
    </w:p>
    <w:p w14:paraId="665B04C9" w14:textId="77777777" w:rsidR="00F505E0" w:rsidRDefault="00F505E0" w:rsidP="00605C50">
      <w:pPr>
        <w:pStyle w:val="NormalWeb"/>
        <w:spacing w:after="0" w:line="480" w:lineRule="auto"/>
        <w:ind w:firstLine="720"/>
        <w:jc w:val="both"/>
        <w:rPr>
          <w:rFonts w:ascii="Arial" w:hAnsi="Arial" w:cs="Arial"/>
          <w:sz w:val="22"/>
          <w:szCs w:val="22"/>
        </w:rPr>
      </w:pPr>
      <w:r w:rsidRPr="00F505E0">
        <w:rPr>
          <w:rFonts w:ascii="Arial" w:hAnsi="Arial" w:cs="Arial"/>
          <w:sz w:val="22"/>
          <w:szCs w:val="22"/>
        </w:rPr>
        <w:t xml:space="preserve">The second phase of the CMP framework, Preparedness and Response, served as the central focus of this study. This phase highlights the development of crisis management plans, implementation of disaster preparedness training, conduct of emergency drills, and establishment of communication systems within schools. Gainey (2009) emphasized that effective crisis management requires proactive planning and coordinated response structures to minimize disaster impacts. Similarly, Trump (2011) highlighted that school administrators play a critical role in activating emergency protocols and ensuring that school personnel are adequately trained for disaster situations. This phase aligned directly with the study’s indicator on Preparedness for Response, which </w:t>
      </w:r>
      <w:r w:rsidRPr="00F505E0">
        <w:rPr>
          <w:rFonts w:ascii="Arial" w:hAnsi="Arial" w:cs="Arial"/>
          <w:sz w:val="22"/>
          <w:szCs w:val="22"/>
        </w:rPr>
        <w:lastRenderedPageBreak/>
        <w:t>examined how school heads and Disaster Risk Reduction and Management (DRRM) coordinators implemented structured preparedness and response measures in relation to weather-related hazards.</w:t>
      </w:r>
    </w:p>
    <w:p w14:paraId="5FA6561A" w14:textId="77777777" w:rsidR="00F505E0" w:rsidRDefault="00F505E0" w:rsidP="00605C50">
      <w:pPr>
        <w:pStyle w:val="NormalWeb"/>
        <w:spacing w:after="0" w:line="480" w:lineRule="auto"/>
        <w:ind w:firstLine="720"/>
        <w:jc w:val="both"/>
        <w:rPr>
          <w:rFonts w:ascii="Arial" w:hAnsi="Arial" w:cs="Arial"/>
          <w:sz w:val="22"/>
          <w:szCs w:val="22"/>
        </w:rPr>
      </w:pPr>
      <w:r w:rsidRPr="00F505E0">
        <w:rPr>
          <w:rFonts w:ascii="Arial" w:hAnsi="Arial" w:cs="Arial"/>
          <w:sz w:val="22"/>
          <w:szCs w:val="22"/>
        </w:rPr>
        <w:t>In the quantitative phase, the CMP framework was utilized as the basis for measuring the extent of implementation of school-based disaster preparedness and response measures. It guided the assessment of Preparedness in Normal Times, Preparedness for Response, and Disaster Response Measures using structured survey instruments. The quantitative results provided numerical data describing the level of implementation of disaster preparedness and response measures in schools.</w:t>
      </w:r>
    </w:p>
    <w:p w14:paraId="2B0CAF7B" w14:textId="6A5A97FF" w:rsidR="00F505E0" w:rsidRDefault="00F505E0" w:rsidP="00605C50">
      <w:pPr>
        <w:pStyle w:val="NormalWeb"/>
        <w:spacing w:after="0" w:line="480" w:lineRule="auto"/>
        <w:ind w:firstLine="720"/>
        <w:jc w:val="both"/>
        <w:rPr>
          <w:rFonts w:ascii="Arial" w:hAnsi="Arial" w:cs="Arial"/>
          <w:sz w:val="22"/>
          <w:szCs w:val="22"/>
        </w:rPr>
      </w:pPr>
      <w:r w:rsidRPr="00F505E0">
        <w:rPr>
          <w:rFonts w:ascii="Arial" w:hAnsi="Arial" w:cs="Arial"/>
          <w:sz w:val="22"/>
          <w:szCs w:val="22"/>
        </w:rPr>
        <w:t>In the qualitative phase, the CMP framework guided the analysis of the standpoints of school heads and DRRM coordinators regarding the significant quantitative findings. Thus, the qualitative component focused on standpoints</w:t>
      </w:r>
      <w:r>
        <w:rPr>
          <w:rFonts w:ascii="Arial" w:hAnsi="Arial" w:cs="Arial"/>
          <w:sz w:val="22"/>
          <w:szCs w:val="22"/>
        </w:rPr>
        <w:t xml:space="preserve"> </w:t>
      </w:r>
      <w:r w:rsidRPr="00F505E0">
        <w:rPr>
          <w:rFonts w:ascii="Arial" w:hAnsi="Arial" w:cs="Arial"/>
          <w:sz w:val="22"/>
          <w:szCs w:val="22"/>
        </w:rPr>
        <w:t>of school leaders and DRRM coordinators regarding the implementation of disaster preparedness and response measures in schools.</w:t>
      </w:r>
    </w:p>
    <w:p w14:paraId="1BAED28D" w14:textId="11E7534E" w:rsidR="00F83EC4" w:rsidRPr="00541410" w:rsidRDefault="00EE1E65" w:rsidP="00541410">
      <w:pPr>
        <w:pStyle w:val="NormalWeb"/>
        <w:spacing w:after="0" w:line="480" w:lineRule="auto"/>
        <w:ind w:firstLine="720"/>
        <w:jc w:val="both"/>
        <w:rPr>
          <w:rFonts w:ascii="Arial" w:hAnsi="Arial" w:cs="Arial"/>
          <w:sz w:val="22"/>
          <w:szCs w:val="22"/>
        </w:rPr>
      </w:pPr>
      <w:r w:rsidRPr="00EE1E65">
        <w:rPr>
          <w:rFonts w:ascii="Arial" w:hAnsi="Arial" w:cs="Arial"/>
          <w:sz w:val="22"/>
          <w:szCs w:val="22"/>
        </w:rPr>
        <w:t>Overall, by integrating the CMP framework and Crisis Management Theory, this study examined how school heads and DRRM coordinators in the Davao de Oro Division implemented preparedness and response strategies to strengthen school resilience against weather-related disasters. The combination of quantitative measurement and qualitative standpoints provided a comprehensive understanding of school-based disaster preparedness and response implementation in disaster-prone school environments.</w:t>
      </w:r>
    </w:p>
    <w:p w14:paraId="6D3A19BB" w14:textId="77777777" w:rsidR="00F83EC4" w:rsidRDefault="00F83EC4" w:rsidP="00E44026">
      <w:pPr>
        <w:spacing w:after="0" w:line="480" w:lineRule="auto"/>
        <w:jc w:val="both"/>
        <w:rPr>
          <w:rFonts w:ascii="Arial" w:hAnsi="Arial" w:cs="Arial"/>
          <w:b/>
          <w:bCs/>
        </w:rPr>
      </w:pPr>
      <w:r>
        <w:rPr>
          <w:rFonts w:ascii="Arial" w:hAnsi="Arial" w:cs="Arial"/>
          <w:b/>
          <w:bCs/>
        </w:rPr>
        <w:t>Significance of the Study</w:t>
      </w:r>
    </w:p>
    <w:p w14:paraId="6D97A436" w14:textId="6FD22F16" w:rsidR="00F83EC4" w:rsidRPr="00F83EC4" w:rsidRDefault="00F83EC4" w:rsidP="00E44026">
      <w:pPr>
        <w:spacing w:after="0" w:line="480" w:lineRule="auto"/>
        <w:jc w:val="both"/>
        <w:rPr>
          <w:rFonts w:ascii="Arial" w:hAnsi="Arial" w:cs="Arial"/>
        </w:rPr>
      </w:pPr>
      <w:r>
        <w:rPr>
          <w:rFonts w:ascii="Arial" w:hAnsi="Arial" w:cs="Arial"/>
          <w:b/>
          <w:bCs/>
        </w:rPr>
        <w:tab/>
      </w:r>
      <w:r w:rsidRPr="00F83EC4">
        <w:rPr>
          <w:rFonts w:ascii="Arial" w:hAnsi="Arial" w:cs="Arial"/>
        </w:rPr>
        <w:t>This study on the school-based disaster preparedness and response measures of school heads in the Davao de Oro Division was significant in understanding the crucial role of school leaders in promoting safety, readiness, and resilience in educational institutions during weather-related emergencies. Using an explanatory sequential mixed-</w:t>
      </w:r>
      <w:r w:rsidRPr="00F83EC4">
        <w:rPr>
          <w:rFonts w:ascii="Arial" w:hAnsi="Arial" w:cs="Arial"/>
        </w:rPr>
        <w:lastRenderedPageBreak/>
        <w:t>methods design, the study first determined the extent of implementation of school-based disaster preparedness and response measures and then explored the standpoints of school heads and DRRM coordinators to explain and enrich the quantitative findings.</w:t>
      </w:r>
    </w:p>
    <w:p w14:paraId="6D83A84C" w14:textId="69985859" w:rsidR="00F83EC4" w:rsidRPr="00F83EC4" w:rsidRDefault="00F83EC4" w:rsidP="00E44026">
      <w:pPr>
        <w:spacing w:after="0" w:line="480" w:lineRule="auto"/>
        <w:jc w:val="both"/>
        <w:rPr>
          <w:rFonts w:ascii="Arial" w:hAnsi="Arial" w:cs="Arial"/>
        </w:rPr>
      </w:pPr>
      <w:r>
        <w:rPr>
          <w:rFonts w:ascii="Arial" w:hAnsi="Arial" w:cs="Arial"/>
        </w:rPr>
        <w:tab/>
      </w:r>
      <w:r w:rsidRPr="00F83EC4">
        <w:rPr>
          <w:rFonts w:ascii="Arial" w:hAnsi="Arial" w:cs="Arial"/>
        </w:rPr>
        <w:t>Specifically, this study identified effective strategies in implementing school-based disaster preparedness and response measures in public schools</w:t>
      </w:r>
      <w:r w:rsidR="00E44026">
        <w:rPr>
          <w:rFonts w:ascii="Arial" w:hAnsi="Arial" w:cs="Arial"/>
        </w:rPr>
        <w:t xml:space="preserve"> </w:t>
      </w:r>
      <w:r w:rsidRPr="00F83EC4">
        <w:rPr>
          <w:rFonts w:ascii="Arial" w:hAnsi="Arial" w:cs="Arial"/>
        </w:rPr>
        <w:t>and gathered meaningful insights from their standpoints. Its primary objective was to provide a comprehensive understanding of school leadership practices that may strengthen the implementation of school-based disaster risk reduction and management in the Davao de Oro Division.</w:t>
      </w:r>
    </w:p>
    <w:p w14:paraId="45A6E9D4" w14:textId="1482428C" w:rsidR="00605C50" w:rsidRPr="003E1CB4" w:rsidRDefault="00E44026" w:rsidP="00541410">
      <w:pPr>
        <w:spacing w:after="0" w:line="480" w:lineRule="auto"/>
        <w:jc w:val="both"/>
        <w:rPr>
          <w:rFonts w:ascii="Arial" w:hAnsi="Arial" w:cs="Arial"/>
        </w:rPr>
      </w:pPr>
      <w:r>
        <w:rPr>
          <w:rFonts w:ascii="Arial" w:hAnsi="Arial" w:cs="Arial"/>
        </w:rPr>
        <w:tab/>
      </w:r>
      <w:r w:rsidR="00605C50" w:rsidRPr="003E1CB4">
        <w:rPr>
          <w:rFonts w:ascii="Arial" w:hAnsi="Arial" w:cs="Arial"/>
        </w:rPr>
        <w:t>The findings of this research will be beneficial to the following stakeholders:</w:t>
      </w:r>
    </w:p>
    <w:p w14:paraId="2F654FFF" w14:textId="042DC389" w:rsidR="00605C50" w:rsidRPr="003E1CB4" w:rsidRDefault="00E069E0" w:rsidP="00541410">
      <w:pPr>
        <w:spacing w:after="0" w:line="480" w:lineRule="auto"/>
        <w:jc w:val="both"/>
        <w:rPr>
          <w:rFonts w:ascii="Arial" w:hAnsi="Arial" w:cs="Arial"/>
        </w:rPr>
      </w:pPr>
      <w:r>
        <w:rPr>
          <w:rFonts w:ascii="Arial" w:hAnsi="Arial" w:cs="Arial"/>
        </w:rPr>
        <w:tab/>
      </w:r>
      <w:r w:rsidR="00605C50" w:rsidRPr="00E069E0">
        <w:rPr>
          <w:rFonts w:ascii="Arial" w:hAnsi="Arial" w:cs="Arial"/>
          <w:i/>
          <w:iCs/>
        </w:rPr>
        <w:t>School Heads</w:t>
      </w:r>
      <w:r w:rsidRPr="00E069E0">
        <w:rPr>
          <w:rFonts w:ascii="Arial" w:hAnsi="Arial" w:cs="Arial"/>
          <w:i/>
          <w:iCs/>
        </w:rPr>
        <w:t>.</w:t>
      </w:r>
      <w:r>
        <w:rPr>
          <w:rFonts w:ascii="Arial" w:hAnsi="Arial" w:cs="Arial"/>
        </w:rPr>
        <w:t xml:space="preserve"> </w:t>
      </w:r>
      <w:r w:rsidR="00605C50" w:rsidRPr="003E1CB4">
        <w:rPr>
          <w:rFonts w:ascii="Arial" w:hAnsi="Arial" w:cs="Arial"/>
        </w:rPr>
        <w:t xml:space="preserve">This study </w:t>
      </w:r>
      <w:r w:rsidR="00EB647C">
        <w:rPr>
          <w:rFonts w:ascii="Arial" w:hAnsi="Arial" w:cs="Arial"/>
        </w:rPr>
        <w:t>provided</w:t>
      </w:r>
      <w:r w:rsidR="00605C50" w:rsidRPr="003E1CB4">
        <w:rPr>
          <w:rFonts w:ascii="Arial" w:hAnsi="Arial" w:cs="Arial"/>
        </w:rPr>
        <w:t xml:space="preserve"> practical guidance for school heads and policymakers on how to effectively implement DepEd Order No. 033 to strengthen disaster preparedness at the school level. By identifying the challenges and enabling factors associated with SBM in the context of DRRM, this research can inform the development of targeted interventions and support mechanisms.</w:t>
      </w:r>
    </w:p>
    <w:p w14:paraId="5CBAA547" w14:textId="6EF7A751" w:rsidR="00605C50" w:rsidRPr="003E1CB4" w:rsidRDefault="00E069E0" w:rsidP="00541410">
      <w:pPr>
        <w:spacing w:after="0" w:line="480" w:lineRule="auto"/>
        <w:jc w:val="both"/>
        <w:rPr>
          <w:rFonts w:ascii="Arial" w:hAnsi="Arial" w:cs="Arial"/>
        </w:rPr>
      </w:pPr>
      <w:r>
        <w:rPr>
          <w:rFonts w:ascii="Arial" w:hAnsi="Arial" w:cs="Arial"/>
        </w:rPr>
        <w:tab/>
      </w:r>
      <w:r w:rsidR="00605C50" w:rsidRPr="00E069E0">
        <w:rPr>
          <w:rFonts w:ascii="Arial" w:hAnsi="Arial" w:cs="Arial"/>
          <w:i/>
          <w:iCs/>
        </w:rPr>
        <w:t xml:space="preserve">School DRRM Coordinator and </w:t>
      </w:r>
      <w:proofErr w:type="gramStart"/>
      <w:r w:rsidR="00605C50" w:rsidRPr="00E069E0">
        <w:rPr>
          <w:rFonts w:ascii="Arial" w:hAnsi="Arial" w:cs="Arial"/>
          <w:i/>
          <w:iCs/>
        </w:rPr>
        <w:t>Teachers</w:t>
      </w:r>
      <w:r w:rsidR="00605C50" w:rsidRPr="003E1CB4">
        <w:rPr>
          <w:rFonts w:ascii="Arial" w:hAnsi="Arial" w:cs="Arial"/>
        </w:rPr>
        <w:t xml:space="preserve"> </w:t>
      </w:r>
      <w:r>
        <w:rPr>
          <w:rFonts w:ascii="Arial" w:hAnsi="Arial" w:cs="Arial"/>
        </w:rPr>
        <w:t>.</w:t>
      </w:r>
      <w:proofErr w:type="gramEnd"/>
      <w:r>
        <w:rPr>
          <w:rFonts w:ascii="Arial" w:hAnsi="Arial" w:cs="Arial"/>
        </w:rPr>
        <w:t xml:space="preserve"> </w:t>
      </w:r>
      <w:r w:rsidR="00605C50" w:rsidRPr="003E1CB4">
        <w:rPr>
          <w:rFonts w:ascii="Arial" w:hAnsi="Arial" w:cs="Arial"/>
        </w:rPr>
        <w:t>By understanding the disaster preparedness measures implemented by school principals, teachers and staff can actively contribute to creating a safer school environment and be better equipped to respond to emergencies. This research will identify specific, actionable practices that schools can adopt to enhance their disaster preparedness measures. This includes strategies for developing comprehensive disaster preparedness plans, conducting effective drills and simulations, and providing training and resources to staff and students.</w:t>
      </w:r>
    </w:p>
    <w:p w14:paraId="7F63851B" w14:textId="36D33152" w:rsidR="00605C50" w:rsidRPr="003E1CB4" w:rsidRDefault="00B92693" w:rsidP="00605C50">
      <w:pPr>
        <w:spacing w:after="0" w:line="480" w:lineRule="auto"/>
        <w:jc w:val="both"/>
        <w:rPr>
          <w:rFonts w:ascii="Arial" w:hAnsi="Arial" w:cs="Arial"/>
        </w:rPr>
      </w:pPr>
      <w:r>
        <w:rPr>
          <w:rFonts w:ascii="Arial" w:hAnsi="Arial" w:cs="Arial"/>
        </w:rPr>
        <w:tab/>
      </w:r>
      <w:r w:rsidR="00605C50" w:rsidRPr="00B92693">
        <w:rPr>
          <w:rFonts w:ascii="Arial" w:hAnsi="Arial" w:cs="Arial"/>
          <w:i/>
          <w:iCs/>
        </w:rPr>
        <w:t>Students and Parents</w:t>
      </w:r>
      <w:r>
        <w:rPr>
          <w:rFonts w:ascii="Arial" w:hAnsi="Arial" w:cs="Arial"/>
        </w:rPr>
        <w:t xml:space="preserve">. </w:t>
      </w:r>
      <w:r w:rsidR="00605C50" w:rsidRPr="003E1CB4">
        <w:rPr>
          <w:rFonts w:ascii="Arial" w:hAnsi="Arial" w:cs="Arial"/>
        </w:rPr>
        <w:t>The study aim</w:t>
      </w:r>
      <w:r w:rsidR="00EB647C">
        <w:rPr>
          <w:rFonts w:ascii="Arial" w:hAnsi="Arial" w:cs="Arial"/>
        </w:rPr>
        <w:t>ed</w:t>
      </w:r>
      <w:r w:rsidR="00605C50" w:rsidRPr="003E1CB4">
        <w:rPr>
          <w:rFonts w:ascii="Arial" w:hAnsi="Arial" w:cs="Arial"/>
        </w:rPr>
        <w:t xml:space="preserve"> to highlight the importance of disaster preparedness in schools, ensuring that students are well-protected, and parents gain confidence in the school’s ability to safeguard their children during disasters.</w:t>
      </w:r>
    </w:p>
    <w:p w14:paraId="27F667BA" w14:textId="37FC0192" w:rsidR="00605C50" w:rsidRPr="003E1CB4" w:rsidRDefault="00B92693" w:rsidP="00605C50">
      <w:pPr>
        <w:spacing w:after="0" w:line="480" w:lineRule="auto"/>
        <w:jc w:val="both"/>
        <w:rPr>
          <w:rFonts w:ascii="Arial" w:hAnsi="Arial" w:cs="Arial"/>
        </w:rPr>
      </w:pPr>
      <w:r>
        <w:rPr>
          <w:rFonts w:ascii="Arial" w:hAnsi="Arial" w:cs="Arial"/>
        </w:rPr>
        <w:lastRenderedPageBreak/>
        <w:tab/>
      </w:r>
      <w:r w:rsidR="00605C50" w:rsidRPr="00B92693">
        <w:rPr>
          <w:rFonts w:ascii="Arial" w:hAnsi="Arial" w:cs="Arial"/>
          <w:i/>
          <w:iCs/>
        </w:rPr>
        <w:t>Department of Education (DepEd) and Policy Makers</w:t>
      </w:r>
      <w:r>
        <w:rPr>
          <w:rFonts w:ascii="Arial" w:hAnsi="Arial" w:cs="Arial"/>
          <w:i/>
          <w:iCs/>
        </w:rPr>
        <w:t xml:space="preserve">. </w:t>
      </w:r>
      <w:r w:rsidR="00605C50" w:rsidRPr="003E1CB4">
        <w:rPr>
          <w:rFonts w:ascii="Arial" w:hAnsi="Arial" w:cs="Arial"/>
        </w:rPr>
        <w:t>The findings of this study can inform local policymakers and resource allocators in Davao de Oro on how to prioritize investments in school-based disaster preparedness. By providing evidence-based recommendations, this research can help ensure that schools receive the necessary support to effectively implement DepEd Order No. 033 and protect their communities.</w:t>
      </w:r>
    </w:p>
    <w:p w14:paraId="32F61B6B" w14:textId="1C706FE3" w:rsidR="00605C50" w:rsidRPr="003E1CB4" w:rsidRDefault="00B92693" w:rsidP="00605C50">
      <w:pPr>
        <w:spacing w:after="0" w:line="480" w:lineRule="auto"/>
        <w:jc w:val="both"/>
        <w:rPr>
          <w:rFonts w:ascii="Arial" w:hAnsi="Arial" w:cs="Arial"/>
        </w:rPr>
      </w:pPr>
      <w:r>
        <w:rPr>
          <w:rFonts w:ascii="Arial" w:hAnsi="Arial" w:cs="Arial"/>
        </w:rPr>
        <w:tab/>
      </w:r>
      <w:r w:rsidR="00605C50" w:rsidRPr="00B92693">
        <w:rPr>
          <w:rFonts w:ascii="Arial" w:hAnsi="Arial" w:cs="Arial"/>
          <w:i/>
          <w:iCs/>
        </w:rPr>
        <w:t>Future Researchers</w:t>
      </w:r>
      <w:r>
        <w:rPr>
          <w:rFonts w:ascii="Arial" w:hAnsi="Arial" w:cs="Arial"/>
        </w:rPr>
        <w:t xml:space="preserve">. </w:t>
      </w:r>
      <w:r w:rsidR="00605C50" w:rsidRPr="003E1CB4">
        <w:rPr>
          <w:rFonts w:ascii="Arial" w:hAnsi="Arial" w:cs="Arial"/>
        </w:rPr>
        <w:t>This study can serve as a valuable reference for future research on disaster preparedness and response measures in educational settings, encouraging further exploration of best practices and innovations in school safety. While focused on a specific context, this study contributes to the broader academic understanding of disaster resilience in education. By applying the Relational Model of Crisis Management to the study of SBM in DRRM, this research offers a novel perspective on how schools can build resilience through strong relationships and effective leadership. This in turn improves safety, communication, and collaboration.</w:t>
      </w:r>
    </w:p>
    <w:p w14:paraId="184E0570" w14:textId="77777777" w:rsidR="00605C50" w:rsidRDefault="00605C50" w:rsidP="00A47A2B">
      <w:pPr>
        <w:pStyle w:val="NormalWeb"/>
        <w:spacing w:after="0" w:line="480" w:lineRule="auto"/>
        <w:jc w:val="both"/>
        <w:rPr>
          <w:rFonts w:ascii="Arial" w:hAnsi="Arial" w:cs="Arial"/>
          <w:b/>
          <w:bCs/>
          <w:sz w:val="22"/>
          <w:szCs w:val="22"/>
        </w:rPr>
      </w:pPr>
      <w:r>
        <w:rPr>
          <w:rFonts w:ascii="Arial" w:hAnsi="Arial" w:cs="Arial"/>
          <w:b/>
          <w:bCs/>
          <w:sz w:val="22"/>
          <w:szCs w:val="22"/>
        </w:rPr>
        <w:t>Scope and Limitation of the Study</w:t>
      </w:r>
    </w:p>
    <w:p w14:paraId="04336153" w14:textId="77777777" w:rsidR="00605C50" w:rsidRPr="00F958BF" w:rsidRDefault="00605C50" w:rsidP="00A47A2B">
      <w:pPr>
        <w:pStyle w:val="NormalWeb"/>
        <w:spacing w:after="0" w:line="480" w:lineRule="auto"/>
        <w:ind w:firstLine="720"/>
        <w:jc w:val="both"/>
        <w:rPr>
          <w:rFonts w:ascii="Arial" w:hAnsi="Arial" w:cs="Arial"/>
          <w:sz w:val="22"/>
          <w:szCs w:val="22"/>
        </w:rPr>
      </w:pPr>
      <w:r w:rsidRPr="00F958BF">
        <w:rPr>
          <w:rFonts w:ascii="Arial" w:hAnsi="Arial" w:cs="Arial"/>
          <w:sz w:val="22"/>
          <w:szCs w:val="22"/>
        </w:rPr>
        <w:t>This study examined the school-based disaster preparedness and response measures of school heads in the Davao de Oro Division. Specifically, it focused on the extent of implementation of these measures in terms of three key indicators: preparedness in normal times, preparedness for response, and disaster response measures. The study also gathered the standpoints of school heads and Disaster Risk Reduction and Management (DRRM) coordinators on the salient elements identified in the quantitative results. Through this focus, the study aimed to describe how disaster preparedness and response measures are carried out at the school level within the context of Davao de Oro Division.</w:t>
      </w:r>
    </w:p>
    <w:p w14:paraId="42295324" w14:textId="2B979E9E" w:rsidR="00605C50" w:rsidRPr="00F958BF" w:rsidRDefault="00605C50" w:rsidP="00605C50">
      <w:pPr>
        <w:pStyle w:val="NormalWeb"/>
        <w:spacing w:after="0" w:line="480" w:lineRule="auto"/>
        <w:ind w:firstLine="720"/>
        <w:jc w:val="both"/>
        <w:rPr>
          <w:rFonts w:ascii="Arial" w:hAnsi="Arial" w:cs="Arial"/>
          <w:sz w:val="22"/>
          <w:szCs w:val="22"/>
        </w:rPr>
      </w:pPr>
      <w:r w:rsidRPr="00F958BF">
        <w:rPr>
          <w:rFonts w:ascii="Arial" w:hAnsi="Arial" w:cs="Arial"/>
          <w:sz w:val="22"/>
          <w:szCs w:val="22"/>
        </w:rPr>
        <w:t xml:space="preserve">The study utilized an explanatory sequential mixed-methods design, beginning with the quantitative phase followed by the qualitative phase. The quantitative phase </w:t>
      </w:r>
      <w:r w:rsidRPr="00F958BF">
        <w:rPr>
          <w:rFonts w:ascii="Arial" w:hAnsi="Arial" w:cs="Arial"/>
          <w:sz w:val="22"/>
          <w:szCs w:val="22"/>
        </w:rPr>
        <w:lastRenderedPageBreak/>
        <w:t xml:space="preserve">measured the extent of implementation of school-based disaster preparedness and response measures among school heads and DRRM coordinators. The qualitative phase then explained the quantitative findings by exploring the participants’ </w:t>
      </w:r>
      <w:r w:rsidR="00F930BF">
        <w:rPr>
          <w:rFonts w:ascii="Arial" w:hAnsi="Arial" w:cs="Arial"/>
          <w:sz w:val="22"/>
          <w:szCs w:val="22"/>
        </w:rPr>
        <w:t>standpoints</w:t>
      </w:r>
      <w:r w:rsidRPr="00F958BF">
        <w:rPr>
          <w:rFonts w:ascii="Arial" w:hAnsi="Arial" w:cs="Arial"/>
          <w:sz w:val="22"/>
          <w:szCs w:val="22"/>
        </w:rPr>
        <w:t>. The integration of both phases provided a more complete understanding of how school-based DRRM measures are implemented and experienced in the selected schools.</w:t>
      </w:r>
    </w:p>
    <w:p w14:paraId="46676970" w14:textId="57A08DA0" w:rsidR="00605C50" w:rsidRPr="00F958BF" w:rsidRDefault="00605C50" w:rsidP="00605C50">
      <w:pPr>
        <w:pStyle w:val="NormalWeb"/>
        <w:spacing w:after="0" w:line="480" w:lineRule="auto"/>
        <w:ind w:firstLine="720"/>
        <w:jc w:val="both"/>
        <w:rPr>
          <w:rFonts w:ascii="Arial" w:hAnsi="Arial" w:cs="Arial"/>
          <w:sz w:val="22"/>
          <w:szCs w:val="22"/>
        </w:rPr>
      </w:pPr>
      <w:r w:rsidRPr="00F958BF">
        <w:rPr>
          <w:rFonts w:ascii="Arial" w:hAnsi="Arial" w:cs="Arial"/>
          <w:sz w:val="22"/>
          <w:szCs w:val="22"/>
        </w:rPr>
        <w:t>However, several limitations must be acknowledged. The study relied on the responses of school heads and DRRM coordinators; therefore, the findings depended on the honesty, accuracy, and completeness of the participants’ answers. Since the quantitative data were self-reported, there is a possibility of social desirability bias, where respondents may rate implementation more favorably because disaster preparedness and response are expected responsibilities in schools. Likewise, the qualitative data were based on participants’ standpoints, which may vary depending on their assigned roles, length of service, exposure to disaster events, and actual involvement in DRRM activities.</w:t>
      </w:r>
    </w:p>
    <w:p w14:paraId="0844D3F8" w14:textId="77777777" w:rsidR="00605C50" w:rsidRDefault="00605C50" w:rsidP="00605C50">
      <w:pPr>
        <w:pStyle w:val="NormalWeb"/>
        <w:spacing w:after="0" w:line="480" w:lineRule="auto"/>
        <w:ind w:firstLine="720"/>
        <w:jc w:val="both"/>
        <w:rPr>
          <w:rFonts w:ascii="Arial" w:hAnsi="Arial" w:cs="Arial"/>
          <w:sz w:val="22"/>
          <w:szCs w:val="22"/>
        </w:rPr>
      </w:pPr>
      <w:r w:rsidRPr="00F958BF">
        <w:rPr>
          <w:rFonts w:ascii="Arial" w:hAnsi="Arial" w:cs="Arial"/>
          <w:sz w:val="22"/>
          <w:szCs w:val="22"/>
        </w:rPr>
        <w:t>The study was also limited to the selected schools within the Davao de Oro Division. Thus, the findings should be interpreted within the specific geographic, administrative, and disaster-risk context of the division. Although the results may provide useful information for other disaster-prone school communities, they may not be fully generalizable to other divisions with different hazard exposures, resources, leadership structures, and local government support systems. Furthermore, the study focused on the implementation of disaster preparedness and response measures and did not include technical assessments of school buildings, engineering safety evaluations, or actual disaster-loss measurements. Therefore, the findings mainly reflect the reported extent of implementation and the participants’ explanations of school-based DRRM practices.</w:t>
      </w:r>
    </w:p>
    <w:p w14:paraId="4DC0523F" w14:textId="77777777" w:rsidR="005B4E3C" w:rsidRDefault="005B4E3C" w:rsidP="00605C50">
      <w:pPr>
        <w:spacing w:after="0" w:line="480" w:lineRule="auto"/>
        <w:jc w:val="both"/>
        <w:rPr>
          <w:rFonts w:ascii="Arial" w:hAnsi="Arial" w:cs="Arial"/>
          <w:b/>
          <w:bCs/>
        </w:rPr>
      </w:pPr>
    </w:p>
    <w:p w14:paraId="776BF961" w14:textId="77777777" w:rsidR="005B4E3C" w:rsidRDefault="005B4E3C" w:rsidP="00605C50">
      <w:pPr>
        <w:spacing w:after="0" w:line="480" w:lineRule="auto"/>
        <w:jc w:val="both"/>
        <w:rPr>
          <w:rFonts w:ascii="Arial" w:hAnsi="Arial" w:cs="Arial"/>
          <w:b/>
          <w:bCs/>
        </w:rPr>
      </w:pPr>
    </w:p>
    <w:p w14:paraId="5384823F" w14:textId="66201253" w:rsidR="00605C50" w:rsidRPr="003E1CB4" w:rsidRDefault="00605C50" w:rsidP="00605C50">
      <w:pPr>
        <w:spacing w:after="0" w:line="480" w:lineRule="auto"/>
        <w:jc w:val="both"/>
        <w:rPr>
          <w:rFonts w:ascii="Arial" w:hAnsi="Arial" w:cs="Arial"/>
          <w:b/>
          <w:bCs/>
        </w:rPr>
      </w:pPr>
      <w:r w:rsidRPr="003E1CB4">
        <w:rPr>
          <w:rFonts w:ascii="Arial" w:hAnsi="Arial" w:cs="Arial"/>
          <w:b/>
          <w:bCs/>
        </w:rPr>
        <w:lastRenderedPageBreak/>
        <w:t>Definition of Terms</w:t>
      </w:r>
    </w:p>
    <w:p w14:paraId="1D858AB9" w14:textId="77777777" w:rsidR="00605C50" w:rsidRDefault="00605C50" w:rsidP="00605C50">
      <w:pPr>
        <w:spacing w:after="0" w:line="480" w:lineRule="auto"/>
        <w:jc w:val="both"/>
        <w:rPr>
          <w:rFonts w:ascii="Arial" w:hAnsi="Arial" w:cs="Arial"/>
        </w:rPr>
      </w:pPr>
      <w:r w:rsidRPr="003E1CB4">
        <w:rPr>
          <w:rFonts w:ascii="Arial" w:hAnsi="Arial" w:cs="Arial"/>
          <w:b/>
          <w:bCs/>
        </w:rPr>
        <w:tab/>
      </w:r>
      <w:r w:rsidRPr="00DE4AF5">
        <w:rPr>
          <w:rFonts w:ascii="Arial" w:hAnsi="Arial" w:cs="Arial"/>
          <w:b/>
          <w:bCs/>
        </w:rPr>
        <w:t>School Heads.</w:t>
      </w:r>
      <w:r w:rsidRPr="003E1CB4">
        <w:rPr>
          <w:rFonts w:ascii="Arial" w:hAnsi="Arial" w:cs="Arial"/>
        </w:rPr>
        <w:t xml:space="preserve"> The designated leader or administrator of a school is responsible for managing its overall operations, including academic programs, personnel, student welfare, and policy implementation. The school head ensures compliance with educational standards and promotes a conducive learning environment.</w:t>
      </w:r>
    </w:p>
    <w:p w14:paraId="27279AE6" w14:textId="1950BE49" w:rsidR="00605C50" w:rsidRPr="003E1CB4" w:rsidRDefault="00605C50" w:rsidP="00605C50">
      <w:pPr>
        <w:spacing w:after="0" w:line="480" w:lineRule="auto"/>
        <w:ind w:firstLine="720"/>
        <w:jc w:val="both"/>
        <w:rPr>
          <w:rFonts w:ascii="Arial" w:hAnsi="Arial" w:cs="Arial"/>
        </w:rPr>
      </w:pPr>
      <w:r w:rsidRPr="00DE4AF5">
        <w:rPr>
          <w:rFonts w:ascii="Arial" w:hAnsi="Arial" w:cs="Arial"/>
          <w:b/>
          <w:bCs/>
        </w:rPr>
        <w:t>Disaster Preparedness.</w:t>
      </w:r>
      <w:r w:rsidRPr="003E1CB4">
        <w:rPr>
          <w:rFonts w:ascii="Arial" w:hAnsi="Arial" w:cs="Arial"/>
          <w:b/>
          <w:bCs/>
        </w:rPr>
        <w:t xml:space="preserve"> </w:t>
      </w:r>
      <w:r w:rsidR="00DE4AF5">
        <w:rPr>
          <w:rFonts w:ascii="Arial" w:hAnsi="Arial" w:cs="Arial"/>
        </w:rPr>
        <w:t>It r</w:t>
      </w:r>
      <w:r w:rsidRPr="003E1CB4">
        <w:rPr>
          <w:rFonts w:ascii="Arial" w:hAnsi="Arial" w:cs="Arial"/>
        </w:rPr>
        <w:t>efers to the systematic process of planning, organizing, and implementing measures to effectively anticipate, respond to, and recover from potential disasters. It involves risk assessment, capacity-building, resource allocation, training, and the development of emergency response protocols to minimize the impact of disasters on individuals, communities, and institutions. In the context of schools, disaster preparedness includes ensuring the safety of students and staff through education, drills, infrastructure resilience, and coordination with local disaster management authorities.</w:t>
      </w:r>
    </w:p>
    <w:p w14:paraId="356E2C2B" w14:textId="52F11F8C" w:rsidR="00605C50" w:rsidRPr="003E1CB4" w:rsidRDefault="00605C50" w:rsidP="00605C50">
      <w:pPr>
        <w:spacing w:after="0" w:line="480" w:lineRule="auto"/>
        <w:jc w:val="both"/>
        <w:rPr>
          <w:rFonts w:ascii="Arial" w:hAnsi="Arial" w:cs="Arial"/>
        </w:rPr>
      </w:pPr>
      <w:r w:rsidRPr="003E1CB4">
        <w:rPr>
          <w:rFonts w:ascii="Arial" w:hAnsi="Arial" w:cs="Arial"/>
        </w:rPr>
        <w:tab/>
      </w:r>
      <w:r w:rsidRPr="00DE4AF5">
        <w:rPr>
          <w:rFonts w:ascii="Arial" w:hAnsi="Arial" w:cs="Arial"/>
          <w:b/>
          <w:bCs/>
        </w:rPr>
        <w:t>Response Measure.</w:t>
      </w:r>
      <w:r w:rsidRPr="003E1CB4">
        <w:rPr>
          <w:rFonts w:ascii="Arial" w:hAnsi="Arial" w:cs="Arial"/>
        </w:rPr>
        <w:t xml:space="preserve"> </w:t>
      </w:r>
      <w:r w:rsidR="00DE4AF5">
        <w:rPr>
          <w:rFonts w:ascii="Arial" w:hAnsi="Arial" w:cs="Arial"/>
        </w:rPr>
        <w:t>It r</w:t>
      </w:r>
      <w:r w:rsidRPr="003E1CB4">
        <w:rPr>
          <w:rFonts w:ascii="Arial" w:hAnsi="Arial" w:cs="Arial"/>
        </w:rPr>
        <w:t>efers to the actions, strategies, and protocols implemented to address and mitigate the immediate impact of a crisis or disaster. These measures are designed to ensure safety, minimize damage, and facilitate recovery efforts. In a school setting, response measures include emergency drills, evacuation procedures, first aid administration, communication protocols, and coordination with local disaster risk reduction agencies. Effective response measures are crucial for protecting lives and maintaining order during emergencies.</w:t>
      </w:r>
    </w:p>
    <w:p w14:paraId="5EA13374" w14:textId="6F7CB27B" w:rsidR="00605C50" w:rsidRPr="003E1CB4" w:rsidRDefault="00605C50" w:rsidP="00605C50">
      <w:pPr>
        <w:spacing w:after="0" w:line="480" w:lineRule="auto"/>
        <w:jc w:val="both"/>
        <w:rPr>
          <w:rFonts w:ascii="Arial" w:hAnsi="Arial" w:cs="Arial"/>
        </w:rPr>
      </w:pPr>
      <w:r w:rsidRPr="003E1CB4">
        <w:rPr>
          <w:rFonts w:ascii="Arial" w:hAnsi="Arial" w:cs="Arial"/>
          <w:b/>
          <w:bCs/>
        </w:rPr>
        <w:tab/>
      </w:r>
      <w:r w:rsidRPr="00DE4AF5">
        <w:rPr>
          <w:rFonts w:ascii="Arial" w:hAnsi="Arial" w:cs="Arial"/>
          <w:b/>
          <w:bCs/>
        </w:rPr>
        <w:t>Division of Davao de Oro.</w:t>
      </w:r>
      <w:r w:rsidRPr="003E1CB4">
        <w:rPr>
          <w:rFonts w:ascii="Arial" w:hAnsi="Arial" w:cs="Arial"/>
          <w:b/>
          <w:bCs/>
        </w:rPr>
        <w:t xml:space="preserve"> </w:t>
      </w:r>
      <w:r w:rsidR="00DE4AF5">
        <w:rPr>
          <w:rFonts w:ascii="Arial" w:hAnsi="Arial" w:cs="Arial"/>
        </w:rPr>
        <w:t>This p</w:t>
      </w:r>
      <w:r w:rsidRPr="003E1CB4">
        <w:rPr>
          <w:rFonts w:ascii="Arial" w:hAnsi="Arial" w:cs="Arial"/>
        </w:rPr>
        <w:t xml:space="preserve">ertains to the local education governance unit under the Department of Education (DepEd) in the province of Davao de Oro, Philippines. It oversees public and private elementary and secondary schools within the province, ensuring the effective implementation of educational policies, programs, and initiatives, including disaster preparedness and response measures. The division is responsible for </w:t>
      </w:r>
      <w:r w:rsidRPr="003E1CB4">
        <w:rPr>
          <w:rFonts w:ascii="Arial" w:hAnsi="Arial" w:cs="Arial"/>
        </w:rPr>
        <w:lastRenderedPageBreak/>
        <w:t>managing school operations, supporting instructional leadership, and enhancing the overall quality of education while ensuring the safety and resilience of schools against disasters and emergencies.</w:t>
      </w:r>
    </w:p>
    <w:p w14:paraId="693FCE11" w14:textId="77777777" w:rsidR="00605C50" w:rsidRPr="00F958BF" w:rsidRDefault="00605C50" w:rsidP="00605C50">
      <w:pPr>
        <w:pStyle w:val="NormalWeb"/>
        <w:spacing w:after="0" w:line="480" w:lineRule="auto"/>
        <w:ind w:firstLine="720"/>
        <w:jc w:val="both"/>
        <w:rPr>
          <w:rFonts w:ascii="Arial" w:hAnsi="Arial" w:cs="Arial"/>
          <w:sz w:val="22"/>
          <w:szCs w:val="22"/>
        </w:rPr>
      </w:pPr>
    </w:p>
    <w:p w14:paraId="31C7558B" w14:textId="77777777" w:rsidR="0063438E" w:rsidRPr="00C84351" w:rsidRDefault="0063438E" w:rsidP="00C84351">
      <w:pPr>
        <w:spacing w:line="480" w:lineRule="auto"/>
        <w:jc w:val="both"/>
        <w:rPr>
          <w:rFonts w:ascii="Arial" w:hAnsi="Arial" w:cs="Arial"/>
          <w:sz w:val="24"/>
          <w:szCs w:val="24"/>
        </w:rPr>
      </w:pPr>
    </w:p>
    <w:p w14:paraId="21A2FF89" w14:textId="77777777" w:rsidR="007B24BB" w:rsidRDefault="007B24BB" w:rsidP="001D7B51">
      <w:pPr>
        <w:jc w:val="center"/>
        <w:rPr>
          <w:rFonts w:ascii="Arial" w:hAnsi="Arial" w:cs="Arial"/>
          <w:b/>
          <w:bCs/>
          <w:sz w:val="24"/>
          <w:szCs w:val="24"/>
        </w:rPr>
      </w:pPr>
    </w:p>
    <w:p w14:paraId="68808204" w14:textId="77777777" w:rsidR="007B24BB" w:rsidRDefault="007B24BB" w:rsidP="001D7B51">
      <w:pPr>
        <w:jc w:val="center"/>
        <w:rPr>
          <w:rFonts w:ascii="Arial" w:hAnsi="Arial" w:cs="Arial"/>
          <w:b/>
          <w:bCs/>
          <w:sz w:val="24"/>
          <w:szCs w:val="24"/>
        </w:rPr>
      </w:pPr>
    </w:p>
    <w:p w14:paraId="26899A0F" w14:textId="77777777" w:rsidR="00901A6E" w:rsidRDefault="00901A6E" w:rsidP="001D7B51">
      <w:pPr>
        <w:jc w:val="center"/>
        <w:rPr>
          <w:rFonts w:ascii="Arial" w:hAnsi="Arial" w:cs="Arial"/>
          <w:b/>
          <w:bCs/>
          <w:sz w:val="24"/>
          <w:szCs w:val="24"/>
        </w:rPr>
      </w:pPr>
    </w:p>
    <w:p w14:paraId="23B4A7FF" w14:textId="77777777" w:rsidR="004C2705" w:rsidRDefault="004C2705" w:rsidP="001D7B51">
      <w:pPr>
        <w:jc w:val="center"/>
        <w:rPr>
          <w:rFonts w:ascii="Arial" w:hAnsi="Arial" w:cs="Arial"/>
          <w:b/>
          <w:bCs/>
          <w:sz w:val="24"/>
          <w:szCs w:val="24"/>
        </w:rPr>
      </w:pPr>
    </w:p>
    <w:p w14:paraId="0CA7C8A0" w14:textId="77777777" w:rsidR="004C2705" w:rsidRDefault="004C2705" w:rsidP="001D7B51">
      <w:pPr>
        <w:jc w:val="center"/>
        <w:rPr>
          <w:rFonts w:ascii="Arial" w:hAnsi="Arial" w:cs="Arial"/>
          <w:b/>
          <w:bCs/>
          <w:sz w:val="24"/>
          <w:szCs w:val="24"/>
        </w:rPr>
      </w:pPr>
    </w:p>
    <w:p w14:paraId="532279BE" w14:textId="77777777" w:rsidR="005B4E3C" w:rsidRDefault="005B4E3C" w:rsidP="001D7B51">
      <w:pPr>
        <w:jc w:val="center"/>
        <w:rPr>
          <w:rFonts w:ascii="Arial" w:hAnsi="Arial" w:cs="Arial"/>
          <w:b/>
          <w:bCs/>
          <w:sz w:val="24"/>
          <w:szCs w:val="24"/>
        </w:rPr>
      </w:pPr>
    </w:p>
    <w:p w14:paraId="1F6EB0AB" w14:textId="77777777" w:rsidR="005B4E3C" w:rsidRDefault="005B4E3C" w:rsidP="001D7B51">
      <w:pPr>
        <w:jc w:val="center"/>
        <w:rPr>
          <w:rFonts w:ascii="Arial" w:hAnsi="Arial" w:cs="Arial"/>
          <w:b/>
          <w:bCs/>
          <w:sz w:val="24"/>
          <w:szCs w:val="24"/>
        </w:rPr>
      </w:pPr>
    </w:p>
    <w:p w14:paraId="63309D17" w14:textId="77777777" w:rsidR="005B4E3C" w:rsidRDefault="005B4E3C" w:rsidP="001D7B51">
      <w:pPr>
        <w:jc w:val="center"/>
        <w:rPr>
          <w:rFonts w:ascii="Arial" w:hAnsi="Arial" w:cs="Arial"/>
          <w:b/>
          <w:bCs/>
          <w:sz w:val="24"/>
          <w:szCs w:val="24"/>
        </w:rPr>
      </w:pPr>
    </w:p>
    <w:p w14:paraId="46478F36" w14:textId="77777777" w:rsidR="005B4E3C" w:rsidRDefault="005B4E3C" w:rsidP="001D7B51">
      <w:pPr>
        <w:jc w:val="center"/>
        <w:rPr>
          <w:rFonts w:ascii="Arial" w:hAnsi="Arial" w:cs="Arial"/>
          <w:b/>
          <w:bCs/>
          <w:sz w:val="24"/>
          <w:szCs w:val="24"/>
        </w:rPr>
      </w:pPr>
    </w:p>
    <w:p w14:paraId="41986A4C" w14:textId="77777777" w:rsidR="005B4E3C" w:rsidRDefault="005B4E3C" w:rsidP="001D7B51">
      <w:pPr>
        <w:jc w:val="center"/>
        <w:rPr>
          <w:rFonts w:ascii="Arial" w:hAnsi="Arial" w:cs="Arial"/>
          <w:b/>
          <w:bCs/>
          <w:sz w:val="24"/>
          <w:szCs w:val="24"/>
        </w:rPr>
      </w:pPr>
    </w:p>
    <w:p w14:paraId="278E7FF8" w14:textId="77777777" w:rsidR="005B4E3C" w:rsidRDefault="005B4E3C" w:rsidP="001D7B51">
      <w:pPr>
        <w:jc w:val="center"/>
        <w:rPr>
          <w:rFonts w:ascii="Arial" w:hAnsi="Arial" w:cs="Arial"/>
          <w:b/>
          <w:bCs/>
          <w:sz w:val="24"/>
          <w:szCs w:val="24"/>
        </w:rPr>
      </w:pPr>
    </w:p>
    <w:p w14:paraId="6BC03883" w14:textId="77777777" w:rsidR="005B4E3C" w:rsidRDefault="005B4E3C" w:rsidP="001D7B51">
      <w:pPr>
        <w:jc w:val="center"/>
        <w:rPr>
          <w:rFonts w:ascii="Arial" w:hAnsi="Arial" w:cs="Arial"/>
          <w:b/>
          <w:bCs/>
          <w:sz w:val="24"/>
          <w:szCs w:val="24"/>
        </w:rPr>
      </w:pPr>
    </w:p>
    <w:p w14:paraId="172A49C6" w14:textId="77777777" w:rsidR="005B4E3C" w:rsidRDefault="005B4E3C" w:rsidP="001D7B51">
      <w:pPr>
        <w:jc w:val="center"/>
        <w:rPr>
          <w:rFonts w:ascii="Arial" w:hAnsi="Arial" w:cs="Arial"/>
          <w:b/>
          <w:bCs/>
          <w:sz w:val="24"/>
          <w:szCs w:val="24"/>
        </w:rPr>
      </w:pPr>
    </w:p>
    <w:p w14:paraId="259BB9F6" w14:textId="77777777" w:rsidR="005B4E3C" w:rsidRDefault="005B4E3C" w:rsidP="001D7B51">
      <w:pPr>
        <w:jc w:val="center"/>
        <w:rPr>
          <w:rFonts w:ascii="Arial" w:hAnsi="Arial" w:cs="Arial"/>
          <w:b/>
          <w:bCs/>
          <w:sz w:val="24"/>
          <w:szCs w:val="24"/>
        </w:rPr>
      </w:pPr>
    </w:p>
    <w:p w14:paraId="5E5C1625" w14:textId="77777777" w:rsidR="005B4E3C" w:rsidRDefault="005B4E3C" w:rsidP="001D7B51">
      <w:pPr>
        <w:jc w:val="center"/>
        <w:rPr>
          <w:rFonts w:ascii="Arial" w:hAnsi="Arial" w:cs="Arial"/>
          <w:b/>
          <w:bCs/>
          <w:sz w:val="24"/>
          <w:szCs w:val="24"/>
        </w:rPr>
      </w:pPr>
    </w:p>
    <w:p w14:paraId="2D3D7A0E" w14:textId="77777777" w:rsidR="005B4E3C" w:rsidRDefault="005B4E3C" w:rsidP="001D7B51">
      <w:pPr>
        <w:jc w:val="center"/>
        <w:rPr>
          <w:rFonts w:ascii="Arial" w:hAnsi="Arial" w:cs="Arial"/>
          <w:b/>
          <w:bCs/>
          <w:sz w:val="24"/>
          <w:szCs w:val="24"/>
        </w:rPr>
      </w:pPr>
    </w:p>
    <w:p w14:paraId="14E6F506" w14:textId="77777777" w:rsidR="005B4E3C" w:rsidRDefault="005B4E3C" w:rsidP="001D7B51">
      <w:pPr>
        <w:jc w:val="center"/>
        <w:rPr>
          <w:rFonts w:ascii="Arial" w:hAnsi="Arial" w:cs="Arial"/>
          <w:b/>
          <w:bCs/>
          <w:sz w:val="24"/>
          <w:szCs w:val="24"/>
        </w:rPr>
      </w:pPr>
    </w:p>
    <w:p w14:paraId="2CEF7A97" w14:textId="77777777" w:rsidR="005B4E3C" w:rsidRDefault="005B4E3C" w:rsidP="001D7B51">
      <w:pPr>
        <w:jc w:val="center"/>
        <w:rPr>
          <w:rFonts w:ascii="Arial" w:hAnsi="Arial" w:cs="Arial"/>
          <w:b/>
          <w:bCs/>
          <w:sz w:val="24"/>
          <w:szCs w:val="24"/>
        </w:rPr>
      </w:pPr>
    </w:p>
    <w:p w14:paraId="5411F36D" w14:textId="77777777" w:rsidR="005B4E3C" w:rsidRDefault="005B4E3C" w:rsidP="001D7B51">
      <w:pPr>
        <w:jc w:val="center"/>
        <w:rPr>
          <w:rFonts w:ascii="Arial" w:hAnsi="Arial" w:cs="Arial"/>
          <w:b/>
          <w:bCs/>
          <w:sz w:val="24"/>
          <w:szCs w:val="24"/>
        </w:rPr>
      </w:pPr>
    </w:p>
    <w:p w14:paraId="583383BD" w14:textId="77777777" w:rsidR="005B4E3C" w:rsidRDefault="005B4E3C" w:rsidP="001D7B51">
      <w:pPr>
        <w:jc w:val="center"/>
        <w:rPr>
          <w:rFonts w:ascii="Arial" w:hAnsi="Arial" w:cs="Arial"/>
          <w:b/>
          <w:bCs/>
          <w:sz w:val="24"/>
          <w:szCs w:val="24"/>
        </w:rPr>
      </w:pPr>
    </w:p>
    <w:p w14:paraId="3B60DAED" w14:textId="77777777" w:rsidR="005B4E3C" w:rsidRDefault="005B4E3C" w:rsidP="001D7B51">
      <w:pPr>
        <w:jc w:val="center"/>
        <w:rPr>
          <w:rFonts w:ascii="Arial" w:hAnsi="Arial" w:cs="Arial"/>
          <w:b/>
          <w:bCs/>
          <w:sz w:val="24"/>
          <w:szCs w:val="24"/>
        </w:rPr>
      </w:pPr>
    </w:p>
    <w:p w14:paraId="6EE7035C" w14:textId="77777777" w:rsidR="005B4E3C" w:rsidRDefault="005B4E3C" w:rsidP="00473164">
      <w:pPr>
        <w:spacing w:line="480" w:lineRule="auto"/>
        <w:jc w:val="center"/>
        <w:rPr>
          <w:rFonts w:ascii="Arial" w:hAnsi="Arial" w:cs="Arial"/>
          <w:b/>
          <w:bCs/>
        </w:rPr>
      </w:pPr>
    </w:p>
    <w:p w14:paraId="69A4B130" w14:textId="0DBB8B98" w:rsidR="00C90C65" w:rsidRPr="00127AFC" w:rsidRDefault="00C90C65" w:rsidP="005B4E3C">
      <w:pPr>
        <w:spacing w:after="0" w:line="480" w:lineRule="auto"/>
        <w:jc w:val="center"/>
        <w:rPr>
          <w:rFonts w:ascii="Arial" w:hAnsi="Arial" w:cs="Arial"/>
          <w:b/>
          <w:bCs/>
        </w:rPr>
      </w:pPr>
      <w:r w:rsidRPr="00127AFC">
        <w:rPr>
          <w:rFonts w:ascii="Arial" w:hAnsi="Arial" w:cs="Arial"/>
          <w:b/>
          <w:bCs/>
        </w:rPr>
        <w:lastRenderedPageBreak/>
        <w:t>C</w:t>
      </w:r>
      <w:r w:rsidR="00473164">
        <w:rPr>
          <w:rFonts w:ascii="Arial" w:hAnsi="Arial" w:cs="Arial"/>
          <w:b/>
          <w:bCs/>
        </w:rPr>
        <w:t>hapter</w:t>
      </w:r>
      <w:r w:rsidRPr="00127AFC">
        <w:rPr>
          <w:rFonts w:ascii="Arial" w:hAnsi="Arial" w:cs="Arial"/>
          <w:b/>
          <w:bCs/>
        </w:rPr>
        <w:t xml:space="preserve"> </w:t>
      </w:r>
      <w:r w:rsidR="005B4E3C">
        <w:rPr>
          <w:rFonts w:ascii="Arial" w:hAnsi="Arial" w:cs="Arial"/>
          <w:b/>
          <w:bCs/>
        </w:rPr>
        <w:t>2</w:t>
      </w:r>
    </w:p>
    <w:p w14:paraId="6819982A" w14:textId="5D1B3BF8" w:rsidR="00C60F92" w:rsidRPr="00127AFC" w:rsidRDefault="00C90C65" w:rsidP="005B4E3C">
      <w:pPr>
        <w:spacing w:after="0" w:line="480" w:lineRule="auto"/>
        <w:ind w:left="709" w:hanging="709"/>
        <w:jc w:val="center"/>
        <w:rPr>
          <w:rFonts w:ascii="Arial" w:hAnsi="Arial" w:cs="Arial"/>
          <w:b/>
          <w:bCs/>
        </w:rPr>
      </w:pPr>
      <w:r w:rsidRPr="00127AFC">
        <w:rPr>
          <w:rFonts w:ascii="Arial" w:hAnsi="Arial" w:cs="Arial"/>
          <w:b/>
          <w:bCs/>
        </w:rPr>
        <w:t>METHOD</w:t>
      </w:r>
      <w:r w:rsidR="004C2705">
        <w:rPr>
          <w:rFonts w:ascii="Arial" w:hAnsi="Arial" w:cs="Arial"/>
          <w:b/>
          <w:bCs/>
        </w:rPr>
        <w:t>OLOGY</w:t>
      </w:r>
    </w:p>
    <w:p w14:paraId="70D63D82" w14:textId="77777777" w:rsidR="00901A6E" w:rsidRPr="004E06E7" w:rsidRDefault="00901A6E" w:rsidP="00473164">
      <w:pPr>
        <w:spacing w:after="0" w:line="480" w:lineRule="auto"/>
        <w:ind w:left="709" w:hanging="709"/>
        <w:rPr>
          <w:rFonts w:ascii="Arial" w:hAnsi="Arial" w:cs="Arial"/>
          <w:b/>
          <w:bCs/>
        </w:rPr>
      </w:pPr>
      <w:r w:rsidRPr="004E06E7">
        <w:rPr>
          <w:rFonts w:ascii="Arial" w:hAnsi="Arial" w:cs="Arial"/>
          <w:b/>
          <w:bCs/>
        </w:rPr>
        <w:t xml:space="preserve">Research Design </w:t>
      </w:r>
    </w:p>
    <w:p w14:paraId="038953E3" w14:textId="77777777" w:rsidR="00A43F0B" w:rsidRDefault="00901A6E" w:rsidP="00A43F0B">
      <w:pPr>
        <w:spacing w:after="0" w:line="480" w:lineRule="auto"/>
        <w:ind w:hanging="709"/>
        <w:jc w:val="both"/>
        <w:rPr>
          <w:rFonts w:ascii="Arial" w:eastAsia="Times New Roman" w:hAnsi="Arial" w:cs="Arial"/>
          <w:kern w:val="0"/>
          <w:lang w:eastAsia="en-PH"/>
          <w14:ligatures w14:val="none"/>
        </w:rPr>
      </w:pPr>
      <w:r>
        <w:rPr>
          <w:rFonts w:ascii="Arial" w:hAnsi="Arial" w:cs="Arial"/>
        </w:rPr>
        <w:tab/>
      </w:r>
      <w:bookmarkStart w:id="0" w:name="_Hlk230531977"/>
      <w:r>
        <w:rPr>
          <w:rFonts w:ascii="Arial" w:hAnsi="Arial" w:cs="Arial"/>
        </w:rPr>
        <w:tab/>
      </w:r>
      <w:r w:rsidR="00A43F0B" w:rsidRPr="00A43F0B">
        <w:rPr>
          <w:rFonts w:ascii="Arial" w:eastAsia="Times New Roman" w:hAnsi="Arial" w:cs="Arial"/>
          <w:kern w:val="0"/>
          <w:lang w:eastAsia="en-PH"/>
          <w14:ligatures w14:val="none"/>
        </w:rPr>
        <w:t xml:space="preserve">An explanatory sequential mixed-methods design was employed in this study to investigate the school-based disaster preparedness and response measures implemented by school heads in the Davao de Oro Division. This design, as described by Creswell and Plano Clark (2018), is characterized by the collection and analysis of quantitative data in the first phase, followed by qualitative data collection to explain and further interpret the initial statistical results. In this study, the quantitative phase was first conducted to determine the extent of implementation of disaster preparedness and response measures, while the qualitative phase was subsequently used to elaborate on and explain the quantitative findings through the standpoints of school heads and Disaster Risk Reduction and Management (DRRM) coordinators (Rana &amp; </w:t>
      </w:r>
      <w:proofErr w:type="spellStart"/>
      <w:r w:rsidR="00A43F0B" w:rsidRPr="00A43F0B">
        <w:rPr>
          <w:rFonts w:ascii="Arial" w:eastAsia="Times New Roman" w:hAnsi="Arial" w:cs="Arial"/>
          <w:kern w:val="0"/>
          <w:lang w:eastAsia="en-PH"/>
          <w14:ligatures w14:val="none"/>
        </w:rPr>
        <w:t>Chimoriya</w:t>
      </w:r>
      <w:proofErr w:type="spellEnd"/>
      <w:r w:rsidR="00A43F0B" w:rsidRPr="00A43F0B">
        <w:rPr>
          <w:rFonts w:ascii="Arial" w:eastAsia="Times New Roman" w:hAnsi="Arial" w:cs="Arial"/>
          <w:kern w:val="0"/>
          <w:lang w:eastAsia="en-PH"/>
          <w14:ligatures w14:val="none"/>
        </w:rPr>
        <w:t>, 2025). The integration of both phases allowed for a more comprehensive understanding of school-based disaster preparedness practices in relation to weather-related hazards such as tropical cyclones, flooding, and rain-induced landslides.</w:t>
      </w:r>
    </w:p>
    <w:p w14:paraId="6E3D2B42" w14:textId="2824CD25" w:rsidR="00A43F0B" w:rsidRDefault="00901A6E" w:rsidP="00A43F0B">
      <w:pPr>
        <w:spacing w:after="0" w:line="480" w:lineRule="auto"/>
        <w:ind w:hanging="709"/>
        <w:jc w:val="both"/>
        <w:rPr>
          <w:rFonts w:ascii="Arial" w:hAnsi="Arial" w:cs="Arial"/>
        </w:rPr>
      </w:pPr>
      <w:r>
        <w:rPr>
          <w:rFonts w:ascii="Arial" w:hAnsi="Arial" w:cs="Arial"/>
        </w:rPr>
        <w:tab/>
      </w:r>
      <w:r w:rsidR="00A43F0B">
        <w:rPr>
          <w:rFonts w:ascii="Arial" w:hAnsi="Arial" w:cs="Arial"/>
        </w:rPr>
        <w:tab/>
      </w:r>
      <w:r w:rsidR="00A43F0B" w:rsidRPr="00A43F0B">
        <w:rPr>
          <w:rFonts w:ascii="Arial" w:hAnsi="Arial" w:cs="Arial"/>
        </w:rPr>
        <w:t>In the quantitative phase, a descriptive research design was utilized to measure the extent of implementation of disaster preparedness and response measures among school heads and DRRM coordinators. Structured survey instruments were administered to gather numerical data based on three indicators: preparedness in normal times, preparedness for response, and disaster response measures. The collected data were analyzed using descriptive statistics such as mean and standard deviation to describe levels of implementation and identify patterns across schools (</w:t>
      </w:r>
      <w:proofErr w:type="spellStart"/>
      <w:r w:rsidR="00A43F0B" w:rsidRPr="00A43F0B">
        <w:rPr>
          <w:rFonts w:ascii="Arial" w:hAnsi="Arial" w:cs="Arial"/>
        </w:rPr>
        <w:t>McCombes</w:t>
      </w:r>
      <w:proofErr w:type="spellEnd"/>
      <w:r w:rsidR="00A43F0B" w:rsidRPr="00A43F0B">
        <w:rPr>
          <w:rFonts w:ascii="Arial" w:hAnsi="Arial" w:cs="Arial"/>
        </w:rPr>
        <w:t xml:space="preserve">, 2025; Slater &amp; Hasson, 2024). This phase provided an objective and systematic overview of disaster preparedness practices in schools and served as the basis for the subsequent qualitative </w:t>
      </w:r>
      <w:r w:rsidR="00A43F0B" w:rsidRPr="00A43F0B">
        <w:rPr>
          <w:rFonts w:ascii="Arial" w:hAnsi="Arial" w:cs="Arial"/>
        </w:rPr>
        <w:lastRenderedPageBreak/>
        <w:t>phase.</w:t>
      </w:r>
      <w:r>
        <w:rPr>
          <w:rFonts w:ascii="Arial" w:hAnsi="Arial" w:cs="Arial"/>
        </w:rPr>
        <w:tab/>
      </w:r>
      <w:r w:rsidR="00A43F0B" w:rsidRPr="00A43F0B">
        <w:rPr>
          <w:rFonts w:ascii="Arial" w:hAnsi="Arial" w:cs="Arial"/>
        </w:rPr>
        <w:t>In the qualitative phase, a descriptive qualitative design was employed to further explain and contextualize the quantitative results through the standpoints of school heads and DRRM coordinators. Data were gathered through in-depth interviews focused on leadership practices, implementation strategies, challenges encountered, and contextual factors influencing disaster preparedness and response measures. The qualitative inquiry was guided by the need to describe and interpret participants’ perspectives in relation to the quantitative findings, rather than to explore lived experiences in a phenomenological sense (</w:t>
      </w:r>
      <w:proofErr w:type="spellStart"/>
      <w:r w:rsidR="00A43F0B" w:rsidRPr="00A43F0B">
        <w:rPr>
          <w:rFonts w:ascii="Arial" w:hAnsi="Arial" w:cs="Arial"/>
        </w:rPr>
        <w:t>Sandelowski</w:t>
      </w:r>
      <w:proofErr w:type="spellEnd"/>
      <w:r w:rsidR="00A43F0B" w:rsidRPr="00A43F0B">
        <w:rPr>
          <w:rFonts w:ascii="Arial" w:hAnsi="Arial" w:cs="Arial"/>
        </w:rPr>
        <w:t>, 2010; Lambert &amp; Lambert, 2012). This phase was supported by literature emphasizing that descriptive qualitative approaches are appropriate for providing straightforward descriptions of phenomena and practical insights from key stakeholders in applied settings (Kim, Sefcik, &amp; Bradway, 2017; Doyle et al., 2020). The qualitative results were used to explain and enrich the quantitative findings, particularly in understanding how school heads operationalized disaster risk reduction and management (DRRM) policies in real school contexts.</w:t>
      </w:r>
    </w:p>
    <w:p w14:paraId="44B3222F" w14:textId="3BB16715" w:rsidR="00F83EC4" w:rsidRDefault="00A43F0B" w:rsidP="00A43F0B">
      <w:pPr>
        <w:spacing w:after="0" w:line="480" w:lineRule="auto"/>
        <w:ind w:hanging="709"/>
        <w:jc w:val="both"/>
        <w:rPr>
          <w:rFonts w:ascii="Arial" w:hAnsi="Arial" w:cs="Arial"/>
          <w:b/>
          <w:bCs/>
        </w:rPr>
      </w:pPr>
      <w:r>
        <w:rPr>
          <w:rFonts w:ascii="Arial" w:hAnsi="Arial" w:cs="Arial"/>
        </w:rPr>
        <w:tab/>
      </w:r>
      <w:r w:rsidR="00F83EC4">
        <w:rPr>
          <w:rFonts w:ascii="Arial" w:hAnsi="Arial" w:cs="Arial"/>
          <w:b/>
          <w:bCs/>
        </w:rPr>
        <w:t>Methodological Framework</w:t>
      </w:r>
    </w:p>
    <w:p w14:paraId="658691F6" w14:textId="77777777" w:rsidR="00E84030" w:rsidRDefault="00E84030" w:rsidP="00F83EC4">
      <w:pPr>
        <w:pStyle w:val="NormalWeb"/>
        <w:spacing w:after="0" w:line="480" w:lineRule="auto"/>
        <w:ind w:firstLine="720"/>
        <w:jc w:val="both"/>
        <w:rPr>
          <w:rFonts w:ascii="Arial" w:hAnsi="Arial" w:cs="Arial"/>
          <w:sz w:val="22"/>
          <w:szCs w:val="22"/>
        </w:rPr>
      </w:pPr>
      <w:r w:rsidRPr="00E84030">
        <w:rPr>
          <w:rFonts w:ascii="Arial" w:hAnsi="Arial" w:cs="Arial"/>
          <w:sz w:val="22"/>
          <w:szCs w:val="22"/>
        </w:rPr>
        <w:t xml:space="preserve">In this explanatory sequential mixed-methods study, the Crisis Management Plan (CMP) Framework developed by Reeves, Kanan, and Plog (2010) was used as the main framework for examining school-based disaster preparedness and response measures. The quantitative phase was evaluated in terms of the extent of implementation of disaster preparedness and response measures in schools using the three phases of the CMP framework: Prevention and Mitigation, Preparedness and Response, and Recovery. The qualitative phase was complemented by the quantitative results through the exploration of the standpoints of school heads and Disaster Risk Reduction and Management (DRRM) coordinators on the salient elements identified from the quantitative findings. Through the CMP framework, the influence of leadership strategies, local contexts, and available </w:t>
      </w:r>
      <w:r w:rsidRPr="00E84030">
        <w:rPr>
          <w:rFonts w:ascii="Arial" w:hAnsi="Arial" w:cs="Arial"/>
          <w:sz w:val="22"/>
          <w:szCs w:val="22"/>
        </w:rPr>
        <w:lastRenderedPageBreak/>
        <w:t>resources on the implementation of disaster preparedness and response measures at the school level was examined.</w:t>
      </w:r>
    </w:p>
    <w:p w14:paraId="4A25E397" w14:textId="2A98FA9D" w:rsidR="00E84030" w:rsidRDefault="00E84030" w:rsidP="00F83EC4">
      <w:pPr>
        <w:tabs>
          <w:tab w:val="left" w:pos="851"/>
        </w:tabs>
        <w:spacing w:after="0" w:line="480" w:lineRule="auto"/>
        <w:jc w:val="both"/>
        <w:rPr>
          <w:rFonts w:ascii="Arial" w:hAnsi="Arial" w:cs="Arial"/>
        </w:rPr>
      </w:pPr>
      <w:r>
        <w:rPr>
          <w:rFonts w:ascii="Arial" w:hAnsi="Arial" w:cs="Arial"/>
        </w:rPr>
        <w:tab/>
      </w:r>
      <w:r w:rsidRPr="00E84030">
        <w:rPr>
          <w:rFonts w:ascii="Arial" w:hAnsi="Arial" w:cs="Arial"/>
        </w:rPr>
        <w:t>The integration of the quantitative and qualitative phases was used to provide a more comprehensive understanding of how disaster preparedness and response measures were implemented in schools. The quantitative phase described the measurable extent of implementation, while the qualitative phase explained the quantitative results through the standpoints of school heads and DRRM coordinators. Through this methodological framework, not only the level of preparedness and response implementation was examined, but also the contextual factors that shaped how these measures were adapted and applied in real-world school settings.</w:t>
      </w:r>
    </w:p>
    <w:p w14:paraId="1A07F0FC" w14:textId="537BA997" w:rsidR="00F83EC4" w:rsidRPr="004A3EB8" w:rsidRDefault="00F83EC4" w:rsidP="00F83EC4">
      <w:pPr>
        <w:tabs>
          <w:tab w:val="left" w:pos="851"/>
        </w:tabs>
        <w:spacing w:after="0" w:line="480" w:lineRule="auto"/>
        <w:jc w:val="both"/>
        <w:rPr>
          <w:rFonts w:ascii="Arial" w:hAnsi="Arial" w:cs="Arial"/>
          <w:b/>
          <w:bCs/>
        </w:rPr>
      </w:pPr>
      <w:r w:rsidRPr="004A3EB8">
        <w:rPr>
          <w:rFonts w:ascii="Arial" w:hAnsi="Arial" w:cs="Arial"/>
          <w:b/>
          <w:bCs/>
        </w:rPr>
        <w:t>Figure 2</w:t>
      </w:r>
    </w:p>
    <w:p w14:paraId="3DB4B1AA" w14:textId="7600FE0E" w:rsidR="00F83EC4" w:rsidRDefault="00F83EC4" w:rsidP="00F83EC4">
      <w:pPr>
        <w:tabs>
          <w:tab w:val="left" w:pos="851"/>
        </w:tabs>
        <w:spacing w:after="0" w:line="480" w:lineRule="auto"/>
        <w:jc w:val="both"/>
        <w:rPr>
          <w:rFonts w:ascii="Arial" w:hAnsi="Arial" w:cs="Arial"/>
          <w:i/>
          <w:iCs/>
        </w:rPr>
      </w:pPr>
      <w:r>
        <w:rPr>
          <w:rFonts w:ascii="Arial" w:hAnsi="Arial" w:cs="Arial"/>
          <w:noProof/>
        </w:rPr>
        <w:drawing>
          <wp:anchor distT="0" distB="0" distL="114300" distR="114300" simplePos="0" relativeHeight="251722752" behindDoc="0" locked="0" layoutInCell="1" allowOverlap="1" wp14:anchorId="44CDB57C" wp14:editId="22B82027">
            <wp:simplePos x="0" y="0"/>
            <wp:positionH relativeFrom="margin">
              <wp:posOffset>-525780</wp:posOffset>
            </wp:positionH>
            <wp:positionV relativeFrom="paragraph">
              <wp:posOffset>436245</wp:posOffset>
            </wp:positionV>
            <wp:extent cx="6521450" cy="1899920"/>
            <wp:effectExtent l="0" t="0" r="0" b="5080"/>
            <wp:wrapNone/>
            <wp:docPr id="6616854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85425" name="Picture 661685425"/>
                    <pic:cNvPicPr/>
                  </pic:nvPicPr>
                  <pic:blipFill rotWithShape="1">
                    <a:blip r:embed="rId12">
                      <a:extLst>
                        <a:ext uri="{28A0092B-C50C-407E-A947-70E740481C1C}">
                          <a14:useLocalDpi xmlns:a14="http://schemas.microsoft.com/office/drawing/2010/main" val="0"/>
                        </a:ext>
                      </a:extLst>
                    </a:blip>
                    <a:srcRect t="32395" b="23898"/>
                    <a:stretch>
                      <a:fillRect/>
                    </a:stretch>
                  </pic:blipFill>
                  <pic:spPr bwMode="auto">
                    <a:xfrm>
                      <a:off x="0" y="0"/>
                      <a:ext cx="6521450"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i/>
          <w:iCs/>
        </w:rPr>
        <w:t>Methodological Framework of the Study</w:t>
      </w:r>
    </w:p>
    <w:p w14:paraId="5810907C" w14:textId="77777777" w:rsidR="00F83EC4" w:rsidRDefault="00F83EC4" w:rsidP="00F83EC4">
      <w:pPr>
        <w:pStyle w:val="NormalWeb"/>
        <w:spacing w:after="0" w:line="480" w:lineRule="auto"/>
        <w:ind w:firstLine="720"/>
        <w:jc w:val="both"/>
        <w:rPr>
          <w:rFonts w:ascii="Arial" w:hAnsi="Arial" w:cs="Arial"/>
          <w:sz w:val="22"/>
          <w:szCs w:val="22"/>
        </w:rPr>
      </w:pPr>
    </w:p>
    <w:p w14:paraId="0E83DB10" w14:textId="77777777" w:rsidR="00F83EC4" w:rsidRDefault="00F83EC4" w:rsidP="00F83EC4">
      <w:pPr>
        <w:pStyle w:val="NormalWeb"/>
        <w:spacing w:after="0" w:line="480" w:lineRule="auto"/>
        <w:ind w:firstLine="720"/>
        <w:jc w:val="both"/>
        <w:rPr>
          <w:rFonts w:ascii="Arial" w:hAnsi="Arial" w:cs="Arial"/>
          <w:sz w:val="22"/>
          <w:szCs w:val="22"/>
        </w:rPr>
      </w:pPr>
    </w:p>
    <w:p w14:paraId="7377AB82" w14:textId="77777777" w:rsidR="00F83EC4" w:rsidRPr="004E0F8E" w:rsidRDefault="00F83EC4" w:rsidP="00F83EC4">
      <w:pPr>
        <w:pStyle w:val="NormalWeb"/>
        <w:spacing w:after="0" w:line="480" w:lineRule="auto"/>
        <w:ind w:firstLine="720"/>
        <w:jc w:val="both"/>
        <w:rPr>
          <w:rFonts w:ascii="Arial" w:hAnsi="Arial" w:cs="Arial"/>
          <w:sz w:val="22"/>
          <w:szCs w:val="22"/>
        </w:rPr>
      </w:pPr>
    </w:p>
    <w:p w14:paraId="50FB8AFE" w14:textId="77777777" w:rsidR="00F83EC4" w:rsidRPr="004E0F8E" w:rsidRDefault="00F83EC4" w:rsidP="00F83EC4">
      <w:pPr>
        <w:pStyle w:val="NormalWeb"/>
        <w:spacing w:line="480" w:lineRule="auto"/>
        <w:ind w:firstLine="720"/>
        <w:jc w:val="both"/>
        <w:rPr>
          <w:rFonts w:ascii="Arial" w:hAnsi="Arial" w:cs="Arial"/>
          <w:sz w:val="22"/>
          <w:szCs w:val="22"/>
        </w:rPr>
      </w:pPr>
    </w:p>
    <w:p w14:paraId="5D101A59" w14:textId="77777777" w:rsidR="00F83EC4" w:rsidRPr="004E0F8E" w:rsidRDefault="00F83EC4" w:rsidP="00F83EC4">
      <w:pPr>
        <w:pStyle w:val="NormalWeb"/>
        <w:spacing w:line="480" w:lineRule="auto"/>
        <w:ind w:firstLine="720"/>
        <w:jc w:val="both"/>
        <w:rPr>
          <w:rFonts w:ascii="Arial" w:hAnsi="Arial" w:cs="Arial"/>
          <w:sz w:val="22"/>
          <w:szCs w:val="22"/>
        </w:rPr>
      </w:pPr>
    </w:p>
    <w:p w14:paraId="69B843A6" w14:textId="704F49EF" w:rsidR="00F83EC4" w:rsidRPr="00F83EC4" w:rsidRDefault="00F83EC4" w:rsidP="00901A6E">
      <w:pPr>
        <w:spacing w:after="0" w:line="480" w:lineRule="auto"/>
        <w:jc w:val="both"/>
        <w:rPr>
          <w:rFonts w:ascii="Arial" w:eastAsia="Times New Roman" w:hAnsi="Arial" w:cs="Arial"/>
          <w:kern w:val="0"/>
          <w:lang w:val="en-PH" w:eastAsia="en-PH"/>
          <w14:ligatures w14:val="none"/>
        </w:rPr>
      </w:pPr>
      <w:r w:rsidRPr="003E1CB4">
        <w:rPr>
          <w:rFonts w:ascii="Arial" w:hAnsi="Arial" w:cs="Arial"/>
          <w:b/>
          <w:bCs/>
        </w:rPr>
        <w:t>Significance of the Study</w:t>
      </w:r>
    </w:p>
    <w:p w14:paraId="4B9B5894" w14:textId="4D86BAA5" w:rsidR="00901A6E" w:rsidRPr="00580F0E" w:rsidRDefault="00901A6E" w:rsidP="00901A6E">
      <w:pPr>
        <w:spacing w:after="0" w:line="480" w:lineRule="auto"/>
        <w:jc w:val="both"/>
        <w:rPr>
          <w:rFonts w:ascii="Arial" w:hAnsi="Arial" w:cs="Arial"/>
          <w:b/>
          <w:bCs/>
        </w:rPr>
      </w:pPr>
      <w:r w:rsidRPr="00580F0E">
        <w:rPr>
          <w:rFonts w:ascii="Arial" w:hAnsi="Arial" w:cs="Arial"/>
          <w:b/>
          <w:bCs/>
        </w:rPr>
        <w:t>Research Locale</w:t>
      </w:r>
    </w:p>
    <w:p w14:paraId="09498F81" w14:textId="34DB02EE" w:rsidR="00961B59" w:rsidRPr="00961B59" w:rsidRDefault="00901A6E" w:rsidP="00961B59">
      <w:pPr>
        <w:spacing w:after="0" w:line="480" w:lineRule="auto"/>
        <w:jc w:val="both"/>
        <w:rPr>
          <w:rFonts w:ascii="Arial" w:hAnsi="Arial" w:cs="Arial"/>
        </w:rPr>
      </w:pPr>
      <w:r w:rsidRPr="0052786B">
        <w:rPr>
          <w:rFonts w:ascii="Arial" w:hAnsi="Arial" w:cs="Arial"/>
        </w:rPr>
        <w:tab/>
      </w:r>
      <w:r w:rsidR="00961B59" w:rsidRPr="00961B59">
        <w:rPr>
          <w:rFonts w:ascii="Arial" w:hAnsi="Arial" w:cs="Arial"/>
        </w:rPr>
        <w:t xml:space="preserve">This study was conducted within the First District of the Division of Davao de Oro, a geographically and ecologically diverse area in the province of Davao de Oro, Philippines. The Division was selected as the research locale due to its high susceptibility to natural hazards, including landslides, flash floods, and other weather-related events, </w:t>
      </w:r>
      <w:r w:rsidR="00961B59" w:rsidRPr="00961B59">
        <w:rPr>
          <w:rFonts w:ascii="Arial" w:hAnsi="Arial" w:cs="Arial"/>
        </w:rPr>
        <w:lastRenderedPageBreak/>
        <w:t>which have posed significant risks to the safety and welfare of students and school personnel</w:t>
      </w:r>
      <w:r w:rsidR="001A6534">
        <w:rPr>
          <w:rFonts w:ascii="Arial" w:hAnsi="Arial" w:cs="Arial"/>
        </w:rPr>
        <w:t>.</w:t>
      </w:r>
    </w:p>
    <w:p w14:paraId="03694CA0" w14:textId="5CD8EBFD" w:rsidR="00901A6E" w:rsidRPr="00AE3B13" w:rsidRDefault="00961B59" w:rsidP="00961B59">
      <w:pPr>
        <w:spacing w:after="0" w:line="480" w:lineRule="auto"/>
        <w:jc w:val="both"/>
        <w:rPr>
          <w:rFonts w:ascii="Arial" w:hAnsi="Arial" w:cs="Arial"/>
        </w:rPr>
      </w:pPr>
      <w:r>
        <w:rPr>
          <w:rFonts w:ascii="Arial" w:hAnsi="Arial" w:cs="Arial"/>
        </w:rPr>
        <w:tab/>
      </w:r>
      <w:r w:rsidRPr="00961B59">
        <w:rPr>
          <w:rFonts w:ascii="Arial" w:hAnsi="Arial" w:cs="Arial"/>
        </w:rPr>
        <w:t>The region’s vulnerability was emphasized as a critical factor in the need for effective school-based disaster preparedness and response measures, making it a relevant and appropriate site for the investigation (UNESCO, 202</w:t>
      </w:r>
      <w:r w:rsidR="001A6534">
        <w:rPr>
          <w:rFonts w:ascii="Arial" w:hAnsi="Arial" w:cs="Arial"/>
        </w:rPr>
        <w:t>2</w:t>
      </w:r>
      <w:r w:rsidRPr="00961B59">
        <w:rPr>
          <w:rFonts w:ascii="Arial" w:hAnsi="Arial" w:cs="Arial"/>
        </w:rPr>
        <w:t>; Shaw, 2012). A wide range of educational institutions, including elementary and secondary schools, was covered within the Division, serving communities with diverse socio-economic backgrounds. This diversity was considered to facilitate a comprehensive understanding of the challenges and opportunities in the implementation of DepEd Order No. 033, s. 2021, on school-based disaster preparedness and response. The study focused on how school-based management principles were applied by school heads and DRRM coordinators to strengthen disaster resilience and ensure the protection of learners and school personnel within these educational settings (DepEd, 2021; Anderson, 2019).</w:t>
      </w:r>
    </w:p>
    <w:p w14:paraId="4938DDD0" w14:textId="0B9F68AC" w:rsidR="00901A6E" w:rsidRDefault="00541410" w:rsidP="00901A6E">
      <w:pPr>
        <w:spacing w:after="0" w:line="480" w:lineRule="auto"/>
        <w:jc w:val="both"/>
        <w:rPr>
          <w:rFonts w:ascii="Arial" w:eastAsia="Arial" w:hAnsi="Arial" w:cs="Arial"/>
          <w:b/>
          <w:bCs/>
        </w:rPr>
      </w:pPr>
      <w:r>
        <w:rPr>
          <w:rFonts w:ascii="Arial" w:hAnsi="Arial" w:cs="Arial"/>
          <w:noProof/>
        </w:rPr>
        <w:drawing>
          <wp:anchor distT="0" distB="0" distL="114300" distR="114300" simplePos="0" relativeHeight="251720704" behindDoc="0" locked="0" layoutInCell="1" allowOverlap="1" wp14:anchorId="0A92BBAE" wp14:editId="5F9A4667">
            <wp:simplePos x="0" y="0"/>
            <wp:positionH relativeFrom="column">
              <wp:posOffset>2016760</wp:posOffset>
            </wp:positionH>
            <wp:positionV relativeFrom="paragraph">
              <wp:posOffset>169708</wp:posOffset>
            </wp:positionV>
            <wp:extent cx="2921807" cy="3650701"/>
            <wp:effectExtent l="38100" t="38100" r="31115" b="45085"/>
            <wp:wrapNone/>
            <wp:docPr id="240321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2186" name="Picture 2403218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1807" cy="3650701"/>
                    </a:xfrm>
                    <a:prstGeom prst="rect">
                      <a:avLst/>
                    </a:prstGeom>
                    <a:ln w="38100" cap="sq">
                      <a:solidFill>
                        <a:srgbClr val="000000"/>
                      </a:solidFill>
                      <a:prstDash val="solid"/>
                      <a:miter lim="800000"/>
                    </a:ln>
                    <a:effectLst/>
                  </pic:spPr>
                </pic:pic>
              </a:graphicData>
            </a:graphic>
            <wp14:sizeRelH relativeFrom="margin">
              <wp14:pctWidth>0</wp14:pctWidth>
            </wp14:sizeRelH>
            <wp14:sizeRelV relativeFrom="margin">
              <wp14:pctHeight>0</wp14:pctHeight>
            </wp14:sizeRelV>
          </wp:anchor>
        </w:drawing>
      </w:r>
      <w:r w:rsidR="00901A6E" w:rsidRPr="6633871D">
        <w:rPr>
          <w:rFonts w:ascii="Arial" w:eastAsia="Arial" w:hAnsi="Arial" w:cs="Arial"/>
          <w:b/>
          <w:bCs/>
        </w:rPr>
        <w:t xml:space="preserve">Figure </w:t>
      </w:r>
      <w:r w:rsidR="00901A6E">
        <w:rPr>
          <w:rFonts w:ascii="Arial" w:eastAsia="Arial" w:hAnsi="Arial" w:cs="Arial"/>
          <w:b/>
          <w:bCs/>
        </w:rPr>
        <w:t>3</w:t>
      </w:r>
      <w:r w:rsidR="00901A6E" w:rsidRPr="6633871D">
        <w:rPr>
          <w:rFonts w:ascii="Arial" w:eastAsia="Arial" w:hAnsi="Arial" w:cs="Arial"/>
          <w:b/>
          <w:bCs/>
        </w:rPr>
        <w:t xml:space="preserve"> </w:t>
      </w:r>
    </w:p>
    <w:p w14:paraId="25A2499C" w14:textId="5FF4325C" w:rsidR="00901A6E" w:rsidRPr="00AE3B13" w:rsidRDefault="00901A6E" w:rsidP="00901A6E">
      <w:pPr>
        <w:spacing w:after="0" w:line="480" w:lineRule="auto"/>
        <w:jc w:val="both"/>
        <w:rPr>
          <w:rFonts w:ascii="Arial" w:hAnsi="Arial" w:cs="Arial"/>
          <w:i/>
          <w:iCs/>
          <w:noProof/>
        </w:rPr>
      </w:pPr>
      <w:r w:rsidRPr="00AE3B13">
        <w:rPr>
          <w:rFonts w:ascii="Arial" w:hAnsi="Arial" w:cs="Arial"/>
          <w:i/>
          <w:iCs/>
          <w:noProof/>
        </w:rPr>
        <w:t>Local Map of Davao de Oro</w:t>
      </w:r>
    </w:p>
    <w:p w14:paraId="5DEE9F5D" w14:textId="56A466DA" w:rsidR="00901A6E" w:rsidRDefault="00901A6E" w:rsidP="00901A6E">
      <w:pPr>
        <w:spacing w:after="0" w:line="480" w:lineRule="auto"/>
        <w:jc w:val="both"/>
        <w:rPr>
          <w:rFonts w:ascii="Arial" w:hAnsi="Arial" w:cs="Arial"/>
        </w:rPr>
      </w:pPr>
      <w:r>
        <w:rPr>
          <w:rFonts w:ascii="Arial" w:hAnsi="Arial" w:cs="Arial"/>
        </w:rPr>
        <w:tab/>
      </w:r>
    </w:p>
    <w:p w14:paraId="2664ADBF" w14:textId="39F51E7D" w:rsidR="00901A6E" w:rsidRDefault="00901A6E" w:rsidP="00901A6E">
      <w:pPr>
        <w:spacing w:after="0" w:line="480" w:lineRule="auto"/>
        <w:jc w:val="both"/>
        <w:rPr>
          <w:rFonts w:ascii="Arial" w:hAnsi="Arial" w:cs="Arial"/>
        </w:rPr>
      </w:pPr>
    </w:p>
    <w:p w14:paraId="7F6A2EA2" w14:textId="77777777" w:rsidR="00901A6E" w:rsidRDefault="00901A6E" w:rsidP="00901A6E">
      <w:pPr>
        <w:spacing w:after="0" w:line="480" w:lineRule="auto"/>
        <w:jc w:val="both"/>
        <w:rPr>
          <w:rFonts w:ascii="Arial" w:hAnsi="Arial" w:cs="Arial"/>
        </w:rPr>
      </w:pPr>
    </w:p>
    <w:p w14:paraId="278BEA2C" w14:textId="77777777" w:rsidR="00901A6E" w:rsidRDefault="00901A6E" w:rsidP="00901A6E">
      <w:pPr>
        <w:spacing w:after="0" w:line="480" w:lineRule="auto"/>
        <w:jc w:val="both"/>
        <w:rPr>
          <w:rFonts w:ascii="Arial" w:hAnsi="Arial" w:cs="Arial"/>
        </w:rPr>
      </w:pPr>
    </w:p>
    <w:p w14:paraId="3DA3746C" w14:textId="77777777" w:rsidR="00901A6E" w:rsidRDefault="00901A6E" w:rsidP="00901A6E">
      <w:pPr>
        <w:spacing w:after="0" w:line="480" w:lineRule="auto"/>
        <w:ind w:left="709" w:hanging="709"/>
        <w:jc w:val="both"/>
        <w:rPr>
          <w:rFonts w:ascii="Arial" w:hAnsi="Arial" w:cs="Arial"/>
        </w:rPr>
      </w:pPr>
    </w:p>
    <w:bookmarkEnd w:id="0"/>
    <w:p w14:paraId="42B6364A" w14:textId="77777777" w:rsidR="00901A6E" w:rsidRPr="004E06E7" w:rsidRDefault="00901A6E" w:rsidP="00901A6E">
      <w:pPr>
        <w:spacing w:after="0" w:line="480" w:lineRule="auto"/>
        <w:ind w:left="709" w:hanging="709"/>
        <w:jc w:val="both"/>
        <w:rPr>
          <w:rFonts w:ascii="Arial" w:hAnsi="Arial" w:cs="Arial"/>
        </w:rPr>
      </w:pPr>
    </w:p>
    <w:p w14:paraId="1F81DD6E" w14:textId="77777777" w:rsidR="00901A6E" w:rsidRDefault="00901A6E" w:rsidP="00901A6E">
      <w:pPr>
        <w:spacing w:after="0" w:line="480" w:lineRule="auto"/>
        <w:jc w:val="both"/>
        <w:rPr>
          <w:rFonts w:ascii="Arial" w:hAnsi="Arial" w:cs="Arial"/>
        </w:rPr>
      </w:pPr>
    </w:p>
    <w:p w14:paraId="4C6D1F93" w14:textId="77777777" w:rsidR="00541410" w:rsidRPr="00F958BF" w:rsidRDefault="00541410" w:rsidP="00901A6E">
      <w:pPr>
        <w:spacing w:after="0" w:line="480" w:lineRule="auto"/>
        <w:jc w:val="both"/>
        <w:rPr>
          <w:rFonts w:ascii="Arial" w:hAnsi="Arial" w:cs="Arial"/>
        </w:rPr>
      </w:pPr>
    </w:p>
    <w:p w14:paraId="3F53E9C1" w14:textId="77777777" w:rsidR="000C532B" w:rsidRDefault="000C532B" w:rsidP="00901A6E">
      <w:pPr>
        <w:spacing w:after="0" w:line="480" w:lineRule="auto"/>
        <w:jc w:val="both"/>
        <w:rPr>
          <w:rFonts w:ascii="Arial" w:hAnsi="Arial" w:cs="Arial"/>
          <w:b/>
          <w:bCs/>
        </w:rPr>
      </w:pPr>
    </w:p>
    <w:p w14:paraId="2D43FE2E" w14:textId="77777777" w:rsidR="000C532B" w:rsidRDefault="000C532B" w:rsidP="00901A6E">
      <w:pPr>
        <w:spacing w:after="0" w:line="480" w:lineRule="auto"/>
        <w:jc w:val="both"/>
        <w:rPr>
          <w:rFonts w:ascii="Arial" w:hAnsi="Arial" w:cs="Arial"/>
          <w:b/>
          <w:bCs/>
        </w:rPr>
      </w:pPr>
    </w:p>
    <w:p w14:paraId="54189462" w14:textId="6C9DF7AF" w:rsidR="00901A6E" w:rsidRDefault="00E13E9C" w:rsidP="00901A6E">
      <w:pPr>
        <w:spacing w:after="0" w:line="480" w:lineRule="auto"/>
        <w:jc w:val="both"/>
        <w:rPr>
          <w:rFonts w:ascii="Arial" w:hAnsi="Arial" w:cs="Arial"/>
          <w:b/>
          <w:bCs/>
        </w:rPr>
      </w:pPr>
      <w:r>
        <w:rPr>
          <w:rFonts w:ascii="Arial" w:hAnsi="Arial" w:cs="Arial"/>
          <w:b/>
          <w:bCs/>
        </w:rPr>
        <w:lastRenderedPageBreak/>
        <w:t>Sampling</w:t>
      </w:r>
      <w:r w:rsidR="00473164">
        <w:rPr>
          <w:rFonts w:ascii="Arial" w:hAnsi="Arial" w:cs="Arial"/>
          <w:b/>
          <w:bCs/>
        </w:rPr>
        <w:t xml:space="preserve"> </w:t>
      </w:r>
      <w:r w:rsidR="0008469F">
        <w:rPr>
          <w:rFonts w:ascii="Arial" w:hAnsi="Arial" w:cs="Arial"/>
          <w:b/>
          <w:bCs/>
        </w:rPr>
        <w:t>Procedure</w:t>
      </w:r>
    </w:p>
    <w:p w14:paraId="6F3730FB" w14:textId="587C09BA" w:rsidR="00E13E9C" w:rsidRPr="00E13E9C" w:rsidRDefault="00E13E9C" w:rsidP="00901A6E">
      <w:pPr>
        <w:spacing w:after="0" w:line="480" w:lineRule="auto"/>
        <w:jc w:val="both"/>
        <w:rPr>
          <w:rFonts w:ascii="Arial" w:hAnsi="Arial" w:cs="Arial"/>
        </w:rPr>
      </w:pPr>
      <w:r>
        <w:rPr>
          <w:rFonts w:ascii="Arial" w:hAnsi="Arial" w:cs="Arial"/>
          <w:b/>
          <w:bCs/>
        </w:rPr>
        <w:tab/>
      </w:r>
      <w:r w:rsidRPr="00E13E9C">
        <w:rPr>
          <w:rFonts w:ascii="Arial" w:hAnsi="Arial" w:cs="Arial"/>
        </w:rPr>
        <w:t xml:space="preserve">This section of the study described the sampling procedures employed in selecting respondents for both the quantitative and qualitative phases. A stratified random sampling technique was used to ensure proportional representation of respondents across the five municipalities in the First District of Davao de Oro, namely </w:t>
      </w:r>
      <w:proofErr w:type="spellStart"/>
      <w:r w:rsidRPr="00E13E9C">
        <w:rPr>
          <w:rFonts w:ascii="Arial" w:hAnsi="Arial" w:cs="Arial"/>
        </w:rPr>
        <w:t>Monkayo</w:t>
      </w:r>
      <w:proofErr w:type="spellEnd"/>
      <w:r w:rsidRPr="00E13E9C">
        <w:rPr>
          <w:rFonts w:ascii="Arial" w:hAnsi="Arial" w:cs="Arial"/>
        </w:rPr>
        <w:t xml:space="preserve">, </w:t>
      </w:r>
      <w:proofErr w:type="spellStart"/>
      <w:r w:rsidRPr="00E13E9C">
        <w:rPr>
          <w:rFonts w:ascii="Arial" w:hAnsi="Arial" w:cs="Arial"/>
        </w:rPr>
        <w:t>Montevista</w:t>
      </w:r>
      <w:proofErr w:type="spellEnd"/>
      <w:r w:rsidRPr="00E13E9C">
        <w:rPr>
          <w:rFonts w:ascii="Arial" w:hAnsi="Arial" w:cs="Arial"/>
        </w:rPr>
        <w:t xml:space="preserve">, Compostela, New Bataan, and </w:t>
      </w:r>
      <w:proofErr w:type="spellStart"/>
      <w:r w:rsidRPr="00E13E9C">
        <w:rPr>
          <w:rFonts w:ascii="Arial" w:hAnsi="Arial" w:cs="Arial"/>
        </w:rPr>
        <w:t>Maragusan</w:t>
      </w:r>
      <w:proofErr w:type="spellEnd"/>
      <w:r w:rsidRPr="00E13E9C">
        <w:rPr>
          <w:rFonts w:ascii="Arial" w:hAnsi="Arial" w:cs="Arial"/>
        </w:rPr>
        <w:t>. The sampling design was applied to obtain reliable quantitative data on the extent of implementation of school-based disaster preparedness and response measures among school heads and Disaster Risk Reduction and Management (DRRM) coordinators.</w:t>
      </w:r>
    </w:p>
    <w:p w14:paraId="4E01621F" w14:textId="77777777" w:rsidR="00901A6E" w:rsidRPr="00E13E9C" w:rsidRDefault="00901A6E" w:rsidP="00901A6E">
      <w:pPr>
        <w:spacing w:after="0" w:line="480" w:lineRule="auto"/>
        <w:jc w:val="both"/>
        <w:rPr>
          <w:rFonts w:ascii="Arial" w:hAnsi="Arial" w:cs="Arial"/>
          <w:i/>
          <w:iCs/>
        </w:rPr>
      </w:pPr>
      <w:r>
        <w:rPr>
          <w:rFonts w:ascii="Arial" w:hAnsi="Arial" w:cs="Arial"/>
        </w:rPr>
        <w:tab/>
      </w:r>
      <w:r w:rsidRPr="00E13E9C">
        <w:rPr>
          <w:rFonts w:ascii="Arial" w:hAnsi="Arial" w:cs="Arial"/>
          <w:i/>
          <w:iCs/>
        </w:rPr>
        <w:t>Quantitative Phase</w:t>
      </w:r>
    </w:p>
    <w:p w14:paraId="5F2153EB" w14:textId="77777777" w:rsidR="00DB0587" w:rsidRPr="00DB0587" w:rsidRDefault="00901A6E" w:rsidP="00DB0587">
      <w:pPr>
        <w:spacing w:after="0" w:line="480" w:lineRule="auto"/>
        <w:jc w:val="both"/>
        <w:rPr>
          <w:rFonts w:ascii="Arial" w:hAnsi="Arial" w:cs="Arial"/>
        </w:rPr>
      </w:pPr>
      <w:r w:rsidRPr="00E13E9C">
        <w:rPr>
          <w:rFonts w:ascii="Arial" w:hAnsi="Arial" w:cs="Arial"/>
        </w:rPr>
        <w:tab/>
      </w:r>
      <w:r w:rsidR="00DB0587" w:rsidRPr="00DB0587">
        <w:rPr>
          <w:rFonts w:ascii="Arial" w:hAnsi="Arial" w:cs="Arial"/>
        </w:rPr>
        <w:t xml:space="preserve">In the quantitative phase, a stratified random sampling technique was employed to ensure proportional representation across the five municipalities in the First District of Davao de Oro. The municipalities included </w:t>
      </w:r>
      <w:proofErr w:type="spellStart"/>
      <w:r w:rsidR="00DB0587" w:rsidRPr="00DB0587">
        <w:rPr>
          <w:rFonts w:ascii="Arial" w:hAnsi="Arial" w:cs="Arial"/>
        </w:rPr>
        <w:t>Monkayo</w:t>
      </w:r>
      <w:proofErr w:type="spellEnd"/>
      <w:r w:rsidR="00DB0587" w:rsidRPr="00DB0587">
        <w:rPr>
          <w:rFonts w:ascii="Arial" w:hAnsi="Arial" w:cs="Arial"/>
        </w:rPr>
        <w:t xml:space="preserve">, </w:t>
      </w:r>
      <w:proofErr w:type="spellStart"/>
      <w:r w:rsidR="00DB0587" w:rsidRPr="00DB0587">
        <w:rPr>
          <w:rFonts w:ascii="Arial" w:hAnsi="Arial" w:cs="Arial"/>
        </w:rPr>
        <w:t>Montevista</w:t>
      </w:r>
      <w:proofErr w:type="spellEnd"/>
      <w:r w:rsidR="00DB0587" w:rsidRPr="00DB0587">
        <w:rPr>
          <w:rFonts w:ascii="Arial" w:hAnsi="Arial" w:cs="Arial"/>
        </w:rPr>
        <w:t xml:space="preserve">, Compostela, New Bataan, and </w:t>
      </w:r>
      <w:proofErr w:type="spellStart"/>
      <w:r w:rsidR="00DB0587" w:rsidRPr="00DB0587">
        <w:rPr>
          <w:rFonts w:ascii="Arial" w:hAnsi="Arial" w:cs="Arial"/>
        </w:rPr>
        <w:t>Maragusan</w:t>
      </w:r>
      <w:proofErr w:type="spellEnd"/>
      <w:r w:rsidR="00DB0587" w:rsidRPr="00DB0587">
        <w:rPr>
          <w:rFonts w:ascii="Arial" w:hAnsi="Arial" w:cs="Arial"/>
        </w:rPr>
        <w:t xml:space="preserve">. To determine the sample size, the </w:t>
      </w:r>
      <w:proofErr w:type="spellStart"/>
      <w:r w:rsidR="00DB0587" w:rsidRPr="00DB0587">
        <w:rPr>
          <w:rFonts w:ascii="Arial" w:hAnsi="Arial" w:cs="Arial"/>
        </w:rPr>
        <w:t>Raosoft</w:t>
      </w:r>
      <w:proofErr w:type="spellEnd"/>
      <w:r w:rsidR="00DB0587" w:rsidRPr="00DB0587">
        <w:rPr>
          <w:rFonts w:ascii="Arial" w:hAnsi="Arial" w:cs="Arial"/>
        </w:rPr>
        <w:t xml:space="preserve"> Sample Size Calculator was utilized, resulting in a sample of 168 respondents from a total population of 294 school personnel, with a 95% confidence level and a 5% margin of error. The sample was composed of 84 school heads and 84 DRRM coordinators. The distribution of respondents per municipality was presented in Table 1.</w:t>
      </w:r>
    </w:p>
    <w:p w14:paraId="1C9D3CDC" w14:textId="416B5BDD" w:rsidR="00DB0587" w:rsidRPr="00DB0587" w:rsidRDefault="00DB0587" w:rsidP="00DB0587">
      <w:pPr>
        <w:spacing w:after="0" w:line="480" w:lineRule="auto"/>
        <w:jc w:val="both"/>
        <w:rPr>
          <w:rFonts w:ascii="Arial" w:hAnsi="Arial" w:cs="Arial"/>
        </w:rPr>
      </w:pPr>
      <w:r>
        <w:rPr>
          <w:rFonts w:ascii="Arial" w:hAnsi="Arial" w:cs="Arial"/>
        </w:rPr>
        <w:tab/>
      </w:r>
      <w:r w:rsidRPr="00DB0587">
        <w:rPr>
          <w:rFonts w:ascii="Arial" w:hAnsi="Arial" w:cs="Arial"/>
        </w:rPr>
        <w:t xml:space="preserve">The quantitative data were collected to assess the extent of implementation of school-based disaster preparedness and response measures in terms of </w:t>
      </w:r>
      <w:r w:rsidR="00B72BD5">
        <w:rPr>
          <w:rFonts w:ascii="Arial" w:hAnsi="Arial" w:cs="Arial"/>
        </w:rPr>
        <w:t>p</w:t>
      </w:r>
      <w:r w:rsidRPr="00DB0587">
        <w:rPr>
          <w:rFonts w:ascii="Arial" w:hAnsi="Arial" w:cs="Arial"/>
        </w:rPr>
        <w:t xml:space="preserve">reparedness in </w:t>
      </w:r>
      <w:r w:rsidR="00B72BD5">
        <w:rPr>
          <w:rFonts w:ascii="Arial" w:hAnsi="Arial" w:cs="Arial"/>
        </w:rPr>
        <w:t>n</w:t>
      </w:r>
      <w:r w:rsidRPr="00DB0587">
        <w:rPr>
          <w:rFonts w:ascii="Arial" w:hAnsi="Arial" w:cs="Arial"/>
        </w:rPr>
        <w:t xml:space="preserve">ormal </w:t>
      </w:r>
      <w:r w:rsidR="00B72BD5">
        <w:rPr>
          <w:rFonts w:ascii="Arial" w:hAnsi="Arial" w:cs="Arial"/>
        </w:rPr>
        <w:t>t</w:t>
      </w:r>
      <w:r w:rsidRPr="00DB0587">
        <w:rPr>
          <w:rFonts w:ascii="Arial" w:hAnsi="Arial" w:cs="Arial"/>
        </w:rPr>
        <w:t xml:space="preserve">imes, </w:t>
      </w:r>
      <w:r w:rsidR="00B72BD5">
        <w:rPr>
          <w:rFonts w:ascii="Arial" w:hAnsi="Arial" w:cs="Arial"/>
        </w:rPr>
        <w:t>p</w:t>
      </w:r>
      <w:r w:rsidRPr="00DB0587">
        <w:rPr>
          <w:rFonts w:ascii="Arial" w:hAnsi="Arial" w:cs="Arial"/>
        </w:rPr>
        <w:t xml:space="preserve">reparedness for </w:t>
      </w:r>
      <w:r w:rsidR="00B72BD5">
        <w:rPr>
          <w:rFonts w:ascii="Arial" w:hAnsi="Arial" w:cs="Arial"/>
        </w:rPr>
        <w:t>r</w:t>
      </w:r>
      <w:r w:rsidRPr="00DB0587">
        <w:rPr>
          <w:rFonts w:ascii="Arial" w:hAnsi="Arial" w:cs="Arial"/>
        </w:rPr>
        <w:t xml:space="preserve">esponse, and </w:t>
      </w:r>
      <w:r w:rsidR="00B72BD5">
        <w:rPr>
          <w:rFonts w:ascii="Arial" w:hAnsi="Arial" w:cs="Arial"/>
        </w:rPr>
        <w:t>d</w:t>
      </w:r>
      <w:r w:rsidRPr="00DB0587">
        <w:rPr>
          <w:rFonts w:ascii="Arial" w:hAnsi="Arial" w:cs="Arial"/>
        </w:rPr>
        <w:t xml:space="preserve">isaster </w:t>
      </w:r>
      <w:r w:rsidR="00B72BD5">
        <w:rPr>
          <w:rFonts w:ascii="Arial" w:hAnsi="Arial" w:cs="Arial"/>
        </w:rPr>
        <w:t>r</w:t>
      </w:r>
      <w:r w:rsidRPr="00DB0587">
        <w:rPr>
          <w:rFonts w:ascii="Arial" w:hAnsi="Arial" w:cs="Arial"/>
        </w:rPr>
        <w:t xml:space="preserve">esponse </w:t>
      </w:r>
      <w:r w:rsidR="00B72BD5">
        <w:rPr>
          <w:rFonts w:ascii="Arial" w:hAnsi="Arial" w:cs="Arial"/>
        </w:rPr>
        <w:t>m</w:t>
      </w:r>
      <w:r w:rsidRPr="00DB0587">
        <w:rPr>
          <w:rFonts w:ascii="Arial" w:hAnsi="Arial" w:cs="Arial"/>
        </w:rPr>
        <w:t xml:space="preserve">easures. Stratified random sampling was applied to ensure that variations in school size, municipal characteristics, and institutional contexts were represented, thereby strengthening the generalizability of the findings within the district (Creswell, 2014; </w:t>
      </w:r>
      <w:proofErr w:type="spellStart"/>
      <w:r w:rsidRPr="00DB0587">
        <w:rPr>
          <w:rFonts w:ascii="Arial" w:hAnsi="Arial" w:cs="Arial"/>
        </w:rPr>
        <w:t>Etikan</w:t>
      </w:r>
      <w:proofErr w:type="spellEnd"/>
      <w:r w:rsidRPr="00DB0587">
        <w:rPr>
          <w:rFonts w:ascii="Arial" w:hAnsi="Arial" w:cs="Arial"/>
        </w:rPr>
        <w:t xml:space="preserve"> &amp; Bala, 2017; Gay et al., 2012).</w:t>
      </w:r>
    </w:p>
    <w:p w14:paraId="0F1D7EC6" w14:textId="57347945" w:rsidR="00901A6E" w:rsidRPr="00E13E9C" w:rsidRDefault="00901A6E" w:rsidP="00DB0587">
      <w:pPr>
        <w:spacing w:after="0" w:line="480" w:lineRule="auto"/>
        <w:jc w:val="both"/>
        <w:rPr>
          <w:rFonts w:ascii="Arial" w:hAnsi="Arial" w:cs="Arial"/>
          <w:i/>
          <w:iCs/>
        </w:rPr>
      </w:pPr>
      <w:r w:rsidRPr="00E13E9C">
        <w:rPr>
          <w:rFonts w:ascii="Arial" w:hAnsi="Arial" w:cs="Arial"/>
        </w:rPr>
        <w:lastRenderedPageBreak/>
        <w:tab/>
      </w:r>
      <w:r w:rsidRPr="00E13E9C">
        <w:rPr>
          <w:rFonts w:ascii="Arial" w:hAnsi="Arial" w:cs="Arial"/>
          <w:i/>
          <w:iCs/>
        </w:rPr>
        <w:t>Qualitative Phase</w:t>
      </w:r>
    </w:p>
    <w:p w14:paraId="7F7856FA" w14:textId="77777777" w:rsidR="00DB0587" w:rsidRPr="00DB0587" w:rsidRDefault="00901A6E" w:rsidP="00DB0587">
      <w:pPr>
        <w:spacing w:after="0" w:line="480" w:lineRule="auto"/>
        <w:jc w:val="both"/>
        <w:rPr>
          <w:rFonts w:ascii="Arial" w:hAnsi="Arial" w:cs="Arial"/>
        </w:rPr>
      </w:pPr>
      <w:r w:rsidRPr="00E13E9C">
        <w:rPr>
          <w:rFonts w:ascii="Arial" w:hAnsi="Arial" w:cs="Arial"/>
        </w:rPr>
        <w:tab/>
      </w:r>
      <w:r w:rsidR="00DB0587" w:rsidRPr="00DB0587">
        <w:rPr>
          <w:rFonts w:ascii="Arial" w:hAnsi="Arial" w:cs="Arial"/>
        </w:rPr>
        <w:t>In the qualitative phase, purposive sampling was employed to select participants who could provide relevant and information-rich standpoints regarding the implementation of school-based disaster preparedness and response measures. From the quantitative respondents, 10 participants were selected, consisting of 5 school heads and 5 DRRM coordinators, with representation from each municipality. Selection was based on their direct involvement in disaster risk reduction and management (DRRM) activities and their familiarity with the implementation of DepEd Order No. 033, s. 2021.</w:t>
      </w:r>
    </w:p>
    <w:p w14:paraId="346F3A9B" w14:textId="2DD373EC" w:rsidR="00541410" w:rsidRDefault="00DB0587" w:rsidP="00901A6E">
      <w:pPr>
        <w:spacing w:after="0" w:line="480" w:lineRule="auto"/>
        <w:jc w:val="both"/>
        <w:rPr>
          <w:rFonts w:ascii="Arial" w:hAnsi="Arial" w:cs="Arial"/>
        </w:rPr>
      </w:pPr>
      <w:r>
        <w:rPr>
          <w:rFonts w:ascii="Arial" w:hAnsi="Arial" w:cs="Arial"/>
        </w:rPr>
        <w:tab/>
      </w:r>
      <w:r w:rsidRPr="00DB0587">
        <w:rPr>
          <w:rFonts w:ascii="Arial" w:hAnsi="Arial" w:cs="Arial"/>
        </w:rPr>
        <w:t>In-depth interviews were conducted to gather descriptive data on the standpoints of school heads and DRRM coordinators regarding the implementation of disaster preparedness and response measures. The qualitative phase was used to complement the quantitative findings by providing contextual explanations of the observed results and clarifying patterns identified in the statistical analysis. This phase focused on describing and interpreting participants’ standpoints rather than exploring lived experiences, consistent with the explanatory sequential mixed-methods design. The qualitative findings were used to enrich the interpretation of the quantitative results and to provide deeper understanding of leadership practices and implementation challenges in school-based disaster risk reduction and management (Marshall &amp; Rossman, 2016; Patton, 2015).</w:t>
      </w:r>
    </w:p>
    <w:p w14:paraId="1B6249D1" w14:textId="77777777" w:rsidR="000C532B" w:rsidRDefault="000C532B" w:rsidP="00901A6E">
      <w:pPr>
        <w:spacing w:after="0" w:line="480" w:lineRule="auto"/>
        <w:jc w:val="both"/>
        <w:rPr>
          <w:rFonts w:ascii="Arial" w:hAnsi="Arial" w:cs="Arial"/>
        </w:rPr>
      </w:pPr>
    </w:p>
    <w:p w14:paraId="09DCE39C" w14:textId="77777777" w:rsidR="000C532B" w:rsidRDefault="000C532B" w:rsidP="00901A6E">
      <w:pPr>
        <w:spacing w:after="0" w:line="480" w:lineRule="auto"/>
        <w:jc w:val="both"/>
        <w:rPr>
          <w:rFonts w:ascii="Arial" w:hAnsi="Arial" w:cs="Arial"/>
        </w:rPr>
      </w:pPr>
    </w:p>
    <w:p w14:paraId="039226CE" w14:textId="77777777" w:rsidR="000C532B" w:rsidRDefault="000C532B" w:rsidP="00901A6E">
      <w:pPr>
        <w:spacing w:after="0" w:line="480" w:lineRule="auto"/>
        <w:jc w:val="both"/>
        <w:rPr>
          <w:rFonts w:ascii="Arial" w:hAnsi="Arial" w:cs="Arial"/>
        </w:rPr>
      </w:pPr>
    </w:p>
    <w:p w14:paraId="7F66AEBB" w14:textId="77777777" w:rsidR="000C532B" w:rsidRDefault="000C532B" w:rsidP="00901A6E">
      <w:pPr>
        <w:spacing w:after="0" w:line="480" w:lineRule="auto"/>
        <w:jc w:val="both"/>
        <w:rPr>
          <w:rFonts w:ascii="Arial" w:hAnsi="Arial" w:cs="Arial"/>
        </w:rPr>
      </w:pPr>
    </w:p>
    <w:p w14:paraId="37E09D3D" w14:textId="77777777" w:rsidR="000C532B" w:rsidRDefault="000C532B" w:rsidP="00901A6E">
      <w:pPr>
        <w:spacing w:after="0" w:line="480" w:lineRule="auto"/>
        <w:jc w:val="both"/>
        <w:rPr>
          <w:rFonts w:ascii="Arial" w:hAnsi="Arial" w:cs="Arial"/>
        </w:rPr>
      </w:pPr>
    </w:p>
    <w:p w14:paraId="0AF148F6" w14:textId="77777777" w:rsidR="000C532B" w:rsidRDefault="000C532B" w:rsidP="00901A6E">
      <w:pPr>
        <w:spacing w:after="0" w:line="480" w:lineRule="auto"/>
        <w:jc w:val="both"/>
        <w:rPr>
          <w:rFonts w:ascii="Arial" w:hAnsi="Arial" w:cs="Arial"/>
        </w:rPr>
      </w:pPr>
    </w:p>
    <w:p w14:paraId="4A449B56" w14:textId="77777777" w:rsidR="000C532B" w:rsidRPr="007C3BB9" w:rsidRDefault="000C532B" w:rsidP="00901A6E">
      <w:pPr>
        <w:spacing w:after="0" w:line="480" w:lineRule="auto"/>
        <w:jc w:val="both"/>
        <w:rPr>
          <w:rFonts w:ascii="Arial" w:hAnsi="Arial" w:cs="Arial"/>
        </w:rPr>
      </w:pPr>
    </w:p>
    <w:p w14:paraId="52F3930F" w14:textId="37316E62" w:rsidR="00901A6E" w:rsidRDefault="00901A6E" w:rsidP="00607EAC">
      <w:pPr>
        <w:spacing w:after="0" w:line="480" w:lineRule="auto"/>
        <w:jc w:val="both"/>
        <w:rPr>
          <w:rFonts w:ascii="Arial" w:hAnsi="Arial" w:cs="Arial"/>
          <w:b/>
          <w:bCs/>
        </w:rPr>
      </w:pPr>
      <w:r>
        <w:rPr>
          <w:rFonts w:ascii="Arial" w:hAnsi="Arial" w:cs="Arial"/>
          <w:b/>
          <w:bCs/>
        </w:rPr>
        <w:lastRenderedPageBreak/>
        <w:t>Table 1</w:t>
      </w:r>
    </w:p>
    <w:p w14:paraId="655D9544" w14:textId="011DF07F" w:rsidR="00901A6E" w:rsidRDefault="00901A6E" w:rsidP="00607EAC">
      <w:pPr>
        <w:spacing w:after="0" w:line="480" w:lineRule="auto"/>
        <w:jc w:val="both"/>
        <w:rPr>
          <w:rFonts w:ascii="Arial" w:eastAsiaTheme="majorEastAsia" w:hAnsi="Arial" w:cs="Arial"/>
          <w:i/>
          <w:iCs/>
        </w:rPr>
      </w:pPr>
      <w:r w:rsidRPr="00EC6378">
        <w:rPr>
          <w:rFonts w:ascii="Arial" w:eastAsiaTheme="majorEastAsia" w:hAnsi="Arial" w:cs="Arial"/>
          <w:i/>
          <w:iCs/>
        </w:rPr>
        <w:t xml:space="preserve">Distribution of Respondents </w:t>
      </w:r>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3"/>
        <w:gridCol w:w="1763"/>
        <w:gridCol w:w="1214"/>
        <w:gridCol w:w="720"/>
        <w:gridCol w:w="1260"/>
        <w:gridCol w:w="900"/>
        <w:gridCol w:w="990"/>
      </w:tblGrid>
      <w:tr w:rsidR="00901A6E" w:rsidRPr="005A0600" w14:paraId="4754DAB8" w14:textId="77777777" w:rsidTr="00922F28">
        <w:trPr>
          <w:trHeight w:val="635"/>
        </w:trPr>
        <w:tc>
          <w:tcPr>
            <w:tcW w:w="1883" w:type="dxa"/>
            <w:vMerge w:val="restart"/>
            <w:tcBorders>
              <w:top w:val="single" w:sz="4" w:space="0" w:color="auto"/>
              <w:left w:val="nil"/>
              <w:bottom w:val="nil"/>
              <w:right w:val="nil"/>
            </w:tcBorders>
            <w:noWrap/>
            <w:vAlign w:val="bottom"/>
            <w:hideMark/>
          </w:tcPr>
          <w:p w14:paraId="52344458" w14:textId="77777777" w:rsidR="00901A6E" w:rsidRPr="005A0600" w:rsidRDefault="00901A6E" w:rsidP="00B10240">
            <w:pPr>
              <w:spacing w:after="0" w:line="240" w:lineRule="auto"/>
              <w:rPr>
                <w:rFonts w:ascii="Times New Roman" w:eastAsia="Times New Roman" w:hAnsi="Times New Roman" w:cs="Times New Roman"/>
                <w:kern w:val="0"/>
                <w14:ligatures w14:val="none"/>
              </w:rPr>
            </w:pPr>
          </w:p>
        </w:tc>
        <w:tc>
          <w:tcPr>
            <w:tcW w:w="1763" w:type="dxa"/>
            <w:vMerge w:val="restart"/>
            <w:tcBorders>
              <w:top w:val="single" w:sz="4" w:space="0" w:color="auto"/>
              <w:left w:val="nil"/>
              <w:bottom w:val="nil"/>
              <w:right w:val="nil"/>
            </w:tcBorders>
            <w:noWrap/>
            <w:vAlign w:val="center"/>
            <w:hideMark/>
          </w:tcPr>
          <w:p w14:paraId="3A2EBA5D"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POPULATION</w:t>
            </w:r>
          </w:p>
        </w:tc>
        <w:tc>
          <w:tcPr>
            <w:tcW w:w="1214" w:type="dxa"/>
            <w:vMerge w:val="restart"/>
            <w:tcBorders>
              <w:top w:val="single" w:sz="4" w:space="0" w:color="auto"/>
              <w:left w:val="nil"/>
              <w:bottom w:val="nil"/>
              <w:right w:val="nil"/>
            </w:tcBorders>
            <w:noWrap/>
            <w:vAlign w:val="center"/>
            <w:hideMark/>
          </w:tcPr>
          <w:p w14:paraId="2DB045D2"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SAMPLE</w:t>
            </w:r>
          </w:p>
        </w:tc>
        <w:tc>
          <w:tcPr>
            <w:tcW w:w="1980" w:type="dxa"/>
            <w:gridSpan w:val="2"/>
            <w:tcBorders>
              <w:top w:val="single" w:sz="4" w:space="0" w:color="auto"/>
              <w:left w:val="nil"/>
              <w:bottom w:val="single" w:sz="4" w:space="0" w:color="auto"/>
              <w:right w:val="nil"/>
            </w:tcBorders>
            <w:vAlign w:val="center"/>
            <w:hideMark/>
          </w:tcPr>
          <w:p w14:paraId="5E73606E"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DISTRIBUTION (Quantitative)</w:t>
            </w:r>
          </w:p>
        </w:tc>
        <w:tc>
          <w:tcPr>
            <w:tcW w:w="1890" w:type="dxa"/>
            <w:gridSpan w:val="2"/>
            <w:tcBorders>
              <w:top w:val="single" w:sz="4" w:space="0" w:color="auto"/>
              <w:left w:val="nil"/>
              <w:bottom w:val="single" w:sz="4" w:space="0" w:color="auto"/>
              <w:right w:val="nil"/>
            </w:tcBorders>
            <w:vAlign w:val="center"/>
            <w:hideMark/>
          </w:tcPr>
          <w:p w14:paraId="0B473F52"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IDI Code (Qualitative)</w:t>
            </w:r>
          </w:p>
        </w:tc>
      </w:tr>
      <w:tr w:rsidR="00901A6E" w:rsidRPr="005A0600" w14:paraId="106ED08A" w14:textId="77777777" w:rsidTr="00922F28">
        <w:trPr>
          <w:trHeight w:val="455"/>
        </w:trPr>
        <w:tc>
          <w:tcPr>
            <w:tcW w:w="1883" w:type="dxa"/>
            <w:vMerge/>
            <w:tcBorders>
              <w:top w:val="nil"/>
              <w:left w:val="nil"/>
              <w:bottom w:val="single" w:sz="4" w:space="0" w:color="auto"/>
              <w:right w:val="nil"/>
            </w:tcBorders>
            <w:noWrap/>
            <w:vAlign w:val="bottom"/>
            <w:hideMark/>
          </w:tcPr>
          <w:p w14:paraId="1D57ABF3"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p>
        </w:tc>
        <w:tc>
          <w:tcPr>
            <w:tcW w:w="1763" w:type="dxa"/>
            <w:vMerge/>
            <w:tcBorders>
              <w:top w:val="nil"/>
              <w:left w:val="nil"/>
              <w:bottom w:val="single" w:sz="4" w:space="0" w:color="auto"/>
              <w:right w:val="nil"/>
            </w:tcBorders>
            <w:vAlign w:val="center"/>
            <w:hideMark/>
          </w:tcPr>
          <w:p w14:paraId="476C3A5B" w14:textId="77777777" w:rsidR="00901A6E" w:rsidRPr="00AA781A" w:rsidRDefault="00901A6E" w:rsidP="00B10240">
            <w:pPr>
              <w:spacing w:after="0" w:line="240" w:lineRule="auto"/>
              <w:rPr>
                <w:rFonts w:ascii="Arial" w:eastAsia="Times New Roman" w:hAnsi="Arial" w:cs="Arial"/>
                <w:b/>
                <w:bCs/>
                <w:color w:val="000000"/>
                <w:kern w:val="0"/>
                <w14:ligatures w14:val="none"/>
              </w:rPr>
            </w:pPr>
          </w:p>
        </w:tc>
        <w:tc>
          <w:tcPr>
            <w:tcW w:w="1214" w:type="dxa"/>
            <w:vMerge/>
            <w:tcBorders>
              <w:top w:val="nil"/>
              <w:left w:val="nil"/>
              <w:bottom w:val="single" w:sz="4" w:space="0" w:color="auto"/>
              <w:right w:val="nil"/>
            </w:tcBorders>
            <w:vAlign w:val="center"/>
            <w:hideMark/>
          </w:tcPr>
          <w:p w14:paraId="1E078DED" w14:textId="77777777" w:rsidR="00901A6E" w:rsidRPr="00AA781A" w:rsidRDefault="00901A6E" w:rsidP="00B10240">
            <w:pPr>
              <w:spacing w:after="0" w:line="240" w:lineRule="auto"/>
              <w:rPr>
                <w:rFonts w:ascii="Arial" w:eastAsia="Times New Roman" w:hAnsi="Arial" w:cs="Arial"/>
                <w:b/>
                <w:bCs/>
                <w:color w:val="000000"/>
                <w:kern w:val="0"/>
                <w14:ligatures w14:val="none"/>
              </w:rPr>
            </w:pPr>
          </w:p>
        </w:tc>
        <w:tc>
          <w:tcPr>
            <w:tcW w:w="720" w:type="dxa"/>
            <w:tcBorders>
              <w:top w:val="single" w:sz="4" w:space="0" w:color="auto"/>
              <w:left w:val="nil"/>
              <w:bottom w:val="single" w:sz="4" w:space="0" w:color="auto"/>
              <w:right w:val="nil"/>
            </w:tcBorders>
            <w:noWrap/>
            <w:vAlign w:val="center"/>
            <w:hideMark/>
          </w:tcPr>
          <w:p w14:paraId="22DC80E9"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SH</w:t>
            </w:r>
          </w:p>
        </w:tc>
        <w:tc>
          <w:tcPr>
            <w:tcW w:w="1260" w:type="dxa"/>
            <w:tcBorders>
              <w:top w:val="single" w:sz="4" w:space="0" w:color="auto"/>
              <w:left w:val="nil"/>
              <w:bottom w:val="single" w:sz="4" w:space="0" w:color="auto"/>
              <w:right w:val="nil"/>
            </w:tcBorders>
            <w:noWrap/>
            <w:vAlign w:val="center"/>
            <w:hideMark/>
          </w:tcPr>
          <w:p w14:paraId="004A2CE3" w14:textId="600AC9AA"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SDRR Coor</w:t>
            </w:r>
          </w:p>
        </w:tc>
        <w:tc>
          <w:tcPr>
            <w:tcW w:w="900" w:type="dxa"/>
            <w:tcBorders>
              <w:top w:val="single" w:sz="4" w:space="0" w:color="auto"/>
              <w:left w:val="nil"/>
              <w:bottom w:val="single" w:sz="4" w:space="0" w:color="auto"/>
              <w:right w:val="nil"/>
            </w:tcBorders>
            <w:noWrap/>
            <w:vAlign w:val="center"/>
            <w:hideMark/>
          </w:tcPr>
          <w:p w14:paraId="38A8A375"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SH</w:t>
            </w:r>
          </w:p>
        </w:tc>
        <w:tc>
          <w:tcPr>
            <w:tcW w:w="990" w:type="dxa"/>
            <w:tcBorders>
              <w:top w:val="single" w:sz="4" w:space="0" w:color="auto"/>
              <w:left w:val="nil"/>
              <w:bottom w:val="single" w:sz="4" w:space="0" w:color="auto"/>
              <w:right w:val="nil"/>
            </w:tcBorders>
            <w:noWrap/>
            <w:vAlign w:val="center"/>
            <w:hideMark/>
          </w:tcPr>
          <w:p w14:paraId="389392AD" w14:textId="77777777" w:rsidR="00901A6E" w:rsidRPr="00AA781A" w:rsidRDefault="00901A6E" w:rsidP="00B10240">
            <w:pPr>
              <w:spacing w:after="0" w:line="240" w:lineRule="auto"/>
              <w:jc w:val="center"/>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SDRR Coor</w:t>
            </w:r>
          </w:p>
        </w:tc>
      </w:tr>
      <w:tr w:rsidR="00901A6E" w:rsidRPr="005A0600" w14:paraId="754DB3CD" w14:textId="77777777" w:rsidTr="00922F28">
        <w:trPr>
          <w:trHeight w:val="455"/>
        </w:trPr>
        <w:tc>
          <w:tcPr>
            <w:tcW w:w="1883" w:type="dxa"/>
            <w:tcBorders>
              <w:top w:val="single" w:sz="4" w:space="0" w:color="auto"/>
              <w:left w:val="nil"/>
              <w:bottom w:val="nil"/>
              <w:right w:val="nil"/>
            </w:tcBorders>
            <w:noWrap/>
            <w:vAlign w:val="bottom"/>
            <w:hideMark/>
          </w:tcPr>
          <w:p w14:paraId="064301DF" w14:textId="77777777" w:rsidR="00901A6E" w:rsidRPr="00AA781A" w:rsidRDefault="00901A6E" w:rsidP="00B10240">
            <w:pPr>
              <w:spacing w:after="0" w:line="240" w:lineRule="auto"/>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MONKAYO</w:t>
            </w:r>
          </w:p>
        </w:tc>
        <w:tc>
          <w:tcPr>
            <w:tcW w:w="1763" w:type="dxa"/>
            <w:tcBorders>
              <w:top w:val="single" w:sz="4" w:space="0" w:color="auto"/>
              <w:left w:val="nil"/>
              <w:bottom w:val="nil"/>
              <w:right w:val="nil"/>
            </w:tcBorders>
            <w:noWrap/>
            <w:vAlign w:val="center"/>
            <w:hideMark/>
          </w:tcPr>
          <w:p w14:paraId="53AB8347"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100</w:t>
            </w:r>
          </w:p>
        </w:tc>
        <w:tc>
          <w:tcPr>
            <w:tcW w:w="1214" w:type="dxa"/>
            <w:tcBorders>
              <w:top w:val="single" w:sz="4" w:space="0" w:color="auto"/>
              <w:left w:val="nil"/>
              <w:bottom w:val="nil"/>
              <w:right w:val="nil"/>
            </w:tcBorders>
            <w:noWrap/>
            <w:vAlign w:val="center"/>
            <w:hideMark/>
          </w:tcPr>
          <w:p w14:paraId="75D82EA1"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58</w:t>
            </w:r>
          </w:p>
        </w:tc>
        <w:tc>
          <w:tcPr>
            <w:tcW w:w="720" w:type="dxa"/>
            <w:tcBorders>
              <w:top w:val="single" w:sz="4" w:space="0" w:color="auto"/>
              <w:left w:val="nil"/>
              <w:bottom w:val="nil"/>
              <w:right w:val="nil"/>
            </w:tcBorders>
            <w:noWrap/>
            <w:vAlign w:val="center"/>
            <w:hideMark/>
          </w:tcPr>
          <w:p w14:paraId="0181CFA7"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29</w:t>
            </w:r>
          </w:p>
        </w:tc>
        <w:tc>
          <w:tcPr>
            <w:tcW w:w="1260" w:type="dxa"/>
            <w:tcBorders>
              <w:top w:val="single" w:sz="4" w:space="0" w:color="auto"/>
              <w:left w:val="nil"/>
              <w:bottom w:val="nil"/>
              <w:right w:val="nil"/>
            </w:tcBorders>
            <w:noWrap/>
            <w:vAlign w:val="center"/>
            <w:hideMark/>
          </w:tcPr>
          <w:p w14:paraId="6C07E234"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29</w:t>
            </w:r>
          </w:p>
        </w:tc>
        <w:tc>
          <w:tcPr>
            <w:tcW w:w="900" w:type="dxa"/>
            <w:tcBorders>
              <w:top w:val="single" w:sz="4" w:space="0" w:color="auto"/>
              <w:left w:val="nil"/>
              <w:bottom w:val="nil"/>
              <w:right w:val="nil"/>
            </w:tcBorders>
            <w:noWrap/>
            <w:vAlign w:val="center"/>
            <w:hideMark/>
          </w:tcPr>
          <w:p w14:paraId="057DC900"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c>
          <w:tcPr>
            <w:tcW w:w="990" w:type="dxa"/>
            <w:tcBorders>
              <w:top w:val="single" w:sz="4" w:space="0" w:color="auto"/>
              <w:left w:val="nil"/>
              <w:bottom w:val="nil"/>
              <w:right w:val="nil"/>
            </w:tcBorders>
            <w:noWrap/>
            <w:vAlign w:val="center"/>
            <w:hideMark/>
          </w:tcPr>
          <w:p w14:paraId="4594B76D"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r>
      <w:tr w:rsidR="00901A6E" w:rsidRPr="005A0600" w14:paraId="7A54187B" w14:textId="77777777" w:rsidTr="00922F28">
        <w:trPr>
          <w:trHeight w:val="455"/>
        </w:trPr>
        <w:tc>
          <w:tcPr>
            <w:tcW w:w="1883" w:type="dxa"/>
            <w:tcBorders>
              <w:top w:val="nil"/>
              <w:left w:val="nil"/>
              <w:bottom w:val="nil"/>
              <w:right w:val="nil"/>
            </w:tcBorders>
            <w:noWrap/>
            <w:vAlign w:val="bottom"/>
            <w:hideMark/>
          </w:tcPr>
          <w:p w14:paraId="40F7AC32" w14:textId="77777777" w:rsidR="00901A6E" w:rsidRPr="00AA781A" w:rsidRDefault="00901A6E" w:rsidP="00B10240">
            <w:pPr>
              <w:spacing w:after="0" w:line="240" w:lineRule="auto"/>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MONTEVISTA</w:t>
            </w:r>
          </w:p>
        </w:tc>
        <w:tc>
          <w:tcPr>
            <w:tcW w:w="1763" w:type="dxa"/>
            <w:tcBorders>
              <w:top w:val="nil"/>
              <w:left w:val="nil"/>
              <w:bottom w:val="nil"/>
              <w:right w:val="nil"/>
            </w:tcBorders>
            <w:noWrap/>
            <w:vAlign w:val="center"/>
            <w:hideMark/>
          </w:tcPr>
          <w:p w14:paraId="7895C337"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48</w:t>
            </w:r>
          </w:p>
        </w:tc>
        <w:tc>
          <w:tcPr>
            <w:tcW w:w="1214" w:type="dxa"/>
            <w:tcBorders>
              <w:top w:val="nil"/>
              <w:left w:val="nil"/>
              <w:bottom w:val="nil"/>
              <w:right w:val="nil"/>
            </w:tcBorders>
            <w:noWrap/>
            <w:vAlign w:val="center"/>
            <w:hideMark/>
          </w:tcPr>
          <w:p w14:paraId="246F1902"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26</w:t>
            </w:r>
          </w:p>
        </w:tc>
        <w:tc>
          <w:tcPr>
            <w:tcW w:w="720" w:type="dxa"/>
            <w:tcBorders>
              <w:top w:val="nil"/>
              <w:left w:val="nil"/>
              <w:bottom w:val="nil"/>
              <w:right w:val="nil"/>
            </w:tcBorders>
            <w:noWrap/>
            <w:vAlign w:val="center"/>
            <w:hideMark/>
          </w:tcPr>
          <w:p w14:paraId="551F174D"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13</w:t>
            </w:r>
          </w:p>
        </w:tc>
        <w:tc>
          <w:tcPr>
            <w:tcW w:w="1260" w:type="dxa"/>
            <w:tcBorders>
              <w:top w:val="nil"/>
              <w:left w:val="nil"/>
              <w:bottom w:val="nil"/>
              <w:right w:val="nil"/>
            </w:tcBorders>
            <w:noWrap/>
            <w:vAlign w:val="center"/>
            <w:hideMark/>
          </w:tcPr>
          <w:p w14:paraId="24CDB9F1"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13</w:t>
            </w:r>
          </w:p>
        </w:tc>
        <w:tc>
          <w:tcPr>
            <w:tcW w:w="900" w:type="dxa"/>
            <w:tcBorders>
              <w:top w:val="nil"/>
              <w:left w:val="nil"/>
              <w:bottom w:val="nil"/>
              <w:right w:val="nil"/>
            </w:tcBorders>
            <w:noWrap/>
            <w:vAlign w:val="center"/>
            <w:hideMark/>
          </w:tcPr>
          <w:p w14:paraId="03632BA5"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c>
          <w:tcPr>
            <w:tcW w:w="990" w:type="dxa"/>
            <w:tcBorders>
              <w:top w:val="nil"/>
              <w:left w:val="nil"/>
              <w:bottom w:val="nil"/>
              <w:right w:val="nil"/>
            </w:tcBorders>
            <w:noWrap/>
            <w:vAlign w:val="center"/>
            <w:hideMark/>
          </w:tcPr>
          <w:p w14:paraId="0E8E0B4C"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r>
      <w:tr w:rsidR="00901A6E" w:rsidRPr="005A0600" w14:paraId="28FB721A" w14:textId="77777777" w:rsidTr="00922F28">
        <w:trPr>
          <w:trHeight w:val="455"/>
        </w:trPr>
        <w:tc>
          <w:tcPr>
            <w:tcW w:w="1883" w:type="dxa"/>
            <w:tcBorders>
              <w:top w:val="nil"/>
              <w:left w:val="nil"/>
              <w:bottom w:val="nil"/>
              <w:right w:val="nil"/>
            </w:tcBorders>
            <w:noWrap/>
            <w:vAlign w:val="bottom"/>
            <w:hideMark/>
          </w:tcPr>
          <w:p w14:paraId="073C1788" w14:textId="77777777" w:rsidR="00901A6E" w:rsidRPr="00AA781A" w:rsidRDefault="00901A6E" w:rsidP="00B10240">
            <w:pPr>
              <w:spacing w:after="0" w:line="240" w:lineRule="auto"/>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COMPOSTELA</w:t>
            </w:r>
          </w:p>
        </w:tc>
        <w:tc>
          <w:tcPr>
            <w:tcW w:w="1763" w:type="dxa"/>
            <w:tcBorders>
              <w:top w:val="nil"/>
              <w:left w:val="nil"/>
              <w:bottom w:val="nil"/>
              <w:right w:val="nil"/>
            </w:tcBorders>
            <w:noWrap/>
            <w:vAlign w:val="center"/>
            <w:hideMark/>
          </w:tcPr>
          <w:p w14:paraId="275F5ECD"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36</w:t>
            </w:r>
          </w:p>
        </w:tc>
        <w:tc>
          <w:tcPr>
            <w:tcW w:w="1214" w:type="dxa"/>
            <w:tcBorders>
              <w:top w:val="nil"/>
              <w:left w:val="nil"/>
              <w:bottom w:val="nil"/>
              <w:right w:val="nil"/>
            </w:tcBorders>
            <w:noWrap/>
            <w:vAlign w:val="center"/>
            <w:hideMark/>
          </w:tcPr>
          <w:p w14:paraId="10C4A043"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20</w:t>
            </w:r>
          </w:p>
        </w:tc>
        <w:tc>
          <w:tcPr>
            <w:tcW w:w="720" w:type="dxa"/>
            <w:tcBorders>
              <w:top w:val="nil"/>
              <w:left w:val="nil"/>
              <w:bottom w:val="nil"/>
              <w:right w:val="nil"/>
            </w:tcBorders>
            <w:noWrap/>
            <w:vAlign w:val="center"/>
            <w:hideMark/>
          </w:tcPr>
          <w:p w14:paraId="6244F03F"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10</w:t>
            </w:r>
          </w:p>
        </w:tc>
        <w:tc>
          <w:tcPr>
            <w:tcW w:w="1260" w:type="dxa"/>
            <w:tcBorders>
              <w:top w:val="nil"/>
              <w:left w:val="nil"/>
              <w:bottom w:val="nil"/>
              <w:right w:val="nil"/>
            </w:tcBorders>
            <w:noWrap/>
            <w:vAlign w:val="center"/>
            <w:hideMark/>
          </w:tcPr>
          <w:p w14:paraId="09C18CC9"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10</w:t>
            </w:r>
          </w:p>
        </w:tc>
        <w:tc>
          <w:tcPr>
            <w:tcW w:w="900" w:type="dxa"/>
            <w:tcBorders>
              <w:top w:val="nil"/>
              <w:left w:val="nil"/>
              <w:bottom w:val="nil"/>
              <w:right w:val="nil"/>
            </w:tcBorders>
            <w:noWrap/>
            <w:vAlign w:val="center"/>
            <w:hideMark/>
          </w:tcPr>
          <w:p w14:paraId="6142C413"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c>
          <w:tcPr>
            <w:tcW w:w="990" w:type="dxa"/>
            <w:tcBorders>
              <w:top w:val="nil"/>
              <w:left w:val="nil"/>
              <w:bottom w:val="nil"/>
              <w:right w:val="nil"/>
            </w:tcBorders>
            <w:noWrap/>
            <w:vAlign w:val="center"/>
            <w:hideMark/>
          </w:tcPr>
          <w:p w14:paraId="5968EA90"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r>
      <w:tr w:rsidR="00901A6E" w:rsidRPr="005A0600" w14:paraId="0ACE6B92" w14:textId="77777777" w:rsidTr="00922F28">
        <w:trPr>
          <w:trHeight w:val="455"/>
        </w:trPr>
        <w:tc>
          <w:tcPr>
            <w:tcW w:w="1883" w:type="dxa"/>
            <w:tcBorders>
              <w:top w:val="nil"/>
              <w:left w:val="nil"/>
              <w:bottom w:val="nil"/>
              <w:right w:val="nil"/>
            </w:tcBorders>
            <w:noWrap/>
            <w:vAlign w:val="bottom"/>
            <w:hideMark/>
          </w:tcPr>
          <w:p w14:paraId="5155167A" w14:textId="77777777" w:rsidR="00901A6E" w:rsidRPr="00AA781A" w:rsidRDefault="00901A6E" w:rsidP="00B10240">
            <w:pPr>
              <w:spacing w:after="0" w:line="240" w:lineRule="auto"/>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NEW BATAAN</w:t>
            </w:r>
          </w:p>
        </w:tc>
        <w:tc>
          <w:tcPr>
            <w:tcW w:w="1763" w:type="dxa"/>
            <w:tcBorders>
              <w:top w:val="nil"/>
              <w:left w:val="nil"/>
              <w:bottom w:val="nil"/>
              <w:right w:val="nil"/>
            </w:tcBorders>
            <w:noWrap/>
            <w:vAlign w:val="center"/>
            <w:hideMark/>
          </w:tcPr>
          <w:p w14:paraId="484C27A7"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52</w:t>
            </w:r>
          </w:p>
        </w:tc>
        <w:tc>
          <w:tcPr>
            <w:tcW w:w="1214" w:type="dxa"/>
            <w:tcBorders>
              <w:top w:val="nil"/>
              <w:left w:val="nil"/>
              <w:bottom w:val="nil"/>
              <w:right w:val="nil"/>
            </w:tcBorders>
            <w:noWrap/>
            <w:vAlign w:val="center"/>
            <w:hideMark/>
          </w:tcPr>
          <w:p w14:paraId="2C9A09A3"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30</w:t>
            </w:r>
          </w:p>
        </w:tc>
        <w:tc>
          <w:tcPr>
            <w:tcW w:w="720" w:type="dxa"/>
            <w:tcBorders>
              <w:top w:val="nil"/>
              <w:left w:val="nil"/>
              <w:bottom w:val="nil"/>
              <w:right w:val="nil"/>
            </w:tcBorders>
            <w:noWrap/>
            <w:vAlign w:val="center"/>
            <w:hideMark/>
          </w:tcPr>
          <w:p w14:paraId="2C706F22"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15</w:t>
            </w:r>
          </w:p>
        </w:tc>
        <w:tc>
          <w:tcPr>
            <w:tcW w:w="1260" w:type="dxa"/>
            <w:tcBorders>
              <w:top w:val="nil"/>
              <w:left w:val="nil"/>
              <w:bottom w:val="nil"/>
              <w:right w:val="nil"/>
            </w:tcBorders>
            <w:noWrap/>
            <w:vAlign w:val="center"/>
            <w:hideMark/>
          </w:tcPr>
          <w:p w14:paraId="706438AD"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15</w:t>
            </w:r>
          </w:p>
        </w:tc>
        <w:tc>
          <w:tcPr>
            <w:tcW w:w="900" w:type="dxa"/>
            <w:tcBorders>
              <w:top w:val="nil"/>
              <w:left w:val="nil"/>
              <w:bottom w:val="nil"/>
              <w:right w:val="nil"/>
            </w:tcBorders>
            <w:noWrap/>
            <w:vAlign w:val="center"/>
            <w:hideMark/>
          </w:tcPr>
          <w:p w14:paraId="4FDF3012"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c>
          <w:tcPr>
            <w:tcW w:w="990" w:type="dxa"/>
            <w:tcBorders>
              <w:top w:val="nil"/>
              <w:left w:val="nil"/>
              <w:bottom w:val="nil"/>
              <w:right w:val="nil"/>
            </w:tcBorders>
            <w:noWrap/>
            <w:vAlign w:val="center"/>
            <w:hideMark/>
          </w:tcPr>
          <w:p w14:paraId="4043F9AE"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r>
      <w:tr w:rsidR="00901A6E" w:rsidRPr="005A0600" w14:paraId="1C2C66ED" w14:textId="77777777" w:rsidTr="00922F28">
        <w:trPr>
          <w:trHeight w:val="455"/>
        </w:trPr>
        <w:tc>
          <w:tcPr>
            <w:tcW w:w="1883" w:type="dxa"/>
            <w:tcBorders>
              <w:top w:val="nil"/>
              <w:left w:val="nil"/>
              <w:bottom w:val="single" w:sz="4" w:space="0" w:color="auto"/>
              <w:right w:val="nil"/>
            </w:tcBorders>
            <w:noWrap/>
            <w:vAlign w:val="bottom"/>
            <w:hideMark/>
          </w:tcPr>
          <w:p w14:paraId="2C016DF9" w14:textId="77777777" w:rsidR="00901A6E" w:rsidRPr="00AA781A" w:rsidRDefault="00901A6E" w:rsidP="00B10240">
            <w:pPr>
              <w:spacing w:after="0" w:line="240" w:lineRule="auto"/>
              <w:rPr>
                <w:rFonts w:ascii="Arial" w:eastAsia="Times New Roman" w:hAnsi="Arial" w:cs="Arial"/>
                <w:b/>
                <w:bCs/>
                <w:color w:val="000000"/>
                <w:kern w:val="0"/>
                <w14:ligatures w14:val="none"/>
              </w:rPr>
            </w:pPr>
            <w:r w:rsidRPr="00AA781A">
              <w:rPr>
                <w:rFonts w:ascii="Arial" w:eastAsia="Times New Roman" w:hAnsi="Arial" w:cs="Arial"/>
                <w:b/>
                <w:bCs/>
                <w:color w:val="000000"/>
                <w:kern w:val="0"/>
                <w14:ligatures w14:val="none"/>
              </w:rPr>
              <w:t>MARAGUSAN</w:t>
            </w:r>
          </w:p>
        </w:tc>
        <w:tc>
          <w:tcPr>
            <w:tcW w:w="1763" w:type="dxa"/>
            <w:tcBorders>
              <w:top w:val="nil"/>
              <w:left w:val="nil"/>
              <w:bottom w:val="single" w:sz="4" w:space="0" w:color="auto"/>
              <w:right w:val="nil"/>
            </w:tcBorders>
            <w:noWrap/>
            <w:vAlign w:val="center"/>
            <w:hideMark/>
          </w:tcPr>
          <w:p w14:paraId="4DE4AA32"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58</w:t>
            </w:r>
          </w:p>
        </w:tc>
        <w:tc>
          <w:tcPr>
            <w:tcW w:w="1214" w:type="dxa"/>
            <w:tcBorders>
              <w:top w:val="nil"/>
              <w:left w:val="nil"/>
              <w:bottom w:val="single" w:sz="4" w:space="0" w:color="auto"/>
              <w:right w:val="nil"/>
            </w:tcBorders>
            <w:noWrap/>
            <w:vAlign w:val="center"/>
            <w:hideMark/>
          </w:tcPr>
          <w:p w14:paraId="5862179B"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34</w:t>
            </w:r>
          </w:p>
        </w:tc>
        <w:tc>
          <w:tcPr>
            <w:tcW w:w="720" w:type="dxa"/>
            <w:tcBorders>
              <w:top w:val="nil"/>
              <w:left w:val="nil"/>
              <w:bottom w:val="single" w:sz="4" w:space="0" w:color="auto"/>
              <w:right w:val="nil"/>
            </w:tcBorders>
            <w:noWrap/>
            <w:vAlign w:val="center"/>
            <w:hideMark/>
          </w:tcPr>
          <w:p w14:paraId="46306E2C"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17</w:t>
            </w:r>
          </w:p>
        </w:tc>
        <w:tc>
          <w:tcPr>
            <w:tcW w:w="1260" w:type="dxa"/>
            <w:tcBorders>
              <w:top w:val="nil"/>
              <w:left w:val="nil"/>
              <w:bottom w:val="single" w:sz="4" w:space="0" w:color="auto"/>
              <w:right w:val="nil"/>
            </w:tcBorders>
            <w:noWrap/>
            <w:vAlign w:val="center"/>
            <w:hideMark/>
          </w:tcPr>
          <w:p w14:paraId="4AFF7828"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17</w:t>
            </w:r>
          </w:p>
        </w:tc>
        <w:tc>
          <w:tcPr>
            <w:tcW w:w="900" w:type="dxa"/>
            <w:tcBorders>
              <w:top w:val="nil"/>
              <w:left w:val="nil"/>
              <w:bottom w:val="single" w:sz="4" w:space="0" w:color="auto"/>
              <w:right w:val="nil"/>
            </w:tcBorders>
            <w:noWrap/>
            <w:vAlign w:val="center"/>
            <w:hideMark/>
          </w:tcPr>
          <w:p w14:paraId="45B17F22"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c>
          <w:tcPr>
            <w:tcW w:w="990" w:type="dxa"/>
            <w:tcBorders>
              <w:top w:val="nil"/>
              <w:left w:val="nil"/>
              <w:bottom w:val="single" w:sz="4" w:space="0" w:color="auto"/>
              <w:right w:val="nil"/>
            </w:tcBorders>
            <w:noWrap/>
            <w:vAlign w:val="center"/>
            <w:hideMark/>
          </w:tcPr>
          <w:p w14:paraId="456704B5" w14:textId="77777777" w:rsidR="00901A6E" w:rsidRPr="005A0600" w:rsidRDefault="00901A6E" w:rsidP="00B10240">
            <w:pPr>
              <w:spacing w:after="0" w:line="240" w:lineRule="auto"/>
              <w:jc w:val="center"/>
              <w:rPr>
                <w:rFonts w:ascii="Arial" w:eastAsia="Times New Roman" w:hAnsi="Arial" w:cs="Arial"/>
                <w:color w:val="000000"/>
                <w:kern w:val="0"/>
                <w14:ligatures w14:val="none"/>
              </w:rPr>
            </w:pPr>
            <w:r w:rsidRPr="005A0600">
              <w:rPr>
                <w:rFonts w:ascii="Arial" w:eastAsia="Times New Roman" w:hAnsi="Arial" w:cs="Arial"/>
                <w:color w:val="000000"/>
                <w:kern w:val="0"/>
                <w14:ligatures w14:val="none"/>
              </w:rPr>
              <w:t>1</w:t>
            </w:r>
          </w:p>
        </w:tc>
      </w:tr>
      <w:tr w:rsidR="00901A6E" w:rsidRPr="005A0600" w14:paraId="1A4956C6" w14:textId="77777777" w:rsidTr="00922F28">
        <w:trPr>
          <w:trHeight w:val="455"/>
        </w:trPr>
        <w:tc>
          <w:tcPr>
            <w:tcW w:w="1883" w:type="dxa"/>
            <w:tcBorders>
              <w:top w:val="single" w:sz="4" w:space="0" w:color="auto"/>
              <w:left w:val="nil"/>
              <w:bottom w:val="single" w:sz="4" w:space="0" w:color="auto"/>
              <w:right w:val="nil"/>
            </w:tcBorders>
            <w:noWrap/>
            <w:vAlign w:val="center"/>
            <w:hideMark/>
          </w:tcPr>
          <w:p w14:paraId="6E755D66" w14:textId="77777777" w:rsidR="00901A6E" w:rsidRPr="005A0600" w:rsidRDefault="00901A6E" w:rsidP="00B10240">
            <w:pPr>
              <w:spacing w:after="0" w:line="240" w:lineRule="auto"/>
              <w:jc w:val="right"/>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TOTAL</w:t>
            </w:r>
          </w:p>
        </w:tc>
        <w:tc>
          <w:tcPr>
            <w:tcW w:w="1763" w:type="dxa"/>
            <w:tcBorders>
              <w:top w:val="single" w:sz="4" w:space="0" w:color="auto"/>
              <w:left w:val="nil"/>
              <w:bottom w:val="single" w:sz="4" w:space="0" w:color="auto"/>
              <w:right w:val="nil"/>
            </w:tcBorders>
            <w:noWrap/>
            <w:vAlign w:val="center"/>
            <w:hideMark/>
          </w:tcPr>
          <w:p w14:paraId="278D00F3" w14:textId="77777777" w:rsidR="00901A6E" w:rsidRPr="005A0600" w:rsidRDefault="00901A6E" w:rsidP="00B10240">
            <w:pPr>
              <w:spacing w:after="0" w:line="240" w:lineRule="auto"/>
              <w:jc w:val="center"/>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294</w:t>
            </w:r>
          </w:p>
        </w:tc>
        <w:tc>
          <w:tcPr>
            <w:tcW w:w="1214" w:type="dxa"/>
            <w:tcBorders>
              <w:top w:val="single" w:sz="4" w:space="0" w:color="auto"/>
              <w:left w:val="nil"/>
              <w:bottom w:val="single" w:sz="4" w:space="0" w:color="auto"/>
              <w:right w:val="nil"/>
            </w:tcBorders>
            <w:noWrap/>
            <w:vAlign w:val="center"/>
            <w:hideMark/>
          </w:tcPr>
          <w:p w14:paraId="676A3D85" w14:textId="77777777" w:rsidR="00901A6E" w:rsidRPr="005A0600" w:rsidRDefault="00901A6E" w:rsidP="00B10240">
            <w:pPr>
              <w:spacing w:after="0" w:line="240" w:lineRule="auto"/>
              <w:jc w:val="center"/>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168</w:t>
            </w:r>
          </w:p>
        </w:tc>
        <w:tc>
          <w:tcPr>
            <w:tcW w:w="720" w:type="dxa"/>
            <w:tcBorders>
              <w:top w:val="single" w:sz="4" w:space="0" w:color="auto"/>
              <w:left w:val="nil"/>
              <w:bottom w:val="single" w:sz="4" w:space="0" w:color="auto"/>
              <w:right w:val="nil"/>
            </w:tcBorders>
            <w:noWrap/>
            <w:vAlign w:val="center"/>
            <w:hideMark/>
          </w:tcPr>
          <w:p w14:paraId="71C70FF3" w14:textId="77777777" w:rsidR="00901A6E" w:rsidRPr="005A0600" w:rsidRDefault="00901A6E" w:rsidP="00B10240">
            <w:pPr>
              <w:spacing w:after="0" w:line="240" w:lineRule="auto"/>
              <w:jc w:val="center"/>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84</w:t>
            </w:r>
          </w:p>
        </w:tc>
        <w:tc>
          <w:tcPr>
            <w:tcW w:w="1260" w:type="dxa"/>
            <w:tcBorders>
              <w:top w:val="single" w:sz="4" w:space="0" w:color="auto"/>
              <w:left w:val="nil"/>
              <w:bottom w:val="single" w:sz="4" w:space="0" w:color="auto"/>
              <w:right w:val="nil"/>
            </w:tcBorders>
            <w:noWrap/>
            <w:vAlign w:val="center"/>
            <w:hideMark/>
          </w:tcPr>
          <w:p w14:paraId="7CBBC80C" w14:textId="77777777" w:rsidR="00901A6E" w:rsidRPr="005A0600" w:rsidRDefault="00901A6E" w:rsidP="00B10240">
            <w:pPr>
              <w:spacing w:after="0" w:line="240" w:lineRule="auto"/>
              <w:jc w:val="center"/>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84</w:t>
            </w:r>
          </w:p>
        </w:tc>
        <w:tc>
          <w:tcPr>
            <w:tcW w:w="900" w:type="dxa"/>
            <w:tcBorders>
              <w:top w:val="single" w:sz="4" w:space="0" w:color="auto"/>
              <w:left w:val="nil"/>
              <w:bottom w:val="single" w:sz="4" w:space="0" w:color="auto"/>
              <w:right w:val="nil"/>
            </w:tcBorders>
            <w:noWrap/>
            <w:vAlign w:val="center"/>
            <w:hideMark/>
          </w:tcPr>
          <w:p w14:paraId="4AF66E6B" w14:textId="77777777" w:rsidR="00901A6E" w:rsidRPr="005A0600" w:rsidRDefault="00901A6E" w:rsidP="00B10240">
            <w:pPr>
              <w:spacing w:after="0" w:line="240" w:lineRule="auto"/>
              <w:jc w:val="center"/>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5</w:t>
            </w:r>
          </w:p>
        </w:tc>
        <w:tc>
          <w:tcPr>
            <w:tcW w:w="990" w:type="dxa"/>
            <w:tcBorders>
              <w:top w:val="single" w:sz="4" w:space="0" w:color="auto"/>
              <w:left w:val="nil"/>
              <w:bottom w:val="single" w:sz="4" w:space="0" w:color="auto"/>
              <w:right w:val="nil"/>
            </w:tcBorders>
            <w:noWrap/>
            <w:vAlign w:val="center"/>
            <w:hideMark/>
          </w:tcPr>
          <w:p w14:paraId="6AF6D4A9" w14:textId="77777777" w:rsidR="00901A6E" w:rsidRPr="005A0600" w:rsidRDefault="00901A6E" w:rsidP="00B10240">
            <w:pPr>
              <w:spacing w:after="0" w:line="240" w:lineRule="auto"/>
              <w:jc w:val="center"/>
              <w:rPr>
                <w:rFonts w:ascii="Arial" w:eastAsia="Times New Roman" w:hAnsi="Arial" w:cs="Arial"/>
                <w:b/>
                <w:bCs/>
                <w:color w:val="000000"/>
                <w:kern w:val="0"/>
                <w14:ligatures w14:val="none"/>
              </w:rPr>
            </w:pPr>
            <w:r w:rsidRPr="005A0600">
              <w:rPr>
                <w:rFonts w:ascii="Arial" w:eastAsia="Times New Roman" w:hAnsi="Arial" w:cs="Arial"/>
                <w:b/>
                <w:bCs/>
                <w:color w:val="000000"/>
                <w:kern w:val="0"/>
                <w14:ligatures w14:val="none"/>
              </w:rPr>
              <w:t>5</w:t>
            </w:r>
          </w:p>
        </w:tc>
      </w:tr>
    </w:tbl>
    <w:p w14:paraId="296B9699" w14:textId="77777777" w:rsidR="00F713AF" w:rsidRDefault="00F713AF" w:rsidP="00473164">
      <w:pPr>
        <w:tabs>
          <w:tab w:val="left" w:pos="5310"/>
        </w:tabs>
        <w:spacing w:after="0"/>
        <w:rPr>
          <w:rFonts w:ascii="Arial" w:hAnsi="Arial" w:cs="Arial"/>
          <w:sz w:val="24"/>
          <w:szCs w:val="24"/>
        </w:rPr>
      </w:pPr>
    </w:p>
    <w:p w14:paraId="65226513" w14:textId="77777777" w:rsidR="004F6D4F" w:rsidRDefault="004F6D4F" w:rsidP="00473164">
      <w:pPr>
        <w:spacing w:after="0" w:line="480" w:lineRule="auto"/>
        <w:jc w:val="both"/>
        <w:rPr>
          <w:rFonts w:ascii="Arial" w:hAnsi="Arial" w:cs="Arial"/>
          <w:b/>
          <w:bCs/>
        </w:rPr>
      </w:pPr>
      <w:r>
        <w:rPr>
          <w:rFonts w:ascii="Arial" w:hAnsi="Arial" w:cs="Arial"/>
          <w:b/>
          <w:bCs/>
        </w:rPr>
        <w:t>Data Gathering Procedures</w:t>
      </w:r>
    </w:p>
    <w:p w14:paraId="45B3EDD1" w14:textId="0E0B03EF" w:rsidR="004F6D4F" w:rsidRPr="004F6D4F" w:rsidRDefault="004F6D4F" w:rsidP="004F6D4F">
      <w:pPr>
        <w:spacing w:after="0" w:line="480" w:lineRule="auto"/>
        <w:jc w:val="both"/>
        <w:rPr>
          <w:rFonts w:ascii="Arial" w:hAnsi="Arial" w:cs="Arial"/>
        </w:rPr>
      </w:pPr>
      <w:r>
        <w:rPr>
          <w:rFonts w:ascii="Arial" w:hAnsi="Arial" w:cs="Arial"/>
          <w:b/>
          <w:bCs/>
        </w:rPr>
        <w:tab/>
      </w:r>
      <w:r w:rsidRPr="004F6D4F">
        <w:rPr>
          <w:rFonts w:ascii="Arial" w:hAnsi="Arial" w:cs="Arial"/>
        </w:rPr>
        <w:t>The study utilized an explanatory sequential mixed-methods design to gather comprehensive data on school-based disaster preparedness and response measures among school heads and DRRM coordinators in the First District of the Division of Davao de Oro. Data collection was divided into two distinct phases: quantitative and qualitative.</w:t>
      </w:r>
      <w:r w:rsidRPr="004F6D4F">
        <w:rPr>
          <w:rFonts w:ascii="Arial" w:hAnsi="Arial" w:cs="Arial"/>
          <w:b/>
          <w:bCs/>
        </w:rPr>
        <w:t xml:space="preserve"> Quantitative Phase</w:t>
      </w:r>
    </w:p>
    <w:p w14:paraId="22B73256" w14:textId="77777777" w:rsidR="004F6D4F" w:rsidRPr="004F6D4F" w:rsidRDefault="004F6D4F" w:rsidP="004F6D4F">
      <w:pPr>
        <w:spacing w:after="0" w:line="480" w:lineRule="auto"/>
        <w:jc w:val="both"/>
        <w:rPr>
          <w:rFonts w:ascii="Arial" w:hAnsi="Arial" w:cs="Arial"/>
        </w:rPr>
      </w:pPr>
      <w:r w:rsidRPr="004F6D4F">
        <w:rPr>
          <w:rFonts w:ascii="Arial" w:hAnsi="Arial" w:cs="Arial"/>
        </w:rPr>
        <w:t xml:space="preserve">The quantitative phase focused on gathering systematic, numerical data regarding three indicators: </w:t>
      </w:r>
      <w:r w:rsidRPr="004F6D4F">
        <w:rPr>
          <w:rFonts w:ascii="Arial" w:hAnsi="Arial" w:cs="Arial"/>
          <w:i/>
          <w:iCs/>
        </w:rPr>
        <w:t>preparedness in normal times</w:t>
      </w:r>
      <w:r w:rsidRPr="004F6D4F">
        <w:rPr>
          <w:rFonts w:ascii="Arial" w:hAnsi="Arial" w:cs="Arial"/>
        </w:rPr>
        <w:t xml:space="preserve">, </w:t>
      </w:r>
      <w:r w:rsidRPr="004F6D4F">
        <w:rPr>
          <w:rFonts w:ascii="Arial" w:hAnsi="Arial" w:cs="Arial"/>
          <w:i/>
          <w:iCs/>
        </w:rPr>
        <w:t>preparedness for response</w:t>
      </w:r>
      <w:r w:rsidRPr="004F6D4F">
        <w:rPr>
          <w:rFonts w:ascii="Arial" w:hAnsi="Arial" w:cs="Arial"/>
        </w:rPr>
        <w:t xml:space="preserve">, and </w:t>
      </w:r>
      <w:r w:rsidRPr="004F6D4F">
        <w:rPr>
          <w:rFonts w:ascii="Arial" w:hAnsi="Arial" w:cs="Arial"/>
          <w:i/>
          <w:iCs/>
        </w:rPr>
        <w:t>disaster response measures</w:t>
      </w:r>
      <w:r w:rsidRPr="004F6D4F">
        <w:rPr>
          <w:rFonts w:ascii="Arial" w:hAnsi="Arial" w:cs="Arial"/>
        </w:rPr>
        <w:t>.</w:t>
      </w:r>
    </w:p>
    <w:p w14:paraId="6912C4B0"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t>Administrative &amp; Ethical Clearances:</w:t>
      </w:r>
      <w:r w:rsidRPr="004F6D4F">
        <w:rPr>
          <w:rFonts w:ascii="Arial" w:hAnsi="Arial" w:cs="Arial"/>
        </w:rPr>
        <w:t xml:space="preserve"> Formal written permission was requested and secured from the Dean of the Institute of Advanced Studies and the relevant Department of Education (DepEd) authorities. Ethical clearance was obtained to ensure voluntary participation, confidentiality, anonymity, and participant protection.</w:t>
      </w:r>
    </w:p>
    <w:p w14:paraId="10107DAA"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lastRenderedPageBreak/>
        <w:t>Instrument Validation &amp; Pilot Testing:</w:t>
      </w:r>
      <w:r w:rsidRPr="004F6D4F">
        <w:rPr>
          <w:rFonts w:ascii="Arial" w:hAnsi="Arial" w:cs="Arial"/>
        </w:rPr>
        <w:t xml:space="preserve"> The structured survey questionnaire underwent expert content validation for clarity and relevance. It was then pilot-tested on a similar, non-participating group to assess reliability (via Cronbach’s alpha) and refine item wording.</w:t>
      </w:r>
    </w:p>
    <w:p w14:paraId="63B1A18C"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t>Data Collection:</w:t>
      </w:r>
      <w:r w:rsidRPr="004F6D4F">
        <w:rPr>
          <w:rFonts w:ascii="Arial" w:hAnsi="Arial" w:cs="Arial"/>
        </w:rPr>
        <w:t xml:space="preserve"> After obtaining signed informed consent, the survey was administered to school heads and DRRM coordinators selected via stratified random sampling.</w:t>
      </w:r>
    </w:p>
    <w:p w14:paraId="308F59F1"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t>Data Preparation &amp; Analysis:</w:t>
      </w:r>
      <w:r w:rsidRPr="004F6D4F">
        <w:rPr>
          <w:rFonts w:ascii="Arial" w:hAnsi="Arial" w:cs="Arial"/>
        </w:rPr>
        <w:t xml:space="preserve"> Retrieved data were checked for completeness, coded, and encoded. Descriptive statistics (mean and standard deviation) were utilized to analyze the implementation levels, establishing the baseline findings to be explored in the next phase.</w:t>
      </w:r>
    </w:p>
    <w:p w14:paraId="38B04F6D" w14:textId="71ABCC4D" w:rsidR="004F6D4F" w:rsidRPr="004F6D4F" w:rsidRDefault="004F6D4F" w:rsidP="004F6D4F">
      <w:pPr>
        <w:spacing w:after="0" w:line="480" w:lineRule="auto"/>
        <w:jc w:val="both"/>
        <w:rPr>
          <w:rFonts w:ascii="Arial" w:hAnsi="Arial" w:cs="Arial"/>
        </w:rPr>
      </w:pPr>
      <w:r w:rsidRPr="004F6D4F">
        <w:rPr>
          <w:rFonts w:ascii="Arial" w:hAnsi="Arial" w:cs="Arial"/>
        </w:rPr>
        <w:t>Qualitative Phase</w:t>
      </w:r>
    </w:p>
    <w:p w14:paraId="5EE3CCEF" w14:textId="77777777" w:rsidR="004F6D4F" w:rsidRPr="004F6D4F" w:rsidRDefault="004F6D4F" w:rsidP="004F6D4F">
      <w:pPr>
        <w:spacing w:after="0" w:line="480" w:lineRule="auto"/>
        <w:jc w:val="both"/>
        <w:rPr>
          <w:rFonts w:ascii="Arial" w:hAnsi="Arial" w:cs="Arial"/>
        </w:rPr>
      </w:pPr>
      <w:r w:rsidRPr="004F6D4F">
        <w:rPr>
          <w:rFonts w:ascii="Arial" w:hAnsi="Arial" w:cs="Arial"/>
        </w:rPr>
        <w:t>The qualitative phase used in-depth interviews (IDIs) to capture rich, contextual insights into the participants' leadership practices and decision-making strategies regarding the three disaster measures.</w:t>
      </w:r>
    </w:p>
    <w:p w14:paraId="6439C4F0"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t>Instrument Validation &amp; Pilot Testing:</w:t>
      </w:r>
      <w:r w:rsidRPr="004F6D4F">
        <w:rPr>
          <w:rFonts w:ascii="Arial" w:hAnsi="Arial" w:cs="Arial"/>
        </w:rPr>
        <w:t xml:space="preserve"> The interview guide was validated by experts in educational management and disaster risk reduction, then pilot-tested to refine question phrasing and estimate interview duration.</w:t>
      </w:r>
    </w:p>
    <w:p w14:paraId="17451C68"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t>Informed Consent:</w:t>
      </w:r>
      <w:r w:rsidRPr="004F6D4F">
        <w:rPr>
          <w:rFonts w:ascii="Arial" w:hAnsi="Arial" w:cs="Arial"/>
        </w:rPr>
        <w:t xml:space="preserve"> Selected participants provided informed consent, reiterating their voluntary participation, right to withdraw, and guaranteed anonymity.</w:t>
      </w:r>
    </w:p>
    <w:p w14:paraId="515F86DD" w14:textId="77777777" w:rsidR="004F6D4F" w:rsidRPr="004F6D4F" w:rsidRDefault="004F6D4F" w:rsidP="004F6D4F">
      <w:pPr>
        <w:spacing w:after="0" w:line="480" w:lineRule="auto"/>
        <w:ind w:left="720"/>
        <w:jc w:val="both"/>
        <w:rPr>
          <w:rFonts w:ascii="Arial" w:hAnsi="Arial" w:cs="Arial"/>
        </w:rPr>
      </w:pPr>
      <w:r w:rsidRPr="004F6D4F">
        <w:rPr>
          <w:rFonts w:ascii="Arial" w:hAnsi="Arial" w:cs="Arial"/>
          <w:i/>
          <w:iCs/>
        </w:rPr>
        <w:t>Conducting the Interviews:</w:t>
      </w:r>
      <w:r w:rsidRPr="004F6D4F">
        <w:rPr>
          <w:rFonts w:ascii="Arial" w:hAnsi="Arial" w:cs="Arial"/>
        </w:rPr>
        <w:t xml:space="preserve"> 30-to-45-minute audio-recorded IDIs were conducted either face-to-face or virtually using open-ended questions.</w:t>
      </w:r>
    </w:p>
    <w:p w14:paraId="6636451D" w14:textId="229610FB" w:rsidR="004F6D4F" w:rsidRPr="004F6D4F" w:rsidRDefault="004F6D4F" w:rsidP="004F6D4F">
      <w:pPr>
        <w:spacing w:after="0" w:line="480" w:lineRule="auto"/>
        <w:ind w:left="720"/>
        <w:jc w:val="both"/>
        <w:rPr>
          <w:rFonts w:ascii="Arial" w:hAnsi="Arial" w:cs="Arial"/>
        </w:rPr>
      </w:pPr>
      <w:r w:rsidRPr="004F6D4F">
        <w:rPr>
          <w:rFonts w:ascii="Arial" w:hAnsi="Arial" w:cs="Arial"/>
          <w:i/>
          <w:iCs/>
        </w:rPr>
        <w:t>Transcription &amp; Expert Validation:</w:t>
      </w:r>
      <w:r w:rsidRPr="004F6D4F">
        <w:rPr>
          <w:rFonts w:ascii="Arial" w:hAnsi="Arial" w:cs="Arial"/>
        </w:rPr>
        <w:t xml:space="preserve"> Audio recordings were transcribed verbatim to maintain data integrity. The resulting transcripts were then reviewed and validated </w:t>
      </w:r>
      <w:r w:rsidRPr="004F6D4F">
        <w:rPr>
          <w:rFonts w:ascii="Arial" w:hAnsi="Arial" w:cs="Arial"/>
        </w:rPr>
        <w:lastRenderedPageBreak/>
        <w:t>by experts to ensure credibility and accuracy before being advanced to thematic analysis.</w:t>
      </w:r>
    </w:p>
    <w:p w14:paraId="41957B48" w14:textId="21B98BD6" w:rsidR="00901A6E" w:rsidRDefault="00901A6E" w:rsidP="00473164">
      <w:pPr>
        <w:spacing w:after="0" w:line="480" w:lineRule="auto"/>
        <w:jc w:val="both"/>
        <w:rPr>
          <w:rFonts w:ascii="Arial" w:hAnsi="Arial" w:cs="Arial"/>
          <w:b/>
          <w:bCs/>
        </w:rPr>
      </w:pPr>
      <w:r w:rsidRPr="00354C67">
        <w:rPr>
          <w:rFonts w:ascii="Arial" w:hAnsi="Arial" w:cs="Arial"/>
          <w:b/>
          <w:bCs/>
        </w:rPr>
        <w:t>Research Instrument</w:t>
      </w:r>
    </w:p>
    <w:p w14:paraId="18E574F3" w14:textId="35150AAD" w:rsidR="00BD5A16" w:rsidRPr="00BD5A16" w:rsidRDefault="00BD5A16" w:rsidP="00901A6E">
      <w:pPr>
        <w:spacing w:after="0" w:line="480" w:lineRule="auto"/>
        <w:jc w:val="both"/>
      </w:pPr>
      <w:r>
        <w:rPr>
          <w:rFonts w:ascii="Arial" w:hAnsi="Arial" w:cs="Arial"/>
          <w:b/>
          <w:bCs/>
        </w:rPr>
        <w:tab/>
      </w:r>
      <w:r w:rsidRPr="00BD5A16">
        <w:rPr>
          <w:rFonts w:ascii="Arial" w:hAnsi="Arial" w:cs="Arial"/>
        </w:rPr>
        <w:t>This section described the instruments that were utilized in the collection of data for both the quantitative and qualitative phases of the study. A structured survey questionnaire was used to gather numerical data on the extent of implementation of school-based disaster preparedness and response measures, while an in-depth interview (IDI) guide was employed to obtain qualitative standpoints of school heads and DRRM coordinators. These instruments were designed to ensure that both measurable indicators and contextual perspectives were adequately captured in relation to the explanatory sequential mixed-methods design of the study.</w:t>
      </w:r>
    </w:p>
    <w:p w14:paraId="1EA73FD1" w14:textId="77777777" w:rsidR="00901A6E" w:rsidRPr="009970F2" w:rsidRDefault="00901A6E" w:rsidP="00901A6E">
      <w:pPr>
        <w:spacing w:after="0" w:line="480" w:lineRule="auto"/>
        <w:rPr>
          <w:rFonts w:ascii="Arial" w:hAnsi="Arial" w:cs="Arial"/>
          <w:i/>
          <w:iCs/>
        </w:rPr>
      </w:pPr>
      <w:r w:rsidRPr="00354C67">
        <w:rPr>
          <w:b/>
          <w:bCs/>
        </w:rPr>
        <w:tab/>
      </w:r>
      <w:r w:rsidRPr="009970F2">
        <w:rPr>
          <w:rFonts w:ascii="Arial" w:hAnsi="Arial" w:cs="Arial"/>
          <w:i/>
          <w:iCs/>
        </w:rPr>
        <w:t>Quantitative Phase</w:t>
      </w:r>
    </w:p>
    <w:p w14:paraId="1147F36B" w14:textId="77777777" w:rsidR="00901A6E" w:rsidRPr="00354C67" w:rsidRDefault="00901A6E" w:rsidP="00901A6E">
      <w:pPr>
        <w:spacing w:after="0" w:line="480" w:lineRule="auto"/>
        <w:jc w:val="both"/>
        <w:rPr>
          <w:rFonts w:ascii="Arial" w:hAnsi="Arial" w:cs="Arial"/>
        </w:rPr>
      </w:pPr>
      <w:r>
        <w:rPr>
          <w:rFonts w:ascii="Arial" w:hAnsi="Arial" w:cs="Arial"/>
        </w:rPr>
        <w:tab/>
      </w:r>
      <w:r w:rsidRPr="00354C67">
        <w:rPr>
          <w:rFonts w:ascii="Arial" w:hAnsi="Arial" w:cs="Arial"/>
        </w:rPr>
        <w:t>For the quantitative phase, the study utilized a validated survey questionnaire as the primary instrument to gather essential data on the implementation of school-based disaster preparedness and response measures among school heads and DRRM coordinators in the first district of Davao de Oro Division. The questionnaire was adapted from Enclosure No. 2 of DepEd Order No. 033, s. 2021, which provides a standardized checklist for tropical cyclones, flooding, and other weather-related disturbances (DepEd, 2021</w:t>
      </w:r>
      <w:proofErr w:type="gramStart"/>
      <w:r w:rsidRPr="00354C67">
        <w:rPr>
          <w:rFonts w:ascii="Arial" w:hAnsi="Arial" w:cs="Arial"/>
        </w:rPr>
        <w:t>) .</w:t>
      </w:r>
      <w:proofErr w:type="gramEnd"/>
    </w:p>
    <w:p w14:paraId="10521615" w14:textId="77777777" w:rsidR="00901A6E" w:rsidRPr="00354C67" w:rsidRDefault="00901A6E" w:rsidP="00901A6E">
      <w:pPr>
        <w:spacing w:after="0" w:line="480" w:lineRule="auto"/>
        <w:jc w:val="both"/>
        <w:rPr>
          <w:rFonts w:ascii="Arial" w:hAnsi="Arial" w:cs="Arial"/>
        </w:rPr>
      </w:pPr>
      <w:r>
        <w:rPr>
          <w:rFonts w:ascii="Arial" w:hAnsi="Arial" w:cs="Arial"/>
        </w:rPr>
        <w:tab/>
      </w:r>
      <w:r w:rsidRPr="00354C67">
        <w:rPr>
          <w:rFonts w:ascii="Arial" w:hAnsi="Arial" w:cs="Arial"/>
        </w:rPr>
        <w:t xml:space="preserve">The survey questionnaire consisted of three major sections corresponding to the study’s key indicators: (1) Preparedness in Normal Times, (2) Preparedness for Response Measures, and (3) Disaster Response Measures. Respondents rated the extent of implementation for each item using a 5-point Likert scale, where 1 indicated “Not Implemented” and 5 indicated “Very Highly Implemented” (see pages 2–5 of the instrument). This scaling allowed the researcher to quantify the level of preparedness and </w:t>
      </w:r>
      <w:r w:rsidRPr="00354C67">
        <w:rPr>
          <w:rFonts w:ascii="Arial" w:hAnsi="Arial" w:cs="Arial"/>
        </w:rPr>
        <w:lastRenderedPageBreak/>
        <w:t xml:space="preserve">response across different schools systematically, providing numerical data suitable for descriptive statistical analysis (Creswell &amp; Creswell, 2018; </w:t>
      </w:r>
      <w:proofErr w:type="spellStart"/>
      <w:r w:rsidRPr="00354C67">
        <w:rPr>
          <w:rFonts w:ascii="Arial" w:hAnsi="Arial" w:cs="Arial"/>
        </w:rPr>
        <w:t>McCombes</w:t>
      </w:r>
      <w:proofErr w:type="spellEnd"/>
      <w:r w:rsidRPr="00354C67">
        <w:rPr>
          <w:rFonts w:ascii="Arial" w:hAnsi="Arial" w:cs="Arial"/>
        </w:rPr>
        <w:t>, 2025).</w:t>
      </w:r>
    </w:p>
    <w:p w14:paraId="3825DEAC" w14:textId="77777777" w:rsidR="00901A6E" w:rsidRPr="00354C67" w:rsidRDefault="00901A6E" w:rsidP="00901A6E">
      <w:pPr>
        <w:spacing w:after="0" w:line="480" w:lineRule="auto"/>
        <w:jc w:val="both"/>
        <w:rPr>
          <w:rFonts w:ascii="Arial" w:hAnsi="Arial" w:cs="Arial"/>
        </w:rPr>
      </w:pPr>
      <w:r>
        <w:rPr>
          <w:rFonts w:ascii="Arial" w:hAnsi="Arial" w:cs="Arial"/>
        </w:rPr>
        <w:tab/>
      </w:r>
      <w:r w:rsidRPr="00354C67">
        <w:rPr>
          <w:rFonts w:ascii="Arial" w:hAnsi="Arial" w:cs="Arial"/>
        </w:rPr>
        <w:t>The questionnaire included items on proactive measures during normal operations, coordination with local authorities, activation of warning systems, securing school facilities and resources, and conducting drills and capacity-building activities. The structured format ensured consistency in data collection, allowing comparisons across the five municipalities of the first district (</w:t>
      </w:r>
      <w:proofErr w:type="spellStart"/>
      <w:r w:rsidRPr="00354C67">
        <w:rPr>
          <w:rFonts w:ascii="Arial" w:hAnsi="Arial" w:cs="Arial"/>
        </w:rPr>
        <w:t>Monkayo</w:t>
      </w:r>
      <w:proofErr w:type="spellEnd"/>
      <w:r w:rsidRPr="00354C67">
        <w:rPr>
          <w:rFonts w:ascii="Arial" w:hAnsi="Arial" w:cs="Arial"/>
        </w:rPr>
        <w:t xml:space="preserve">, </w:t>
      </w:r>
      <w:proofErr w:type="spellStart"/>
      <w:r w:rsidRPr="00354C67">
        <w:rPr>
          <w:rFonts w:ascii="Arial" w:hAnsi="Arial" w:cs="Arial"/>
        </w:rPr>
        <w:t>Montevista</w:t>
      </w:r>
      <w:proofErr w:type="spellEnd"/>
      <w:r w:rsidRPr="00354C67">
        <w:rPr>
          <w:rFonts w:ascii="Arial" w:hAnsi="Arial" w:cs="Arial"/>
        </w:rPr>
        <w:t xml:space="preserve">, Compostela, New Bataan, and </w:t>
      </w:r>
      <w:proofErr w:type="spellStart"/>
      <w:r w:rsidRPr="00354C67">
        <w:rPr>
          <w:rFonts w:ascii="Arial" w:hAnsi="Arial" w:cs="Arial"/>
        </w:rPr>
        <w:t>Maragusan</w:t>
      </w:r>
      <w:proofErr w:type="spellEnd"/>
      <w:r w:rsidRPr="00354C67">
        <w:rPr>
          <w:rFonts w:ascii="Arial" w:hAnsi="Arial" w:cs="Arial"/>
        </w:rPr>
        <w:t>) and alignment with the study’s quantitative objectives.</w:t>
      </w:r>
    </w:p>
    <w:p w14:paraId="1FDC4B6C" w14:textId="77777777" w:rsidR="00901A6E" w:rsidRDefault="00901A6E" w:rsidP="00901A6E">
      <w:pPr>
        <w:spacing w:after="0" w:line="480" w:lineRule="auto"/>
        <w:jc w:val="both"/>
        <w:rPr>
          <w:rFonts w:ascii="Arial" w:hAnsi="Arial" w:cs="Arial"/>
        </w:rPr>
      </w:pPr>
      <w:r>
        <w:rPr>
          <w:rFonts w:ascii="Arial" w:hAnsi="Arial" w:cs="Arial"/>
        </w:rPr>
        <w:tab/>
      </w:r>
      <w:r w:rsidRPr="00354C67">
        <w:rPr>
          <w:rFonts w:ascii="Arial" w:hAnsi="Arial" w:cs="Arial"/>
        </w:rPr>
        <w:t xml:space="preserve">The instrument was validated and pilot-tested before actual administration to ensure content validity, clarity, and reliability (Creswell &amp; Poth, 2018). Expert validators assessed the questionnaire to confirm that all items accurately reflected the constructs of school-based disaster preparedness and response. A pilot test was conducted with respondents similar in profile to the target participants but not included in the main study. </w:t>
      </w:r>
    </w:p>
    <w:p w14:paraId="4F1815EC" w14:textId="19D9C310" w:rsidR="007F4818" w:rsidRPr="00355E45" w:rsidRDefault="00901A6E" w:rsidP="00901A6E">
      <w:pPr>
        <w:spacing w:after="0" w:line="480" w:lineRule="auto"/>
        <w:jc w:val="both"/>
        <w:rPr>
          <w:rFonts w:ascii="Arial" w:hAnsi="Arial" w:cs="Arial"/>
        </w:rPr>
      </w:pPr>
      <w:r>
        <w:rPr>
          <w:rFonts w:ascii="Arial" w:hAnsi="Arial" w:cs="Arial"/>
        </w:rPr>
        <w:tab/>
      </w:r>
      <w:r w:rsidRPr="008C7135">
        <w:rPr>
          <w:rFonts w:ascii="Arial" w:hAnsi="Arial" w:cs="Arial"/>
        </w:rPr>
        <w:t>The following parameters were used to interpret the data from the survey questionnaire.</w:t>
      </w:r>
    </w:p>
    <w:p w14:paraId="5B542B9B" w14:textId="139826E0" w:rsidR="00901A6E" w:rsidRPr="00706C2E" w:rsidRDefault="00901A6E" w:rsidP="00901A6E">
      <w:pPr>
        <w:spacing w:after="0" w:line="480" w:lineRule="auto"/>
        <w:jc w:val="both"/>
        <w:rPr>
          <w:rFonts w:ascii="Arial" w:hAnsi="Arial" w:cs="Arial"/>
        </w:rPr>
      </w:pPr>
      <w:r w:rsidRPr="00706C2E">
        <w:rPr>
          <w:rFonts w:ascii="Arial" w:hAnsi="Arial" w:cs="Arial"/>
          <w:b/>
        </w:rPr>
        <w:t>Table 2</w:t>
      </w:r>
    </w:p>
    <w:p w14:paraId="420E528D" w14:textId="51461AED" w:rsidR="00901A6E" w:rsidRDefault="00901A6E" w:rsidP="0008469F">
      <w:pPr>
        <w:spacing w:after="0" w:line="240" w:lineRule="auto"/>
        <w:jc w:val="both"/>
        <w:rPr>
          <w:rFonts w:ascii="Arial" w:hAnsi="Arial" w:cs="Arial"/>
          <w:i/>
        </w:rPr>
      </w:pPr>
      <w:r w:rsidRPr="00706C2E">
        <w:rPr>
          <w:rFonts w:ascii="Arial" w:hAnsi="Arial" w:cs="Arial"/>
          <w:i/>
        </w:rPr>
        <w:t>Parameter Limit for</w:t>
      </w:r>
      <w:r>
        <w:rPr>
          <w:rFonts w:ascii="Arial" w:hAnsi="Arial" w:cs="Arial"/>
          <w:i/>
        </w:rPr>
        <w:t xml:space="preserve"> all Indicators </w:t>
      </w:r>
      <w:r w:rsidRPr="00706C2E">
        <w:rPr>
          <w:rFonts w:ascii="Arial" w:hAnsi="Arial" w:cs="Arial"/>
          <w:i/>
        </w:rPr>
        <w:t xml:space="preserve">in the Implementation </w:t>
      </w:r>
      <w:r>
        <w:rPr>
          <w:rFonts w:ascii="Arial" w:hAnsi="Arial" w:cs="Arial"/>
          <w:i/>
        </w:rPr>
        <w:t>School-Based Disaster</w:t>
      </w:r>
      <w:r w:rsidR="0008469F">
        <w:rPr>
          <w:rFonts w:ascii="Arial" w:hAnsi="Arial" w:cs="Arial"/>
          <w:i/>
        </w:rPr>
        <w:t xml:space="preserve"> and Response Measures of School Heads in Davao de Oro Division</w:t>
      </w:r>
    </w:p>
    <w:p w14:paraId="22D97AD7" w14:textId="77777777" w:rsidR="0008469F" w:rsidRDefault="0008469F" w:rsidP="0008469F">
      <w:pPr>
        <w:spacing w:after="0" w:line="240" w:lineRule="auto"/>
        <w:jc w:val="both"/>
        <w:rPr>
          <w:rFonts w:ascii="Arial" w:hAnsi="Arial" w:cs="Arial"/>
          <w:i/>
        </w:rPr>
      </w:pPr>
    </w:p>
    <w:tbl>
      <w:tblPr>
        <w:tblStyle w:val="PlainTable2"/>
        <w:tblW w:w="0" w:type="auto"/>
        <w:tblBorders>
          <w:top w:val="none" w:sz="0" w:space="0" w:color="auto"/>
          <w:bottom w:val="none" w:sz="0" w:space="0" w:color="auto"/>
        </w:tblBorders>
        <w:tblLook w:val="04A0" w:firstRow="1" w:lastRow="0" w:firstColumn="1" w:lastColumn="0" w:noHBand="0" w:noVBand="1"/>
      </w:tblPr>
      <w:tblGrid>
        <w:gridCol w:w="1537"/>
        <w:gridCol w:w="1403"/>
        <w:gridCol w:w="5700"/>
      </w:tblGrid>
      <w:tr w:rsidR="00BD5A16" w:rsidRPr="00CC4D6E" w14:paraId="4BA14388" w14:textId="77777777" w:rsidTr="00BD5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bottom w:val="single" w:sz="4" w:space="0" w:color="auto"/>
            </w:tcBorders>
            <w:vAlign w:val="center"/>
            <w:hideMark/>
          </w:tcPr>
          <w:p w14:paraId="3A81C97C" w14:textId="77777777" w:rsidR="00BD5A16" w:rsidRPr="00BD5A16" w:rsidRDefault="00BD5A16" w:rsidP="00BD5A16">
            <w:pPr>
              <w:jc w:val="center"/>
              <w:rPr>
                <w:rFonts w:ascii="Arial" w:hAnsi="Arial" w:cs="Arial"/>
              </w:rPr>
            </w:pPr>
            <w:bookmarkStart w:id="1" w:name="_Hlk226540613"/>
            <w:r w:rsidRPr="00BD5A16">
              <w:rPr>
                <w:rFonts w:ascii="Arial" w:hAnsi="Arial" w:cs="Arial"/>
              </w:rPr>
              <w:t>Range of Means</w:t>
            </w:r>
          </w:p>
        </w:tc>
        <w:tc>
          <w:tcPr>
            <w:tcW w:w="1203" w:type="dxa"/>
            <w:tcBorders>
              <w:top w:val="single" w:sz="4" w:space="0" w:color="auto"/>
              <w:bottom w:val="single" w:sz="4" w:space="0" w:color="auto"/>
            </w:tcBorders>
            <w:vAlign w:val="center"/>
            <w:hideMark/>
          </w:tcPr>
          <w:p w14:paraId="201B60DB" w14:textId="77777777" w:rsidR="00BD5A16" w:rsidRPr="00BD5A16" w:rsidRDefault="00BD5A16" w:rsidP="00BD5A1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D5A16">
              <w:rPr>
                <w:rFonts w:ascii="Arial" w:hAnsi="Arial" w:cs="Arial"/>
              </w:rPr>
              <w:t>Descriptive Level</w:t>
            </w:r>
          </w:p>
        </w:tc>
        <w:tc>
          <w:tcPr>
            <w:tcW w:w="6198" w:type="dxa"/>
            <w:tcBorders>
              <w:top w:val="single" w:sz="4" w:space="0" w:color="auto"/>
              <w:bottom w:val="single" w:sz="4" w:space="0" w:color="auto"/>
            </w:tcBorders>
            <w:vAlign w:val="center"/>
            <w:hideMark/>
          </w:tcPr>
          <w:p w14:paraId="4B7110E0" w14:textId="77777777" w:rsidR="00BD5A16" w:rsidRPr="00BD5A16" w:rsidRDefault="00BD5A16" w:rsidP="00BD5A1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BD5A16">
              <w:rPr>
                <w:rFonts w:ascii="Arial" w:hAnsi="Arial" w:cs="Arial"/>
              </w:rPr>
              <w:t>Interpretation (Applicable to All Indicators)</w:t>
            </w:r>
          </w:p>
        </w:tc>
      </w:tr>
      <w:tr w:rsidR="00BD5A16" w:rsidRPr="00CC4D6E" w14:paraId="63D52D89" w14:textId="77777777"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tcBorders>
            <w:vAlign w:val="center"/>
            <w:hideMark/>
          </w:tcPr>
          <w:p w14:paraId="04A8904D" w14:textId="77777777" w:rsidR="00BD5A16" w:rsidRPr="00BD5A16" w:rsidRDefault="00BD5A16" w:rsidP="00BD5A16">
            <w:pPr>
              <w:spacing w:line="360" w:lineRule="auto"/>
              <w:jc w:val="center"/>
              <w:rPr>
                <w:rFonts w:ascii="Arial" w:hAnsi="Arial" w:cs="Arial"/>
              </w:rPr>
            </w:pPr>
            <w:r w:rsidRPr="00BD5A16">
              <w:rPr>
                <w:rFonts w:ascii="Arial" w:hAnsi="Arial" w:cs="Arial"/>
              </w:rPr>
              <w:t>4.20–5.00</w:t>
            </w:r>
          </w:p>
        </w:tc>
        <w:tc>
          <w:tcPr>
            <w:tcW w:w="1203" w:type="dxa"/>
            <w:tcBorders>
              <w:top w:val="single" w:sz="4" w:space="0" w:color="auto"/>
            </w:tcBorders>
            <w:vAlign w:val="center"/>
            <w:hideMark/>
          </w:tcPr>
          <w:p w14:paraId="51B48FEC" w14:textId="77777777" w:rsidR="00BD5A16" w:rsidRPr="00BD5A16" w:rsidRDefault="00BD5A16" w:rsidP="00BD5A1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D5A16">
              <w:rPr>
                <w:rFonts w:ascii="Arial" w:hAnsi="Arial" w:cs="Arial"/>
                <w:b/>
                <w:bCs/>
              </w:rPr>
              <w:t>Very High</w:t>
            </w:r>
          </w:p>
        </w:tc>
        <w:tc>
          <w:tcPr>
            <w:tcW w:w="6198" w:type="dxa"/>
            <w:tcBorders>
              <w:top w:val="single" w:sz="4" w:space="0" w:color="auto"/>
            </w:tcBorders>
            <w:hideMark/>
          </w:tcPr>
          <w:p w14:paraId="47E6298F" w14:textId="77777777" w:rsidR="00BD5A16" w:rsidRPr="00BD5A16" w:rsidRDefault="00BD5A16" w:rsidP="00BD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D5A16">
              <w:rPr>
                <w:rFonts w:ascii="Arial" w:hAnsi="Arial" w:cs="Arial"/>
              </w:rPr>
              <w:t>The measure is very highly implemented. Schools consistently carry out the required disaster preparedness, response, and recovery measures, demonstrating full adherence and proactive practices.</w:t>
            </w:r>
          </w:p>
        </w:tc>
      </w:tr>
      <w:tr w:rsidR="00BD5A16" w:rsidRPr="00CC4D6E" w14:paraId="65E56113" w14:textId="77777777" w:rsidTr="00BD5A16">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7F7F7F" w:themeColor="text1" w:themeTint="80"/>
              <w:bottom w:val="single" w:sz="4" w:space="0" w:color="auto"/>
            </w:tcBorders>
            <w:vAlign w:val="center"/>
            <w:hideMark/>
          </w:tcPr>
          <w:p w14:paraId="0440D1C4" w14:textId="77777777" w:rsidR="00BD5A16" w:rsidRPr="00BD5A16" w:rsidRDefault="00BD5A16" w:rsidP="00BD5A16">
            <w:pPr>
              <w:spacing w:line="360" w:lineRule="auto"/>
              <w:jc w:val="center"/>
              <w:rPr>
                <w:rFonts w:ascii="Arial" w:hAnsi="Arial" w:cs="Arial"/>
              </w:rPr>
            </w:pPr>
            <w:r w:rsidRPr="00BD5A16">
              <w:rPr>
                <w:rFonts w:ascii="Arial" w:hAnsi="Arial" w:cs="Arial"/>
              </w:rPr>
              <w:t>3.40–4.19</w:t>
            </w:r>
          </w:p>
        </w:tc>
        <w:tc>
          <w:tcPr>
            <w:tcW w:w="1203" w:type="dxa"/>
            <w:tcBorders>
              <w:top w:val="single" w:sz="4" w:space="0" w:color="7F7F7F" w:themeColor="text1" w:themeTint="80"/>
              <w:bottom w:val="single" w:sz="4" w:space="0" w:color="auto"/>
            </w:tcBorders>
            <w:vAlign w:val="center"/>
            <w:hideMark/>
          </w:tcPr>
          <w:p w14:paraId="45BBFC62" w14:textId="77777777" w:rsidR="00BD5A16" w:rsidRPr="00BD5A16" w:rsidRDefault="00BD5A16" w:rsidP="00BD5A1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D5A16">
              <w:rPr>
                <w:rFonts w:ascii="Arial" w:hAnsi="Arial" w:cs="Arial"/>
                <w:b/>
                <w:bCs/>
              </w:rPr>
              <w:t>High</w:t>
            </w:r>
          </w:p>
        </w:tc>
        <w:tc>
          <w:tcPr>
            <w:tcW w:w="6198" w:type="dxa"/>
            <w:tcBorders>
              <w:top w:val="single" w:sz="4" w:space="0" w:color="7F7F7F" w:themeColor="text1" w:themeTint="80"/>
              <w:bottom w:val="single" w:sz="4" w:space="0" w:color="auto"/>
            </w:tcBorders>
            <w:hideMark/>
          </w:tcPr>
          <w:p w14:paraId="16EB8F4E" w14:textId="77777777" w:rsidR="00BD5A16" w:rsidRPr="00BD5A16" w:rsidRDefault="00BD5A16" w:rsidP="00BD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D5A16">
              <w:rPr>
                <w:rFonts w:ascii="Arial" w:hAnsi="Arial" w:cs="Arial"/>
              </w:rPr>
              <w:t>The measure is highly implemented. Schools generally perform the required activities with minor gaps in consistency or coverage, showing strong but not complete compliance.</w:t>
            </w:r>
          </w:p>
        </w:tc>
      </w:tr>
      <w:tr w:rsidR="00BD5A16" w:rsidRPr="00CC4D6E" w14:paraId="2E87ED41" w14:textId="77777777"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bottom w:val="single" w:sz="4" w:space="0" w:color="auto"/>
            </w:tcBorders>
            <w:vAlign w:val="center"/>
            <w:hideMark/>
          </w:tcPr>
          <w:p w14:paraId="2BCA0985" w14:textId="77777777" w:rsidR="00BD5A16" w:rsidRPr="00BD5A16" w:rsidRDefault="00BD5A16" w:rsidP="00BD5A16">
            <w:pPr>
              <w:spacing w:line="360" w:lineRule="auto"/>
              <w:jc w:val="center"/>
              <w:rPr>
                <w:rFonts w:ascii="Arial" w:hAnsi="Arial" w:cs="Arial"/>
              </w:rPr>
            </w:pPr>
            <w:r w:rsidRPr="00BD5A16">
              <w:rPr>
                <w:rFonts w:ascii="Arial" w:hAnsi="Arial" w:cs="Arial"/>
              </w:rPr>
              <w:t>2.60–3.39</w:t>
            </w:r>
          </w:p>
        </w:tc>
        <w:tc>
          <w:tcPr>
            <w:tcW w:w="1203" w:type="dxa"/>
            <w:tcBorders>
              <w:top w:val="single" w:sz="4" w:space="0" w:color="auto"/>
              <w:bottom w:val="single" w:sz="4" w:space="0" w:color="auto"/>
            </w:tcBorders>
            <w:vAlign w:val="center"/>
            <w:hideMark/>
          </w:tcPr>
          <w:p w14:paraId="00DBF136" w14:textId="77777777" w:rsidR="00BD5A16" w:rsidRPr="00BD5A16" w:rsidRDefault="00BD5A16" w:rsidP="00BD5A1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D5A16">
              <w:rPr>
                <w:rFonts w:ascii="Arial" w:hAnsi="Arial" w:cs="Arial"/>
                <w:b/>
                <w:bCs/>
              </w:rPr>
              <w:t>Moderate</w:t>
            </w:r>
          </w:p>
        </w:tc>
        <w:tc>
          <w:tcPr>
            <w:tcW w:w="6198" w:type="dxa"/>
            <w:tcBorders>
              <w:top w:val="single" w:sz="4" w:space="0" w:color="auto"/>
              <w:bottom w:val="single" w:sz="4" w:space="0" w:color="auto"/>
            </w:tcBorders>
            <w:hideMark/>
          </w:tcPr>
          <w:p w14:paraId="64912010" w14:textId="77777777" w:rsidR="00BD5A16" w:rsidRPr="00BD5A16" w:rsidRDefault="00BD5A16" w:rsidP="00BD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D5A16">
              <w:rPr>
                <w:rFonts w:ascii="Arial" w:hAnsi="Arial" w:cs="Arial"/>
              </w:rPr>
              <w:t xml:space="preserve">The measure is moderately implemented. Schools demonstrate partial adherence to preparedness, </w:t>
            </w:r>
            <w:r w:rsidRPr="00BD5A16">
              <w:rPr>
                <w:rFonts w:ascii="Arial" w:hAnsi="Arial" w:cs="Arial"/>
              </w:rPr>
              <w:lastRenderedPageBreak/>
              <w:t>response, and disaster measures, but practices are inconsistently applied or incomplete.</w:t>
            </w:r>
          </w:p>
        </w:tc>
      </w:tr>
      <w:tr w:rsidR="00BD5A16" w:rsidRPr="00CC4D6E" w14:paraId="7BB781CF" w14:textId="77777777" w:rsidTr="00BD5A16">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bottom w:val="single" w:sz="4" w:space="0" w:color="auto"/>
            </w:tcBorders>
            <w:vAlign w:val="center"/>
            <w:hideMark/>
          </w:tcPr>
          <w:p w14:paraId="2FA593E8" w14:textId="77777777" w:rsidR="00BD5A16" w:rsidRPr="00BD5A16" w:rsidRDefault="00BD5A16" w:rsidP="00BD5A16">
            <w:pPr>
              <w:spacing w:line="360" w:lineRule="auto"/>
              <w:jc w:val="center"/>
              <w:rPr>
                <w:rFonts w:ascii="Arial" w:hAnsi="Arial" w:cs="Arial"/>
              </w:rPr>
            </w:pPr>
            <w:r w:rsidRPr="00BD5A16">
              <w:rPr>
                <w:rFonts w:ascii="Arial" w:hAnsi="Arial" w:cs="Arial"/>
              </w:rPr>
              <w:lastRenderedPageBreak/>
              <w:t>1.80–2.59</w:t>
            </w:r>
          </w:p>
        </w:tc>
        <w:tc>
          <w:tcPr>
            <w:tcW w:w="1203" w:type="dxa"/>
            <w:tcBorders>
              <w:top w:val="single" w:sz="4" w:space="0" w:color="auto"/>
              <w:bottom w:val="single" w:sz="4" w:space="0" w:color="auto"/>
            </w:tcBorders>
            <w:vAlign w:val="center"/>
            <w:hideMark/>
          </w:tcPr>
          <w:p w14:paraId="7E27F515" w14:textId="77777777" w:rsidR="00BD5A16" w:rsidRPr="00BD5A16" w:rsidRDefault="00BD5A16" w:rsidP="00BD5A1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D5A16">
              <w:rPr>
                <w:rFonts w:ascii="Arial" w:hAnsi="Arial" w:cs="Arial"/>
                <w:b/>
                <w:bCs/>
              </w:rPr>
              <w:t>Low</w:t>
            </w:r>
          </w:p>
        </w:tc>
        <w:tc>
          <w:tcPr>
            <w:tcW w:w="6198" w:type="dxa"/>
            <w:tcBorders>
              <w:top w:val="single" w:sz="4" w:space="0" w:color="auto"/>
              <w:bottom w:val="single" w:sz="4" w:space="0" w:color="auto"/>
            </w:tcBorders>
            <w:hideMark/>
          </w:tcPr>
          <w:p w14:paraId="2D4CF09D" w14:textId="77777777" w:rsidR="00BD5A16" w:rsidRPr="00BD5A16" w:rsidRDefault="00BD5A16" w:rsidP="00BD5A16">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D5A16">
              <w:rPr>
                <w:rFonts w:ascii="Arial" w:hAnsi="Arial" w:cs="Arial"/>
              </w:rPr>
              <w:t>The measure is lowly implemented. Schools show limited execution of the disaster preparedness, response, and recovery activities, with significant gaps in practice.</w:t>
            </w:r>
          </w:p>
        </w:tc>
      </w:tr>
      <w:tr w:rsidR="00BD5A16" w:rsidRPr="00CC4D6E" w14:paraId="37F35C77" w14:textId="77777777" w:rsidTr="00BD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5" w:type="dxa"/>
            <w:tcBorders>
              <w:top w:val="single" w:sz="4" w:space="0" w:color="auto"/>
              <w:bottom w:val="single" w:sz="4" w:space="0" w:color="auto"/>
            </w:tcBorders>
            <w:vAlign w:val="center"/>
            <w:hideMark/>
          </w:tcPr>
          <w:p w14:paraId="49FBED0B" w14:textId="77777777" w:rsidR="00BD5A16" w:rsidRPr="00BD5A16" w:rsidRDefault="00BD5A16" w:rsidP="00BD5A16">
            <w:pPr>
              <w:spacing w:line="480" w:lineRule="auto"/>
              <w:jc w:val="center"/>
              <w:rPr>
                <w:rFonts w:ascii="Arial" w:hAnsi="Arial" w:cs="Arial"/>
              </w:rPr>
            </w:pPr>
            <w:r w:rsidRPr="00BD5A16">
              <w:rPr>
                <w:rFonts w:ascii="Arial" w:hAnsi="Arial" w:cs="Arial"/>
              </w:rPr>
              <w:t>1.00–1.79</w:t>
            </w:r>
          </w:p>
        </w:tc>
        <w:tc>
          <w:tcPr>
            <w:tcW w:w="1203" w:type="dxa"/>
            <w:tcBorders>
              <w:top w:val="single" w:sz="4" w:space="0" w:color="auto"/>
              <w:bottom w:val="single" w:sz="4" w:space="0" w:color="auto"/>
            </w:tcBorders>
            <w:vAlign w:val="center"/>
            <w:hideMark/>
          </w:tcPr>
          <w:p w14:paraId="60C188CC" w14:textId="77777777" w:rsidR="00BD5A16" w:rsidRPr="00BD5A16" w:rsidRDefault="00BD5A16" w:rsidP="00BD5A1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BD5A16">
              <w:rPr>
                <w:rFonts w:ascii="Arial" w:hAnsi="Arial" w:cs="Arial"/>
                <w:b/>
                <w:bCs/>
              </w:rPr>
              <w:t>Very Low</w:t>
            </w:r>
          </w:p>
        </w:tc>
        <w:tc>
          <w:tcPr>
            <w:tcW w:w="6198" w:type="dxa"/>
            <w:tcBorders>
              <w:top w:val="single" w:sz="4" w:space="0" w:color="auto"/>
              <w:bottom w:val="single" w:sz="4" w:space="0" w:color="auto"/>
            </w:tcBorders>
            <w:hideMark/>
          </w:tcPr>
          <w:p w14:paraId="4279064C" w14:textId="77777777" w:rsidR="00BD5A16" w:rsidRPr="00B41C48" w:rsidRDefault="00BD5A16" w:rsidP="00BD5A16">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81526">
              <w:rPr>
                <w:rFonts w:ascii="Arial" w:hAnsi="Arial" w:cs="Arial"/>
                <w:sz w:val="20"/>
                <w:szCs w:val="20"/>
              </w:rPr>
              <w:t>The measure is very lowly implemented. Schools have minimal or almost no execution of preparedness, response, or recovery measures, and essential practices are largely absent.</w:t>
            </w:r>
          </w:p>
        </w:tc>
      </w:tr>
      <w:bookmarkEnd w:id="1"/>
    </w:tbl>
    <w:p w14:paraId="739E4DB8" w14:textId="77777777" w:rsidR="00901A6E" w:rsidRPr="00706C2E" w:rsidRDefault="00901A6E" w:rsidP="00901A6E">
      <w:pPr>
        <w:spacing w:after="0" w:line="480" w:lineRule="auto"/>
        <w:jc w:val="both"/>
        <w:rPr>
          <w:rFonts w:ascii="Arial" w:hAnsi="Arial" w:cs="Arial"/>
          <w:i/>
        </w:rPr>
      </w:pPr>
    </w:p>
    <w:p w14:paraId="156ECD35" w14:textId="77777777" w:rsidR="007F4818" w:rsidRDefault="007F4818" w:rsidP="00901A6E">
      <w:pPr>
        <w:spacing w:after="0" w:line="480" w:lineRule="auto"/>
        <w:jc w:val="both"/>
        <w:rPr>
          <w:rFonts w:ascii="Arial" w:hAnsi="Arial" w:cs="Arial"/>
          <w:b/>
        </w:rPr>
      </w:pPr>
    </w:p>
    <w:p w14:paraId="1832AB45" w14:textId="77777777" w:rsidR="007F4818" w:rsidRDefault="007F4818" w:rsidP="00901A6E">
      <w:pPr>
        <w:spacing w:after="0" w:line="480" w:lineRule="auto"/>
        <w:jc w:val="both"/>
        <w:rPr>
          <w:rFonts w:ascii="Arial" w:hAnsi="Arial" w:cs="Arial"/>
          <w:b/>
        </w:rPr>
      </w:pPr>
    </w:p>
    <w:p w14:paraId="5C8799B5" w14:textId="77777777" w:rsidR="007F4818" w:rsidRDefault="007F4818" w:rsidP="00901A6E">
      <w:pPr>
        <w:spacing w:after="0" w:line="480" w:lineRule="auto"/>
        <w:jc w:val="both"/>
        <w:rPr>
          <w:rFonts w:ascii="Arial" w:hAnsi="Arial" w:cs="Arial"/>
          <w:b/>
        </w:rPr>
      </w:pPr>
    </w:p>
    <w:p w14:paraId="520DB10C" w14:textId="77777777" w:rsidR="007F4818" w:rsidRDefault="007F4818" w:rsidP="00901A6E">
      <w:pPr>
        <w:spacing w:after="0" w:line="480" w:lineRule="auto"/>
        <w:jc w:val="both"/>
        <w:rPr>
          <w:rFonts w:ascii="Arial" w:hAnsi="Arial" w:cs="Arial"/>
          <w:b/>
        </w:rPr>
      </w:pPr>
    </w:p>
    <w:p w14:paraId="791A1A44" w14:textId="57F44BD3" w:rsidR="00901A6E" w:rsidRPr="000807DA" w:rsidRDefault="00901A6E" w:rsidP="00901A6E">
      <w:pPr>
        <w:spacing w:after="0" w:line="480" w:lineRule="auto"/>
        <w:jc w:val="both"/>
        <w:rPr>
          <w:rFonts w:ascii="Arial" w:hAnsi="Arial" w:cs="Arial"/>
        </w:rPr>
      </w:pPr>
      <w:r w:rsidRPr="000807DA">
        <w:rPr>
          <w:rFonts w:ascii="Arial" w:hAnsi="Arial" w:cs="Arial"/>
          <w:b/>
        </w:rPr>
        <w:t xml:space="preserve">Table 3 </w:t>
      </w:r>
    </w:p>
    <w:p w14:paraId="796E8BC0" w14:textId="77777777" w:rsidR="00901A6E" w:rsidRDefault="00901A6E" w:rsidP="00C67183">
      <w:pPr>
        <w:spacing w:after="0" w:line="276" w:lineRule="auto"/>
        <w:jc w:val="both"/>
        <w:rPr>
          <w:rFonts w:ascii="Arial" w:hAnsi="Arial" w:cs="Arial"/>
          <w:i/>
        </w:rPr>
      </w:pPr>
      <w:r w:rsidRPr="000807DA">
        <w:rPr>
          <w:rFonts w:ascii="Arial" w:hAnsi="Arial" w:cs="Arial"/>
          <w:i/>
        </w:rPr>
        <w:t xml:space="preserve">Parameter Limit for the Overall Level of </w:t>
      </w:r>
      <w:r>
        <w:rPr>
          <w:rFonts w:ascii="Arial" w:hAnsi="Arial" w:cs="Arial"/>
          <w:i/>
        </w:rPr>
        <w:t>School-Based Disaster Preparedness and Response Measures Implementation</w:t>
      </w:r>
    </w:p>
    <w:p w14:paraId="43249A34" w14:textId="77777777" w:rsidR="00652370" w:rsidRPr="000807DA" w:rsidRDefault="00652370" w:rsidP="00652370">
      <w:pPr>
        <w:spacing w:after="0" w:line="276" w:lineRule="auto"/>
        <w:jc w:val="both"/>
        <w:rPr>
          <w:rFonts w:ascii="Arial" w:hAnsi="Arial" w:cs="Arial"/>
          <w:i/>
        </w:rPr>
      </w:pPr>
    </w:p>
    <w:tbl>
      <w:tblPr>
        <w:tblStyle w:val="PlainTable2"/>
        <w:tblW w:w="0" w:type="auto"/>
        <w:tblLook w:val="04A0" w:firstRow="1" w:lastRow="0" w:firstColumn="1" w:lastColumn="0" w:noHBand="0" w:noVBand="1"/>
      </w:tblPr>
      <w:tblGrid>
        <w:gridCol w:w="1478"/>
        <w:gridCol w:w="2185"/>
        <w:gridCol w:w="4977"/>
      </w:tblGrid>
      <w:tr w:rsidR="00857D96" w:rsidRPr="00CC4D6E" w14:paraId="573A62A3" w14:textId="77777777" w:rsidTr="00857D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nil"/>
              <w:bottom w:val="single" w:sz="4" w:space="0" w:color="auto"/>
              <w:right w:val="nil"/>
            </w:tcBorders>
            <w:vAlign w:val="center"/>
            <w:hideMark/>
          </w:tcPr>
          <w:p w14:paraId="20F43811" w14:textId="77777777" w:rsidR="00857D96" w:rsidRPr="00857D96" w:rsidRDefault="00857D96" w:rsidP="00857D96">
            <w:pPr>
              <w:jc w:val="center"/>
              <w:rPr>
                <w:rFonts w:ascii="Arial" w:hAnsi="Arial" w:cs="Arial"/>
              </w:rPr>
            </w:pPr>
            <w:r w:rsidRPr="00857D96">
              <w:rPr>
                <w:rFonts w:ascii="Arial" w:hAnsi="Arial" w:cs="Arial"/>
              </w:rPr>
              <w:t>Range of Means</w:t>
            </w:r>
          </w:p>
        </w:tc>
        <w:tc>
          <w:tcPr>
            <w:tcW w:w="2250" w:type="dxa"/>
            <w:tcBorders>
              <w:top w:val="single" w:sz="4" w:space="0" w:color="auto"/>
              <w:left w:val="nil"/>
              <w:bottom w:val="single" w:sz="4" w:space="0" w:color="auto"/>
              <w:right w:val="nil"/>
            </w:tcBorders>
            <w:vAlign w:val="center"/>
            <w:hideMark/>
          </w:tcPr>
          <w:p w14:paraId="5417ACA1" w14:textId="77777777" w:rsidR="00857D96" w:rsidRPr="00857D96" w:rsidRDefault="00857D96" w:rsidP="00857D96">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7D96">
              <w:rPr>
                <w:rFonts w:ascii="Arial" w:hAnsi="Arial" w:cs="Arial"/>
              </w:rPr>
              <w:t>Descriptive Level</w:t>
            </w:r>
          </w:p>
        </w:tc>
        <w:tc>
          <w:tcPr>
            <w:tcW w:w="5241" w:type="dxa"/>
            <w:tcBorders>
              <w:top w:val="single" w:sz="4" w:space="0" w:color="auto"/>
              <w:left w:val="nil"/>
              <w:bottom w:val="single" w:sz="4" w:space="0" w:color="auto"/>
              <w:right w:val="nil"/>
            </w:tcBorders>
            <w:vAlign w:val="center"/>
            <w:hideMark/>
          </w:tcPr>
          <w:p w14:paraId="4CEDBB61" w14:textId="47847F20" w:rsidR="00857D96" w:rsidRPr="00857D96" w:rsidRDefault="00857D96" w:rsidP="00857D96">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857D96">
              <w:rPr>
                <w:rFonts w:ascii="Arial" w:hAnsi="Arial" w:cs="Arial"/>
              </w:rPr>
              <w:t>Interpretation</w:t>
            </w:r>
          </w:p>
        </w:tc>
      </w:tr>
      <w:tr w:rsidR="00857D96" w:rsidRPr="00CC4D6E" w14:paraId="2D0D37A0" w14:textId="77777777" w:rsidTr="00857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nil"/>
              <w:bottom w:val="single" w:sz="4" w:space="0" w:color="auto"/>
              <w:right w:val="nil"/>
            </w:tcBorders>
            <w:vAlign w:val="center"/>
            <w:hideMark/>
          </w:tcPr>
          <w:p w14:paraId="75E6DE5A" w14:textId="77777777" w:rsidR="00857D96" w:rsidRPr="00857D96" w:rsidRDefault="00857D96" w:rsidP="00857D96">
            <w:pPr>
              <w:spacing w:line="480" w:lineRule="auto"/>
              <w:jc w:val="center"/>
              <w:rPr>
                <w:rFonts w:ascii="Arial" w:hAnsi="Arial" w:cs="Arial"/>
              </w:rPr>
            </w:pPr>
            <w:r w:rsidRPr="00857D96">
              <w:rPr>
                <w:rFonts w:ascii="Arial" w:hAnsi="Arial" w:cs="Arial"/>
              </w:rPr>
              <w:t>4.20–5.00</w:t>
            </w:r>
          </w:p>
        </w:tc>
        <w:tc>
          <w:tcPr>
            <w:tcW w:w="2250" w:type="dxa"/>
            <w:tcBorders>
              <w:top w:val="single" w:sz="4" w:space="0" w:color="auto"/>
              <w:left w:val="nil"/>
              <w:bottom w:val="single" w:sz="4" w:space="0" w:color="auto"/>
              <w:right w:val="nil"/>
            </w:tcBorders>
            <w:vAlign w:val="center"/>
            <w:hideMark/>
          </w:tcPr>
          <w:p w14:paraId="34ED2C6A" w14:textId="77777777" w:rsidR="00857D96" w:rsidRPr="00857D96" w:rsidRDefault="00857D96" w:rsidP="00857D9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57D96">
              <w:rPr>
                <w:rFonts w:ascii="Arial" w:hAnsi="Arial" w:cs="Arial"/>
                <w:b/>
                <w:bCs/>
              </w:rPr>
              <w:t>Very High</w:t>
            </w:r>
          </w:p>
        </w:tc>
        <w:tc>
          <w:tcPr>
            <w:tcW w:w="5241" w:type="dxa"/>
            <w:tcBorders>
              <w:top w:val="single" w:sz="4" w:space="0" w:color="auto"/>
              <w:left w:val="nil"/>
              <w:bottom w:val="single" w:sz="4" w:space="0" w:color="auto"/>
              <w:right w:val="nil"/>
            </w:tcBorders>
            <w:hideMark/>
          </w:tcPr>
          <w:p w14:paraId="33570951" w14:textId="77777777" w:rsidR="00857D96" w:rsidRPr="00857D96" w:rsidRDefault="00857D96" w:rsidP="007F48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57D96">
              <w:rPr>
                <w:rFonts w:ascii="Arial" w:hAnsi="Arial" w:cs="Arial"/>
                <w:b/>
                <w:bCs/>
              </w:rPr>
              <w:t>The overall disaster preparedness and response measures are fully implemented. Schools consistently apply and integrate all key preparedness, response, and recovery practices in planning, coordination, training, and school operations.</w:t>
            </w:r>
          </w:p>
        </w:tc>
      </w:tr>
      <w:tr w:rsidR="00857D96" w:rsidRPr="00CC4D6E" w14:paraId="63118B22" w14:textId="77777777" w:rsidTr="00857D96">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nil"/>
              <w:bottom w:val="single" w:sz="4" w:space="0" w:color="auto"/>
              <w:right w:val="nil"/>
            </w:tcBorders>
            <w:vAlign w:val="center"/>
            <w:hideMark/>
          </w:tcPr>
          <w:p w14:paraId="6F1BCEBD" w14:textId="77777777" w:rsidR="00857D96" w:rsidRPr="00857D96" w:rsidRDefault="00857D96" w:rsidP="00857D96">
            <w:pPr>
              <w:spacing w:line="480" w:lineRule="auto"/>
              <w:jc w:val="center"/>
              <w:rPr>
                <w:rFonts w:ascii="Arial" w:hAnsi="Arial" w:cs="Arial"/>
              </w:rPr>
            </w:pPr>
            <w:r w:rsidRPr="00857D96">
              <w:rPr>
                <w:rFonts w:ascii="Arial" w:hAnsi="Arial" w:cs="Arial"/>
              </w:rPr>
              <w:t>3.40–4.19</w:t>
            </w:r>
          </w:p>
        </w:tc>
        <w:tc>
          <w:tcPr>
            <w:tcW w:w="2250" w:type="dxa"/>
            <w:tcBorders>
              <w:top w:val="single" w:sz="4" w:space="0" w:color="auto"/>
              <w:left w:val="nil"/>
              <w:bottom w:val="single" w:sz="4" w:space="0" w:color="auto"/>
              <w:right w:val="nil"/>
            </w:tcBorders>
            <w:vAlign w:val="center"/>
            <w:hideMark/>
          </w:tcPr>
          <w:p w14:paraId="18D70BCB" w14:textId="77777777" w:rsidR="00857D96" w:rsidRPr="00857D96" w:rsidRDefault="00857D96" w:rsidP="00857D9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57D96">
              <w:rPr>
                <w:rFonts w:ascii="Arial" w:hAnsi="Arial" w:cs="Arial"/>
                <w:b/>
                <w:bCs/>
              </w:rPr>
              <w:t>High</w:t>
            </w:r>
          </w:p>
        </w:tc>
        <w:tc>
          <w:tcPr>
            <w:tcW w:w="5241" w:type="dxa"/>
            <w:tcBorders>
              <w:top w:val="single" w:sz="4" w:space="0" w:color="auto"/>
              <w:left w:val="nil"/>
              <w:bottom w:val="single" w:sz="4" w:space="0" w:color="auto"/>
              <w:right w:val="nil"/>
            </w:tcBorders>
            <w:hideMark/>
          </w:tcPr>
          <w:p w14:paraId="5B1C2DAF" w14:textId="77777777" w:rsidR="00857D96" w:rsidRPr="00857D96" w:rsidRDefault="00857D96" w:rsidP="007F48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57D96">
              <w:rPr>
                <w:rFonts w:ascii="Arial" w:hAnsi="Arial" w:cs="Arial"/>
                <w:b/>
                <w:bCs/>
              </w:rPr>
              <w:t>The overall measures are substantially implemented. Most preparedness, response, and disaster management components are evident, but some areas may require further strengthening or reinforcement.</w:t>
            </w:r>
          </w:p>
        </w:tc>
      </w:tr>
      <w:tr w:rsidR="00857D96" w:rsidRPr="00CC4D6E" w14:paraId="6DEE52DA" w14:textId="77777777" w:rsidTr="00857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nil"/>
              <w:bottom w:val="single" w:sz="4" w:space="0" w:color="auto"/>
              <w:right w:val="nil"/>
            </w:tcBorders>
            <w:vAlign w:val="center"/>
            <w:hideMark/>
          </w:tcPr>
          <w:p w14:paraId="33137B28" w14:textId="77777777" w:rsidR="00857D96" w:rsidRPr="00857D96" w:rsidRDefault="00857D96" w:rsidP="00857D96">
            <w:pPr>
              <w:spacing w:line="480" w:lineRule="auto"/>
              <w:jc w:val="center"/>
              <w:rPr>
                <w:rFonts w:ascii="Arial" w:hAnsi="Arial" w:cs="Arial"/>
              </w:rPr>
            </w:pPr>
            <w:r w:rsidRPr="00857D96">
              <w:rPr>
                <w:rFonts w:ascii="Arial" w:hAnsi="Arial" w:cs="Arial"/>
              </w:rPr>
              <w:t>2.60–3.39</w:t>
            </w:r>
          </w:p>
        </w:tc>
        <w:tc>
          <w:tcPr>
            <w:tcW w:w="2250" w:type="dxa"/>
            <w:tcBorders>
              <w:top w:val="single" w:sz="4" w:space="0" w:color="auto"/>
              <w:left w:val="nil"/>
              <w:bottom w:val="single" w:sz="4" w:space="0" w:color="auto"/>
              <w:right w:val="nil"/>
            </w:tcBorders>
            <w:vAlign w:val="center"/>
            <w:hideMark/>
          </w:tcPr>
          <w:p w14:paraId="0D688547" w14:textId="77777777" w:rsidR="00857D96" w:rsidRPr="00857D96" w:rsidRDefault="00857D96" w:rsidP="00857D9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57D96">
              <w:rPr>
                <w:rFonts w:ascii="Arial" w:hAnsi="Arial" w:cs="Arial"/>
                <w:b/>
                <w:bCs/>
              </w:rPr>
              <w:t>Moderate</w:t>
            </w:r>
          </w:p>
        </w:tc>
        <w:tc>
          <w:tcPr>
            <w:tcW w:w="5241" w:type="dxa"/>
            <w:tcBorders>
              <w:top w:val="single" w:sz="4" w:space="0" w:color="auto"/>
              <w:left w:val="nil"/>
              <w:bottom w:val="single" w:sz="4" w:space="0" w:color="auto"/>
              <w:right w:val="nil"/>
            </w:tcBorders>
            <w:hideMark/>
          </w:tcPr>
          <w:p w14:paraId="54056486" w14:textId="77777777" w:rsidR="00857D96" w:rsidRPr="00857D96" w:rsidRDefault="00857D96" w:rsidP="007F48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57D96">
              <w:rPr>
                <w:rFonts w:ascii="Arial" w:hAnsi="Arial" w:cs="Arial"/>
                <w:b/>
                <w:bCs/>
              </w:rPr>
              <w:t>The overall measures are partially implemented. Several practices are in place but inconsistently applied across schools or municipalities, requiring additional support and attention.</w:t>
            </w:r>
          </w:p>
        </w:tc>
      </w:tr>
      <w:tr w:rsidR="00857D96" w:rsidRPr="00CC4D6E" w14:paraId="2C8A99C8" w14:textId="77777777" w:rsidTr="00857D96">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left w:val="nil"/>
              <w:bottom w:val="single" w:sz="4" w:space="0" w:color="auto"/>
              <w:right w:val="nil"/>
            </w:tcBorders>
            <w:vAlign w:val="center"/>
            <w:hideMark/>
          </w:tcPr>
          <w:p w14:paraId="6AED5DCB" w14:textId="77777777" w:rsidR="00857D96" w:rsidRPr="00857D96" w:rsidRDefault="00857D96" w:rsidP="00857D96">
            <w:pPr>
              <w:spacing w:line="480" w:lineRule="auto"/>
              <w:jc w:val="center"/>
              <w:rPr>
                <w:rFonts w:ascii="Arial" w:hAnsi="Arial" w:cs="Arial"/>
              </w:rPr>
            </w:pPr>
            <w:r w:rsidRPr="00857D96">
              <w:rPr>
                <w:rFonts w:ascii="Arial" w:hAnsi="Arial" w:cs="Arial"/>
              </w:rPr>
              <w:t>1.80–2.59</w:t>
            </w:r>
          </w:p>
        </w:tc>
        <w:tc>
          <w:tcPr>
            <w:tcW w:w="2250" w:type="dxa"/>
            <w:tcBorders>
              <w:top w:val="single" w:sz="4" w:space="0" w:color="auto"/>
              <w:left w:val="nil"/>
              <w:bottom w:val="single" w:sz="4" w:space="0" w:color="auto"/>
              <w:right w:val="nil"/>
            </w:tcBorders>
            <w:vAlign w:val="center"/>
            <w:hideMark/>
          </w:tcPr>
          <w:p w14:paraId="2F342477" w14:textId="77777777" w:rsidR="00857D96" w:rsidRPr="00857D96" w:rsidRDefault="00857D96" w:rsidP="00857D96">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57D96">
              <w:rPr>
                <w:rFonts w:ascii="Arial" w:hAnsi="Arial" w:cs="Arial"/>
                <w:b/>
                <w:bCs/>
              </w:rPr>
              <w:t>Low</w:t>
            </w:r>
          </w:p>
        </w:tc>
        <w:tc>
          <w:tcPr>
            <w:tcW w:w="5241" w:type="dxa"/>
            <w:tcBorders>
              <w:top w:val="single" w:sz="4" w:space="0" w:color="auto"/>
              <w:left w:val="nil"/>
              <w:bottom w:val="single" w:sz="4" w:space="0" w:color="auto"/>
              <w:right w:val="nil"/>
            </w:tcBorders>
            <w:hideMark/>
          </w:tcPr>
          <w:p w14:paraId="6CB66697" w14:textId="77777777" w:rsidR="00857D96" w:rsidRPr="00857D96" w:rsidRDefault="00857D96" w:rsidP="007F4818">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857D96">
              <w:rPr>
                <w:rFonts w:ascii="Arial" w:hAnsi="Arial" w:cs="Arial"/>
                <w:b/>
                <w:bCs/>
              </w:rPr>
              <w:t xml:space="preserve">The overall measures are minimally implemented. Only a few initiatives are present, often limited to documentation or </w:t>
            </w:r>
            <w:r w:rsidRPr="00857D96">
              <w:rPr>
                <w:rFonts w:ascii="Arial" w:hAnsi="Arial" w:cs="Arial"/>
                <w:b/>
                <w:bCs/>
              </w:rPr>
              <w:lastRenderedPageBreak/>
              <w:t>occasional activities, with weak integration into routine school operations.</w:t>
            </w:r>
          </w:p>
        </w:tc>
      </w:tr>
      <w:tr w:rsidR="00857D96" w:rsidRPr="00CC4D6E" w14:paraId="72AFA7D4" w14:textId="77777777" w:rsidTr="00857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single" w:sz="4" w:space="0" w:color="auto"/>
              <w:bottom w:val="single" w:sz="4" w:space="0" w:color="auto"/>
            </w:tcBorders>
            <w:vAlign w:val="center"/>
            <w:hideMark/>
          </w:tcPr>
          <w:p w14:paraId="5C3A48EC" w14:textId="77777777" w:rsidR="00857D96" w:rsidRPr="00857D96" w:rsidRDefault="00857D96" w:rsidP="00857D96">
            <w:pPr>
              <w:spacing w:line="480" w:lineRule="auto"/>
              <w:jc w:val="center"/>
              <w:rPr>
                <w:rFonts w:ascii="Arial" w:hAnsi="Arial" w:cs="Arial"/>
              </w:rPr>
            </w:pPr>
            <w:r w:rsidRPr="00857D96">
              <w:rPr>
                <w:rFonts w:ascii="Arial" w:hAnsi="Arial" w:cs="Arial"/>
              </w:rPr>
              <w:lastRenderedPageBreak/>
              <w:t>1.00–1.79</w:t>
            </w:r>
          </w:p>
        </w:tc>
        <w:tc>
          <w:tcPr>
            <w:tcW w:w="2250" w:type="dxa"/>
            <w:tcBorders>
              <w:top w:val="single" w:sz="4" w:space="0" w:color="auto"/>
              <w:bottom w:val="single" w:sz="4" w:space="0" w:color="auto"/>
            </w:tcBorders>
            <w:vAlign w:val="center"/>
            <w:hideMark/>
          </w:tcPr>
          <w:p w14:paraId="430C7993" w14:textId="77777777" w:rsidR="00857D96" w:rsidRPr="00857D96" w:rsidRDefault="00857D96" w:rsidP="00857D96">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57D96">
              <w:rPr>
                <w:rFonts w:ascii="Arial" w:hAnsi="Arial" w:cs="Arial"/>
                <w:b/>
                <w:bCs/>
              </w:rPr>
              <w:t>Very Low</w:t>
            </w:r>
          </w:p>
        </w:tc>
        <w:tc>
          <w:tcPr>
            <w:tcW w:w="5241" w:type="dxa"/>
            <w:tcBorders>
              <w:top w:val="single" w:sz="4" w:space="0" w:color="auto"/>
              <w:bottom w:val="single" w:sz="4" w:space="0" w:color="auto"/>
            </w:tcBorders>
            <w:hideMark/>
          </w:tcPr>
          <w:p w14:paraId="4439A65A" w14:textId="77777777" w:rsidR="00857D96" w:rsidRPr="00857D96" w:rsidRDefault="00857D96" w:rsidP="007F4818">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bCs/>
              </w:rPr>
            </w:pPr>
            <w:r w:rsidRPr="00857D96">
              <w:rPr>
                <w:rFonts w:ascii="Arial" w:hAnsi="Arial" w:cs="Arial"/>
                <w:b/>
                <w:bCs/>
              </w:rPr>
              <w:t>The overall measures are not implemented. Schools show little to no evidence of conducting disaster preparedness, response, or recovery practices, and essential strategies are largely absent.</w:t>
            </w:r>
          </w:p>
        </w:tc>
      </w:tr>
    </w:tbl>
    <w:p w14:paraId="57C667C0" w14:textId="77777777" w:rsidR="00901A6E" w:rsidRPr="00BB2674" w:rsidRDefault="00901A6E" w:rsidP="00901A6E">
      <w:pPr>
        <w:spacing w:after="0" w:line="480" w:lineRule="auto"/>
        <w:jc w:val="both"/>
        <w:rPr>
          <w:rFonts w:ascii="Arial" w:hAnsi="Arial" w:cs="Arial"/>
        </w:rPr>
      </w:pPr>
    </w:p>
    <w:p w14:paraId="718714C7" w14:textId="77777777" w:rsidR="00901A6E" w:rsidRPr="00BB2674" w:rsidRDefault="00901A6E" w:rsidP="00901A6E">
      <w:pPr>
        <w:spacing w:after="0" w:line="480" w:lineRule="auto"/>
        <w:jc w:val="both"/>
        <w:rPr>
          <w:rFonts w:ascii="Arial" w:hAnsi="Arial" w:cs="Arial"/>
          <w:i/>
          <w:iCs/>
        </w:rPr>
      </w:pPr>
      <w:r w:rsidRPr="00BB2674">
        <w:rPr>
          <w:rFonts w:ascii="Arial" w:hAnsi="Arial" w:cs="Arial"/>
          <w:i/>
          <w:iCs/>
        </w:rPr>
        <w:tab/>
        <w:t>Qualitative Phase</w:t>
      </w:r>
    </w:p>
    <w:p w14:paraId="663502F0" w14:textId="77777777" w:rsidR="00901A6E" w:rsidRPr="00653A31" w:rsidRDefault="00901A6E" w:rsidP="00901A6E">
      <w:pPr>
        <w:spacing w:after="0" w:line="480" w:lineRule="auto"/>
        <w:jc w:val="both"/>
        <w:rPr>
          <w:rFonts w:ascii="Arial" w:hAnsi="Arial" w:cs="Arial"/>
        </w:rPr>
      </w:pPr>
      <w:r>
        <w:rPr>
          <w:rFonts w:ascii="Arial" w:hAnsi="Arial" w:cs="Arial"/>
          <w:i/>
          <w:iCs/>
        </w:rPr>
        <w:tab/>
      </w:r>
      <w:r w:rsidRPr="00653A31">
        <w:rPr>
          <w:rFonts w:ascii="Arial" w:hAnsi="Arial" w:cs="Arial"/>
        </w:rPr>
        <w:t>For the qualitative phase, the study employed an In-Depth Interview Guide Questionnaire (IGQ) as the main research instrument to collect detailed, descriptive data from selected school heads and DRRM coordinators. The IGQ was designed to explore participants’ perspectives, practices, and decision-making processes regarding school-based disaster preparedness and response measures. The instrument addressed the three indicators of the study</w:t>
      </w:r>
      <w:r>
        <w:rPr>
          <w:rFonts w:ascii="Arial" w:hAnsi="Arial" w:cs="Arial"/>
        </w:rPr>
        <w:t xml:space="preserve">, </w:t>
      </w:r>
      <w:r w:rsidRPr="00653A31">
        <w:rPr>
          <w:rFonts w:ascii="Arial" w:hAnsi="Arial" w:cs="Arial"/>
        </w:rPr>
        <w:t>Preparedness in Normal Times, Preparedness for Response, and Disaster Response Measures</w:t>
      </w:r>
      <w:r>
        <w:rPr>
          <w:rFonts w:ascii="Arial" w:hAnsi="Arial" w:cs="Arial"/>
        </w:rPr>
        <w:t xml:space="preserve">, </w:t>
      </w:r>
      <w:r w:rsidRPr="00653A31">
        <w:rPr>
          <w:rFonts w:ascii="Arial" w:hAnsi="Arial" w:cs="Arial"/>
        </w:rPr>
        <w:t>and sought to explain and complement the quantitative results obtained from the survey questionnaire (see pages 2–4 of the IGQ</w:t>
      </w:r>
      <w:proofErr w:type="gramStart"/>
      <w:r w:rsidRPr="00653A31">
        <w:rPr>
          <w:rFonts w:ascii="Arial" w:hAnsi="Arial" w:cs="Arial"/>
        </w:rPr>
        <w:t>) .</w:t>
      </w:r>
      <w:proofErr w:type="gramEnd"/>
    </w:p>
    <w:p w14:paraId="1ABE99B7" w14:textId="77777777" w:rsidR="00901A6E" w:rsidRDefault="00901A6E" w:rsidP="00901A6E">
      <w:pPr>
        <w:spacing w:after="0" w:line="480" w:lineRule="auto"/>
        <w:jc w:val="both"/>
        <w:rPr>
          <w:rFonts w:ascii="Arial" w:hAnsi="Arial" w:cs="Arial"/>
        </w:rPr>
      </w:pPr>
      <w:r>
        <w:rPr>
          <w:rFonts w:ascii="Arial" w:hAnsi="Arial" w:cs="Arial"/>
        </w:rPr>
        <w:tab/>
      </w:r>
      <w:r w:rsidRPr="00653A31">
        <w:rPr>
          <w:rFonts w:ascii="Arial" w:hAnsi="Arial" w:cs="Arial"/>
        </w:rPr>
        <w:t>The IGQ consisted of open-ended questions and probing prompts, allowing participants to elaborate on the specific practices and challenges in implementing disaster risk reduction measures in their schools. The questions were structured to capture leadership strategies, coordination with local authorities, activation of warning systems, safeguarding of educational resources, and implementation of response and recovery interventions during disaster events. This format ensured that qualitative data would provide a rich contextual understanding to explain the trends observed in the quantitative phase (Creswell &amp; Poth, 2018; Marshall &amp; Rossman, 2016).</w:t>
      </w:r>
    </w:p>
    <w:p w14:paraId="1D1BC3DF" w14:textId="77777777" w:rsidR="00901A6E" w:rsidRDefault="00901A6E" w:rsidP="00901A6E">
      <w:pPr>
        <w:pStyle w:val="Heading2"/>
        <w:spacing w:before="0" w:after="0" w:line="480" w:lineRule="auto"/>
        <w:jc w:val="both"/>
        <w:rPr>
          <w:rFonts w:ascii="Arial" w:hAnsi="Arial" w:cs="Arial"/>
          <w:b/>
          <w:bCs/>
          <w:color w:val="auto"/>
          <w:sz w:val="22"/>
          <w:szCs w:val="22"/>
        </w:rPr>
      </w:pPr>
      <w:r w:rsidRPr="008F0945">
        <w:rPr>
          <w:rFonts w:ascii="Arial" w:hAnsi="Arial" w:cs="Arial"/>
          <w:b/>
          <w:bCs/>
          <w:color w:val="auto"/>
          <w:sz w:val="22"/>
          <w:szCs w:val="22"/>
        </w:rPr>
        <w:t>Data Analysis</w:t>
      </w:r>
    </w:p>
    <w:p w14:paraId="671554B3" w14:textId="521D05F1" w:rsidR="007F4818" w:rsidRPr="00355E45" w:rsidRDefault="00A214A1" w:rsidP="00355E45">
      <w:pPr>
        <w:spacing w:after="0" w:line="480" w:lineRule="auto"/>
        <w:jc w:val="both"/>
        <w:rPr>
          <w:rFonts w:ascii="Arial" w:hAnsi="Arial" w:cs="Arial"/>
        </w:rPr>
      </w:pPr>
      <w:r>
        <w:tab/>
      </w:r>
      <w:r w:rsidRPr="00A214A1">
        <w:rPr>
          <w:rFonts w:ascii="Arial" w:hAnsi="Arial" w:cs="Arial"/>
        </w:rPr>
        <w:t xml:space="preserve">This section described the procedures that were employed in analyzing the data collected from both the quantitative and qualitative phases of the study. For the </w:t>
      </w:r>
      <w:r w:rsidRPr="00A214A1">
        <w:rPr>
          <w:rFonts w:ascii="Arial" w:hAnsi="Arial" w:cs="Arial"/>
        </w:rPr>
        <w:lastRenderedPageBreak/>
        <w:t>quantitative data, descriptive statistical tools such as mean and standard deviation were utilized through the use of statistical software to determine the extent of implementation of school-based disaster preparedness and response measures. For the qualitative data, thematic analysis was applied to examine the standpoints of school heads and DRRM coordinators in relation to the quantitative findings. The integration of both quantitative and qualitative analyses was used to provide a comprehensive interpretation of the results in accordance with the explanatory sequential mixed-methods design of the study.</w:t>
      </w:r>
    </w:p>
    <w:p w14:paraId="4D35F2F0" w14:textId="31034FB3" w:rsidR="00901A6E" w:rsidRPr="00BB2674" w:rsidRDefault="00901A6E" w:rsidP="00A214A1">
      <w:pPr>
        <w:spacing w:after="0" w:line="480" w:lineRule="auto"/>
        <w:ind w:firstLine="720"/>
      </w:pPr>
      <w:r w:rsidRPr="00BB2674">
        <w:rPr>
          <w:rFonts w:ascii="Arial" w:hAnsi="Arial" w:cs="Arial"/>
          <w:i/>
          <w:iCs/>
        </w:rPr>
        <w:t>Quantitative Phase.</w:t>
      </w:r>
    </w:p>
    <w:p w14:paraId="3F5884BC" w14:textId="30B7FE42" w:rsidR="00901A6E" w:rsidRPr="008F0945" w:rsidRDefault="00901A6E" w:rsidP="00A214A1">
      <w:pPr>
        <w:spacing w:after="0" w:line="480" w:lineRule="auto"/>
        <w:ind w:firstLine="720"/>
        <w:jc w:val="both"/>
        <w:rPr>
          <w:rFonts w:ascii="Arial" w:hAnsi="Arial" w:cs="Arial"/>
        </w:rPr>
      </w:pPr>
      <w:r w:rsidRPr="008F0945">
        <w:rPr>
          <w:rFonts w:ascii="Arial" w:hAnsi="Arial" w:cs="Arial"/>
          <w:i/>
          <w:iCs/>
        </w:rPr>
        <w:t>Checking for Completeness and Accuracy of Responses</w:t>
      </w:r>
      <w:r w:rsidRPr="008F0945">
        <w:rPr>
          <w:rFonts w:ascii="Arial" w:hAnsi="Arial" w:cs="Arial"/>
        </w:rPr>
        <w:t>. After the survey questionnaires were retrieved, the researcher checked all responses for completeness, clarity, and accuracy. Questionnaires with missing or unclear answers were carefully reviewed to determine whether they were still valid for inclusion in the analysis. This step ensured that only usable and properly accomplished responses were included in the final data set.</w:t>
      </w:r>
    </w:p>
    <w:p w14:paraId="72F922E8" w14:textId="5BDD7F5D" w:rsidR="00901A6E" w:rsidRPr="00CA2F88" w:rsidRDefault="00901A6E" w:rsidP="00901A6E">
      <w:pPr>
        <w:spacing w:after="0" w:line="480" w:lineRule="auto"/>
        <w:ind w:firstLine="720"/>
        <w:jc w:val="both"/>
        <w:rPr>
          <w:rFonts w:ascii="Arial" w:hAnsi="Arial" w:cs="Arial"/>
          <w:i/>
          <w:iCs/>
        </w:rPr>
      </w:pPr>
      <w:r w:rsidRPr="008F0945">
        <w:rPr>
          <w:rFonts w:ascii="Arial" w:hAnsi="Arial" w:cs="Arial"/>
          <w:i/>
          <w:iCs/>
        </w:rPr>
        <w:t>Encoding the Data into a Spreadsheet.</w:t>
      </w:r>
      <w:r w:rsidR="00CA2F88">
        <w:rPr>
          <w:rFonts w:ascii="Arial" w:hAnsi="Arial" w:cs="Arial"/>
          <w:i/>
          <w:iCs/>
        </w:rPr>
        <w:t xml:space="preserve"> </w:t>
      </w:r>
      <w:r w:rsidRPr="008F0945">
        <w:rPr>
          <w:rFonts w:ascii="Arial" w:hAnsi="Arial" w:cs="Arial"/>
        </w:rPr>
        <w:t>The validated responses were encoded into a spreadsheet for organization and processing. Each item in the questionnaire was assigned a corresponding numerical value based on the five-point rating scale. The encoded data were arranged according to the study’s three indicators: Preparedness in Normal Times, Preparedness for Response, and Disaster Response Measures. This process helped ensure that the data were properly classified and ready for statistical treatment.</w:t>
      </w:r>
    </w:p>
    <w:p w14:paraId="2189EC5A" w14:textId="6BD81654" w:rsidR="00901A6E" w:rsidRPr="00CA2F88" w:rsidRDefault="00901A6E" w:rsidP="00901A6E">
      <w:pPr>
        <w:spacing w:after="0" w:line="480" w:lineRule="auto"/>
        <w:ind w:firstLine="720"/>
        <w:jc w:val="both"/>
        <w:rPr>
          <w:rFonts w:ascii="Arial" w:hAnsi="Arial" w:cs="Arial"/>
          <w:i/>
          <w:iCs/>
        </w:rPr>
      </w:pPr>
      <w:r w:rsidRPr="008F0945">
        <w:rPr>
          <w:rFonts w:ascii="Arial" w:hAnsi="Arial" w:cs="Arial"/>
          <w:i/>
          <w:iCs/>
        </w:rPr>
        <w:t xml:space="preserve">Computing Descriptive Statistics. </w:t>
      </w:r>
      <w:r w:rsidRPr="008F0945">
        <w:rPr>
          <w:rFonts w:ascii="Arial" w:hAnsi="Arial" w:cs="Arial"/>
        </w:rPr>
        <w:t xml:space="preserve">Descriptive statistics were used to analyze the quantitative data. Specifically, the researcher computed the mean and standard deviation to determine the level of implementation of school-based disaster preparedness and response measures. The mean was used to describe the general level of implementation, </w:t>
      </w:r>
      <w:r w:rsidRPr="008F0945">
        <w:rPr>
          <w:rFonts w:ascii="Arial" w:hAnsi="Arial" w:cs="Arial"/>
        </w:rPr>
        <w:lastRenderedPageBreak/>
        <w:t xml:space="preserve">while the standard deviation was used to determine the degree of variation in the responses. Descriptive statistics are appropriate when the purpose of the study is to summarize, describe, and interpret numerical data based on observed patterns or levels (Creswell &amp; Creswell, 2018; </w:t>
      </w:r>
      <w:proofErr w:type="spellStart"/>
      <w:r w:rsidRPr="008F0945">
        <w:rPr>
          <w:rFonts w:ascii="Arial" w:hAnsi="Arial" w:cs="Arial"/>
        </w:rPr>
        <w:t>McCombes</w:t>
      </w:r>
      <w:proofErr w:type="spellEnd"/>
      <w:r w:rsidRPr="008F0945">
        <w:rPr>
          <w:rFonts w:ascii="Arial" w:hAnsi="Arial" w:cs="Arial"/>
        </w:rPr>
        <w:t>, 2025).</w:t>
      </w:r>
    </w:p>
    <w:p w14:paraId="156DAC71" w14:textId="5684063E" w:rsidR="00901A6E" w:rsidRPr="00CA2F88" w:rsidRDefault="00901A6E" w:rsidP="00CA2F88">
      <w:pPr>
        <w:spacing w:after="0" w:line="480" w:lineRule="auto"/>
        <w:ind w:firstLine="720"/>
        <w:rPr>
          <w:rFonts w:ascii="Arial" w:hAnsi="Arial" w:cs="Arial"/>
          <w:i/>
          <w:iCs/>
        </w:rPr>
      </w:pPr>
      <w:r w:rsidRPr="008F0945">
        <w:rPr>
          <w:rFonts w:ascii="Arial" w:hAnsi="Arial" w:cs="Arial"/>
          <w:i/>
          <w:iCs/>
        </w:rPr>
        <w:t>Seeking Assistance from a Statistician:</w:t>
      </w:r>
      <w:r w:rsidR="00CA2F88">
        <w:rPr>
          <w:rFonts w:ascii="Arial" w:hAnsi="Arial" w:cs="Arial"/>
          <w:i/>
          <w:iCs/>
        </w:rPr>
        <w:t xml:space="preserve"> </w:t>
      </w:r>
      <w:r w:rsidRPr="008F0945">
        <w:rPr>
          <w:rFonts w:ascii="Arial" w:hAnsi="Arial" w:cs="Arial"/>
        </w:rPr>
        <w:t>The researcher sought the assistance of a statistician to ensure the accuracy of data processing, computation, and interpretation. The statistician helped verify the encoded data, apply the appropriate statistical tools, and confirm that the results were interpreted according to the parameter limits of the study. This step strengthened the reliability of the quantitative analysis and ensured that the statistical results were properly presented.</w:t>
      </w:r>
    </w:p>
    <w:p w14:paraId="31FFE0A5" w14:textId="632EF5C0" w:rsidR="00901A6E" w:rsidRPr="00CA2F88" w:rsidRDefault="00901A6E" w:rsidP="00901A6E">
      <w:pPr>
        <w:spacing w:after="0" w:line="480" w:lineRule="auto"/>
        <w:ind w:firstLine="720"/>
        <w:jc w:val="both"/>
        <w:rPr>
          <w:rFonts w:ascii="Arial" w:hAnsi="Arial" w:cs="Arial"/>
          <w:i/>
          <w:iCs/>
        </w:rPr>
      </w:pPr>
      <w:r w:rsidRPr="008A5EDB">
        <w:rPr>
          <w:rFonts w:ascii="Arial" w:hAnsi="Arial" w:cs="Arial"/>
          <w:i/>
          <w:iCs/>
        </w:rPr>
        <w:t>Interpreting Mean Scores Based on CMP Framework Parameters</w:t>
      </w:r>
      <w:r w:rsidR="00CA2F88">
        <w:rPr>
          <w:rFonts w:ascii="Arial" w:hAnsi="Arial" w:cs="Arial"/>
          <w:i/>
          <w:iCs/>
        </w:rPr>
        <w:t xml:space="preserve">. </w:t>
      </w:r>
      <w:r w:rsidRPr="008A5EDB">
        <w:rPr>
          <w:rFonts w:ascii="Arial" w:hAnsi="Arial" w:cs="Arial"/>
        </w:rPr>
        <w:t>The computed mean scores for each indicator were interpreted using the Crisis Management Plan (CMP) framework developed by Reeves, Kanan, and Plog (2010). The framework’s three phases</w:t>
      </w:r>
      <w:r>
        <w:rPr>
          <w:rFonts w:ascii="Arial" w:hAnsi="Arial" w:cs="Arial"/>
        </w:rPr>
        <w:t xml:space="preserve">; </w:t>
      </w:r>
      <w:r w:rsidRPr="008A5EDB">
        <w:rPr>
          <w:rFonts w:ascii="Arial" w:hAnsi="Arial" w:cs="Arial"/>
        </w:rPr>
        <w:t>Prevention and Mitigation (Preparedness in Normal Times), Preparedness and Response, and Recovery (Disaster Response Measures)</w:t>
      </w:r>
      <w:r>
        <w:rPr>
          <w:rFonts w:ascii="Arial" w:hAnsi="Arial" w:cs="Arial"/>
        </w:rPr>
        <w:t xml:space="preserve">; </w:t>
      </w:r>
      <w:r w:rsidRPr="008A5EDB">
        <w:rPr>
          <w:rFonts w:ascii="Arial" w:hAnsi="Arial" w:cs="Arial"/>
        </w:rPr>
        <w:t>provided the basis for linking the quantitative results to practical disaster management standards. Mean scores were compared against the defined parameter limits to determine the level of implementation for each indicator.</w:t>
      </w:r>
    </w:p>
    <w:p w14:paraId="4059F667" w14:textId="77777777" w:rsidR="00901A6E" w:rsidRPr="00603EAB" w:rsidRDefault="00901A6E" w:rsidP="00901A6E">
      <w:pPr>
        <w:spacing w:after="0" w:line="480" w:lineRule="auto"/>
        <w:ind w:firstLine="720"/>
        <w:rPr>
          <w:rStyle w:val="Strong"/>
          <w:rFonts w:ascii="Arial" w:hAnsi="Arial" w:cs="Arial"/>
          <w:b w:val="0"/>
          <w:bCs w:val="0"/>
          <w:i/>
          <w:iCs/>
        </w:rPr>
      </w:pPr>
      <w:r w:rsidRPr="00603EAB">
        <w:rPr>
          <w:rStyle w:val="Strong"/>
          <w:rFonts w:ascii="Arial" w:hAnsi="Arial" w:cs="Arial"/>
          <w:b w:val="0"/>
          <w:bCs w:val="0"/>
          <w:i/>
          <w:iCs/>
        </w:rPr>
        <w:t>Organizing Results into Summary Tables:</w:t>
      </w:r>
    </w:p>
    <w:p w14:paraId="564EACCD" w14:textId="77777777" w:rsidR="00901A6E" w:rsidRPr="008A5EDB" w:rsidRDefault="00901A6E" w:rsidP="00901A6E">
      <w:pPr>
        <w:spacing w:after="0" w:line="480" w:lineRule="auto"/>
        <w:ind w:firstLine="720"/>
        <w:jc w:val="both"/>
        <w:rPr>
          <w:rFonts w:ascii="Arial" w:hAnsi="Arial" w:cs="Arial"/>
        </w:rPr>
      </w:pPr>
      <w:r w:rsidRPr="008A5EDB">
        <w:rPr>
          <w:rFonts w:ascii="Arial" w:hAnsi="Arial" w:cs="Arial"/>
        </w:rPr>
        <w:t>The analyzed data were then organized into summary tables, presenting the results of each indicator in a clear and structured manner. These tables included the mean scores, descriptive level, and interpretations according to the CMP framework, allowing for easy comparison and reference across the three indicators.</w:t>
      </w:r>
    </w:p>
    <w:p w14:paraId="23481715" w14:textId="77777777" w:rsidR="00901A6E" w:rsidRPr="00BE6945" w:rsidRDefault="00901A6E" w:rsidP="007F71E2">
      <w:pPr>
        <w:spacing w:after="0" w:line="480" w:lineRule="auto"/>
        <w:ind w:firstLine="720"/>
        <w:jc w:val="both"/>
        <w:rPr>
          <w:rStyle w:val="Strong"/>
          <w:rFonts w:ascii="Arial" w:hAnsi="Arial" w:cs="Arial"/>
          <w:b w:val="0"/>
          <w:bCs w:val="0"/>
        </w:rPr>
      </w:pPr>
      <w:r w:rsidRPr="00BE6945">
        <w:rPr>
          <w:rStyle w:val="Strong"/>
          <w:rFonts w:ascii="Arial" w:hAnsi="Arial" w:cs="Arial"/>
          <w:b w:val="0"/>
          <w:bCs w:val="0"/>
        </w:rPr>
        <w:t>Meanwhile, the following statistical tools were utilized in the quantitative phase of the study:</w:t>
      </w:r>
    </w:p>
    <w:p w14:paraId="1FAA359B" w14:textId="77777777" w:rsidR="00901A6E" w:rsidRPr="008A5EDB" w:rsidRDefault="00901A6E" w:rsidP="007F71E2">
      <w:pPr>
        <w:spacing w:after="0" w:line="480" w:lineRule="auto"/>
        <w:ind w:firstLine="720"/>
        <w:jc w:val="both"/>
        <w:rPr>
          <w:rFonts w:ascii="Arial" w:hAnsi="Arial" w:cs="Arial"/>
        </w:rPr>
      </w:pPr>
      <w:r w:rsidRPr="008A5EDB">
        <w:rPr>
          <w:rFonts w:ascii="Arial" w:hAnsi="Arial" w:cs="Arial"/>
          <w:i/>
          <w:iCs/>
        </w:rPr>
        <w:lastRenderedPageBreak/>
        <w:t>Mean.</w:t>
      </w:r>
      <w:r>
        <w:rPr>
          <w:rFonts w:ascii="Arial" w:hAnsi="Arial" w:cs="Arial"/>
          <w:i/>
          <w:iCs/>
        </w:rPr>
        <w:t xml:space="preserve"> </w:t>
      </w:r>
      <w:r w:rsidRPr="008A5EDB">
        <w:rPr>
          <w:rFonts w:ascii="Arial" w:hAnsi="Arial" w:cs="Arial"/>
        </w:rPr>
        <w:t>The mean was calculated for each survey item to describe the central tendency of responses and to assess the general level of implementation of disaster preparedness and response measures among school heads and DRRM coordinators.</w:t>
      </w:r>
    </w:p>
    <w:p w14:paraId="5FD73EE4" w14:textId="77777777" w:rsidR="00901A6E" w:rsidRDefault="00901A6E" w:rsidP="00901A6E">
      <w:pPr>
        <w:spacing w:after="0" w:line="480" w:lineRule="auto"/>
        <w:ind w:firstLine="720"/>
        <w:jc w:val="both"/>
        <w:rPr>
          <w:rFonts w:ascii="Arial" w:hAnsi="Arial" w:cs="Arial"/>
        </w:rPr>
      </w:pPr>
      <w:r w:rsidRPr="008A5EDB">
        <w:rPr>
          <w:rFonts w:ascii="Arial" w:hAnsi="Arial" w:cs="Arial"/>
          <w:i/>
          <w:iCs/>
        </w:rPr>
        <w:t>Standard Deviation.</w:t>
      </w:r>
      <w:r>
        <w:rPr>
          <w:rFonts w:ascii="Arial" w:hAnsi="Arial" w:cs="Arial"/>
          <w:i/>
          <w:iCs/>
        </w:rPr>
        <w:t xml:space="preserve"> </w:t>
      </w:r>
      <w:r w:rsidRPr="000723D8">
        <w:rPr>
          <w:rFonts w:ascii="Arial" w:hAnsi="Arial" w:cs="Arial"/>
        </w:rPr>
        <w:t>The standard deviation was computed to measure the dispersion or variability of respondents’ ratings. This allowed the researcher to determine how consistent or varied the implementation of disaster preparedness measures was across the surveyed schools.</w:t>
      </w:r>
    </w:p>
    <w:p w14:paraId="5F94AAE2" w14:textId="77777777" w:rsidR="00901A6E" w:rsidRDefault="00901A6E" w:rsidP="00901A6E">
      <w:pPr>
        <w:spacing w:after="0" w:line="480" w:lineRule="auto"/>
        <w:ind w:firstLine="720"/>
        <w:jc w:val="both"/>
        <w:rPr>
          <w:rFonts w:ascii="Arial" w:hAnsi="Arial" w:cs="Arial"/>
        </w:rPr>
      </w:pPr>
      <w:r w:rsidRPr="000723D8">
        <w:rPr>
          <w:rFonts w:ascii="Arial" w:hAnsi="Arial" w:cs="Arial"/>
          <w:i/>
          <w:iCs/>
        </w:rPr>
        <w:t>Cronbach’s Alpha.</w:t>
      </w:r>
      <w:r>
        <w:rPr>
          <w:rFonts w:ascii="Arial" w:hAnsi="Arial" w:cs="Arial"/>
          <w:i/>
          <w:iCs/>
        </w:rPr>
        <w:t xml:space="preserve"> </w:t>
      </w:r>
      <w:r w:rsidRPr="000723D8">
        <w:rPr>
          <w:rFonts w:ascii="Arial" w:hAnsi="Arial" w:cs="Arial"/>
        </w:rPr>
        <w:t xml:space="preserve">To ensure the reliability of the survey instrument, Cronbach’s alpha was computed for the questionnaire items. The result was 0.90, indicating a high level of internal consistency and reliability of the instrument for measuring school-based disaster preparedness and response measures. This confirmed that the items were appropriately correlated and the survey produced dependable data for analysis (Creswell &amp; Creswell, 2018; </w:t>
      </w:r>
      <w:proofErr w:type="spellStart"/>
      <w:r w:rsidRPr="000723D8">
        <w:rPr>
          <w:rFonts w:ascii="Arial" w:hAnsi="Arial" w:cs="Arial"/>
        </w:rPr>
        <w:t>McCombes</w:t>
      </w:r>
      <w:proofErr w:type="spellEnd"/>
      <w:r w:rsidRPr="000723D8">
        <w:rPr>
          <w:rFonts w:ascii="Arial" w:hAnsi="Arial" w:cs="Arial"/>
        </w:rPr>
        <w:t>, 2025).</w:t>
      </w:r>
    </w:p>
    <w:p w14:paraId="656C9C2E" w14:textId="77777777" w:rsidR="00901A6E" w:rsidRPr="008769CD" w:rsidRDefault="00901A6E" w:rsidP="00901A6E">
      <w:pPr>
        <w:spacing w:after="0" w:line="480" w:lineRule="auto"/>
        <w:ind w:firstLine="720"/>
        <w:jc w:val="both"/>
        <w:rPr>
          <w:rFonts w:ascii="Arial" w:hAnsi="Arial" w:cs="Arial"/>
          <w:i/>
          <w:iCs/>
        </w:rPr>
      </w:pPr>
      <w:r w:rsidRPr="008769CD">
        <w:rPr>
          <w:rFonts w:ascii="Arial" w:hAnsi="Arial" w:cs="Arial"/>
          <w:i/>
          <w:iCs/>
        </w:rPr>
        <w:t>Qualitative Phase</w:t>
      </w:r>
    </w:p>
    <w:p w14:paraId="12B08920" w14:textId="5F3EBDE8" w:rsidR="00901A6E" w:rsidRPr="00203416" w:rsidRDefault="00901A6E" w:rsidP="00901A6E">
      <w:pPr>
        <w:spacing w:after="0" w:line="480" w:lineRule="auto"/>
        <w:ind w:firstLine="720"/>
        <w:jc w:val="both"/>
        <w:rPr>
          <w:rFonts w:ascii="Arial" w:hAnsi="Arial" w:cs="Arial"/>
        </w:rPr>
      </w:pPr>
      <w:r w:rsidRPr="00203416">
        <w:rPr>
          <w:rFonts w:ascii="Arial" w:hAnsi="Arial" w:cs="Arial"/>
        </w:rPr>
        <w:t>The qualitative data were analyzed using the interactive model of qualitative analysis, which involves systematic procedures of data reduction, data display, and conclusion drawing or verification. This approach facilitated the organization and interpretation of participants’ responses, allowing the researcher to identify patterns, themes, and insights related to school-based disaster preparedness and response measures</w:t>
      </w:r>
      <w:r w:rsidR="00785546">
        <w:rPr>
          <w:rFonts w:ascii="Arial" w:hAnsi="Arial" w:cs="Arial"/>
        </w:rPr>
        <w:t>.</w:t>
      </w:r>
    </w:p>
    <w:p w14:paraId="75D04023" w14:textId="77777777" w:rsidR="00603EAB" w:rsidRDefault="00901A6E" w:rsidP="00901A6E">
      <w:pPr>
        <w:spacing w:after="0" w:line="480" w:lineRule="auto"/>
        <w:ind w:firstLine="720"/>
        <w:jc w:val="both"/>
        <w:rPr>
          <w:rFonts w:ascii="Arial" w:hAnsi="Arial" w:cs="Arial"/>
        </w:rPr>
      </w:pPr>
      <w:r>
        <w:rPr>
          <w:rFonts w:ascii="Arial" w:hAnsi="Arial" w:cs="Arial"/>
          <w:i/>
          <w:iCs/>
        </w:rPr>
        <w:t xml:space="preserve">Data Reduction. </w:t>
      </w:r>
      <w:r w:rsidR="00603EAB" w:rsidRPr="00603EAB">
        <w:rPr>
          <w:rFonts w:ascii="Arial" w:hAnsi="Arial" w:cs="Arial"/>
        </w:rPr>
        <w:t xml:space="preserve">Data reduction was first performed, which involved selecting, simplifying, and transforming the raw interview data into manageable segments. The audio-recorded interviews were transcribed, and the transcripts were reviewed for completeness. Relevant information aligned with the study’s indicators—Preparedness in Normal Times, Preparedness for Response, and Disaster Response Measures—was </w:t>
      </w:r>
      <w:r w:rsidR="00603EAB" w:rsidRPr="00603EAB">
        <w:rPr>
          <w:rFonts w:ascii="Arial" w:hAnsi="Arial" w:cs="Arial"/>
        </w:rPr>
        <w:lastRenderedPageBreak/>
        <w:t>identified. Redundant or irrelevant information was removed, while key statements and significant insights were highlighted. Through this process, the focus of the analysis was maintained on patterns and meaningful content, and the dataset was made more concise and easier to interpret (Miles, Huberman, &amp; Saldaña, 2019).</w:t>
      </w:r>
    </w:p>
    <w:p w14:paraId="5133F002" w14:textId="77777777" w:rsidR="00603EAB" w:rsidRDefault="00901A6E" w:rsidP="00901A6E">
      <w:pPr>
        <w:spacing w:after="0" w:line="480" w:lineRule="auto"/>
        <w:ind w:firstLine="720"/>
        <w:jc w:val="both"/>
        <w:rPr>
          <w:rFonts w:ascii="Arial" w:hAnsi="Arial" w:cs="Arial"/>
        </w:rPr>
      </w:pPr>
      <w:r>
        <w:rPr>
          <w:rFonts w:ascii="Arial" w:hAnsi="Arial" w:cs="Arial"/>
          <w:i/>
          <w:iCs/>
        </w:rPr>
        <w:t xml:space="preserve">Data Display. </w:t>
      </w:r>
      <w:r w:rsidR="00603EAB" w:rsidRPr="00603EAB">
        <w:rPr>
          <w:rFonts w:ascii="Arial" w:hAnsi="Arial" w:cs="Arial"/>
        </w:rPr>
        <w:t>After data reduction, the data were organized and presented in structured formats to facilitate analysis. Tables, charts, and thematic matrices were used to display the information, and similar responses were grouped and organized according to the main indicators and sub-themes. Through this stage, patterns, relationships, and trends emerging from the participants’ responses were clearly visualized, providing a coherent framework for interpretation (Miles, Huberman, &amp; Saldaña, 2019; Creswell &amp; Poth, 2018).</w:t>
      </w:r>
    </w:p>
    <w:p w14:paraId="1BD4547A" w14:textId="77777777" w:rsidR="00603EAB" w:rsidRPr="00603EAB" w:rsidRDefault="00901A6E" w:rsidP="00603EAB">
      <w:pPr>
        <w:spacing w:after="0" w:line="480" w:lineRule="auto"/>
        <w:ind w:firstLine="720"/>
        <w:jc w:val="both"/>
        <w:rPr>
          <w:rFonts w:ascii="Arial" w:hAnsi="Arial" w:cs="Arial"/>
        </w:rPr>
      </w:pPr>
      <w:r>
        <w:rPr>
          <w:rFonts w:ascii="Arial" w:hAnsi="Arial" w:cs="Arial"/>
          <w:i/>
          <w:iCs/>
        </w:rPr>
        <w:t xml:space="preserve">Drawing Conclusion and Verification. </w:t>
      </w:r>
      <w:r w:rsidR="00603EAB" w:rsidRPr="00603EAB">
        <w:rPr>
          <w:rFonts w:ascii="Arial" w:hAnsi="Arial" w:cs="Arial"/>
        </w:rPr>
        <w:t>Finally, conclusion drawing and verification were conducted through the interpretation of the displayed data to identify themes, patterns, and insights relevant to the research questions. The findings were cross-checked against the original transcripts and, when necessary, were triangulated with the quantitative results to enhance validity and reliability. Iterative verification was also undertaken through the review of themes by peers or experts to ensure that the interpretations accurately reflected the participants’ standpoints and were consistent with the objectives of the study (Miles, Huberman, &amp; Saldaña, 2019; Creswell &amp; Creswell, 2018).</w:t>
      </w:r>
    </w:p>
    <w:p w14:paraId="3DB1455D" w14:textId="6E369A0A" w:rsidR="00901A6E" w:rsidRDefault="00603EAB" w:rsidP="00603EAB">
      <w:pPr>
        <w:spacing w:after="0" w:line="480" w:lineRule="auto"/>
        <w:ind w:firstLine="720"/>
        <w:jc w:val="both"/>
        <w:rPr>
          <w:rFonts w:ascii="Arial" w:hAnsi="Arial" w:cs="Arial"/>
        </w:rPr>
      </w:pPr>
      <w:r w:rsidRPr="00603EAB">
        <w:rPr>
          <w:rFonts w:ascii="Arial" w:hAnsi="Arial" w:cs="Arial"/>
        </w:rPr>
        <w:t>At the same time, the thematic analysis framework proposed by Braun and Clarke (</w:t>
      </w:r>
      <w:r w:rsidR="00CA754A">
        <w:rPr>
          <w:rFonts w:ascii="Arial" w:hAnsi="Arial" w:cs="Arial"/>
        </w:rPr>
        <w:t>2013</w:t>
      </w:r>
      <w:r w:rsidRPr="00603EAB">
        <w:rPr>
          <w:rFonts w:ascii="Arial" w:hAnsi="Arial" w:cs="Arial"/>
        </w:rPr>
        <w:t>) was followed, wherein a structured sequence of steps was employed to systematically organize, analyze, and interpret the qualitative data.</w:t>
      </w:r>
      <w:r w:rsidR="00901A6E" w:rsidRPr="00B4580B">
        <w:rPr>
          <w:rFonts w:ascii="Arial" w:hAnsi="Arial" w:cs="Arial"/>
          <w:i/>
          <w:iCs/>
        </w:rPr>
        <w:br/>
      </w:r>
      <w:r w:rsidR="00901A6E">
        <w:rPr>
          <w:rFonts w:ascii="Arial" w:hAnsi="Arial" w:cs="Arial"/>
        </w:rPr>
        <w:tab/>
      </w:r>
      <w:r w:rsidR="00901A6E" w:rsidRPr="00C0500D">
        <w:rPr>
          <w:rFonts w:ascii="Arial" w:hAnsi="Arial" w:cs="Arial"/>
          <w:i/>
          <w:iCs/>
        </w:rPr>
        <w:t>Transcribing the Interview Recordings.</w:t>
      </w:r>
      <w:r w:rsidR="00901A6E" w:rsidRPr="00F62E09">
        <w:rPr>
          <w:rFonts w:ascii="Arial" w:hAnsi="Arial" w:cs="Arial"/>
          <w:i/>
          <w:iCs/>
        </w:rPr>
        <w:t xml:space="preserve"> </w:t>
      </w:r>
      <w:r w:rsidR="00901A6E" w:rsidRPr="00B4580B">
        <w:rPr>
          <w:rFonts w:ascii="Arial" w:hAnsi="Arial" w:cs="Arial"/>
        </w:rPr>
        <w:t xml:space="preserve">All audio-recorded interviews were transcribed verbatim to convert participants’ spoken responses into written form. This </w:t>
      </w:r>
      <w:r w:rsidR="00901A6E" w:rsidRPr="00B4580B">
        <w:rPr>
          <w:rFonts w:ascii="Arial" w:hAnsi="Arial" w:cs="Arial"/>
        </w:rPr>
        <w:lastRenderedPageBreak/>
        <w:t>process ensured that the data were accurately captured for analysis, preserving the original meaning of participants’ statements (Braun &amp; Clarke, 20</w:t>
      </w:r>
      <w:r w:rsidR="00F64490">
        <w:rPr>
          <w:rFonts w:ascii="Arial" w:hAnsi="Arial" w:cs="Arial"/>
        </w:rPr>
        <w:t>13</w:t>
      </w:r>
      <w:r w:rsidR="00901A6E" w:rsidRPr="00B4580B">
        <w:rPr>
          <w:rFonts w:ascii="Arial" w:hAnsi="Arial" w:cs="Arial"/>
        </w:rPr>
        <w:t>; Creswell &amp; Poth, 2018).</w:t>
      </w:r>
    </w:p>
    <w:p w14:paraId="59E65072" w14:textId="77777777" w:rsidR="00603EAB" w:rsidRDefault="00901A6E" w:rsidP="00901A6E">
      <w:pPr>
        <w:spacing w:after="0" w:line="480" w:lineRule="auto"/>
        <w:ind w:firstLine="720"/>
        <w:jc w:val="both"/>
        <w:rPr>
          <w:rFonts w:ascii="Arial" w:hAnsi="Arial" w:cs="Arial"/>
        </w:rPr>
      </w:pPr>
      <w:r w:rsidRPr="00B4580B">
        <w:rPr>
          <w:rFonts w:ascii="Arial" w:hAnsi="Arial" w:cs="Arial"/>
          <w:i/>
          <w:iCs/>
        </w:rPr>
        <w:t>Translating Local Responses into English Language</w:t>
      </w:r>
      <w:r>
        <w:rPr>
          <w:rFonts w:ascii="Arial" w:hAnsi="Arial" w:cs="Arial"/>
          <w:i/>
          <w:iCs/>
        </w:rPr>
        <w:t xml:space="preserve">. </w:t>
      </w:r>
      <w:r w:rsidR="00603EAB" w:rsidRPr="00603EAB">
        <w:rPr>
          <w:rFonts w:ascii="Arial" w:hAnsi="Arial" w:cs="Arial"/>
        </w:rPr>
        <w:t>All audio-recorded interviews were transcribed verbatim to convert the participants’ spoken responses into written form. This process ensured that the data were accurately captured for analysis, with the original meaning of the participants’ statements preserved (Braun &amp; Clarke, 2006; Creswell &amp; Poth, 2018).</w:t>
      </w:r>
    </w:p>
    <w:p w14:paraId="2668D6E5" w14:textId="1E667A4E" w:rsidR="00603EAB" w:rsidRDefault="00901A6E" w:rsidP="00901A6E">
      <w:pPr>
        <w:spacing w:after="0" w:line="480" w:lineRule="auto"/>
        <w:ind w:firstLine="720"/>
        <w:jc w:val="both"/>
        <w:rPr>
          <w:rFonts w:ascii="Arial" w:hAnsi="Arial" w:cs="Arial"/>
        </w:rPr>
      </w:pPr>
      <w:r w:rsidRPr="00B4580B">
        <w:rPr>
          <w:rFonts w:ascii="Arial" w:hAnsi="Arial" w:cs="Arial"/>
          <w:i/>
          <w:iCs/>
        </w:rPr>
        <w:t>Reviewing and Verifying Transcripts</w:t>
      </w:r>
      <w:r>
        <w:rPr>
          <w:rFonts w:ascii="Arial" w:hAnsi="Arial" w:cs="Arial"/>
          <w:i/>
          <w:iCs/>
        </w:rPr>
        <w:t xml:space="preserve">. </w:t>
      </w:r>
      <w:r w:rsidR="00603EAB" w:rsidRPr="00603EAB">
        <w:rPr>
          <w:rFonts w:ascii="Arial" w:hAnsi="Arial" w:cs="Arial"/>
        </w:rPr>
        <w:t>Responses given in the local language were carefully translated into English while the original meaning and context were maintained. This step allowed the data to be standardized for analysis and facilitated clear reporting for a broader academic audience</w:t>
      </w:r>
      <w:r w:rsidR="00F64490">
        <w:rPr>
          <w:rFonts w:ascii="Arial" w:hAnsi="Arial" w:cs="Arial"/>
        </w:rPr>
        <w:t>.</w:t>
      </w:r>
    </w:p>
    <w:p w14:paraId="2AE3A8DE" w14:textId="03EDDE05" w:rsidR="00603EAB" w:rsidRPr="00735863" w:rsidRDefault="00901A6E" w:rsidP="00901A6E">
      <w:pPr>
        <w:spacing w:after="0" w:line="480" w:lineRule="auto"/>
        <w:ind w:firstLine="720"/>
        <w:jc w:val="both"/>
        <w:rPr>
          <w:rFonts w:ascii="Arial" w:hAnsi="Arial" w:cs="Arial"/>
        </w:rPr>
      </w:pPr>
      <w:r w:rsidRPr="00B4580B">
        <w:rPr>
          <w:rFonts w:ascii="Arial" w:hAnsi="Arial" w:cs="Arial"/>
          <w:i/>
          <w:iCs/>
        </w:rPr>
        <w:t>Member Checking</w:t>
      </w:r>
      <w:r w:rsidR="00735863">
        <w:rPr>
          <w:rFonts w:ascii="Arial" w:hAnsi="Arial" w:cs="Arial"/>
          <w:i/>
          <w:iCs/>
        </w:rPr>
        <w:t xml:space="preserve"> </w:t>
      </w:r>
      <w:r w:rsidR="00603EAB" w:rsidRPr="00603EAB">
        <w:rPr>
          <w:rFonts w:ascii="Arial" w:hAnsi="Arial" w:cs="Arial"/>
          <w:i/>
          <w:iCs/>
        </w:rPr>
        <w:t>Selected</w:t>
      </w:r>
      <w:r w:rsidR="00735863">
        <w:rPr>
          <w:rFonts w:ascii="Arial" w:hAnsi="Arial" w:cs="Arial"/>
          <w:i/>
          <w:iCs/>
        </w:rPr>
        <w:t xml:space="preserve">. </w:t>
      </w:r>
      <w:r w:rsidR="00603EAB" w:rsidRPr="00735863">
        <w:rPr>
          <w:rFonts w:ascii="Arial" w:hAnsi="Arial" w:cs="Arial"/>
        </w:rPr>
        <w:t>participants were consulted to verify the accuracy of the transcribed data and interpretations. Through this member checking process, the credibility of the qualitative findings was enhanced, as the participants’ intended meanings were confirmed to have been accurately captured (Lincoln &amp; Guba, 1985; Creswell &amp; Poth, 2018).</w:t>
      </w:r>
    </w:p>
    <w:p w14:paraId="7AF7FC9C" w14:textId="6E64C4ED" w:rsidR="00901A6E" w:rsidRPr="00A044B9" w:rsidRDefault="00901A6E" w:rsidP="00901A6E">
      <w:pPr>
        <w:spacing w:after="0" w:line="480" w:lineRule="auto"/>
        <w:ind w:firstLine="720"/>
        <w:jc w:val="both"/>
        <w:rPr>
          <w:rFonts w:ascii="Arial" w:hAnsi="Arial" w:cs="Arial"/>
        </w:rPr>
      </w:pPr>
      <w:r w:rsidRPr="00A044B9">
        <w:rPr>
          <w:rFonts w:ascii="Arial" w:hAnsi="Arial" w:cs="Arial"/>
          <w:i/>
          <w:iCs/>
        </w:rPr>
        <w:t>Familiarizing with Data</w:t>
      </w:r>
      <w:r>
        <w:rPr>
          <w:rFonts w:ascii="Arial" w:hAnsi="Arial" w:cs="Arial"/>
          <w:i/>
          <w:iCs/>
        </w:rPr>
        <w:t xml:space="preserve">. </w:t>
      </w:r>
      <w:r w:rsidRPr="00A044B9">
        <w:rPr>
          <w:rFonts w:ascii="Arial" w:hAnsi="Arial" w:cs="Arial"/>
        </w:rPr>
        <w:t>The researcher thoroughly read and reread the transcripts to become deeply familiar with the data. Notes and preliminary observations were recorded to guide the coding process and identify potential patterns (Braun &amp; Clarke, 2006).</w:t>
      </w:r>
    </w:p>
    <w:p w14:paraId="16A2F57E" w14:textId="77777777" w:rsidR="00901A6E" w:rsidRPr="00A044B9" w:rsidRDefault="00901A6E" w:rsidP="00901A6E">
      <w:pPr>
        <w:spacing w:after="0" w:line="480" w:lineRule="auto"/>
        <w:ind w:firstLine="720"/>
        <w:jc w:val="both"/>
        <w:rPr>
          <w:rFonts w:ascii="Arial" w:hAnsi="Arial" w:cs="Arial"/>
        </w:rPr>
      </w:pPr>
      <w:r w:rsidRPr="00A044B9">
        <w:rPr>
          <w:rFonts w:ascii="Arial" w:hAnsi="Arial" w:cs="Arial"/>
          <w:i/>
          <w:iCs/>
        </w:rPr>
        <w:t>Generating Initial Codes</w:t>
      </w:r>
      <w:r>
        <w:rPr>
          <w:rFonts w:ascii="Arial" w:hAnsi="Arial" w:cs="Arial"/>
          <w:i/>
          <w:iCs/>
        </w:rPr>
        <w:t xml:space="preserve">. </w:t>
      </w:r>
      <w:r w:rsidRPr="00A044B9">
        <w:rPr>
          <w:rFonts w:ascii="Arial" w:hAnsi="Arial" w:cs="Arial"/>
        </w:rPr>
        <w:t>Relevant phrases, statements, and passages were highlighted and labeled as initial codes. This process helped organize the data into manageable units, providing the foundation for theme development (Braun &amp; Clarke, 2006; Miles, Huberman, &amp; Saldaña, 2019).</w:t>
      </w:r>
    </w:p>
    <w:p w14:paraId="622BE0E7" w14:textId="485FF9A0" w:rsidR="00CF7600" w:rsidRDefault="00901A6E" w:rsidP="00901A6E">
      <w:pPr>
        <w:spacing w:after="0" w:line="480" w:lineRule="auto"/>
        <w:ind w:firstLine="720"/>
        <w:jc w:val="both"/>
        <w:rPr>
          <w:rFonts w:ascii="Arial" w:hAnsi="Arial" w:cs="Arial"/>
          <w:i/>
          <w:iCs/>
        </w:rPr>
      </w:pPr>
      <w:r w:rsidRPr="00A044B9">
        <w:rPr>
          <w:rFonts w:ascii="Arial" w:hAnsi="Arial" w:cs="Arial"/>
          <w:i/>
          <w:iCs/>
        </w:rPr>
        <w:lastRenderedPageBreak/>
        <w:t>Searching for Themes</w:t>
      </w:r>
      <w:r w:rsidR="00CF7600">
        <w:rPr>
          <w:rFonts w:ascii="Arial" w:hAnsi="Arial" w:cs="Arial"/>
          <w:i/>
          <w:iCs/>
        </w:rPr>
        <w:t xml:space="preserve"> </w:t>
      </w:r>
      <w:r w:rsidR="00CF7600" w:rsidRPr="00CF7600">
        <w:rPr>
          <w:rFonts w:ascii="Arial" w:hAnsi="Arial" w:cs="Arial"/>
          <w:i/>
          <w:iCs/>
        </w:rPr>
        <w:t>The transcripts were thoroughly read and reread to ensure deep familiarity with the data. Notes and preliminary observations were recorded to guide the coding process and to identify potential patterns (Braun &amp; Clarke, 2006).</w:t>
      </w:r>
    </w:p>
    <w:p w14:paraId="56D7787D" w14:textId="77777777" w:rsidR="00CF7600" w:rsidRDefault="00901A6E" w:rsidP="00901A6E">
      <w:pPr>
        <w:spacing w:after="0" w:line="480" w:lineRule="auto"/>
        <w:ind w:firstLine="720"/>
        <w:jc w:val="both"/>
        <w:rPr>
          <w:rFonts w:ascii="Arial" w:hAnsi="Arial" w:cs="Arial"/>
        </w:rPr>
      </w:pPr>
      <w:r w:rsidRPr="00A044B9">
        <w:rPr>
          <w:rFonts w:ascii="Arial" w:hAnsi="Arial" w:cs="Arial"/>
          <w:i/>
          <w:iCs/>
        </w:rPr>
        <w:t>Reviewing and Refining Themes.</w:t>
      </w:r>
      <w:r>
        <w:rPr>
          <w:rFonts w:ascii="Arial" w:hAnsi="Arial" w:cs="Arial"/>
        </w:rPr>
        <w:t xml:space="preserve"> </w:t>
      </w:r>
      <w:r w:rsidR="00CF7600" w:rsidRPr="00CF7600">
        <w:rPr>
          <w:rFonts w:ascii="Arial" w:hAnsi="Arial" w:cs="Arial"/>
        </w:rPr>
        <w:t>The initial codes were examined for patterns, similarities, and relationships. Codes with similar meanings were grouped together to form preliminary themes, which reflected recurring ideas across participants (Braun &amp; Clarke, 2006).</w:t>
      </w:r>
    </w:p>
    <w:p w14:paraId="24DFB714" w14:textId="51CA3EC9" w:rsidR="00901A6E" w:rsidRDefault="00901A6E" w:rsidP="00901A6E">
      <w:pPr>
        <w:spacing w:after="0" w:line="480" w:lineRule="auto"/>
        <w:ind w:firstLine="720"/>
        <w:jc w:val="both"/>
        <w:rPr>
          <w:rFonts w:ascii="Arial" w:hAnsi="Arial" w:cs="Arial"/>
        </w:rPr>
      </w:pPr>
      <w:r w:rsidRPr="00A044B9">
        <w:rPr>
          <w:rFonts w:ascii="Arial" w:hAnsi="Arial" w:cs="Arial"/>
          <w:i/>
          <w:iCs/>
        </w:rPr>
        <w:t>Defining and Naming Themes</w:t>
      </w:r>
      <w:r>
        <w:rPr>
          <w:rFonts w:ascii="Arial" w:hAnsi="Arial" w:cs="Arial"/>
          <w:i/>
          <w:iCs/>
        </w:rPr>
        <w:t xml:space="preserve">. </w:t>
      </w:r>
      <w:r w:rsidRPr="00A044B9">
        <w:rPr>
          <w:rFonts w:ascii="Arial" w:hAnsi="Arial" w:cs="Arial"/>
        </w:rPr>
        <w:t>Each finalized theme was defined and given a descriptive name that reflected its essence and connection to the research questions. The themes captured the core insights regarding the implementation of school-based disaster preparedness and response measures (Braun &amp; Clarke, 2006).</w:t>
      </w:r>
    </w:p>
    <w:p w14:paraId="357F316A" w14:textId="77777777" w:rsidR="00901A6E" w:rsidRPr="00A044B9" w:rsidRDefault="00901A6E" w:rsidP="00901A6E">
      <w:pPr>
        <w:spacing w:after="0" w:line="480" w:lineRule="auto"/>
        <w:ind w:firstLine="720"/>
        <w:jc w:val="both"/>
        <w:rPr>
          <w:rFonts w:ascii="Arial" w:hAnsi="Arial" w:cs="Arial"/>
        </w:rPr>
      </w:pPr>
      <w:r w:rsidRPr="00A044B9">
        <w:rPr>
          <w:rFonts w:ascii="Arial" w:hAnsi="Arial" w:cs="Arial"/>
          <w:i/>
          <w:iCs/>
        </w:rPr>
        <w:t>Organizing Themes in a Table Format</w:t>
      </w:r>
      <w:r>
        <w:rPr>
          <w:rFonts w:ascii="Arial" w:hAnsi="Arial" w:cs="Arial"/>
          <w:i/>
          <w:iCs/>
        </w:rPr>
        <w:t xml:space="preserve">. </w:t>
      </w:r>
      <w:r w:rsidRPr="00A044B9">
        <w:rPr>
          <w:rFonts w:ascii="Arial" w:hAnsi="Arial" w:cs="Arial"/>
        </w:rPr>
        <w:t>The themes were organized in a table format, showing the theme name, description, and supporting codes or participant excerpts. This visualization facilitated interpretation and ensured transparency in the qualitative analysis process (Creswell &amp; Poth, 2018).</w:t>
      </w:r>
    </w:p>
    <w:p w14:paraId="6B977D5B" w14:textId="77777777" w:rsidR="00901A6E" w:rsidRPr="00A044B9" w:rsidRDefault="00901A6E" w:rsidP="00901A6E">
      <w:pPr>
        <w:spacing w:after="0" w:line="480" w:lineRule="auto"/>
        <w:ind w:firstLine="720"/>
        <w:jc w:val="both"/>
        <w:rPr>
          <w:rFonts w:ascii="Arial" w:hAnsi="Arial" w:cs="Arial"/>
        </w:rPr>
      </w:pPr>
      <w:r w:rsidRPr="00A044B9">
        <w:rPr>
          <w:rFonts w:ascii="Arial" w:hAnsi="Arial" w:cs="Arial"/>
          <w:i/>
          <w:iCs/>
        </w:rPr>
        <w:t>Merging with Quantitative Results</w:t>
      </w:r>
      <w:r>
        <w:rPr>
          <w:rFonts w:ascii="Arial" w:hAnsi="Arial" w:cs="Arial"/>
          <w:i/>
          <w:iCs/>
        </w:rPr>
        <w:t xml:space="preserve">. </w:t>
      </w:r>
      <w:r w:rsidRPr="00A044B9">
        <w:rPr>
          <w:rFonts w:ascii="Arial" w:hAnsi="Arial" w:cs="Arial"/>
        </w:rPr>
        <w:t>The qualitative themes were then compared and triangulated with the quantitative findings to explain observed trends, verify patterns, and provide a comprehensive understanding of school-based disaster preparedness and response (Creswell &amp; Plano Clark, 2018).</w:t>
      </w:r>
    </w:p>
    <w:p w14:paraId="2DB101B3" w14:textId="77777777" w:rsidR="00901A6E" w:rsidRDefault="00901A6E" w:rsidP="00901A6E">
      <w:pPr>
        <w:spacing w:after="0" w:line="480" w:lineRule="auto"/>
        <w:ind w:firstLine="720"/>
        <w:jc w:val="both"/>
        <w:rPr>
          <w:rFonts w:ascii="Arial" w:hAnsi="Arial" w:cs="Arial"/>
        </w:rPr>
      </w:pPr>
      <w:r w:rsidRPr="00A044B9">
        <w:rPr>
          <w:rFonts w:ascii="Arial" w:hAnsi="Arial" w:cs="Arial"/>
          <w:i/>
          <w:iCs/>
        </w:rPr>
        <w:t>Writing the Final Report</w:t>
      </w:r>
      <w:r>
        <w:rPr>
          <w:rFonts w:ascii="Arial" w:hAnsi="Arial" w:cs="Arial"/>
        </w:rPr>
        <w:t xml:space="preserve">. </w:t>
      </w:r>
      <w:r w:rsidRPr="00A044B9">
        <w:rPr>
          <w:rFonts w:ascii="Arial" w:hAnsi="Arial" w:cs="Arial"/>
        </w:rPr>
        <w:t>Finally, the integrated results from both quantitative and qualitative analyses were synthesized into the final report. The report presented the extent of implementation of disaster preparedness measures, contextual explanations from the qualitative data, and actionable insights for policy and practice (Creswell &amp; Creswell, 2018; Braun &amp; Clarke, 2006).</w:t>
      </w:r>
    </w:p>
    <w:p w14:paraId="7A9AEA65" w14:textId="77777777" w:rsidR="00901A6E" w:rsidRDefault="00901A6E" w:rsidP="00901A6E">
      <w:pPr>
        <w:pStyle w:val="Heading2"/>
        <w:spacing w:before="0" w:after="0" w:line="480" w:lineRule="auto"/>
        <w:jc w:val="both"/>
        <w:rPr>
          <w:rFonts w:ascii="Arial" w:hAnsi="Arial" w:cs="Arial"/>
          <w:b/>
          <w:bCs/>
          <w:color w:val="auto"/>
          <w:sz w:val="22"/>
          <w:szCs w:val="22"/>
        </w:rPr>
      </w:pPr>
      <w:r w:rsidRPr="007D5C05">
        <w:rPr>
          <w:rFonts w:ascii="Arial" w:hAnsi="Arial" w:cs="Arial"/>
          <w:b/>
          <w:bCs/>
          <w:color w:val="auto"/>
          <w:sz w:val="22"/>
          <w:szCs w:val="22"/>
        </w:rPr>
        <w:lastRenderedPageBreak/>
        <w:t>Trustworthiness of the Study</w:t>
      </w:r>
    </w:p>
    <w:p w14:paraId="445F6898" w14:textId="5B438709" w:rsidR="004F59EC" w:rsidRPr="004F59EC" w:rsidRDefault="004F59EC" w:rsidP="004F59EC">
      <w:pPr>
        <w:spacing w:line="480" w:lineRule="auto"/>
        <w:jc w:val="both"/>
        <w:rPr>
          <w:rFonts w:ascii="Arial" w:hAnsi="Arial" w:cs="Arial"/>
        </w:rPr>
      </w:pPr>
      <w:r>
        <w:tab/>
      </w:r>
      <w:r w:rsidRPr="004F59EC">
        <w:rPr>
          <w:rFonts w:ascii="Arial" w:hAnsi="Arial" w:cs="Arial"/>
        </w:rPr>
        <w:t>The trustworthiness of the qualitative findings was ensured through established criteria of credibility, transferability, dependability, and confirmability. Various strategies were employed to strengthen the rigor of the study, including member checking, expert validation, triangulation with quantitative results, and maintaining an audit trail of the data analysis process. These procedures were implemented to ensure that the interpretations accurately reflected the standpoints of the participants and that the findings were reliable, transparent, and grounded in the data (Lincoln &amp; Guba, 1985).</w:t>
      </w:r>
    </w:p>
    <w:p w14:paraId="241F11A4" w14:textId="77777777" w:rsidR="00901A6E" w:rsidRPr="00E11600" w:rsidRDefault="00901A6E" w:rsidP="00901A6E">
      <w:pPr>
        <w:pStyle w:val="Heading2"/>
        <w:spacing w:before="0" w:after="0" w:line="480" w:lineRule="auto"/>
        <w:ind w:firstLine="705"/>
        <w:jc w:val="both"/>
        <w:rPr>
          <w:rFonts w:ascii="Arial" w:hAnsi="Arial" w:cs="Arial"/>
          <w:color w:val="auto"/>
          <w:sz w:val="22"/>
          <w:szCs w:val="22"/>
        </w:rPr>
      </w:pPr>
      <w:r w:rsidRPr="00E11600">
        <w:rPr>
          <w:rFonts w:ascii="Arial" w:hAnsi="Arial" w:cs="Arial"/>
          <w:color w:val="auto"/>
          <w:sz w:val="22"/>
          <w:szCs w:val="22"/>
        </w:rPr>
        <w:t>Reliability and Validity</w:t>
      </w:r>
    </w:p>
    <w:p w14:paraId="4748ACF9" w14:textId="67B10900" w:rsidR="00BB2144" w:rsidRDefault="00BB2144" w:rsidP="00901A6E">
      <w:pPr>
        <w:spacing w:after="0" w:line="480" w:lineRule="auto"/>
        <w:ind w:firstLine="720"/>
        <w:jc w:val="both"/>
        <w:rPr>
          <w:rFonts w:ascii="Arial" w:eastAsia="Times New Roman" w:hAnsi="Arial" w:cs="Arial"/>
          <w:kern w:val="0"/>
          <w:lang w:eastAsia="en-PH"/>
          <w14:ligatures w14:val="none"/>
        </w:rPr>
      </w:pPr>
      <w:r w:rsidRPr="00BB2144">
        <w:rPr>
          <w:rFonts w:ascii="Arial" w:eastAsia="Times New Roman" w:hAnsi="Arial" w:cs="Arial"/>
          <w:kern w:val="0"/>
          <w:lang w:eastAsia="en-PH"/>
          <w14:ligatures w14:val="none"/>
        </w:rPr>
        <w:t>To establish the trustworthiness of the study, the four components of trustworthiness were observed. These include credibility, confirmability, transferability, and dependability.</w:t>
      </w:r>
    </w:p>
    <w:p w14:paraId="7BB60783" w14:textId="1F52D1D5" w:rsidR="00901A6E" w:rsidRPr="007D5C05" w:rsidRDefault="00901A6E" w:rsidP="00901A6E">
      <w:pPr>
        <w:spacing w:after="0" w:line="480" w:lineRule="auto"/>
        <w:ind w:firstLine="720"/>
        <w:jc w:val="both"/>
        <w:rPr>
          <w:rFonts w:ascii="Arial" w:hAnsi="Arial" w:cs="Arial"/>
        </w:rPr>
      </w:pPr>
      <w:r w:rsidRPr="007D5C05">
        <w:rPr>
          <w:rFonts w:ascii="Arial" w:hAnsi="Arial" w:cs="Arial"/>
          <w:i/>
        </w:rPr>
        <w:t>Credibility.</w:t>
      </w:r>
      <w:r w:rsidRPr="007D5C05">
        <w:rPr>
          <w:rFonts w:ascii="Arial" w:hAnsi="Arial" w:cs="Arial"/>
        </w:rPr>
        <w:t xml:space="preserve"> Credibility was ensured through multiple strategies, including member checking, where participants reviewed the transcribed interviews to confirm that their views were accurately represented. Additionally, the researcher conducted expert validation of the interview guide and survey instrument to ensure content accuracy. Triangulation was also applied by comparing qualitative findings with quantitative results, allowing patterns observed in one phase to be verified through the other, thus enhancing the believability of the findings (Creswell &amp; Poth, 2018; Lincoln &amp; Guba, 1985).</w:t>
      </w:r>
    </w:p>
    <w:p w14:paraId="114B2BBF" w14:textId="77777777" w:rsidR="00901A6E" w:rsidRPr="007D5C05" w:rsidRDefault="00901A6E" w:rsidP="00901A6E">
      <w:pPr>
        <w:spacing w:after="0" w:line="480" w:lineRule="auto"/>
        <w:ind w:firstLine="720"/>
        <w:jc w:val="both"/>
        <w:rPr>
          <w:rFonts w:ascii="Arial" w:hAnsi="Arial" w:cs="Arial"/>
        </w:rPr>
      </w:pPr>
      <w:r w:rsidRPr="007D5C05">
        <w:rPr>
          <w:rFonts w:ascii="Arial" w:hAnsi="Arial" w:cs="Arial"/>
          <w:i/>
        </w:rPr>
        <w:t>Confirmability.</w:t>
      </w:r>
      <w:r w:rsidRPr="007D5C05">
        <w:rPr>
          <w:rFonts w:ascii="Arial" w:hAnsi="Arial" w:cs="Arial"/>
        </w:rPr>
        <w:t xml:space="preserve">  Confirmability was achieved by maintaining a clear audit trail documenting all stages of data collection, transcription, coding, and analysis. The researcher also employed peer debriefing, where colleagues reviewed the data interpretations to minimize personal bias. By systematically recording procedures and decisions, the study ensured that findings were derived from participants’ responses and not researcher subjectivity (Lincoln &amp; Guba, 1985; Miles, Huberman, &amp; Saldaña, 2019).</w:t>
      </w:r>
    </w:p>
    <w:p w14:paraId="0BD9FB4F" w14:textId="77777777" w:rsidR="00901A6E" w:rsidRPr="007D5C05" w:rsidRDefault="00901A6E" w:rsidP="00901A6E">
      <w:pPr>
        <w:spacing w:after="0" w:line="480" w:lineRule="auto"/>
        <w:ind w:firstLine="720"/>
        <w:jc w:val="both"/>
        <w:rPr>
          <w:rFonts w:ascii="Arial" w:hAnsi="Arial" w:cs="Arial"/>
        </w:rPr>
      </w:pPr>
      <w:r w:rsidRPr="007D5C05">
        <w:rPr>
          <w:rFonts w:ascii="Arial" w:hAnsi="Arial" w:cs="Arial"/>
          <w:i/>
        </w:rPr>
        <w:lastRenderedPageBreak/>
        <w:t>Transferability.</w:t>
      </w:r>
      <w:r w:rsidRPr="007D5C05">
        <w:rPr>
          <w:rFonts w:ascii="Arial" w:hAnsi="Arial" w:cs="Arial"/>
        </w:rPr>
        <w:t xml:space="preserve"> To enhance transferability, the study provided rich, contextual descriptions of the research setting, participants, and procedures. Detailed information about the schools, municipalities, and DRRM practices allows readers to determine the extent to which the findings could be applied to other similar educational contexts (Creswell &amp; Poth, 2018).</w:t>
      </w:r>
    </w:p>
    <w:p w14:paraId="448AACA9" w14:textId="77777777" w:rsidR="00901A6E" w:rsidRDefault="00901A6E" w:rsidP="00901A6E">
      <w:pPr>
        <w:spacing w:after="0" w:line="480" w:lineRule="auto"/>
        <w:ind w:firstLine="720"/>
        <w:jc w:val="both"/>
        <w:rPr>
          <w:rFonts w:ascii="Arial" w:hAnsi="Arial" w:cs="Arial"/>
        </w:rPr>
      </w:pPr>
      <w:r w:rsidRPr="007D5C05">
        <w:rPr>
          <w:rFonts w:ascii="Arial" w:hAnsi="Arial" w:cs="Arial"/>
          <w:i/>
        </w:rPr>
        <w:t>Dependability.</w:t>
      </w:r>
      <w:r w:rsidRPr="007D5C05">
        <w:rPr>
          <w:rFonts w:ascii="Arial" w:hAnsi="Arial" w:cs="Arial"/>
        </w:rPr>
        <w:t xml:space="preserve"> Dependability was strengthened through the use of consistent data collection and analysis procedures across all participants. The instruments were validated and pilot-tested, and coding and theme development followed a structured framework. Documentation of all processes, including decisions made during qualitative and quantitative analyses, provided a reliable account of the research procedures that can be audited and reproduced in future studies (Lincoln &amp; Guba, 1985; Creswell &amp; Creswell, 2018).</w:t>
      </w:r>
    </w:p>
    <w:p w14:paraId="170EBA9F" w14:textId="77777777" w:rsidR="00901A6E" w:rsidRDefault="00901A6E" w:rsidP="00901A6E">
      <w:pPr>
        <w:pStyle w:val="Heading2"/>
        <w:spacing w:before="0" w:after="0" w:line="480" w:lineRule="auto"/>
        <w:jc w:val="both"/>
        <w:rPr>
          <w:rFonts w:ascii="Arial" w:hAnsi="Arial" w:cs="Arial"/>
          <w:b/>
          <w:bCs/>
          <w:color w:val="auto"/>
          <w:sz w:val="22"/>
          <w:szCs w:val="22"/>
        </w:rPr>
      </w:pPr>
      <w:r w:rsidRPr="00F62E09">
        <w:rPr>
          <w:rFonts w:ascii="Arial" w:hAnsi="Arial" w:cs="Arial"/>
          <w:b/>
          <w:bCs/>
          <w:color w:val="auto"/>
          <w:sz w:val="22"/>
          <w:szCs w:val="22"/>
        </w:rPr>
        <w:t>Ethical Considerations</w:t>
      </w:r>
    </w:p>
    <w:p w14:paraId="2DCADA07" w14:textId="7700E23E" w:rsidR="00BB2144" w:rsidRPr="005B7893" w:rsidRDefault="00901A6E" w:rsidP="00901A6E">
      <w:pPr>
        <w:spacing w:after="0" w:line="480" w:lineRule="auto"/>
        <w:rPr>
          <w:rFonts w:ascii="Arial" w:hAnsi="Arial" w:cs="Arial"/>
        </w:rPr>
      </w:pPr>
      <w:r>
        <w:tab/>
      </w:r>
      <w:r w:rsidR="00BB2144" w:rsidRPr="00BB2144">
        <w:rPr>
          <w:rFonts w:ascii="Arial" w:hAnsi="Arial" w:cs="Arial"/>
        </w:rPr>
        <w:t>Ethical considerations were strictly observed throughout the conduct of the study to ensure the protection of the rights, dignity, and welfare of all participants. Prior to data collection, ethical clearance was secured, and informed consent was obtained from all respondents. Principles of voluntary participation, confidentiality, anonymity, and the right to withdraw without penalty were upheld. All data gathered were treated with utmost confidentiality and were used solely for academic purposes in accordance with established ethical research standards (Creswell &amp; Poth, 2018).</w:t>
      </w:r>
    </w:p>
    <w:p w14:paraId="22DCAF9F" w14:textId="77777777" w:rsidR="00901A6E" w:rsidRPr="005B7893" w:rsidRDefault="00901A6E" w:rsidP="00901A6E">
      <w:pPr>
        <w:spacing w:after="0" w:line="480" w:lineRule="auto"/>
        <w:ind w:firstLine="720"/>
        <w:jc w:val="both"/>
        <w:rPr>
          <w:rFonts w:ascii="Arial" w:hAnsi="Arial" w:cs="Arial"/>
        </w:rPr>
      </w:pPr>
      <w:r w:rsidRPr="005B7893">
        <w:rPr>
          <w:rFonts w:ascii="Arial" w:hAnsi="Arial" w:cs="Arial"/>
          <w:bCs/>
          <w:i/>
        </w:rPr>
        <w:t>Respect for persons</w:t>
      </w:r>
      <w:r w:rsidRPr="005B7893">
        <w:rPr>
          <w:rFonts w:ascii="Arial" w:hAnsi="Arial" w:cs="Arial"/>
        </w:rPr>
        <w:t xml:space="preserve">. The principle of respect for persons was observed by recognizing the autonomy and dignity of all participants. Participation in the study was voluntary, and informed consent was obtained from each school head and DRRM coordinator prior to data collection. Participants were fully informed about the purpose of the study, their rights to withdraw at any time, and the nature of the research activities. </w:t>
      </w:r>
      <w:r w:rsidRPr="005B7893">
        <w:rPr>
          <w:rFonts w:ascii="Arial" w:hAnsi="Arial" w:cs="Arial"/>
        </w:rPr>
        <w:lastRenderedPageBreak/>
        <w:t>This approach ensured that participants’ decisions to participate were made freely and without coercion (Creswell &amp; Poth, 2018).</w:t>
      </w:r>
    </w:p>
    <w:p w14:paraId="074A18D1" w14:textId="77777777" w:rsidR="00901A6E" w:rsidRPr="005B7893" w:rsidRDefault="00901A6E" w:rsidP="00901A6E">
      <w:pPr>
        <w:spacing w:after="0" w:line="480" w:lineRule="auto"/>
        <w:ind w:firstLine="720"/>
        <w:jc w:val="both"/>
        <w:rPr>
          <w:rFonts w:ascii="Arial" w:hAnsi="Arial" w:cs="Arial"/>
        </w:rPr>
      </w:pPr>
      <w:r w:rsidRPr="005B7893">
        <w:rPr>
          <w:rFonts w:ascii="Arial" w:hAnsi="Arial" w:cs="Arial"/>
          <w:bCs/>
          <w:i/>
        </w:rPr>
        <w:t>Beneficence.</w:t>
      </w:r>
      <w:r w:rsidRPr="005B7893">
        <w:rPr>
          <w:rFonts w:ascii="Arial" w:hAnsi="Arial" w:cs="Arial"/>
        </w:rPr>
        <w:t xml:space="preserve"> The study followed the principle of beneficence by maximizing potential benefits and minimizing any possible risks or harm to participants. The research sought to provide insights that could improve school-based disaster preparedness and response measures, ultimately benefiting school communities. Risks were minimal, as the study primarily involved surveys and interviews, and steps were taken to prevent any physical, psychological, or social harm (Creswell &amp; Creswell, 2018; Miles, Huberman, &amp; Saldaña, 2019).</w:t>
      </w:r>
    </w:p>
    <w:p w14:paraId="40A6CA4A" w14:textId="77777777" w:rsidR="00901A6E" w:rsidRPr="005B7893" w:rsidRDefault="00901A6E" w:rsidP="00901A6E">
      <w:pPr>
        <w:spacing w:after="0" w:line="480" w:lineRule="auto"/>
        <w:ind w:firstLine="720"/>
        <w:jc w:val="both"/>
        <w:rPr>
          <w:rFonts w:ascii="Arial" w:hAnsi="Arial" w:cs="Arial"/>
          <w:bCs/>
          <w:iCs/>
        </w:rPr>
      </w:pPr>
      <w:r w:rsidRPr="005B7893">
        <w:rPr>
          <w:rFonts w:ascii="Arial" w:hAnsi="Arial" w:cs="Arial"/>
          <w:bCs/>
          <w:i/>
        </w:rPr>
        <w:t>Confidentiality.</w:t>
      </w:r>
      <w:r w:rsidRPr="005B7893">
        <w:rPr>
          <w:rFonts w:ascii="Arial" w:hAnsi="Arial" w:cs="Arial"/>
          <w:b/>
          <w:iCs/>
        </w:rPr>
        <w:t xml:space="preserve"> </w:t>
      </w:r>
      <w:r w:rsidRPr="005B7893">
        <w:rPr>
          <w:rFonts w:ascii="Arial" w:hAnsi="Arial" w:cs="Arial"/>
          <w:bCs/>
          <w:iCs/>
        </w:rPr>
        <w:t>Confidentiality was strictly maintained throughout the research process. Participants’ identities were protected by assigning code numbers and removing any personal identifiers from the transcripts and reports. All data, including survey responses and interview recordings, were securely stored and accessed only by the researcher. The results were reported in aggregate form to ensure that no individual responses could be traced back to any participant (Creswell &amp; Poth, 2018).</w:t>
      </w:r>
    </w:p>
    <w:p w14:paraId="6332743C" w14:textId="385F4C97" w:rsidR="00BA14D0" w:rsidRDefault="00901A6E" w:rsidP="007F4818">
      <w:pPr>
        <w:spacing w:after="0" w:line="480" w:lineRule="auto"/>
        <w:ind w:firstLine="720"/>
        <w:jc w:val="both"/>
        <w:rPr>
          <w:rFonts w:ascii="Arial" w:hAnsi="Arial" w:cs="Arial"/>
        </w:rPr>
      </w:pPr>
      <w:r w:rsidRPr="005B7893">
        <w:rPr>
          <w:rFonts w:ascii="Arial" w:hAnsi="Arial" w:cs="Arial"/>
          <w:bCs/>
          <w:i/>
        </w:rPr>
        <w:t>Justice.</w:t>
      </w:r>
      <w:r w:rsidRPr="005B7893">
        <w:rPr>
          <w:rFonts w:ascii="Arial" w:hAnsi="Arial" w:cs="Arial"/>
        </w:rPr>
        <w:t xml:space="preserve"> The principle of justice was applied by ensuring fair and equitable treatment of all participants. Selection of respondents was based on research criteria relevant to the study objectives, rather than convenience or favoritism. Every participant had an equal opportunity to contribute, and no group was unfairly burdened or excluded from the study. This ensured that the benefits and responsibilities of participation were distributed fairly across the research population (Lincoln &amp; Guba, 1985).</w:t>
      </w:r>
    </w:p>
    <w:p w14:paraId="7AC90D37" w14:textId="77777777" w:rsidR="00AE6D29" w:rsidRDefault="00AE6D29" w:rsidP="007F4818">
      <w:pPr>
        <w:spacing w:after="0" w:line="480" w:lineRule="auto"/>
        <w:ind w:firstLine="720"/>
        <w:jc w:val="both"/>
        <w:rPr>
          <w:rFonts w:ascii="Arial" w:hAnsi="Arial" w:cs="Arial"/>
        </w:rPr>
      </w:pPr>
    </w:p>
    <w:p w14:paraId="23792C21" w14:textId="77777777" w:rsidR="00AE6D29" w:rsidRDefault="00AE6D29" w:rsidP="007F4818">
      <w:pPr>
        <w:spacing w:after="0" w:line="480" w:lineRule="auto"/>
        <w:ind w:firstLine="720"/>
        <w:jc w:val="both"/>
        <w:rPr>
          <w:rFonts w:ascii="Arial" w:hAnsi="Arial" w:cs="Arial"/>
        </w:rPr>
      </w:pPr>
    </w:p>
    <w:p w14:paraId="35F51DC1" w14:textId="77777777" w:rsidR="00AE6D29" w:rsidRDefault="00AE6D29" w:rsidP="007F4818">
      <w:pPr>
        <w:spacing w:after="0" w:line="480" w:lineRule="auto"/>
        <w:ind w:firstLine="720"/>
        <w:jc w:val="both"/>
        <w:rPr>
          <w:rFonts w:ascii="Arial" w:hAnsi="Arial" w:cs="Arial"/>
        </w:rPr>
      </w:pPr>
    </w:p>
    <w:p w14:paraId="1F73A69D" w14:textId="77777777" w:rsidR="00AE6D29" w:rsidRDefault="00AE6D29" w:rsidP="007F4818">
      <w:pPr>
        <w:spacing w:after="0" w:line="480" w:lineRule="auto"/>
        <w:ind w:firstLine="720"/>
        <w:jc w:val="both"/>
        <w:rPr>
          <w:rFonts w:ascii="Arial" w:hAnsi="Arial" w:cs="Arial"/>
        </w:rPr>
      </w:pPr>
    </w:p>
    <w:p w14:paraId="47D03DC6" w14:textId="77777777" w:rsidR="00AE6D29" w:rsidRDefault="00AE6D29" w:rsidP="007F4818">
      <w:pPr>
        <w:spacing w:after="0" w:line="480" w:lineRule="auto"/>
        <w:ind w:firstLine="720"/>
        <w:jc w:val="both"/>
        <w:rPr>
          <w:rFonts w:ascii="Arial" w:hAnsi="Arial" w:cs="Arial"/>
        </w:rPr>
      </w:pPr>
    </w:p>
    <w:p w14:paraId="6EBDAC63" w14:textId="77777777" w:rsidR="00AE6D29" w:rsidRDefault="00AE6D29" w:rsidP="007F4818">
      <w:pPr>
        <w:spacing w:after="0" w:line="480" w:lineRule="auto"/>
        <w:ind w:firstLine="720"/>
        <w:jc w:val="both"/>
        <w:rPr>
          <w:rFonts w:ascii="Arial" w:hAnsi="Arial" w:cs="Arial"/>
        </w:rPr>
      </w:pPr>
    </w:p>
    <w:p w14:paraId="63272106" w14:textId="77777777" w:rsidR="00AE6D29" w:rsidRDefault="00AE6D29" w:rsidP="007F4818">
      <w:pPr>
        <w:spacing w:after="0" w:line="480" w:lineRule="auto"/>
        <w:ind w:firstLine="720"/>
        <w:jc w:val="both"/>
        <w:rPr>
          <w:rFonts w:ascii="Arial" w:hAnsi="Arial" w:cs="Arial"/>
        </w:rPr>
      </w:pPr>
    </w:p>
    <w:p w14:paraId="58821961" w14:textId="77777777" w:rsidR="00AE6D29" w:rsidRDefault="00AE6D29" w:rsidP="007F4818">
      <w:pPr>
        <w:spacing w:after="0" w:line="480" w:lineRule="auto"/>
        <w:ind w:firstLine="720"/>
        <w:jc w:val="both"/>
        <w:rPr>
          <w:rFonts w:ascii="Arial" w:hAnsi="Arial" w:cs="Arial"/>
        </w:rPr>
      </w:pPr>
    </w:p>
    <w:p w14:paraId="481A6BAB" w14:textId="77777777" w:rsidR="00AE6D29" w:rsidRPr="007F4818" w:rsidRDefault="00AE6D29" w:rsidP="007F4818">
      <w:pPr>
        <w:spacing w:after="0" w:line="480" w:lineRule="auto"/>
        <w:ind w:firstLine="720"/>
        <w:jc w:val="both"/>
        <w:rPr>
          <w:rFonts w:ascii="Arial" w:hAnsi="Arial" w:cs="Arial"/>
        </w:rPr>
      </w:pPr>
    </w:p>
    <w:p w14:paraId="64EE6052" w14:textId="70370FE9" w:rsidR="0052395F" w:rsidRDefault="0052395F" w:rsidP="00C57ABD">
      <w:pPr>
        <w:pStyle w:val="Heading1"/>
        <w:spacing w:before="0" w:after="0" w:line="480" w:lineRule="auto"/>
        <w:jc w:val="center"/>
        <w:rPr>
          <w:rFonts w:ascii="Arial" w:hAnsi="Arial" w:cs="Arial"/>
          <w:b/>
          <w:bCs/>
          <w:color w:val="auto"/>
          <w:sz w:val="22"/>
          <w:szCs w:val="22"/>
        </w:rPr>
      </w:pPr>
      <w:r w:rsidRPr="00196B18">
        <w:rPr>
          <w:rFonts w:ascii="Arial" w:hAnsi="Arial" w:cs="Arial"/>
          <w:b/>
          <w:bCs/>
          <w:color w:val="auto"/>
          <w:sz w:val="22"/>
          <w:szCs w:val="22"/>
        </w:rPr>
        <w:t>C</w:t>
      </w:r>
      <w:r w:rsidR="00AE6D29">
        <w:rPr>
          <w:rFonts w:ascii="Arial" w:hAnsi="Arial" w:cs="Arial"/>
          <w:b/>
          <w:bCs/>
          <w:color w:val="auto"/>
          <w:sz w:val="22"/>
          <w:szCs w:val="22"/>
        </w:rPr>
        <w:t>hapter</w:t>
      </w:r>
      <w:r w:rsidRPr="00196B18">
        <w:rPr>
          <w:rFonts w:ascii="Arial" w:hAnsi="Arial" w:cs="Arial"/>
          <w:b/>
          <w:bCs/>
          <w:color w:val="auto"/>
          <w:sz w:val="22"/>
          <w:szCs w:val="22"/>
        </w:rPr>
        <w:t xml:space="preserve"> </w:t>
      </w:r>
      <w:r w:rsidR="00C57ABD">
        <w:rPr>
          <w:rFonts w:ascii="Arial" w:hAnsi="Arial" w:cs="Arial"/>
          <w:b/>
          <w:bCs/>
          <w:color w:val="auto"/>
          <w:sz w:val="22"/>
          <w:szCs w:val="22"/>
        </w:rPr>
        <w:t>3</w:t>
      </w:r>
    </w:p>
    <w:p w14:paraId="4C65A7F4" w14:textId="6ABE2965" w:rsidR="00C57ABD" w:rsidRPr="00C57ABD" w:rsidRDefault="00C57ABD" w:rsidP="00C57ABD">
      <w:pPr>
        <w:spacing w:after="0" w:line="480" w:lineRule="auto"/>
        <w:jc w:val="center"/>
        <w:rPr>
          <w:rFonts w:ascii="Arial" w:hAnsi="Arial" w:cs="Arial"/>
          <w:b/>
          <w:bCs/>
        </w:rPr>
      </w:pPr>
      <w:r w:rsidRPr="00C57ABD">
        <w:rPr>
          <w:rFonts w:ascii="Arial" w:hAnsi="Arial" w:cs="Arial"/>
          <w:b/>
          <w:bCs/>
        </w:rPr>
        <w:t>RESULTS AND DISCUSSION</w:t>
      </w:r>
    </w:p>
    <w:p w14:paraId="444983FF" w14:textId="037401C0" w:rsidR="00AE0BDF" w:rsidRPr="004A3187" w:rsidRDefault="00AE0BDF" w:rsidP="004A3187">
      <w:pPr>
        <w:spacing w:after="0" w:line="480" w:lineRule="auto"/>
        <w:rPr>
          <w:rFonts w:ascii="Arial" w:hAnsi="Arial" w:cs="Arial"/>
          <w:b/>
          <w:bCs/>
        </w:rPr>
      </w:pPr>
      <w:r w:rsidRPr="00E84E93">
        <w:rPr>
          <w:rFonts w:ascii="Arial" w:hAnsi="Arial" w:cs="Arial"/>
          <w:b/>
          <w:bCs/>
        </w:rPr>
        <w:t>Quantitative Results</w:t>
      </w:r>
    </w:p>
    <w:p w14:paraId="5359AE4B" w14:textId="717C5894" w:rsidR="00AE0BDF" w:rsidRPr="00E84E93" w:rsidRDefault="00AE0BDF" w:rsidP="004A3187">
      <w:pPr>
        <w:spacing w:after="0" w:line="480" w:lineRule="auto"/>
        <w:ind w:right="1"/>
        <w:jc w:val="both"/>
        <w:rPr>
          <w:rFonts w:ascii="Arial" w:hAnsi="Arial" w:cs="Arial"/>
          <w:iCs/>
        </w:rPr>
      </w:pPr>
      <w:r>
        <w:rPr>
          <w:rFonts w:ascii="Arial" w:hAnsi="Arial" w:cs="Arial"/>
          <w:iCs/>
        </w:rPr>
        <w:tab/>
      </w:r>
      <w:r w:rsidRPr="009F7416">
        <w:rPr>
          <w:rFonts w:ascii="Arial" w:hAnsi="Arial" w:cs="Arial"/>
          <w:iCs/>
        </w:rPr>
        <w:t xml:space="preserve">This section presents the results of the quantitative phase of the study, which examined the level of school-based disaster preparedness and response measures of school heads in Davao de Oro Division. The data were gathered using a structured survey questionnaire and analyzed across three key indicators: </w:t>
      </w:r>
      <w:r w:rsidR="00902DF0">
        <w:rPr>
          <w:rFonts w:ascii="Arial" w:hAnsi="Arial" w:cs="Arial"/>
          <w:iCs/>
        </w:rPr>
        <w:t>p</w:t>
      </w:r>
      <w:r w:rsidRPr="009F7416">
        <w:rPr>
          <w:rFonts w:ascii="Arial" w:hAnsi="Arial" w:cs="Arial"/>
          <w:iCs/>
        </w:rPr>
        <w:t xml:space="preserve">reparedness in </w:t>
      </w:r>
      <w:r w:rsidR="00902DF0">
        <w:rPr>
          <w:rFonts w:ascii="Arial" w:hAnsi="Arial" w:cs="Arial"/>
          <w:iCs/>
        </w:rPr>
        <w:t>n</w:t>
      </w:r>
      <w:r w:rsidRPr="009F7416">
        <w:rPr>
          <w:rFonts w:ascii="Arial" w:hAnsi="Arial" w:cs="Arial"/>
          <w:iCs/>
        </w:rPr>
        <w:t xml:space="preserve">ormal </w:t>
      </w:r>
      <w:r w:rsidR="00902DF0">
        <w:rPr>
          <w:rFonts w:ascii="Arial" w:hAnsi="Arial" w:cs="Arial"/>
          <w:iCs/>
        </w:rPr>
        <w:t>t</w:t>
      </w:r>
      <w:r w:rsidRPr="009F7416">
        <w:rPr>
          <w:rFonts w:ascii="Arial" w:hAnsi="Arial" w:cs="Arial"/>
          <w:iCs/>
        </w:rPr>
        <w:t xml:space="preserve">imes, </w:t>
      </w:r>
      <w:r w:rsidR="00902DF0" w:rsidRPr="009F7416">
        <w:rPr>
          <w:rFonts w:ascii="Arial" w:hAnsi="Arial" w:cs="Arial"/>
          <w:iCs/>
        </w:rPr>
        <w:t>preparedness</w:t>
      </w:r>
      <w:r w:rsidRPr="009F7416">
        <w:rPr>
          <w:rFonts w:ascii="Arial" w:hAnsi="Arial" w:cs="Arial"/>
          <w:iCs/>
        </w:rPr>
        <w:t xml:space="preserve"> for </w:t>
      </w:r>
      <w:r w:rsidR="00902DF0">
        <w:rPr>
          <w:rFonts w:ascii="Arial" w:hAnsi="Arial" w:cs="Arial"/>
          <w:iCs/>
        </w:rPr>
        <w:t>r</w:t>
      </w:r>
      <w:r w:rsidRPr="009F7416">
        <w:rPr>
          <w:rFonts w:ascii="Arial" w:hAnsi="Arial" w:cs="Arial"/>
          <w:iCs/>
        </w:rPr>
        <w:t xml:space="preserve">esponse </w:t>
      </w:r>
      <w:r w:rsidR="00902DF0">
        <w:rPr>
          <w:rFonts w:ascii="Arial" w:hAnsi="Arial" w:cs="Arial"/>
          <w:iCs/>
        </w:rPr>
        <w:t>m</w:t>
      </w:r>
      <w:r w:rsidRPr="009F7416">
        <w:rPr>
          <w:rFonts w:ascii="Arial" w:hAnsi="Arial" w:cs="Arial"/>
          <w:iCs/>
        </w:rPr>
        <w:t xml:space="preserve">easures, and </w:t>
      </w:r>
      <w:r w:rsidR="00902DF0">
        <w:rPr>
          <w:rFonts w:ascii="Arial" w:hAnsi="Arial" w:cs="Arial"/>
          <w:iCs/>
        </w:rPr>
        <w:t>d</w:t>
      </w:r>
      <w:r w:rsidRPr="009F7416">
        <w:rPr>
          <w:rFonts w:ascii="Arial" w:hAnsi="Arial" w:cs="Arial"/>
          <w:iCs/>
        </w:rPr>
        <w:t xml:space="preserve">isaster </w:t>
      </w:r>
      <w:r w:rsidR="00902DF0">
        <w:rPr>
          <w:rFonts w:ascii="Arial" w:hAnsi="Arial" w:cs="Arial"/>
          <w:iCs/>
        </w:rPr>
        <w:t>r</w:t>
      </w:r>
      <w:r w:rsidRPr="009F7416">
        <w:rPr>
          <w:rFonts w:ascii="Arial" w:hAnsi="Arial" w:cs="Arial"/>
          <w:iCs/>
        </w:rPr>
        <w:t xml:space="preserve">esponse </w:t>
      </w:r>
      <w:r w:rsidR="00902DF0">
        <w:rPr>
          <w:rFonts w:ascii="Arial" w:hAnsi="Arial" w:cs="Arial"/>
          <w:iCs/>
        </w:rPr>
        <w:t>m</w:t>
      </w:r>
      <w:r w:rsidRPr="009F7416">
        <w:rPr>
          <w:rFonts w:ascii="Arial" w:hAnsi="Arial" w:cs="Arial"/>
          <w:iCs/>
        </w:rPr>
        <w:t xml:space="preserve">easures. These indicators reflect how schools implement disaster-related measures during normal conditions, before the impact of a hazard, and during actual disaster response situations. </w:t>
      </w:r>
    </w:p>
    <w:p w14:paraId="78AC3129" w14:textId="77777777" w:rsidR="0094098E" w:rsidRDefault="00AE0BDF" w:rsidP="004A3187">
      <w:pPr>
        <w:spacing w:after="0" w:line="480" w:lineRule="auto"/>
        <w:ind w:right="1"/>
        <w:jc w:val="both"/>
        <w:rPr>
          <w:rFonts w:ascii="Arial" w:hAnsi="Arial" w:cs="Arial"/>
          <w:b/>
          <w:bCs/>
        </w:rPr>
      </w:pPr>
      <w:r w:rsidRPr="009F7416">
        <w:rPr>
          <w:rFonts w:ascii="Arial" w:hAnsi="Arial" w:cs="Arial"/>
          <w:b/>
          <w:bCs/>
        </w:rPr>
        <w:t>Table 4</w:t>
      </w:r>
    </w:p>
    <w:p w14:paraId="00EBC1B8" w14:textId="12E86660" w:rsidR="00AE0BDF" w:rsidRDefault="00AE0BDF" w:rsidP="004A3187">
      <w:pPr>
        <w:spacing w:after="0" w:line="240" w:lineRule="auto"/>
        <w:ind w:right="1"/>
        <w:jc w:val="both"/>
        <w:rPr>
          <w:rFonts w:ascii="Arial" w:hAnsi="Arial" w:cs="Arial"/>
          <w:i/>
        </w:rPr>
      </w:pPr>
      <w:r w:rsidRPr="009F7416">
        <w:rPr>
          <w:rFonts w:ascii="Arial" w:hAnsi="Arial" w:cs="Arial"/>
          <w:b/>
          <w:bCs/>
        </w:rPr>
        <w:t xml:space="preserve"> </w:t>
      </w:r>
      <w:r w:rsidRPr="009F7416">
        <w:rPr>
          <w:rFonts w:ascii="Arial" w:hAnsi="Arial" w:cs="Arial"/>
          <w:i/>
        </w:rPr>
        <w:t>Level of School-Based Disaster Preparedness and Response Measures of School Heads in Davao de Oro Division</w:t>
      </w:r>
    </w:p>
    <w:p w14:paraId="31324A2A" w14:textId="77777777" w:rsidR="0094098E" w:rsidRPr="009F7416" w:rsidRDefault="0094098E" w:rsidP="0094098E">
      <w:pPr>
        <w:spacing w:after="0" w:line="276" w:lineRule="auto"/>
        <w:ind w:right="1"/>
        <w:jc w:val="both"/>
        <w:rPr>
          <w:rFonts w:ascii="Arial" w:hAnsi="Arial" w:cs="Arial"/>
          <w:b/>
          <w:bCs/>
        </w:rPr>
      </w:pPr>
    </w:p>
    <w:tbl>
      <w:tblPr>
        <w:tblStyle w:val="TableGrid"/>
        <w:tblW w:w="9134" w:type="dxa"/>
        <w:tblInd w:w="-108" w:type="dxa"/>
        <w:tblLook w:val="04A0" w:firstRow="1" w:lastRow="0" w:firstColumn="1" w:lastColumn="0" w:noHBand="0" w:noVBand="1"/>
      </w:tblPr>
      <w:tblGrid>
        <w:gridCol w:w="1586"/>
        <w:gridCol w:w="779"/>
        <w:gridCol w:w="798"/>
        <w:gridCol w:w="5971"/>
      </w:tblGrid>
      <w:tr w:rsidR="00AE0BDF" w:rsidRPr="0083037F" w14:paraId="26E7BB94" w14:textId="77777777" w:rsidTr="0094098E">
        <w:trPr>
          <w:trHeight w:val="359"/>
        </w:trPr>
        <w:tc>
          <w:tcPr>
            <w:tcW w:w="1586" w:type="dxa"/>
            <w:tcBorders>
              <w:top w:val="single" w:sz="4" w:space="0" w:color="auto"/>
              <w:left w:val="nil"/>
              <w:bottom w:val="single" w:sz="4" w:space="0" w:color="auto"/>
              <w:right w:val="nil"/>
            </w:tcBorders>
            <w:vAlign w:val="center"/>
          </w:tcPr>
          <w:p w14:paraId="6F73536F" w14:textId="77777777" w:rsidR="00AE0BDF" w:rsidRPr="009F7416" w:rsidRDefault="00AE0BDF" w:rsidP="00B10240">
            <w:pPr>
              <w:jc w:val="center"/>
              <w:rPr>
                <w:rFonts w:ascii="Arial" w:hAnsi="Arial" w:cs="Arial"/>
                <w:b/>
              </w:rPr>
            </w:pPr>
            <w:r w:rsidRPr="009F7416">
              <w:rPr>
                <w:rFonts w:ascii="Arial" w:hAnsi="Arial" w:cs="Arial"/>
                <w:b/>
              </w:rPr>
              <w:t>Indicators</w:t>
            </w:r>
          </w:p>
        </w:tc>
        <w:tc>
          <w:tcPr>
            <w:tcW w:w="779" w:type="dxa"/>
            <w:tcBorders>
              <w:top w:val="single" w:sz="4" w:space="0" w:color="auto"/>
              <w:left w:val="nil"/>
              <w:bottom w:val="single" w:sz="4" w:space="0" w:color="auto"/>
              <w:right w:val="nil"/>
            </w:tcBorders>
            <w:vAlign w:val="center"/>
          </w:tcPr>
          <w:p w14:paraId="3654ADE1" w14:textId="77777777" w:rsidR="00AE0BDF" w:rsidRPr="009F7416" w:rsidRDefault="00AE0BDF" w:rsidP="00B10240">
            <w:pPr>
              <w:jc w:val="center"/>
              <w:rPr>
                <w:rFonts w:ascii="Arial" w:hAnsi="Arial" w:cs="Arial"/>
                <w:b/>
              </w:rPr>
            </w:pPr>
            <w:r w:rsidRPr="009F7416">
              <w:rPr>
                <w:rFonts w:ascii="Arial" w:hAnsi="Arial" w:cs="Arial"/>
                <w:b/>
              </w:rPr>
              <w:t>Mean</w:t>
            </w:r>
          </w:p>
        </w:tc>
        <w:tc>
          <w:tcPr>
            <w:tcW w:w="798" w:type="dxa"/>
            <w:tcBorders>
              <w:top w:val="single" w:sz="4" w:space="0" w:color="auto"/>
              <w:left w:val="nil"/>
              <w:bottom w:val="single" w:sz="4" w:space="0" w:color="auto"/>
              <w:right w:val="nil"/>
            </w:tcBorders>
            <w:vAlign w:val="center"/>
          </w:tcPr>
          <w:p w14:paraId="699F6CF9" w14:textId="77777777" w:rsidR="00AE0BDF" w:rsidRPr="009F7416" w:rsidRDefault="00AE0BDF" w:rsidP="00B10240">
            <w:pPr>
              <w:jc w:val="center"/>
              <w:rPr>
                <w:rFonts w:ascii="Arial" w:hAnsi="Arial" w:cs="Arial"/>
                <w:b/>
              </w:rPr>
            </w:pPr>
            <w:r w:rsidRPr="009F7416">
              <w:rPr>
                <w:rFonts w:ascii="Arial" w:hAnsi="Arial" w:cs="Arial"/>
                <w:b/>
              </w:rPr>
              <w:t>SD</w:t>
            </w:r>
          </w:p>
        </w:tc>
        <w:tc>
          <w:tcPr>
            <w:tcW w:w="5971" w:type="dxa"/>
            <w:tcBorders>
              <w:top w:val="single" w:sz="4" w:space="0" w:color="auto"/>
              <w:left w:val="nil"/>
              <w:bottom w:val="single" w:sz="4" w:space="0" w:color="auto"/>
              <w:right w:val="nil"/>
            </w:tcBorders>
            <w:vAlign w:val="center"/>
          </w:tcPr>
          <w:p w14:paraId="24247D4D" w14:textId="77777777" w:rsidR="00AE0BDF" w:rsidRPr="009F7416" w:rsidRDefault="00AE0BDF" w:rsidP="00B10240">
            <w:pPr>
              <w:jc w:val="center"/>
              <w:rPr>
                <w:rFonts w:ascii="Arial" w:hAnsi="Arial" w:cs="Arial"/>
                <w:b/>
              </w:rPr>
            </w:pPr>
            <w:r w:rsidRPr="009F7416">
              <w:rPr>
                <w:rFonts w:ascii="Arial" w:hAnsi="Arial" w:cs="Arial"/>
                <w:b/>
              </w:rPr>
              <w:t>Interpretation</w:t>
            </w:r>
          </w:p>
        </w:tc>
      </w:tr>
      <w:tr w:rsidR="00AE0BDF" w:rsidRPr="0083037F" w14:paraId="15DD3517" w14:textId="77777777" w:rsidTr="0094098E">
        <w:tc>
          <w:tcPr>
            <w:tcW w:w="1586" w:type="dxa"/>
            <w:tcBorders>
              <w:top w:val="single" w:sz="4" w:space="0" w:color="auto"/>
              <w:left w:val="nil"/>
              <w:bottom w:val="single" w:sz="4" w:space="0" w:color="auto"/>
              <w:right w:val="nil"/>
            </w:tcBorders>
            <w:vAlign w:val="center"/>
          </w:tcPr>
          <w:p w14:paraId="2313F6FB" w14:textId="77777777" w:rsidR="00AE0BDF" w:rsidRPr="009F7416" w:rsidRDefault="00AE0BDF" w:rsidP="004A3187">
            <w:pPr>
              <w:rPr>
                <w:rFonts w:ascii="Arial" w:hAnsi="Arial" w:cs="Arial"/>
              </w:rPr>
            </w:pPr>
            <w:r w:rsidRPr="009F7416">
              <w:rPr>
                <w:rFonts w:ascii="Arial" w:hAnsi="Arial" w:cs="Arial"/>
              </w:rPr>
              <w:t>Preparedness in Normal Times</w:t>
            </w:r>
          </w:p>
        </w:tc>
        <w:tc>
          <w:tcPr>
            <w:tcW w:w="779" w:type="dxa"/>
            <w:tcBorders>
              <w:top w:val="single" w:sz="4" w:space="0" w:color="auto"/>
              <w:left w:val="nil"/>
              <w:bottom w:val="single" w:sz="4" w:space="0" w:color="auto"/>
              <w:right w:val="nil"/>
            </w:tcBorders>
            <w:vAlign w:val="center"/>
          </w:tcPr>
          <w:p w14:paraId="4FF6C955" w14:textId="77777777" w:rsidR="00AE0BDF" w:rsidRPr="009F7416" w:rsidRDefault="00AE0BDF" w:rsidP="004A3187">
            <w:pPr>
              <w:jc w:val="center"/>
              <w:rPr>
                <w:rFonts w:ascii="Arial" w:hAnsi="Arial" w:cs="Arial"/>
              </w:rPr>
            </w:pPr>
            <w:r w:rsidRPr="009F7416">
              <w:rPr>
                <w:rFonts w:ascii="Arial" w:hAnsi="Arial" w:cs="Arial"/>
              </w:rPr>
              <w:t>4.44</w:t>
            </w:r>
          </w:p>
        </w:tc>
        <w:tc>
          <w:tcPr>
            <w:tcW w:w="798" w:type="dxa"/>
            <w:tcBorders>
              <w:top w:val="single" w:sz="4" w:space="0" w:color="auto"/>
              <w:left w:val="nil"/>
              <w:bottom w:val="single" w:sz="4" w:space="0" w:color="auto"/>
              <w:right w:val="nil"/>
            </w:tcBorders>
            <w:vAlign w:val="center"/>
          </w:tcPr>
          <w:p w14:paraId="4996AD07" w14:textId="77777777" w:rsidR="00AE0BDF" w:rsidRPr="009F7416" w:rsidRDefault="00AE0BDF" w:rsidP="004A3187">
            <w:pPr>
              <w:jc w:val="center"/>
              <w:rPr>
                <w:rFonts w:ascii="Arial" w:hAnsi="Arial" w:cs="Arial"/>
              </w:rPr>
            </w:pPr>
            <w:r w:rsidRPr="009F7416">
              <w:rPr>
                <w:rFonts w:ascii="Arial" w:hAnsi="Arial" w:cs="Arial"/>
              </w:rPr>
              <w:t>0.65</w:t>
            </w:r>
          </w:p>
        </w:tc>
        <w:tc>
          <w:tcPr>
            <w:tcW w:w="5971" w:type="dxa"/>
            <w:tcBorders>
              <w:top w:val="single" w:sz="4" w:space="0" w:color="auto"/>
              <w:left w:val="nil"/>
              <w:bottom w:val="single" w:sz="4" w:space="0" w:color="auto"/>
              <w:right w:val="nil"/>
            </w:tcBorders>
            <w:vAlign w:val="center"/>
          </w:tcPr>
          <w:p w14:paraId="3478B5A4" w14:textId="77777777" w:rsidR="00AE0BDF" w:rsidRPr="009F7416" w:rsidRDefault="00AE0BDF" w:rsidP="004A3187">
            <w:pPr>
              <w:spacing w:line="276" w:lineRule="auto"/>
              <w:jc w:val="both"/>
              <w:rPr>
                <w:rFonts w:ascii="Arial" w:hAnsi="Arial" w:cs="Arial"/>
              </w:rPr>
            </w:pPr>
            <w:r w:rsidRPr="009F7416">
              <w:rPr>
                <w:rFonts w:ascii="Arial" w:hAnsi="Arial" w:cs="Arial"/>
              </w:rPr>
              <w:t>Preparedness in Normal Times is very highly implemented. The school consistently carries out regular disaster preparedness measures even in the absence of immediate warnings or advisories.</w:t>
            </w:r>
          </w:p>
        </w:tc>
      </w:tr>
      <w:tr w:rsidR="00AE0BDF" w:rsidRPr="0083037F" w14:paraId="6C7DC4BC" w14:textId="77777777" w:rsidTr="0094098E">
        <w:trPr>
          <w:trHeight w:val="333"/>
        </w:trPr>
        <w:tc>
          <w:tcPr>
            <w:tcW w:w="1586" w:type="dxa"/>
            <w:tcBorders>
              <w:top w:val="single" w:sz="4" w:space="0" w:color="auto"/>
              <w:left w:val="nil"/>
              <w:bottom w:val="single" w:sz="4" w:space="0" w:color="auto"/>
              <w:right w:val="nil"/>
            </w:tcBorders>
            <w:vAlign w:val="center"/>
          </w:tcPr>
          <w:p w14:paraId="624A6508" w14:textId="77777777" w:rsidR="00AE0BDF" w:rsidRPr="009F7416" w:rsidRDefault="00AE0BDF" w:rsidP="004A3187">
            <w:pPr>
              <w:rPr>
                <w:rFonts w:ascii="Arial" w:hAnsi="Arial" w:cs="Arial"/>
              </w:rPr>
            </w:pPr>
            <w:r w:rsidRPr="009F7416">
              <w:rPr>
                <w:rFonts w:ascii="Arial" w:hAnsi="Arial" w:cs="Arial"/>
              </w:rPr>
              <w:t>Preparedness for Response Measures</w:t>
            </w:r>
          </w:p>
        </w:tc>
        <w:tc>
          <w:tcPr>
            <w:tcW w:w="779" w:type="dxa"/>
            <w:tcBorders>
              <w:top w:val="single" w:sz="4" w:space="0" w:color="auto"/>
              <w:left w:val="nil"/>
              <w:bottom w:val="single" w:sz="4" w:space="0" w:color="auto"/>
              <w:right w:val="nil"/>
            </w:tcBorders>
            <w:vAlign w:val="center"/>
          </w:tcPr>
          <w:p w14:paraId="5B12CE27" w14:textId="77777777" w:rsidR="00AE0BDF" w:rsidRPr="009F7416" w:rsidRDefault="00AE0BDF" w:rsidP="004A3187">
            <w:pPr>
              <w:jc w:val="center"/>
              <w:rPr>
                <w:rFonts w:ascii="Arial" w:hAnsi="Arial" w:cs="Arial"/>
              </w:rPr>
            </w:pPr>
            <w:r w:rsidRPr="009F7416">
              <w:rPr>
                <w:rFonts w:ascii="Arial" w:hAnsi="Arial" w:cs="Arial"/>
              </w:rPr>
              <w:t>4.45</w:t>
            </w:r>
          </w:p>
        </w:tc>
        <w:tc>
          <w:tcPr>
            <w:tcW w:w="798" w:type="dxa"/>
            <w:tcBorders>
              <w:top w:val="single" w:sz="4" w:space="0" w:color="auto"/>
              <w:left w:val="nil"/>
              <w:bottom w:val="single" w:sz="4" w:space="0" w:color="auto"/>
              <w:right w:val="nil"/>
            </w:tcBorders>
            <w:vAlign w:val="center"/>
          </w:tcPr>
          <w:p w14:paraId="7B7B9DBC" w14:textId="77777777" w:rsidR="00AE0BDF" w:rsidRPr="009F7416" w:rsidRDefault="00AE0BDF" w:rsidP="004A3187">
            <w:pPr>
              <w:jc w:val="center"/>
              <w:rPr>
                <w:rFonts w:ascii="Arial" w:hAnsi="Arial" w:cs="Arial"/>
              </w:rPr>
            </w:pPr>
            <w:r w:rsidRPr="009F7416">
              <w:rPr>
                <w:rFonts w:ascii="Arial" w:hAnsi="Arial" w:cs="Arial"/>
              </w:rPr>
              <w:t>0.54</w:t>
            </w:r>
          </w:p>
        </w:tc>
        <w:tc>
          <w:tcPr>
            <w:tcW w:w="5971" w:type="dxa"/>
            <w:tcBorders>
              <w:top w:val="single" w:sz="4" w:space="0" w:color="auto"/>
              <w:left w:val="nil"/>
              <w:bottom w:val="single" w:sz="4" w:space="0" w:color="auto"/>
              <w:right w:val="nil"/>
            </w:tcBorders>
            <w:vAlign w:val="center"/>
          </w:tcPr>
          <w:p w14:paraId="505F20E5" w14:textId="77777777" w:rsidR="00AE0BDF" w:rsidRPr="009F7416" w:rsidRDefault="00AE0BDF" w:rsidP="004A3187">
            <w:pPr>
              <w:spacing w:line="276" w:lineRule="auto"/>
              <w:jc w:val="both"/>
              <w:rPr>
                <w:rFonts w:ascii="Arial" w:hAnsi="Arial" w:cs="Arial"/>
              </w:rPr>
            </w:pPr>
            <w:r w:rsidRPr="009F7416">
              <w:rPr>
                <w:rFonts w:ascii="Arial" w:hAnsi="Arial" w:cs="Arial"/>
              </w:rPr>
              <w:t>Preparedness for Response Measures is very highly implemented. The school consistently undertakes precautionary and protective actions once advisories or warnings are issued.</w:t>
            </w:r>
          </w:p>
        </w:tc>
      </w:tr>
      <w:tr w:rsidR="00AE0BDF" w:rsidRPr="0083037F" w14:paraId="7B6577AC" w14:textId="77777777" w:rsidTr="0094098E">
        <w:tc>
          <w:tcPr>
            <w:tcW w:w="1586" w:type="dxa"/>
            <w:tcBorders>
              <w:top w:val="single" w:sz="4" w:space="0" w:color="auto"/>
              <w:left w:val="nil"/>
              <w:bottom w:val="single" w:sz="4" w:space="0" w:color="auto"/>
              <w:right w:val="nil"/>
            </w:tcBorders>
            <w:vAlign w:val="center"/>
          </w:tcPr>
          <w:p w14:paraId="2FF14E71" w14:textId="77777777" w:rsidR="00AE0BDF" w:rsidRPr="009F7416" w:rsidRDefault="00AE0BDF" w:rsidP="004A3187">
            <w:pPr>
              <w:rPr>
                <w:rFonts w:ascii="Arial" w:hAnsi="Arial" w:cs="Arial"/>
              </w:rPr>
            </w:pPr>
            <w:r w:rsidRPr="009F7416">
              <w:rPr>
                <w:rFonts w:ascii="Arial" w:hAnsi="Arial" w:cs="Arial"/>
              </w:rPr>
              <w:t>Disaster Response Measures</w:t>
            </w:r>
          </w:p>
        </w:tc>
        <w:tc>
          <w:tcPr>
            <w:tcW w:w="779" w:type="dxa"/>
            <w:tcBorders>
              <w:top w:val="single" w:sz="4" w:space="0" w:color="auto"/>
              <w:left w:val="nil"/>
              <w:bottom w:val="single" w:sz="4" w:space="0" w:color="auto"/>
              <w:right w:val="nil"/>
            </w:tcBorders>
            <w:vAlign w:val="center"/>
          </w:tcPr>
          <w:p w14:paraId="575B1F7D" w14:textId="77777777" w:rsidR="00AE0BDF" w:rsidRPr="009F7416" w:rsidRDefault="00AE0BDF" w:rsidP="00B10240">
            <w:pPr>
              <w:jc w:val="center"/>
              <w:rPr>
                <w:rFonts w:ascii="Arial" w:hAnsi="Arial" w:cs="Arial"/>
              </w:rPr>
            </w:pPr>
            <w:r w:rsidRPr="009F7416">
              <w:rPr>
                <w:rFonts w:ascii="Arial" w:hAnsi="Arial" w:cs="Arial"/>
              </w:rPr>
              <w:t>4.57</w:t>
            </w:r>
          </w:p>
        </w:tc>
        <w:tc>
          <w:tcPr>
            <w:tcW w:w="798" w:type="dxa"/>
            <w:tcBorders>
              <w:top w:val="single" w:sz="4" w:space="0" w:color="auto"/>
              <w:left w:val="nil"/>
              <w:bottom w:val="single" w:sz="4" w:space="0" w:color="auto"/>
              <w:right w:val="nil"/>
            </w:tcBorders>
            <w:vAlign w:val="center"/>
          </w:tcPr>
          <w:p w14:paraId="5DD3E177" w14:textId="77777777" w:rsidR="00AE0BDF" w:rsidRPr="009F7416" w:rsidRDefault="00AE0BDF" w:rsidP="00B10240">
            <w:pPr>
              <w:jc w:val="center"/>
              <w:rPr>
                <w:rFonts w:ascii="Arial" w:hAnsi="Arial" w:cs="Arial"/>
              </w:rPr>
            </w:pPr>
            <w:r w:rsidRPr="009F7416">
              <w:rPr>
                <w:rFonts w:ascii="Arial" w:hAnsi="Arial" w:cs="Arial"/>
              </w:rPr>
              <w:t>0.53</w:t>
            </w:r>
          </w:p>
        </w:tc>
        <w:tc>
          <w:tcPr>
            <w:tcW w:w="5971" w:type="dxa"/>
            <w:tcBorders>
              <w:top w:val="single" w:sz="4" w:space="0" w:color="auto"/>
              <w:left w:val="nil"/>
              <w:bottom w:val="single" w:sz="4" w:space="0" w:color="auto"/>
              <w:right w:val="nil"/>
            </w:tcBorders>
            <w:vAlign w:val="center"/>
          </w:tcPr>
          <w:p w14:paraId="247D7104" w14:textId="77777777" w:rsidR="00AE0BDF" w:rsidRPr="009F7416" w:rsidRDefault="00AE0BDF" w:rsidP="004A3187">
            <w:pPr>
              <w:spacing w:line="276" w:lineRule="auto"/>
              <w:jc w:val="both"/>
              <w:rPr>
                <w:rFonts w:ascii="Arial" w:hAnsi="Arial" w:cs="Arial"/>
                <w:highlight w:val="yellow"/>
              </w:rPr>
            </w:pPr>
            <w:r w:rsidRPr="009F7416">
              <w:rPr>
                <w:rFonts w:ascii="Arial" w:hAnsi="Arial" w:cs="Arial"/>
              </w:rPr>
              <w:t>Disaster Response Measures are very highly implemented. The school consistently carries out coordinated and timely response actions during and after disaster events.</w:t>
            </w:r>
          </w:p>
        </w:tc>
      </w:tr>
      <w:tr w:rsidR="00AE0BDF" w:rsidRPr="0083037F" w14:paraId="4E277A4A" w14:textId="77777777" w:rsidTr="0094098E">
        <w:tc>
          <w:tcPr>
            <w:tcW w:w="1586" w:type="dxa"/>
            <w:tcBorders>
              <w:top w:val="single" w:sz="4" w:space="0" w:color="auto"/>
              <w:left w:val="nil"/>
              <w:bottom w:val="single" w:sz="4" w:space="0" w:color="auto"/>
              <w:right w:val="nil"/>
            </w:tcBorders>
            <w:vAlign w:val="center"/>
          </w:tcPr>
          <w:p w14:paraId="7EACFDC9" w14:textId="77777777" w:rsidR="00AE0BDF" w:rsidRPr="009F7416" w:rsidRDefault="00AE0BDF" w:rsidP="004A3187">
            <w:pPr>
              <w:rPr>
                <w:rFonts w:ascii="Arial" w:hAnsi="Arial" w:cs="Arial"/>
              </w:rPr>
            </w:pPr>
            <w:r w:rsidRPr="009F7416">
              <w:rPr>
                <w:rFonts w:ascii="Arial" w:hAnsi="Arial" w:cs="Arial"/>
              </w:rPr>
              <w:lastRenderedPageBreak/>
              <w:t>Average</w:t>
            </w:r>
            <w:r>
              <w:rPr>
                <w:rFonts w:ascii="Arial" w:hAnsi="Arial" w:cs="Arial"/>
              </w:rPr>
              <w:t xml:space="preserve"> Score</w:t>
            </w:r>
          </w:p>
        </w:tc>
        <w:tc>
          <w:tcPr>
            <w:tcW w:w="779" w:type="dxa"/>
            <w:tcBorders>
              <w:top w:val="single" w:sz="4" w:space="0" w:color="auto"/>
              <w:left w:val="nil"/>
              <w:bottom w:val="single" w:sz="4" w:space="0" w:color="auto"/>
              <w:right w:val="nil"/>
            </w:tcBorders>
            <w:vAlign w:val="center"/>
          </w:tcPr>
          <w:p w14:paraId="4D911569" w14:textId="77777777" w:rsidR="00AE0BDF" w:rsidRPr="009F7416" w:rsidRDefault="00AE0BDF" w:rsidP="00B10240">
            <w:pPr>
              <w:jc w:val="center"/>
              <w:rPr>
                <w:rFonts w:ascii="Arial" w:hAnsi="Arial" w:cs="Arial"/>
              </w:rPr>
            </w:pPr>
            <w:r w:rsidRPr="009F7416">
              <w:rPr>
                <w:rFonts w:ascii="Arial" w:hAnsi="Arial" w:cs="Arial"/>
              </w:rPr>
              <w:t>4.52</w:t>
            </w:r>
          </w:p>
        </w:tc>
        <w:tc>
          <w:tcPr>
            <w:tcW w:w="798" w:type="dxa"/>
            <w:tcBorders>
              <w:top w:val="single" w:sz="4" w:space="0" w:color="auto"/>
              <w:left w:val="nil"/>
              <w:bottom w:val="single" w:sz="4" w:space="0" w:color="auto"/>
              <w:right w:val="nil"/>
            </w:tcBorders>
            <w:vAlign w:val="center"/>
          </w:tcPr>
          <w:p w14:paraId="51EF2DB1" w14:textId="77777777" w:rsidR="00AE0BDF" w:rsidRPr="009F7416" w:rsidRDefault="00AE0BDF" w:rsidP="00B10240">
            <w:pPr>
              <w:jc w:val="center"/>
              <w:rPr>
                <w:rFonts w:ascii="Arial" w:hAnsi="Arial" w:cs="Arial"/>
              </w:rPr>
            </w:pPr>
            <w:r w:rsidRPr="009F7416">
              <w:rPr>
                <w:rFonts w:ascii="Arial" w:hAnsi="Arial" w:cs="Arial"/>
              </w:rPr>
              <w:t>0.57</w:t>
            </w:r>
          </w:p>
        </w:tc>
        <w:tc>
          <w:tcPr>
            <w:tcW w:w="5971" w:type="dxa"/>
            <w:tcBorders>
              <w:top w:val="single" w:sz="4" w:space="0" w:color="auto"/>
              <w:left w:val="nil"/>
              <w:bottom w:val="single" w:sz="4" w:space="0" w:color="auto"/>
              <w:right w:val="nil"/>
            </w:tcBorders>
            <w:vAlign w:val="center"/>
          </w:tcPr>
          <w:p w14:paraId="5FB8C341" w14:textId="77777777" w:rsidR="00AE0BDF" w:rsidRPr="009F7416" w:rsidRDefault="00AE0BDF" w:rsidP="004A3187">
            <w:pPr>
              <w:spacing w:line="276" w:lineRule="auto"/>
              <w:jc w:val="both"/>
              <w:rPr>
                <w:rFonts w:ascii="Arial" w:hAnsi="Arial" w:cs="Arial"/>
              </w:rPr>
            </w:pPr>
            <w:r w:rsidRPr="009F7416">
              <w:rPr>
                <w:rFonts w:ascii="Arial" w:hAnsi="Arial" w:cs="Arial"/>
              </w:rPr>
              <w:t>The school-based disaster preparedness and response measures of school heads are very highly implemented. Overall, schools have consistently established and carried out disaster preparedness and response practices across normal times, pre-response conditions, and actual response situations.</w:t>
            </w:r>
          </w:p>
        </w:tc>
      </w:tr>
    </w:tbl>
    <w:p w14:paraId="010BCF1D" w14:textId="77777777" w:rsidR="004A3187" w:rsidRDefault="000E735B" w:rsidP="00AE0BDF">
      <w:pPr>
        <w:spacing w:after="0" w:line="480" w:lineRule="auto"/>
        <w:jc w:val="both"/>
        <w:rPr>
          <w:rFonts w:ascii="Arial" w:hAnsi="Arial" w:cs="Arial"/>
          <w:iCs/>
        </w:rPr>
      </w:pPr>
      <w:r>
        <w:rPr>
          <w:rFonts w:ascii="Arial" w:hAnsi="Arial" w:cs="Arial"/>
          <w:iCs/>
        </w:rPr>
        <w:tab/>
      </w:r>
    </w:p>
    <w:p w14:paraId="0B5744AE" w14:textId="3D153306" w:rsidR="00AE0BDF" w:rsidRPr="00801601" w:rsidRDefault="004A3187" w:rsidP="00AE0BDF">
      <w:pPr>
        <w:spacing w:after="0" w:line="480" w:lineRule="auto"/>
        <w:jc w:val="both"/>
        <w:rPr>
          <w:rFonts w:ascii="Arial" w:hAnsi="Arial" w:cs="Arial"/>
          <w:iCs/>
        </w:rPr>
      </w:pPr>
      <w:r>
        <w:rPr>
          <w:rFonts w:ascii="Arial" w:hAnsi="Arial" w:cs="Arial"/>
          <w:iCs/>
        </w:rPr>
        <w:tab/>
      </w:r>
      <w:r w:rsidR="00AE0BDF" w:rsidRPr="00801601">
        <w:rPr>
          <w:rFonts w:ascii="Arial" w:hAnsi="Arial" w:cs="Arial"/>
          <w:iCs/>
        </w:rPr>
        <w:t>The quantitative findings revealed that school-based disaster preparedness and response measures were implemented at a Very High level overall, with a mean score of 4.52 and a standard deviation of 0.57. This indicated that respondents generally perceived that disaster preparedness and response measures were strongly implemented in their schools. It is important to note that all schools included in the study were compliant with DepEd Order No. 033, s. 2021, which institutionalizes disaster preparedness and response measures. Moreover, the respondents</w:t>
      </w:r>
      <w:r w:rsidR="00AE0BDF">
        <w:rPr>
          <w:rFonts w:ascii="Arial" w:hAnsi="Arial" w:cs="Arial"/>
          <w:iCs/>
        </w:rPr>
        <w:t xml:space="preserve">, </w:t>
      </w:r>
      <w:r w:rsidR="00AE0BDF" w:rsidRPr="00801601">
        <w:rPr>
          <w:rFonts w:ascii="Arial" w:hAnsi="Arial" w:cs="Arial"/>
          <w:iCs/>
        </w:rPr>
        <w:t>school heads and SDRRM coordinators</w:t>
      </w:r>
      <w:r w:rsidR="00AE0BDF">
        <w:rPr>
          <w:rFonts w:ascii="Arial" w:hAnsi="Arial" w:cs="Arial"/>
          <w:iCs/>
        </w:rPr>
        <w:t xml:space="preserve">: </w:t>
      </w:r>
      <w:r w:rsidR="00AE0BDF" w:rsidRPr="00801601">
        <w:rPr>
          <w:rFonts w:ascii="Arial" w:hAnsi="Arial" w:cs="Arial"/>
          <w:iCs/>
        </w:rPr>
        <w:t>were directly involved in planning, coordinating, and monitoring these measures, which helps explain the uniformly high ratings.</w:t>
      </w:r>
    </w:p>
    <w:p w14:paraId="2DF283E7" w14:textId="5694F51C" w:rsidR="00AE0BDF" w:rsidRPr="000E735B" w:rsidRDefault="00AE0BDF" w:rsidP="00AE0BDF">
      <w:pPr>
        <w:spacing w:after="0" w:line="480" w:lineRule="auto"/>
        <w:jc w:val="both"/>
        <w:rPr>
          <w:rFonts w:ascii="Arial" w:hAnsi="Arial" w:cs="Arial"/>
          <w:iCs/>
        </w:rPr>
      </w:pPr>
      <w:r>
        <w:rPr>
          <w:rFonts w:ascii="Arial" w:hAnsi="Arial" w:cs="Arial"/>
          <w:iCs/>
        </w:rPr>
        <w:tab/>
      </w:r>
      <w:r w:rsidRPr="000E735B">
        <w:rPr>
          <w:rFonts w:ascii="Arial" w:hAnsi="Arial" w:cs="Arial"/>
          <w:iCs/>
        </w:rPr>
        <w:t xml:space="preserve">Among the three indicators, </w:t>
      </w:r>
      <w:r w:rsidR="00D601FA">
        <w:rPr>
          <w:rFonts w:ascii="Arial" w:hAnsi="Arial" w:cs="Arial"/>
          <w:iCs/>
        </w:rPr>
        <w:t>d</w:t>
      </w:r>
      <w:r w:rsidRPr="000E735B">
        <w:rPr>
          <w:rFonts w:ascii="Arial" w:hAnsi="Arial" w:cs="Arial"/>
          <w:iCs/>
        </w:rPr>
        <w:t xml:space="preserve">isaster </w:t>
      </w:r>
      <w:r w:rsidR="00D601FA">
        <w:rPr>
          <w:rFonts w:ascii="Arial" w:hAnsi="Arial" w:cs="Arial"/>
          <w:iCs/>
        </w:rPr>
        <w:t>r</w:t>
      </w:r>
      <w:r w:rsidRPr="000E735B">
        <w:rPr>
          <w:rFonts w:ascii="Arial" w:hAnsi="Arial" w:cs="Arial"/>
          <w:iCs/>
        </w:rPr>
        <w:t xml:space="preserve">esponse </w:t>
      </w:r>
      <w:r w:rsidR="00D601FA">
        <w:rPr>
          <w:rFonts w:ascii="Arial" w:hAnsi="Arial" w:cs="Arial"/>
          <w:iCs/>
        </w:rPr>
        <w:t>m</w:t>
      </w:r>
      <w:r w:rsidRPr="000E735B">
        <w:rPr>
          <w:rFonts w:ascii="Arial" w:hAnsi="Arial" w:cs="Arial"/>
          <w:iCs/>
        </w:rPr>
        <w:t xml:space="preserve">easures obtained the highest mean (M = 4.57, SD = 0.53), followed closely by </w:t>
      </w:r>
      <w:r w:rsidR="00F907B4">
        <w:rPr>
          <w:rFonts w:ascii="Arial" w:hAnsi="Arial" w:cs="Arial"/>
          <w:iCs/>
        </w:rPr>
        <w:t>p</w:t>
      </w:r>
      <w:r w:rsidRPr="000E735B">
        <w:rPr>
          <w:rFonts w:ascii="Arial" w:hAnsi="Arial" w:cs="Arial"/>
          <w:iCs/>
        </w:rPr>
        <w:t xml:space="preserve">reparedness for </w:t>
      </w:r>
      <w:r w:rsidR="00F907B4">
        <w:rPr>
          <w:rFonts w:ascii="Arial" w:hAnsi="Arial" w:cs="Arial"/>
          <w:iCs/>
        </w:rPr>
        <w:t>r</w:t>
      </w:r>
      <w:r w:rsidRPr="000E735B">
        <w:rPr>
          <w:rFonts w:ascii="Arial" w:hAnsi="Arial" w:cs="Arial"/>
          <w:iCs/>
        </w:rPr>
        <w:t xml:space="preserve">esponse </w:t>
      </w:r>
      <w:r w:rsidR="00F907B4">
        <w:rPr>
          <w:rFonts w:ascii="Arial" w:hAnsi="Arial" w:cs="Arial"/>
          <w:iCs/>
        </w:rPr>
        <w:t>m</w:t>
      </w:r>
      <w:r w:rsidRPr="000E735B">
        <w:rPr>
          <w:rFonts w:ascii="Arial" w:hAnsi="Arial" w:cs="Arial"/>
          <w:iCs/>
        </w:rPr>
        <w:t xml:space="preserve">easures (M = 4.56, SD = 0.54). </w:t>
      </w:r>
      <w:r w:rsidR="008037BC">
        <w:rPr>
          <w:rFonts w:ascii="Arial" w:hAnsi="Arial" w:cs="Arial"/>
          <w:iCs/>
        </w:rPr>
        <w:t>p</w:t>
      </w:r>
      <w:r w:rsidRPr="000E735B">
        <w:rPr>
          <w:rFonts w:ascii="Arial" w:hAnsi="Arial" w:cs="Arial"/>
          <w:iCs/>
        </w:rPr>
        <w:t xml:space="preserve">reparedness in </w:t>
      </w:r>
      <w:r w:rsidR="008037BC">
        <w:rPr>
          <w:rFonts w:ascii="Arial" w:hAnsi="Arial" w:cs="Arial"/>
          <w:iCs/>
        </w:rPr>
        <w:t>n</w:t>
      </w:r>
      <w:r w:rsidRPr="000E735B">
        <w:rPr>
          <w:rFonts w:ascii="Arial" w:hAnsi="Arial" w:cs="Arial"/>
          <w:iCs/>
        </w:rPr>
        <w:t xml:space="preserve">ormal </w:t>
      </w:r>
      <w:r w:rsidR="008037BC">
        <w:rPr>
          <w:rFonts w:ascii="Arial" w:hAnsi="Arial" w:cs="Arial"/>
          <w:iCs/>
        </w:rPr>
        <w:t>t</w:t>
      </w:r>
      <w:r w:rsidRPr="000E735B">
        <w:rPr>
          <w:rFonts w:ascii="Arial" w:hAnsi="Arial" w:cs="Arial"/>
          <w:iCs/>
        </w:rPr>
        <w:t>imes had the lowest mean (M = 4.43, SD = 0.65), though it was still rated as Very High. This pattern suggests that schools were strongest in immediate and operational actions taken before, during, and after disasters, while routine preparedness measures during normal operations were slightly less pronounced and showed more variation across schools.</w:t>
      </w:r>
    </w:p>
    <w:p w14:paraId="4BBB13B4" w14:textId="77777777" w:rsidR="00AE0BDF" w:rsidRPr="00AE13BC" w:rsidRDefault="00AE0BDF" w:rsidP="00AE0BDF">
      <w:pPr>
        <w:spacing w:after="0" w:line="480" w:lineRule="auto"/>
        <w:jc w:val="both"/>
        <w:rPr>
          <w:rFonts w:ascii="Arial" w:hAnsi="Arial" w:cs="Arial"/>
          <w:iCs/>
          <w:color w:val="70AD47" w:themeColor="accent6"/>
        </w:rPr>
      </w:pPr>
      <w:r w:rsidRPr="000E735B">
        <w:rPr>
          <w:rFonts w:ascii="Arial" w:hAnsi="Arial" w:cs="Arial"/>
          <w:iCs/>
        </w:rPr>
        <w:tab/>
        <w:t xml:space="preserve">Despite the very high ratings, the results should be interpreted with caution. Since the data were self-reported, participants may have been influenced by social desirability bias, as they were directly responsible for DRRM compliance in their schools. Therefore, while the mean scores indicate strong implementation, they may not fully capture the </w:t>
      </w:r>
      <w:r w:rsidRPr="000E735B">
        <w:rPr>
          <w:rFonts w:ascii="Arial" w:hAnsi="Arial" w:cs="Arial"/>
          <w:iCs/>
        </w:rPr>
        <w:lastRenderedPageBreak/>
        <w:t xml:space="preserve">actual variability or resource constraints that exist across different schools (Podsakoff et al., 2003; </w:t>
      </w:r>
      <w:proofErr w:type="spellStart"/>
      <w:r w:rsidRPr="000E735B">
        <w:rPr>
          <w:rFonts w:ascii="Arial" w:hAnsi="Arial" w:cs="Arial"/>
          <w:iCs/>
        </w:rPr>
        <w:t>Krumpal</w:t>
      </w:r>
      <w:proofErr w:type="spellEnd"/>
      <w:r w:rsidRPr="00AE13BC">
        <w:rPr>
          <w:rFonts w:ascii="Arial" w:hAnsi="Arial" w:cs="Arial"/>
          <w:iCs/>
          <w:color w:val="70AD47" w:themeColor="accent6"/>
        </w:rPr>
        <w:t xml:space="preserve">, </w:t>
      </w:r>
      <w:r w:rsidRPr="000E735B">
        <w:rPr>
          <w:rFonts w:ascii="Arial" w:hAnsi="Arial" w:cs="Arial"/>
          <w:iCs/>
        </w:rPr>
        <w:t>2013).</w:t>
      </w:r>
    </w:p>
    <w:p w14:paraId="207DA9FB" w14:textId="4D587491" w:rsidR="00AE0BDF" w:rsidRDefault="00AE0BDF" w:rsidP="00AE0BDF">
      <w:pPr>
        <w:spacing w:after="0" w:line="480" w:lineRule="auto"/>
        <w:jc w:val="both"/>
        <w:rPr>
          <w:rFonts w:ascii="Arial" w:hAnsi="Arial" w:cs="Arial"/>
          <w:iCs/>
        </w:rPr>
      </w:pPr>
      <w:r>
        <w:rPr>
          <w:rFonts w:ascii="Arial" w:hAnsi="Arial" w:cs="Arial"/>
          <w:iCs/>
        </w:rPr>
        <w:tab/>
      </w:r>
      <w:r w:rsidRPr="00801601">
        <w:rPr>
          <w:rFonts w:ascii="Arial" w:hAnsi="Arial" w:cs="Arial"/>
          <w:iCs/>
        </w:rPr>
        <w:t>The standard deviation of 0.57 suggested reasonable consistency among responses, though some variability was present, particularly for Preparedness in Normal Times (SD = 0.6</w:t>
      </w:r>
      <w:r>
        <w:rPr>
          <w:rFonts w:ascii="Arial" w:hAnsi="Arial" w:cs="Arial"/>
          <w:iCs/>
        </w:rPr>
        <w:t>5</w:t>
      </w:r>
      <w:r w:rsidRPr="00801601">
        <w:rPr>
          <w:rFonts w:ascii="Arial" w:hAnsi="Arial" w:cs="Arial"/>
          <w:iCs/>
        </w:rPr>
        <w:t>), reflecting slight differences in routine practices, infrastructure, and resources across schools. These quantitative results provide a foundation for the qualitative phase, which further explored the factors influencing implementation and the contextual conditions behind these scores.</w:t>
      </w:r>
    </w:p>
    <w:p w14:paraId="55B2EF6F" w14:textId="5FA44A6F" w:rsidR="00AE0BDF" w:rsidRPr="00613BE9" w:rsidRDefault="00613BE9" w:rsidP="00AE0BDF">
      <w:pPr>
        <w:spacing w:after="0" w:line="276" w:lineRule="auto"/>
        <w:ind w:right="1"/>
        <w:rPr>
          <w:rFonts w:ascii="Arial" w:hAnsi="Arial" w:cs="Arial"/>
          <w:b/>
          <w:bCs/>
        </w:rPr>
      </w:pPr>
      <w:r w:rsidRPr="00613BE9">
        <w:rPr>
          <w:rFonts w:ascii="Arial" w:hAnsi="Arial" w:cs="Arial"/>
          <w:b/>
          <w:bCs/>
        </w:rPr>
        <w:t>Stand</w:t>
      </w:r>
      <w:r w:rsidR="00AE0BDF" w:rsidRPr="00613BE9">
        <w:rPr>
          <w:rFonts w:ascii="Arial" w:hAnsi="Arial" w:cs="Arial"/>
          <w:b/>
          <w:bCs/>
        </w:rPr>
        <w:t xml:space="preserve"> Points of the School Heads &amp; SDRRM Coordinators in the </w:t>
      </w:r>
    </w:p>
    <w:p w14:paraId="4C98566E" w14:textId="77777777" w:rsidR="00AE0BDF" w:rsidRPr="00613BE9" w:rsidRDefault="00AE0BDF" w:rsidP="00AE0BDF">
      <w:pPr>
        <w:spacing w:after="0" w:line="276" w:lineRule="auto"/>
        <w:ind w:right="1"/>
        <w:rPr>
          <w:rFonts w:ascii="Arial" w:hAnsi="Arial" w:cs="Arial"/>
          <w:b/>
          <w:bCs/>
        </w:rPr>
      </w:pPr>
      <w:r w:rsidRPr="00613BE9">
        <w:rPr>
          <w:rFonts w:ascii="Arial" w:hAnsi="Arial" w:cs="Arial"/>
          <w:b/>
          <w:bCs/>
        </w:rPr>
        <w:t xml:space="preserve">School-Based Disaster Preparedness and Response </w:t>
      </w:r>
    </w:p>
    <w:p w14:paraId="0B38A363" w14:textId="77777777" w:rsidR="00AE0BDF" w:rsidRPr="00613BE9" w:rsidRDefault="00AE0BDF" w:rsidP="00AE0BDF">
      <w:pPr>
        <w:spacing w:after="0" w:line="276" w:lineRule="auto"/>
        <w:ind w:right="1"/>
        <w:rPr>
          <w:rFonts w:ascii="Arial" w:hAnsi="Arial" w:cs="Arial"/>
          <w:b/>
          <w:bCs/>
        </w:rPr>
      </w:pPr>
      <w:r w:rsidRPr="00613BE9">
        <w:rPr>
          <w:rFonts w:ascii="Arial" w:hAnsi="Arial" w:cs="Arial"/>
          <w:b/>
          <w:bCs/>
        </w:rPr>
        <w:t>Measures in the Division of Davao de Oro</w:t>
      </w:r>
    </w:p>
    <w:p w14:paraId="16E0D63F" w14:textId="77777777" w:rsidR="00AE0BDF" w:rsidRPr="005C41F6" w:rsidRDefault="00AE0BDF" w:rsidP="00AE0BDF">
      <w:pPr>
        <w:spacing w:after="0" w:line="276" w:lineRule="auto"/>
        <w:ind w:right="1"/>
        <w:rPr>
          <w:rFonts w:ascii="Arial" w:hAnsi="Arial" w:cs="Arial"/>
          <w:i/>
          <w:iCs/>
        </w:rPr>
      </w:pPr>
    </w:p>
    <w:p w14:paraId="62675F2F" w14:textId="32BCBC40" w:rsidR="00BE6945" w:rsidRDefault="00AE0BDF" w:rsidP="00AE0BDF">
      <w:pPr>
        <w:spacing w:after="0" w:line="480" w:lineRule="auto"/>
        <w:ind w:right="1" w:firstLine="720"/>
        <w:jc w:val="both"/>
        <w:rPr>
          <w:rFonts w:ascii="Arial" w:hAnsi="Arial" w:cs="Arial"/>
        </w:rPr>
      </w:pPr>
      <w:r w:rsidRPr="00196B18">
        <w:rPr>
          <w:rFonts w:ascii="Arial" w:hAnsi="Arial" w:cs="Arial"/>
        </w:rPr>
        <w:t xml:space="preserve">This section outlines the findings from the qualitative phase, which focused on gathering the perspectives of School Heads and DRRM Coordinators regarding the school-based disaster preparedness and response measures in the division of Davao de Oro. Through detailed interviews, participants shared their </w:t>
      </w:r>
      <w:r w:rsidR="0037513F">
        <w:rPr>
          <w:rFonts w:ascii="Arial" w:hAnsi="Arial" w:cs="Arial"/>
        </w:rPr>
        <w:t>standpoints</w:t>
      </w:r>
      <w:r w:rsidRPr="00196B18">
        <w:rPr>
          <w:rFonts w:ascii="Arial" w:hAnsi="Arial" w:cs="Arial"/>
        </w:rPr>
        <w:t xml:space="preserve"> with the program’s implementation in their respective roles as school leaders and </w:t>
      </w:r>
      <w:r w:rsidR="0037513F">
        <w:rPr>
          <w:rFonts w:ascii="Arial" w:hAnsi="Arial" w:cs="Arial"/>
        </w:rPr>
        <w:t xml:space="preserve">school DRRM </w:t>
      </w:r>
      <w:r w:rsidRPr="00196B18">
        <w:rPr>
          <w:rFonts w:ascii="Arial" w:hAnsi="Arial" w:cs="Arial"/>
        </w:rPr>
        <w:t>coordinators. The collected data were analyzed and categorized into key themes, highlighting the program’s strengths, challenges, and opportunities for improvement. These insights offer a richer understanding of how disaster preparedness and response measures are carried out and maintained at the school level.</w:t>
      </w:r>
    </w:p>
    <w:p w14:paraId="337E00A1" w14:textId="77777777" w:rsidR="0047358D" w:rsidRDefault="0047358D" w:rsidP="00AE0BDF">
      <w:pPr>
        <w:spacing w:after="0" w:line="480" w:lineRule="auto"/>
        <w:ind w:right="1"/>
        <w:jc w:val="both"/>
        <w:rPr>
          <w:rFonts w:ascii="Arial" w:hAnsi="Arial" w:cs="Arial"/>
          <w:b/>
          <w:bCs/>
        </w:rPr>
      </w:pPr>
    </w:p>
    <w:p w14:paraId="67B4E425" w14:textId="77777777" w:rsidR="0047358D" w:rsidRDefault="0047358D" w:rsidP="00AE0BDF">
      <w:pPr>
        <w:spacing w:after="0" w:line="480" w:lineRule="auto"/>
        <w:ind w:right="1"/>
        <w:jc w:val="both"/>
        <w:rPr>
          <w:rFonts w:ascii="Arial" w:hAnsi="Arial" w:cs="Arial"/>
          <w:b/>
          <w:bCs/>
        </w:rPr>
      </w:pPr>
    </w:p>
    <w:p w14:paraId="429D9FA1" w14:textId="77777777" w:rsidR="0047358D" w:rsidRDefault="0047358D" w:rsidP="00AE0BDF">
      <w:pPr>
        <w:spacing w:after="0" w:line="480" w:lineRule="auto"/>
        <w:ind w:right="1"/>
        <w:jc w:val="both"/>
        <w:rPr>
          <w:rFonts w:ascii="Arial" w:hAnsi="Arial" w:cs="Arial"/>
          <w:b/>
          <w:bCs/>
        </w:rPr>
      </w:pPr>
    </w:p>
    <w:p w14:paraId="401144FA" w14:textId="77777777" w:rsidR="0047358D" w:rsidRDefault="0047358D" w:rsidP="00AE0BDF">
      <w:pPr>
        <w:spacing w:after="0" w:line="480" w:lineRule="auto"/>
        <w:ind w:right="1"/>
        <w:jc w:val="both"/>
        <w:rPr>
          <w:rFonts w:ascii="Arial" w:hAnsi="Arial" w:cs="Arial"/>
          <w:b/>
          <w:bCs/>
        </w:rPr>
      </w:pPr>
    </w:p>
    <w:p w14:paraId="39BF9F38" w14:textId="77777777" w:rsidR="0047358D" w:rsidRDefault="0047358D" w:rsidP="00AE0BDF">
      <w:pPr>
        <w:spacing w:after="0" w:line="480" w:lineRule="auto"/>
        <w:ind w:right="1"/>
        <w:jc w:val="both"/>
        <w:rPr>
          <w:rFonts w:ascii="Arial" w:hAnsi="Arial" w:cs="Arial"/>
          <w:b/>
          <w:bCs/>
        </w:rPr>
      </w:pPr>
    </w:p>
    <w:p w14:paraId="07FECEF6" w14:textId="77777777" w:rsidR="0047358D" w:rsidRDefault="0047358D" w:rsidP="00AE0BDF">
      <w:pPr>
        <w:spacing w:after="0" w:line="480" w:lineRule="auto"/>
        <w:ind w:right="1"/>
        <w:jc w:val="both"/>
        <w:rPr>
          <w:rFonts w:ascii="Arial" w:hAnsi="Arial" w:cs="Arial"/>
          <w:b/>
          <w:bCs/>
        </w:rPr>
      </w:pPr>
    </w:p>
    <w:p w14:paraId="6C6F9843" w14:textId="77777777" w:rsidR="0047358D" w:rsidRDefault="0047358D" w:rsidP="00AE0BDF">
      <w:pPr>
        <w:spacing w:after="0" w:line="480" w:lineRule="auto"/>
        <w:ind w:right="1"/>
        <w:jc w:val="both"/>
        <w:rPr>
          <w:rFonts w:ascii="Arial" w:hAnsi="Arial" w:cs="Arial"/>
          <w:b/>
          <w:bCs/>
        </w:rPr>
      </w:pPr>
    </w:p>
    <w:p w14:paraId="4B06B4EF" w14:textId="77777777" w:rsidR="0047358D" w:rsidRDefault="0047358D" w:rsidP="00AE0BDF">
      <w:pPr>
        <w:spacing w:after="0" w:line="480" w:lineRule="auto"/>
        <w:ind w:right="1"/>
        <w:jc w:val="both"/>
        <w:rPr>
          <w:rFonts w:ascii="Arial" w:hAnsi="Arial" w:cs="Arial"/>
          <w:b/>
          <w:bCs/>
        </w:rPr>
      </w:pPr>
    </w:p>
    <w:p w14:paraId="5E4569C3" w14:textId="77777777" w:rsidR="0047358D" w:rsidRDefault="0047358D" w:rsidP="00AE0BDF">
      <w:pPr>
        <w:spacing w:after="0" w:line="480" w:lineRule="auto"/>
        <w:ind w:right="1"/>
        <w:jc w:val="both"/>
        <w:rPr>
          <w:rFonts w:ascii="Arial" w:hAnsi="Arial" w:cs="Arial"/>
          <w:b/>
          <w:bCs/>
        </w:rPr>
      </w:pPr>
    </w:p>
    <w:p w14:paraId="5405AA07" w14:textId="77777777" w:rsidR="0047358D" w:rsidRDefault="0047358D" w:rsidP="00AE0BDF">
      <w:pPr>
        <w:spacing w:after="0" w:line="480" w:lineRule="auto"/>
        <w:ind w:right="1"/>
        <w:jc w:val="both"/>
        <w:rPr>
          <w:rFonts w:ascii="Arial" w:hAnsi="Arial" w:cs="Arial"/>
          <w:b/>
          <w:bCs/>
        </w:rPr>
      </w:pPr>
    </w:p>
    <w:p w14:paraId="5DB870C7" w14:textId="27F74458" w:rsidR="00AE0BDF" w:rsidRDefault="00AE0BDF" w:rsidP="00AE0BDF">
      <w:pPr>
        <w:spacing w:after="0" w:line="480" w:lineRule="auto"/>
        <w:ind w:right="1"/>
        <w:jc w:val="both"/>
        <w:rPr>
          <w:rFonts w:ascii="Arial" w:hAnsi="Arial" w:cs="Arial"/>
          <w:b/>
          <w:bCs/>
        </w:rPr>
      </w:pPr>
      <w:r w:rsidRPr="005C41F6">
        <w:rPr>
          <w:rFonts w:ascii="Arial" w:hAnsi="Arial" w:cs="Arial"/>
          <w:b/>
          <w:bCs/>
        </w:rPr>
        <w:t>Table 5</w:t>
      </w:r>
    </w:p>
    <w:p w14:paraId="07CB70D1" w14:textId="77777777" w:rsidR="00AE0BDF" w:rsidRDefault="00AE0BDF" w:rsidP="00AE0BDF">
      <w:pPr>
        <w:spacing w:after="0" w:line="480" w:lineRule="auto"/>
        <w:ind w:right="1"/>
        <w:jc w:val="both"/>
        <w:rPr>
          <w:rFonts w:ascii="Arial" w:hAnsi="Arial" w:cs="Arial"/>
          <w:i/>
          <w:iCs/>
        </w:rPr>
      </w:pPr>
      <w:r>
        <w:rPr>
          <w:rFonts w:ascii="Arial" w:hAnsi="Arial" w:cs="Arial"/>
          <w:i/>
          <w:iCs/>
        </w:rPr>
        <w:t xml:space="preserve">Major Themes and Core Ideas </w:t>
      </w:r>
    </w:p>
    <w:tbl>
      <w:tblPr>
        <w:tblStyle w:val="TableGrid"/>
        <w:tblW w:w="900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2790"/>
        <w:gridCol w:w="4410"/>
      </w:tblGrid>
      <w:tr w:rsidR="00803361" w14:paraId="3A14664D" w14:textId="77777777" w:rsidTr="00994E2F">
        <w:trPr>
          <w:trHeight w:val="242"/>
        </w:trPr>
        <w:tc>
          <w:tcPr>
            <w:tcW w:w="1800" w:type="dxa"/>
            <w:tcBorders>
              <w:top w:val="single" w:sz="4" w:space="0" w:color="auto"/>
              <w:bottom w:val="single" w:sz="4" w:space="0" w:color="auto"/>
            </w:tcBorders>
            <w:vAlign w:val="bottom"/>
          </w:tcPr>
          <w:p w14:paraId="22B3B255" w14:textId="77777777" w:rsidR="00803361" w:rsidRPr="0031078E" w:rsidRDefault="00803361" w:rsidP="00994E2F">
            <w:pPr>
              <w:spacing w:line="276" w:lineRule="auto"/>
              <w:ind w:right="1"/>
              <w:jc w:val="center"/>
              <w:rPr>
                <w:rFonts w:ascii="Arial" w:hAnsi="Arial" w:cs="Arial"/>
                <w:b/>
                <w:bCs/>
              </w:rPr>
            </w:pPr>
            <w:r w:rsidRPr="0031078E">
              <w:rPr>
                <w:rFonts w:ascii="Arial" w:hAnsi="Arial" w:cs="Arial"/>
                <w:b/>
                <w:bCs/>
              </w:rPr>
              <w:t>Quantitative Results</w:t>
            </w:r>
          </w:p>
        </w:tc>
        <w:tc>
          <w:tcPr>
            <w:tcW w:w="7200" w:type="dxa"/>
            <w:gridSpan w:val="2"/>
            <w:tcBorders>
              <w:top w:val="single" w:sz="4" w:space="0" w:color="auto"/>
              <w:bottom w:val="single" w:sz="4" w:space="0" w:color="auto"/>
            </w:tcBorders>
            <w:vAlign w:val="bottom"/>
          </w:tcPr>
          <w:p w14:paraId="736D103A" w14:textId="5F364B1D" w:rsidR="00803361" w:rsidRPr="0031078E" w:rsidRDefault="00803361" w:rsidP="00994E2F">
            <w:pPr>
              <w:spacing w:line="276" w:lineRule="auto"/>
              <w:ind w:right="1"/>
              <w:jc w:val="center"/>
              <w:rPr>
                <w:rFonts w:ascii="Arial" w:hAnsi="Arial" w:cs="Arial"/>
                <w:b/>
                <w:bCs/>
              </w:rPr>
            </w:pPr>
            <w:r w:rsidRPr="0031078E">
              <w:rPr>
                <w:rFonts w:ascii="Arial" w:hAnsi="Arial" w:cs="Arial"/>
                <w:b/>
                <w:bCs/>
              </w:rPr>
              <w:t xml:space="preserve">Qualitative </w:t>
            </w:r>
            <w:r>
              <w:rPr>
                <w:rFonts w:ascii="Arial" w:hAnsi="Arial" w:cs="Arial"/>
                <w:b/>
                <w:bCs/>
              </w:rPr>
              <w:t>Results</w:t>
            </w:r>
          </w:p>
        </w:tc>
      </w:tr>
      <w:tr w:rsidR="00803361" w14:paraId="495F0634" w14:textId="77777777" w:rsidTr="00994E2F">
        <w:trPr>
          <w:trHeight w:val="242"/>
        </w:trPr>
        <w:tc>
          <w:tcPr>
            <w:tcW w:w="1800" w:type="dxa"/>
            <w:tcBorders>
              <w:top w:val="single" w:sz="4" w:space="0" w:color="auto"/>
              <w:bottom w:val="single" w:sz="4" w:space="0" w:color="auto"/>
            </w:tcBorders>
            <w:vAlign w:val="bottom"/>
          </w:tcPr>
          <w:p w14:paraId="5A9B8E25" w14:textId="77777777" w:rsidR="00803361" w:rsidRPr="0031078E" w:rsidRDefault="00803361" w:rsidP="00994E2F">
            <w:pPr>
              <w:spacing w:line="276" w:lineRule="auto"/>
              <w:ind w:right="1"/>
              <w:jc w:val="center"/>
              <w:rPr>
                <w:rFonts w:ascii="Arial" w:hAnsi="Arial" w:cs="Arial"/>
                <w:b/>
                <w:bCs/>
              </w:rPr>
            </w:pPr>
          </w:p>
        </w:tc>
        <w:tc>
          <w:tcPr>
            <w:tcW w:w="2790" w:type="dxa"/>
            <w:tcBorders>
              <w:top w:val="single" w:sz="4" w:space="0" w:color="auto"/>
              <w:bottom w:val="single" w:sz="4" w:space="0" w:color="auto"/>
            </w:tcBorders>
            <w:vAlign w:val="bottom"/>
          </w:tcPr>
          <w:p w14:paraId="1CA900E7" w14:textId="08DD9147" w:rsidR="00803361" w:rsidRPr="0031078E" w:rsidRDefault="00803361" w:rsidP="00994E2F">
            <w:pPr>
              <w:spacing w:line="276" w:lineRule="auto"/>
              <w:ind w:right="1"/>
              <w:jc w:val="center"/>
              <w:rPr>
                <w:rFonts w:ascii="Arial" w:hAnsi="Arial" w:cs="Arial"/>
                <w:b/>
                <w:bCs/>
              </w:rPr>
            </w:pPr>
            <w:r>
              <w:rPr>
                <w:rFonts w:ascii="Arial" w:hAnsi="Arial" w:cs="Arial"/>
                <w:b/>
                <w:bCs/>
              </w:rPr>
              <w:t>Major Themes</w:t>
            </w:r>
          </w:p>
        </w:tc>
        <w:tc>
          <w:tcPr>
            <w:tcW w:w="4410" w:type="dxa"/>
            <w:tcBorders>
              <w:top w:val="single" w:sz="4" w:space="0" w:color="auto"/>
              <w:bottom w:val="single" w:sz="4" w:space="0" w:color="auto"/>
            </w:tcBorders>
            <w:vAlign w:val="bottom"/>
          </w:tcPr>
          <w:p w14:paraId="1A946122" w14:textId="3FFA5DDD" w:rsidR="00803361" w:rsidRPr="0031078E" w:rsidRDefault="00803361" w:rsidP="00994E2F">
            <w:pPr>
              <w:spacing w:line="276" w:lineRule="auto"/>
              <w:ind w:right="1"/>
              <w:jc w:val="center"/>
              <w:rPr>
                <w:rFonts w:ascii="Arial" w:hAnsi="Arial" w:cs="Arial"/>
                <w:b/>
                <w:bCs/>
              </w:rPr>
            </w:pPr>
            <w:r w:rsidRPr="0031078E">
              <w:rPr>
                <w:rFonts w:ascii="Arial" w:hAnsi="Arial" w:cs="Arial"/>
                <w:b/>
                <w:bCs/>
              </w:rPr>
              <w:t>Core Ideas</w:t>
            </w:r>
          </w:p>
        </w:tc>
      </w:tr>
      <w:tr w:rsidR="00AE0BDF" w14:paraId="1885295E" w14:textId="77777777" w:rsidTr="00994E2F">
        <w:tc>
          <w:tcPr>
            <w:tcW w:w="1800" w:type="dxa"/>
            <w:vMerge w:val="restart"/>
            <w:tcBorders>
              <w:top w:val="single" w:sz="4" w:space="0" w:color="auto"/>
            </w:tcBorders>
          </w:tcPr>
          <w:p w14:paraId="1D3A12DD" w14:textId="076B815C" w:rsidR="00AE0BDF" w:rsidRPr="00803361" w:rsidRDefault="00803361" w:rsidP="00803361">
            <w:pPr>
              <w:ind w:right="1"/>
              <w:jc w:val="center"/>
              <w:rPr>
                <w:rFonts w:ascii="Arial" w:hAnsi="Arial" w:cs="Arial"/>
                <w:i/>
                <w:iCs/>
                <w:sz w:val="20"/>
                <w:szCs w:val="20"/>
              </w:rPr>
            </w:pPr>
            <w:r w:rsidRPr="00803361">
              <w:rPr>
                <w:rFonts w:ascii="Arial" w:hAnsi="Arial" w:cs="Arial"/>
                <w:i/>
                <w:iCs/>
                <w:sz w:val="20"/>
                <w:szCs w:val="20"/>
              </w:rPr>
              <w:t>Indicator 1: Preparedness in Normal Times</w:t>
            </w:r>
          </w:p>
          <w:p w14:paraId="57F27636" w14:textId="77777777" w:rsidR="00AE0BDF" w:rsidRDefault="00AE0BDF" w:rsidP="00B10240">
            <w:pPr>
              <w:spacing w:line="360" w:lineRule="auto"/>
              <w:ind w:right="1"/>
              <w:jc w:val="center"/>
              <w:rPr>
                <w:rFonts w:ascii="Arial" w:hAnsi="Arial" w:cs="Arial"/>
                <w:sz w:val="20"/>
                <w:szCs w:val="20"/>
              </w:rPr>
            </w:pPr>
          </w:p>
          <w:p w14:paraId="0BADCBDD" w14:textId="77777777" w:rsidR="00AE0BDF" w:rsidRDefault="00AE0BDF" w:rsidP="00B10240">
            <w:pPr>
              <w:spacing w:line="360" w:lineRule="auto"/>
              <w:ind w:right="1"/>
              <w:jc w:val="center"/>
              <w:rPr>
                <w:rFonts w:ascii="Arial" w:hAnsi="Arial" w:cs="Arial"/>
                <w:sz w:val="20"/>
                <w:szCs w:val="20"/>
              </w:rPr>
            </w:pPr>
          </w:p>
          <w:p w14:paraId="25729363" w14:textId="77777777" w:rsidR="00AE0BDF" w:rsidRDefault="00AE0BDF" w:rsidP="00B10240">
            <w:pPr>
              <w:spacing w:line="360" w:lineRule="auto"/>
              <w:ind w:right="1"/>
              <w:jc w:val="center"/>
              <w:rPr>
                <w:rFonts w:ascii="Arial" w:hAnsi="Arial" w:cs="Arial"/>
                <w:sz w:val="20"/>
                <w:szCs w:val="20"/>
              </w:rPr>
            </w:pPr>
          </w:p>
          <w:p w14:paraId="378CF5FC" w14:textId="77777777" w:rsidR="00AE0BDF" w:rsidRPr="001F43B8" w:rsidRDefault="00AE0BDF" w:rsidP="00B10240">
            <w:pPr>
              <w:spacing w:line="360" w:lineRule="auto"/>
              <w:ind w:right="1"/>
              <w:jc w:val="center"/>
              <w:rPr>
                <w:rFonts w:ascii="Arial" w:hAnsi="Arial" w:cs="Arial"/>
                <w:b/>
                <w:bCs/>
                <w:sz w:val="20"/>
                <w:szCs w:val="20"/>
              </w:rPr>
            </w:pPr>
            <w:r w:rsidRPr="001F43B8">
              <w:rPr>
                <w:rFonts w:ascii="Arial" w:hAnsi="Arial" w:cs="Arial"/>
                <w:b/>
                <w:bCs/>
                <w:sz w:val="20"/>
                <w:szCs w:val="20"/>
              </w:rPr>
              <w:t xml:space="preserve">Mean: 4.44 </w:t>
            </w:r>
          </w:p>
          <w:p w14:paraId="35C5A727" w14:textId="77777777" w:rsidR="00AE0BDF" w:rsidRPr="001F43B8" w:rsidRDefault="00AE0BDF" w:rsidP="00B10240">
            <w:pPr>
              <w:spacing w:line="360" w:lineRule="auto"/>
              <w:ind w:right="1"/>
              <w:jc w:val="center"/>
              <w:rPr>
                <w:rFonts w:ascii="Arial" w:hAnsi="Arial" w:cs="Arial"/>
                <w:b/>
                <w:bCs/>
                <w:sz w:val="20"/>
                <w:szCs w:val="20"/>
              </w:rPr>
            </w:pPr>
            <w:r w:rsidRPr="001F43B8">
              <w:rPr>
                <w:rFonts w:ascii="Arial" w:hAnsi="Arial" w:cs="Arial"/>
                <w:b/>
                <w:bCs/>
                <w:sz w:val="20"/>
                <w:szCs w:val="20"/>
              </w:rPr>
              <w:t>SD: 0.65</w:t>
            </w:r>
          </w:p>
          <w:p w14:paraId="7AAA5E81" w14:textId="77777777" w:rsidR="00AE0BDF" w:rsidRPr="001F43B8" w:rsidRDefault="00AE0BDF" w:rsidP="00B10240">
            <w:pPr>
              <w:spacing w:line="360" w:lineRule="auto"/>
              <w:ind w:right="1"/>
              <w:jc w:val="center"/>
              <w:rPr>
                <w:rFonts w:ascii="Arial" w:hAnsi="Arial" w:cs="Arial"/>
                <w:i/>
                <w:iCs/>
                <w:sz w:val="20"/>
                <w:szCs w:val="20"/>
              </w:rPr>
            </w:pPr>
            <w:r w:rsidRPr="001F43B8">
              <w:rPr>
                <w:rFonts w:ascii="Arial" w:hAnsi="Arial" w:cs="Arial"/>
                <w:b/>
                <w:bCs/>
                <w:i/>
                <w:iCs/>
                <w:sz w:val="20"/>
                <w:szCs w:val="20"/>
              </w:rPr>
              <w:t>(Very High)</w:t>
            </w:r>
          </w:p>
        </w:tc>
        <w:tc>
          <w:tcPr>
            <w:tcW w:w="2790" w:type="dxa"/>
            <w:tcBorders>
              <w:top w:val="single" w:sz="4" w:space="0" w:color="auto"/>
            </w:tcBorders>
          </w:tcPr>
          <w:p w14:paraId="74F864CF" w14:textId="77777777" w:rsidR="00AE0BDF" w:rsidRPr="00803361" w:rsidRDefault="00AE0BDF" w:rsidP="00B10240">
            <w:pPr>
              <w:spacing w:line="360" w:lineRule="auto"/>
              <w:ind w:right="1"/>
              <w:rPr>
                <w:rFonts w:ascii="Arial" w:hAnsi="Arial" w:cs="Arial"/>
                <w:b/>
                <w:bCs/>
                <w:sz w:val="20"/>
                <w:szCs w:val="20"/>
              </w:rPr>
            </w:pPr>
          </w:p>
          <w:p w14:paraId="78405367" w14:textId="77777777" w:rsidR="00AE0BDF" w:rsidRPr="00803361" w:rsidRDefault="00AE0BDF" w:rsidP="00AE0BDF">
            <w:pPr>
              <w:pStyle w:val="ListParagraph"/>
              <w:numPr>
                <w:ilvl w:val="0"/>
                <w:numId w:val="32"/>
              </w:numPr>
              <w:spacing w:line="276" w:lineRule="auto"/>
              <w:ind w:left="527" w:right="1"/>
              <w:rPr>
                <w:rFonts w:ascii="Arial" w:hAnsi="Arial" w:cs="Arial"/>
                <w:b/>
                <w:bCs/>
                <w:sz w:val="20"/>
                <w:szCs w:val="20"/>
              </w:rPr>
            </w:pPr>
            <w:r w:rsidRPr="00803361">
              <w:rPr>
                <w:rFonts w:ascii="Arial" w:hAnsi="Arial" w:cs="Arial"/>
                <w:b/>
                <w:bCs/>
                <w:sz w:val="20"/>
                <w:szCs w:val="20"/>
              </w:rPr>
              <w:t>Participatory Contingency Planning</w:t>
            </w:r>
          </w:p>
        </w:tc>
        <w:tc>
          <w:tcPr>
            <w:tcW w:w="4410" w:type="dxa"/>
            <w:tcBorders>
              <w:top w:val="single" w:sz="4" w:space="0" w:color="auto"/>
            </w:tcBorders>
          </w:tcPr>
          <w:p w14:paraId="56CCA082"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Collaborative preparation of school-specific DRRM plans</w:t>
            </w:r>
          </w:p>
          <w:p w14:paraId="03369271"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Alignment with division-level mandates</w:t>
            </w:r>
          </w:p>
          <w:p w14:paraId="5F9CAC26"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Adaptation of physical resources to compensate for single-story infrastructure.</w:t>
            </w:r>
          </w:p>
        </w:tc>
      </w:tr>
      <w:tr w:rsidR="00AE0BDF" w14:paraId="48DBD924" w14:textId="77777777" w:rsidTr="00994E2F">
        <w:tc>
          <w:tcPr>
            <w:tcW w:w="1800" w:type="dxa"/>
            <w:vMerge/>
          </w:tcPr>
          <w:p w14:paraId="4790B36B" w14:textId="77777777" w:rsidR="00AE0BDF" w:rsidRPr="0031078E" w:rsidRDefault="00AE0BDF" w:rsidP="00B10240">
            <w:pPr>
              <w:ind w:right="1"/>
              <w:jc w:val="both"/>
              <w:rPr>
                <w:rFonts w:ascii="Arial" w:hAnsi="Arial" w:cs="Arial"/>
              </w:rPr>
            </w:pPr>
          </w:p>
        </w:tc>
        <w:tc>
          <w:tcPr>
            <w:tcW w:w="2790" w:type="dxa"/>
          </w:tcPr>
          <w:p w14:paraId="153FF986" w14:textId="77777777" w:rsidR="00AE0BDF" w:rsidRPr="00803361" w:rsidRDefault="00AE0BDF" w:rsidP="00AE0BDF">
            <w:pPr>
              <w:pStyle w:val="ListParagraph"/>
              <w:numPr>
                <w:ilvl w:val="0"/>
                <w:numId w:val="32"/>
              </w:numPr>
              <w:spacing w:line="276" w:lineRule="auto"/>
              <w:ind w:left="527" w:right="1"/>
              <w:rPr>
                <w:rFonts w:ascii="Arial" w:hAnsi="Arial" w:cs="Arial"/>
                <w:b/>
                <w:bCs/>
                <w:sz w:val="20"/>
                <w:szCs w:val="20"/>
              </w:rPr>
            </w:pPr>
            <w:r w:rsidRPr="00803361">
              <w:rPr>
                <w:rFonts w:ascii="Arial" w:hAnsi="Arial" w:cs="Arial"/>
                <w:b/>
                <w:bCs/>
                <w:sz w:val="20"/>
                <w:szCs w:val="20"/>
              </w:rPr>
              <w:t>Proactive Physical Mitigation</w:t>
            </w:r>
          </w:p>
        </w:tc>
        <w:tc>
          <w:tcPr>
            <w:tcW w:w="4410" w:type="dxa"/>
          </w:tcPr>
          <w:p w14:paraId="52544180"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Routine infrastructure reinforcement; drainage maintenance</w:t>
            </w:r>
          </w:p>
          <w:p w14:paraId="0561B1B5"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 xml:space="preserve">Waste management; </w:t>
            </w:r>
          </w:p>
          <w:p w14:paraId="0FEB16F1"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Engagement of school personnel and students in preventive practices.</w:t>
            </w:r>
          </w:p>
        </w:tc>
      </w:tr>
      <w:tr w:rsidR="00AE0BDF" w14:paraId="1745B73B" w14:textId="77777777" w:rsidTr="00994E2F">
        <w:tc>
          <w:tcPr>
            <w:tcW w:w="1800" w:type="dxa"/>
            <w:vMerge/>
            <w:tcBorders>
              <w:bottom w:val="single" w:sz="4" w:space="0" w:color="auto"/>
            </w:tcBorders>
          </w:tcPr>
          <w:p w14:paraId="35261FC2" w14:textId="77777777" w:rsidR="00AE0BDF" w:rsidRPr="0031078E" w:rsidRDefault="00AE0BDF" w:rsidP="00B10240">
            <w:pPr>
              <w:ind w:right="1"/>
              <w:jc w:val="both"/>
              <w:rPr>
                <w:rFonts w:ascii="Arial" w:hAnsi="Arial" w:cs="Arial"/>
              </w:rPr>
            </w:pPr>
          </w:p>
        </w:tc>
        <w:tc>
          <w:tcPr>
            <w:tcW w:w="2790" w:type="dxa"/>
            <w:tcBorders>
              <w:bottom w:val="single" w:sz="4" w:space="0" w:color="auto"/>
            </w:tcBorders>
          </w:tcPr>
          <w:p w14:paraId="129D1B9D" w14:textId="77777777" w:rsidR="00AE0BDF" w:rsidRPr="00803361" w:rsidRDefault="00AE0BDF" w:rsidP="00AE0BDF">
            <w:pPr>
              <w:pStyle w:val="ListParagraph"/>
              <w:numPr>
                <w:ilvl w:val="0"/>
                <w:numId w:val="33"/>
              </w:numPr>
              <w:spacing w:line="480" w:lineRule="auto"/>
              <w:ind w:left="527" w:right="1"/>
              <w:jc w:val="both"/>
              <w:rPr>
                <w:rFonts w:ascii="Arial" w:hAnsi="Arial" w:cs="Arial"/>
                <w:b/>
                <w:bCs/>
                <w:sz w:val="20"/>
                <w:szCs w:val="20"/>
              </w:rPr>
            </w:pPr>
            <w:r w:rsidRPr="00803361">
              <w:rPr>
                <w:rFonts w:ascii="Arial" w:hAnsi="Arial" w:cs="Arial"/>
                <w:b/>
                <w:bCs/>
                <w:sz w:val="20"/>
                <w:szCs w:val="20"/>
              </w:rPr>
              <w:t>Leadership Commitment</w:t>
            </w:r>
          </w:p>
        </w:tc>
        <w:tc>
          <w:tcPr>
            <w:tcW w:w="4410" w:type="dxa"/>
            <w:tcBorders>
              <w:bottom w:val="single" w:sz="4" w:space="0" w:color="auto"/>
            </w:tcBorders>
          </w:tcPr>
          <w:p w14:paraId="30390A1D" w14:textId="77777777" w:rsidR="00AE0BDF" w:rsidRPr="00803361" w:rsidRDefault="00AE0BDF" w:rsidP="00AE0BDF">
            <w:pPr>
              <w:pStyle w:val="ListParagraph"/>
              <w:numPr>
                <w:ilvl w:val="0"/>
                <w:numId w:val="33"/>
              </w:numPr>
              <w:ind w:left="433" w:right="1"/>
              <w:jc w:val="both"/>
              <w:rPr>
                <w:rFonts w:ascii="Arial" w:hAnsi="Arial" w:cs="Arial"/>
                <w:b/>
                <w:bCs/>
                <w:sz w:val="20"/>
                <w:szCs w:val="20"/>
              </w:rPr>
            </w:pPr>
            <w:r w:rsidRPr="00803361">
              <w:rPr>
                <w:rFonts w:ascii="Arial" w:hAnsi="Arial" w:cs="Arial"/>
                <w:b/>
                <w:bCs/>
                <w:sz w:val="20"/>
                <w:szCs w:val="20"/>
              </w:rPr>
              <w:t>School heads’ leadership and administrative support drive implementation and ensure accountability.</w:t>
            </w:r>
          </w:p>
        </w:tc>
      </w:tr>
      <w:tr w:rsidR="00AE0BDF" w:rsidRPr="001F43B8" w14:paraId="2DD7998C" w14:textId="77777777" w:rsidTr="00994E2F">
        <w:tc>
          <w:tcPr>
            <w:tcW w:w="1800" w:type="dxa"/>
            <w:vMerge w:val="restart"/>
            <w:tcBorders>
              <w:top w:val="single" w:sz="4" w:space="0" w:color="auto"/>
            </w:tcBorders>
          </w:tcPr>
          <w:p w14:paraId="62620E9B" w14:textId="57E7B8D6" w:rsidR="00AE0BDF" w:rsidRPr="00803361" w:rsidRDefault="00803361" w:rsidP="00803361">
            <w:pPr>
              <w:ind w:right="1"/>
              <w:jc w:val="center"/>
              <w:rPr>
                <w:rFonts w:ascii="Arial" w:hAnsi="Arial" w:cs="Arial"/>
                <w:i/>
                <w:iCs/>
                <w:sz w:val="20"/>
                <w:szCs w:val="20"/>
              </w:rPr>
            </w:pPr>
            <w:r w:rsidRPr="00803361">
              <w:rPr>
                <w:rFonts w:ascii="Arial" w:hAnsi="Arial" w:cs="Arial"/>
                <w:i/>
                <w:iCs/>
                <w:sz w:val="20"/>
                <w:szCs w:val="20"/>
              </w:rPr>
              <w:t xml:space="preserve">Indicator </w:t>
            </w:r>
            <w:r>
              <w:rPr>
                <w:rFonts w:ascii="Arial" w:hAnsi="Arial" w:cs="Arial"/>
                <w:i/>
                <w:iCs/>
                <w:sz w:val="20"/>
                <w:szCs w:val="20"/>
              </w:rPr>
              <w:t>2</w:t>
            </w:r>
            <w:r w:rsidRPr="00803361">
              <w:rPr>
                <w:rFonts w:ascii="Arial" w:hAnsi="Arial" w:cs="Arial"/>
                <w:i/>
                <w:iCs/>
                <w:sz w:val="20"/>
                <w:szCs w:val="20"/>
              </w:rPr>
              <w:t xml:space="preserve">: </w:t>
            </w:r>
            <w:r>
              <w:rPr>
                <w:rFonts w:ascii="Arial" w:hAnsi="Arial" w:cs="Arial"/>
                <w:i/>
                <w:iCs/>
                <w:sz w:val="20"/>
                <w:szCs w:val="20"/>
              </w:rPr>
              <w:t>Preparedness for Response</w:t>
            </w:r>
          </w:p>
          <w:p w14:paraId="66D74725" w14:textId="77777777" w:rsidR="00AE0BDF" w:rsidRDefault="00AE0BDF" w:rsidP="00B10240">
            <w:pPr>
              <w:spacing w:line="360" w:lineRule="auto"/>
              <w:ind w:right="1"/>
              <w:jc w:val="center"/>
              <w:rPr>
                <w:rFonts w:ascii="Arial" w:hAnsi="Arial" w:cs="Arial"/>
                <w:sz w:val="20"/>
                <w:szCs w:val="20"/>
              </w:rPr>
            </w:pPr>
          </w:p>
          <w:p w14:paraId="6BD1336D" w14:textId="77777777" w:rsidR="00AE0BDF" w:rsidRPr="001F43B8" w:rsidRDefault="00AE0BDF" w:rsidP="00B10240">
            <w:pPr>
              <w:spacing w:line="360" w:lineRule="auto"/>
              <w:ind w:right="1"/>
              <w:jc w:val="center"/>
              <w:rPr>
                <w:rFonts w:ascii="Arial" w:hAnsi="Arial" w:cs="Arial"/>
                <w:b/>
                <w:bCs/>
                <w:sz w:val="20"/>
                <w:szCs w:val="20"/>
              </w:rPr>
            </w:pPr>
            <w:r w:rsidRPr="001F43B8">
              <w:rPr>
                <w:rFonts w:ascii="Arial" w:hAnsi="Arial" w:cs="Arial"/>
                <w:b/>
                <w:bCs/>
                <w:sz w:val="20"/>
                <w:szCs w:val="20"/>
              </w:rPr>
              <w:t>Mean: 4.</w:t>
            </w:r>
            <w:r>
              <w:rPr>
                <w:rFonts w:ascii="Arial" w:hAnsi="Arial" w:cs="Arial"/>
                <w:b/>
                <w:bCs/>
                <w:sz w:val="20"/>
                <w:szCs w:val="20"/>
              </w:rPr>
              <w:t>55</w:t>
            </w:r>
            <w:r w:rsidRPr="001F43B8">
              <w:rPr>
                <w:rFonts w:ascii="Arial" w:hAnsi="Arial" w:cs="Arial"/>
                <w:b/>
                <w:bCs/>
                <w:sz w:val="20"/>
                <w:szCs w:val="20"/>
              </w:rPr>
              <w:t xml:space="preserve"> </w:t>
            </w:r>
          </w:p>
          <w:p w14:paraId="53AEC665" w14:textId="77777777" w:rsidR="00AE0BDF" w:rsidRPr="001F43B8" w:rsidRDefault="00AE0BDF" w:rsidP="00B10240">
            <w:pPr>
              <w:spacing w:line="360" w:lineRule="auto"/>
              <w:ind w:right="1"/>
              <w:jc w:val="center"/>
              <w:rPr>
                <w:rFonts w:ascii="Arial" w:hAnsi="Arial" w:cs="Arial"/>
                <w:b/>
                <w:bCs/>
                <w:sz w:val="20"/>
                <w:szCs w:val="20"/>
              </w:rPr>
            </w:pPr>
            <w:r w:rsidRPr="001F43B8">
              <w:rPr>
                <w:rFonts w:ascii="Arial" w:hAnsi="Arial" w:cs="Arial"/>
                <w:b/>
                <w:bCs/>
                <w:sz w:val="20"/>
                <w:szCs w:val="20"/>
              </w:rPr>
              <w:t>SD: 0.</w:t>
            </w:r>
            <w:r>
              <w:rPr>
                <w:rFonts w:ascii="Arial" w:hAnsi="Arial" w:cs="Arial"/>
                <w:b/>
                <w:bCs/>
                <w:sz w:val="20"/>
                <w:szCs w:val="20"/>
              </w:rPr>
              <w:t>54</w:t>
            </w:r>
          </w:p>
          <w:p w14:paraId="72FDFCCF" w14:textId="77777777" w:rsidR="00AE0BDF" w:rsidRPr="001F43B8" w:rsidRDefault="00AE0BDF" w:rsidP="00B10240">
            <w:pPr>
              <w:spacing w:line="360" w:lineRule="auto"/>
              <w:ind w:right="1"/>
              <w:jc w:val="center"/>
              <w:rPr>
                <w:rFonts w:ascii="Arial" w:hAnsi="Arial" w:cs="Arial"/>
                <w:i/>
                <w:iCs/>
                <w:sz w:val="20"/>
                <w:szCs w:val="20"/>
              </w:rPr>
            </w:pPr>
            <w:r w:rsidRPr="001F43B8">
              <w:rPr>
                <w:rFonts w:ascii="Arial" w:hAnsi="Arial" w:cs="Arial"/>
                <w:b/>
                <w:bCs/>
                <w:i/>
                <w:iCs/>
                <w:sz w:val="20"/>
                <w:szCs w:val="20"/>
              </w:rPr>
              <w:t>(Very High)</w:t>
            </w:r>
          </w:p>
        </w:tc>
        <w:tc>
          <w:tcPr>
            <w:tcW w:w="2790" w:type="dxa"/>
            <w:tcBorders>
              <w:top w:val="single" w:sz="4" w:space="0" w:color="auto"/>
            </w:tcBorders>
            <w:vAlign w:val="center"/>
          </w:tcPr>
          <w:p w14:paraId="14D89587" w14:textId="77777777" w:rsidR="00AE0BDF" w:rsidRPr="00803361" w:rsidRDefault="00AE0BDF" w:rsidP="00E82285">
            <w:pPr>
              <w:spacing w:line="360" w:lineRule="auto"/>
              <w:ind w:right="1"/>
              <w:rPr>
                <w:rFonts w:ascii="Arial" w:hAnsi="Arial" w:cs="Arial"/>
                <w:b/>
                <w:bCs/>
                <w:sz w:val="20"/>
                <w:szCs w:val="20"/>
              </w:rPr>
            </w:pPr>
          </w:p>
          <w:p w14:paraId="53ED0720" w14:textId="77777777" w:rsidR="00AE0BDF" w:rsidRPr="00803361" w:rsidRDefault="00AE0BDF" w:rsidP="00E82285">
            <w:pPr>
              <w:pStyle w:val="ListParagraph"/>
              <w:numPr>
                <w:ilvl w:val="0"/>
                <w:numId w:val="32"/>
              </w:numPr>
              <w:spacing w:line="276" w:lineRule="auto"/>
              <w:ind w:left="527" w:right="1"/>
              <w:rPr>
                <w:rFonts w:ascii="Arial" w:hAnsi="Arial" w:cs="Arial"/>
                <w:b/>
                <w:bCs/>
                <w:sz w:val="20"/>
                <w:szCs w:val="20"/>
              </w:rPr>
            </w:pPr>
            <w:r w:rsidRPr="00803361">
              <w:rPr>
                <w:rFonts w:ascii="Arial" w:hAnsi="Arial" w:cs="Arial"/>
                <w:b/>
                <w:bCs/>
                <w:sz w:val="20"/>
                <w:szCs w:val="20"/>
              </w:rPr>
              <w:t>Preventive Safety Measures</w:t>
            </w:r>
          </w:p>
        </w:tc>
        <w:tc>
          <w:tcPr>
            <w:tcW w:w="4410" w:type="dxa"/>
            <w:tcBorders>
              <w:top w:val="single" w:sz="4" w:space="0" w:color="auto"/>
            </w:tcBorders>
          </w:tcPr>
          <w:p w14:paraId="47374179"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Systematic inspection of electrical systems, emergency kits, and classroom safety prior to disaster onset.</w:t>
            </w:r>
          </w:p>
        </w:tc>
      </w:tr>
      <w:tr w:rsidR="00AE0BDF" w:rsidRPr="001F43B8" w14:paraId="1CD0D6EE" w14:textId="77777777" w:rsidTr="00994E2F">
        <w:tc>
          <w:tcPr>
            <w:tcW w:w="1800" w:type="dxa"/>
            <w:vMerge/>
          </w:tcPr>
          <w:p w14:paraId="432A5A7D" w14:textId="77777777" w:rsidR="00AE0BDF" w:rsidRPr="0031078E" w:rsidRDefault="00AE0BDF" w:rsidP="00B10240">
            <w:pPr>
              <w:ind w:right="1"/>
              <w:jc w:val="both"/>
              <w:rPr>
                <w:rFonts w:ascii="Arial" w:hAnsi="Arial" w:cs="Arial"/>
              </w:rPr>
            </w:pPr>
          </w:p>
        </w:tc>
        <w:tc>
          <w:tcPr>
            <w:tcW w:w="2790" w:type="dxa"/>
            <w:vAlign w:val="center"/>
          </w:tcPr>
          <w:p w14:paraId="4ADE43F4" w14:textId="77777777" w:rsidR="00AE0BDF" w:rsidRPr="00803361" w:rsidRDefault="00AE0BDF" w:rsidP="00E82285">
            <w:pPr>
              <w:pStyle w:val="ListParagraph"/>
              <w:numPr>
                <w:ilvl w:val="0"/>
                <w:numId w:val="32"/>
              </w:numPr>
              <w:spacing w:line="276" w:lineRule="auto"/>
              <w:ind w:left="527" w:right="1"/>
              <w:rPr>
                <w:rFonts w:ascii="Arial" w:hAnsi="Arial" w:cs="Arial"/>
                <w:b/>
                <w:bCs/>
                <w:sz w:val="20"/>
                <w:szCs w:val="20"/>
              </w:rPr>
            </w:pPr>
            <w:r w:rsidRPr="00803361">
              <w:rPr>
                <w:rFonts w:ascii="Arial" w:hAnsi="Arial" w:cs="Arial"/>
                <w:b/>
                <w:bCs/>
                <w:sz w:val="20"/>
                <w:szCs w:val="20"/>
              </w:rPr>
              <w:t>Community-Based Communication</w:t>
            </w:r>
          </w:p>
        </w:tc>
        <w:tc>
          <w:tcPr>
            <w:tcW w:w="4410" w:type="dxa"/>
          </w:tcPr>
          <w:p w14:paraId="4BE1B99D"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Use of digital platforms (Facebook, group chats)</w:t>
            </w:r>
          </w:p>
          <w:p w14:paraId="2D9A8AF0"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Collaboration with barangay units to disseminate warnings and advisories.</w:t>
            </w:r>
          </w:p>
        </w:tc>
      </w:tr>
      <w:tr w:rsidR="00AE0BDF" w:rsidRPr="001F43B8" w14:paraId="0F770D0B" w14:textId="77777777" w:rsidTr="00994E2F">
        <w:tc>
          <w:tcPr>
            <w:tcW w:w="1800" w:type="dxa"/>
            <w:vMerge/>
            <w:tcBorders>
              <w:bottom w:val="single" w:sz="4" w:space="0" w:color="auto"/>
            </w:tcBorders>
          </w:tcPr>
          <w:p w14:paraId="12D235B7" w14:textId="77777777" w:rsidR="00AE0BDF" w:rsidRPr="0031078E" w:rsidRDefault="00AE0BDF" w:rsidP="00B10240">
            <w:pPr>
              <w:ind w:right="1"/>
              <w:jc w:val="both"/>
              <w:rPr>
                <w:rFonts w:ascii="Arial" w:hAnsi="Arial" w:cs="Arial"/>
              </w:rPr>
            </w:pPr>
          </w:p>
        </w:tc>
        <w:tc>
          <w:tcPr>
            <w:tcW w:w="2790" w:type="dxa"/>
            <w:tcBorders>
              <w:bottom w:val="single" w:sz="4" w:space="0" w:color="auto"/>
            </w:tcBorders>
            <w:vAlign w:val="center"/>
          </w:tcPr>
          <w:p w14:paraId="25636B60" w14:textId="77777777" w:rsidR="00AE0BDF" w:rsidRPr="00803361" w:rsidRDefault="00AE0BDF" w:rsidP="00E82285">
            <w:pPr>
              <w:pStyle w:val="ListParagraph"/>
              <w:numPr>
                <w:ilvl w:val="0"/>
                <w:numId w:val="33"/>
              </w:numPr>
              <w:spacing w:line="276" w:lineRule="auto"/>
              <w:ind w:left="527" w:right="1"/>
              <w:rPr>
                <w:rFonts w:ascii="Arial" w:hAnsi="Arial" w:cs="Arial"/>
                <w:b/>
                <w:bCs/>
                <w:sz w:val="20"/>
                <w:szCs w:val="20"/>
              </w:rPr>
            </w:pPr>
            <w:r w:rsidRPr="00803361">
              <w:rPr>
                <w:rFonts w:ascii="Arial" w:hAnsi="Arial" w:cs="Arial"/>
                <w:b/>
                <w:bCs/>
                <w:sz w:val="20"/>
                <w:szCs w:val="20"/>
              </w:rPr>
              <w:t>Strategic Continuity Planning</w:t>
            </w:r>
          </w:p>
        </w:tc>
        <w:tc>
          <w:tcPr>
            <w:tcW w:w="4410" w:type="dxa"/>
            <w:tcBorders>
              <w:bottom w:val="single" w:sz="4" w:space="0" w:color="auto"/>
            </w:tcBorders>
          </w:tcPr>
          <w:p w14:paraId="721AF6B2" w14:textId="77777777" w:rsidR="00AE0BDF" w:rsidRPr="00803361" w:rsidRDefault="00AE0BDF" w:rsidP="00AE0BDF">
            <w:pPr>
              <w:pStyle w:val="ListParagraph"/>
              <w:numPr>
                <w:ilvl w:val="0"/>
                <w:numId w:val="33"/>
              </w:numPr>
              <w:ind w:left="433" w:right="1"/>
              <w:jc w:val="both"/>
              <w:rPr>
                <w:rFonts w:ascii="Arial" w:hAnsi="Arial" w:cs="Arial"/>
                <w:b/>
                <w:bCs/>
                <w:sz w:val="20"/>
                <w:szCs w:val="20"/>
              </w:rPr>
            </w:pPr>
            <w:r w:rsidRPr="00803361">
              <w:rPr>
                <w:rFonts w:ascii="Arial" w:hAnsi="Arial" w:cs="Arial"/>
                <w:b/>
                <w:bCs/>
                <w:sz w:val="20"/>
                <w:szCs w:val="20"/>
              </w:rPr>
              <w:t>Safeguarding records, adoption of soft copies, and ensuring continuity of learning during emergencies.</w:t>
            </w:r>
          </w:p>
        </w:tc>
      </w:tr>
      <w:tr w:rsidR="00AE0BDF" w:rsidRPr="001F43B8" w14:paraId="7860588B" w14:textId="77777777" w:rsidTr="00994E2F">
        <w:tc>
          <w:tcPr>
            <w:tcW w:w="1800" w:type="dxa"/>
            <w:vMerge w:val="restart"/>
            <w:tcBorders>
              <w:top w:val="single" w:sz="4" w:space="0" w:color="auto"/>
            </w:tcBorders>
          </w:tcPr>
          <w:p w14:paraId="6FAAD124" w14:textId="7D910A74" w:rsidR="00803361" w:rsidRPr="00803361" w:rsidRDefault="00803361" w:rsidP="00803361">
            <w:pPr>
              <w:ind w:right="1"/>
              <w:jc w:val="center"/>
              <w:rPr>
                <w:rFonts w:ascii="Arial" w:hAnsi="Arial" w:cs="Arial"/>
                <w:i/>
                <w:iCs/>
                <w:sz w:val="20"/>
                <w:szCs w:val="20"/>
              </w:rPr>
            </w:pPr>
            <w:r w:rsidRPr="00803361">
              <w:rPr>
                <w:rFonts w:ascii="Arial" w:hAnsi="Arial" w:cs="Arial"/>
                <w:i/>
                <w:iCs/>
                <w:sz w:val="20"/>
                <w:szCs w:val="20"/>
              </w:rPr>
              <w:t xml:space="preserve">Indicator </w:t>
            </w:r>
            <w:r>
              <w:rPr>
                <w:rFonts w:ascii="Arial" w:hAnsi="Arial" w:cs="Arial"/>
                <w:i/>
                <w:iCs/>
                <w:sz w:val="20"/>
                <w:szCs w:val="20"/>
              </w:rPr>
              <w:t>3</w:t>
            </w:r>
            <w:r w:rsidRPr="00803361">
              <w:rPr>
                <w:rFonts w:ascii="Arial" w:hAnsi="Arial" w:cs="Arial"/>
                <w:i/>
                <w:iCs/>
                <w:sz w:val="20"/>
                <w:szCs w:val="20"/>
              </w:rPr>
              <w:t xml:space="preserve">: </w:t>
            </w:r>
            <w:r>
              <w:rPr>
                <w:rFonts w:ascii="Arial" w:hAnsi="Arial" w:cs="Arial"/>
                <w:i/>
                <w:iCs/>
                <w:sz w:val="20"/>
                <w:szCs w:val="20"/>
              </w:rPr>
              <w:t>Disaster Preparedness and Response Measures</w:t>
            </w:r>
          </w:p>
          <w:p w14:paraId="609CF7D1" w14:textId="77777777" w:rsidR="00AE0BDF" w:rsidRDefault="00AE0BDF" w:rsidP="00B10240">
            <w:pPr>
              <w:spacing w:line="360" w:lineRule="auto"/>
              <w:ind w:right="1"/>
              <w:jc w:val="center"/>
              <w:rPr>
                <w:rFonts w:ascii="Arial" w:hAnsi="Arial" w:cs="Arial"/>
                <w:sz w:val="20"/>
                <w:szCs w:val="20"/>
              </w:rPr>
            </w:pPr>
          </w:p>
          <w:p w14:paraId="1AB001BF" w14:textId="77777777" w:rsidR="00803361" w:rsidRDefault="00803361" w:rsidP="00B10240">
            <w:pPr>
              <w:spacing w:line="360" w:lineRule="auto"/>
              <w:ind w:right="1"/>
              <w:jc w:val="center"/>
              <w:rPr>
                <w:rFonts w:ascii="Arial" w:hAnsi="Arial" w:cs="Arial"/>
                <w:b/>
                <w:bCs/>
                <w:sz w:val="20"/>
                <w:szCs w:val="20"/>
              </w:rPr>
            </w:pPr>
          </w:p>
          <w:p w14:paraId="65F73C67" w14:textId="404B0FF5" w:rsidR="00AE0BDF" w:rsidRPr="001F43B8" w:rsidRDefault="00AE0BDF" w:rsidP="00B10240">
            <w:pPr>
              <w:spacing w:line="360" w:lineRule="auto"/>
              <w:ind w:right="1"/>
              <w:jc w:val="center"/>
              <w:rPr>
                <w:rFonts w:ascii="Arial" w:hAnsi="Arial" w:cs="Arial"/>
                <w:b/>
                <w:bCs/>
                <w:sz w:val="20"/>
                <w:szCs w:val="20"/>
              </w:rPr>
            </w:pPr>
            <w:r w:rsidRPr="001F43B8">
              <w:rPr>
                <w:rFonts w:ascii="Arial" w:hAnsi="Arial" w:cs="Arial"/>
                <w:b/>
                <w:bCs/>
                <w:sz w:val="20"/>
                <w:szCs w:val="20"/>
              </w:rPr>
              <w:t>Mean: 4.</w:t>
            </w:r>
            <w:r>
              <w:rPr>
                <w:rFonts w:ascii="Arial" w:hAnsi="Arial" w:cs="Arial"/>
                <w:b/>
                <w:bCs/>
                <w:sz w:val="20"/>
                <w:szCs w:val="20"/>
              </w:rPr>
              <w:t>57</w:t>
            </w:r>
            <w:r w:rsidRPr="001F43B8">
              <w:rPr>
                <w:rFonts w:ascii="Arial" w:hAnsi="Arial" w:cs="Arial"/>
                <w:b/>
                <w:bCs/>
                <w:sz w:val="20"/>
                <w:szCs w:val="20"/>
              </w:rPr>
              <w:t xml:space="preserve"> </w:t>
            </w:r>
          </w:p>
          <w:p w14:paraId="58D535E3" w14:textId="77777777" w:rsidR="00AE0BDF" w:rsidRPr="001F43B8" w:rsidRDefault="00AE0BDF" w:rsidP="00B10240">
            <w:pPr>
              <w:spacing w:line="360" w:lineRule="auto"/>
              <w:ind w:right="1"/>
              <w:jc w:val="center"/>
              <w:rPr>
                <w:rFonts w:ascii="Arial" w:hAnsi="Arial" w:cs="Arial"/>
                <w:b/>
                <w:bCs/>
                <w:sz w:val="20"/>
                <w:szCs w:val="20"/>
              </w:rPr>
            </w:pPr>
            <w:r w:rsidRPr="001F43B8">
              <w:rPr>
                <w:rFonts w:ascii="Arial" w:hAnsi="Arial" w:cs="Arial"/>
                <w:b/>
                <w:bCs/>
                <w:sz w:val="20"/>
                <w:szCs w:val="20"/>
              </w:rPr>
              <w:lastRenderedPageBreak/>
              <w:t>SD: 0.</w:t>
            </w:r>
            <w:r>
              <w:rPr>
                <w:rFonts w:ascii="Arial" w:hAnsi="Arial" w:cs="Arial"/>
                <w:b/>
                <w:bCs/>
                <w:sz w:val="20"/>
                <w:szCs w:val="20"/>
              </w:rPr>
              <w:t>53</w:t>
            </w:r>
          </w:p>
          <w:p w14:paraId="06812E5E" w14:textId="77777777" w:rsidR="00AE0BDF" w:rsidRPr="001F43B8" w:rsidRDefault="00AE0BDF" w:rsidP="00B10240">
            <w:pPr>
              <w:spacing w:line="360" w:lineRule="auto"/>
              <w:ind w:right="1"/>
              <w:jc w:val="center"/>
              <w:rPr>
                <w:rFonts w:ascii="Arial" w:hAnsi="Arial" w:cs="Arial"/>
                <w:i/>
                <w:iCs/>
                <w:sz w:val="20"/>
                <w:szCs w:val="20"/>
              </w:rPr>
            </w:pPr>
            <w:r w:rsidRPr="001F43B8">
              <w:rPr>
                <w:rFonts w:ascii="Arial" w:hAnsi="Arial" w:cs="Arial"/>
                <w:b/>
                <w:bCs/>
                <w:i/>
                <w:iCs/>
                <w:sz w:val="20"/>
                <w:szCs w:val="20"/>
              </w:rPr>
              <w:t>(Very High)</w:t>
            </w:r>
          </w:p>
        </w:tc>
        <w:tc>
          <w:tcPr>
            <w:tcW w:w="2790" w:type="dxa"/>
            <w:tcBorders>
              <w:top w:val="single" w:sz="4" w:space="0" w:color="auto"/>
            </w:tcBorders>
          </w:tcPr>
          <w:p w14:paraId="24DC8B04" w14:textId="77777777" w:rsidR="00AE0BDF" w:rsidRPr="00803361" w:rsidRDefault="00AE0BDF" w:rsidP="00B10240">
            <w:pPr>
              <w:spacing w:line="360" w:lineRule="auto"/>
              <w:ind w:right="1"/>
              <w:rPr>
                <w:rFonts w:ascii="Arial" w:hAnsi="Arial" w:cs="Arial"/>
                <w:b/>
                <w:bCs/>
                <w:sz w:val="20"/>
                <w:szCs w:val="20"/>
              </w:rPr>
            </w:pPr>
          </w:p>
          <w:p w14:paraId="3BCDDB24" w14:textId="77777777" w:rsidR="00AE0BDF" w:rsidRPr="00803361" w:rsidRDefault="00AE0BDF" w:rsidP="00AE0BDF">
            <w:pPr>
              <w:pStyle w:val="ListParagraph"/>
              <w:numPr>
                <w:ilvl w:val="0"/>
                <w:numId w:val="32"/>
              </w:numPr>
              <w:spacing w:line="276" w:lineRule="auto"/>
              <w:ind w:left="527" w:right="1"/>
              <w:rPr>
                <w:rFonts w:ascii="Arial" w:hAnsi="Arial" w:cs="Arial"/>
                <w:b/>
                <w:bCs/>
                <w:sz w:val="20"/>
                <w:szCs w:val="20"/>
              </w:rPr>
            </w:pPr>
            <w:r w:rsidRPr="00803361">
              <w:rPr>
                <w:rFonts w:ascii="Arial" w:hAnsi="Arial" w:cs="Arial"/>
                <w:b/>
                <w:bCs/>
                <w:sz w:val="20"/>
                <w:szCs w:val="20"/>
              </w:rPr>
              <w:t>Humanitarian Response</w:t>
            </w:r>
          </w:p>
        </w:tc>
        <w:tc>
          <w:tcPr>
            <w:tcW w:w="4410" w:type="dxa"/>
            <w:tcBorders>
              <w:top w:val="single" w:sz="4" w:space="0" w:color="auto"/>
            </w:tcBorders>
          </w:tcPr>
          <w:p w14:paraId="635CC0E1"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Prioritization of life safety for students and personnel; schools serving as community evacuation centers; adherence to standardized reporting protocols.</w:t>
            </w:r>
          </w:p>
        </w:tc>
      </w:tr>
      <w:tr w:rsidR="00AE0BDF" w:rsidRPr="001F43B8" w14:paraId="5AFE1BBB" w14:textId="77777777" w:rsidTr="00994E2F">
        <w:tc>
          <w:tcPr>
            <w:tcW w:w="1800" w:type="dxa"/>
            <w:vMerge/>
          </w:tcPr>
          <w:p w14:paraId="2331C06A" w14:textId="77777777" w:rsidR="00AE0BDF" w:rsidRPr="0031078E" w:rsidRDefault="00AE0BDF" w:rsidP="00B10240">
            <w:pPr>
              <w:ind w:right="1"/>
              <w:jc w:val="both"/>
              <w:rPr>
                <w:rFonts w:ascii="Arial" w:hAnsi="Arial" w:cs="Arial"/>
              </w:rPr>
            </w:pPr>
          </w:p>
        </w:tc>
        <w:tc>
          <w:tcPr>
            <w:tcW w:w="2790" w:type="dxa"/>
          </w:tcPr>
          <w:p w14:paraId="46AF55FC" w14:textId="77777777" w:rsidR="00AE0BDF" w:rsidRPr="00803361" w:rsidRDefault="00AE0BDF" w:rsidP="00AE0BDF">
            <w:pPr>
              <w:pStyle w:val="ListParagraph"/>
              <w:numPr>
                <w:ilvl w:val="0"/>
                <w:numId w:val="32"/>
              </w:numPr>
              <w:spacing w:line="276" w:lineRule="auto"/>
              <w:ind w:left="527" w:right="1"/>
              <w:rPr>
                <w:rFonts w:ascii="Arial" w:hAnsi="Arial" w:cs="Arial"/>
                <w:b/>
                <w:bCs/>
                <w:sz w:val="20"/>
                <w:szCs w:val="20"/>
              </w:rPr>
            </w:pPr>
            <w:r w:rsidRPr="00803361">
              <w:rPr>
                <w:rFonts w:ascii="Arial" w:hAnsi="Arial" w:cs="Arial"/>
                <w:b/>
                <w:bCs/>
                <w:sz w:val="20"/>
                <w:szCs w:val="20"/>
              </w:rPr>
              <w:t>Instructional Continuity</w:t>
            </w:r>
          </w:p>
        </w:tc>
        <w:tc>
          <w:tcPr>
            <w:tcW w:w="4410" w:type="dxa"/>
          </w:tcPr>
          <w:p w14:paraId="4F827638" w14:textId="77777777" w:rsidR="00AE0BDF" w:rsidRPr="00803361" w:rsidRDefault="00AE0BDF" w:rsidP="00AE0BDF">
            <w:pPr>
              <w:pStyle w:val="ListParagraph"/>
              <w:numPr>
                <w:ilvl w:val="0"/>
                <w:numId w:val="32"/>
              </w:numPr>
              <w:ind w:left="433" w:right="1"/>
              <w:jc w:val="both"/>
              <w:rPr>
                <w:rFonts w:ascii="Arial" w:hAnsi="Arial" w:cs="Arial"/>
                <w:b/>
                <w:bCs/>
                <w:sz w:val="20"/>
                <w:szCs w:val="20"/>
              </w:rPr>
            </w:pPr>
            <w:r w:rsidRPr="00803361">
              <w:rPr>
                <w:rFonts w:ascii="Arial" w:hAnsi="Arial" w:cs="Arial"/>
                <w:b/>
                <w:bCs/>
                <w:sz w:val="20"/>
                <w:szCs w:val="20"/>
              </w:rPr>
              <w:t>Implementation of alternative delivery modes, flexible classroom use, and monitoring of student learning during disaster events to maintain educational continuity.</w:t>
            </w:r>
          </w:p>
        </w:tc>
      </w:tr>
      <w:tr w:rsidR="00AE0BDF" w:rsidRPr="001F43B8" w14:paraId="1BDAFF28" w14:textId="77777777" w:rsidTr="00994E2F">
        <w:tc>
          <w:tcPr>
            <w:tcW w:w="1800" w:type="dxa"/>
            <w:vMerge/>
            <w:tcBorders>
              <w:bottom w:val="single" w:sz="4" w:space="0" w:color="auto"/>
            </w:tcBorders>
          </w:tcPr>
          <w:p w14:paraId="617AC985" w14:textId="77777777" w:rsidR="00AE0BDF" w:rsidRPr="0031078E" w:rsidRDefault="00AE0BDF" w:rsidP="00B10240">
            <w:pPr>
              <w:ind w:right="1"/>
              <w:jc w:val="both"/>
              <w:rPr>
                <w:rFonts w:ascii="Arial" w:hAnsi="Arial" w:cs="Arial"/>
              </w:rPr>
            </w:pPr>
          </w:p>
        </w:tc>
        <w:tc>
          <w:tcPr>
            <w:tcW w:w="2790" w:type="dxa"/>
            <w:tcBorders>
              <w:bottom w:val="single" w:sz="4" w:space="0" w:color="auto"/>
            </w:tcBorders>
          </w:tcPr>
          <w:p w14:paraId="3E91E56F" w14:textId="77777777" w:rsidR="00AE0BDF" w:rsidRPr="00803361" w:rsidRDefault="00AE0BDF" w:rsidP="00AE0BDF">
            <w:pPr>
              <w:pStyle w:val="ListParagraph"/>
              <w:numPr>
                <w:ilvl w:val="0"/>
                <w:numId w:val="33"/>
              </w:numPr>
              <w:spacing w:line="276" w:lineRule="auto"/>
              <w:ind w:left="527" w:right="1"/>
              <w:rPr>
                <w:rFonts w:ascii="Arial" w:hAnsi="Arial" w:cs="Arial"/>
                <w:b/>
                <w:bCs/>
                <w:sz w:val="20"/>
                <w:szCs w:val="20"/>
              </w:rPr>
            </w:pPr>
            <w:r w:rsidRPr="00803361">
              <w:rPr>
                <w:rFonts w:ascii="Arial" w:hAnsi="Arial" w:cs="Arial"/>
                <w:b/>
                <w:bCs/>
                <w:sz w:val="20"/>
                <w:szCs w:val="20"/>
              </w:rPr>
              <w:t>Adaptive Learning Strategies</w:t>
            </w:r>
          </w:p>
        </w:tc>
        <w:tc>
          <w:tcPr>
            <w:tcW w:w="4410" w:type="dxa"/>
            <w:tcBorders>
              <w:bottom w:val="single" w:sz="4" w:space="0" w:color="auto"/>
            </w:tcBorders>
          </w:tcPr>
          <w:p w14:paraId="7E1B9F4C" w14:textId="77777777" w:rsidR="00AE0BDF" w:rsidRPr="00803361" w:rsidRDefault="00AE0BDF" w:rsidP="00AE0BDF">
            <w:pPr>
              <w:pStyle w:val="ListParagraph"/>
              <w:numPr>
                <w:ilvl w:val="0"/>
                <w:numId w:val="33"/>
              </w:numPr>
              <w:ind w:left="433" w:right="1"/>
              <w:jc w:val="both"/>
              <w:rPr>
                <w:rFonts w:ascii="Arial" w:hAnsi="Arial" w:cs="Arial"/>
                <w:b/>
                <w:bCs/>
                <w:sz w:val="20"/>
                <w:szCs w:val="20"/>
              </w:rPr>
            </w:pPr>
            <w:r w:rsidRPr="00803361">
              <w:rPr>
                <w:rFonts w:ascii="Arial" w:hAnsi="Arial" w:cs="Arial"/>
                <w:b/>
                <w:bCs/>
                <w:sz w:val="20"/>
                <w:szCs w:val="20"/>
              </w:rPr>
              <w:t xml:space="preserve">Use of flexible instructional strategies and resources to support ongoing learning and engagement during disaster events. </w:t>
            </w:r>
          </w:p>
          <w:p w14:paraId="04BB2DDC" w14:textId="77777777" w:rsidR="00AE0BDF" w:rsidRPr="00803361" w:rsidRDefault="00AE0BDF" w:rsidP="00AE0BDF">
            <w:pPr>
              <w:pStyle w:val="ListParagraph"/>
              <w:numPr>
                <w:ilvl w:val="0"/>
                <w:numId w:val="33"/>
              </w:numPr>
              <w:ind w:left="433" w:right="1"/>
              <w:jc w:val="both"/>
              <w:rPr>
                <w:rFonts w:ascii="Arial" w:hAnsi="Arial" w:cs="Arial"/>
                <w:b/>
                <w:bCs/>
                <w:sz w:val="20"/>
                <w:szCs w:val="20"/>
              </w:rPr>
            </w:pPr>
            <w:r w:rsidRPr="00803361">
              <w:rPr>
                <w:rFonts w:ascii="Arial" w:hAnsi="Arial" w:cs="Arial"/>
                <w:b/>
                <w:bCs/>
                <w:sz w:val="20"/>
                <w:szCs w:val="20"/>
              </w:rPr>
              <w:t>Monitoring student progress and welfare.</w:t>
            </w:r>
          </w:p>
        </w:tc>
      </w:tr>
    </w:tbl>
    <w:p w14:paraId="6B4645EA" w14:textId="77777777" w:rsidR="00861D48" w:rsidRDefault="00861D48" w:rsidP="00AE0BDF">
      <w:pPr>
        <w:spacing w:after="0" w:line="480" w:lineRule="auto"/>
        <w:ind w:right="1"/>
        <w:jc w:val="both"/>
        <w:rPr>
          <w:rFonts w:ascii="Arial" w:hAnsi="Arial" w:cs="Arial"/>
        </w:rPr>
      </w:pPr>
    </w:p>
    <w:p w14:paraId="3DE9EE87" w14:textId="77777777" w:rsidR="00A273FE" w:rsidRDefault="00AE0BDF" w:rsidP="00A273FE">
      <w:pPr>
        <w:spacing w:after="0" w:line="480" w:lineRule="auto"/>
        <w:ind w:right="1"/>
        <w:jc w:val="both"/>
        <w:rPr>
          <w:rFonts w:ascii="Arial" w:hAnsi="Arial" w:cs="Arial"/>
          <w:i/>
          <w:iCs/>
        </w:rPr>
      </w:pPr>
      <w:r>
        <w:rPr>
          <w:rFonts w:ascii="Arial" w:hAnsi="Arial" w:cs="Arial"/>
        </w:rPr>
        <w:tab/>
      </w:r>
      <w:r w:rsidR="00A273FE" w:rsidRPr="00A273FE">
        <w:rPr>
          <w:rFonts w:ascii="Arial" w:hAnsi="Arial" w:cs="Arial"/>
        </w:rPr>
        <w:t>The very high level of preparedness in normal times, as reflected in the quantitative result (M = 4.44, SD = 0.65), was further supported by the qualitative responses of the school heads and school DRRM coordinators. Their narratives revealed that preparedness was not only evident in compliance with DRRM requirements but also in the actual practices, leadership initiatives, and preventive measures implemented within the schools. This level of preparedness was attributed to three major themes: Participatory Contingency Planning, Proactive Physical Mitigation, and Leadership Commitment.</w:t>
      </w:r>
      <w:r w:rsidR="00A273FE">
        <w:rPr>
          <w:rFonts w:ascii="Arial" w:hAnsi="Arial" w:cs="Arial"/>
          <w:i/>
          <w:iCs/>
        </w:rPr>
        <w:t xml:space="preserve"> </w:t>
      </w:r>
    </w:p>
    <w:p w14:paraId="784AE362" w14:textId="52708556" w:rsidR="00A273FE" w:rsidRDefault="00A273FE" w:rsidP="00A273FE">
      <w:pPr>
        <w:spacing w:after="0" w:line="480" w:lineRule="auto"/>
        <w:ind w:right="1"/>
        <w:jc w:val="both"/>
        <w:rPr>
          <w:rFonts w:ascii="Arial" w:hAnsi="Arial" w:cs="Arial"/>
          <w:i/>
          <w:iCs/>
        </w:rPr>
      </w:pPr>
      <w:r>
        <w:rPr>
          <w:rFonts w:ascii="Arial" w:hAnsi="Arial" w:cs="Arial"/>
          <w:i/>
          <w:iCs/>
        </w:rPr>
        <w:t>Theme 1: Participatory Contingency Planning</w:t>
      </w:r>
    </w:p>
    <w:p w14:paraId="7E181365" w14:textId="717EE7E5" w:rsidR="00AE0BDF" w:rsidRPr="00A273FE" w:rsidRDefault="00A273FE" w:rsidP="00A273FE">
      <w:pPr>
        <w:spacing w:after="0" w:line="480" w:lineRule="auto"/>
        <w:ind w:right="1"/>
        <w:jc w:val="both"/>
        <w:rPr>
          <w:rFonts w:ascii="Arial" w:hAnsi="Arial" w:cs="Arial"/>
        </w:rPr>
      </w:pPr>
      <w:r>
        <w:rPr>
          <w:rFonts w:ascii="Arial" w:hAnsi="Arial" w:cs="Arial"/>
          <w:i/>
          <w:iCs/>
        </w:rPr>
        <w:tab/>
      </w:r>
      <w:r w:rsidRPr="00A273FE">
        <w:rPr>
          <w:rFonts w:ascii="Arial" w:hAnsi="Arial" w:cs="Arial"/>
        </w:rPr>
        <w:t>The core ideas under Participatory Contingency Planning center on the collaborative preparation of school-specific DRRM plans, ensuring that planning is done collectively by key stakeholders within the school. This process also emphasizes alignment with division-level mandates to maintain consistency with established policies and guidelines. In addition, schools adapt their available physical resources to address structural limitations, particularly in cases of single-story infrastructure, in order to strengthen overall preparedness during normal times.</w:t>
      </w:r>
      <w:r>
        <w:rPr>
          <w:rFonts w:ascii="Arial" w:hAnsi="Arial" w:cs="Arial"/>
        </w:rPr>
        <w:t xml:space="preserve"> </w:t>
      </w:r>
      <w:r w:rsidR="00AE0BDF" w:rsidRPr="00891F9F">
        <w:rPr>
          <w:rFonts w:ascii="Arial" w:hAnsi="Arial" w:cs="Arial"/>
        </w:rPr>
        <w:t xml:space="preserve">Participants emphasized collaborative efforts to prepare school-specific contingency plans, ensuring clarity of roles and responsibilities. </w:t>
      </w:r>
    </w:p>
    <w:tbl>
      <w:tblPr>
        <w:tblStyle w:val="TableGrid"/>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411DAB57" w14:textId="77777777" w:rsidTr="00B10240">
        <w:trPr>
          <w:trHeight w:val="3254"/>
        </w:trPr>
        <w:tc>
          <w:tcPr>
            <w:tcW w:w="6536" w:type="dxa"/>
          </w:tcPr>
          <w:p w14:paraId="7CAD0C23" w14:textId="77777777" w:rsidR="00AE0BDF" w:rsidRPr="00891F9F" w:rsidRDefault="00AE0BDF" w:rsidP="00B10240">
            <w:pPr>
              <w:spacing w:line="276" w:lineRule="auto"/>
              <w:ind w:right="1"/>
              <w:jc w:val="both"/>
              <w:rPr>
                <w:rFonts w:ascii="Arial" w:hAnsi="Arial" w:cs="Arial"/>
              </w:rPr>
            </w:pPr>
            <w:r w:rsidRPr="00891F9F">
              <w:rPr>
                <w:rFonts w:ascii="Arial" w:hAnsi="Arial" w:cs="Arial"/>
              </w:rPr>
              <w:lastRenderedPageBreak/>
              <w:t>“Talking</w:t>
            </w:r>
            <w:r w:rsidRPr="005D73D0">
              <w:rPr>
                <w:rFonts w:ascii="Arial" w:hAnsi="Arial" w:cs="Arial"/>
              </w:rPr>
              <w:t xml:space="preserve"> </w:t>
            </w:r>
            <w:r w:rsidRPr="00891F9F">
              <w:rPr>
                <w:rFonts w:ascii="Arial" w:hAnsi="Arial" w:cs="Arial"/>
              </w:rPr>
              <w:t xml:space="preserve">about the normal time or days… ang school </w:t>
            </w:r>
            <w:proofErr w:type="spellStart"/>
            <w:r w:rsidRPr="00891F9F">
              <w:rPr>
                <w:rFonts w:ascii="Arial" w:hAnsi="Arial" w:cs="Arial"/>
              </w:rPr>
              <w:t>naa</w:t>
            </w:r>
            <w:proofErr w:type="spellEnd"/>
            <w:r w:rsidRPr="00891F9F">
              <w:rPr>
                <w:rFonts w:ascii="Arial" w:hAnsi="Arial" w:cs="Arial"/>
              </w:rPr>
              <w:t xml:space="preserve"> </w:t>
            </w:r>
            <w:proofErr w:type="spellStart"/>
            <w:r w:rsidRPr="00891F9F">
              <w:rPr>
                <w:rFonts w:ascii="Arial" w:hAnsi="Arial" w:cs="Arial"/>
              </w:rPr>
              <w:t>gyud</w:t>
            </w:r>
            <w:proofErr w:type="spellEnd"/>
            <w:r w:rsidRPr="00891F9F">
              <w:rPr>
                <w:rFonts w:ascii="Arial" w:hAnsi="Arial" w:cs="Arial"/>
              </w:rPr>
              <w:t xml:space="preserve"> </w:t>
            </w:r>
            <w:proofErr w:type="spellStart"/>
            <w:r w:rsidRPr="00891F9F">
              <w:rPr>
                <w:rFonts w:ascii="Arial" w:hAnsi="Arial" w:cs="Arial"/>
              </w:rPr>
              <w:t>siyay</w:t>
            </w:r>
            <w:proofErr w:type="spellEnd"/>
            <w:r w:rsidRPr="00891F9F">
              <w:rPr>
                <w:rFonts w:ascii="Arial" w:hAnsi="Arial" w:cs="Arial"/>
              </w:rPr>
              <w:t xml:space="preserve"> </w:t>
            </w:r>
            <w:proofErr w:type="spellStart"/>
            <w:r w:rsidRPr="00891F9F">
              <w:rPr>
                <w:rFonts w:ascii="Arial" w:hAnsi="Arial" w:cs="Arial"/>
              </w:rPr>
              <w:t>ginatawag</w:t>
            </w:r>
            <w:proofErr w:type="spellEnd"/>
            <w:r w:rsidRPr="00891F9F">
              <w:rPr>
                <w:rFonts w:ascii="Arial" w:hAnsi="Arial" w:cs="Arial"/>
              </w:rPr>
              <w:t xml:space="preserve"> </w:t>
            </w:r>
            <w:proofErr w:type="spellStart"/>
            <w:r w:rsidRPr="00891F9F">
              <w:rPr>
                <w:rFonts w:ascii="Arial" w:hAnsi="Arial" w:cs="Arial"/>
              </w:rPr>
              <w:t>natog</w:t>
            </w:r>
            <w:proofErr w:type="spellEnd"/>
            <w:r w:rsidRPr="00891F9F">
              <w:rPr>
                <w:rFonts w:ascii="Arial" w:hAnsi="Arial" w:cs="Arial"/>
              </w:rPr>
              <w:t xml:space="preserve"> </w:t>
            </w:r>
            <w:r w:rsidRPr="00933D25">
              <w:rPr>
                <w:rFonts w:ascii="Arial" w:hAnsi="Arial" w:cs="Arial"/>
                <w:b/>
                <w:bCs/>
              </w:rPr>
              <w:t>disaster preparedness and mitigation</w:t>
            </w:r>
            <w:r w:rsidRPr="00891F9F">
              <w:rPr>
                <w:rFonts w:ascii="Arial" w:hAnsi="Arial" w:cs="Arial"/>
              </w:rPr>
              <w:t xml:space="preserve">… </w:t>
            </w:r>
            <w:proofErr w:type="spellStart"/>
            <w:r w:rsidRPr="00891F9F">
              <w:rPr>
                <w:rFonts w:ascii="Arial" w:hAnsi="Arial" w:cs="Arial"/>
              </w:rPr>
              <w:t>naa</w:t>
            </w:r>
            <w:proofErr w:type="spellEnd"/>
            <w:r w:rsidRPr="00891F9F">
              <w:rPr>
                <w:rFonts w:ascii="Arial" w:hAnsi="Arial" w:cs="Arial"/>
              </w:rPr>
              <w:t xml:space="preserve"> </w:t>
            </w:r>
            <w:proofErr w:type="spellStart"/>
            <w:r w:rsidRPr="00891F9F">
              <w:rPr>
                <w:rFonts w:ascii="Arial" w:hAnsi="Arial" w:cs="Arial"/>
              </w:rPr>
              <w:t>tay</w:t>
            </w:r>
            <w:proofErr w:type="spellEnd"/>
            <w:r w:rsidRPr="00891F9F">
              <w:rPr>
                <w:rFonts w:ascii="Arial" w:hAnsi="Arial" w:cs="Arial"/>
              </w:rPr>
              <w:t xml:space="preserve"> </w:t>
            </w:r>
            <w:r w:rsidRPr="00933D25">
              <w:rPr>
                <w:rFonts w:ascii="Arial" w:hAnsi="Arial" w:cs="Arial"/>
                <w:b/>
                <w:bCs/>
              </w:rPr>
              <w:t xml:space="preserve">DRRM coordinator </w:t>
            </w:r>
            <w:proofErr w:type="spellStart"/>
            <w:r w:rsidRPr="00933D25">
              <w:rPr>
                <w:rFonts w:ascii="Arial" w:hAnsi="Arial" w:cs="Arial"/>
                <w:b/>
                <w:bCs/>
              </w:rPr>
              <w:t>nga</w:t>
            </w:r>
            <w:proofErr w:type="spellEnd"/>
            <w:r w:rsidRPr="00933D25">
              <w:rPr>
                <w:rFonts w:ascii="Arial" w:hAnsi="Arial" w:cs="Arial"/>
                <w:b/>
                <w:bCs/>
              </w:rPr>
              <w:t xml:space="preserve"> </w:t>
            </w:r>
            <w:proofErr w:type="spellStart"/>
            <w:r w:rsidRPr="00933D25">
              <w:rPr>
                <w:rFonts w:ascii="Arial" w:hAnsi="Arial" w:cs="Arial"/>
                <w:b/>
                <w:bCs/>
              </w:rPr>
              <w:t>maoy</w:t>
            </w:r>
            <w:proofErr w:type="spellEnd"/>
            <w:r w:rsidRPr="00933D25">
              <w:rPr>
                <w:rFonts w:ascii="Arial" w:hAnsi="Arial" w:cs="Arial"/>
                <w:b/>
                <w:bCs/>
              </w:rPr>
              <w:t xml:space="preserve"> mag take charge</w:t>
            </w:r>
            <w:r w:rsidRPr="00891F9F">
              <w:rPr>
                <w:rFonts w:ascii="Arial" w:hAnsi="Arial" w:cs="Arial"/>
              </w:rPr>
              <w:t xml:space="preserve">… mag coordinate </w:t>
            </w:r>
            <w:proofErr w:type="spellStart"/>
            <w:r w:rsidRPr="00891F9F">
              <w:rPr>
                <w:rFonts w:ascii="Arial" w:hAnsi="Arial" w:cs="Arial"/>
              </w:rPr>
              <w:t>sa</w:t>
            </w:r>
            <w:proofErr w:type="spellEnd"/>
            <w:r w:rsidRPr="00891F9F">
              <w:rPr>
                <w:rFonts w:ascii="Arial" w:hAnsi="Arial" w:cs="Arial"/>
              </w:rPr>
              <w:t xml:space="preserve"> </w:t>
            </w:r>
            <w:proofErr w:type="spellStart"/>
            <w:r w:rsidRPr="00891F9F">
              <w:rPr>
                <w:rFonts w:ascii="Arial" w:hAnsi="Arial" w:cs="Arial"/>
              </w:rPr>
              <w:t>mga</w:t>
            </w:r>
            <w:proofErr w:type="spellEnd"/>
            <w:r w:rsidRPr="00891F9F">
              <w:rPr>
                <w:rFonts w:ascii="Arial" w:hAnsi="Arial" w:cs="Arial"/>
              </w:rPr>
              <w:t xml:space="preserve"> committee </w:t>
            </w:r>
            <w:proofErr w:type="spellStart"/>
            <w:r w:rsidRPr="00891F9F">
              <w:rPr>
                <w:rFonts w:ascii="Arial" w:hAnsi="Arial" w:cs="Arial"/>
              </w:rPr>
              <w:t>sa</w:t>
            </w:r>
            <w:proofErr w:type="spellEnd"/>
            <w:r w:rsidRPr="00891F9F">
              <w:rPr>
                <w:rFonts w:ascii="Arial" w:hAnsi="Arial" w:cs="Arial"/>
              </w:rPr>
              <w:t xml:space="preserve"> level of preparedness </w:t>
            </w:r>
            <w:proofErr w:type="spellStart"/>
            <w:r w:rsidRPr="00891F9F">
              <w:rPr>
                <w:rFonts w:ascii="Arial" w:hAnsi="Arial" w:cs="Arial"/>
              </w:rPr>
              <w:t>sa</w:t>
            </w:r>
            <w:proofErr w:type="spellEnd"/>
            <w:r w:rsidRPr="00891F9F">
              <w:rPr>
                <w:rFonts w:ascii="Arial" w:hAnsi="Arial" w:cs="Arial"/>
              </w:rPr>
              <w:t xml:space="preserve"> school.” (SH_1)</w:t>
            </w:r>
          </w:p>
          <w:p w14:paraId="15B7A410" w14:textId="77777777" w:rsidR="00AE0BDF" w:rsidRPr="005D73D0" w:rsidRDefault="00AE0BDF" w:rsidP="00B10240">
            <w:pPr>
              <w:spacing w:line="276" w:lineRule="auto"/>
              <w:ind w:right="1"/>
              <w:jc w:val="both"/>
              <w:rPr>
                <w:rFonts w:ascii="Arial" w:hAnsi="Arial" w:cs="Arial"/>
                <w:i/>
                <w:iCs/>
              </w:rPr>
            </w:pPr>
            <w:r w:rsidRPr="00891F9F">
              <w:rPr>
                <w:rFonts w:ascii="Arial" w:hAnsi="Arial" w:cs="Arial"/>
              </w:rPr>
              <w:br/>
            </w:r>
            <w:r w:rsidRPr="00891F9F">
              <w:rPr>
                <w:rFonts w:ascii="Arial" w:hAnsi="Arial" w:cs="Arial"/>
                <w:i/>
                <w:iCs/>
              </w:rPr>
              <w:t>During normal times, the school already has disaster preparedness and mitigation measures. A DRRM coordinator leads and coordinates committees responsible for school readiness.</w:t>
            </w:r>
          </w:p>
        </w:tc>
      </w:tr>
    </w:tbl>
    <w:p w14:paraId="2A4304EB" w14:textId="77777777" w:rsidR="00AE0BDF" w:rsidRPr="00891F9F" w:rsidRDefault="00AE0BDF" w:rsidP="00AE0BDF">
      <w:pPr>
        <w:spacing w:after="0" w:line="480" w:lineRule="auto"/>
        <w:ind w:right="1" w:firstLine="720"/>
        <w:jc w:val="both"/>
        <w:rPr>
          <w:rFonts w:ascii="Arial" w:hAnsi="Arial" w:cs="Arial"/>
        </w:rPr>
      </w:pPr>
    </w:p>
    <w:p w14:paraId="68207CD1" w14:textId="77777777" w:rsidR="00AE0BDF" w:rsidRPr="00891F9F" w:rsidRDefault="00AE0BDF" w:rsidP="00AE0BDF">
      <w:pPr>
        <w:spacing w:after="240" w:line="480" w:lineRule="auto"/>
        <w:rPr>
          <w:rFonts w:ascii="Arial" w:hAnsi="Arial" w:cs="Arial"/>
        </w:rPr>
      </w:pPr>
    </w:p>
    <w:p w14:paraId="416148C6" w14:textId="77777777" w:rsidR="00AE0BDF" w:rsidRPr="00801601" w:rsidRDefault="00AE0BDF" w:rsidP="00AE0BDF">
      <w:pPr>
        <w:spacing w:after="0" w:line="480" w:lineRule="auto"/>
        <w:jc w:val="both"/>
        <w:rPr>
          <w:rFonts w:ascii="Arial" w:hAnsi="Arial" w:cs="Arial"/>
          <w:iCs/>
        </w:rPr>
      </w:pPr>
    </w:p>
    <w:p w14:paraId="4C31AE84" w14:textId="77777777" w:rsidR="00AE0BDF" w:rsidRPr="00891F9F" w:rsidRDefault="00AE0BDF" w:rsidP="00AE0BDF">
      <w:pPr>
        <w:spacing w:after="240" w:line="480" w:lineRule="auto"/>
        <w:rPr>
          <w:rFonts w:ascii="Arial" w:hAnsi="Arial" w:cs="Arial"/>
        </w:rPr>
      </w:pPr>
    </w:p>
    <w:p w14:paraId="2900EEF2" w14:textId="77777777" w:rsidR="00AE0BDF" w:rsidRPr="00891F9F" w:rsidRDefault="00AE0BDF" w:rsidP="00AE0BDF">
      <w:pPr>
        <w:spacing w:after="0" w:line="480" w:lineRule="auto"/>
        <w:jc w:val="both"/>
        <w:rPr>
          <w:rFonts w:ascii="Arial" w:hAnsi="Arial" w:cs="Arial"/>
        </w:rPr>
      </w:pPr>
    </w:p>
    <w:p w14:paraId="3941AA7A" w14:textId="2C93399F" w:rsidR="00AE0BDF" w:rsidRPr="00891F9F"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0C059208" w14:textId="77777777" w:rsidTr="00B10240">
        <w:trPr>
          <w:trHeight w:val="1880"/>
        </w:trPr>
        <w:tc>
          <w:tcPr>
            <w:tcW w:w="6536" w:type="dxa"/>
          </w:tcPr>
          <w:p w14:paraId="2735D939" w14:textId="77777777" w:rsidR="00AE0BDF" w:rsidRPr="005D73D0" w:rsidRDefault="00AE0BDF" w:rsidP="00B10240">
            <w:pPr>
              <w:spacing w:line="276" w:lineRule="auto"/>
              <w:ind w:right="1"/>
              <w:jc w:val="both"/>
              <w:rPr>
                <w:rFonts w:ascii="Arial" w:hAnsi="Arial" w:cs="Arial"/>
                <w:sz w:val="22"/>
                <w:szCs w:val="22"/>
              </w:rPr>
            </w:pPr>
            <w:r w:rsidRPr="005D73D0">
              <w:rPr>
                <w:rFonts w:ascii="Arial" w:hAnsi="Arial" w:cs="Arial"/>
                <w:sz w:val="22"/>
                <w:szCs w:val="22"/>
              </w:rPr>
              <w:t xml:space="preserve">“We have the </w:t>
            </w:r>
            <w:r w:rsidRPr="00933D25">
              <w:rPr>
                <w:rFonts w:ascii="Arial" w:hAnsi="Arial" w:cs="Arial"/>
                <w:b/>
                <w:bCs/>
                <w:sz w:val="22"/>
                <w:szCs w:val="22"/>
              </w:rPr>
              <w:t>DRR contingency plan</w:t>
            </w:r>
            <w:r w:rsidRPr="005D73D0">
              <w:rPr>
                <w:rFonts w:ascii="Arial" w:hAnsi="Arial" w:cs="Arial"/>
                <w:sz w:val="22"/>
                <w:szCs w:val="22"/>
              </w:rPr>
              <w:t xml:space="preserve"> that is anchored also to the </w:t>
            </w:r>
            <w:r w:rsidRPr="00933D25">
              <w:rPr>
                <w:rFonts w:ascii="Arial" w:hAnsi="Arial" w:cs="Arial"/>
                <w:b/>
                <w:bCs/>
                <w:sz w:val="22"/>
                <w:szCs w:val="22"/>
              </w:rPr>
              <w:t>division contingency plan</w:t>
            </w:r>
            <w:r w:rsidRPr="005D73D0">
              <w:rPr>
                <w:rFonts w:ascii="Arial" w:hAnsi="Arial" w:cs="Arial"/>
                <w:sz w:val="22"/>
                <w:szCs w:val="22"/>
              </w:rPr>
              <w:t>. The school head, the teachers, and the barangay council are involved in crafting the plan.” (SH_3)</w:t>
            </w:r>
          </w:p>
          <w:p w14:paraId="57DB1D72" w14:textId="77777777" w:rsidR="00AE0BDF" w:rsidRPr="005D73D0" w:rsidRDefault="00AE0BDF" w:rsidP="00B10240">
            <w:pPr>
              <w:spacing w:line="276" w:lineRule="auto"/>
              <w:ind w:right="1"/>
              <w:jc w:val="both"/>
              <w:rPr>
                <w:rFonts w:ascii="Arial" w:hAnsi="Arial" w:cs="Arial"/>
                <w:i/>
                <w:iCs/>
                <w:sz w:val="22"/>
                <w:szCs w:val="22"/>
              </w:rPr>
            </w:pPr>
            <w:r w:rsidRPr="005D73D0">
              <w:rPr>
                <w:rFonts w:ascii="Arial" w:hAnsi="Arial" w:cs="Arial"/>
                <w:sz w:val="22"/>
                <w:szCs w:val="22"/>
              </w:rPr>
              <w:br/>
            </w:r>
            <w:r w:rsidRPr="005D73D0">
              <w:rPr>
                <w:rFonts w:ascii="Arial" w:hAnsi="Arial" w:cs="Arial"/>
                <w:i/>
                <w:iCs/>
                <w:sz w:val="22"/>
                <w:szCs w:val="22"/>
              </w:rPr>
              <w:t>The school has a DRR contingency plan aligned with the division plan, crafted with teachers and barangay officials.</w:t>
            </w:r>
          </w:p>
        </w:tc>
      </w:tr>
    </w:tbl>
    <w:p w14:paraId="4CBFFACC" w14:textId="77777777" w:rsidR="00AE0BDF" w:rsidRPr="00891F9F" w:rsidRDefault="00AE0BDF" w:rsidP="00AE0BDF">
      <w:pPr>
        <w:spacing w:after="0" w:line="480" w:lineRule="auto"/>
        <w:jc w:val="both"/>
        <w:rPr>
          <w:rFonts w:ascii="Arial" w:hAnsi="Arial" w:cs="Arial"/>
        </w:rPr>
      </w:pPr>
    </w:p>
    <w:p w14:paraId="7C053F4B" w14:textId="77777777" w:rsidR="00AE0BDF" w:rsidRPr="00891F9F" w:rsidRDefault="00AE0BDF" w:rsidP="00AE0BDF">
      <w:pPr>
        <w:spacing w:after="0" w:line="480" w:lineRule="auto"/>
        <w:jc w:val="both"/>
        <w:rPr>
          <w:rFonts w:ascii="Arial" w:hAnsi="Arial" w:cs="Arial"/>
        </w:rPr>
      </w:pPr>
    </w:p>
    <w:p w14:paraId="705A229E" w14:textId="77777777" w:rsidR="00AE0BDF" w:rsidRDefault="00AE0BDF" w:rsidP="00AE0BDF">
      <w:pPr>
        <w:spacing w:after="0" w:line="480" w:lineRule="auto"/>
        <w:jc w:val="both"/>
        <w:rPr>
          <w:rFonts w:ascii="Arial" w:hAnsi="Arial" w:cs="Arial"/>
        </w:rPr>
      </w:pPr>
    </w:p>
    <w:p w14:paraId="0953ED13" w14:textId="2716654D" w:rsidR="00AE0BDF"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08AC580A" w14:textId="77777777" w:rsidTr="00B10240">
        <w:trPr>
          <w:trHeight w:val="1880"/>
        </w:trPr>
        <w:tc>
          <w:tcPr>
            <w:tcW w:w="6536" w:type="dxa"/>
          </w:tcPr>
          <w:p w14:paraId="73BAAB98"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D61223">
              <w:rPr>
                <w:rFonts w:ascii="Arial" w:hAnsi="Arial" w:cs="Arial"/>
                <w:sz w:val="22"/>
                <w:szCs w:val="22"/>
              </w:rPr>
              <w:t xml:space="preserve">The </w:t>
            </w:r>
            <w:r w:rsidRPr="00933D25">
              <w:rPr>
                <w:rFonts w:ascii="Arial" w:hAnsi="Arial" w:cs="Arial"/>
                <w:b/>
                <w:bCs/>
                <w:sz w:val="22"/>
                <w:szCs w:val="22"/>
              </w:rPr>
              <w:t>crafting and content making of the contingency plan</w:t>
            </w:r>
            <w:r w:rsidRPr="00D61223">
              <w:rPr>
                <w:rFonts w:ascii="Arial" w:hAnsi="Arial" w:cs="Arial"/>
                <w:sz w:val="22"/>
                <w:szCs w:val="22"/>
              </w:rPr>
              <w:t xml:space="preserve"> ang </w:t>
            </w:r>
            <w:proofErr w:type="spellStart"/>
            <w:r w:rsidRPr="00D61223">
              <w:rPr>
                <w:rFonts w:ascii="Arial" w:hAnsi="Arial" w:cs="Arial"/>
                <w:sz w:val="22"/>
                <w:szCs w:val="22"/>
              </w:rPr>
              <w:t>pinaka</w:t>
            </w:r>
            <w:proofErr w:type="spellEnd"/>
            <w:r w:rsidRPr="00D61223">
              <w:rPr>
                <w:rFonts w:ascii="Arial" w:hAnsi="Arial" w:cs="Arial"/>
                <w:sz w:val="22"/>
                <w:szCs w:val="22"/>
              </w:rPr>
              <w:t xml:space="preserve"> </w:t>
            </w:r>
            <w:proofErr w:type="spellStart"/>
            <w:r w:rsidRPr="00D61223">
              <w:rPr>
                <w:rFonts w:ascii="Arial" w:hAnsi="Arial" w:cs="Arial"/>
                <w:sz w:val="22"/>
                <w:szCs w:val="22"/>
              </w:rPr>
              <w:t>una</w:t>
            </w:r>
            <w:proofErr w:type="spellEnd"/>
            <w:r w:rsidRPr="00D61223">
              <w:rPr>
                <w:rFonts w:ascii="Arial" w:hAnsi="Arial" w:cs="Arial"/>
                <w:sz w:val="22"/>
                <w:szCs w:val="22"/>
              </w:rPr>
              <w:t xml:space="preserve"> </w:t>
            </w:r>
            <w:proofErr w:type="spellStart"/>
            <w:r w:rsidRPr="00D61223">
              <w:rPr>
                <w:rFonts w:ascii="Arial" w:hAnsi="Arial" w:cs="Arial"/>
                <w:sz w:val="22"/>
                <w:szCs w:val="22"/>
              </w:rPr>
              <w:t>i</w:t>
            </w:r>
            <w:proofErr w:type="spellEnd"/>
            <w:r w:rsidRPr="00D61223">
              <w:rPr>
                <w:rFonts w:ascii="Arial" w:hAnsi="Arial" w:cs="Arial"/>
                <w:sz w:val="22"/>
                <w:szCs w:val="22"/>
              </w:rPr>
              <w:t>-consider... guided by the contingency plan the moment any disaster strikes.” (DRRC1_S1)</w:t>
            </w:r>
          </w:p>
          <w:p w14:paraId="5B55E12D" w14:textId="77777777" w:rsidR="00AE0BDF" w:rsidRPr="005D73D0" w:rsidRDefault="00AE0BDF" w:rsidP="00B10240">
            <w:pPr>
              <w:spacing w:line="276" w:lineRule="auto"/>
              <w:ind w:right="1"/>
              <w:jc w:val="both"/>
              <w:rPr>
                <w:rFonts w:ascii="Arial" w:hAnsi="Arial" w:cs="Arial"/>
                <w:i/>
                <w:iCs/>
                <w:sz w:val="22"/>
                <w:szCs w:val="22"/>
              </w:rPr>
            </w:pPr>
            <w:r w:rsidRPr="005D73D0">
              <w:rPr>
                <w:rFonts w:ascii="Arial" w:hAnsi="Arial" w:cs="Arial"/>
                <w:sz w:val="22"/>
                <w:szCs w:val="22"/>
              </w:rPr>
              <w:br/>
            </w:r>
            <w:r w:rsidRPr="00D61223">
              <w:rPr>
                <w:rFonts w:ascii="Arial" w:hAnsi="Arial" w:cs="Arial"/>
                <w:i/>
                <w:iCs/>
                <w:sz w:val="22"/>
                <w:szCs w:val="22"/>
              </w:rPr>
              <w:t>The crafting and content of the contingency plan were the first things considered because the school would be guided by the contingency plan once any disaster strikes.</w:t>
            </w:r>
          </w:p>
        </w:tc>
      </w:tr>
    </w:tbl>
    <w:p w14:paraId="56BA1F32" w14:textId="77777777" w:rsidR="00AE0BDF" w:rsidRDefault="00AE0BDF" w:rsidP="00AE0BDF">
      <w:pPr>
        <w:spacing w:after="0" w:line="480" w:lineRule="auto"/>
        <w:jc w:val="both"/>
        <w:rPr>
          <w:rFonts w:ascii="Arial" w:hAnsi="Arial" w:cs="Arial"/>
        </w:rPr>
      </w:pPr>
    </w:p>
    <w:p w14:paraId="3D4B9768" w14:textId="77777777" w:rsidR="00AE0BDF" w:rsidRDefault="00AE0BDF" w:rsidP="00AE0BDF">
      <w:pPr>
        <w:spacing w:after="0" w:line="480" w:lineRule="auto"/>
        <w:jc w:val="both"/>
        <w:rPr>
          <w:rFonts w:ascii="Arial" w:hAnsi="Arial" w:cs="Arial"/>
          <w:i/>
          <w:iCs/>
        </w:rPr>
      </w:pPr>
    </w:p>
    <w:p w14:paraId="17FC4D3F" w14:textId="77777777" w:rsidR="00AE0BDF" w:rsidRDefault="00AE0BDF" w:rsidP="00AE0BDF">
      <w:pPr>
        <w:spacing w:after="0" w:line="480" w:lineRule="auto"/>
        <w:jc w:val="both"/>
        <w:rPr>
          <w:rFonts w:ascii="Arial" w:hAnsi="Arial" w:cs="Arial"/>
          <w:i/>
          <w:iCs/>
        </w:rPr>
      </w:pPr>
    </w:p>
    <w:p w14:paraId="452C22E8" w14:textId="77777777" w:rsidR="00AE0BDF" w:rsidRDefault="00AE0BDF" w:rsidP="00AE0BDF">
      <w:pPr>
        <w:spacing w:after="0" w:line="480" w:lineRule="auto"/>
        <w:jc w:val="both"/>
        <w:rPr>
          <w:rFonts w:ascii="Arial" w:hAnsi="Arial" w:cs="Arial"/>
          <w:i/>
          <w:iCs/>
        </w:rPr>
      </w:pPr>
    </w:p>
    <w:p w14:paraId="494400E3" w14:textId="77777777" w:rsidR="00AE0BDF" w:rsidRDefault="00AE0BDF" w:rsidP="00AE0BDF">
      <w:pPr>
        <w:spacing w:after="0" w:line="480" w:lineRule="auto"/>
        <w:jc w:val="both"/>
        <w:rPr>
          <w:rFonts w:ascii="Arial" w:hAnsi="Arial" w:cs="Arial"/>
          <w:i/>
          <w:iCs/>
        </w:rPr>
      </w:pPr>
    </w:p>
    <w:p w14:paraId="3F2DCE5C" w14:textId="2D6C0F18" w:rsidR="00861D48" w:rsidRPr="002E29DE" w:rsidRDefault="002E29DE" w:rsidP="00AE0BDF">
      <w:pPr>
        <w:spacing w:after="0" w:line="480" w:lineRule="auto"/>
        <w:jc w:val="both"/>
        <w:rPr>
          <w:rFonts w:ascii="Arial" w:hAnsi="Arial" w:cs="Arial"/>
        </w:rPr>
      </w:pPr>
      <w:r>
        <w:rPr>
          <w:rFonts w:ascii="Arial" w:hAnsi="Arial" w:cs="Arial"/>
        </w:rPr>
        <w:tab/>
      </w:r>
      <w:r w:rsidRPr="002E29DE">
        <w:rPr>
          <w:rFonts w:ascii="Arial" w:hAnsi="Arial" w:cs="Arial"/>
        </w:rPr>
        <w:t xml:space="preserve">Overall, the findings from the qualitative phase strongly support and elaborate the very high quantitative rating on preparedness in normal times (M = 4.44, SD = 0.65). The presence of Participatory Contingency Planning as a major theme confirms that such a high level of preparedness is grounded in deliberate, structured, and collaborative planning practices within schools. The core ideas further explain that this preparedness is not only reflected in the existence of DRRM plans, but also in the active involvement of stakeholders, alignment with division mandates, and adaptive use of available physical resources. These collective efforts demonstrate that the quantitative result is deeply </w:t>
      </w:r>
      <w:r w:rsidRPr="002E29DE">
        <w:rPr>
          <w:rFonts w:ascii="Arial" w:hAnsi="Arial" w:cs="Arial"/>
        </w:rPr>
        <w:lastRenderedPageBreak/>
        <w:t>rooted in actual school practices, where preparedness is strengthened through shared responsibility, coordinated planning, and clear role delineation among personnel.</w:t>
      </w:r>
    </w:p>
    <w:p w14:paraId="50E2DFCD" w14:textId="684877EE" w:rsidR="00AE0BDF" w:rsidRDefault="00AE0BDF" w:rsidP="00AE0BDF">
      <w:pPr>
        <w:spacing w:after="0" w:line="480" w:lineRule="auto"/>
        <w:jc w:val="both"/>
        <w:rPr>
          <w:rFonts w:ascii="Arial" w:hAnsi="Arial" w:cs="Arial"/>
          <w:i/>
          <w:iCs/>
        </w:rPr>
      </w:pPr>
      <w:r>
        <w:rPr>
          <w:rFonts w:ascii="Arial" w:hAnsi="Arial" w:cs="Arial"/>
          <w:i/>
          <w:iCs/>
        </w:rPr>
        <w:t xml:space="preserve"> Theme 2: </w:t>
      </w:r>
      <w:r w:rsidRPr="00037817">
        <w:rPr>
          <w:rFonts w:ascii="Arial" w:hAnsi="Arial" w:cs="Arial"/>
          <w:i/>
          <w:iCs/>
        </w:rPr>
        <w:t>Proactive Physical Mitigation</w:t>
      </w:r>
    </w:p>
    <w:p w14:paraId="2AB0A56C" w14:textId="08AB80BE" w:rsidR="00AE0BDF" w:rsidRDefault="00AE0BDF" w:rsidP="00AE0BDF">
      <w:pPr>
        <w:spacing w:after="0" w:line="480" w:lineRule="auto"/>
        <w:jc w:val="both"/>
        <w:rPr>
          <w:rFonts w:ascii="Arial" w:hAnsi="Arial" w:cs="Arial"/>
        </w:rPr>
      </w:pPr>
      <w:r>
        <w:rPr>
          <w:rFonts w:ascii="Arial" w:hAnsi="Arial" w:cs="Arial"/>
        </w:rPr>
        <w:tab/>
      </w:r>
      <w:r w:rsidR="002E29DE" w:rsidRPr="002E29DE">
        <w:rPr>
          <w:rFonts w:ascii="Arial" w:hAnsi="Arial" w:cs="Arial"/>
        </w:rPr>
        <w:t>The core ideas under Participatory Contingency Planning center on the collaborative preparation of school-specific DRRM plans, ensuring that planning is done collectively by key stakeholders within the school. This process also emphasizes alignment with division-level mandates to maintain consistency with established policies and guidelines. In addition, schools adapt their available physical resources to address structural limitations, particularly in cases of single-story infrastructure, in order to strengthen overall preparedness during normal times. Participants emphasized collaborative efforts in developing contingency plans that clearly define roles and responsibilities among school personnel, ensuring that preparedness measures are systematically organized and effectively implemented at the school level.</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64E01C2" w14:textId="77777777" w:rsidTr="00B10240">
        <w:trPr>
          <w:trHeight w:val="1880"/>
        </w:trPr>
        <w:tc>
          <w:tcPr>
            <w:tcW w:w="6536" w:type="dxa"/>
          </w:tcPr>
          <w:p w14:paraId="55C6F3EE"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AF3949">
              <w:rPr>
                <w:rFonts w:ascii="Arial" w:hAnsi="Arial" w:cs="Arial"/>
                <w:sz w:val="22"/>
                <w:szCs w:val="22"/>
              </w:rPr>
              <w:t xml:space="preserve">Amo </w:t>
            </w:r>
            <w:proofErr w:type="spellStart"/>
            <w:r w:rsidRPr="00AF3949">
              <w:rPr>
                <w:rFonts w:ascii="Arial" w:hAnsi="Arial" w:cs="Arial"/>
                <w:sz w:val="22"/>
                <w:szCs w:val="22"/>
              </w:rPr>
              <w:t>gyud</w:t>
            </w:r>
            <w:proofErr w:type="spellEnd"/>
            <w:r w:rsidRPr="00AF3949">
              <w:rPr>
                <w:rFonts w:ascii="Arial" w:hAnsi="Arial" w:cs="Arial"/>
                <w:sz w:val="22"/>
                <w:szCs w:val="22"/>
              </w:rPr>
              <w:t xml:space="preserve"> </w:t>
            </w:r>
            <w:proofErr w:type="spellStart"/>
            <w:r w:rsidRPr="00AF3949">
              <w:rPr>
                <w:rFonts w:ascii="Arial" w:hAnsi="Arial" w:cs="Arial"/>
                <w:sz w:val="22"/>
                <w:szCs w:val="22"/>
              </w:rPr>
              <w:t>gi</w:t>
            </w:r>
            <w:proofErr w:type="spellEnd"/>
            <w:r w:rsidRPr="00AF3949">
              <w:rPr>
                <w:rFonts w:ascii="Arial" w:hAnsi="Arial" w:cs="Arial"/>
                <w:sz w:val="22"/>
                <w:szCs w:val="22"/>
              </w:rPr>
              <w:t xml:space="preserve"> </w:t>
            </w:r>
            <w:proofErr w:type="spellStart"/>
            <w:r w:rsidRPr="00AF3949">
              <w:rPr>
                <w:rFonts w:ascii="Arial" w:hAnsi="Arial" w:cs="Arial"/>
                <w:sz w:val="22"/>
                <w:szCs w:val="22"/>
              </w:rPr>
              <w:t>siguro</w:t>
            </w:r>
            <w:proofErr w:type="spellEnd"/>
            <w:r w:rsidRPr="00AF3949">
              <w:rPr>
                <w:rFonts w:ascii="Arial" w:hAnsi="Arial" w:cs="Arial"/>
                <w:sz w:val="22"/>
                <w:szCs w:val="22"/>
              </w:rPr>
              <w:t xml:space="preserve"> </w:t>
            </w:r>
            <w:proofErr w:type="spellStart"/>
            <w:r w:rsidRPr="00AF3949">
              <w:rPr>
                <w:rFonts w:ascii="Arial" w:hAnsi="Arial" w:cs="Arial"/>
                <w:sz w:val="22"/>
                <w:szCs w:val="22"/>
              </w:rPr>
              <w:t>na</w:t>
            </w:r>
            <w:proofErr w:type="spellEnd"/>
            <w:r w:rsidRPr="00AF3949">
              <w:rPr>
                <w:rFonts w:ascii="Arial" w:hAnsi="Arial" w:cs="Arial"/>
                <w:sz w:val="22"/>
                <w:szCs w:val="22"/>
              </w:rPr>
              <w:t xml:space="preserve"> </w:t>
            </w:r>
            <w:proofErr w:type="spellStart"/>
            <w:r w:rsidRPr="00933D25">
              <w:rPr>
                <w:rFonts w:ascii="Arial" w:hAnsi="Arial" w:cs="Arial"/>
                <w:b/>
                <w:bCs/>
                <w:sz w:val="22"/>
                <w:szCs w:val="22"/>
              </w:rPr>
              <w:t>dagko</w:t>
            </w:r>
            <w:proofErr w:type="spellEnd"/>
            <w:r w:rsidRPr="00933D25">
              <w:rPr>
                <w:rFonts w:ascii="Arial" w:hAnsi="Arial" w:cs="Arial"/>
                <w:b/>
                <w:bCs/>
                <w:sz w:val="22"/>
                <w:szCs w:val="22"/>
              </w:rPr>
              <w:t xml:space="preserve"> or </w:t>
            </w:r>
            <w:proofErr w:type="spellStart"/>
            <w:r w:rsidRPr="00933D25">
              <w:rPr>
                <w:rFonts w:ascii="Arial" w:hAnsi="Arial" w:cs="Arial"/>
                <w:b/>
                <w:bCs/>
                <w:sz w:val="22"/>
                <w:szCs w:val="22"/>
              </w:rPr>
              <w:t>lapad</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siyag</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maagihan</w:t>
            </w:r>
            <w:proofErr w:type="spellEnd"/>
            <w:r w:rsidRPr="00933D25">
              <w:rPr>
                <w:rFonts w:ascii="Arial" w:hAnsi="Arial" w:cs="Arial"/>
                <w:b/>
                <w:bCs/>
                <w:sz w:val="22"/>
                <w:szCs w:val="22"/>
              </w:rPr>
              <w:t xml:space="preserve"> sa </w:t>
            </w:r>
            <w:proofErr w:type="spellStart"/>
            <w:r w:rsidRPr="00933D25">
              <w:rPr>
                <w:rFonts w:ascii="Arial" w:hAnsi="Arial" w:cs="Arial"/>
                <w:b/>
                <w:bCs/>
                <w:sz w:val="22"/>
                <w:szCs w:val="22"/>
              </w:rPr>
              <w:t>tubig</w:t>
            </w:r>
            <w:proofErr w:type="spellEnd"/>
            <w:r w:rsidRPr="00AF3949">
              <w:rPr>
                <w:rFonts w:ascii="Arial" w:hAnsi="Arial" w:cs="Arial"/>
                <w:sz w:val="22"/>
                <w:szCs w:val="22"/>
              </w:rPr>
              <w:t xml:space="preserve">. Gani, within </w:t>
            </w:r>
            <w:r w:rsidRPr="00933D25">
              <w:rPr>
                <w:rFonts w:ascii="Arial" w:hAnsi="Arial" w:cs="Arial"/>
                <w:b/>
                <w:bCs/>
                <w:sz w:val="22"/>
                <w:szCs w:val="22"/>
              </w:rPr>
              <w:t xml:space="preserve">perimeter </w:t>
            </w:r>
            <w:proofErr w:type="spellStart"/>
            <w:r w:rsidRPr="00933D25">
              <w:rPr>
                <w:rFonts w:ascii="Arial" w:hAnsi="Arial" w:cs="Arial"/>
                <w:b/>
                <w:bCs/>
                <w:sz w:val="22"/>
                <w:szCs w:val="22"/>
              </w:rPr>
              <w:t>sa</w:t>
            </w:r>
            <w:proofErr w:type="spellEnd"/>
            <w:r w:rsidRPr="00933D25">
              <w:rPr>
                <w:rFonts w:ascii="Arial" w:hAnsi="Arial" w:cs="Arial"/>
                <w:b/>
                <w:bCs/>
                <w:sz w:val="22"/>
                <w:szCs w:val="22"/>
              </w:rPr>
              <w:t xml:space="preserve"> school is </w:t>
            </w:r>
            <w:proofErr w:type="spellStart"/>
            <w:r w:rsidRPr="00933D25">
              <w:rPr>
                <w:rFonts w:ascii="Arial" w:hAnsi="Arial" w:cs="Arial"/>
                <w:b/>
                <w:bCs/>
                <w:sz w:val="22"/>
                <w:szCs w:val="22"/>
              </w:rPr>
              <w:t>gi</w:t>
            </w:r>
            <w:proofErr w:type="spellEnd"/>
            <w:r w:rsidRPr="00933D25">
              <w:rPr>
                <w:rFonts w:ascii="Arial" w:hAnsi="Arial" w:cs="Arial"/>
                <w:b/>
                <w:bCs/>
                <w:sz w:val="22"/>
                <w:szCs w:val="22"/>
              </w:rPr>
              <w:t xml:space="preserve"> concrete</w:t>
            </w:r>
            <w:r w:rsidRPr="00AF3949">
              <w:rPr>
                <w:rFonts w:ascii="Arial" w:hAnsi="Arial" w:cs="Arial"/>
                <w:sz w:val="22"/>
                <w:szCs w:val="22"/>
              </w:rPr>
              <w:t xml:space="preserve"> </w:t>
            </w:r>
            <w:proofErr w:type="spellStart"/>
            <w:r w:rsidRPr="00AF3949">
              <w:rPr>
                <w:rFonts w:ascii="Arial" w:hAnsi="Arial" w:cs="Arial"/>
                <w:sz w:val="22"/>
                <w:szCs w:val="22"/>
              </w:rPr>
              <w:t>jud</w:t>
            </w:r>
            <w:proofErr w:type="spellEnd"/>
            <w:r w:rsidRPr="00AF3949">
              <w:rPr>
                <w:rFonts w:ascii="Arial" w:hAnsi="Arial" w:cs="Arial"/>
                <w:sz w:val="22"/>
                <w:szCs w:val="22"/>
              </w:rPr>
              <w:t xml:space="preserve"> para </w:t>
            </w:r>
            <w:proofErr w:type="spellStart"/>
            <w:r w:rsidRPr="00AF3949">
              <w:rPr>
                <w:rFonts w:ascii="Arial" w:hAnsi="Arial" w:cs="Arial"/>
                <w:sz w:val="22"/>
                <w:szCs w:val="22"/>
              </w:rPr>
              <w:t>dili</w:t>
            </w:r>
            <w:proofErr w:type="spellEnd"/>
            <w:r w:rsidRPr="00AF3949">
              <w:rPr>
                <w:rFonts w:ascii="Arial" w:hAnsi="Arial" w:cs="Arial"/>
                <w:sz w:val="22"/>
                <w:szCs w:val="22"/>
              </w:rPr>
              <w:t xml:space="preserve"> </w:t>
            </w:r>
            <w:proofErr w:type="spellStart"/>
            <w:r w:rsidRPr="00AF3949">
              <w:rPr>
                <w:rFonts w:ascii="Arial" w:hAnsi="Arial" w:cs="Arial"/>
                <w:sz w:val="22"/>
                <w:szCs w:val="22"/>
              </w:rPr>
              <w:t>na</w:t>
            </w:r>
            <w:proofErr w:type="spellEnd"/>
            <w:r w:rsidRPr="00AF3949">
              <w:rPr>
                <w:rFonts w:ascii="Arial" w:hAnsi="Arial" w:cs="Arial"/>
                <w:sz w:val="22"/>
                <w:szCs w:val="22"/>
              </w:rPr>
              <w:t xml:space="preserve"> ma erode.” (SH_1)</w:t>
            </w:r>
          </w:p>
          <w:p w14:paraId="4C88C72E" w14:textId="77777777" w:rsidR="00AE0BDF" w:rsidRPr="005D73D0" w:rsidRDefault="00AE0BDF" w:rsidP="00B10240">
            <w:pPr>
              <w:spacing w:line="276" w:lineRule="auto"/>
              <w:ind w:right="1"/>
              <w:jc w:val="both"/>
              <w:rPr>
                <w:rFonts w:ascii="Arial" w:hAnsi="Arial" w:cs="Arial"/>
                <w:i/>
                <w:iCs/>
                <w:sz w:val="22"/>
                <w:szCs w:val="22"/>
              </w:rPr>
            </w:pPr>
            <w:r w:rsidRPr="005D73D0">
              <w:rPr>
                <w:rFonts w:ascii="Arial" w:hAnsi="Arial" w:cs="Arial"/>
                <w:sz w:val="22"/>
                <w:szCs w:val="22"/>
              </w:rPr>
              <w:br/>
            </w:r>
            <w:r w:rsidRPr="00AF3949">
              <w:rPr>
                <w:rFonts w:ascii="Arial" w:hAnsi="Arial" w:cs="Arial"/>
                <w:i/>
                <w:iCs/>
                <w:sz w:val="22"/>
                <w:szCs w:val="22"/>
              </w:rPr>
              <w:t>We made sure that areas where water could pass were wide enough. In fact, the school perimeter was concreted to prevent erosion.</w:t>
            </w:r>
          </w:p>
        </w:tc>
      </w:tr>
    </w:tbl>
    <w:p w14:paraId="69A64558" w14:textId="77777777" w:rsidR="00AE0BDF" w:rsidRDefault="00AE0BDF" w:rsidP="00AE0BDF">
      <w:pPr>
        <w:spacing w:after="0" w:line="480" w:lineRule="auto"/>
        <w:jc w:val="both"/>
        <w:rPr>
          <w:rFonts w:ascii="Arial" w:hAnsi="Arial" w:cs="Arial"/>
        </w:rPr>
      </w:pPr>
    </w:p>
    <w:p w14:paraId="2ABF20F4" w14:textId="77777777" w:rsidR="00AE0BDF" w:rsidRDefault="00AE0BDF" w:rsidP="00AE0BDF">
      <w:pPr>
        <w:spacing w:after="0" w:line="480" w:lineRule="auto"/>
        <w:jc w:val="both"/>
        <w:rPr>
          <w:rFonts w:ascii="Arial" w:hAnsi="Arial" w:cs="Arial"/>
        </w:rPr>
      </w:pPr>
    </w:p>
    <w:p w14:paraId="015FFE45" w14:textId="77777777" w:rsidR="00AE0BDF" w:rsidRDefault="00AE0BDF" w:rsidP="00AE0BDF">
      <w:pPr>
        <w:spacing w:after="0" w:line="480" w:lineRule="auto"/>
        <w:jc w:val="both"/>
        <w:rPr>
          <w:rFonts w:ascii="Arial" w:hAnsi="Arial" w:cs="Arial"/>
        </w:rPr>
      </w:pPr>
    </w:p>
    <w:p w14:paraId="3307826B" w14:textId="3676A2AF" w:rsidR="00AE0BDF" w:rsidRDefault="00AE0BDF" w:rsidP="00AE0BDF">
      <w:pPr>
        <w:spacing w:after="0" w:line="480" w:lineRule="auto"/>
        <w:jc w:val="both"/>
        <w:rPr>
          <w:rFonts w:ascii="Arial" w:hAnsi="Arial" w:cs="Arial"/>
        </w:rPr>
      </w:pPr>
    </w:p>
    <w:p w14:paraId="4C9B0A28" w14:textId="77777777" w:rsidR="00994E2F" w:rsidRDefault="00994E2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6704941A" w14:textId="77777777" w:rsidTr="00B10240">
        <w:trPr>
          <w:trHeight w:val="1880"/>
        </w:trPr>
        <w:tc>
          <w:tcPr>
            <w:tcW w:w="6536" w:type="dxa"/>
          </w:tcPr>
          <w:p w14:paraId="4223052F"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D1654C">
              <w:rPr>
                <w:rFonts w:ascii="Arial" w:hAnsi="Arial" w:cs="Arial"/>
                <w:sz w:val="22"/>
                <w:szCs w:val="22"/>
              </w:rPr>
              <w:t xml:space="preserve">It is a practice of the school... the different club organizations, one of their primary duties... is to </w:t>
            </w:r>
            <w:r w:rsidRPr="00933D25">
              <w:rPr>
                <w:rFonts w:ascii="Arial" w:hAnsi="Arial" w:cs="Arial"/>
                <w:b/>
                <w:bCs/>
                <w:sz w:val="22"/>
                <w:szCs w:val="22"/>
              </w:rPr>
              <w:t>regularly clean the school drainage system</w:t>
            </w:r>
            <w:r w:rsidRPr="00D1654C">
              <w:rPr>
                <w:rFonts w:ascii="Arial" w:hAnsi="Arial" w:cs="Arial"/>
                <w:sz w:val="22"/>
                <w:szCs w:val="22"/>
              </w:rPr>
              <w:t>.” (SH2_S2)</w:t>
            </w:r>
          </w:p>
          <w:p w14:paraId="548AAC65" w14:textId="3A8C244A" w:rsidR="00AE0BDF" w:rsidRPr="005D73D0" w:rsidRDefault="00AE0BDF" w:rsidP="00B10240">
            <w:pPr>
              <w:spacing w:line="276" w:lineRule="auto"/>
              <w:ind w:right="1"/>
              <w:jc w:val="both"/>
              <w:rPr>
                <w:rFonts w:ascii="Arial" w:hAnsi="Arial" w:cs="Arial"/>
                <w:i/>
                <w:iCs/>
                <w:sz w:val="22"/>
                <w:szCs w:val="22"/>
              </w:rPr>
            </w:pPr>
            <w:r w:rsidRPr="005D73D0">
              <w:rPr>
                <w:rFonts w:ascii="Arial" w:hAnsi="Arial" w:cs="Arial"/>
                <w:sz w:val="22"/>
                <w:szCs w:val="22"/>
              </w:rPr>
              <w:br/>
            </w:r>
            <w:r w:rsidRPr="00D1654C">
              <w:rPr>
                <w:rFonts w:ascii="Arial" w:hAnsi="Arial" w:cs="Arial"/>
                <w:i/>
                <w:iCs/>
                <w:sz w:val="22"/>
                <w:szCs w:val="22"/>
              </w:rPr>
              <w:t>It was a school practice that different club organizations had the regular cleaning of the school drainage system as one of their primary duties.</w:t>
            </w:r>
          </w:p>
        </w:tc>
      </w:tr>
    </w:tbl>
    <w:p w14:paraId="35B29B7D" w14:textId="77777777" w:rsidR="00AE0BDF" w:rsidRDefault="00AE0BDF" w:rsidP="00AE0BDF">
      <w:pPr>
        <w:spacing w:after="0" w:line="480" w:lineRule="auto"/>
        <w:jc w:val="both"/>
        <w:rPr>
          <w:rFonts w:ascii="Arial" w:hAnsi="Arial" w:cs="Arial"/>
        </w:rPr>
      </w:pPr>
    </w:p>
    <w:p w14:paraId="2003CF6C" w14:textId="77777777" w:rsidR="00AE0BDF" w:rsidRDefault="00AE0BDF" w:rsidP="00AE0BDF">
      <w:pPr>
        <w:spacing w:after="0" w:line="480" w:lineRule="auto"/>
        <w:jc w:val="both"/>
        <w:rPr>
          <w:rFonts w:ascii="Arial" w:hAnsi="Arial" w:cs="Arial"/>
        </w:rPr>
      </w:pPr>
    </w:p>
    <w:p w14:paraId="4D3920E0" w14:textId="77777777" w:rsidR="00AE0BDF" w:rsidRDefault="00AE0BDF" w:rsidP="00AE0BDF">
      <w:pPr>
        <w:spacing w:after="0" w:line="480" w:lineRule="auto"/>
        <w:jc w:val="both"/>
        <w:rPr>
          <w:rFonts w:ascii="Arial" w:hAnsi="Arial" w:cs="Arial"/>
        </w:rPr>
      </w:pPr>
    </w:p>
    <w:p w14:paraId="49AD865E" w14:textId="4B2DFDD8" w:rsidR="00AE0BDF" w:rsidRDefault="00AE0BDF" w:rsidP="00AE0BDF">
      <w:pPr>
        <w:tabs>
          <w:tab w:val="left" w:pos="1148"/>
        </w:tabs>
        <w:spacing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625FA78E" w14:textId="77777777" w:rsidTr="002E29DE">
        <w:trPr>
          <w:trHeight w:val="978"/>
        </w:trPr>
        <w:tc>
          <w:tcPr>
            <w:tcW w:w="6536" w:type="dxa"/>
          </w:tcPr>
          <w:p w14:paraId="21089C44" w14:textId="77777777" w:rsidR="00AE0BDF" w:rsidRPr="00D1654C"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D1654C">
              <w:rPr>
                <w:rFonts w:ascii="Arial" w:hAnsi="Arial" w:cs="Arial"/>
                <w:sz w:val="22"/>
                <w:szCs w:val="22"/>
              </w:rPr>
              <w:t xml:space="preserve">We focus heavily on our </w:t>
            </w:r>
            <w:r w:rsidRPr="00933D25">
              <w:rPr>
                <w:rFonts w:ascii="Arial" w:hAnsi="Arial" w:cs="Arial"/>
                <w:b/>
                <w:bCs/>
                <w:sz w:val="22"/>
                <w:szCs w:val="22"/>
              </w:rPr>
              <w:t>drainage system</w:t>
            </w:r>
            <w:r w:rsidRPr="00D1654C">
              <w:rPr>
                <w:rFonts w:ascii="Arial" w:hAnsi="Arial" w:cs="Arial"/>
                <w:sz w:val="22"/>
                <w:szCs w:val="22"/>
              </w:rPr>
              <w:t xml:space="preserve">... we even made this part of the students' morning routine where they </w:t>
            </w:r>
            <w:r w:rsidRPr="00933D25">
              <w:rPr>
                <w:rFonts w:ascii="Arial" w:hAnsi="Arial" w:cs="Arial"/>
                <w:b/>
                <w:bCs/>
                <w:sz w:val="22"/>
                <w:szCs w:val="22"/>
              </w:rPr>
              <w:t>help clean their assigned areas</w:t>
            </w:r>
            <w:r w:rsidRPr="00D1654C">
              <w:rPr>
                <w:rFonts w:ascii="Arial" w:hAnsi="Arial" w:cs="Arial"/>
                <w:sz w:val="22"/>
                <w:szCs w:val="22"/>
              </w:rPr>
              <w:t>.” (DRRC5_S2)</w:t>
            </w:r>
          </w:p>
        </w:tc>
      </w:tr>
    </w:tbl>
    <w:p w14:paraId="0AABDE09" w14:textId="77777777" w:rsidR="00AE0BDF" w:rsidRPr="00D1654C" w:rsidRDefault="00AE0BDF" w:rsidP="00AE0BDF">
      <w:pPr>
        <w:tabs>
          <w:tab w:val="left" w:pos="1148"/>
        </w:tabs>
        <w:spacing w:line="480" w:lineRule="auto"/>
        <w:jc w:val="both"/>
        <w:rPr>
          <w:rFonts w:ascii="Arial" w:hAnsi="Arial" w:cs="Arial"/>
        </w:rPr>
      </w:pPr>
    </w:p>
    <w:p w14:paraId="7D808CCC" w14:textId="77777777" w:rsidR="00AE0BDF" w:rsidRDefault="00AE0BDF" w:rsidP="00AE0BDF">
      <w:pPr>
        <w:spacing w:after="0" w:line="480" w:lineRule="auto"/>
        <w:jc w:val="both"/>
        <w:rPr>
          <w:rFonts w:ascii="Arial" w:hAnsi="Arial" w:cs="Arial"/>
          <w:i/>
          <w:iCs/>
        </w:rPr>
      </w:pPr>
    </w:p>
    <w:p w14:paraId="712695C7" w14:textId="2914C67C" w:rsidR="002E29DE" w:rsidRPr="002E29DE" w:rsidRDefault="002E29DE" w:rsidP="00AE0BDF">
      <w:pPr>
        <w:spacing w:after="0" w:line="480" w:lineRule="auto"/>
        <w:jc w:val="both"/>
        <w:rPr>
          <w:rFonts w:ascii="Arial" w:hAnsi="Arial" w:cs="Arial"/>
        </w:rPr>
      </w:pPr>
      <w:r>
        <w:rPr>
          <w:rFonts w:ascii="Arial" w:hAnsi="Arial" w:cs="Arial"/>
          <w:i/>
          <w:iCs/>
        </w:rPr>
        <w:lastRenderedPageBreak/>
        <w:tab/>
      </w:r>
      <w:r w:rsidRPr="002E29DE">
        <w:rPr>
          <w:rFonts w:ascii="Arial" w:hAnsi="Arial" w:cs="Arial"/>
        </w:rPr>
        <w:t>The core ideas under Proactive Physical Mitigation focus on the routine and intentional implementation of preventive measures to strengthen school facilities and maintain safe learning environments during normal times. This includes regular infrastructure reinforcement, consistent drainage maintenance, proper waste management practices, and the active engagement of both school personnel and students in preventive activities. These actions reflect a sustained effort to minimize risks and reduce vulnerabilities before any disaster occurs. Participants highlighted that such proactive measures are consistently observed within their schools, demonstrating a culture of prevention and preparedness. These qualitative insights strongly align with the very high quantitative result (M = 4.44, SD = 0.65), indicating that preparedness is not only policy-driven but also operationalized through continuous physical mitigation practices embedded in daily school routines.</w:t>
      </w:r>
    </w:p>
    <w:p w14:paraId="47A65D14" w14:textId="77777777" w:rsidR="00AE0BDF" w:rsidRDefault="00AE0BDF" w:rsidP="00AE0BDF">
      <w:pPr>
        <w:spacing w:after="0" w:line="480" w:lineRule="auto"/>
        <w:jc w:val="both"/>
        <w:rPr>
          <w:rFonts w:ascii="Arial" w:hAnsi="Arial" w:cs="Arial"/>
          <w:i/>
          <w:iCs/>
        </w:rPr>
      </w:pPr>
      <w:r>
        <w:rPr>
          <w:rFonts w:ascii="Arial" w:hAnsi="Arial" w:cs="Arial"/>
          <w:i/>
          <w:iCs/>
        </w:rPr>
        <w:t xml:space="preserve">Theme 3: </w:t>
      </w:r>
      <w:r w:rsidRPr="00D1654C">
        <w:rPr>
          <w:rFonts w:ascii="Arial" w:hAnsi="Arial" w:cs="Arial"/>
          <w:i/>
          <w:iCs/>
        </w:rPr>
        <w:t>Leadership Commitment</w:t>
      </w:r>
    </w:p>
    <w:p w14:paraId="544DA28E" w14:textId="0365DE5A" w:rsidR="00AE0BDF" w:rsidRPr="00C461C7" w:rsidRDefault="002E29DE" w:rsidP="00AE0BDF">
      <w:pPr>
        <w:spacing w:after="0" w:line="480" w:lineRule="auto"/>
        <w:jc w:val="both"/>
        <w:rPr>
          <w:rFonts w:ascii="Arial" w:hAnsi="Arial" w:cs="Arial"/>
        </w:rPr>
      </w:pPr>
      <w:r>
        <w:rPr>
          <w:rFonts w:ascii="Arial" w:hAnsi="Arial" w:cs="Arial"/>
        </w:rPr>
        <w:tab/>
      </w:r>
      <w:r w:rsidRPr="002E29DE">
        <w:rPr>
          <w:rFonts w:ascii="Arial" w:hAnsi="Arial" w:cs="Arial"/>
        </w:rPr>
        <w:t>The core ideas under Leadership Commitment highlight the central role of school heads in driving and sustaining disaster preparedness initiatives within the school. This theme emphasizes that strong leadership and administrative support are essential in ensuring the effective implementation of DRRM policies and practices. School leaders are actively involved in providing direction, monitoring compliance, and fostering accountability among personnel, which strengthens the overall preparedness of the institution during normal times. Participants emphasized that the commitment of school heads serves as a driving force in ensuring that preparedness measures are consistently implemented, properly coordinated, and sustained across all levels of the school system.</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0938FF5" w14:textId="77777777" w:rsidTr="00B10240">
        <w:trPr>
          <w:trHeight w:val="1880"/>
        </w:trPr>
        <w:tc>
          <w:tcPr>
            <w:tcW w:w="6536" w:type="dxa"/>
          </w:tcPr>
          <w:p w14:paraId="4161F6B4"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lastRenderedPageBreak/>
              <w:t>“</w:t>
            </w:r>
            <w:r w:rsidRPr="00D1654C">
              <w:rPr>
                <w:rFonts w:ascii="Arial" w:hAnsi="Arial" w:cs="Arial"/>
                <w:sz w:val="22"/>
                <w:szCs w:val="22"/>
              </w:rPr>
              <w:t xml:space="preserve">Mag depend </w:t>
            </w:r>
            <w:proofErr w:type="spellStart"/>
            <w:r w:rsidRPr="00D1654C">
              <w:rPr>
                <w:rFonts w:ascii="Arial" w:hAnsi="Arial" w:cs="Arial"/>
                <w:sz w:val="22"/>
                <w:szCs w:val="22"/>
              </w:rPr>
              <w:t>sa</w:t>
            </w:r>
            <w:proofErr w:type="spellEnd"/>
            <w:r w:rsidRPr="00D1654C">
              <w:rPr>
                <w:rFonts w:ascii="Arial" w:hAnsi="Arial" w:cs="Arial"/>
                <w:sz w:val="22"/>
                <w:szCs w:val="22"/>
              </w:rPr>
              <w:t xml:space="preserve"> </w:t>
            </w:r>
            <w:r w:rsidRPr="00933D25">
              <w:rPr>
                <w:rFonts w:ascii="Arial" w:hAnsi="Arial" w:cs="Arial"/>
                <w:b/>
                <w:bCs/>
                <w:sz w:val="22"/>
                <w:szCs w:val="22"/>
              </w:rPr>
              <w:t>ability of the school head</w:t>
            </w:r>
            <w:r w:rsidRPr="00D1654C">
              <w:rPr>
                <w:rFonts w:ascii="Arial" w:hAnsi="Arial" w:cs="Arial"/>
                <w:sz w:val="22"/>
                <w:szCs w:val="22"/>
              </w:rPr>
              <w:t xml:space="preserve">... kung hesitant or reluctant ang school head... </w:t>
            </w:r>
            <w:proofErr w:type="spellStart"/>
            <w:r w:rsidRPr="00D1654C">
              <w:rPr>
                <w:rFonts w:ascii="Arial" w:hAnsi="Arial" w:cs="Arial"/>
                <w:sz w:val="22"/>
                <w:szCs w:val="22"/>
              </w:rPr>
              <w:t>dili</w:t>
            </w:r>
            <w:proofErr w:type="spellEnd"/>
            <w:r w:rsidRPr="00D1654C">
              <w:rPr>
                <w:rFonts w:ascii="Arial" w:hAnsi="Arial" w:cs="Arial"/>
                <w:sz w:val="22"/>
                <w:szCs w:val="22"/>
              </w:rPr>
              <w:t xml:space="preserve"> </w:t>
            </w:r>
            <w:proofErr w:type="spellStart"/>
            <w:r w:rsidRPr="00D1654C">
              <w:rPr>
                <w:rFonts w:ascii="Arial" w:hAnsi="Arial" w:cs="Arial"/>
                <w:sz w:val="22"/>
                <w:szCs w:val="22"/>
              </w:rPr>
              <w:t>siya</w:t>
            </w:r>
            <w:proofErr w:type="spellEnd"/>
            <w:r w:rsidRPr="00D1654C">
              <w:rPr>
                <w:rFonts w:ascii="Arial" w:hAnsi="Arial" w:cs="Arial"/>
                <w:sz w:val="22"/>
                <w:szCs w:val="22"/>
              </w:rPr>
              <w:t xml:space="preserve"> ma implement kung </w:t>
            </w:r>
            <w:proofErr w:type="spellStart"/>
            <w:r w:rsidRPr="00D1654C">
              <w:rPr>
                <w:rFonts w:ascii="Arial" w:hAnsi="Arial" w:cs="Arial"/>
                <w:sz w:val="22"/>
                <w:szCs w:val="22"/>
              </w:rPr>
              <w:t>dili</w:t>
            </w:r>
            <w:proofErr w:type="spellEnd"/>
            <w:r w:rsidRPr="00D1654C">
              <w:rPr>
                <w:rFonts w:ascii="Arial" w:hAnsi="Arial" w:cs="Arial"/>
                <w:sz w:val="22"/>
                <w:szCs w:val="22"/>
              </w:rPr>
              <w:t xml:space="preserve"> </w:t>
            </w:r>
            <w:proofErr w:type="spellStart"/>
            <w:r w:rsidRPr="00D1654C">
              <w:rPr>
                <w:rFonts w:ascii="Arial" w:hAnsi="Arial" w:cs="Arial"/>
                <w:sz w:val="22"/>
                <w:szCs w:val="22"/>
              </w:rPr>
              <w:t>niya</w:t>
            </w:r>
            <w:proofErr w:type="spellEnd"/>
            <w:r w:rsidRPr="00D1654C">
              <w:rPr>
                <w:rFonts w:ascii="Arial" w:hAnsi="Arial" w:cs="Arial"/>
                <w:sz w:val="22"/>
                <w:szCs w:val="22"/>
              </w:rPr>
              <w:t xml:space="preserve"> </w:t>
            </w:r>
            <w:proofErr w:type="spellStart"/>
            <w:r w:rsidRPr="00D1654C">
              <w:rPr>
                <w:rFonts w:ascii="Arial" w:hAnsi="Arial" w:cs="Arial"/>
                <w:sz w:val="22"/>
                <w:szCs w:val="22"/>
              </w:rPr>
              <w:t>tagaan</w:t>
            </w:r>
            <w:proofErr w:type="spellEnd"/>
            <w:r w:rsidRPr="00D1654C">
              <w:rPr>
                <w:rFonts w:ascii="Arial" w:hAnsi="Arial" w:cs="Arial"/>
                <w:sz w:val="22"/>
                <w:szCs w:val="22"/>
              </w:rPr>
              <w:t xml:space="preserve"> </w:t>
            </w:r>
            <w:proofErr w:type="spellStart"/>
            <w:r w:rsidRPr="00D1654C">
              <w:rPr>
                <w:rFonts w:ascii="Arial" w:hAnsi="Arial" w:cs="Arial"/>
                <w:sz w:val="22"/>
                <w:szCs w:val="22"/>
              </w:rPr>
              <w:t>og</w:t>
            </w:r>
            <w:proofErr w:type="spellEnd"/>
            <w:r w:rsidRPr="00D1654C">
              <w:rPr>
                <w:rFonts w:ascii="Arial" w:hAnsi="Arial" w:cs="Arial"/>
                <w:sz w:val="22"/>
                <w:szCs w:val="22"/>
              </w:rPr>
              <w:t xml:space="preserve"> value.” (SH1_S5)</w:t>
            </w:r>
          </w:p>
          <w:p w14:paraId="66423E6A" w14:textId="77777777" w:rsidR="00AE0BDF" w:rsidRDefault="00AE0BDF" w:rsidP="00B10240">
            <w:pPr>
              <w:spacing w:line="276" w:lineRule="auto"/>
              <w:ind w:right="1"/>
              <w:jc w:val="both"/>
              <w:rPr>
                <w:rFonts w:ascii="Arial" w:hAnsi="Arial" w:cs="Arial"/>
                <w:i/>
                <w:iCs/>
                <w:sz w:val="22"/>
                <w:szCs w:val="22"/>
              </w:rPr>
            </w:pPr>
          </w:p>
          <w:p w14:paraId="16615F59" w14:textId="77777777" w:rsidR="00AE0BDF" w:rsidRPr="005D73D0" w:rsidRDefault="00AE0BDF" w:rsidP="00B10240">
            <w:pPr>
              <w:spacing w:line="276" w:lineRule="auto"/>
              <w:ind w:right="1"/>
              <w:jc w:val="both"/>
              <w:rPr>
                <w:rFonts w:ascii="Arial" w:hAnsi="Arial" w:cs="Arial"/>
                <w:i/>
                <w:iCs/>
                <w:sz w:val="22"/>
                <w:szCs w:val="22"/>
              </w:rPr>
            </w:pPr>
            <w:r w:rsidRPr="00D1654C">
              <w:rPr>
                <w:rFonts w:ascii="Arial" w:hAnsi="Arial" w:cs="Arial"/>
                <w:i/>
                <w:iCs/>
                <w:sz w:val="22"/>
                <w:szCs w:val="22"/>
              </w:rPr>
              <w:t>It depends on the ability of the school head. If the school head is hesitant or reluctant, it will not be implemented if he or she does not give value to it.</w:t>
            </w:r>
          </w:p>
        </w:tc>
      </w:tr>
    </w:tbl>
    <w:p w14:paraId="28066D71" w14:textId="77777777" w:rsidR="00AE0BDF" w:rsidRPr="00C461C7" w:rsidRDefault="00AE0BDF" w:rsidP="00AE0BDF">
      <w:pPr>
        <w:spacing w:after="0" w:line="480" w:lineRule="auto"/>
        <w:jc w:val="both"/>
        <w:rPr>
          <w:rFonts w:ascii="Arial" w:hAnsi="Arial" w:cs="Arial"/>
        </w:rPr>
      </w:pPr>
    </w:p>
    <w:p w14:paraId="19A14DD0" w14:textId="77777777" w:rsidR="00AE0BDF" w:rsidRPr="00C461C7" w:rsidRDefault="00AE0BDF" w:rsidP="00AE0BDF">
      <w:pPr>
        <w:spacing w:after="0" w:line="480" w:lineRule="auto"/>
        <w:jc w:val="both"/>
        <w:rPr>
          <w:rFonts w:ascii="Arial" w:hAnsi="Arial" w:cs="Arial"/>
        </w:rPr>
      </w:pPr>
    </w:p>
    <w:p w14:paraId="5C32DC28" w14:textId="77777777" w:rsidR="00AE0BDF" w:rsidRPr="00C461C7" w:rsidRDefault="00AE0BDF" w:rsidP="00AE0BDF">
      <w:pPr>
        <w:spacing w:after="0" w:line="480" w:lineRule="auto"/>
        <w:jc w:val="both"/>
        <w:rPr>
          <w:rFonts w:ascii="Arial" w:hAnsi="Arial" w:cs="Arial"/>
        </w:rPr>
      </w:pPr>
    </w:p>
    <w:p w14:paraId="19967EF3" w14:textId="6A94C472" w:rsidR="00AE0BDF" w:rsidRDefault="00AE0BDF" w:rsidP="00AE0BDF">
      <w:pPr>
        <w:spacing w:after="0" w:line="480" w:lineRule="auto"/>
        <w:jc w:val="both"/>
        <w:rPr>
          <w:rFonts w:ascii="Arial" w:hAnsi="Arial" w:cs="Arial"/>
        </w:rPr>
      </w:pPr>
    </w:p>
    <w:p w14:paraId="4F3FFEC3" w14:textId="77777777" w:rsidR="00994E2F" w:rsidRPr="00C461C7" w:rsidRDefault="00994E2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5A2522FF" w14:textId="77777777" w:rsidTr="00B10240">
        <w:trPr>
          <w:trHeight w:val="1880"/>
        </w:trPr>
        <w:tc>
          <w:tcPr>
            <w:tcW w:w="6536" w:type="dxa"/>
          </w:tcPr>
          <w:p w14:paraId="3D90FA28"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E51E1C">
              <w:rPr>
                <w:rFonts w:ascii="Arial" w:hAnsi="Arial" w:cs="Arial"/>
                <w:sz w:val="22"/>
                <w:szCs w:val="22"/>
              </w:rPr>
              <w:t xml:space="preserve">It depends </w:t>
            </w:r>
            <w:proofErr w:type="spellStart"/>
            <w:r w:rsidRPr="00E51E1C">
              <w:rPr>
                <w:rFonts w:ascii="Arial" w:hAnsi="Arial" w:cs="Arial"/>
                <w:sz w:val="22"/>
                <w:szCs w:val="22"/>
              </w:rPr>
              <w:t>sa</w:t>
            </w:r>
            <w:proofErr w:type="spellEnd"/>
            <w:r w:rsidRPr="00E51E1C">
              <w:rPr>
                <w:rFonts w:ascii="Arial" w:hAnsi="Arial" w:cs="Arial"/>
                <w:sz w:val="22"/>
                <w:szCs w:val="22"/>
              </w:rPr>
              <w:t xml:space="preserve"> </w:t>
            </w:r>
            <w:r w:rsidRPr="00933D25">
              <w:rPr>
                <w:rFonts w:ascii="Arial" w:hAnsi="Arial" w:cs="Arial"/>
                <w:b/>
                <w:bCs/>
                <w:sz w:val="22"/>
                <w:szCs w:val="22"/>
              </w:rPr>
              <w:t xml:space="preserve">headship </w:t>
            </w:r>
            <w:proofErr w:type="spellStart"/>
            <w:r w:rsidRPr="00933D25">
              <w:rPr>
                <w:rFonts w:ascii="Arial" w:hAnsi="Arial" w:cs="Arial"/>
                <w:b/>
                <w:bCs/>
                <w:sz w:val="22"/>
                <w:szCs w:val="22"/>
              </w:rPr>
              <w:t>ni</w:t>
            </w:r>
            <w:proofErr w:type="spellEnd"/>
            <w:r w:rsidRPr="00933D25">
              <w:rPr>
                <w:rFonts w:ascii="Arial" w:hAnsi="Arial" w:cs="Arial"/>
                <w:b/>
                <w:bCs/>
                <w:sz w:val="22"/>
                <w:szCs w:val="22"/>
              </w:rPr>
              <w:t xml:space="preserve"> school head</w:t>
            </w:r>
            <w:r w:rsidRPr="00E51E1C">
              <w:rPr>
                <w:rFonts w:ascii="Arial" w:hAnsi="Arial" w:cs="Arial"/>
                <w:sz w:val="22"/>
                <w:szCs w:val="22"/>
              </w:rPr>
              <w:t xml:space="preserve">. The coordinators will </w:t>
            </w:r>
            <w:r w:rsidRPr="00933D25">
              <w:rPr>
                <w:rFonts w:ascii="Arial" w:hAnsi="Arial" w:cs="Arial"/>
                <w:b/>
                <w:bCs/>
                <w:sz w:val="22"/>
                <w:szCs w:val="22"/>
              </w:rPr>
              <w:t>act on</w:t>
            </w:r>
            <w:r w:rsidRPr="00E51E1C">
              <w:rPr>
                <w:rFonts w:ascii="Arial" w:hAnsi="Arial" w:cs="Arial"/>
                <w:sz w:val="22"/>
                <w:szCs w:val="22"/>
              </w:rPr>
              <w:t xml:space="preserve"> </w:t>
            </w:r>
            <w:proofErr w:type="spellStart"/>
            <w:r w:rsidRPr="00E51E1C">
              <w:rPr>
                <w:rFonts w:ascii="Arial" w:hAnsi="Arial" w:cs="Arial"/>
                <w:sz w:val="22"/>
                <w:szCs w:val="22"/>
              </w:rPr>
              <w:t>sa</w:t>
            </w:r>
            <w:proofErr w:type="spellEnd"/>
            <w:r w:rsidRPr="00E51E1C">
              <w:rPr>
                <w:rFonts w:ascii="Arial" w:hAnsi="Arial" w:cs="Arial"/>
                <w:sz w:val="22"/>
                <w:szCs w:val="22"/>
              </w:rPr>
              <w:t xml:space="preserve"> </w:t>
            </w:r>
            <w:proofErr w:type="spellStart"/>
            <w:r w:rsidRPr="00E51E1C">
              <w:rPr>
                <w:rFonts w:ascii="Arial" w:hAnsi="Arial" w:cs="Arial"/>
                <w:sz w:val="22"/>
                <w:szCs w:val="22"/>
              </w:rPr>
              <w:t>ilang</w:t>
            </w:r>
            <w:proofErr w:type="spellEnd"/>
            <w:r w:rsidRPr="00E51E1C">
              <w:rPr>
                <w:rFonts w:ascii="Arial" w:hAnsi="Arial" w:cs="Arial"/>
                <w:sz w:val="22"/>
                <w:szCs w:val="22"/>
              </w:rPr>
              <w:t xml:space="preserve"> part but of course </w:t>
            </w:r>
            <w:r w:rsidRPr="00933D25">
              <w:rPr>
                <w:rFonts w:ascii="Arial" w:hAnsi="Arial" w:cs="Arial"/>
                <w:b/>
                <w:bCs/>
                <w:sz w:val="22"/>
                <w:szCs w:val="22"/>
              </w:rPr>
              <w:t xml:space="preserve">mag </w:t>
            </w:r>
            <w:proofErr w:type="spellStart"/>
            <w:r w:rsidRPr="00933D25">
              <w:rPr>
                <w:rFonts w:ascii="Arial" w:hAnsi="Arial" w:cs="Arial"/>
                <w:b/>
                <w:bCs/>
                <w:sz w:val="22"/>
                <w:szCs w:val="22"/>
              </w:rPr>
              <w:t>una</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jud</w:t>
            </w:r>
            <w:proofErr w:type="spellEnd"/>
            <w:r w:rsidRPr="00933D25">
              <w:rPr>
                <w:rFonts w:ascii="Arial" w:hAnsi="Arial" w:cs="Arial"/>
                <w:b/>
                <w:bCs/>
                <w:sz w:val="22"/>
                <w:szCs w:val="22"/>
              </w:rPr>
              <w:t xml:space="preserve"> ang mandate </w:t>
            </w:r>
            <w:proofErr w:type="spellStart"/>
            <w:r w:rsidRPr="00933D25">
              <w:rPr>
                <w:rFonts w:ascii="Arial" w:hAnsi="Arial" w:cs="Arial"/>
                <w:b/>
                <w:bCs/>
                <w:sz w:val="22"/>
                <w:szCs w:val="22"/>
              </w:rPr>
              <w:t>ni</w:t>
            </w:r>
            <w:proofErr w:type="spellEnd"/>
            <w:r w:rsidRPr="00933D25">
              <w:rPr>
                <w:rFonts w:ascii="Arial" w:hAnsi="Arial" w:cs="Arial"/>
                <w:b/>
                <w:bCs/>
                <w:sz w:val="22"/>
                <w:szCs w:val="22"/>
              </w:rPr>
              <w:t xml:space="preserve"> school head</w:t>
            </w:r>
            <w:r w:rsidRPr="00E51E1C">
              <w:rPr>
                <w:rFonts w:ascii="Arial" w:hAnsi="Arial" w:cs="Arial"/>
                <w:sz w:val="22"/>
                <w:szCs w:val="22"/>
              </w:rPr>
              <w:t>.” (DRRC1_S4)</w:t>
            </w:r>
          </w:p>
          <w:p w14:paraId="7DD9AE1D" w14:textId="77777777" w:rsidR="00AE0BDF" w:rsidRDefault="00AE0BDF" w:rsidP="00B10240">
            <w:pPr>
              <w:spacing w:line="276" w:lineRule="auto"/>
              <w:ind w:right="1"/>
              <w:jc w:val="both"/>
              <w:rPr>
                <w:rFonts w:ascii="Arial" w:hAnsi="Arial" w:cs="Arial"/>
                <w:i/>
                <w:iCs/>
                <w:sz w:val="22"/>
                <w:szCs w:val="22"/>
              </w:rPr>
            </w:pPr>
          </w:p>
          <w:p w14:paraId="22F989B8" w14:textId="77777777" w:rsidR="00AE0BDF" w:rsidRPr="005D73D0" w:rsidRDefault="00AE0BDF" w:rsidP="00B10240">
            <w:pPr>
              <w:spacing w:line="276" w:lineRule="auto"/>
              <w:ind w:right="1"/>
              <w:jc w:val="both"/>
              <w:rPr>
                <w:rFonts w:ascii="Arial" w:hAnsi="Arial" w:cs="Arial"/>
                <w:i/>
                <w:iCs/>
                <w:sz w:val="22"/>
                <w:szCs w:val="22"/>
              </w:rPr>
            </w:pPr>
            <w:r>
              <w:rPr>
                <w:rFonts w:ascii="Arial" w:hAnsi="Arial" w:cs="Arial"/>
                <w:i/>
                <w:iCs/>
                <w:sz w:val="22"/>
                <w:szCs w:val="22"/>
              </w:rPr>
              <w:t>I</w:t>
            </w:r>
            <w:r w:rsidRPr="00E51E1C">
              <w:rPr>
                <w:rFonts w:ascii="Arial" w:hAnsi="Arial" w:cs="Arial"/>
                <w:i/>
                <w:iCs/>
                <w:sz w:val="22"/>
                <w:szCs w:val="22"/>
              </w:rPr>
              <w:t>t depends on the headship of the school head. The coordinators will do their part, but the mandate of the school head must come first.</w:t>
            </w:r>
          </w:p>
        </w:tc>
      </w:tr>
    </w:tbl>
    <w:p w14:paraId="5DBC7198" w14:textId="77777777" w:rsidR="00AE0BDF" w:rsidRPr="00C461C7" w:rsidRDefault="00AE0BDF" w:rsidP="00AE0BDF">
      <w:pPr>
        <w:spacing w:after="0" w:line="480" w:lineRule="auto"/>
        <w:jc w:val="both"/>
        <w:rPr>
          <w:rFonts w:ascii="Arial" w:hAnsi="Arial" w:cs="Arial"/>
        </w:rPr>
      </w:pPr>
    </w:p>
    <w:p w14:paraId="215EAFB5" w14:textId="77777777" w:rsidR="00AE0BDF" w:rsidRPr="00C461C7" w:rsidRDefault="00AE0BDF" w:rsidP="00AE0BDF">
      <w:pPr>
        <w:spacing w:after="0" w:line="480" w:lineRule="auto"/>
        <w:jc w:val="both"/>
        <w:rPr>
          <w:rFonts w:ascii="Arial" w:hAnsi="Arial" w:cs="Arial"/>
        </w:rPr>
      </w:pPr>
    </w:p>
    <w:p w14:paraId="48878447" w14:textId="77777777" w:rsidR="00AE0BDF" w:rsidRPr="00C461C7" w:rsidRDefault="00AE0BDF" w:rsidP="00AE0BDF">
      <w:pPr>
        <w:spacing w:after="0" w:line="480" w:lineRule="auto"/>
        <w:jc w:val="both"/>
        <w:rPr>
          <w:rFonts w:ascii="Arial" w:hAnsi="Arial" w:cs="Arial"/>
        </w:rPr>
      </w:pPr>
    </w:p>
    <w:p w14:paraId="39DAF410" w14:textId="6B3FE529" w:rsidR="00AE0BDF" w:rsidRPr="00C461C7"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9A5A369" w14:textId="77777777" w:rsidTr="00B10240">
        <w:trPr>
          <w:trHeight w:val="2240"/>
        </w:trPr>
        <w:tc>
          <w:tcPr>
            <w:tcW w:w="6536" w:type="dxa"/>
          </w:tcPr>
          <w:p w14:paraId="1FD1DCD6" w14:textId="760FD87E"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E51E1C">
              <w:rPr>
                <w:rFonts w:ascii="Arial" w:hAnsi="Arial" w:cs="Arial"/>
                <w:sz w:val="22"/>
                <w:szCs w:val="22"/>
              </w:rPr>
              <w:t xml:space="preserve">Ang DRR contingency plan was </w:t>
            </w:r>
            <w:r w:rsidRPr="00933D25">
              <w:rPr>
                <w:rFonts w:ascii="Arial" w:hAnsi="Arial" w:cs="Arial"/>
                <w:b/>
                <w:bCs/>
                <w:sz w:val="22"/>
                <w:szCs w:val="22"/>
              </w:rPr>
              <w:t>prepared by the school head</w:t>
            </w:r>
            <w:r w:rsidRPr="00E51E1C">
              <w:rPr>
                <w:rFonts w:ascii="Arial" w:hAnsi="Arial" w:cs="Arial"/>
                <w:sz w:val="22"/>
                <w:szCs w:val="22"/>
              </w:rPr>
              <w:t xml:space="preserve"> and the coordinator with the consultation of our teachers... so </w:t>
            </w:r>
            <w:r w:rsidRPr="00933D25">
              <w:rPr>
                <w:rFonts w:ascii="Arial" w:hAnsi="Arial" w:cs="Arial"/>
                <w:b/>
                <w:bCs/>
                <w:sz w:val="22"/>
                <w:szCs w:val="22"/>
              </w:rPr>
              <w:t xml:space="preserve">directly man </w:t>
            </w:r>
            <w:proofErr w:type="spellStart"/>
            <w:r w:rsidRPr="00933D25">
              <w:rPr>
                <w:rFonts w:ascii="Arial" w:hAnsi="Arial" w:cs="Arial"/>
                <w:b/>
                <w:bCs/>
                <w:sz w:val="22"/>
                <w:szCs w:val="22"/>
              </w:rPr>
              <w:t>maka</w:t>
            </w:r>
            <w:proofErr w:type="spellEnd"/>
            <w:r w:rsidRPr="00933D25">
              <w:rPr>
                <w:rFonts w:ascii="Arial" w:hAnsi="Arial" w:cs="Arial"/>
                <w:b/>
                <w:bCs/>
                <w:sz w:val="22"/>
                <w:szCs w:val="22"/>
              </w:rPr>
              <w:t xml:space="preserve"> response </w:t>
            </w:r>
            <w:proofErr w:type="spellStart"/>
            <w:r w:rsidRPr="00933D25">
              <w:rPr>
                <w:rFonts w:ascii="Arial" w:hAnsi="Arial" w:cs="Arial"/>
                <w:b/>
                <w:bCs/>
                <w:sz w:val="22"/>
                <w:szCs w:val="22"/>
              </w:rPr>
              <w:t>dayon</w:t>
            </w:r>
            <w:proofErr w:type="spellEnd"/>
            <w:r w:rsidRPr="00E51E1C">
              <w:rPr>
                <w:rFonts w:ascii="Arial" w:hAnsi="Arial" w:cs="Arial"/>
                <w:sz w:val="22"/>
                <w:szCs w:val="22"/>
              </w:rPr>
              <w:t>.” (SH1_S1)</w:t>
            </w:r>
          </w:p>
          <w:p w14:paraId="5111BB1C" w14:textId="77777777" w:rsidR="00AE0BDF" w:rsidRDefault="00AE0BDF" w:rsidP="00B10240">
            <w:pPr>
              <w:spacing w:line="276" w:lineRule="auto"/>
              <w:ind w:right="1"/>
              <w:jc w:val="both"/>
              <w:rPr>
                <w:rFonts w:ascii="Arial" w:hAnsi="Arial" w:cs="Arial"/>
                <w:i/>
                <w:iCs/>
                <w:sz w:val="22"/>
                <w:szCs w:val="22"/>
              </w:rPr>
            </w:pPr>
          </w:p>
          <w:p w14:paraId="3043F1F2" w14:textId="77777777" w:rsidR="00AE0BDF" w:rsidRPr="005D73D0" w:rsidRDefault="00AE0BDF" w:rsidP="00B10240">
            <w:pPr>
              <w:spacing w:line="276" w:lineRule="auto"/>
              <w:ind w:right="1"/>
              <w:jc w:val="both"/>
              <w:rPr>
                <w:rFonts w:ascii="Arial" w:hAnsi="Arial" w:cs="Arial"/>
                <w:i/>
                <w:iCs/>
                <w:sz w:val="22"/>
                <w:szCs w:val="22"/>
              </w:rPr>
            </w:pPr>
            <w:r w:rsidRPr="00E51E1C">
              <w:rPr>
                <w:rFonts w:ascii="Arial" w:hAnsi="Arial" w:cs="Arial"/>
                <w:i/>
                <w:iCs/>
                <w:sz w:val="22"/>
                <w:szCs w:val="22"/>
              </w:rPr>
              <w:t>The DRR contingency plan was prepared by the school head and the coordinator with teacher consultation so that the school could respond immediately.</w:t>
            </w:r>
          </w:p>
        </w:tc>
      </w:tr>
    </w:tbl>
    <w:p w14:paraId="227ACC76" w14:textId="77777777" w:rsidR="00AE0BDF" w:rsidRPr="00C461C7" w:rsidRDefault="00AE0BDF" w:rsidP="00AE0BDF">
      <w:pPr>
        <w:spacing w:after="0" w:line="480" w:lineRule="auto"/>
        <w:jc w:val="both"/>
        <w:rPr>
          <w:rFonts w:ascii="Arial" w:hAnsi="Arial" w:cs="Arial"/>
        </w:rPr>
      </w:pPr>
    </w:p>
    <w:p w14:paraId="5C02921F" w14:textId="77777777" w:rsidR="00AE0BDF" w:rsidRPr="00C461C7" w:rsidRDefault="00AE0BDF" w:rsidP="00AE0BDF">
      <w:pPr>
        <w:spacing w:after="0" w:line="480" w:lineRule="auto"/>
        <w:jc w:val="both"/>
        <w:rPr>
          <w:rFonts w:ascii="Arial" w:hAnsi="Arial" w:cs="Arial"/>
        </w:rPr>
      </w:pPr>
    </w:p>
    <w:p w14:paraId="69ACA57F" w14:textId="77777777" w:rsidR="00AE0BDF" w:rsidRDefault="00AE0BDF" w:rsidP="00AE0BDF">
      <w:pPr>
        <w:spacing w:after="0" w:line="480" w:lineRule="auto"/>
        <w:jc w:val="both"/>
        <w:rPr>
          <w:rFonts w:ascii="Arial" w:hAnsi="Arial" w:cs="Arial"/>
        </w:rPr>
      </w:pPr>
    </w:p>
    <w:p w14:paraId="0053609F" w14:textId="77777777" w:rsidR="002E29DE" w:rsidRDefault="002E29DE" w:rsidP="00AE0BDF">
      <w:pPr>
        <w:spacing w:after="0" w:line="480" w:lineRule="auto"/>
        <w:ind w:right="1"/>
        <w:jc w:val="both"/>
        <w:rPr>
          <w:rFonts w:ascii="Arial" w:hAnsi="Arial" w:cs="Arial"/>
        </w:rPr>
      </w:pPr>
    </w:p>
    <w:p w14:paraId="30C6298F" w14:textId="77777777" w:rsidR="00994E2F" w:rsidRDefault="00994E2F" w:rsidP="00AE0BDF">
      <w:pPr>
        <w:spacing w:after="0" w:line="480" w:lineRule="auto"/>
        <w:ind w:right="1"/>
        <w:jc w:val="both"/>
        <w:rPr>
          <w:rFonts w:ascii="Arial" w:hAnsi="Arial" w:cs="Arial"/>
          <w:b/>
          <w:bCs/>
        </w:rPr>
      </w:pPr>
    </w:p>
    <w:p w14:paraId="550084EE" w14:textId="5C0EAB60" w:rsidR="00840DFD" w:rsidRPr="00840DFD" w:rsidRDefault="00840DFD" w:rsidP="00AE0BDF">
      <w:pPr>
        <w:spacing w:after="0" w:line="480" w:lineRule="auto"/>
        <w:ind w:right="1"/>
        <w:jc w:val="both"/>
        <w:rPr>
          <w:rFonts w:ascii="Arial" w:hAnsi="Arial" w:cs="Arial"/>
        </w:rPr>
      </w:pPr>
      <w:r>
        <w:rPr>
          <w:rFonts w:ascii="Arial" w:hAnsi="Arial" w:cs="Arial"/>
        </w:rPr>
        <w:tab/>
      </w:r>
      <w:r w:rsidRPr="00840DFD">
        <w:rPr>
          <w:rFonts w:ascii="Arial" w:hAnsi="Arial" w:cs="Arial"/>
        </w:rPr>
        <w:t xml:space="preserve">The core ideas under Leadership Commitment underscore the pivotal role of school heads in steering and sustaining disaster risk reduction and management initiatives within the school. This theme highlights that strong leadership and continuous administrative support are crucial in ensuring the effective implementation of DRRM policies, as school leaders actively provide direction, monitor compliance, and promote accountability among personnel. Through this leadership involvement, preparedness measures are consistently reinforced and systematically coordinated across the school community, strengthening institutional readiness during normal times. Participants emphasized that the commitment of school heads serves as a driving force in maintaining organized and sustained preparedness practices. These qualitative insights align with the very high quantitative result (M = 4.44, SD = 0.65), reinforcing that preparedness is </w:t>
      </w:r>
      <w:r w:rsidRPr="00840DFD">
        <w:rPr>
          <w:rFonts w:ascii="Arial" w:hAnsi="Arial" w:cs="Arial"/>
        </w:rPr>
        <w:lastRenderedPageBreak/>
        <w:t>strongly anchored on effective leadership that ensures the consistent execution of DRRM initiatives.</w:t>
      </w:r>
    </w:p>
    <w:p w14:paraId="065A7295" w14:textId="0C3E1192" w:rsidR="00E82285" w:rsidRPr="00E82285" w:rsidRDefault="00E82285" w:rsidP="00AE0BDF">
      <w:pPr>
        <w:spacing w:after="0" w:line="480" w:lineRule="auto"/>
        <w:ind w:right="1"/>
        <w:jc w:val="both"/>
        <w:rPr>
          <w:rFonts w:ascii="Arial" w:hAnsi="Arial" w:cs="Arial"/>
        </w:rPr>
      </w:pPr>
      <w:r>
        <w:rPr>
          <w:rFonts w:ascii="Arial" w:hAnsi="Arial" w:cs="Arial"/>
          <w:b/>
          <w:bCs/>
        </w:rPr>
        <w:tab/>
      </w:r>
      <w:r w:rsidRPr="00E82285">
        <w:rPr>
          <w:rFonts w:ascii="Arial" w:hAnsi="Arial" w:cs="Arial"/>
        </w:rPr>
        <w:t>The second indicator, Preparedness for Response, obtained a very high quantitative result (M = 4.55, SD = 0.54), indicating a strong level of readiness among schools in anticipating and responding to emergencies. This finding is further supported by the qualitative responses of school heads and DRRM coordinators, which reveal that preparedness for response is not only reactive but also systematically planned and implemented. The narratives highlight that schools actively engage in preventive and coordination mechanisms to ensure readiness before and during disaster events. These practices are reflected through three major themes: Preventive Safety Measures, Community-Based Communication, and Strategic Continuity Planning. Overall, the very high quantitative result is reinforced by these qualitative themes, showing that schools’ preparedness for response is anchored on proactive safety actions, effective communication networks, and continuity-focused planning strategies.</w:t>
      </w:r>
    </w:p>
    <w:p w14:paraId="41B88BC6" w14:textId="77777777" w:rsidR="00AE0BDF" w:rsidRDefault="00AE0BDF" w:rsidP="00AE0BDF">
      <w:pPr>
        <w:spacing w:after="0" w:line="480" w:lineRule="auto"/>
        <w:rPr>
          <w:rFonts w:ascii="Arial" w:hAnsi="Arial" w:cs="Arial"/>
          <w:i/>
          <w:iCs/>
        </w:rPr>
      </w:pPr>
      <w:r>
        <w:rPr>
          <w:rFonts w:ascii="Arial" w:hAnsi="Arial" w:cs="Arial"/>
          <w:i/>
          <w:iCs/>
        </w:rPr>
        <w:t>Theme 1: Preventive Safety Measures</w:t>
      </w:r>
    </w:p>
    <w:p w14:paraId="574C0653" w14:textId="24C6B267" w:rsidR="00AE0BDF" w:rsidRPr="00971423" w:rsidRDefault="00E82285" w:rsidP="00AE0BDF">
      <w:pPr>
        <w:spacing w:after="0" w:line="480" w:lineRule="auto"/>
        <w:jc w:val="both"/>
        <w:rPr>
          <w:rFonts w:ascii="Arial" w:hAnsi="Arial" w:cs="Arial"/>
        </w:rPr>
      </w:pPr>
      <w:r>
        <w:rPr>
          <w:rFonts w:ascii="Arial" w:hAnsi="Arial" w:cs="Arial"/>
          <w:i/>
          <w:iCs/>
        </w:rPr>
        <w:tab/>
      </w:r>
      <w:r w:rsidRPr="00E82285">
        <w:rPr>
          <w:rFonts w:ascii="Arial" w:hAnsi="Arial" w:cs="Arial"/>
        </w:rPr>
        <w:t>The core ideas under Preventive Safety Measures center on the systematic inspection and preparation of school facilities to ensure safety before the onset of any disaster. This includes regular checking of electrical systems, emergency kits, and classroom safety conditions to minimize potential hazards. Participants emphasized that these preventive actions are routinely conducted as part of school preparedness practices, ensuring that risks are identified and addressed early. These measures reflect a proactive approach to safety, where schools prioritize readiness through continuous monitoring and maintenance of essential facilities and emergency resources.</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00FFF9D5" w14:textId="77777777" w:rsidTr="00B10240">
        <w:trPr>
          <w:trHeight w:val="2240"/>
        </w:trPr>
        <w:tc>
          <w:tcPr>
            <w:tcW w:w="6536" w:type="dxa"/>
          </w:tcPr>
          <w:p w14:paraId="1A9B7466"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lastRenderedPageBreak/>
              <w:t>“</w:t>
            </w:r>
            <w:r w:rsidRPr="00971423">
              <w:rPr>
                <w:rFonts w:ascii="Arial" w:hAnsi="Arial" w:cs="Arial"/>
                <w:sz w:val="22"/>
                <w:szCs w:val="22"/>
              </w:rPr>
              <w:t xml:space="preserve">In event </w:t>
            </w:r>
            <w:proofErr w:type="spellStart"/>
            <w:r w:rsidRPr="00971423">
              <w:rPr>
                <w:rFonts w:ascii="Arial" w:hAnsi="Arial" w:cs="Arial"/>
                <w:sz w:val="22"/>
                <w:szCs w:val="22"/>
              </w:rPr>
              <w:t>na</w:t>
            </w:r>
            <w:proofErr w:type="spellEnd"/>
            <w:r w:rsidRPr="00971423">
              <w:rPr>
                <w:rFonts w:ascii="Arial" w:hAnsi="Arial" w:cs="Arial"/>
                <w:sz w:val="22"/>
                <w:szCs w:val="22"/>
              </w:rPr>
              <w:t xml:space="preserve"> ma </w:t>
            </w:r>
            <w:r w:rsidRPr="00933D25">
              <w:rPr>
                <w:rFonts w:ascii="Arial" w:hAnsi="Arial" w:cs="Arial"/>
                <w:b/>
                <w:bCs/>
                <w:sz w:val="22"/>
                <w:szCs w:val="22"/>
              </w:rPr>
              <w:t xml:space="preserve">foresee </w:t>
            </w:r>
            <w:proofErr w:type="spellStart"/>
            <w:r w:rsidRPr="00933D25">
              <w:rPr>
                <w:rFonts w:ascii="Arial" w:hAnsi="Arial" w:cs="Arial"/>
                <w:b/>
                <w:bCs/>
                <w:sz w:val="22"/>
                <w:szCs w:val="22"/>
              </w:rPr>
              <w:t>nato</w:t>
            </w:r>
            <w:proofErr w:type="spellEnd"/>
            <w:r w:rsidRPr="00933D25">
              <w:rPr>
                <w:rFonts w:ascii="Arial" w:hAnsi="Arial" w:cs="Arial"/>
                <w:b/>
                <w:bCs/>
                <w:sz w:val="22"/>
                <w:szCs w:val="22"/>
              </w:rPr>
              <w:t xml:space="preserve"> no </w:t>
            </w:r>
            <w:proofErr w:type="spellStart"/>
            <w:r w:rsidRPr="00933D25">
              <w:rPr>
                <w:rFonts w:ascii="Arial" w:hAnsi="Arial" w:cs="Arial"/>
                <w:b/>
                <w:bCs/>
                <w:sz w:val="22"/>
                <w:szCs w:val="22"/>
              </w:rPr>
              <w:t>nga</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naay</w:t>
            </w:r>
            <w:proofErr w:type="spellEnd"/>
            <w:r w:rsidRPr="00933D25">
              <w:rPr>
                <w:rFonts w:ascii="Arial" w:hAnsi="Arial" w:cs="Arial"/>
                <w:b/>
                <w:bCs/>
                <w:sz w:val="22"/>
                <w:szCs w:val="22"/>
              </w:rPr>
              <w:t xml:space="preserve"> coming </w:t>
            </w:r>
            <w:proofErr w:type="spellStart"/>
            <w:r w:rsidRPr="00933D25">
              <w:rPr>
                <w:rFonts w:ascii="Arial" w:hAnsi="Arial" w:cs="Arial"/>
                <w:b/>
                <w:bCs/>
                <w:sz w:val="22"/>
                <w:szCs w:val="22"/>
              </w:rPr>
              <w:t>na</w:t>
            </w:r>
            <w:proofErr w:type="spellEnd"/>
            <w:r w:rsidRPr="00933D25">
              <w:rPr>
                <w:rFonts w:ascii="Arial" w:hAnsi="Arial" w:cs="Arial"/>
                <w:b/>
                <w:bCs/>
                <w:sz w:val="22"/>
                <w:szCs w:val="22"/>
              </w:rPr>
              <w:t xml:space="preserve"> typhoon or flood</w:t>
            </w:r>
            <w:r w:rsidRPr="00971423">
              <w:rPr>
                <w:rFonts w:ascii="Arial" w:hAnsi="Arial" w:cs="Arial"/>
                <w:sz w:val="22"/>
                <w:szCs w:val="22"/>
              </w:rPr>
              <w:t xml:space="preserve">, </w:t>
            </w:r>
            <w:proofErr w:type="spellStart"/>
            <w:r w:rsidRPr="00971423">
              <w:rPr>
                <w:rFonts w:ascii="Arial" w:hAnsi="Arial" w:cs="Arial"/>
                <w:sz w:val="22"/>
                <w:szCs w:val="22"/>
              </w:rPr>
              <w:t>makita</w:t>
            </w:r>
            <w:proofErr w:type="spellEnd"/>
            <w:r w:rsidRPr="00971423">
              <w:rPr>
                <w:rFonts w:ascii="Arial" w:hAnsi="Arial" w:cs="Arial"/>
                <w:sz w:val="22"/>
                <w:szCs w:val="22"/>
              </w:rPr>
              <w:t xml:space="preserve"> naman </w:t>
            </w:r>
            <w:proofErr w:type="spellStart"/>
            <w:r w:rsidRPr="00971423">
              <w:rPr>
                <w:rFonts w:ascii="Arial" w:hAnsi="Arial" w:cs="Arial"/>
                <w:sz w:val="22"/>
                <w:szCs w:val="22"/>
              </w:rPr>
              <w:t>nato</w:t>
            </w:r>
            <w:proofErr w:type="spellEnd"/>
            <w:r w:rsidRPr="00971423">
              <w:rPr>
                <w:rFonts w:ascii="Arial" w:hAnsi="Arial" w:cs="Arial"/>
                <w:sz w:val="22"/>
                <w:szCs w:val="22"/>
              </w:rPr>
              <w:t xml:space="preserve"> </w:t>
            </w:r>
            <w:proofErr w:type="spellStart"/>
            <w:r w:rsidRPr="00971423">
              <w:rPr>
                <w:rFonts w:ascii="Arial" w:hAnsi="Arial" w:cs="Arial"/>
                <w:sz w:val="22"/>
                <w:szCs w:val="22"/>
              </w:rPr>
              <w:t>daan</w:t>
            </w:r>
            <w:proofErr w:type="spellEnd"/>
            <w:r w:rsidRPr="00971423">
              <w:rPr>
                <w:rFonts w:ascii="Arial" w:hAnsi="Arial" w:cs="Arial"/>
                <w:sz w:val="22"/>
                <w:szCs w:val="22"/>
              </w:rPr>
              <w:t xml:space="preserve"> </w:t>
            </w:r>
            <w:proofErr w:type="spellStart"/>
            <w:r w:rsidRPr="00971423">
              <w:rPr>
                <w:rFonts w:ascii="Arial" w:hAnsi="Arial" w:cs="Arial"/>
                <w:sz w:val="22"/>
                <w:szCs w:val="22"/>
              </w:rPr>
              <w:t>sa</w:t>
            </w:r>
            <w:proofErr w:type="spellEnd"/>
            <w:r w:rsidRPr="00971423">
              <w:rPr>
                <w:rFonts w:ascii="Arial" w:hAnsi="Arial" w:cs="Arial"/>
                <w:sz w:val="22"/>
                <w:szCs w:val="22"/>
              </w:rPr>
              <w:t xml:space="preserve"> </w:t>
            </w:r>
            <w:proofErr w:type="spellStart"/>
            <w:r w:rsidRPr="00971423">
              <w:rPr>
                <w:rFonts w:ascii="Arial" w:hAnsi="Arial" w:cs="Arial"/>
                <w:sz w:val="22"/>
                <w:szCs w:val="22"/>
              </w:rPr>
              <w:t>panahon</w:t>
            </w:r>
            <w:proofErr w:type="spellEnd"/>
            <w:r w:rsidRPr="00971423">
              <w:rPr>
                <w:rFonts w:ascii="Arial" w:hAnsi="Arial" w:cs="Arial"/>
                <w:sz w:val="22"/>
                <w:szCs w:val="22"/>
              </w:rPr>
              <w:t xml:space="preserve"> </w:t>
            </w:r>
            <w:proofErr w:type="spellStart"/>
            <w:r w:rsidRPr="00971423">
              <w:rPr>
                <w:rFonts w:ascii="Arial" w:hAnsi="Arial" w:cs="Arial"/>
                <w:sz w:val="22"/>
                <w:szCs w:val="22"/>
              </w:rPr>
              <w:t>nga</w:t>
            </w:r>
            <w:proofErr w:type="spellEnd"/>
            <w:r w:rsidRPr="00971423">
              <w:rPr>
                <w:rFonts w:ascii="Arial" w:hAnsi="Arial" w:cs="Arial"/>
                <w:sz w:val="22"/>
                <w:szCs w:val="22"/>
              </w:rPr>
              <w:t xml:space="preserve"> </w:t>
            </w:r>
            <w:proofErr w:type="spellStart"/>
            <w:r w:rsidRPr="00971423">
              <w:rPr>
                <w:rFonts w:ascii="Arial" w:hAnsi="Arial" w:cs="Arial"/>
                <w:sz w:val="22"/>
                <w:szCs w:val="22"/>
              </w:rPr>
              <w:t>mo</w:t>
            </w:r>
            <w:proofErr w:type="spellEnd"/>
            <w:r w:rsidRPr="00971423">
              <w:rPr>
                <w:rFonts w:ascii="Arial" w:hAnsi="Arial" w:cs="Arial"/>
                <w:sz w:val="22"/>
                <w:szCs w:val="22"/>
              </w:rPr>
              <w:t xml:space="preserve"> occur </w:t>
            </w:r>
            <w:proofErr w:type="spellStart"/>
            <w:r w:rsidRPr="00971423">
              <w:rPr>
                <w:rFonts w:ascii="Arial" w:hAnsi="Arial" w:cs="Arial"/>
                <w:sz w:val="22"/>
                <w:szCs w:val="22"/>
              </w:rPr>
              <w:t>jud</w:t>
            </w:r>
            <w:proofErr w:type="spellEnd"/>
            <w:r w:rsidRPr="00971423">
              <w:rPr>
                <w:rFonts w:ascii="Arial" w:hAnsi="Arial" w:cs="Arial"/>
                <w:sz w:val="22"/>
                <w:szCs w:val="22"/>
              </w:rPr>
              <w:t xml:space="preserve"> </w:t>
            </w:r>
            <w:proofErr w:type="spellStart"/>
            <w:r w:rsidRPr="00971423">
              <w:rPr>
                <w:rFonts w:ascii="Arial" w:hAnsi="Arial" w:cs="Arial"/>
                <w:sz w:val="22"/>
                <w:szCs w:val="22"/>
              </w:rPr>
              <w:t>na</w:t>
            </w:r>
            <w:proofErr w:type="spellEnd"/>
            <w:r w:rsidRPr="00971423">
              <w:rPr>
                <w:rFonts w:ascii="Arial" w:hAnsi="Arial" w:cs="Arial"/>
                <w:sz w:val="22"/>
                <w:szCs w:val="22"/>
              </w:rPr>
              <w:t xml:space="preserve"> </w:t>
            </w:r>
            <w:proofErr w:type="spellStart"/>
            <w:r w:rsidRPr="00971423">
              <w:rPr>
                <w:rFonts w:ascii="Arial" w:hAnsi="Arial" w:cs="Arial"/>
                <w:sz w:val="22"/>
                <w:szCs w:val="22"/>
              </w:rPr>
              <w:t>siya</w:t>
            </w:r>
            <w:proofErr w:type="spellEnd"/>
            <w:r w:rsidRPr="00971423">
              <w:rPr>
                <w:rFonts w:ascii="Arial" w:hAnsi="Arial" w:cs="Arial"/>
                <w:sz w:val="22"/>
                <w:szCs w:val="22"/>
              </w:rPr>
              <w:t xml:space="preserve">. </w:t>
            </w:r>
            <w:proofErr w:type="gramStart"/>
            <w:r w:rsidRPr="00971423">
              <w:rPr>
                <w:rFonts w:ascii="Arial" w:hAnsi="Arial" w:cs="Arial"/>
                <w:sz w:val="22"/>
                <w:szCs w:val="22"/>
              </w:rPr>
              <w:t>Of course</w:t>
            </w:r>
            <w:proofErr w:type="gramEnd"/>
            <w:r w:rsidRPr="00971423">
              <w:rPr>
                <w:rFonts w:ascii="Arial" w:hAnsi="Arial" w:cs="Arial"/>
                <w:sz w:val="22"/>
                <w:szCs w:val="22"/>
              </w:rPr>
              <w:t xml:space="preserve"> the teachers know already know what to do. As head I </w:t>
            </w:r>
            <w:r w:rsidRPr="00933D25">
              <w:rPr>
                <w:rFonts w:ascii="Arial" w:hAnsi="Arial" w:cs="Arial"/>
                <w:b/>
                <w:bCs/>
                <w:sz w:val="22"/>
                <w:szCs w:val="22"/>
              </w:rPr>
              <w:t>check the electrical resources</w:t>
            </w:r>
            <w:r w:rsidRPr="00971423">
              <w:rPr>
                <w:rFonts w:ascii="Arial" w:hAnsi="Arial" w:cs="Arial"/>
                <w:sz w:val="22"/>
                <w:szCs w:val="22"/>
              </w:rPr>
              <w:t xml:space="preserve">, </w:t>
            </w:r>
            <w:proofErr w:type="spellStart"/>
            <w:r w:rsidRPr="00971423">
              <w:rPr>
                <w:rFonts w:ascii="Arial" w:hAnsi="Arial" w:cs="Arial"/>
                <w:sz w:val="22"/>
                <w:szCs w:val="22"/>
              </w:rPr>
              <w:t>naa</w:t>
            </w:r>
            <w:proofErr w:type="spellEnd"/>
            <w:r w:rsidRPr="00971423">
              <w:rPr>
                <w:rFonts w:ascii="Arial" w:hAnsi="Arial" w:cs="Arial"/>
                <w:sz w:val="22"/>
                <w:szCs w:val="22"/>
              </w:rPr>
              <w:t xml:space="preserve"> bay </w:t>
            </w:r>
            <w:proofErr w:type="spellStart"/>
            <w:r w:rsidRPr="00971423">
              <w:rPr>
                <w:rFonts w:ascii="Arial" w:hAnsi="Arial" w:cs="Arial"/>
                <w:sz w:val="22"/>
                <w:szCs w:val="22"/>
              </w:rPr>
              <w:t>magamit</w:t>
            </w:r>
            <w:proofErr w:type="spellEnd"/>
            <w:r w:rsidRPr="00971423">
              <w:rPr>
                <w:rFonts w:ascii="Arial" w:hAnsi="Arial" w:cs="Arial"/>
                <w:sz w:val="22"/>
                <w:szCs w:val="22"/>
              </w:rPr>
              <w:t xml:space="preserve"> </w:t>
            </w:r>
            <w:proofErr w:type="spellStart"/>
            <w:r w:rsidRPr="00971423">
              <w:rPr>
                <w:rFonts w:ascii="Arial" w:hAnsi="Arial" w:cs="Arial"/>
                <w:sz w:val="22"/>
                <w:szCs w:val="22"/>
              </w:rPr>
              <w:t>na</w:t>
            </w:r>
            <w:proofErr w:type="spellEnd"/>
            <w:r w:rsidRPr="00971423">
              <w:rPr>
                <w:rFonts w:ascii="Arial" w:hAnsi="Arial" w:cs="Arial"/>
                <w:sz w:val="22"/>
                <w:szCs w:val="22"/>
              </w:rPr>
              <w:t xml:space="preserve"> </w:t>
            </w:r>
            <w:r w:rsidRPr="00933D25">
              <w:rPr>
                <w:rFonts w:ascii="Arial" w:hAnsi="Arial" w:cs="Arial"/>
                <w:b/>
                <w:bCs/>
                <w:sz w:val="22"/>
                <w:szCs w:val="22"/>
              </w:rPr>
              <w:t>emergency kits or medicine kits</w:t>
            </w:r>
            <w:r w:rsidRPr="00971423">
              <w:rPr>
                <w:rFonts w:ascii="Arial" w:hAnsi="Arial" w:cs="Arial"/>
                <w:sz w:val="22"/>
                <w:szCs w:val="22"/>
              </w:rPr>
              <w:t xml:space="preserve"> and </w:t>
            </w:r>
            <w:r w:rsidRPr="00933D25">
              <w:rPr>
                <w:rFonts w:ascii="Arial" w:hAnsi="Arial" w:cs="Arial"/>
                <w:b/>
                <w:bCs/>
                <w:sz w:val="22"/>
                <w:szCs w:val="22"/>
              </w:rPr>
              <w:t>other disaster materials</w:t>
            </w:r>
            <w:r w:rsidRPr="00971423">
              <w:rPr>
                <w:rFonts w:ascii="Arial" w:hAnsi="Arial" w:cs="Arial"/>
                <w:sz w:val="22"/>
                <w:szCs w:val="22"/>
              </w:rPr>
              <w:t>.”</w:t>
            </w:r>
            <w:r>
              <w:rPr>
                <w:rFonts w:ascii="Arial" w:hAnsi="Arial" w:cs="Arial"/>
                <w:sz w:val="22"/>
                <w:szCs w:val="22"/>
              </w:rPr>
              <w:t xml:space="preserve"> </w:t>
            </w:r>
            <w:r w:rsidRPr="00E51E1C">
              <w:rPr>
                <w:rFonts w:ascii="Arial" w:hAnsi="Arial" w:cs="Arial"/>
                <w:sz w:val="22"/>
                <w:szCs w:val="22"/>
              </w:rPr>
              <w:t>(SH1_S1)</w:t>
            </w:r>
          </w:p>
          <w:p w14:paraId="58CD2327" w14:textId="77777777" w:rsidR="00AE0BDF" w:rsidRDefault="00AE0BDF" w:rsidP="00B10240">
            <w:pPr>
              <w:spacing w:line="276" w:lineRule="auto"/>
              <w:ind w:right="1"/>
              <w:jc w:val="both"/>
              <w:rPr>
                <w:rFonts w:ascii="Arial" w:hAnsi="Arial" w:cs="Arial"/>
                <w:i/>
                <w:iCs/>
                <w:sz w:val="22"/>
                <w:szCs w:val="22"/>
              </w:rPr>
            </w:pPr>
          </w:p>
          <w:p w14:paraId="50CA6E8D" w14:textId="77777777" w:rsidR="00AE0BDF" w:rsidRPr="005D73D0" w:rsidRDefault="00AE0BDF" w:rsidP="00B10240">
            <w:pPr>
              <w:spacing w:line="276" w:lineRule="auto"/>
              <w:ind w:right="1"/>
              <w:jc w:val="both"/>
              <w:rPr>
                <w:rFonts w:ascii="Arial" w:hAnsi="Arial" w:cs="Arial"/>
                <w:i/>
                <w:iCs/>
                <w:sz w:val="22"/>
                <w:szCs w:val="22"/>
              </w:rPr>
            </w:pPr>
            <w:r w:rsidRPr="00FF2643">
              <w:rPr>
                <w:rFonts w:ascii="Arial" w:hAnsi="Arial" w:cs="Arial"/>
                <w:i/>
                <w:iCs/>
                <w:sz w:val="22"/>
                <w:szCs w:val="22"/>
              </w:rPr>
              <w:t xml:space="preserve">When we can foresee that a typhoon or flood is coming, we can already tell that it may occur. The teachers already know what to do. As school head, I check the electrical resources, emergency kits, medicine kits, and other disaster materials. </w:t>
            </w:r>
          </w:p>
        </w:tc>
      </w:tr>
    </w:tbl>
    <w:p w14:paraId="7720155A" w14:textId="77777777" w:rsidR="00AE0BDF" w:rsidRDefault="00AE0BDF" w:rsidP="00AE0BDF">
      <w:pPr>
        <w:spacing w:after="0" w:line="480" w:lineRule="auto"/>
        <w:jc w:val="both"/>
        <w:rPr>
          <w:rFonts w:ascii="Arial" w:hAnsi="Arial" w:cs="Arial"/>
        </w:rPr>
      </w:pPr>
    </w:p>
    <w:p w14:paraId="24E007A6" w14:textId="77777777" w:rsidR="00AE0BDF" w:rsidRDefault="00AE0BDF" w:rsidP="00AE0BDF">
      <w:pPr>
        <w:spacing w:after="0" w:line="480" w:lineRule="auto"/>
        <w:jc w:val="both"/>
        <w:rPr>
          <w:rFonts w:ascii="Arial" w:hAnsi="Arial" w:cs="Arial"/>
        </w:rPr>
      </w:pPr>
    </w:p>
    <w:p w14:paraId="4192242D" w14:textId="77777777" w:rsidR="00AE0BDF" w:rsidRDefault="00AE0BDF" w:rsidP="00AE0BDF">
      <w:pPr>
        <w:spacing w:after="0" w:line="480" w:lineRule="auto"/>
        <w:jc w:val="both"/>
        <w:rPr>
          <w:rFonts w:ascii="Arial" w:hAnsi="Arial" w:cs="Arial"/>
        </w:rPr>
      </w:pPr>
    </w:p>
    <w:p w14:paraId="1E82A705" w14:textId="77777777" w:rsidR="00AE0BDF" w:rsidRDefault="00AE0BDF" w:rsidP="00AE0BDF">
      <w:pPr>
        <w:spacing w:after="0" w:line="480" w:lineRule="auto"/>
        <w:jc w:val="both"/>
        <w:rPr>
          <w:rFonts w:ascii="Arial" w:hAnsi="Arial" w:cs="Arial"/>
        </w:rPr>
      </w:pPr>
    </w:p>
    <w:p w14:paraId="154E2809" w14:textId="77777777" w:rsidR="00AE0BDF" w:rsidRDefault="00AE0BDF" w:rsidP="00AE0BDF">
      <w:pPr>
        <w:spacing w:after="0" w:line="480" w:lineRule="auto"/>
        <w:jc w:val="both"/>
        <w:rPr>
          <w:rFonts w:ascii="Arial" w:hAnsi="Arial" w:cs="Arial"/>
        </w:rPr>
      </w:pPr>
    </w:p>
    <w:p w14:paraId="7262A41A" w14:textId="77777777" w:rsidR="00AE0BDF" w:rsidRDefault="00AE0BDF" w:rsidP="00AE0BDF">
      <w:pPr>
        <w:spacing w:after="0" w:line="480" w:lineRule="auto"/>
        <w:jc w:val="both"/>
        <w:rPr>
          <w:rFonts w:ascii="Arial" w:hAnsi="Arial" w:cs="Arial"/>
        </w:rPr>
      </w:pPr>
    </w:p>
    <w:p w14:paraId="47DB74C5" w14:textId="0C1CC4EC" w:rsidR="00AE0BDF" w:rsidRDefault="00AE0BDF" w:rsidP="00E82285">
      <w:pPr>
        <w:tabs>
          <w:tab w:val="left" w:pos="1853"/>
        </w:tabs>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DE39198" w14:textId="77777777" w:rsidTr="00B10240">
        <w:trPr>
          <w:trHeight w:val="1521"/>
        </w:trPr>
        <w:tc>
          <w:tcPr>
            <w:tcW w:w="6536" w:type="dxa"/>
          </w:tcPr>
          <w:p w14:paraId="491B7851" w14:textId="77777777" w:rsidR="00AE0BDF" w:rsidRPr="00FF2643"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t>“</w:t>
            </w:r>
            <w:r w:rsidRPr="00FF2643">
              <w:rPr>
                <w:rFonts w:ascii="Arial" w:hAnsi="Arial" w:cs="Arial"/>
                <w:sz w:val="22"/>
                <w:szCs w:val="22"/>
              </w:rPr>
              <w:t xml:space="preserve">When there will be an advance dissemination of an anticipated calamity specifically floods, heavy rains and typhoon, I use to </w:t>
            </w:r>
            <w:r w:rsidRPr="00933D25">
              <w:rPr>
                <w:rFonts w:ascii="Arial" w:hAnsi="Arial" w:cs="Arial"/>
                <w:b/>
                <w:bCs/>
                <w:sz w:val="22"/>
                <w:szCs w:val="22"/>
              </w:rPr>
              <w:t>update my teachers and ask to prepare their things</w:t>
            </w:r>
            <w:r w:rsidRPr="00FF2643">
              <w:rPr>
                <w:rFonts w:ascii="Arial" w:hAnsi="Arial" w:cs="Arial"/>
                <w:sz w:val="22"/>
                <w:szCs w:val="22"/>
              </w:rPr>
              <w:t xml:space="preserve">. Make sure to </w:t>
            </w:r>
            <w:r w:rsidRPr="00933D25">
              <w:rPr>
                <w:rFonts w:ascii="Arial" w:hAnsi="Arial" w:cs="Arial"/>
                <w:b/>
                <w:bCs/>
                <w:sz w:val="22"/>
                <w:szCs w:val="22"/>
              </w:rPr>
              <w:t xml:space="preserve">cover their </w:t>
            </w:r>
            <w:proofErr w:type="spellStart"/>
            <w:r w:rsidRPr="00933D25">
              <w:rPr>
                <w:rFonts w:ascii="Arial" w:hAnsi="Arial" w:cs="Arial"/>
                <w:b/>
                <w:bCs/>
                <w:sz w:val="22"/>
                <w:szCs w:val="22"/>
              </w:rPr>
              <w:t>equipments</w:t>
            </w:r>
            <w:proofErr w:type="spellEnd"/>
            <w:r w:rsidRPr="00933D25">
              <w:rPr>
                <w:rFonts w:ascii="Arial" w:hAnsi="Arial" w:cs="Arial"/>
                <w:b/>
                <w:bCs/>
                <w:sz w:val="22"/>
                <w:szCs w:val="22"/>
              </w:rPr>
              <w:t xml:space="preserve"> like the TV, records, modules, and other important files</w:t>
            </w:r>
            <w:r w:rsidRPr="00FF2643">
              <w:rPr>
                <w:rFonts w:ascii="Arial" w:hAnsi="Arial" w:cs="Arial"/>
                <w:sz w:val="22"/>
                <w:szCs w:val="22"/>
              </w:rPr>
              <w:t>.” (SH_3</w:t>
            </w:r>
          </w:p>
        </w:tc>
      </w:tr>
    </w:tbl>
    <w:p w14:paraId="5E5549B6" w14:textId="77777777" w:rsidR="00AE0BDF" w:rsidRDefault="00AE0BDF" w:rsidP="00AE0BDF">
      <w:pPr>
        <w:spacing w:after="0" w:line="480" w:lineRule="auto"/>
        <w:jc w:val="both"/>
        <w:rPr>
          <w:rFonts w:ascii="Arial" w:hAnsi="Arial" w:cs="Arial"/>
        </w:rPr>
      </w:pPr>
    </w:p>
    <w:p w14:paraId="08F9AEA0" w14:textId="77777777" w:rsidR="00AE0BDF" w:rsidRDefault="00AE0BDF" w:rsidP="00AE0BDF">
      <w:pPr>
        <w:spacing w:after="0" w:line="480" w:lineRule="auto"/>
        <w:jc w:val="both"/>
        <w:rPr>
          <w:rFonts w:ascii="Arial" w:hAnsi="Arial" w:cs="Arial"/>
        </w:rPr>
      </w:pPr>
    </w:p>
    <w:p w14:paraId="393B3321" w14:textId="77777777" w:rsidR="00994E2F" w:rsidRDefault="00994E2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12038C3E" w14:textId="77777777" w:rsidTr="00B10240">
        <w:trPr>
          <w:trHeight w:val="2240"/>
        </w:trPr>
        <w:tc>
          <w:tcPr>
            <w:tcW w:w="6536" w:type="dxa"/>
          </w:tcPr>
          <w:p w14:paraId="69ADA14F" w14:textId="77777777" w:rsidR="00994E2F" w:rsidRDefault="00994E2F" w:rsidP="00B10240">
            <w:pPr>
              <w:spacing w:line="276" w:lineRule="auto"/>
              <w:ind w:right="1"/>
              <w:jc w:val="both"/>
              <w:rPr>
                <w:rFonts w:ascii="Arial" w:hAnsi="Arial" w:cs="Arial"/>
                <w:sz w:val="22"/>
                <w:szCs w:val="22"/>
              </w:rPr>
            </w:pPr>
          </w:p>
          <w:p w14:paraId="2D382289" w14:textId="0E79974A" w:rsidR="00AE0BDF" w:rsidRDefault="00AE0BDF" w:rsidP="00DC2899">
            <w:pPr>
              <w:spacing w:line="276" w:lineRule="auto"/>
              <w:ind w:right="1"/>
              <w:jc w:val="both"/>
              <w:rPr>
                <w:rFonts w:ascii="Arial" w:hAnsi="Arial" w:cs="Arial"/>
                <w:sz w:val="22"/>
                <w:szCs w:val="22"/>
              </w:rPr>
            </w:pPr>
            <w:r w:rsidRPr="005D73D0">
              <w:rPr>
                <w:rFonts w:ascii="Arial" w:hAnsi="Arial" w:cs="Arial"/>
                <w:sz w:val="22"/>
                <w:szCs w:val="22"/>
              </w:rPr>
              <w:t>“</w:t>
            </w:r>
            <w:r w:rsidRPr="00FF2643">
              <w:rPr>
                <w:rFonts w:ascii="Arial" w:hAnsi="Arial" w:cs="Arial"/>
                <w:sz w:val="22"/>
                <w:szCs w:val="22"/>
              </w:rPr>
              <w:t xml:space="preserve">During heavy rains kay this can </w:t>
            </w:r>
            <w:r w:rsidRPr="00933D25">
              <w:rPr>
                <w:rFonts w:ascii="Arial" w:hAnsi="Arial" w:cs="Arial"/>
                <w:b/>
                <w:bCs/>
                <w:sz w:val="22"/>
                <w:szCs w:val="22"/>
              </w:rPr>
              <w:t>anticipated man with the warnings</w:t>
            </w:r>
            <w:r w:rsidRPr="00FF2643">
              <w:rPr>
                <w:rFonts w:ascii="Arial" w:hAnsi="Arial" w:cs="Arial"/>
                <w:sz w:val="22"/>
                <w:szCs w:val="22"/>
              </w:rPr>
              <w:t xml:space="preserve">… Since the preparedness is advance </w:t>
            </w:r>
            <w:proofErr w:type="spellStart"/>
            <w:r w:rsidRPr="00FF2643">
              <w:rPr>
                <w:rFonts w:ascii="Arial" w:hAnsi="Arial" w:cs="Arial"/>
                <w:sz w:val="22"/>
                <w:szCs w:val="22"/>
              </w:rPr>
              <w:t>maka</w:t>
            </w:r>
            <w:proofErr w:type="spellEnd"/>
            <w:r w:rsidRPr="00FF2643">
              <w:rPr>
                <w:rFonts w:ascii="Arial" w:hAnsi="Arial" w:cs="Arial"/>
                <w:sz w:val="22"/>
                <w:szCs w:val="22"/>
              </w:rPr>
              <w:t xml:space="preserve"> prepare </w:t>
            </w:r>
            <w:proofErr w:type="spellStart"/>
            <w:r w:rsidRPr="00FF2643">
              <w:rPr>
                <w:rFonts w:ascii="Arial" w:hAnsi="Arial" w:cs="Arial"/>
                <w:sz w:val="22"/>
                <w:szCs w:val="22"/>
              </w:rPr>
              <w:t>na</w:t>
            </w:r>
            <w:proofErr w:type="spellEnd"/>
            <w:r w:rsidRPr="00FF2643">
              <w:rPr>
                <w:rFonts w:ascii="Arial" w:hAnsi="Arial" w:cs="Arial"/>
                <w:sz w:val="22"/>
                <w:szCs w:val="22"/>
              </w:rPr>
              <w:t xml:space="preserve"> ang </w:t>
            </w:r>
            <w:proofErr w:type="spellStart"/>
            <w:r w:rsidRPr="00FF2643">
              <w:rPr>
                <w:rFonts w:ascii="Arial" w:hAnsi="Arial" w:cs="Arial"/>
                <w:sz w:val="22"/>
                <w:szCs w:val="22"/>
              </w:rPr>
              <w:t>mga</w:t>
            </w:r>
            <w:proofErr w:type="spellEnd"/>
            <w:r w:rsidRPr="00FF2643">
              <w:rPr>
                <w:rFonts w:ascii="Arial" w:hAnsi="Arial" w:cs="Arial"/>
                <w:sz w:val="22"/>
                <w:szCs w:val="22"/>
              </w:rPr>
              <w:t xml:space="preserve"> bata. Og ang ka </w:t>
            </w:r>
            <w:proofErr w:type="spellStart"/>
            <w:r w:rsidRPr="00FF2643">
              <w:rPr>
                <w:rFonts w:ascii="Arial" w:hAnsi="Arial" w:cs="Arial"/>
                <w:sz w:val="22"/>
                <w:szCs w:val="22"/>
              </w:rPr>
              <w:t>nindot</w:t>
            </w:r>
            <w:proofErr w:type="spellEnd"/>
            <w:r w:rsidRPr="00FF2643">
              <w:rPr>
                <w:rFonts w:ascii="Arial" w:hAnsi="Arial" w:cs="Arial"/>
                <w:sz w:val="22"/>
                <w:szCs w:val="22"/>
              </w:rPr>
              <w:t xml:space="preserve"> kay ang </w:t>
            </w:r>
            <w:proofErr w:type="spellStart"/>
            <w:r w:rsidRPr="00FF2643">
              <w:rPr>
                <w:rFonts w:ascii="Arial" w:hAnsi="Arial" w:cs="Arial"/>
                <w:sz w:val="22"/>
                <w:szCs w:val="22"/>
              </w:rPr>
              <w:t>mga</w:t>
            </w:r>
            <w:proofErr w:type="spellEnd"/>
            <w:r w:rsidRPr="00FF2643">
              <w:rPr>
                <w:rFonts w:ascii="Arial" w:hAnsi="Arial" w:cs="Arial"/>
                <w:sz w:val="22"/>
                <w:szCs w:val="22"/>
              </w:rPr>
              <w:t xml:space="preserve"> </w:t>
            </w:r>
            <w:proofErr w:type="gramStart"/>
            <w:r w:rsidRPr="00FF2643">
              <w:rPr>
                <w:rFonts w:ascii="Arial" w:hAnsi="Arial" w:cs="Arial"/>
                <w:sz w:val="22"/>
                <w:szCs w:val="22"/>
              </w:rPr>
              <w:t>teachers</w:t>
            </w:r>
            <w:proofErr w:type="gramEnd"/>
            <w:r w:rsidRPr="00FF2643">
              <w:rPr>
                <w:rFonts w:ascii="Arial" w:hAnsi="Arial" w:cs="Arial"/>
                <w:sz w:val="22"/>
                <w:szCs w:val="22"/>
              </w:rPr>
              <w:t xml:space="preserve"> </w:t>
            </w:r>
            <w:r w:rsidRPr="00933D25">
              <w:rPr>
                <w:rFonts w:ascii="Arial" w:hAnsi="Arial" w:cs="Arial"/>
                <w:b/>
                <w:bCs/>
                <w:sz w:val="22"/>
                <w:szCs w:val="22"/>
              </w:rPr>
              <w:t xml:space="preserve">mag </w:t>
            </w:r>
            <w:proofErr w:type="spellStart"/>
            <w:r w:rsidRPr="00933D25">
              <w:rPr>
                <w:rFonts w:ascii="Arial" w:hAnsi="Arial" w:cs="Arial"/>
                <w:b/>
                <w:bCs/>
                <w:sz w:val="22"/>
                <w:szCs w:val="22"/>
              </w:rPr>
              <w:t>hatag</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na</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og</w:t>
            </w:r>
            <w:proofErr w:type="spellEnd"/>
            <w:r w:rsidRPr="00933D25">
              <w:rPr>
                <w:rFonts w:ascii="Arial" w:hAnsi="Arial" w:cs="Arial"/>
                <w:b/>
                <w:bCs/>
                <w:sz w:val="22"/>
                <w:szCs w:val="22"/>
              </w:rPr>
              <w:t xml:space="preserve"> advance materials and activities</w:t>
            </w:r>
            <w:r w:rsidRPr="00FF2643">
              <w:rPr>
                <w:rFonts w:ascii="Arial" w:hAnsi="Arial" w:cs="Arial"/>
                <w:sz w:val="22"/>
                <w:szCs w:val="22"/>
              </w:rPr>
              <w:t xml:space="preserve"> </w:t>
            </w:r>
            <w:proofErr w:type="spellStart"/>
            <w:r w:rsidRPr="00FF2643">
              <w:rPr>
                <w:rFonts w:ascii="Arial" w:hAnsi="Arial" w:cs="Arial"/>
                <w:sz w:val="22"/>
                <w:szCs w:val="22"/>
              </w:rPr>
              <w:t>labi</w:t>
            </w:r>
            <w:proofErr w:type="spellEnd"/>
            <w:r w:rsidRPr="00FF2643">
              <w:rPr>
                <w:rFonts w:ascii="Arial" w:hAnsi="Arial" w:cs="Arial"/>
                <w:sz w:val="22"/>
                <w:szCs w:val="22"/>
              </w:rPr>
              <w:t xml:space="preserve"> </w:t>
            </w:r>
            <w:proofErr w:type="spellStart"/>
            <w:r w:rsidRPr="00FF2643">
              <w:rPr>
                <w:rFonts w:ascii="Arial" w:hAnsi="Arial" w:cs="Arial"/>
                <w:sz w:val="22"/>
                <w:szCs w:val="22"/>
              </w:rPr>
              <w:t>na</w:t>
            </w:r>
            <w:proofErr w:type="spellEnd"/>
            <w:r w:rsidRPr="00FF2643">
              <w:rPr>
                <w:rFonts w:ascii="Arial" w:hAnsi="Arial" w:cs="Arial"/>
                <w:sz w:val="22"/>
                <w:szCs w:val="22"/>
              </w:rPr>
              <w:t xml:space="preserve"> ang </w:t>
            </w:r>
            <w:proofErr w:type="spellStart"/>
            <w:r w:rsidRPr="00FF2643">
              <w:rPr>
                <w:rFonts w:ascii="Arial" w:hAnsi="Arial" w:cs="Arial"/>
                <w:sz w:val="22"/>
                <w:szCs w:val="22"/>
              </w:rPr>
              <w:t>mga</w:t>
            </w:r>
            <w:proofErr w:type="spellEnd"/>
            <w:r w:rsidRPr="00FF2643">
              <w:rPr>
                <w:rFonts w:ascii="Arial" w:hAnsi="Arial" w:cs="Arial"/>
                <w:sz w:val="22"/>
                <w:szCs w:val="22"/>
              </w:rPr>
              <w:t xml:space="preserve"> </w:t>
            </w:r>
            <w:r w:rsidRPr="00933D25">
              <w:rPr>
                <w:rFonts w:ascii="Arial" w:hAnsi="Arial" w:cs="Arial"/>
                <w:b/>
                <w:bCs/>
                <w:sz w:val="22"/>
                <w:szCs w:val="22"/>
              </w:rPr>
              <w:t xml:space="preserve">modules </w:t>
            </w:r>
            <w:proofErr w:type="spellStart"/>
            <w:r w:rsidRPr="00933D25">
              <w:rPr>
                <w:rFonts w:ascii="Arial" w:hAnsi="Arial" w:cs="Arial"/>
                <w:b/>
                <w:bCs/>
                <w:sz w:val="22"/>
                <w:szCs w:val="22"/>
              </w:rPr>
              <w:t>sa</w:t>
            </w:r>
            <w:proofErr w:type="spellEnd"/>
            <w:r w:rsidRPr="00933D25">
              <w:rPr>
                <w:rFonts w:ascii="Arial" w:hAnsi="Arial" w:cs="Arial"/>
                <w:b/>
                <w:bCs/>
                <w:sz w:val="22"/>
                <w:szCs w:val="22"/>
              </w:rPr>
              <w:t xml:space="preserve"> </w:t>
            </w:r>
            <w:proofErr w:type="spellStart"/>
            <w:r w:rsidRPr="00933D25">
              <w:rPr>
                <w:rFonts w:ascii="Arial" w:hAnsi="Arial" w:cs="Arial"/>
                <w:b/>
                <w:bCs/>
                <w:sz w:val="22"/>
                <w:szCs w:val="22"/>
              </w:rPr>
              <w:t>mga</w:t>
            </w:r>
            <w:proofErr w:type="spellEnd"/>
            <w:r w:rsidRPr="00933D25">
              <w:rPr>
                <w:rFonts w:ascii="Arial" w:hAnsi="Arial" w:cs="Arial"/>
                <w:b/>
                <w:bCs/>
                <w:sz w:val="22"/>
                <w:szCs w:val="22"/>
              </w:rPr>
              <w:t xml:space="preserve"> lessons</w:t>
            </w:r>
            <w:r w:rsidRPr="00FF2643">
              <w:rPr>
                <w:rFonts w:ascii="Arial" w:hAnsi="Arial" w:cs="Arial"/>
                <w:sz w:val="22"/>
                <w:szCs w:val="22"/>
              </w:rPr>
              <w:t>.”</w:t>
            </w:r>
            <w:r>
              <w:rPr>
                <w:rFonts w:ascii="Arial" w:hAnsi="Arial" w:cs="Arial"/>
                <w:sz w:val="22"/>
                <w:szCs w:val="22"/>
              </w:rPr>
              <w:t xml:space="preserve"> </w:t>
            </w:r>
            <w:r w:rsidRPr="00E51E1C">
              <w:rPr>
                <w:rFonts w:ascii="Arial" w:hAnsi="Arial" w:cs="Arial"/>
                <w:sz w:val="22"/>
                <w:szCs w:val="22"/>
              </w:rPr>
              <w:t>(SH</w:t>
            </w:r>
            <w:r>
              <w:rPr>
                <w:rFonts w:ascii="Arial" w:hAnsi="Arial" w:cs="Arial"/>
                <w:sz w:val="22"/>
                <w:szCs w:val="22"/>
              </w:rPr>
              <w:t>_4</w:t>
            </w:r>
            <w:r w:rsidRPr="00E51E1C">
              <w:rPr>
                <w:rFonts w:ascii="Arial" w:hAnsi="Arial" w:cs="Arial"/>
                <w:sz w:val="22"/>
                <w:szCs w:val="22"/>
              </w:rPr>
              <w:t>)</w:t>
            </w:r>
          </w:p>
          <w:p w14:paraId="5D91A880" w14:textId="77777777" w:rsidR="00AE0BDF" w:rsidRDefault="00AE0BDF" w:rsidP="00DC2899">
            <w:pPr>
              <w:spacing w:line="276" w:lineRule="auto"/>
              <w:ind w:right="1"/>
              <w:jc w:val="both"/>
              <w:rPr>
                <w:rFonts w:ascii="Arial" w:hAnsi="Arial" w:cs="Arial"/>
                <w:i/>
                <w:iCs/>
                <w:sz w:val="22"/>
                <w:szCs w:val="22"/>
              </w:rPr>
            </w:pPr>
          </w:p>
          <w:p w14:paraId="37FA2253" w14:textId="77777777" w:rsidR="00AE0BDF" w:rsidRPr="005D73D0" w:rsidRDefault="00AE0BDF" w:rsidP="00DC2899">
            <w:pPr>
              <w:spacing w:line="276" w:lineRule="auto"/>
              <w:ind w:right="1"/>
              <w:jc w:val="both"/>
              <w:rPr>
                <w:rFonts w:ascii="Arial" w:hAnsi="Arial" w:cs="Arial"/>
                <w:i/>
                <w:iCs/>
                <w:sz w:val="22"/>
                <w:szCs w:val="22"/>
              </w:rPr>
            </w:pPr>
            <w:r w:rsidRPr="00FF2643">
              <w:rPr>
                <w:rFonts w:ascii="Arial" w:hAnsi="Arial" w:cs="Arial"/>
                <w:i/>
                <w:iCs/>
                <w:sz w:val="22"/>
                <w:szCs w:val="22"/>
              </w:rPr>
              <w:t xml:space="preserve">During heavy rains, these can be anticipated through warnings. Since preparedness is done in advance, the children can prepare. What is good is that teachers provide advance materials and activities, especially lesson modules. </w:t>
            </w:r>
          </w:p>
        </w:tc>
      </w:tr>
    </w:tbl>
    <w:p w14:paraId="2D27E1F1" w14:textId="77777777" w:rsidR="00AE0BDF" w:rsidRDefault="00AE0BDF" w:rsidP="00AE0BDF">
      <w:pPr>
        <w:spacing w:after="0" w:line="480" w:lineRule="auto"/>
        <w:jc w:val="both"/>
        <w:rPr>
          <w:rFonts w:ascii="Arial" w:hAnsi="Arial" w:cs="Arial"/>
        </w:rPr>
      </w:pPr>
    </w:p>
    <w:p w14:paraId="6E13B5F6" w14:textId="77777777" w:rsidR="00AE0BDF" w:rsidRDefault="00AE0BDF" w:rsidP="00AE0BDF">
      <w:pPr>
        <w:spacing w:after="0" w:line="480" w:lineRule="auto"/>
        <w:jc w:val="both"/>
        <w:rPr>
          <w:rFonts w:ascii="Arial" w:hAnsi="Arial" w:cs="Arial"/>
        </w:rPr>
      </w:pPr>
    </w:p>
    <w:p w14:paraId="05388F4A" w14:textId="77777777" w:rsidR="00AE0BDF" w:rsidRDefault="00AE0BDF" w:rsidP="00AE0BDF">
      <w:pPr>
        <w:spacing w:after="0" w:line="480" w:lineRule="auto"/>
        <w:jc w:val="both"/>
        <w:rPr>
          <w:rFonts w:ascii="Arial" w:hAnsi="Arial" w:cs="Arial"/>
        </w:rPr>
      </w:pPr>
    </w:p>
    <w:p w14:paraId="65DDB32B" w14:textId="77777777" w:rsidR="00AE0BDF" w:rsidRDefault="00AE0BDF" w:rsidP="00AE0BDF">
      <w:pPr>
        <w:spacing w:after="0" w:line="480" w:lineRule="auto"/>
        <w:jc w:val="both"/>
        <w:rPr>
          <w:rFonts w:ascii="Arial" w:hAnsi="Arial" w:cs="Arial"/>
        </w:rPr>
      </w:pPr>
    </w:p>
    <w:p w14:paraId="052F55B0" w14:textId="77777777" w:rsidR="00AE0BDF" w:rsidRDefault="00AE0BDF" w:rsidP="00AE0BDF">
      <w:pPr>
        <w:spacing w:after="0" w:line="480" w:lineRule="auto"/>
        <w:jc w:val="both"/>
        <w:rPr>
          <w:rFonts w:ascii="Arial" w:hAnsi="Arial" w:cs="Arial"/>
        </w:rPr>
      </w:pPr>
    </w:p>
    <w:p w14:paraId="7599809F" w14:textId="22182603" w:rsidR="00AE0BDF" w:rsidRDefault="00AE0BDF" w:rsidP="00E82285">
      <w:pPr>
        <w:tabs>
          <w:tab w:val="left" w:pos="720"/>
          <w:tab w:val="left" w:pos="2153"/>
        </w:tabs>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19A6A59" w14:textId="77777777" w:rsidTr="004601FF">
        <w:trPr>
          <w:trHeight w:val="60"/>
        </w:trPr>
        <w:tc>
          <w:tcPr>
            <w:tcW w:w="6536" w:type="dxa"/>
          </w:tcPr>
          <w:p w14:paraId="5832E508" w14:textId="36533F63" w:rsidR="00994E2F" w:rsidRPr="00FF2643"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p>
          <w:p w14:paraId="1824DA57" w14:textId="098D197D" w:rsidR="004601FF" w:rsidRPr="004601FF" w:rsidRDefault="00AE0BDF" w:rsidP="00B10240">
            <w:pPr>
              <w:spacing w:line="276" w:lineRule="auto"/>
              <w:ind w:right="1"/>
              <w:jc w:val="both"/>
              <w:rPr>
                <w:rFonts w:ascii="Arial" w:hAnsi="Arial" w:cs="Arial"/>
                <w:sz w:val="22"/>
                <w:szCs w:val="22"/>
              </w:rPr>
            </w:pPr>
            <w:r w:rsidRPr="00FF2643">
              <w:rPr>
                <w:rFonts w:ascii="Arial" w:hAnsi="Arial" w:cs="Arial"/>
                <w:sz w:val="22"/>
                <w:szCs w:val="22"/>
              </w:rPr>
              <w:t xml:space="preserve">During heavy rains, these can be </w:t>
            </w:r>
            <w:r w:rsidRPr="00DC2899">
              <w:rPr>
                <w:rFonts w:ascii="Arial" w:hAnsi="Arial" w:cs="Arial"/>
                <w:b/>
                <w:bCs/>
                <w:sz w:val="22"/>
                <w:szCs w:val="22"/>
              </w:rPr>
              <w:t>anticipated through warnings</w:t>
            </w:r>
            <w:r w:rsidRPr="00FF2643">
              <w:rPr>
                <w:rFonts w:ascii="Arial" w:hAnsi="Arial" w:cs="Arial"/>
                <w:sz w:val="22"/>
                <w:szCs w:val="22"/>
              </w:rPr>
              <w:t xml:space="preserve">. Since </w:t>
            </w:r>
            <w:r w:rsidRPr="00DC2899">
              <w:rPr>
                <w:rFonts w:ascii="Arial" w:hAnsi="Arial" w:cs="Arial"/>
                <w:b/>
                <w:bCs/>
                <w:sz w:val="22"/>
                <w:szCs w:val="22"/>
              </w:rPr>
              <w:t>preparedness is done in advance</w:t>
            </w:r>
            <w:r w:rsidRPr="00FF2643">
              <w:rPr>
                <w:rFonts w:ascii="Arial" w:hAnsi="Arial" w:cs="Arial"/>
                <w:sz w:val="22"/>
                <w:szCs w:val="22"/>
              </w:rPr>
              <w:t xml:space="preserve">, the children can prepare. What is good is that teachers </w:t>
            </w:r>
            <w:r w:rsidRPr="00DC2899">
              <w:rPr>
                <w:rFonts w:ascii="Arial" w:hAnsi="Arial" w:cs="Arial"/>
                <w:b/>
                <w:bCs/>
                <w:sz w:val="22"/>
                <w:szCs w:val="22"/>
              </w:rPr>
              <w:t>provide advance materials and activities, especially lesson modules</w:t>
            </w:r>
            <w:r w:rsidRPr="00FF2643">
              <w:rPr>
                <w:rFonts w:ascii="Arial" w:hAnsi="Arial" w:cs="Arial"/>
                <w:sz w:val="22"/>
                <w:szCs w:val="22"/>
              </w:rPr>
              <w:t>.</w:t>
            </w:r>
            <w:r>
              <w:rPr>
                <w:rFonts w:ascii="Arial" w:hAnsi="Arial" w:cs="Arial"/>
                <w:sz w:val="22"/>
                <w:szCs w:val="22"/>
              </w:rPr>
              <w:t>”</w:t>
            </w:r>
            <w:r w:rsidRPr="00FF2643">
              <w:rPr>
                <w:rFonts w:ascii="Arial" w:hAnsi="Arial" w:cs="Arial"/>
                <w:sz w:val="22"/>
                <w:szCs w:val="22"/>
              </w:rPr>
              <w:t xml:space="preserve"> (DRR_C1)</w:t>
            </w:r>
          </w:p>
          <w:p w14:paraId="173E9473" w14:textId="77777777" w:rsidR="004601FF" w:rsidRDefault="004601FF" w:rsidP="00B10240">
            <w:pPr>
              <w:spacing w:line="276" w:lineRule="auto"/>
              <w:ind w:right="1"/>
              <w:jc w:val="both"/>
              <w:rPr>
                <w:rFonts w:ascii="Arial" w:hAnsi="Arial" w:cs="Arial"/>
                <w:i/>
                <w:iCs/>
                <w:sz w:val="22"/>
                <w:szCs w:val="22"/>
              </w:rPr>
            </w:pPr>
          </w:p>
          <w:p w14:paraId="7A733A8F" w14:textId="0946B4EE" w:rsidR="004601FF" w:rsidRPr="004601FF" w:rsidRDefault="00AE0BDF" w:rsidP="004601FF">
            <w:pPr>
              <w:spacing w:line="276" w:lineRule="auto"/>
              <w:ind w:right="1"/>
              <w:jc w:val="both"/>
              <w:rPr>
                <w:rFonts w:ascii="Arial" w:hAnsi="Arial" w:cs="Arial"/>
                <w:i/>
                <w:iCs/>
                <w:sz w:val="22"/>
                <w:szCs w:val="22"/>
              </w:rPr>
            </w:pPr>
            <w:r w:rsidRPr="00FF2643">
              <w:rPr>
                <w:rFonts w:ascii="Arial" w:hAnsi="Arial" w:cs="Arial"/>
                <w:i/>
                <w:iCs/>
                <w:sz w:val="22"/>
                <w:szCs w:val="22"/>
              </w:rPr>
              <w:t xml:space="preserve">During anticipated disasters such as heavy rains, floods, landslides, typhoons, and even high heat index, we can really prepare because the school DRR in Davao de Oro is already equipped. </w:t>
            </w:r>
          </w:p>
        </w:tc>
      </w:tr>
    </w:tbl>
    <w:p w14:paraId="44E24147" w14:textId="77777777" w:rsidR="004601FF" w:rsidRDefault="004601FF" w:rsidP="002A7D8D">
      <w:pPr>
        <w:spacing w:after="0" w:line="480" w:lineRule="auto"/>
        <w:jc w:val="both"/>
        <w:rPr>
          <w:rFonts w:ascii="Arial" w:hAnsi="Arial" w:cs="Arial"/>
        </w:rPr>
      </w:pPr>
    </w:p>
    <w:p w14:paraId="0E8CE2A3" w14:textId="77777777" w:rsidR="004601FF" w:rsidRDefault="004601FF" w:rsidP="002A7D8D">
      <w:pPr>
        <w:spacing w:after="0" w:line="480" w:lineRule="auto"/>
        <w:jc w:val="both"/>
        <w:rPr>
          <w:rFonts w:ascii="Arial" w:hAnsi="Arial" w:cs="Arial"/>
        </w:rPr>
      </w:pPr>
    </w:p>
    <w:p w14:paraId="0A5C6D23" w14:textId="77777777" w:rsidR="004601FF" w:rsidRDefault="004601FF" w:rsidP="002A7D8D">
      <w:pPr>
        <w:spacing w:after="0" w:line="480" w:lineRule="auto"/>
        <w:jc w:val="both"/>
        <w:rPr>
          <w:rFonts w:ascii="Arial" w:hAnsi="Arial" w:cs="Arial"/>
        </w:rPr>
      </w:pPr>
    </w:p>
    <w:p w14:paraId="4CC08646" w14:textId="77777777" w:rsidR="004601FF" w:rsidRDefault="004601FF" w:rsidP="002A7D8D">
      <w:pPr>
        <w:spacing w:after="0" w:line="480" w:lineRule="auto"/>
        <w:jc w:val="both"/>
        <w:rPr>
          <w:rFonts w:ascii="Arial" w:hAnsi="Arial" w:cs="Arial"/>
        </w:rPr>
      </w:pPr>
    </w:p>
    <w:p w14:paraId="4A818F01" w14:textId="77777777" w:rsidR="004601FF" w:rsidRDefault="004601FF" w:rsidP="002A7D8D">
      <w:pPr>
        <w:spacing w:after="0" w:line="480" w:lineRule="auto"/>
        <w:jc w:val="both"/>
        <w:rPr>
          <w:rFonts w:ascii="Arial" w:hAnsi="Arial" w:cs="Arial"/>
        </w:rPr>
      </w:pPr>
    </w:p>
    <w:p w14:paraId="17B1CE9A" w14:textId="77777777" w:rsidR="004601FF" w:rsidRDefault="004601FF" w:rsidP="002A7D8D">
      <w:pPr>
        <w:spacing w:after="0" w:line="480" w:lineRule="auto"/>
        <w:jc w:val="both"/>
        <w:rPr>
          <w:rFonts w:ascii="Arial" w:hAnsi="Arial" w:cs="Arial"/>
        </w:rPr>
      </w:pPr>
    </w:p>
    <w:p w14:paraId="20A068C2" w14:textId="79A95837" w:rsidR="00994E2F" w:rsidRDefault="004601FF" w:rsidP="002A7D8D">
      <w:pPr>
        <w:spacing w:after="0" w:line="480" w:lineRule="auto"/>
        <w:jc w:val="both"/>
        <w:rPr>
          <w:rFonts w:ascii="Arial" w:hAnsi="Arial" w:cs="Arial"/>
        </w:rPr>
      </w:pPr>
      <w:r>
        <w:rPr>
          <w:rFonts w:ascii="Arial" w:hAnsi="Arial" w:cs="Arial"/>
        </w:rPr>
        <w:tab/>
      </w:r>
    </w:p>
    <w:p w14:paraId="2A113418" w14:textId="44DF9FEF" w:rsidR="00E82285" w:rsidRPr="002A7D8D" w:rsidRDefault="00994E2F" w:rsidP="002A7D8D">
      <w:pPr>
        <w:spacing w:after="0" w:line="480" w:lineRule="auto"/>
        <w:jc w:val="both"/>
        <w:rPr>
          <w:rFonts w:ascii="Arial" w:hAnsi="Arial" w:cs="Arial"/>
        </w:rPr>
      </w:pPr>
      <w:r>
        <w:rPr>
          <w:rFonts w:ascii="Arial" w:hAnsi="Arial" w:cs="Arial"/>
        </w:rPr>
        <w:tab/>
      </w:r>
      <w:r w:rsidR="002A7D8D" w:rsidRPr="002A7D8D">
        <w:rPr>
          <w:rFonts w:ascii="Arial" w:hAnsi="Arial" w:cs="Arial"/>
        </w:rPr>
        <w:t xml:space="preserve">Overall, the findings from the qualitative phase strongly reinforce the very high quantitative result on preparedness for response (M = 4.55, SD = 0.54), particularly </w:t>
      </w:r>
      <w:r w:rsidR="002A7D8D" w:rsidRPr="002A7D8D">
        <w:rPr>
          <w:rFonts w:ascii="Arial" w:hAnsi="Arial" w:cs="Arial"/>
        </w:rPr>
        <w:lastRenderedPageBreak/>
        <w:t>through the theme of Preventive Safety Measures. The consistent implementation of systematic inspections of electrical systems, emergency kits, and classroom safety demonstrates that schools do not only recognize safety requirements but actively operationalize them. These preventive practices confirm that the high level of preparedness reflected in the quantitative data is grounded in routine, structured, and proactive safety actions within the school environment.</w:t>
      </w:r>
    </w:p>
    <w:p w14:paraId="0415548A" w14:textId="5D15D820" w:rsidR="00AE0BDF" w:rsidRDefault="00AE0BDF" w:rsidP="00AE0BDF">
      <w:pPr>
        <w:spacing w:after="0" w:line="480" w:lineRule="auto"/>
        <w:rPr>
          <w:rFonts w:ascii="Arial" w:hAnsi="Arial" w:cs="Arial"/>
          <w:i/>
          <w:iCs/>
        </w:rPr>
      </w:pPr>
      <w:r>
        <w:rPr>
          <w:rFonts w:ascii="Arial" w:hAnsi="Arial" w:cs="Arial"/>
          <w:i/>
          <w:iCs/>
        </w:rPr>
        <w:t xml:space="preserve">Theme 2: </w:t>
      </w:r>
      <w:r w:rsidRPr="009D672C">
        <w:rPr>
          <w:rFonts w:ascii="Arial" w:hAnsi="Arial" w:cs="Arial"/>
          <w:i/>
          <w:iCs/>
        </w:rPr>
        <w:t>Community-Based Communication</w:t>
      </w:r>
    </w:p>
    <w:p w14:paraId="19DC1614" w14:textId="77777777" w:rsidR="00E82285" w:rsidRDefault="00AE0BDF" w:rsidP="00AE0BDF">
      <w:pPr>
        <w:spacing w:after="0" w:line="480" w:lineRule="auto"/>
        <w:jc w:val="both"/>
        <w:rPr>
          <w:rFonts w:ascii="Arial" w:hAnsi="Arial" w:cs="Arial"/>
        </w:rPr>
      </w:pPr>
      <w:r>
        <w:rPr>
          <w:rFonts w:ascii="Arial" w:hAnsi="Arial" w:cs="Arial"/>
        </w:rPr>
        <w:tab/>
      </w:r>
      <w:r w:rsidR="00E82285" w:rsidRPr="00E82285">
        <w:rPr>
          <w:rFonts w:ascii="Arial" w:hAnsi="Arial" w:cs="Arial"/>
        </w:rPr>
        <w:t>The core ideas under Community-Based Communication focus on the effective use of communication networks to ensure timely dissemination of warnings and emergency information. This includes the utilization of digital platforms such as Facebook and group chats to quickly relay important updates to school personnel and stakeholders. In addition, schools actively coordinate with barangay units to strengthen the dissemination of advisories and ensure that information reaches the wider community. Participants highlighted that these communication strategies are essential in ensuring coordinated and immediate responses during emergency situations.</w:t>
      </w:r>
    </w:p>
    <w:p w14:paraId="0C532D7E" w14:textId="2B47C905" w:rsidR="00AE0BDF" w:rsidRDefault="00AE0BDF" w:rsidP="00AE0BDF">
      <w:pPr>
        <w:spacing w:after="0" w:line="480" w:lineRule="auto"/>
        <w:jc w:val="both"/>
        <w:rPr>
          <w:rFonts w:ascii="Arial" w:hAnsi="Arial" w:cs="Arial"/>
        </w:rPr>
      </w:pPr>
      <w:r>
        <w:rPr>
          <w:rFonts w:ascii="Arial" w:hAnsi="Arial" w:cs="Arial"/>
        </w:rPr>
        <w:tab/>
      </w:r>
      <w:r w:rsidRPr="009D672C">
        <w:rPr>
          <w:rFonts w:ascii="Arial" w:hAnsi="Arial" w:cs="Arial"/>
        </w:rPr>
        <w:t>This shows that schools relied on accessible communication channels to reach students and parents.</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4D4089EA" w14:textId="77777777" w:rsidTr="00B10240">
        <w:trPr>
          <w:trHeight w:val="1521"/>
        </w:trPr>
        <w:tc>
          <w:tcPr>
            <w:tcW w:w="6536" w:type="dxa"/>
          </w:tcPr>
          <w:p w14:paraId="6E04E7E1" w14:textId="77777777" w:rsidR="00AE0BDF" w:rsidRPr="00FF2643"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t>“</w:t>
            </w:r>
            <w:r w:rsidRPr="009D672C">
              <w:rPr>
                <w:rFonts w:ascii="Arial" w:hAnsi="Arial" w:cs="Arial"/>
                <w:sz w:val="22"/>
                <w:szCs w:val="22"/>
              </w:rPr>
              <w:t xml:space="preserve">The most common way of </w:t>
            </w:r>
            <w:r w:rsidRPr="00D11BAA">
              <w:rPr>
                <w:rFonts w:ascii="Arial" w:hAnsi="Arial" w:cs="Arial"/>
                <w:b/>
                <w:bCs/>
                <w:sz w:val="22"/>
                <w:szCs w:val="22"/>
              </w:rPr>
              <w:t>dissemination of information</w:t>
            </w:r>
            <w:r w:rsidRPr="009D672C">
              <w:rPr>
                <w:rFonts w:ascii="Arial" w:hAnsi="Arial" w:cs="Arial"/>
                <w:sz w:val="22"/>
                <w:szCs w:val="22"/>
              </w:rPr>
              <w:t xml:space="preserve"> is through </w:t>
            </w:r>
            <w:r w:rsidRPr="00D11BAA">
              <w:rPr>
                <w:rFonts w:ascii="Arial" w:hAnsi="Arial" w:cs="Arial"/>
                <w:b/>
                <w:bCs/>
                <w:sz w:val="22"/>
                <w:szCs w:val="22"/>
              </w:rPr>
              <w:t xml:space="preserve">GCs (group </w:t>
            </w:r>
            <w:proofErr w:type="gramStart"/>
            <w:r w:rsidRPr="00D11BAA">
              <w:rPr>
                <w:rFonts w:ascii="Arial" w:hAnsi="Arial" w:cs="Arial"/>
                <w:b/>
                <w:bCs/>
                <w:sz w:val="22"/>
                <w:szCs w:val="22"/>
              </w:rPr>
              <w:t>chats)…</w:t>
            </w:r>
            <w:proofErr w:type="gramEnd"/>
            <w:r w:rsidRPr="009D672C">
              <w:rPr>
                <w:rFonts w:ascii="Arial" w:hAnsi="Arial" w:cs="Arial"/>
                <w:sz w:val="22"/>
                <w:szCs w:val="22"/>
              </w:rPr>
              <w:t xml:space="preserve"> </w:t>
            </w:r>
            <w:r w:rsidRPr="00D11BAA">
              <w:rPr>
                <w:rFonts w:ascii="Arial" w:hAnsi="Arial" w:cs="Arial"/>
                <w:b/>
                <w:bCs/>
                <w:sz w:val="22"/>
                <w:szCs w:val="22"/>
              </w:rPr>
              <w:t>through advisors direct</w:t>
            </w:r>
            <w:r w:rsidRPr="009D672C">
              <w:rPr>
                <w:rFonts w:ascii="Arial" w:hAnsi="Arial" w:cs="Arial"/>
                <w:sz w:val="22"/>
                <w:szCs w:val="22"/>
              </w:rPr>
              <w:t>… in connection to the mitigation, the response, the best response that the students should know.” (SH_2)</w:t>
            </w:r>
          </w:p>
        </w:tc>
      </w:tr>
    </w:tbl>
    <w:p w14:paraId="3FF7B47E" w14:textId="77777777" w:rsidR="00AE0BDF" w:rsidRDefault="00AE0BDF" w:rsidP="00AE0BDF">
      <w:pPr>
        <w:spacing w:after="0" w:line="480" w:lineRule="auto"/>
        <w:jc w:val="both"/>
        <w:rPr>
          <w:rFonts w:ascii="Arial" w:hAnsi="Arial" w:cs="Arial"/>
        </w:rPr>
      </w:pPr>
    </w:p>
    <w:p w14:paraId="1CD4217D" w14:textId="77777777" w:rsidR="00AE0BDF" w:rsidRDefault="00AE0BDF" w:rsidP="00AE0BDF">
      <w:pPr>
        <w:spacing w:after="0" w:line="480" w:lineRule="auto"/>
        <w:jc w:val="both"/>
        <w:rPr>
          <w:rFonts w:ascii="Arial" w:hAnsi="Arial" w:cs="Arial"/>
        </w:rPr>
      </w:pPr>
    </w:p>
    <w:p w14:paraId="5BDF56BC" w14:textId="637A9CA0" w:rsidR="00AE0BDF"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786C6B90" w14:textId="77777777" w:rsidTr="00B10240">
        <w:trPr>
          <w:trHeight w:val="2240"/>
        </w:trPr>
        <w:tc>
          <w:tcPr>
            <w:tcW w:w="6536" w:type="dxa"/>
          </w:tcPr>
          <w:p w14:paraId="220F512D"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1B4CA4">
              <w:rPr>
                <w:rFonts w:ascii="Arial" w:hAnsi="Arial" w:cs="Arial"/>
                <w:sz w:val="22"/>
                <w:szCs w:val="22"/>
              </w:rPr>
              <w:t xml:space="preserve">We </w:t>
            </w:r>
            <w:r w:rsidRPr="00D11BAA">
              <w:rPr>
                <w:rFonts w:ascii="Arial" w:hAnsi="Arial" w:cs="Arial"/>
                <w:b/>
                <w:bCs/>
                <w:sz w:val="22"/>
                <w:szCs w:val="22"/>
              </w:rPr>
              <w:t>utilize the group chat</w:t>
            </w:r>
            <w:r w:rsidRPr="001B4CA4">
              <w:rPr>
                <w:rFonts w:ascii="Arial" w:hAnsi="Arial" w:cs="Arial"/>
                <w:sz w:val="22"/>
                <w:szCs w:val="22"/>
              </w:rPr>
              <w:t xml:space="preserve"> with my coordinator </w:t>
            </w:r>
            <w:r w:rsidRPr="00D11BAA">
              <w:rPr>
                <w:rFonts w:ascii="Arial" w:hAnsi="Arial" w:cs="Arial"/>
                <w:b/>
                <w:bCs/>
                <w:sz w:val="22"/>
                <w:szCs w:val="22"/>
              </w:rPr>
              <w:t>connected to the municipal DRR</w:t>
            </w:r>
            <w:r w:rsidRPr="001B4CA4">
              <w:rPr>
                <w:rFonts w:ascii="Arial" w:hAnsi="Arial" w:cs="Arial"/>
                <w:sz w:val="22"/>
                <w:szCs w:val="22"/>
              </w:rPr>
              <w:t xml:space="preserve"> kay naga </w:t>
            </w:r>
            <w:proofErr w:type="spellStart"/>
            <w:r w:rsidRPr="001B4CA4">
              <w:rPr>
                <w:rFonts w:ascii="Arial" w:hAnsi="Arial" w:cs="Arial"/>
                <w:sz w:val="22"/>
                <w:szCs w:val="22"/>
              </w:rPr>
              <w:t>sila</w:t>
            </w:r>
            <w:proofErr w:type="spellEnd"/>
            <w:r w:rsidRPr="001B4CA4">
              <w:rPr>
                <w:rFonts w:ascii="Arial" w:hAnsi="Arial" w:cs="Arial"/>
                <w:sz w:val="22"/>
                <w:szCs w:val="22"/>
              </w:rPr>
              <w:t xml:space="preserve"> </w:t>
            </w:r>
            <w:proofErr w:type="spellStart"/>
            <w:r w:rsidRPr="001B4CA4">
              <w:rPr>
                <w:rFonts w:ascii="Arial" w:hAnsi="Arial" w:cs="Arial"/>
                <w:sz w:val="22"/>
                <w:szCs w:val="22"/>
              </w:rPr>
              <w:t>og</w:t>
            </w:r>
            <w:proofErr w:type="spellEnd"/>
            <w:r w:rsidRPr="001B4CA4">
              <w:rPr>
                <w:rFonts w:ascii="Arial" w:hAnsi="Arial" w:cs="Arial"/>
                <w:sz w:val="22"/>
                <w:szCs w:val="22"/>
              </w:rPr>
              <w:t xml:space="preserve"> </w:t>
            </w:r>
            <w:r w:rsidRPr="00D11BAA">
              <w:rPr>
                <w:rFonts w:ascii="Arial" w:hAnsi="Arial" w:cs="Arial"/>
                <w:b/>
                <w:bCs/>
                <w:sz w:val="22"/>
                <w:szCs w:val="22"/>
              </w:rPr>
              <w:t>advance information</w:t>
            </w:r>
            <w:r w:rsidRPr="001B4CA4">
              <w:rPr>
                <w:rFonts w:ascii="Arial" w:hAnsi="Arial" w:cs="Arial"/>
                <w:sz w:val="22"/>
                <w:szCs w:val="22"/>
              </w:rPr>
              <w:t xml:space="preserve">. So </w:t>
            </w:r>
            <w:proofErr w:type="spellStart"/>
            <w:r w:rsidRPr="001B4CA4">
              <w:rPr>
                <w:rFonts w:ascii="Arial" w:hAnsi="Arial" w:cs="Arial"/>
                <w:sz w:val="22"/>
                <w:szCs w:val="22"/>
              </w:rPr>
              <w:t>kining</w:t>
            </w:r>
            <w:proofErr w:type="spellEnd"/>
            <w:r w:rsidRPr="001B4CA4">
              <w:rPr>
                <w:rFonts w:ascii="Arial" w:hAnsi="Arial" w:cs="Arial"/>
                <w:sz w:val="22"/>
                <w:szCs w:val="22"/>
              </w:rPr>
              <w:t xml:space="preserve"> information </w:t>
            </w:r>
            <w:proofErr w:type="spellStart"/>
            <w:r w:rsidRPr="001B4CA4">
              <w:rPr>
                <w:rFonts w:ascii="Arial" w:hAnsi="Arial" w:cs="Arial"/>
                <w:sz w:val="22"/>
                <w:szCs w:val="22"/>
              </w:rPr>
              <w:t>amo</w:t>
            </w:r>
            <w:proofErr w:type="spellEnd"/>
            <w:r w:rsidRPr="001B4CA4">
              <w:rPr>
                <w:rFonts w:ascii="Arial" w:hAnsi="Arial" w:cs="Arial"/>
                <w:sz w:val="22"/>
                <w:szCs w:val="22"/>
              </w:rPr>
              <w:t xml:space="preserve"> pod </w:t>
            </w:r>
            <w:proofErr w:type="spellStart"/>
            <w:r w:rsidRPr="001B4CA4">
              <w:rPr>
                <w:rFonts w:ascii="Arial" w:hAnsi="Arial" w:cs="Arial"/>
                <w:sz w:val="22"/>
                <w:szCs w:val="22"/>
              </w:rPr>
              <w:t>nga</w:t>
            </w:r>
            <w:proofErr w:type="spellEnd"/>
            <w:r w:rsidRPr="001B4CA4">
              <w:rPr>
                <w:rFonts w:ascii="Arial" w:hAnsi="Arial" w:cs="Arial"/>
                <w:sz w:val="22"/>
                <w:szCs w:val="22"/>
              </w:rPr>
              <w:t xml:space="preserve"> </w:t>
            </w:r>
            <w:proofErr w:type="spellStart"/>
            <w:r w:rsidRPr="00D11BAA">
              <w:rPr>
                <w:rFonts w:ascii="Arial" w:hAnsi="Arial" w:cs="Arial"/>
                <w:b/>
                <w:bCs/>
                <w:sz w:val="22"/>
                <w:szCs w:val="22"/>
              </w:rPr>
              <w:t>i</w:t>
            </w:r>
            <w:proofErr w:type="spellEnd"/>
            <w:r w:rsidRPr="00D11BAA">
              <w:rPr>
                <w:rFonts w:ascii="Arial" w:hAnsi="Arial" w:cs="Arial"/>
                <w:b/>
                <w:bCs/>
                <w:sz w:val="22"/>
                <w:szCs w:val="22"/>
              </w:rPr>
              <w:t>-relay</w:t>
            </w:r>
            <w:r w:rsidRPr="001B4CA4">
              <w:rPr>
                <w:rFonts w:ascii="Arial" w:hAnsi="Arial" w:cs="Arial"/>
                <w:sz w:val="22"/>
                <w:szCs w:val="22"/>
              </w:rPr>
              <w:t xml:space="preserve"> </w:t>
            </w:r>
            <w:proofErr w:type="spellStart"/>
            <w:r w:rsidRPr="001B4CA4">
              <w:rPr>
                <w:rFonts w:ascii="Arial" w:hAnsi="Arial" w:cs="Arial"/>
                <w:sz w:val="22"/>
                <w:szCs w:val="22"/>
              </w:rPr>
              <w:t>sa</w:t>
            </w:r>
            <w:proofErr w:type="spellEnd"/>
            <w:r w:rsidRPr="001B4CA4">
              <w:rPr>
                <w:rFonts w:ascii="Arial" w:hAnsi="Arial" w:cs="Arial"/>
                <w:sz w:val="22"/>
                <w:szCs w:val="22"/>
              </w:rPr>
              <w:t xml:space="preserve"> among </w:t>
            </w:r>
            <w:proofErr w:type="spellStart"/>
            <w:r w:rsidRPr="001B4CA4">
              <w:rPr>
                <w:rFonts w:ascii="Arial" w:hAnsi="Arial" w:cs="Arial"/>
                <w:sz w:val="22"/>
                <w:szCs w:val="22"/>
              </w:rPr>
              <w:t>mga</w:t>
            </w:r>
            <w:proofErr w:type="spellEnd"/>
            <w:r w:rsidRPr="001B4CA4">
              <w:rPr>
                <w:rFonts w:ascii="Arial" w:hAnsi="Arial" w:cs="Arial"/>
                <w:sz w:val="22"/>
                <w:szCs w:val="22"/>
              </w:rPr>
              <w:t xml:space="preserve"> constituents </w:t>
            </w:r>
            <w:proofErr w:type="spellStart"/>
            <w:r w:rsidRPr="001B4CA4">
              <w:rPr>
                <w:rFonts w:ascii="Arial" w:hAnsi="Arial" w:cs="Arial"/>
                <w:sz w:val="22"/>
                <w:szCs w:val="22"/>
              </w:rPr>
              <w:t>labi</w:t>
            </w:r>
            <w:proofErr w:type="spellEnd"/>
            <w:r w:rsidRPr="001B4CA4">
              <w:rPr>
                <w:rFonts w:ascii="Arial" w:hAnsi="Arial" w:cs="Arial"/>
                <w:sz w:val="22"/>
                <w:szCs w:val="22"/>
              </w:rPr>
              <w:t xml:space="preserve"> </w:t>
            </w:r>
            <w:proofErr w:type="spellStart"/>
            <w:r w:rsidRPr="001B4CA4">
              <w:rPr>
                <w:rFonts w:ascii="Arial" w:hAnsi="Arial" w:cs="Arial"/>
                <w:sz w:val="22"/>
                <w:szCs w:val="22"/>
              </w:rPr>
              <w:t>na</w:t>
            </w:r>
            <w:proofErr w:type="spellEnd"/>
            <w:r w:rsidRPr="001B4CA4">
              <w:rPr>
                <w:rFonts w:ascii="Arial" w:hAnsi="Arial" w:cs="Arial"/>
                <w:sz w:val="22"/>
                <w:szCs w:val="22"/>
              </w:rPr>
              <w:t xml:space="preserve"> </w:t>
            </w:r>
            <w:proofErr w:type="spellStart"/>
            <w:r w:rsidRPr="001B4CA4">
              <w:rPr>
                <w:rFonts w:ascii="Arial" w:hAnsi="Arial" w:cs="Arial"/>
                <w:sz w:val="22"/>
                <w:szCs w:val="22"/>
              </w:rPr>
              <w:t>sa</w:t>
            </w:r>
            <w:proofErr w:type="spellEnd"/>
            <w:r w:rsidRPr="001B4CA4">
              <w:rPr>
                <w:rFonts w:ascii="Arial" w:hAnsi="Arial" w:cs="Arial"/>
                <w:sz w:val="22"/>
                <w:szCs w:val="22"/>
              </w:rPr>
              <w:t xml:space="preserve"> </w:t>
            </w:r>
            <w:proofErr w:type="spellStart"/>
            <w:r w:rsidRPr="001B4CA4">
              <w:rPr>
                <w:rFonts w:ascii="Arial" w:hAnsi="Arial" w:cs="Arial"/>
                <w:sz w:val="22"/>
                <w:szCs w:val="22"/>
              </w:rPr>
              <w:t>mga</w:t>
            </w:r>
            <w:proofErr w:type="spellEnd"/>
            <w:r w:rsidRPr="001B4CA4">
              <w:rPr>
                <w:rFonts w:ascii="Arial" w:hAnsi="Arial" w:cs="Arial"/>
                <w:sz w:val="22"/>
                <w:szCs w:val="22"/>
              </w:rPr>
              <w:t xml:space="preserve"> Kabataan and teachers.”</w:t>
            </w:r>
            <w:r>
              <w:rPr>
                <w:rFonts w:ascii="Arial" w:hAnsi="Arial" w:cs="Arial"/>
                <w:sz w:val="22"/>
                <w:szCs w:val="22"/>
              </w:rPr>
              <w:t xml:space="preserve"> (SH_4)</w:t>
            </w:r>
          </w:p>
          <w:p w14:paraId="40A9EDE2" w14:textId="77777777" w:rsidR="00AE0BDF" w:rsidRDefault="00AE0BDF" w:rsidP="00B10240">
            <w:pPr>
              <w:spacing w:line="276" w:lineRule="auto"/>
              <w:ind w:right="1"/>
              <w:jc w:val="both"/>
              <w:rPr>
                <w:rFonts w:ascii="Arial" w:hAnsi="Arial" w:cs="Arial"/>
                <w:i/>
                <w:iCs/>
                <w:sz w:val="22"/>
                <w:szCs w:val="22"/>
              </w:rPr>
            </w:pPr>
          </w:p>
          <w:p w14:paraId="5217DC54" w14:textId="77777777" w:rsidR="00AE0BDF" w:rsidRPr="005D73D0" w:rsidRDefault="00AE0BDF" w:rsidP="00B10240">
            <w:pPr>
              <w:spacing w:line="276" w:lineRule="auto"/>
              <w:ind w:right="1"/>
              <w:jc w:val="both"/>
              <w:rPr>
                <w:rFonts w:ascii="Arial" w:hAnsi="Arial" w:cs="Arial"/>
                <w:i/>
                <w:iCs/>
                <w:sz w:val="22"/>
                <w:szCs w:val="22"/>
              </w:rPr>
            </w:pPr>
            <w:r w:rsidRPr="001B4CA4">
              <w:rPr>
                <w:rFonts w:ascii="Arial" w:hAnsi="Arial" w:cs="Arial"/>
                <w:i/>
                <w:iCs/>
                <w:sz w:val="22"/>
                <w:szCs w:val="22"/>
              </w:rPr>
              <w:t xml:space="preserve">We use the group chat with my coordinator connected to the municipal DRR because they provide advance information. We </w:t>
            </w:r>
            <w:r w:rsidRPr="001B4CA4">
              <w:rPr>
                <w:rFonts w:ascii="Arial" w:hAnsi="Arial" w:cs="Arial"/>
                <w:i/>
                <w:iCs/>
                <w:sz w:val="22"/>
                <w:szCs w:val="22"/>
              </w:rPr>
              <w:lastRenderedPageBreak/>
              <w:t>then relay this information to our constituents, especially the children and teachers.</w:t>
            </w:r>
          </w:p>
        </w:tc>
      </w:tr>
    </w:tbl>
    <w:p w14:paraId="72676679" w14:textId="77777777" w:rsidR="00AE0BDF" w:rsidRDefault="00AE0BDF" w:rsidP="00AE0BDF">
      <w:pPr>
        <w:spacing w:after="0" w:line="480" w:lineRule="auto"/>
        <w:jc w:val="both"/>
        <w:rPr>
          <w:rFonts w:ascii="Arial" w:hAnsi="Arial" w:cs="Arial"/>
        </w:rPr>
      </w:pPr>
    </w:p>
    <w:p w14:paraId="03D33735" w14:textId="77777777" w:rsidR="00AE0BDF" w:rsidRDefault="00AE0BDF" w:rsidP="00AE0BDF">
      <w:pPr>
        <w:spacing w:after="0" w:line="480" w:lineRule="auto"/>
        <w:jc w:val="both"/>
        <w:rPr>
          <w:rFonts w:ascii="Arial" w:hAnsi="Arial" w:cs="Arial"/>
        </w:rPr>
      </w:pPr>
    </w:p>
    <w:p w14:paraId="58F99A7C" w14:textId="77777777" w:rsidR="00AE0BDF" w:rsidRDefault="00AE0BDF" w:rsidP="00AE0BDF">
      <w:pPr>
        <w:spacing w:after="0" w:line="480" w:lineRule="auto"/>
        <w:jc w:val="both"/>
        <w:rPr>
          <w:rFonts w:ascii="Arial" w:hAnsi="Arial" w:cs="Arial"/>
        </w:rPr>
      </w:pPr>
    </w:p>
    <w:p w14:paraId="7AA863A8" w14:textId="77777777" w:rsidR="00AE0BDF" w:rsidRDefault="00AE0BDF" w:rsidP="00AE0BDF">
      <w:pPr>
        <w:spacing w:after="0" w:line="480" w:lineRule="auto"/>
        <w:jc w:val="both"/>
        <w:rPr>
          <w:rFonts w:ascii="Arial" w:hAnsi="Arial" w:cs="Arial"/>
        </w:rPr>
      </w:pPr>
    </w:p>
    <w:p w14:paraId="2904115A" w14:textId="77777777" w:rsidR="00AE0BDF" w:rsidRDefault="00AE0BDF" w:rsidP="00AE0BDF">
      <w:pPr>
        <w:spacing w:after="0" w:line="480" w:lineRule="auto"/>
        <w:jc w:val="both"/>
        <w:rPr>
          <w:rFonts w:ascii="Arial" w:hAnsi="Arial" w:cs="Arial"/>
        </w:rPr>
      </w:pPr>
    </w:p>
    <w:p w14:paraId="3C2C4791" w14:textId="784B7F3D" w:rsidR="00AE0BDF"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6536"/>
      </w:tblGrid>
      <w:tr w:rsidR="00AE0BDF" w:rsidRPr="005D73D0" w14:paraId="6AC817BF" w14:textId="77777777" w:rsidTr="00B10240">
        <w:trPr>
          <w:trHeight w:val="2240"/>
        </w:trPr>
        <w:tc>
          <w:tcPr>
            <w:tcW w:w="6536" w:type="dxa"/>
          </w:tcPr>
          <w:p w14:paraId="09C256E7"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1B4CA4">
              <w:rPr>
                <w:rFonts w:ascii="Arial" w:hAnsi="Arial" w:cs="Arial"/>
                <w:sz w:val="22"/>
                <w:szCs w:val="22"/>
              </w:rPr>
              <w:t xml:space="preserve">Sa ani </w:t>
            </w:r>
            <w:proofErr w:type="spellStart"/>
            <w:r w:rsidRPr="001B4CA4">
              <w:rPr>
                <w:rFonts w:ascii="Arial" w:hAnsi="Arial" w:cs="Arial"/>
                <w:sz w:val="22"/>
                <w:szCs w:val="22"/>
              </w:rPr>
              <w:t>nga</w:t>
            </w:r>
            <w:proofErr w:type="spellEnd"/>
            <w:r w:rsidRPr="001B4CA4">
              <w:rPr>
                <w:rFonts w:ascii="Arial" w:hAnsi="Arial" w:cs="Arial"/>
                <w:sz w:val="22"/>
                <w:szCs w:val="22"/>
              </w:rPr>
              <w:t xml:space="preserve"> situation, </w:t>
            </w:r>
            <w:proofErr w:type="spellStart"/>
            <w:r w:rsidRPr="001B4CA4">
              <w:rPr>
                <w:rFonts w:ascii="Arial" w:hAnsi="Arial" w:cs="Arial"/>
                <w:sz w:val="22"/>
                <w:szCs w:val="22"/>
              </w:rPr>
              <w:t>dako</w:t>
            </w:r>
            <w:proofErr w:type="spellEnd"/>
            <w:r w:rsidRPr="001B4CA4">
              <w:rPr>
                <w:rFonts w:ascii="Arial" w:hAnsi="Arial" w:cs="Arial"/>
                <w:sz w:val="22"/>
                <w:szCs w:val="22"/>
              </w:rPr>
              <w:t xml:space="preserve"> </w:t>
            </w:r>
            <w:proofErr w:type="spellStart"/>
            <w:r w:rsidRPr="001B4CA4">
              <w:rPr>
                <w:rFonts w:ascii="Arial" w:hAnsi="Arial" w:cs="Arial"/>
                <w:sz w:val="22"/>
                <w:szCs w:val="22"/>
              </w:rPr>
              <w:t>kaayo</w:t>
            </w:r>
            <w:proofErr w:type="spellEnd"/>
            <w:r w:rsidRPr="001B4CA4">
              <w:rPr>
                <w:rFonts w:ascii="Arial" w:hAnsi="Arial" w:cs="Arial"/>
                <w:sz w:val="22"/>
                <w:szCs w:val="22"/>
              </w:rPr>
              <w:t xml:space="preserve"> </w:t>
            </w:r>
            <w:proofErr w:type="spellStart"/>
            <w:r w:rsidRPr="001B4CA4">
              <w:rPr>
                <w:rFonts w:ascii="Arial" w:hAnsi="Arial" w:cs="Arial"/>
                <w:sz w:val="22"/>
                <w:szCs w:val="22"/>
              </w:rPr>
              <w:t>og</w:t>
            </w:r>
            <w:proofErr w:type="spellEnd"/>
            <w:r w:rsidRPr="001B4CA4">
              <w:rPr>
                <w:rFonts w:ascii="Arial" w:hAnsi="Arial" w:cs="Arial"/>
                <w:sz w:val="22"/>
                <w:szCs w:val="22"/>
              </w:rPr>
              <w:t xml:space="preserve"> </w:t>
            </w:r>
            <w:proofErr w:type="spellStart"/>
            <w:r w:rsidRPr="001B4CA4">
              <w:rPr>
                <w:rFonts w:ascii="Arial" w:hAnsi="Arial" w:cs="Arial"/>
                <w:sz w:val="22"/>
                <w:szCs w:val="22"/>
              </w:rPr>
              <w:t>tabang</w:t>
            </w:r>
            <w:proofErr w:type="spellEnd"/>
            <w:r w:rsidRPr="001B4CA4">
              <w:rPr>
                <w:rFonts w:ascii="Arial" w:hAnsi="Arial" w:cs="Arial"/>
                <w:sz w:val="22"/>
                <w:szCs w:val="22"/>
              </w:rPr>
              <w:t xml:space="preserve"> ang </w:t>
            </w:r>
            <w:proofErr w:type="spellStart"/>
            <w:r w:rsidRPr="001B4CA4">
              <w:rPr>
                <w:rFonts w:ascii="Arial" w:hAnsi="Arial" w:cs="Arial"/>
                <w:sz w:val="22"/>
                <w:szCs w:val="22"/>
              </w:rPr>
              <w:t>mga</w:t>
            </w:r>
            <w:proofErr w:type="spellEnd"/>
            <w:r w:rsidRPr="001B4CA4">
              <w:rPr>
                <w:rFonts w:ascii="Arial" w:hAnsi="Arial" w:cs="Arial"/>
                <w:sz w:val="22"/>
                <w:szCs w:val="22"/>
              </w:rPr>
              <w:t xml:space="preserve"> </w:t>
            </w:r>
            <w:r w:rsidRPr="003737A3">
              <w:rPr>
                <w:rFonts w:ascii="Arial" w:hAnsi="Arial" w:cs="Arial"/>
                <w:b/>
                <w:bCs/>
                <w:sz w:val="22"/>
                <w:szCs w:val="22"/>
              </w:rPr>
              <w:t xml:space="preserve">seminar </w:t>
            </w:r>
            <w:proofErr w:type="spellStart"/>
            <w:r w:rsidRPr="003737A3">
              <w:rPr>
                <w:rFonts w:ascii="Arial" w:hAnsi="Arial" w:cs="Arial"/>
                <w:b/>
                <w:bCs/>
                <w:sz w:val="22"/>
                <w:szCs w:val="22"/>
              </w:rPr>
              <w:t>gina</w:t>
            </w:r>
            <w:proofErr w:type="spellEnd"/>
            <w:r w:rsidRPr="003737A3">
              <w:rPr>
                <w:rFonts w:ascii="Arial" w:hAnsi="Arial" w:cs="Arial"/>
                <w:b/>
                <w:bCs/>
                <w:sz w:val="22"/>
                <w:szCs w:val="22"/>
              </w:rPr>
              <w:t xml:space="preserve"> conduct ang LGU</w:t>
            </w:r>
            <w:r w:rsidRPr="001B4CA4">
              <w:rPr>
                <w:rFonts w:ascii="Arial" w:hAnsi="Arial" w:cs="Arial"/>
                <w:sz w:val="22"/>
                <w:szCs w:val="22"/>
              </w:rPr>
              <w:t xml:space="preserve"> </w:t>
            </w:r>
            <w:proofErr w:type="spellStart"/>
            <w:r w:rsidRPr="001B4CA4">
              <w:rPr>
                <w:rFonts w:ascii="Arial" w:hAnsi="Arial" w:cs="Arial"/>
                <w:sz w:val="22"/>
                <w:szCs w:val="22"/>
              </w:rPr>
              <w:t>og</w:t>
            </w:r>
            <w:proofErr w:type="spellEnd"/>
            <w:r w:rsidRPr="001B4CA4">
              <w:rPr>
                <w:rFonts w:ascii="Arial" w:hAnsi="Arial" w:cs="Arial"/>
                <w:sz w:val="22"/>
                <w:szCs w:val="22"/>
              </w:rPr>
              <w:t xml:space="preserve"> ang </w:t>
            </w:r>
            <w:proofErr w:type="spellStart"/>
            <w:r w:rsidRPr="001B4CA4">
              <w:rPr>
                <w:rFonts w:ascii="Arial" w:hAnsi="Arial" w:cs="Arial"/>
                <w:sz w:val="22"/>
                <w:szCs w:val="22"/>
              </w:rPr>
              <w:t>pag</w:t>
            </w:r>
            <w:proofErr w:type="spellEnd"/>
            <w:r w:rsidRPr="001B4CA4">
              <w:rPr>
                <w:rFonts w:ascii="Arial" w:hAnsi="Arial" w:cs="Arial"/>
                <w:sz w:val="22"/>
                <w:szCs w:val="22"/>
              </w:rPr>
              <w:t xml:space="preserve"> </w:t>
            </w:r>
            <w:proofErr w:type="spellStart"/>
            <w:r w:rsidRPr="001B4CA4">
              <w:rPr>
                <w:rFonts w:ascii="Arial" w:hAnsi="Arial" w:cs="Arial"/>
                <w:sz w:val="22"/>
                <w:szCs w:val="22"/>
              </w:rPr>
              <w:t>gamit</w:t>
            </w:r>
            <w:proofErr w:type="spellEnd"/>
            <w:r w:rsidRPr="001B4CA4">
              <w:rPr>
                <w:rFonts w:ascii="Arial" w:hAnsi="Arial" w:cs="Arial"/>
                <w:sz w:val="22"/>
                <w:szCs w:val="22"/>
              </w:rPr>
              <w:t xml:space="preserve"> </w:t>
            </w:r>
            <w:proofErr w:type="spellStart"/>
            <w:r w:rsidRPr="001B4CA4">
              <w:rPr>
                <w:rFonts w:ascii="Arial" w:hAnsi="Arial" w:cs="Arial"/>
                <w:sz w:val="22"/>
                <w:szCs w:val="22"/>
              </w:rPr>
              <w:t>nila</w:t>
            </w:r>
            <w:proofErr w:type="spellEnd"/>
            <w:r w:rsidRPr="001B4CA4">
              <w:rPr>
                <w:rFonts w:ascii="Arial" w:hAnsi="Arial" w:cs="Arial"/>
                <w:sz w:val="22"/>
                <w:szCs w:val="22"/>
              </w:rPr>
              <w:t xml:space="preserve"> </w:t>
            </w:r>
            <w:proofErr w:type="spellStart"/>
            <w:r w:rsidRPr="001B4CA4">
              <w:rPr>
                <w:rFonts w:ascii="Arial" w:hAnsi="Arial" w:cs="Arial"/>
                <w:sz w:val="22"/>
                <w:szCs w:val="22"/>
              </w:rPr>
              <w:t>sa</w:t>
            </w:r>
            <w:proofErr w:type="spellEnd"/>
            <w:r w:rsidRPr="001B4CA4">
              <w:rPr>
                <w:rFonts w:ascii="Arial" w:hAnsi="Arial" w:cs="Arial"/>
                <w:sz w:val="22"/>
                <w:szCs w:val="22"/>
              </w:rPr>
              <w:t xml:space="preserve"> </w:t>
            </w:r>
            <w:r w:rsidRPr="003737A3">
              <w:rPr>
                <w:rFonts w:ascii="Arial" w:hAnsi="Arial" w:cs="Arial"/>
                <w:b/>
                <w:bCs/>
                <w:sz w:val="22"/>
                <w:szCs w:val="22"/>
              </w:rPr>
              <w:t xml:space="preserve">platform </w:t>
            </w:r>
            <w:proofErr w:type="spellStart"/>
            <w:r w:rsidRPr="003737A3">
              <w:rPr>
                <w:rFonts w:ascii="Arial" w:hAnsi="Arial" w:cs="Arial"/>
                <w:b/>
                <w:bCs/>
                <w:sz w:val="22"/>
                <w:szCs w:val="22"/>
              </w:rPr>
              <w:t>na</w:t>
            </w:r>
            <w:proofErr w:type="spellEnd"/>
            <w:r w:rsidRPr="003737A3">
              <w:rPr>
                <w:rFonts w:ascii="Arial" w:hAnsi="Arial" w:cs="Arial"/>
                <w:b/>
                <w:bCs/>
                <w:sz w:val="22"/>
                <w:szCs w:val="22"/>
              </w:rPr>
              <w:t xml:space="preserve"> </w:t>
            </w:r>
            <w:proofErr w:type="spellStart"/>
            <w:r w:rsidRPr="003737A3">
              <w:rPr>
                <w:rFonts w:ascii="Arial" w:hAnsi="Arial" w:cs="Arial"/>
                <w:b/>
                <w:bCs/>
                <w:sz w:val="22"/>
                <w:szCs w:val="22"/>
              </w:rPr>
              <w:t>facebook</w:t>
            </w:r>
            <w:proofErr w:type="spellEnd"/>
            <w:r w:rsidRPr="001B4CA4">
              <w:rPr>
                <w:rFonts w:ascii="Arial" w:hAnsi="Arial" w:cs="Arial"/>
                <w:sz w:val="22"/>
                <w:szCs w:val="22"/>
              </w:rPr>
              <w:t xml:space="preserve"> page </w:t>
            </w:r>
            <w:proofErr w:type="spellStart"/>
            <w:r w:rsidRPr="001B4CA4">
              <w:rPr>
                <w:rFonts w:ascii="Arial" w:hAnsi="Arial" w:cs="Arial"/>
                <w:sz w:val="22"/>
                <w:szCs w:val="22"/>
              </w:rPr>
              <w:t>aron</w:t>
            </w:r>
            <w:proofErr w:type="spellEnd"/>
            <w:r w:rsidRPr="001B4CA4">
              <w:rPr>
                <w:rFonts w:ascii="Arial" w:hAnsi="Arial" w:cs="Arial"/>
                <w:sz w:val="22"/>
                <w:szCs w:val="22"/>
              </w:rPr>
              <w:t xml:space="preserve"> ma inform ang </w:t>
            </w:r>
            <w:proofErr w:type="spellStart"/>
            <w:r w:rsidRPr="001B4CA4">
              <w:rPr>
                <w:rFonts w:ascii="Arial" w:hAnsi="Arial" w:cs="Arial"/>
                <w:sz w:val="22"/>
                <w:szCs w:val="22"/>
              </w:rPr>
              <w:t>tanan</w:t>
            </w:r>
            <w:proofErr w:type="spellEnd"/>
            <w:r w:rsidRPr="001B4CA4">
              <w:rPr>
                <w:rFonts w:ascii="Arial" w:hAnsi="Arial" w:cs="Arial"/>
                <w:sz w:val="22"/>
                <w:szCs w:val="22"/>
              </w:rPr>
              <w:t>.”</w:t>
            </w:r>
            <w:r>
              <w:rPr>
                <w:rFonts w:ascii="Arial" w:hAnsi="Arial" w:cs="Arial"/>
                <w:sz w:val="22"/>
                <w:szCs w:val="22"/>
              </w:rPr>
              <w:t xml:space="preserve"> (SH_5)</w:t>
            </w:r>
          </w:p>
          <w:p w14:paraId="7F8C8B7E" w14:textId="77777777" w:rsidR="00AE0BDF" w:rsidRDefault="00AE0BDF" w:rsidP="00B10240">
            <w:pPr>
              <w:spacing w:line="276" w:lineRule="auto"/>
              <w:ind w:right="1"/>
              <w:jc w:val="both"/>
              <w:rPr>
                <w:rFonts w:ascii="Arial" w:hAnsi="Arial" w:cs="Arial"/>
                <w:i/>
                <w:iCs/>
                <w:sz w:val="22"/>
                <w:szCs w:val="22"/>
              </w:rPr>
            </w:pPr>
          </w:p>
          <w:p w14:paraId="64B765C5" w14:textId="385E441F" w:rsidR="00AE0BDF" w:rsidRPr="005D73D0" w:rsidRDefault="00AE0BDF" w:rsidP="00B10240">
            <w:pPr>
              <w:spacing w:line="276" w:lineRule="auto"/>
              <w:ind w:right="1"/>
              <w:jc w:val="both"/>
              <w:rPr>
                <w:rFonts w:ascii="Arial" w:hAnsi="Arial" w:cs="Arial"/>
                <w:i/>
                <w:iCs/>
                <w:sz w:val="22"/>
                <w:szCs w:val="22"/>
              </w:rPr>
            </w:pPr>
            <w:r w:rsidRPr="001B4CA4">
              <w:rPr>
                <w:rFonts w:ascii="Arial" w:hAnsi="Arial" w:cs="Arial"/>
                <w:i/>
                <w:iCs/>
                <w:sz w:val="22"/>
                <w:szCs w:val="22"/>
              </w:rPr>
              <w:t xml:space="preserve">In this situation, the seminars conducted by the LGU and the use of Facebook pages are a big help in informing everyone. </w:t>
            </w:r>
          </w:p>
        </w:tc>
      </w:tr>
    </w:tbl>
    <w:p w14:paraId="1943EAC8" w14:textId="77777777" w:rsidR="00AE0BDF" w:rsidRDefault="00AE0BDF" w:rsidP="00AE0BDF">
      <w:pPr>
        <w:spacing w:after="0" w:line="480" w:lineRule="auto"/>
        <w:jc w:val="both"/>
        <w:rPr>
          <w:rFonts w:ascii="Arial" w:hAnsi="Arial" w:cs="Arial"/>
        </w:rPr>
      </w:pPr>
    </w:p>
    <w:p w14:paraId="5D92BFD0" w14:textId="77777777" w:rsidR="00AE0BDF" w:rsidRDefault="00AE0BDF" w:rsidP="00AE0BDF">
      <w:pPr>
        <w:spacing w:after="0" w:line="480" w:lineRule="auto"/>
        <w:jc w:val="both"/>
        <w:rPr>
          <w:rFonts w:ascii="Arial" w:hAnsi="Arial" w:cs="Arial"/>
        </w:rPr>
      </w:pPr>
    </w:p>
    <w:p w14:paraId="61D58180" w14:textId="77777777" w:rsidR="00AE0BDF" w:rsidRDefault="00AE0BDF" w:rsidP="00AE0BDF">
      <w:pPr>
        <w:spacing w:after="0" w:line="480" w:lineRule="auto"/>
        <w:jc w:val="both"/>
        <w:rPr>
          <w:rFonts w:ascii="Arial" w:hAnsi="Arial" w:cs="Arial"/>
        </w:rPr>
      </w:pPr>
    </w:p>
    <w:p w14:paraId="6A75221D" w14:textId="13682AA3" w:rsidR="00AE0BDF"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6"/>
      </w:tblGrid>
      <w:tr w:rsidR="00AE0BDF" w:rsidRPr="005D73D0" w14:paraId="27AFAFF8" w14:textId="77777777" w:rsidTr="003737A3">
        <w:trPr>
          <w:trHeight w:val="2240"/>
        </w:trPr>
        <w:tc>
          <w:tcPr>
            <w:tcW w:w="6536" w:type="dxa"/>
            <w:tcBorders>
              <w:top w:val="nil"/>
              <w:left w:val="nil"/>
              <w:bottom w:val="nil"/>
              <w:right w:val="nil"/>
            </w:tcBorders>
          </w:tcPr>
          <w:p w14:paraId="2AAAB18A"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D75C90">
              <w:rPr>
                <w:rFonts w:ascii="Arial" w:hAnsi="Arial" w:cs="Arial"/>
                <w:sz w:val="22"/>
                <w:szCs w:val="22"/>
              </w:rPr>
              <w:t xml:space="preserve">We use the </w:t>
            </w:r>
            <w:proofErr w:type="spellStart"/>
            <w:r w:rsidRPr="003737A3">
              <w:rPr>
                <w:rFonts w:ascii="Arial" w:hAnsi="Arial" w:cs="Arial"/>
                <w:b/>
                <w:bCs/>
                <w:sz w:val="22"/>
                <w:szCs w:val="22"/>
              </w:rPr>
              <w:t>facebook</w:t>
            </w:r>
            <w:proofErr w:type="spellEnd"/>
            <w:r w:rsidRPr="003737A3">
              <w:rPr>
                <w:rFonts w:ascii="Arial" w:hAnsi="Arial" w:cs="Arial"/>
                <w:b/>
                <w:bCs/>
                <w:sz w:val="22"/>
                <w:szCs w:val="22"/>
              </w:rPr>
              <w:t xml:space="preserve"> page as one of the </w:t>
            </w:r>
            <w:proofErr w:type="gramStart"/>
            <w:r w:rsidRPr="003737A3">
              <w:rPr>
                <w:rFonts w:ascii="Arial" w:hAnsi="Arial" w:cs="Arial"/>
                <w:b/>
                <w:bCs/>
                <w:sz w:val="22"/>
                <w:szCs w:val="22"/>
              </w:rPr>
              <w:t>platform</w:t>
            </w:r>
            <w:proofErr w:type="gramEnd"/>
            <w:r w:rsidRPr="00D75C90">
              <w:rPr>
                <w:rFonts w:ascii="Arial" w:hAnsi="Arial" w:cs="Arial"/>
                <w:sz w:val="22"/>
                <w:szCs w:val="22"/>
              </w:rPr>
              <w:t xml:space="preserve"> </w:t>
            </w:r>
            <w:proofErr w:type="spellStart"/>
            <w:r w:rsidRPr="00D75C90">
              <w:rPr>
                <w:rFonts w:ascii="Arial" w:hAnsi="Arial" w:cs="Arial"/>
                <w:sz w:val="22"/>
                <w:szCs w:val="22"/>
              </w:rPr>
              <w:t>na</w:t>
            </w:r>
            <w:proofErr w:type="spellEnd"/>
            <w:r w:rsidRPr="00D75C90">
              <w:rPr>
                <w:rFonts w:ascii="Arial" w:hAnsi="Arial" w:cs="Arial"/>
                <w:sz w:val="22"/>
                <w:szCs w:val="22"/>
              </w:rPr>
              <w:t xml:space="preserve"> ma reach out </w:t>
            </w:r>
            <w:proofErr w:type="spellStart"/>
            <w:r w:rsidRPr="00D75C90">
              <w:rPr>
                <w:rFonts w:ascii="Arial" w:hAnsi="Arial" w:cs="Arial"/>
                <w:sz w:val="22"/>
                <w:szCs w:val="22"/>
              </w:rPr>
              <w:t>namo</w:t>
            </w:r>
            <w:proofErr w:type="spellEnd"/>
            <w:r w:rsidRPr="00D75C90">
              <w:rPr>
                <w:rFonts w:ascii="Arial" w:hAnsi="Arial" w:cs="Arial"/>
                <w:sz w:val="22"/>
                <w:szCs w:val="22"/>
              </w:rPr>
              <w:t xml:space="preserve"> ang </w:t>
            </w:r>
            <w:proofErr w:type="spellStart"/>
            <w:r w:rsidRPr="00D75C90">
              <w:rPr>
                <w:rFonts w:ascii="Arial" w:hAnsi="Arial" w:cs="Arial"/>
                <w:sz w:val="22"/>
                <w:szCs w:val="22"/>
              </w:rPr>
              <w:t>mga</w:t>
            </w:r>
            <w:proofErr w:type="spellEnd"/>
            <w:r w:rsidRPr="00D75C90">
              <w:rPr>
                <w:rFonts w:ascii="Arial" w:hAnsi="Arial" w:cs="Arial"/>
                <w:sz w:val="22"/>
                <w:szCs w:val="22"/>
              </w:rPr>
              <w:t xml:space="preserve"> learners, parents </w:t>
            </w:r>
            <w:proofErr w:type="spellStart"/>
            <w:r w:rsidRPr="00D75C90">
              <w:rPr>
                <w:rFonts w:ascii="Arial" w:hAnsi="Arial" w:cs="Arial"/>
                <w:sz w:val="22"/>
                <w:szCs w:val="22"/>
              </w:rPr>
              <w:t>og</w:t>
            </w:r>
            <w:proofErr w:type="spellEnd"/>
            <w:r w:rsidRPr="00D75C90">
              <w:rPr>
                <w:rFonts w:ascii="Arial" w:hAnsi="Arial" w:cs="Arial"/>
                <w:sz w:val="22"/>
                <w:szCs w:val="22"/>
              </w:rPr>
              <w:t xml:space="preserve"> ang community. The teachers also </w:t>
            </w:r>
            <w:r w:rsidRPr="003737A3">
              <w:rPr>
                <w:rFonts w:ascii="Arial" w:hAnsi="Arial" w:cs="Arial"/>
                <w:b/>
                <w:bCs/>
                <w:sz w:val="22"/>
                <w:szCs w:val="22"/>
              </w:rPr>
              <w:t>utilized the group chats</w:t>
            </w:r>
            <w:r w:rsidRPr="00D75C90">
              <w:rPr>
                <w:rFonts w:ascii="Arial" w:hAnsi="Arial" w:cs="Arial"/>
                <w:sz w:val="22"/>
                <w:szCs w:val="22"/>
              </w:rPr>
              <w:t xml:space="preserve"> to inform the parents and students as to the preparations needed.”</w:t>
            </w:r>
            <w:r>
              <w:rPr>
                <w:rFonts w:ascii="Arial" w:hAnsi="Arial" w:cs="Arial"/>
                <w:sz w:val="22"/>
                <w:szCs w:val="22"/>
              </w:rPr>
              <w:t xml:space="preserve"> (DRR_C1)</w:t>
            </w:r>
          </w:p>
          <w:p w14:paraId="7169D066" w14:textId="77777777" w:rsidR="00AE0BDF" w:rsidRDefault="00AE0BDF" w:rsidP="00B10240">
            <w:pPr>
              <w:spacing w:line="276" w:lineRule="auto"/>
              <w:ind w:right="1"/>
              <w:jc w:val="both"/>
              <w:rPr>
                <w:rFonts w:ascii="Arial" w:hAnsi="Arial" w:cs="Arial"/>
                <w:i/>
                <w:iCs/>
                <w:sz w:val="22"/>
                <w:szCs w:val="22"/>
              </w:rPr>
            </w:pPr>
          </w:p>
          <w:p w14:paraId="00285E20" w14:textId="2FE66564" w:rsidR="00AE0BDF" w:rsidRPr="005D73D0" w:rsidRDefault="00AE0BDF" w:rsidP="00B10240">
            <w:pPr>
              <w:spacing w:line="276" w:lineRule="auto"/>
              <w:ind w:right="1"/>
              <w:jc w:val="both"/>
              <w:rPr>
                <w:rFonts w:ascii="Arial" w:hAnsi="Arial" w:cs="Arial"/>
                <w:i/>
                <w:iCs/>
                <w:sz w:val="22"/>
                <w:szCs w:val="22"/>
              </w:rPr>
            </w:pPr>
            <w:r w:rsidRPr="00D75C90">
              <w:rPr>
                <w:rFonts w:ascii="Arial" w:hAnsi="Arial" w:cs="Arial"/>
                <w:i/>
                <w:iCs/>
                <w:sz w:val="22"/>
                <w:szCs w:val="22"/>
              </w:rPr>
              <w:t xml:space="preserve">We use the Facebook page as one platform to reach learners, parents, and the community. Teachers also use group chats to inform parents and students about the preparations needed. </w:t>
            </w:r>
          </w:p>
        </w:tc>
      </w:tr>
    </w:tbl>
    <w:p w14:paraId="19FE755E" w14:textId="77777777" w:rsidR="00AE0BDF" w:rsidRDefault="00AE0BDF" w:rsidP="00AE0BDF">
      <w:pPr>
        <w:spacing w:after="0" w:line="480" w:lineRule="auto"/>
        <w:jc w:val="both"/>
        <w:rPr>
          <w:rFonts w:ascii="Arial" w:hAnsi="Arial" w:cs="Arial"/>
        </w:rPr>
      </w:pPr>
    </w:p>
    <w:p w14:paraId="51E968D2" w14:textId="77777777" w:rsidR="00AE0BDF" w:rsidRDefault="00AE0BDF" w:rsidP="00AE0BDF">
      <w:pPr>
        <w:spacing w:after="0" w:line="480" w:lineRule="auto"/>
        <w:jc w:val="both"/>
        <w:rPr>
          <w:rFonts w:ascii="Arial" w:hAnsi="Arial" w:cs="Arial"/>
        </w:rPr>
      </w:pPr>
    </w:p>
    <w:p w14:paraId="13419CD3" w14:textId="77777777" w:rsidR="00E357B5" w:rsidRDefault="00E357B5" w:rsidP="00AE0BDF">
      <w:pPr>
        <w:spacing w:after="0" w:line="480" w:lineRule="auto"/>
        <w:jc w:val="both"/>
        <w:rPr>
          <w:rFonts w:ascii="Arial" w:hAnsi="Arial" w:cs="Arial"/>
        </w:rPr>
      </w:pPr>
    </w:p>
    <w:p w14:paraId="7003BC07" w14:textId="41CB8532" w:rsidR="00AE0BDF" w:rsidRDefault="002A7D8D" w:rsidP="00AE0BDF">
      <w:pPr>
        <w:spacing w:after="0" w:line="480" w:lineRule="auto"/>
        <w:jc w:val="both"/>
        <w:rPr>
          <w:rFonts w:ascii="Arial" w:hAnsi="Arial" w:cs="Arial"/>
        </w:rPr>
      </w:pPr>
      <w:r>
        <w:rPr>
          <w:rFonts w:ascii="Arial" w:hAnsi="Arial" w:cs="Arial"/>
        </w:rPr>
        <w:tab/>
      </w:r>
      <w:r w:rsidRPr="002A7D8D">
        <w:rPr>
          <w:rFonts w:ascii="Arial" w:hAnsi="Arial" w:cs="Arial"/>
        </w:rPr>
        <w:t>The qualitative findings under Community-Based Communication further validate the very high quantitative result (M = 4.55, SD = 0.54), showing that effective preparedness for response is strengthened through accessible and coordinated communication systems. The use of digital platforms such as Facebook and group chats, along with collaboration with barangay units, highlights how schools ensure timely dissemination of warnings and advisories. This alignment indicates that preparedness is not limited to internal school mechanisms but extends to strong community linkages that enhance rapid and coordinated response during emergencies.</w:t>
      </w:r>
    </w:p>
    <w:p w14:paraId="5A5156B9" w14:textId="77777777" w:rsidR="00AE0BDF" w:rsidRPr="00D75C90" w:rsidRDefault="00AE0BDF" w:rsidP="00AE0BDF">
      <w:pPr>
        <w:spacing w:after="0" w:line="480" w:lineRule="auto"/>
        <w:jc w:val="both"/>
        <w:rPr>
          <w:rFonts w:ascii="Arial" w:hAnsi="Arial" w:cs="Arial"/>
          <w:i/>
          <w:iCs/>
        </w:rPr>
      </w:pPr>
      <w:r w:rsidRPr="00D75C90">
        <w:rPr>
          <w:rFonts w:ascii="Arial" w:hAnsi="Arial" w:cs="Arial"/>
          <w:i/>
          <w:iCs/>
        </w:rPr>
        <w:t>Theme 3: Strategic Continuity Planning</w:t>
      </w:r>
    </w:p>
    <w:p w14:paraId="099278CD" w14:textId="77777777" w:rsidR="002A7D8D" w:rsidRDefault="00AE0BDF" w:rsidP="00AE0BDF">
      <w:pPr>
        <w:spacing w:after="0" w:line="480" w:lineRule="auto"/>
        <w:jc w:val="both"/>
        <w:rPr>
          <w:rFonts w:ascii="Arial" w:hAnsi="Arial" w:cs="Arial"/>
        </w:rPr>
      </w:pPr>
      <w:r>
        <w:rPr>
          <w:rFonts w:ascii="Arial" w:hAnsi="Arial" w:cs="Arial"/>
        </w:rPr>
        <w:lastRenderedPageBreak/>
        <w:tab/>
      </w:r>
      <w:r w:rsidR="002A7D8D" w:rsidRPr="002A7D8D">
        <w:rPr>
          <w:rFonts w:ascii="Arial" w:hAnsi="Arial" w:cs="Arial"/>
        </w:rPr>
        <w:t>The core ideas under Strategic Continuity Planning emphasize the importance of ensuring uninterrupted learning and the protection of important school records during emergencies. This includes safeguarding physical documents, adopting soft copy systems, and preparing mechanisms that allow continuity of instruction even during disruptions. Participants noted that schools have increasingly adapted to digital and backup systems to ensure that essential academic and administrative functions remain operational during disaster events. These practices reflect a forward-looking approach that prioritizes resilience and continuity in the face of emergencies.</w:t>
      </w:r>
    </w:p>
    <w:p w14:paraId="6779BA01" w14:textId="19DEB98C" w:rsidR="00AE0BDF" w:rsidRDefault="00AE0BDF" w:rsidP="00AE0BDF">
      <w:pPr>
        <w:spacing w:after="0" w:line="480" w:lineRule="auto"/>
        <w:jc w:val="both"/>
        <w:rPr>
          <w:rFonts w:ascii="Arial" w:hAnsi="Arial" w:cs="Arial"/>
        </w:rPr>
      </w:pPr>
      <w:r>
        <w:rPr>
          <w:rFonts w:ascii="Arial" w:hAnsi="Arial" w:cs="Arial"/>
        </w:rPr>
        <w:tab/>
      </w:r>
      <w:r w:rsidRPr="00D75C90">
        <w:rPr>
          <w:rFonts w:ascii="Arial" w:hAnsi="Arial" w:cs="Arial"/>
        </w:rPr>
        <w:t>This shows that continuity planning involved protecting essential records before disaster damage could occur.</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426D2723" w14:textId="77777777" w:rsidTr="00B10240">
        <w:trPr>
          <w:trHeight w:val="1071"/>
        </w:trPr>
        <w:tc>
          <w:tcPr>
            <w:tcW w:w="6536" w:type="dxa"/>
          </w:tcPr>
          <w:p w14:paraId="43E1A469" w14:textId="77777777" w:rsidR="00AE0BDF" w:rsidRPr="00FF2643"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t>“</w:t>
            </w:r>
            <w:r w:rsidRPr="00D75C90">
              <w:rPr>
                <w:rFonts w:ascii="Arial" w:hAnsi="Arial" w:cs="Arial"/>
                <w:sz w:val="22"/>
                <w:szCs w:val="22"/>
              </w:rPr>
              <w:t xml:space="preserve">We put the </w:t>
            </w:r>
            <w:r w:rsidRPr="00D15530">
              <w:rPr>
                <w:rFonts w:ascii="Arial" w:hAnsi="Arial" w:cs="Arial"/>
                <w:b/>
                <w:bCs/>
                <w:sz w:val="22"/>
                <w:szCs w:val="22"/>
              </w:rPr>
              <w:t>documents in the school into a safer place</w:t>
            </w:r>
            <w:r w:rsidRPr="00D75C90">
              <w:rPr>
                <w:rFonts w:ascii="Arial" w:hAnsi="Arial" w:cs="Arial"/>
                <w:sz w:val="22"/>
                <w:szCs w:val="22"/>
              </w:rPr>
              <w:t xml:space="preserve">, and we make it sure that also that our </w:t>
            </w:r>
            <w:r w:rsidRPr="00D15530">
              <w:rPr>
                <w:rFonts w:ascii="Arial" w:hAnsi="Arial" w:cs="Arial"/>
                <w:b/>
                <w:bCs/>
                <w:sz w:val="22"/>
                <w:szCs w:val="22"/>
              </w:rPr>
              <w:t>contingency plan is alive always of the time</w:t>
            </w:r>
            <w:r w:rsidRPr="00D75C90">
              <w:rPr>
                <w:rFonts w:ascii="Arial" w:hAnsi="Arial" w:cs="Arial"/>
                <w:sz w:val="22"/>
                <w:szCs w:val="22"/>
              </w:rPr>
              <w:t>.” (SH_2)</w:t>
            </w:r>
          </w:p>
        </w:tc>
      </w:tr>
    </w:tbl>
    <w:p w14:paraId="70833F21" w14:textId="77777777" w:rsidR="00AE0BDF" w:rsidRDefault="00AE0BDF" w:rsidP="00AE0BDF">
      <w:pPr>
        <w:spacing w:after="0" w:line="480" w:lineRule="auto"/>
        <w:jc w:val="both"/>
        <w:rPr>
          <w:rFonts w:ascii="Arial" w:hAnsi="Arial" w:cs="Arial"/>
        </w:rPr>
      </w:pPr>
    </w:p>
    <w:p w14:paraId="28FAE15C" w14:textId="3E4D2D01" w:rsidR="00AE0BDF"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1DF7C9DE" w14:textId="77777777" w:rsidTr="00B10240">
        <w:trPr>
          <w:trHeight w:val="1521"/>
        </w:trPr>
        <w:tc>
          <w:tcPr>
            <w:tcW w:w="6536" w:type="dxa"/>
          </w:tcPr>
          <w:p w14:paraId="3C72DF92" w14:textId="31C46544" w:rsidR="00AE0BDF" w:rsidRPr="002A7D8D"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D75C90">
              <w:rPr>
                <w:rFonts w:ascii="Arial" w:hAnsi="Arial" w:cs="Arial"/>
                <w:sz w:val="22"/>
                <w:szCs w:val="22"/>
              </w:rPr>
              <w:t xml:space="preserve">In safeguarding of records, this can be done at all times. Aside from covering and securing files when it comes to heavy rains and floods. I ask the teachers to have a soft copy of the records of the learners.” </w:t>
            </w:r>
            <w:r w:rsidRPr="00D75C90">
              <w:rPr>
                <w:rFonts w:ascii="Arial" w:hAnsi="Arial" w:cs="Arial"/>
                <w:b/>
                <w:bCs/>
                <w:sz w:val="22"/>
                <w:szCs w:val="22"/>
              </w:rPr>
              <w:t>(</w:t>
            </w:r>
            <w:r w:rsidRPr="00D75C90">
              <w:rPr>
                <w:rFonts w:ascii="Arial" w:hAnsi="Arial" w:cs="Arial"/>
                <w:sz w:val="22"/>
                <w:szCs w:val="22"/>
              </w:rPr>
              <w:t>SH_3)</w:t>
            </w:r>
          </w:p>
        </w:tc>
      </w:tr>
    </w:tbl>
    <w:p w14:paraId="46081DB8" w14:textId="77777777" w:rsidR="00AE0BDF" w:rsidRDefault="00AE0BDF" w:rsidP="00AE0BDF">
      <w:pPr>
        <w:spacing w:after="0" w:line="480" w:lineRule="auto"/>
        <w:jc w:val="both"/>
        <w:rPr>
          <w:rFonts w:ascii="Arial" w:hAnsi="Arial" w:cs="Arial"/>
        </w:rPr>
      </w:pPr>
    </w:p>
    <w:p w14:paraId="4068EE0A" w14:textId="77777777" w:rsidR="00AE0BDF" w:rsidRDefault="00AE0BDF" w:rsidP="00AE0BDF">
      <w:pPr>
        <w:spacing w:after="0" w:line="480" w:lineRule="auto"/>
        <w:jc w:val="both"/>
        <w:rPr>
          <w:rFonts w:ascii="Arial" w:hAnsi="Arial" w:cs="Arial"/>
        </w:rPr>
      </w:pPr>
    </w:p>
    <w:p w14:paraId="42287BEE" w14:textId="0D2C8090" w:rsidR="00AE0BDF" w:rsidRPr="00D75C90"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6878B04E" w14:textId="77777777" w:rsidTr="001C26AA">
        <w:trPr>
          <w:trHeight w:val="710"/>
        </w:trPr>
        <w:tc>
          <w:tcPr>
            <w:tcW w:w="6536" w:type="dxa"/>
          </w:tcPr>
          <w:p w14:paraId="262743A3"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D15530">
              <w:rPr>
                <w:rFonts w:ascii="Arial" w:hAnsi="Arial" w:cs="Arial"/>
                <w:b/>
                <w:bCs/>
                <w:sz w:val="22"/>
                <w:szCs w:val="22"/>
              </w:rPr>
              <w:t>We don’t have higher floor building in our school yet</w:t>
            </w:r>
            <w:r w:rsidRPr="00D75C90">
              <w:rPr>
                <w:rFonts w:ascii="Arial" w:hAnsi="Arial" w:cs="Arial"/>
                <w:sz w:val="22"/>
                <w:szCs w:val="22"/>
              </w:rPr>
              <w:t xml:space="preserve"> this concern in keeping the electronic materials safe as well as important documents is </w:t>
            </w:r>
            <w:r w:rsidRPr="00D15530">
              <w:rPr>
                <w:rFonts w:ascii="Arial" w:hAnsi="Arial" w:cs="Arial"/>
                <w:b/>
                <w:bCs/>
                <w:sz w:val="22"/>
                <w:szCs w:val="22"/>
              </w:rPr>
              <w:t>considered not a problem</w:t>
            </w:r>
            <w:r w:rsidRPr="00D75C90">
              <w:rPr>
                <w:rFonts w:ascii="Arial" w:hAnsi="Arial" w:cs="Arial"/>
                <w:sz w:val="22"/>
                <w:szCs w:val="22"/>
              </w:rPr>
              <w:t xml:space="preserve"> in our school kay </w:t>
            </w:r>
            <w:proofErr w:type="spellStart"/>
            <w:r w:rsidRPr="00D15530">
              <w:rPr>
                <w:rFonts w:ascii="Arial" w:hAnsi="Arial" w:cs="Arial"/>
                <w:b/>
                <w:bCs/>
                <w:sz w:val="22"/>
                <w:szCs w:val="22"/>
              </w:rPr>
              <w:t>kabalo</w:t>
            </w:r>
            <w:proofErr w:type="spellEnd"/>
            <w:r w:rsidRPr="00D15530">
              <w:rPr>
                <w:rFonts w:ascii="Arial" w:hAnsi="Arial" w:cs="Arial"/>
                <w:b/>
                <w:bCs/>
                <w:sz w:val="22"/>
                <w:szCs w:val="22"/>
              </w:rPr>
              <w:t xml:space="preserve"> naman </w:t>
            </w:r>
            <w:proofErr w:type="spellStart"/>
            <w:r w:rsidRPr="00D15530">
              <w:rPr>
                <w:rFonts w:ascii="Arial" w:hAnsi="Arial" w:cs="Arial"/>
                <w:b/>
                <w:bCs/>
                <w:sz w:val="22"/>
                <w:szCs w:val="22"/>
              </w:rPr>
              <w:t>og</w:t>
            </w:r>
            <w:proofErr w:type="spellEnd"/>
            <w:r w:rsidRPr="00D15530">
              <w:rPr>
                <w:rFonts w:ascii="Arial" w:hAnsi="Arial" w:cs="Arial"/>
                <w:b/>
                <w:bCs/>
                <w:sz w:val="22"/>
                <w:szCs w:val="22"/>
              </w:rPr>
              <w:t xml:space="preserve"> aware </w:t>
            </w:r>
            <w:proofErr w:type="spellStart"/>
            <w:r w:rsidRPr="00D15530">
              <w:rPr>
                <w:rFonts w:ascii="Arial" w:hAnsi="Arial" w:cs="Arial"/>
                <w:b/>
                <w:bCs/>
                <w:sz w:val="22"/>
                <w:szCs w:val="22"/>
              </w:rPr>
              <w:t>na</w:t>
            </w:r>
            <w:proofErr w:type="spellEnd"/>
            <w:r w:rsidRPr="00D15530">
              <w:rPr>
                <w:rFonts w:ascii="Arial" w:hAnsi="Arial" w:cs="Arial"/>
                <w:b/>
                <w:bCs/>
                <w:sz w:val="22"/>
                <w:szCs w:val="22"/>
              </w:rPr>
              <w:t xml:space="preserve"> ang </w:t>
            </w:r>
            <w:proofErr w:type="spellStart"/>
            <w:r w:rsidRPr="00D15530">
              <w:rPr>
                <w:rFonts w:ascii="Arial" w:hAnsi="Arial" w:cs="Arial"/>
                <w:b/>
                <w:bCs/>
                <w:sz w:val="22"/>
                <w:szCs w:val="22"/>
              </w:rPr>
              <w:t>tanan</w:t>
            </w:r>
            <w:proofErr w:type="spellEnd"/>
            <w:r w:rsidRPr="00D75C90">
              <w:rPr>
                <w:rFonts w:ascii="Arial" w:hAnsi="Arial" w:cs="Arial"/>
                <w:sz w:val="22"/>
                <w:szCs w:val="22"/>
              </w:rPr>
              <w:t xml:space="preserve"> </w:t>
            </w:r>
            <w:proofErr w:type="spellStart"/>
            <w:r w:rsidRPr="00D75C90">
              <w:rPr>
                <w:rFonts w:ascii="Arial" w:hAnsi="Arial" w:cs="Arial"/>
                <w:sz w:val="22"/>
                <w:szCs w:val="22"/>
              </w:rPr>
              <w:t>labi</w:t>
            </w:r>
            <w:proofErr w:type="spellEnd"/>
            <w:r w:rsidRPr="00D75C90">
              <w:rPr>
                <w:rFonts w:ascii="Arial" w:hAnsi="Arial" w:cs="Arial"/>
                <w:sz w:val="22"/>
                <w:szCs w:val="22"/>
              </w:rPr>
              <w:t xml:space="preserve"> </w:t>
            </w:r>
            <w:proofErr w:type="spellStart"/>
            <w:r w:rsidRPr="00D75C90">
              <w:rPr>
                <w:rFonts w:ascii="Arial" w:hAnsi="Arial" w:cs="Arial"/>
                <w:sz w:val="22"/>
                <w:szCs w:val="22"/>
              </w:rPr>
              <w:t>na</w:t>
            </w:r>
            <w:proofErr w:type="spellEnd"/>
            <w:r w:rsidRPr="00D75C90">
              <w:rPr>
                <w:rFonts w:ascii="Arial" w:hAnsi="Arial" w:cs="Arial"/>
                <w:sz w:val="22"/>
                <w:szCs w:val="22"/>
              </w:rPr>
              <w:t xml:space="preserve"> ang </w:t>
            </w:r>
            <w:proofErr w:type="spellStart"/>
            <w:r w:rsidRPr="00D75C90">
              <w:rPr>
                <w:rFonts w:ascii="Arial" w:hAnsi="Arial" w:cs="Arial"/>
                <w:sz w:val="22"/>
                <w:szCs w:val="22"/>
              </w:rPr>
              <w:t>mga</w:t>
            </w:r>
            <w:proofErr w:type="spellEnd"/>
            <w:r w:rsidRPr="00D75C90">
              <w:rPr>
                <w:rFonts w:ascii="Arial" w:hAnsi="Arial" w:cs="Arial"/>
                <w:sz w:val="22"/>
                <w:szCs w:val="22"/>
              </w:rPr>
              <w:t xml:space="preserve"> advisers ani </w:t>
            </w:r>
            <w:proofErr w:type="spellStart"/>
            <w:r w:rsidRPr="00D75C90">
              <w:rPr>
                <w:rFonts w:ascii="Arial" w:hAnsi="Arial" w:cs="Arial"/>
                <w:sz w:val="22"/>
                <w:szCs w:val="22"/>
              </w:rPr>
              <w:t>nga</w:t>
            </w:r>
            <w:proofErr w:type="spellEnd"/>
            <w:r w:rsidRPr="00D75C90">
              <w:rPr>
                <w:rFonts w:ascii="Arial" w:hAnsi="Arial" w:cs="Arial"/>
                <w:sz w:val="22"/>
                <w:szCs w:val="22"/>
              </w:rPr>
              <w:t xml:space="preserve"> </w:t>
            </w:r>
            <w:proofErr w:type="spellStart"/>
            <w:r w:rsidRPr="00D75C90">
              <w:rPr>
                <w:rFonts w:ascii="Arial" w:hAnsi="Arial" w:cs="Arial"/>
                <w:sz w:val="22"/>
                <w:szCs w:val="22"/>
              </w:rPr>
              <w:t>buhatonon</w:t>
            </w:r>
            <w:proofErr w:type="spellEnd"/>
            <w:r w:rsidRPr="00D75C90">
              <w:rPr>
                <w:rFonts w:ascii="Arial" w:hAnsi="Arial" w:cs="Arial"/>
                <w:sz w:val="22"/>
                <w:szCs w:val="22"/>
              </w:rPr>
              <w:t>.”</w:t>
            </w:r>
            <w:r>
              <w:rPr>
                <w:rFonts w:ascii="Arial" w:hAnsi="Arial" w:cs="Arial"/>
                <w:sz w:val="22"/>
                <w:szCs w:val="22"/>
              </w:rPr>
              <w:t xml:space="preserve"> (SH_5)</w:t>
            </w:r>
          </w:p>
          <w:p w14:paraId="4B5A8673" w14:textId="77777777" w:rsidR="00AE0BDF" w:rsidRDefault="00AE0BDF" w:rsidP="00B10240">
            <w:pPr>
              <w:spacing w:line="276" w:lineRule="auto"/>
              <w:ind w:right="1"/>
              <w:jc w:val="both"/>
              <w:rPr>
                <w:rFonts w:ascii="Arial" w:hAnsi="Arial" w:cs="Arial"/>
                <w:i/>
                <w:iCs/>
                <w:sz w:val="22"/>
                <w:szCs w:val="22"/>
              </w:rPr>
            </w:pPr>
          </w:p>
          <w:p w14:paraId="6AE4D97E" w14:textId="77777777" w:rsidR="00AE0BDF" w:rsidRPr="005D73D0" w:rsidRDefault="00AE0BDF" w:rsidP="00B10240">
            <w:pPr>
              <w:spacing w:line="276" w:lineRule="auto"/>
              <w:ind w:right="1"/>
              <w:jc w:val="both"/>
              <w:rPr>
                <w:rFonts w:ascii="Arial" w:hAnsi="Arial" w:cs="Arial"/>
                <w:i/>
                <w:iCs/>
                <w:sz w:val="22"/>
                <w:szCs w:val="22"/>
              </w:rPr>
            </w:pPr>
            <w:r w:rsidRPr="00B528B4">
              <w:rPr>
                <w:rFonts w:ascii="Arial" w:hAnsi="Arial" w:cs="Arial"/>
                <w:i/>
                <w:iCs/>
                <w:sz w:val="22"/>
                <w:szCs w:val="22"/>
              </w:rPr>
              <w:t xml:space="preserve">We do not have a higher-floor building in our school, but keeping electronic materials and important documents safe is not considered a problem because everyone, especially the advisers, already knows what to do. </w:t>
            </w:r>
          </w:p>
        </w:tc>
      </w:tr>
    </w:tbl>
    <w:p w14:paraId="7AD3460C" w14:textId="77777777" w:rsidR="00AE0BDF" w:rsidRDefault="00AE0BDF" w:rsidP="00AE0BDF">
      <w:pPr>
        <w:spacing w:after="0" w:line="480" w:lineRule="auto"/>
        <w:jc w:val="both"/>
        <w:rPr>
          <w:rFonts w:ascii="Arial" w:hAnsi="Arial" w:cs="Arial"/>
        </w:rPr>
      </w:pPr>
    </w:p>
    <w:p w14:paraId="004EB514" w14:textId="77777777" w:rsidR="00861D48" w:rsidRDefault="00AE0BDF" w:rsidP="00AE0BDF">
      <w:pPr>
        <w:spacing w:after="0" w:line="480" w:lineRule="auto"/>
        <w:jc w:val="both"/>
        <w:rPr>
          <w:rFonts w:ascii="Arial" w:hAnsi="Arial" w:cs="Arial"/>
        </w:rPr>
      </w:pPr>
      <w:r>
        <w:rPr>
          <w:rFonts w:ascii="Arial" w:hAnsi="Arial" w:cs="Arial"/>
        </w:rPr>
        <w:tab/>
      </w:r>
    </w:p>
    <w:p w14:paraId="25B3B45C" w14:textId="77777777" w:rsidR="00861D48" w:rsidRDefault="00861D48" w:rsidP="00AE0BDF">
      <w:pPr>
        <w:spacing w:after="0" w:line="480" w:lineRule="auto"/>
        <w:jc w:val="both"/>
        <w:rPr>
          <w:rFonts w:ascii="Arial" w:hAnsi="Arial" w:cs="Arial"/>
        </w:rPr>
      </w:pPr>
    </w:p>
    <w:p w14:paraId="1B9FDB7C" w14:textId="77777777" w:rsidR="002A7D8D" w:rsidRDefault="002A7D8D" w:rsidP="00AE0BDF">
      <w:pPr>
        <w:spacing w:after="0" w:line="480" w:lineRule="auto"/>
        <w:jc w:val="both"/>
        <w:rPr>
          <w:rFonts w:ascii="Arial" w:hAnsi="Arial" w:cs="Arial"/>
        </w:rPr>
      </w:pPr>
    </w:p>
    <w:p w14:paraId="3865130E" w14:textId="77777777" w:rsidR="002A7D8D" w:rsidRDefault="002A7D8D" w:rsidP="00AE0BDF">
      <w:pPr>
        <w:spacing w:after="0" w:line="480" w:lineRule="auto"/>
        <w:jc w:val="both"/>
        <w:rPr>
          <w:rFonts w:ascii="Arial" w:hAnsi="Arial" w:cs="Arial"/>
        </w:rPr>
      </w:pPr>
    </w:p>
    <w:p w14:paraId="44C24A6C" w14:textId="7769265F" w:rsidR="00AE0BDF" w:rsidRPr="00B528B4" w:rsidRDefault="00AE0BDF" w:rsidP="00574D3C">
      <w:pPr>
        <w:tabs>
          <w:tab w:val="left" w:pos="1882"/>
        </w:tabs>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459586D8" w14:textId="77777777" w:rsidTr="00B10240">
        <w:trPr>
          <w:trHeight w:val="2240"/>
        </w:trPr>
        <w:tc>
          <w:tcPr>
            <w:tcW w:w="6536" w:type="dxa"/>
          </w:tcPr>
          <w:p w14:paraId="6CADFB55"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lastRenderedPageBreak/>
              <w:t>“</w:t>
            </w:r>
            <w:r w:rsidRPr="00B528B4">
              <w:rPr>
                <w:rFonts w:ascii="Arial" w:hAnsi="Arial" w:cs="Arial"/>
                <w:sz w:val="22"/>
                <w:szCs w:val="22"/>
              </w:rPr>
              <w:t xml:space="preserve">Alang </w:t>
            </w:r>
            <w:proofErr w:type="spellStart"/>
            <w:r w:rsidRPr="00B528B4">
              <w:rPr>
                <w:rFonts w:ascii="Arial" w:hAnsi="Arial" w:cs="Arial"/>
                <w:sz w:val="22"/>
                <w:szCs w:val="22"/>
              </w:rPr>
              <w:t>sa</w:t>
            </w:r>
            <w:proofErr w:type="spellEnd"/>
            <w:r w:rsidRPr="00B528B4">
              <w:rPr>
                <w:rFonts w:ascii="Arial" w:hAnsi="Arial" w:cs="Arial"/>
                <w:sz w:val="22"/>
                <w:szCs w:val="22"/>
              </w:rPr>
              <w:t xml:space="preserve"> </w:t>
            </w:r>
            <w:proofErr w:type="spellStart"/>
            <w:r w:rsidRPr="00B528B4">
              <w:rPr>
                <w:rFonts w:ascii="Arial" w:hAnsi="Arial" w:cs="Arial"/>
                <w:sz w:val="22"/>
                <w:szCs w:val="22"/>
              </w:rPr>
              <w:t>mga</w:t>
            </w:r>
            <w:proofErr w:type="spellEnd"/>
            <w:r w:rsidRPr="00B528B4">
              <w:rPr>
                <w:rFonts w:ascii="Arial" w:hAnsi="Arial" w:cs="Arial"/>
                <w:sz w:val="22"/>
                <w:szCs w:val="22"/>
              </w:rPr>
              <w:t xml:space="preserve"> </w:t>
            </w:r>
            <w:proofErr w:type="spellStart"/>
            <w:r w:rsidRPr="00B528B4">
              <w:rPr>
                <w:rFonts w:ascii="Arial" w:hAnsi="Arial" w:cs="Arial"/>
                <w:sz w:val="22"/>
                <w:szCs w:val="22"/>
              </w:rPr>
              <w:t>gamit</w:t>
            </w:r>
            <w:proofErr w:type="spellEnd"/>
            <w:r w:rsidRPr="00B528B4">
              <w:rPr>
                <w:rFonts w:ascii="Arial" w:hAnsi="Arial" w:cs="Arial"/>
                <w:sz w:val="22"/>
                <w:szCs w:val="22"/>
              </w:rPr>
              <w:t xml:space="preserve"> </w:t>
            </w:r>
            <w:proofErr w:type="spellStart"/>
            <w:r w:rsidRPr="00B528B4">
              <w:rPr>
                <w:rFonts w:ascii="Arial" w:hAnsi="Arial" w:cs="Arial"/>
                <w:sz w:val="22"/>
                <w:szCs w:val="22"/>
              </w:rPr>
              <w:t>nga</w:t>
            </w:r>
            <w:proofErr w:type="spellEnd"/>
            <w:r w:rsidRPr="00B528B4">
              <w:rPr>
                <w:rFonts w:ascii="Arial" w:hAnsi="Arial" w:cs="Arial"/>
                <w:sz w:val="22"/>
                <w:szCs w:val="22"/>
              </w:rPr>
              <w:t xml:space="preserve"> </w:t>
            </w:r>
            <w:proofErr w:type="spellStart"/>
            <w:r w:rsidRPr="00B528B4">
              <w:rPr>
                <w:rFonts w:ascii="Arial" w:hAnsi="Arial" w:cs="Arial"/>
                <w:sz w:val="22"/>
                <w:szCs w:val="22"/>
              </w:rPr>
              <w:t>delikado</w:t>
            </w:r>
            <w:proofErr w:type="spellEnd"/>
            <w:r w:rsidRPr="00B528B4">
              <w:rPr>
                <w:rFonts w:ascii="Arial" w:hAnsi="Arial" w:cs="Arial"/>
                <w:sz w:val="22"/>
                <w:szCs w:val="22"/>
              </w:rPr>
              <w:t xml:space="preserve"> </w:t>
            </w:r>
            <w:proofErr w:type="spellStart"/>
            <w:r w:rsidRPr="00B528B4">
              <w:rPr>
                <w:rFonts w:ascii="Arial" w:hAnsi="Arial" w:cs="Arial"/>
                <w:sz w:val="22"/>
                <w:szCs w:val="22"/>
              </w:rPr>
              <w:t>og</w:t>
            </w:r>
            <w:proofErr w:type="spellEnd"/>
            <w:r w:rsidRPr="00B528B4">
              <w:rPr>
                <w:rFonts w:ascii="Arial" w:hAnsi="Arial" w:cs="Arial"/>
                <w:sz w:val="22"/>
                <w:szCs w:val="22"/>
              </w:rPr>
              <w:t xml:space="preserve"> </w:t>
            </w:r>
            <w:proofErr w:type="spellStart"/>
            <w:r w:rsidRPr="00B528B4">
              <w:rPr>
                <w:rFonts w:ascii="Arial" w:hAnsi="Arial" w:cs="Arial"/>
                <w:sz w:val="22"/>
                <w:szCs w:val="22"/>
              </w:rPr>
              <w:t>mabasa</w:t>
            </w:r>
            <w:proofErr w:type="spellEnd"/>
            <w:r w:rsidRPr="00B528B4">
              <w:rPr>
                <w:rFonts w:ascii="Arial" w:hAnsi="Arial" w:cs="Arial"/>
                <w:sz w:val="22"/>
                <w:szCs w:val="22"/>
              </w:rPr>
              <w:t xml:space="preserve"> </w:t>
            </w:r>
            <w:proofErr w:type="spellStart"/>
            <w:r w:rsidRPr="00B528B4">
              <w:rPr>
                <w:rFonts w:ascii="Arial" w:hAnsi="Arial" w:cs="Arial"/>
                <w:sz w:val="22"/>
                <w:szCs w:val="22"/>
              </w:rPr>
              <w:t>sa</w:t>
            </w:r>
            <w:proofErr w:type="spellEnd"/>
            <w:r w:rsidRPr="00B528B4">
              <w:rPr>
                <w:rFonts w:ascii="Arial" w:hAnsi="Arial" w:cs="Arial"/>
                <w:sz w:val="22"/>
                <w:szCs w:val="22"/>
              </w:rPr>
              <w:t xml:space="preserve"> </w:t>
            </w:r>
            <w:proofErr w:type="spellStart"/>
            <w:r w:rsidRPr="00B528B4">
              <w:rPr>
                <w:rFonts w:ascii="Arial" w:hAnsi="Arial" w:cs="Arial"/>
                <w:sz w:val="22"/>
                <w:szCs w:val="22"/>
              </w:rPr>
              <w:t>tubig</w:t>
            </w:r>
            <w:proofErr w:type="spellEnd"/>
            <w:r w:rsidRPr="00B528B4">
              <w:rPr>
                <w:rFonts w:ascii="Arial" w:hAnsi="Arial" w:cs="Arial"/>
                <w:sz w:val="22"/>
                <w:szCs w:val="22"/>
              </w:rPr>
              <w:t xml:space="preserve"> </w:t>
            </w:r>
            <w:proofErr w:type="spellStart"/>
            <w:r w:rsidRPr="00B528B4">
              <w:rPr>
                <w:rFonts w:ascii="Arial" w:hAnsi="Arial" w:cs="Arial"/>
                <w:sz w:val="22"/>
                <w:szCs w:val="22"/>
              </w:rPr>
              <w:t>ulan</w:t>
            </w:r>
            <w:proofErr w:type="spellEnd"/>
            <w:r w:rsidRPr="00B528B4">
              <w:rPr>
                <w:rFonts w:ascii="Arial" w:hAnsi="Arial" w:cs="Arial"/>
                <w:sz w:val="22"/>
                <w:szCs w:val="22"/>
              </w:rPr>
              <w:t xml:space="preserve">, </w:t>
            </w:r>
            <w:proofErr w:type="spellStart"/>
            <w:r w:rsidRPr="00D15530">
              <w:rPr>
                <w:rFonts w:ascii="Arial" w:hAnsi="Arial" w:cs="Arial"/>
                <w:b/>
                <w:bCs/>
                <w:sz w:val="22"/>
                <w:szCs w:val="22"/>
              </w:rPr>
              <w:t>amo</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kining</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gina</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plastar</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sa</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mga</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habog</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nga</w:t>
            </w:r>
            <w:proofErr w:type="spellEnd"/>
            <w:r w:rsidRPr="00D15530">
              <w:rPr>
                <w:rFonts w:ascii="Arial" w:hAnsi="Arial" w:cs="Arial"/>
                <w:b/>
                <w:bCs/>
                <w:sz w:val="22"/>
                <w:szCs w:val="22"/>
              </w:rPr>
              <w:t xml:space="preserve"> luna</w:t>
            </w:r>
            <w:r w:rsidRPr="00B528B4">
              <w:rPr>
                <w:rFonts w:ascii="Arial" w:hAnsi="Arial" w:cs="Arial"/>
                <w:sz w:val="22"/>
                <w:szCs w:val="22"/>
              </w:rPr>
              <w:t xml:space="preserve"> </w:t>
            </w:r>
            <w:proofErr w:type="spellStart"/>
            <w:r w:rsidRPr="00B528B4">
              <w:rPr>
                <w:rFonts w:ascii="Arial" w:hAnsi="Arial" w:cs="Arial"/>
                <w:sz w:val="22"/>
                <w:szCs w:val="22"/>
              </w:rPr>
              <w:t>sa</w:t>
            </w:r>
            <w:proofErr w:type="spellEnd"/>
            <w:r w:rsidRPr="00B528B4">
              <w:rPr>
                <w:rFonts w:ascii="Arial" w:hAnsi="Arial" w:cs="Arial"/>
                <w:sz w:val="22"/>
                <w:szCs w:val="22"/>
              </w:rPr>
              <w:t xml:space="preserve"> classroom kay </w:t>
            </w:r>
            <w:proofErr w:type="spellStart"/>
            <w:r w:rsidRPr="00B528B4">
              <w:rPr>
                <w:rFonts w:ascii="Arial" w:hAnsi="Arial" w:cs="Arial"/>
                <w:sz w:val="22"/>
                <w:szCs w:val="22"/>
              </w:rPr>
              <w:t>wala</w:t>
            </w:r>
            <w:proofErr w:type="spellEnd"/>
            <w:r w:rsidRPr="00B528B4">
              <w:rPr>
                <w:rFonts w:ascii="Arial" w:hAnsi="Arial" w:cs="Arial"/>
                <w:sz w:val="22"/>
                <w:szCs w:val="22"/>
              </w:rPr>
              <w:t xml:space="preserve"> man mi 2-storey building. Maski </w:t>
            </w:r>
            <w:proofErr w:type="spellStart"/>
            <w:r w:rsidRPr="00B528B4">
              <w:rPr>
                <w:rFonts w:ascii="Arial" w:hAnsi="Arial" w:cs="Arial"/>
                <w:sz w:val="22"/>
                <w:szCs w:val="22"/>
              </w:rPr>
              <w:t>paman</w:t>
            </w:r>
            <w:proofErr w:type="spellEnd"/>
            <w:r w:rsidRPr="00B528B4">
              <w:rPr>
                <w:rFonts w:ascii="Arial" w:hAnsi="Arial" w:cs="Arial"/>
                <w:sz w:val="22"/>
                <w:szCs w:val="22"/>
              </w:rPr>
              <w:t xml:space="preserve">, </w:t>
            </w:r>
            <w:proofErr w:type="spellStart"/>
            <w:r w:rsidRPr="00B528B4">
              <w:rPr>
                <w:rFonts w:ascii="Arial" w:hAnsi="Arial" w:cs="Arial"/>
                <w:sz w:val="22"/>
                <w:szCs w:val="22"/>
              </w:rPr>
              <w:t>amo</w:t>
            </w:r>
            <w:proofErr w:type="spellEnd"/>
            <w:r w:rsidRPr="00B528B4">
              <w:rPr>
                <w:rFonts w:ascii="Arial" w:hAnsi="Arial" w:cs="Arial"/>
                <w:sz w:val="22"/>
                <w:szCs w:val="22"/>
              </w:rPr>
              <w:t xml:space="preserve"> </w:t>
            </w:r>
            <w:proofErr w:type="spellStart"/>
            <w:r w:rsidRPr="00B528B4">
              <w:rPr>
                <w:rFonts w:ascii="Arial" w:hAnsi="Arial" w:cs="Arial"/>
                <w:sz w:val="22"/>
                <w:szCs w:val="22"/>
              </w:rPr>
              <w:t>gihapong</w:t>
            </w:r>
            <w:proofErr w:type="spellEnd"/>
            <w:r w:rsidRPr="00B528B4">
              <w:rPr>
                <w:rFonts w:ascii="Arial" w:hAnsi="Arial" w:cs="Arial"/>
                <w:sz w:val="22"/>
                <w:szCs w:val="22"/>
              </w:rPr>
              <w:t xml:space="preserve"> </w:t>
            </w:r>
            <w:r w:rsidRPr="00D15530">
              <w:rPr>
                <w:rFonts w:ascii="Arial" w:hAnsi="Arial" w:cs="Arial"/>
                <w:b/>
                <w:bCs/>
                <w:sz w:val="22"/>
                <w:szCs w:val="22"/>
              </w:rPr>
              <w:t xml:space="preserve">ma </w:t>
            </w:r>
            <w:proofErr w:type="spellStart"/>
            <w:r w:rsidRPr="00D15530">
              <w:rPr>
                <w:rFonts w:ascii="Arial" w:hAnsi="Arial" w:cs="Arial"/>
                <w:b/>
                <w:bCs/>
                <w:sz w:val="22"/>
                <w:szCs w:val="22"/>
              </w:rPr>
              <w:t>plastar</w:t>
            </w:r>
            <w:proofErr w:type="spellEnd"/>
            <w:r w:rsidRPr="00D15530">
              <w:rPr>
                <w:rFonts w:ascii="Arial" w:hAnsi="Arial" w:cs="Arial"/>
                <w:b/>
                <w:bCs/>
                <w:sz w:val="22"/>
                <w:szCs w:val="22"/>
              </w:rPr>
              <w:t xml:space="preserve"> ang </w:t>
            </w:r>
            <w:proofErr w:type="spellStart"/>
            <w:r w:rsidRPr="00D15530">
              <w:rPr>
                <w:rFonts w:ascii="Arial" w:hAnsi="Arial" w:cs="Arial"/>
                <w:b/>
                <w:bCs/>
                <w:sz w:val="22"/>
                <w:szCs w:val="22"/>
              </w:rPr>
              <w:t>mga</w:t>
            </w:r>
            <w:proofErr w:type="spellEnd"/>
            <w:r w:rsidRPr="00D15530">
              <w:rPr>
                <w:rFonts w:ascii="Arial" w:hAnsi="Arial" w:cs="Arial"/>
                <w:b/>
                <w:bCs/>
                <w:sz w:val="22"/>
                <w:szCs w:val="22"/>
              </w:rPr>
              <w:t xml:space="preserve"> computer </w:t>
            </w:r>
            <w:proofErr w:type="spellStart"/>
            <w:r w:rsidRPr="00D15530">
              <w:rPr>
                <w:rFonts w:ascii="Arial" w:hAnsi="Arial" w:cs="Arial"/>
                <w:b/>
                <w:bCs/>
                <w:sz w:val="22"/>
                <w:szCs w:val="22"/>
              </w:rPr>
              <w:t>og</w:t>
            </w:r>
            <w:proofErr w:type="spellEnd"/>
            <w:r w:rsidRPr="00D15530">
              <w:rPr>
                <w:rFonts w:ascii="Arial" w:hAnsi="Arial" w:cs="Arial"/>
                <w:b/>
                <w:bCs/>
                <w:sz w:val="22"/>
                <w:szCs w:val="22"/>
              </w:rPr>
              <w:t xml:space="preserve"> </w:t>
            </w:r>
            <w:proofErr w:type="spellStart"/>
            <w:r w:rsidRPr="00D15530">
              <w:rPr>
                <w:rFonts w:ascii="Arial" w:hAnsi="Arial" w:cs="Arial"/>
                <w:b/>
                <w:bCs/>
                <w:sz w:val="22"/>
                <w:szCs w:val="22"/>
              </w:rPr>
              <w:t>ubang</w:t>
            </w:r>
            <w:proofErr w:type="spellEnd"/>
            <w:r w:rsidRPr="00D15530">
              <w:rPr>
                <w:rFonts w:ascii="Arial" w:hAnsi="Arial" w:cs="Arial"/>
                <w:b/>
                <w:bCs/>
                <w:sz w:val="22"/>
                <w:szCs w:val="22"/>
              </w:rPr>
              <w:t xml:space="preserve"> important school records</w:t>
            </w:r>
            <w:r w:rsidRPr="00B528B4">
              <w:rPr>
                <w:rFonts w:ascii="Arial" w:hAnsi="Arial" w:cs="Arial"/>
                <w:sz w:val="22"/>
                <w:szCs w:val="22"/>
              </w:rPr>
              <w:t>.</w:t>
            </w:r>
            <w:r>
              <w:rPr>
                <w:rFonts w:ascii="Arial" w:hAnsi="Arial" w:cs="Arial"/>
                <w:sz w:val="22"/>
                <w:szCs w:val="22"/>
              </w:rPr>
              <w:t xml:space="preserve"> (DRR_C4)</w:t>
            </w:r>
          </w:p>
          <w:p w14:paraId="698FCD82" w14:textId="77777777" w:rsidR="00AE0BDF" w:rsidRDefault="00AE0BDF" w:rsidP="00B10240">
            <w:pPr>
              <w:spacing w:line="276" w:lineRule="auto"/>
              <w:ind w:right="1"/>
              <w:jc w:val="both"/>
              <w:rPr>
                <w:rFonts w:ascii="Arial" w:hAnsi="Arial" w:cs="Arial"/>
                <w:i/>
                <w:iCs/>
                <w:sz w:val="22"/>
                <w:szCs w:val="22"/>
              </w:rPr>
            </w:pPr>
          </w:p>
          <w:p w14:paraId="4CCBE824" w14:textId="77777777" w:rsidR="00AE0BDF" w:rsidRPr="005D73D0" w:rsidRDefault="00AE0BDF" w:rsidP="00B10240">
            <w:pPr>
              <w:spacing w:line="276" w:lineRule="auto"/>
              <w:ind w:right="1"/>
              <w:jc w:val="both"/>
              <w:rPr>
                <w:rFonts w:ascii="Arial" w:hAnsi="Arial" w:cs="Arial"/>
                <w:i/>
                <w:iCs/>
                <w:sz w:val="22"/>
                <w:szCs w:val="22"/>
              </w:rPr>
            </w:pPr>
            <w:r w:rsidRPr="00B528B4">
              <w:rPr>
                <w:rFonts w:ascii="Arial" w:hAnsi="Arial" w:cs="Arial"/>
                <w:i/>
                <w:iCs/>
                <w:sz w:val="22"/>
                <w:szCs w:val="22"/>
              </w:rPr>
              <w:t>For items that could be damaged by rainwater, we place them in higher areas of the classroom because we do not have a two-</w:t>
            </w:r>
            <w:proofErr w:type="spellStart"/>
            <w:r w:rsidRPr="00B528B4">
              <w:rPr>
                <w:rFonts w:ascii="Arial" w:hAnsi="Arial" w:cs="Arial"/>
                <w:i/>
                <w:iCs/>
                <w:sz w:val="22"/>
                <w:szCs w:val="22"/>
              </w:rPr>
              <w:t>storey</w:t>
            </w:r>
            <w:proofErr w:type="spellEnd"/>
            <w:r w:rsidRPr="00B528B4">
              <w:rPr>
                <w:rFonts w:ascii="Arial" w:hAnsi="Arial" w:cs="Arial"/>
                <w:i/>
                <w:iCs/>
                <w:sz w:val="22"/>
                <w:szCs w:val="22"/>
              </w:rPr>
              <w:t xml:space="preserve"> building. Even so, we still place computers and other important school records in elevated areas. </w:t>
            </w:r>
          </w:p>
        </w:tc>
      </w:tr>
    </w:tbl>
    <w:p w14:paraId="1462D72D" w14:textId="77777777" w:rsidR="00AE0BDF" w:rsidRDefault="00AE0BDF" w:rsidP="00AE0BDF">
      <w:pPr>
        <w:spacing w:after="0" w:line="480" w:lineRule="auto"/>
        <w:jc w:val="both"/>
        <w:rPr>
          <w:rFonts w:ascii="Arial" w:hAnsi="Arial" w:cs="Arial"/>
        </w:rPr>
      </w:pPr>
    </w:p>
    <w:p w14:paraId="2EE5907F" w14:textId="77777777" w:rsidR="00AE0BDF" w:rsidRDefault="00AE0BDF" w:rsidP="00AE0BDF">
      <w:pPr>
        <w:spacing w:after="0" w:line="480" w:lineRule="auto"/>
        <w:jc w:val="both"/>
        <w:rPr>
          <w:rFonts w:ascii="Arial" w:hAnsi="Arial" w:cs="Arial"/>
        </w:rPr>
      </w:pPr>
    </w:p>
    <w:p w14:paraId="37E525FD" w14:textId="77777777" w:rsidR="00AE0BDF" w:rsidRDefault="00AE0BDF" w:rsidP="00AE0BDF">
      <w:pPr>
        <w:spacing w:after="0" w:line="480" w:lineRule="auto"/>
        <w:jc w:val="both"/>
        <w:rPr>
          <w:rFonts w:ascii="Arial" w:hAnsi="Arial" w:cs="Arial"/>
        </w:rPr>
      </w:pPr>
    </w:p>
    <w:p w14:paraId="6CEF2A2F" w14:textId="77777777" w:rsidR="00AE0BDF" w:rsidRDefault="00AE0BDF" w:rsidP="00AE0BDF">
      <w:pPr>
        <w:spacing w:after="0" w:line="480" w:lineRule="auto"/>
        <w:jc w:val="both"/>
        <w:rPr>
          <w:rFonts w:ascii="Arial" w:hAnsi="Arial" w:cs="Arial"/>
        </w:rPr>
      </w:pPr>
    </w:p>
    <w:p w14:paraId="2E322DA9" w14:textId="77777777" w:rsidR="00AE0BDF" w:rsidRDefault="00AE0BDF" w:rsidP="00AE0BDF">
      <w:pPr>
        <w:spacing w:after="0" w:line="480" w:lineRule="auto"/>
        <w:jc w:val="both"/>
        <w:rPr>
          <w:rFonts w:ascii="Arial" w:hAnsi="Arial" w:cs="Arial"/>
        </w:rPr>
      </w:pPr>
    </w:p>
    <w:p w14:paraId="6125137B" w14:textId="77777777" w:rsidR="00BE6945" w:rsidRPr="002A7D8D" w:rsidRDefault="00BE6945" w:rsidP="00AE0BDF">
      <w:pPr>
        <w:spacing w:after="0" w:line="480" w:lineRule="auto"/>
        <w:ind w:right="1"/>
        <w:jc w:val="both"/>
        <w:rPr>
          <w:rFonts w:ascii="Arial" w:hAnsi="Arial" w:cs="Arial"/>
        </w:rPr>
      </w:pPr>
    </w:p>
    <w:p w14:paraId="3C2977AD" w14:textId="77777777" w:rsidR="00D15530" w:rsidRDefault="002A7D8D" w:rsidP="004601FF">
      <w:pPr>
        <w:spacing w:after="0" w:line="480" w:lineRule="auto"/>
        <w:ind w:right="1"/>
        <w:jc w:val="both"/>
        <w:rPr>
          <w:rFonts w:ascii="Arial" w:hAnsi="Arial" w:cs="Arial"/>
        </w:rPr>
      </w:pPr>
      <w:r w:rsidRPr="002A7D8D">
        <w:rPr>
          <w:rFonts w:ascii="Arial" w:hAnsi="Arial" w:cs="Arial"/>
        </w:rPr>
        <w:tab/>
      </w:r>
    </w:p>
    <w:p w14:paraId="55289A54" w14:textId="1DE0FE51" w:rsidR="002A7D8D" w:rsidRPr="004601FF" w:rsidRDefault="00D15530" w:rsidP="004601FF">
      <w:pPr>
        <w:spacing w:after="0" w:line="480" w:lineRule="auto"/>
        <w:ind w:right="1"/>
        <w:jc w:val="both"/>
        <w:rPr>
          <w:rFonts w:ascii="Arial" w:hAnsi="Arial" w:cs="Arial"/>
        </w:rPr>
      </w:pPr>
      <w:r>
        <w:rPr>
          <w:rFonts w:ascii="Arial" w:hAnsi="Arial" w:cs="Arial"/>
        </w:rPr>
        <w:tab/>
      </w:r>
      <w:r w:rsidR="002A7D8D" w:rsidRPr="002A7D8D">
        <w:rPr>
          <w:rFonts w:ascii="Arial" w:hAnsi="Arial" w:cs="Arial"/>
        </w:rPr>
        <w:t>The theme Strategic Continuity Planning also supports the very high quantitative result (M = 4.55, SD = 0.54), as it reflects schools’ efforts to ensure continuity of learning and protection of essential records during emergencies. The adoption of soft copy systems and safeguarding of important documents demonstrate a clear commitment to resilience and uninterrupted educational processes. These qualitative insights confirm that the high level of preparedness is rooted in practical continuity strategies that enable schools to sustain operations even in the midst of disaster situations.</w:t>
      </w:r>
    </w:p>
    <w:p w14:paraId="0FCC7F32" w14:textId="2EF52007" w:rsidR="00574D3C" w:rsidRPr="00574D3C" w:rsidRDefault="00574D3C" w:rsidP="00AE0BDF">
      <w:pPr>
        <w:spacing w:after="0" w:line="480" w:lineRule="auto"/>
        <w:jc w:val="both"/>
        <w:rPr>
          <w:rFonts w:ascii="Arial" w:hAnsi="Arial" w:cs="Arial"/>
        </w:rPr>
      </w:pPr>
      <w:r>
        <w:rPr>
          <w:rFonts w:ascii="Arial" w:hAnsi="Arial" w:cs="Arial"/>
        </w:rPr>
        <w:tab/>
      </w:r>
      <w:r w:rsidRPr="00574D3C">
        <w:rPr>
          <w:rFonts w:ascii="Arial" w:hAnsi="Arial" w:cs="Arial"/>
        </w:rPr>
        <w:t xml:space="preserve">The third indicator, Disaster Preparedness and Response Measures, obtained a very high quantitative result (M = 4.57, SD = 0.53), indicating that schools demonstrate a strong and well-established capacity in managing both preparedness and response during disaster situations. This finding is further supported by the qualitative responses of participants, which reveal that disaster management practices in schools extend beyond safety compliance and into holistic response systems that prioritize both human welfare and educational continuity. The narratives highlight that schools are actively engaged in structured and adaptive measures to address the needs of learners and personnel during emergencies. These practices are reflected through three major themes: Humanitarian Response, Instructional Continuity, and Adaptive Learning Strategies, all of which </w:t>
      </w:r>
      <w:r w:rsidRPr="00574D3C">
        <w:rPr>
          <w:rFonts w:ascii="Arial" w:hAnsi="Arial" w:cs="Arial"/>
        </w:rPr>
        <w:lastRenderedPageBreak/>
        <w:t>collectively reinforce the schools’ high level of disaster preparedness and response capability.</w:t>
      </w:r>
    </w:p>
    <w:p w14:paraId="0D876A50" w14:textId="5EE4EFB3" w:rsidR="00AE0BDF" w:rsidRDefault="00AE0BDF" w:rsidP="00AE0BDF">
      <w:pPr>
        <w:spacing w:after="0" w:line="480" w:lineRule="auto"/>
        <w:jc w:val="both"/>
        <w:rPr>
          <w:rFonts w:ascii="Arial" w:hAnsi="Arial" w:cs="Arial"/>
          <w:i/>
          <w:iCs/>
        </w:rPr>
      </w:pPr>
      <w:r>
        <w:rPr>
          <w:rFonts w:ascii="Arial" w:hAnsi="Arial" w:cs="Arial"/>
          <w:i/>
          <w:iCs/>
        </w:rPr>
        <w:t xml:space="preserve">Theme 1: </w:t>
      </w:r>
      <w:r w:rsidRPr="001A7FAF">
        <w:rPr>
          <w:rFonts w:ascii="Arial" w:hAnsi="Arial" w:cs="Arial"/>
          <w:i/>
          <w:iCs/>
        </w:rPr>
        <w:t>Humanitarian Response</w:t>
      </w:r>
    </w:p>
    <w:p w14:paraId="4DFE3C16" w14:textId="1A1EC401" w:rsidR="00AE0BDF" w:rsidRPr="001A7FAF" w:rsidRDefault="00AE0BDF" w:rsidP="00AE0BDF">
      <w:pPr>
        <w:spacing w:after="0" w:line="480" w:lineRule="auto"/>
        <w:jc w:val="both"/>
        <w:rPr>
          <w:rFonts w:ascii="Arial" w:hAnsi="Arial" w:cs="Arial"/>
        </w:rPr>
      </w:pPr>
      <w:r>
        <w:rPr>
          <w:rFonts w:ascii="Arial" w:hAnsi="Arial" w:cs="Arial"/>
          <w:i/>
          <w:iCs/>
        </w:rPr>
        <w:tab/>
      </w:r>
      <w:r w:rsidR="00574D3C" w:rsidRPr="00574D3C">
        <w:rPr>
          <w:rFonts w:ascii="Arial" w:hAnsi="Arial" w:cs="Arial"/>
        </w:rPr>
        <w:t>The core ideas under Humanitarian Response center on the prioritization of life safety for students and school personnel during disaster events. This includes the role of schools as temporary evacuation centers for the community and the strict adherence to standardized reporting protocols to ensure proper coordination and response. Participants emphasized that ensuring the safety and welfare of individuals remains the foremost priority, with schools actively fulfilling both protective and community-support functions during emergencies. These practices reflect a structured and life-centered approach to disaster response.</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6F34FBB6" w14:textId="77777777" w:rsidTr="00E14C76">
        <w:trPr>
          <w:trHeight w:val="1970"/>
        </w:trPr>
        <w:tc>
          <w:tcPr>
            <w:tcW w:w="6536" w:type="dxa"/>
          </w:tcPr>
          <w:p w14:paraId="2D54020E"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1A7FAF">
              <w:rPr>
                <w:rFonts w:ascii="Arial" w:hAnsi="Arial" w:cs="Arial"/>
                <w:sz w:val="22"/>
                <w:szCs w:val="22"/>
              </w:rPr>
              <w:t xml:space="preserve">Priority ang learners and teachers... If mag involve nag community, </w:t>
            </w:r>
            <w:proofErr w:type="spellStart"/>
            <w:r w:rsidRPr="001A7FAF">
              <w:rPr>
                <w:rFonts w:ascii="Arial" w:hAnsi="Arial" w:cs="Arial"/>
                <w:sz w:val="22"/>
                <w:szCs w:val="22"/>
              </w:rPr>
              <w:t>diha</w:t>
            </w:r>
            <w:proofErr w:type="spellEnd"/>
            <w:r w:rsidRPr="001A7FAF">
              <w:rPr>
                <w:rFonts w:ascii="Arial" w:hAnsi="Arial" w:cs="Arial"/>
                <w:sz w:val="22"/>
                <w:szCs w:val="22"/>
              </w:rPr>
              <w:t xml:space="preserve"> </w:t>
            </w:r>
            <w:proofErr w:type="spellStart"/>
            <w:r w:rsidRPr="001A7FAF">
              <w:rPr>
                <w:rFonts w:ascii="Arial" w:hAnsi="Arial" w:cs="Arial"/>
                <w:sz w:val="22"/>
                <w:szCs w:val="22"/>
              </w:rPr>
              <w:t>na</w:t>
            </w:r>
            <w:proofErr w:type="spellEnd"/>
            <w:r w:rsidRPr="001A7FAF">
              <w:rPr>
                <w:rFonts w:ascii="Arial" w:hAnsi="Arial" w:cs="Arial"/>
                <w:sz w:val="22"/>
                <w:szCs w:val="22"/>
              </w:rPr>
              <w:t xml:space="preserve"> ang </w:t>
            </w:r>
            <w:r w:rsidRPr="00E14C76">
              <w:rPr>
                <w:rFonts w:ascii="Arial" w:hAnsi="Arial" w:cs="Arial"/>
                <w:b/>
                <w:bCs/>
                <w:sz w:val="22"/>
                <w:szCs w:val="22"/>
              </w:rPr>
              <w:t xml:space="preserve">coordination kay ang </w:t>
            </w:r>
            <w:proofErr w:type="spellStart"/>
            <w:r w:rsidRPr="00E14C76">
              <w:rPr>
                <w:rFonts w:ascii="Arial" w:hAnsi="Arial" w:cs="Arial"/>
                <w:b/>
                <w:bCs/>
                <w:sz w:val="22"/>
                <w:szCs w:val="22"/>
              </w:rPr>
              <w:t>skwelahan</w:t>
            </w:r>
            <w:proofErr w:type="spellEnd"/>
            <w:r w:rsidRPr="00E14C76">
              <w:rPr>
                <w:rFonts w:ascii="Arial" w:hAnsi="Arial" w:cs="Arial"/>
                <w:b/>
                <w:bCs/>
                <w:sz w:val="22"/>
                <w:szCs w:val="22"/>
              </w:rPr>
              <w:t xml:space="preserve"> kay </w:t>
            </w:r>
            <w:proofErr w:type="spellStart"/>
            <w:r w:rsidRPr="00E14C76">
              <w:rPr>
                <w:rFonts w:ascii="Arial" w:hAnsi="Arial" w:cs="Arial"/>
                <w:b/>
                <w:bCs/>
                <w:sz w:val="22"/>
                <w:szCs w:val="22"/>
              </w:rPr>
              <w:t>gamiton</w:t>
            </w:r>
            <w:proofErr w:type="spellEnd"/>
            <w:r w:rsidRPr="00E14C76">
              <w:rPr>
                <w:rFonts w:ascii="Arial" w:hAnsi="Arial" w:cs="Arial"/>
                <w:b/>
                <w:bCs/>
                <w:sz w:val="22"/>
                <w:szCs w:val="22"/>
              </w:rPr>
              <w:t xml:space="preserve"> man </w:t>
            </w:r>
            <w:proofErr w:type="spellStart"/>
            <w:r w:rsidRPr="00E14C76">
              <w:rPr>
                <w:rFonts w:ascii="Arial" w:hAnsi="Arial" w:cs="Arial"/>
                <w:b/>
                <w:bCs/>
                <w:sz w:val="22"/>
                <w:szCs w:val="22"/>
              </w:rPr>
              <w:t>usahay</w:t>
            </w:r>
            <w:proofErr w:type="spellEnd"/>
            <w:r w:rsidRPr="00E14C76">
              <w:rPr>
                <w:rFonts w:ascii="Arial" w:hAnsi="Arial" w:cs="Arial"/>
                <w:b/>
                <w:bCs/>
                <w:sz w:val="22"/>
                <w:szCs w:val="22"/>
              </w:rPr>
              <w:t xml:space="preserve"> as evacuation center</w:t>
            </w:r>
            <w:r w:rsidRPr="001A7FAF">
              <w:rPr>
                <w:rFonts w:ascii="Arial" w:hAnsi="Arial" w:cs="Arial"/>
                <w:sz w:val="22"/>
                <w:szCs w:val="22"/>
              </w:rPr>
              <w:t>.”</w:t>
            </w:r>
            <w:r>
              <w:rPr>
                <w:rFonts w:ascii="Arial" w:hAnsi="Arial" w:cs="Arial"/>
                <w:sz w:val="22"/>
                <w:szCs w:val="22"/>
              </w:rPr>
              <w:t xml:space="preserve"> (SH_1)</w:t>
            </w:r>
          </w:p>
          <w:p w14:paraId="0ADF9E05" w14:textId="77777777" w:rsidR="00AE0BDF" w:rsidRDefault="00AE0BDF" w:rsidP="00B10240">
            <w:pPr>
              <w:spacing w:line="276" w:lineRule="auto"/>
              <w:ind w:right="1"/>
              <w:jc w:val="both"/>
              <w:rPr>
                <w:rFonts w:ascii="Arial" w:hAnsi="Arial" w:cs="Arial"/>
                <w:i/>
                <w:iCs/>
                <w:sz w:val="22"/>
                <w:szCs w:val="22"/>
              </w:rPr>
            </w:pPr>
          </w:p>
          <w:p w14:paraId="3FBDCB81" w14:textId="77777777" w:rsidR="00AE0BDF" w:rsidRPr="005D73D0" w:rsidRDefault="00AE0BDF" w:rsidP="00B10240">
            <w:pPr>
              <w:spacing w:line="276" w:lineRule="auto"/>
              <w:ind w:right="1"/>
              <w:jc w:val="both"/>
              <w:rPr>
                <w:rFonts w:ascii="Arial" w:hAnsi="Arial" w:cs="Arial"/>
                <w:i/>
                <w:iCs/>
                <w:sz w:val="22"/>
                <w:szCs w:val="22"/>
              </w:rPr>
            </w:pPr>
            <w:r w:rsidRPr="001A7FAF">
              <w:rPr>
                <w:rFonts w:ascii="Arial" w:hAnsi="Arial" w:cs="Arial"/>
                <w:i/>
                <w:iCs/>
                <w:sz w:val="22"/>
                <w:szCs w:val="22"/>
              </w:rPr>
              <w:t xml:space="preserve">The priority is the learners and teachers. If the community becomes involved, coordination is needed because the school is sometimes used as an evacuation center. </w:t>
            </w:r>
          </w:p>
        </w:tc>
      </w:tr>
    </w:tbl>
    <w:p w14:paraId="5EA96BE1" w14:textId="77777777" w:rsidR="00AE0BDF" w:rsidRPr="001A7FAF" w:rsidRDefault="00AE0BDF" w:rsidP="00AE0BDF">
      <w:pPr>
        <w:spacing w:after="0" w:line="480" w:lineRule="auto"/>
        <w:jc w:val="both"/>
        <w:rPr>
          <w:rFonts w:ascii="Arial" w:hAnsi="Arial" w:cs="Arial"/>
        </w:rPr>
      </w:pPr>
    </w:p>
    <w:p w14:paraId="249C6CD5" w14:textId="77777777" w:rsidR="00AE0BDF" w:rsidRPr="001A7FAF" w:rsidRDefault="00AE0BDF" w:rsidP="00AE0BDF">
      <w:pPr>
        <w:spacing w:after="0" w:line="480" w:lineRule="auto"/>
        <w:jc w:val="both"/>
        <w:rPr>
          <w:rFonts w:ascii="Arial" w:hAnsi="Arial" w:cs="Arial"/>
        </w:rPr>
      </w:pPr>
    </w:p>
    <w:p w14:paraId="2007F5E8" w14:textId="77777777" w:rsidR="00AE0BDF" w:rsidRDefault="00AE0BDF" w:rsidP="00AE0BDF">
      <w:pPr>
        <w:spacing w:after="0" w:line="480" w:lineRule="auto"/>
        <w:jc w:val="both"/>
        <w:rPr>
          <w:rFonts w:ascii="Arial" w:hAnsi="Arial" w:cs="Arial"/>
        </w:rPr>
      </w:pPr>
    </w:p>
    <w:p w14:paraId="09FFDAC8" w14:textId="77777777" w:rsidR="00E14C76" w:rsidRDefault="00E14C76" w:rsidP="00574D3C">
      <w:pPr>
        <w:tabs>
          <w:tab w:val="left" w:pos="3721"/>
        </w:tabs>
        <w:spacing w:after="0" w:line="480" w:lineRule="auto"/>
        <w:jc w:val="both"/>
        <w:rPr>
          <w:rFonts w:ascii="Arial" w:hAnsi="Arial" w:cs="Arial"/>
        </w:rPr>
      </w:pPr>
    </w:p>
    <w:p w14:paraId="15A3B641" w14:textId="77777777" w:rsidR="00E14C76" w:rsidRDefault="00E14C76" w:rsidP="00574D3C">
      <w:pPr>
        <w:tabs>
          <w:tab w:val="left" w:pos="3721"/>
        </w:tabs>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4DFB3E59" w14:textId="77777777" w:rsidTr="00E14C76">
        <w:trPr>
          <w:trHeight w:val="1066"/>
        </w:trPr>
        <w:tc>
          <w:tcPr>
            <w:tcW w:w="6536" w:type="dxa"/>
          </w:tcPr>
          <w:p w14:paraId="7D0BEFCB" w14:textId="77777777" w:rsidR="00AE0BDF" w:rsidRPr="00804AF3"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1A7FAF">
              <w:rPr>
                <w:rFonts w:ascii="Arial" w:hAnsi="Arial" w:cs="Arial"/>
                <w:sz w:val="22"/>
                <w:szCs w:val="22"/>
              </w:rPr>
              <w:t xml:space="preserve">Because our barangay does not have a dedicated evacuation site, </w:t>
            </w:r>
            <w:r w:rsidRPr="00E14C76">
              <w:rPr>
                <w:rFonts w:ascii="Arial" w:hAnsi="Arial" w:cs="Arial"/>
                <w:b/>
                <w:bCs/>
                <w:sz w:val="22"/>
                <w:szCs w:val="22"/>
              </w:rPr>
              <w:t>our school is often used as a shelter</w:t>
            </w:r>
            <w:r w:rsidRPr="001A7FAF">
              <w:rPr>
                <w:rFonts w:ascii="Arial" w:hAnsi="Arial" w:cs="Arial"/>
                <w:sz w:val="22"/>
                <w:szCs w:val="22"/>
              </w:rPr>
              <w:t xml:space="preserve">... </w:t>
            </w:r>
            <w:r w:rsidRPr="00E14C76">
              <w:rPr>
                <w:rFonts w:ascii="Arial" w:hAnsi="Arial" w:cs="Arial"/>
                <w:b/>
                <w:bCs/>
                <w:sz w:val="22"/>
                <w:szCs w:val="22"/>
              </w:rPr>
              <w:t>our priority list expands to include the whole community</w:t>
            </w:r>
            <w:r w:rsidRPr="001A7FAF">
              <w:rPr>
                <w:rFonts w:ascii="Arial" w:hAnsi="Arial" w:cs="Arial"/>
                <w:sz w:val="22"/>
                <w:szCs w:val="22"/>
              </w:rPr>
              <w:t xml:space="preserve">.” </w:t>
            </w:r>
            <w:r>
              <w:rPr>
                <w:rFonts w:ascii="Arial" w:hAnsi="Arial" w:cs="Arial"/>
                <w:sz w:val="22"/>
                <w:szCs w:val="22"/>
              </w:rPr>
              <w:t>(DRR_C2)</w:t>
            </w:r>
          </w:p>
        </w:tc>
      </w:tr>
    </w:tbl>
    <w:p w14:paraId="3A93C30F" w14:textId="77777777" w:rsidR="00AE0BDF" w:rsidRDefault="00AE0BDF" w:rsidP="00AE0BDF">
      <w:pPr>
        <w:spacing w:after="0" w:line="480" w:lineRule="auto"/>
        <w:jc w:val="both"/>
        <w:rPr>
          <w:rFonts w:ascii="Arial" w:hAnsi="Arial" w:cs="Arial"/>
        </w:rPr>
      </w:pPr>
    </w:p>
    <w:p w14:paraId="50C87016" w14:textId="6C2C64BE" w:rsidR="00AE0BDF" w:rsidRPr="00804AF3"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4F10AD1C" w14:textId="77777777" w:rsidTr="00E14C76">
        <w:trPr>
          <w:trHeight w:val="1066"/>
        </w:trPr>
        <w:tc>
          <w:tcPr>
            <w:tcW w:w="6536" w:type="dxa"/>
          </w:tcPr>
          <w:p w14:paraId="367208C4"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E14C76">
              <w:rPr>
                <w:rFonts w:ascii="Arial" w:hAnsi="Arial" w:cs="Arial"/>
                <w:b/>
                <w:bCs/>
                <w:sz w:val="22"/>
                <w:szCs w:val="22"/>
              </w:rPr>
              <w:t>I prioritized the safety of my learners</w:t>
            </w:r>
            <w:r w:rsidRPr="00804AF3">
              <w:rPr>
                <w:rFonts w:ascii="Arial" w:hAnsi="Arial" w:cs="Arial"/>
                <w:sz w:val="22"/>
                <w:szCs w:val="22"/>
              </w:rPr>
              <w:t xml:space="preserve">… I usually give the decision to let our </w:t>
            </w:r>
            <w:r w:rsidRPr="00E14C76">
              <w:rPr>
                <w:rFonts w:ascii="Arial" w:hAnsi="Arial" w:cs="Arial"/>
                <w:b/>
                <w:bCs/>
                <w:sz w:val="22"/>
                <w:szCs w:val="22"/>
              </w:rPr>
              <w:t>learners go home with their parents</w:t>
            </w:r>
            <w:r w:rsidRPr="00804AF3">
              <w:rPr>
                <w:rFonts w:ascii="Arial" w:hAnsi="Arial" w:cs="Arial"/>
                <w:sz w:val="22"/>
                <w:szCs w:val="22"/>
              </w:rPr>
              <w:t xml:space="preserve">. As well as the teachers… </w:t>
            </w:r>
            <w:r w:rsidRPr="00E14C76">
              <w:rPr>
                <w:rFonts w:ascii="Arial" w:hAnsi="Arial" w:cs="Arial"/>
                <w:b/>
                <w:bCs/>
                <w:sz w:val="22"/>
                <w:szCs w:val="22"/>
              </w:rPr>
              <w:t>I also prioritize the readiness of our school when there will be chances of evacuation</w:t>
            </w:r>
            <w:r w:rsidRPr="00804AF3">
              <w:rPr>
                <w:rFonts w:ascii="Arial" w:hAnsi="Arial" w:cs="Arial"/>
                <w:sz w:val="22"/>
                <w:szCs w:val="22"/>
              </w:rPr>
              <w:t xml:space="preserve">.” </w:t>
            </w:r>
            <w:r>
              <w:rPr>
                <w:rFonts w:ascii="Arial" w:hAnsi="Arial" w:cs="Arial"/>
                <w:sz w:val="22"/>
                <w:szCs w:val="22"/>
              </w:rPr>
              <w:t>(SH_3)</w:t>
            </w:r>
          </w:p>
          <w:p w14:paraId="2303EEEC" w14:textId="77777777" w:rsidR="00E14C76" w:rsidRDefault="00E14C76" w:rsidP="00B10240">
            <w:pPr>
              <w:spacing w:line="276" w:lineRule="auto"/>
              <w:ind w:right="1"/>
              <w:jc w:val="both"/>
              <w:rPr>
                <w:rFonts w:ascii="Arial" w:hAnsi="Arial" w:cs="Arial"/>
                <w:sz w:val="22"/>
                <w:szCs w:val="22"/>
              </w:rPr>
            </w:pPr>
          </w:p>
          <w:p w14:paraId="3480DFA6" w14:textId="5E7DF354" w:rsidR="00E14C76" w:rsidRPr="00804AF3" w:rsidRDefault="00E14C76" w:rsidP="00B10240">
            <w:pPr>
              <w:spacing w:line="276" w:lineRule="auto"/>
              <w:ind w:right="1"/>
              <w:jc w:val="both"/>
              <w:rPr>
                <w:rFonts w:ascii="Arial" w:hAnsi="Arial" w:cs="Arial"/>
                <w:sz w:val="22"/>
                <w:szCs w:val="22"/>
              </w:rPr>
            </w:pPr>
          </w:p>
        </w:tc>
      </w:tr>
    </w:tbl>
    <w:p w14:paraId="4DCDE1CA" w14:textId="3247D787" w:rsidR="00AE0BDF" w:rsidRDefault="00AE0BDF" w:rsidP="00AE0BDF">
      <w:pPr>
        <w:spacing w:after="0" w:line="480" w:lineRule="auto"/>
        <w:jc w:val="both"/>
        <w:rPr>
          <w:rFonts w:ascii="Arial" w:hAnsi="Arial" w:cs="Arial"/>
        </w:rPr>
      </w:pPr>
    </w:p>
    <w:p w14:paraId="0DC49418" w14:textId="45A98236" w:rsidR="00AE0BDF" w:rsidRDefault="00AE0BDF" w:rsidP="00574D3C">
      <w:pPr>
        <w:tabs>
          <w:tab w:val="left" w:pos="2438"/>
        </w:tabs>
        <w:spacing w:after="0" w:line="480" w:lineRule="auto"/>
        <w:jc w:val="both"/>
        <w:rPr>
          <w:rFonts w:ascii="Arial" w:hAnsi="Arial" w:cs="Arial"/>
        </w:rPr>
      </w:pPr>
    </w:p>
    <w:tbl>
      <w:tblPr>
        <w:tblStyle w:val="TableGridLight"/>
        <w:tblpPr w:leftFromText="180" w:rightFromText="180" w:vertAnchor="text" w:horzAnchor="margin" w:tblpXSpec="center" w:tblpY="4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39F86B3" w14:textId="77777777" w:rsidTr="006067D7">
        <w:trPr>
          <w:trHeight w:val="2240"/>
        </w:trPr>
        <w:tc>
          <w:tcPr>
            <w:tcW w:w="6536" w:type="dxa"/>
          </w:tcPr>
          <w:p w14:paraId="24A8332C" w14:textId="77777777" w:rsidR="005757C2" w:rsidRDefault="005757C2" w:rsidP="006067D7">
            <w:pPr>
              <w:spacing w:line="276" w:lineRule="auto"/>
              <w:ind w:right="1"/>
              <w:jc w:val="both"/>
              <w:rPr>
                <w:rFonts w:ascii="Arial" w:hAnsi="Arial" w:cs="Arial"/>
                <w:sz w:val="22"/>
                <w:szCs w:val="22"/>
              </w:rPr>
            </w:pPr>
          </w:p>
          <w:p w14:paraId="49720E05" w14:textId="32092A4A" w:rsidR="00AE0BDF" w:rsidRDefault="00AE0BDF" w:rsidP="006067D7">
            <w:pPr>
              <w:spacing w:line="276" w:lineRule="auto"/>
              <w:ind w:right="1"/>
              <w:jc w:val="both"/>
              <w:rPr>
                <w:rFonts w:ascii="Arial" w:hAnsi="Arial" w:cs="Arial"/>
                <w:sz w:val="22"/>
                <w:szCs w:val="22"/>
              </w:rPr>
            </w:pPr>
            <w:r w:rsidRPr="005D73D0">
              <w:rPr>
                <w:rFonts w:ascii="Arial" w:hAnsi="Arial" w:cs="Arial"/>
                <w:sz w:val="22"/>
                <w:szCs w:val="22"/>
              </w:rPr>
              <w:t>“</w:t>
            </w:r>
            <w:r w:rsidRPr="00E14C76">
              <w:rPr>
                <w:rFonts w:ascii="Arial" w:hAnsi="Arial" w:cs="Arial"/>
                <w:b/>
                <w:bCs/>
                <w:sz w:val="22"/>
                <w:szCs w:val="22"/>
              </w:rPr>
              <w:t>Priority ang learners and teachers</w:t>
            </w:r>
            <w:r w:rsidRPr="001A7FAF">
              <w:rPr>
                <w:rFonts w:ascii="Arial" w:hAnsi="Arial" w:cs="Arial"/>
                <w:sz w:val="22"/>
                <w:szCs w:val="22"/>
              </w:rPr>
              <w:t xml:space="preserve">... If mag involve nag community, </w:t>
            </w:r>
            <w:proofErr w:type="spellStart"/>
            <w:r w:rsidRPr="001A7FAF">
              <w:rPr>
                <w:rFonts w:ascii="Arial" w:hAnsi="Arial" w:cs="Arial"/>
                <w:sz w:val="22"/>
                <w:szCs w:val="22"/>
              </w:rPr>
              <w:t>diha</w:t>
            </w:r>
            <w:proofErr w:type="spellEnd"/>
            <w:r w:rsidRPr="001A7FAF">
              <w:rPr>
                <w:rFonts w:ascii="Arial" w:hAnsi="Arial" w:cs="Arial"/>
                <w:sz w:val="22"/>
                <w:szCs w:val="22"/>
              </w:rPr>
              <w:t xml:space="preserve"> </w:t>
            </w:r>
            <w:proofErr w:type="spellStart"/>
            <w:r w:rsidRPr="001A7FAF">
              <w:rPr>
                <w:rFonts w:ascii="Arial" w:hAnsi="Arial" w:cs="Arial"/>
                <w:sz w:val="22"/>
                <w:szCs w:val="22"/>
              </w:rPr>
              <w:t>na</w:t>
            </w:r>
            <w:proofErr w:type="spellEnd"/>
            <w:r w:rsidRPr="001A7FAF">
              <w:rPr>
                <w:rFonts w:ascii="Arial" w:hAnsi="Arial" w:cs="Arial"/>
                <w:sz w:val="22"/>
                <w:szCs w:val="22"/>
              </w:rPr>
              <w:t xml:space="preserve"> ang coordination kay ang </w:t>
            </w:r>
            <w:proofErr w:type="spellStart"/>
            <w:r w:rsidRPr="00E14C76">
              <w:rPr>
                <w:rFonts w:ascii="Arial" w:hAnsi="Arial" w:cs="Arial"/>
                <w:b/>
                <w:bCs/>
                <w:sz w:val="22"/>
                <w:szCs w:val="22"/>
              </w:rPr>
              <w:t>skwelahan</w:t>
            </w:r>
            <w:proofErr w:type="spellEnd"/>
            <w:r w:rsidRPr="00E14C76">
              <w:rPr>
                <w:rFonts w:ascii="Arial" w:hAnsi="Arial" w:cs="Arial"/>
                <w:b/>
                <w:bCs/>
                <w:sz w:val="22"/>
                <w:szCs w:val="22"/>
              </w:rPr>
              <w:t xml:space="preserve"> kay </w:t>
            </w:r>
            <w:proofErr w:type="spellStart"/>
            <w:r w:rsidRPr="00E14C76">
              <w:rPr>
                <w:rFonts w:ascii="Arial" w:hAnsi="Arial" w:cs="Arial"/>
                <w:b/>
                <w:bCs/>
                <w:sz w:val="22"/>
                <w:szCs w:val="22"/>
              </w:rPr>
              <w:t>gamiton</w:t>
            </w:r>
            <w:proofErr w:type="spellEnd"/>
            <w:r w:rsidRPr="00E14C76">
              <w:rPr>
                <w:rFonts w:ascii="Arial" w:hAnsi="Arial" w:cs="Arial"/>
                <w:b/>
                <w:bCs/>
                <w:sz w:val="22"/>
                <w:szCs w:val="22"/>
              </w:rPr>
              <w:t xml:space="preserve"> man </w:t>
            </w:r>
            <w:proofErr w:type="spellStart"/>
            <w:r w:rsidRPr="00E14C76">
              <w:rPr>
                <w:rFonts w:ascii="Arial" w:hAnsi="Arial" w:cs="Arial"/>
                <w:b/>
                <w:bCs/>
                <w:sz w:val="22"/>
                <w:szCs w:val="22"/>
              </w:rPr>
              <w:t>usahay</w:t>
            </w:r>
            <w:proofErr w:type="spellEnd"/>
            <w:r w:rsidRPr="00E14C76">
              <w:rPr>
                <w:rFonts w:ascii="Arial" w:hAnsi="Arial" w:cs="Arial"/>
                <w:b/>
                <w:bCs/>
                <w:sz w:val="22"/>
                <w:szCs w:val="22"/>
              </w:rPr>
              <w:t xml:space="preserve"> as evacuation center</w:t>
            </w:r>
            <w:r w:rsidRPr="001A7FAF">
              <w:rPr>
                <w:rFonts w:ascii="Arial" w:hAnsi="Arial" w:cs="Arial"/>
                <w:sz w:val="22"/>
                <w:szCs w:val="22"/>
              </w:rPr>
              <w:t>.”</w:t>
            </w:r>
            <w:r>
              <w:rPr>
                <w:rFonts w:ascii="Arial" w:hAnsi="Arial" w:cs="Arial"/>
                <w:sz w:val="22"/>
                <w:szCs w:val="22"/>
              </w:rPr>
              <w:t xml:space="preserve"> (SH_1)</w:t>
            </w:r>
          </w:p>
          <w:p w14:paraId="3790C396" w14:textId="77777777" w:rsidR="00AE0BDF" w:rsidRDefault="00AE0BDF" w:rsidP="006067D7">
            <w:pPr>
              <w:spacing w:line="276" w:lineRule="auto"/>
              <w:ind w:right="1"/>
              <w:jc w:val="both"/>
              <w:rPr>
                <w:rFonts w:ascii="Arial" w:hAnsi="Arial" w:cs="Arial"/>
                <w:i/>
                <w:iCs/>
                <w:sz w:val="22"/>
                <w:szCs w:val="22"/>
              </w:rPr>
            </w:pPr>
          </w:p>
          <w:p w14:paraId="47AC2F4D" w14:textId="77777777" w:rsidR="00AE0BDF" w:rsidRPr="005D73D0" w:rsidRDefault="00AE0BDF" w:rsidP="006067D7">
            <w:pPr>
              <w:spacing w:line="276" w:lineRule="auto"/>
              <w:ind w:right="1"/>
              <w:jc w:val="both"/>
              <w:rPr>
                <w:rFonts w:ascii="Arial" w:hAnsi="Arial" w:cs="Arial"/>
                <w:i/>
                <w:iCs/>
                <w:sz w:val="22"/>
                <w:szCs w:val="22"/>
              </w:rPr>
            </w:pPr>
            <w:r w:rsidRPr="001A7FAF">
              <w:rPr>
                <w:rFonts w:ascii="Arial" w:hAnsi="Arial" w:cs="Arial"/>
                <w:i/>
                <w:iCs/>
                <w:sz w:val="22"/>
                <w:szCs w:val="22"/>
              </w:rPr>
              <w:t xml:space="preserve">The priority is the learners and teachers. If the community becomes involved, coordination is needed because the school is sometimes used as an evacuation center. </w:t>
            </w:r>
          </w:p>
        </w:tc>
      </w:tr>
    </w:tbl>
    <w:p w14:paraId="09FF3FD2" w14:textId="77777777" w:rsidR="00AE0BDF" w:rsidRDefault="00AE0BDF" w:rsidP="00AE0BDF">
      <w:pPr>
        <w:spacing w:after="0" w:line="480" w:lineRule="auto"/>
        <w:jc w:val="both"/>
        <w:rPr>
          <w:rFonts w:ascii="Arial" w:hAnsi="Arial" w:cs="Arial"/>
        </w:rPr>
      </w:pPr>
    </w:p>
    <w:p w14:paraId="20401702" w14:textId="77777777" w:rsidR="00AE0BDF" w:rsidRDefault="00AE0BDF" w:rsidP="00AE0BDF">
      <w:pPr>
        <w:spacing w:after="0" w:line="480" w:lineRule="auto"/>
        <w:jc w:val="both"/>
        <w:rPr>
          <w:rFonts w:ascii="Arial" w:hAnsi="Arial" w:cs="Arial"/>
        </w:rPr>
      </w:pPr>
    </w:p>
    <w:p w14:paraId="55BF78A6" w14:textId="77777777" w:rsidR="00AE0BDF" w:rsidRDefault="00AE0BDF" w:rsidP="00AE0BDF">
      <w:pPr>
        <w:spacing w:after="0" w:line="480" w:lineRule="auto"/>
        <w:jc w:val="both"/>
        <w:rPr>
          <w:rFonts w:ascii="Arial" w:hAnsi="Arial" w:cs="Arial"/>
        </w:rPr>
      </w:pPr>
    </w:p>
    <w:p w14:paraId="2D8458BD" w14:textId="77777777" w:rsidR="00AE0BDF" w:rsidRDefault="00AE0BDF" w:rsidP="00AE0BDF">
      <w:pPr>
        <w:spacing w:after="0" w:line="480" w:lineRule="auto"/>
        <w:jc w:val="both"/>
        <w:rPr>
          <w:rFonts w:ascii="Arial" w:hAnsi="Arial" w:cs="Arial"/>
        </w:rPr>
      </w:pPr>
    </w:p>
    <w:p w14:paraId="6875159E" w14:textId="77777777" w:rsidR="00AE0BDF" w:rsidRDefault="00AE0BDF" w:rsidP="00AE0BDF">
      <w:pPr>
        <w:spacing w:after="0" w:line="480" w:lineRule="auto"/>
        <w:jc w:val="both"/>
        <w:rPr>
          <w:rFonts w:ascii="Arial" w:hAnsi="Arial" w:cs="Arial"/>
        </w:rPr>
      </w:pPr>
    </w:p>
    <w:p w14:paraId="4D86EDC6" w14:textId="77777777" w:rsidR="00E14C76" w:rsidRDefault="00E14C76" w:rsidP="00AE0BDF">
      <w:pPr>
        <w:spacing w:after="0" w:line="480" w:lineRule="auto"/>
        <w:jc w:val="both"/>
        <w:rPr>
          <w:rFonts w:ascii="Arial" w:hAnsi="Arial" w:cs="Arial"/>
        </w:rPr>
      </w:pPr>
    </w:p>
    <w:p w14:paraId="28B79306" w14:textId="4C5C922E" w:rsidR="00574D3C" w:rsidRPr="00574D3C" w:rsidRDefault="00E14C76" w:rsidP="00AE0BDF">
      <w:pPr>
        <w:spacing w:after="0" w:line="480" w:lineRule="auto"/>
        <w:jc w:val="both"/>
        <w:rPr>
          <w:rFonts w:ascii="Arial" w:hAnsi="Arial" w:cs="Arial"/>
        </w:rPr>
      </w:pPr>
      <w:r>
        <w:rPr>
          <w:rFonts w:ascii="Arial" w:hAnsi="Arial" w:cs="Arial"/>
        </w:rPr>
        <w:tab/>
      </w:r>
      <w:r w:rsidR="00574D3C" w:rsidRPr="00574D3C">
        <w:rPr>
          <w:rFonts w:ascii="Arial" w:hAnsi="Arial" w:cs="Arial"/>
        </w:rPr>
        <w:t>Overall, the qualitative findings under Humanitarian Response strongly reinforce the very high quantitative result (M = 4.57, SD = 0.53), highlighting that disaster preparedness and response are fundamentally anchored on the prioritization of life safety. The role of schools as evacuation centers and the strict adherence to standardized reporting protocols demonstrate that safeguarding students and personnel is consistently practiced in real situations. These insights confirm that the high level of preparedness reflected in the quantitative data is deeply rooted in structured, life-centered, and community-responsive actions during disasters.</w:t>
      </w:r>
    </w:p>
    <w:p w14:paraId="6ECB2FBA" w14:textId="03929054" w:rsidR="00AE0BDF" w:rsidRDefault="00AE0BDF" w:rsidP="00AE0BDF">
      <w:pPr>
        <w:spacing w:after="0" w:line="480" w:lineRule="auto"/>
        <w:jc w:val="both"/>
        <w:rPr>
          <w:rFonts w:ascii="Arial" w:hAnsi="Arial" w:cs="Arial"/>
          <w:i/>
          <w:iCs/>
        </w:rPr>
      </w:pPr>
      <w:r w:rsidRPr="001308E7">
        <w:rPr>
          <w:rFonts w:ascii="Arial" w:hAnsi="Arial" w:cs="Arial"/>
          <w:i/>
          <w:iCs/>
        </w:rPr>
        <w:t>Theme 2: Instructional Continuity</w:t>
      </w:r>
    </w:p>
    <w:p w14:paraId="03F2F0E7" w14:textId="1CE308D8" w:rsidR="00AE0BDF" w:rsidRPr="001308E7" w:rsidRDefault="00AE0BDF" w:rsidP="00AE0BDF">
      <w:pPr>
        <w:spacing w:after="0" w:line="480" w:lineRule="auto"/>
        <w:jc w:val="both"/>
        <w:rPr>
          <w:rFonts w:ascii="Arial" w:hAnsi="Arial" w:cs="Arial"/>
        </w:rPr>
      </w:pPr>
      <w:r>
        <w:rPr>
          <w:rFonts w:ascii="Arial" w:hAnsi="Arial" w:cs="Arial"/>
        </w:rPr>
        <w:tab/>
      </w:r>
      <w:r w:rsidR="00574D3C" w:rsidRPr="00574D3C">
        <w:rPr>
          <w:rFonts w:ascii="Arial" w:hAnsi="Arial" w:cs="Arial"/>
        </w:rPr>
        <w:t>The core ideas under Instructional Continuity focus on the implementation of alternative delivery modes and the flexible use of classrooms to ensure that learning continues even during disaster situations. This also includes the ongoing monitoring of student learning to ensure that educational progress is maintained despite disruptions. Participants highlighted that schools adopt adaptable instructional arrangements to minimize learning loss and sustain academic engagement during emergencies. These measures demonstrate a commitment to maintaining educational continuity amid challenging circumstances.</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07B0C0D0" w14:textId="77777777" w:rsidTr="00B10240">
        <w:trPr>
          <w:trHeight w:val="170"/>
        </w:trPr>
        <w:tc>
          <w:tcPr>
            <w:tcW w:w="6536" w:type="dxa"/>
          </w:tcPr>
          <w:p w14:paraId="1A108AFD" w14:textId="77777777" w:rsidR="00AE0BDF" w:rsidRPr="001308E7"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t>“</w:t>
            </w:r>
            <w:r w:rsidRPr="001308E7">
              <w:rPr>
                <w:rFonts w:ascii="Arial" w:hAnsi="Arial" w:cs="Arial"/>
                <w:sz w:val="22"/>
                <w:szCs w:val="22"/>
              </w:rPr>
              <w:t xml:space="preserve">The </w:t>
            </w:r>
            <w:r w:rsidRPr="006067D7">
              <w:rPr>
                <w:rFonts w:ascii="Arial" w:hAnsi="Arial" w:cs="Arial"/>
                <w:b/>
                <w:bCs/>
                <w:sz w:val="22"/>
                <w:szCs w:val="22"/>
              </w:rPr>
              <w:t>ADM will take over to ensure continuity of learning</w:t>
            </w:r>
            <w:r w:rsidRPr="001308E7">
              <w:rPr>
                <w:rFonts w:ascii="Arial" w:hAnsi="Arial" w:cs="Arial"/>
                <w:sz w:val="22"/>
                <w:szCs w:val="22"/>
              </w:rPr>
              <w:t xml:space="preserve">... if classes are suspended, </w:t>
            </w:r>
            <w:r w:rsidRPr="006067D7">
              <w:rPr>
                <w:rFonts w:ascii="Arial" w:hAnsi="Arial" w:cs="Arial"/>
                <w:b/>
                <w:bCs/>
                <w:sz w:val="22"/>
                <w:szCs w:val="22"/>
              </w:rPr>
              <w:t>the ADM is utilized</w:t>
            </w:r>
            <w:r w:rsidRPr="001308E7">
              <w:rPr>
                <w:rFonts w:ascii="Arial" w:hAnsi="Arial" w:cs="Arial"/>
                <w:sz w:val="22"/>
                <w:szCs w:val="22"/>
              </w:rPr>
              <w:t>.”</w:t>
            </w:r>
            <w:r w:rsidRPr="006231F6">
              <w:rPr>
                <w:rFonts w:ascii="Arial" w:hAnsi="Arial" w:cs="Arial"/>
                <w:sz w:val="22"/>
                <w:szCs w:val="22"/>
              </w:rPr>
              <w:t xml:space="preserve"> (SH_5)</w:t>
            </w:r>
          </w:p>
        </w:tc>
      </w:tr>
    </w:tbl>
    <w:p w14:paraId="22E1A82E" w14:textId="77777777" w:rsidR="00AE0BDF" w:rsidRDefault="00AE0BDF" w:rsidP="00AE0BDF">
      <w:pPr>
        <w:spacing w:after="0" w:line="480" w:lineRule="auto"/>
        <w:jc w:val="both"/>
        <w:rPr>
          <w:rFonts w:ascii="Arial" w:hAnsi="Arial" w:cs="Arial"/>
        </w:rPr>
      </w:pPr>
    </w:p>
    <w:p w14:paraId="68715F88" w14:textId="71A0AB08" w:rsidR="00AE0BDF" w:rsidRDefault="00AE0BDF" w:rsidP="00574D3C">
      <w:pPr>
        <w:tabs>
          <w:tab w:val="left" w:pos="3251"/>
        </w:tabs>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7C8F6BD8" w14:textId="77777777" w:rsidTr="00B10240">
        <w:trPr>
          <w:trHeight w:val="170"/>
        </w:trPr>
        <w:tc>
          <w:tcPr>
            <w:tcW w:w="6536" w:type="dxa"/>
          </w:tcPr>
          <w:p w14:paraId="606ACEE1" w14:textId="77777777" w:rsidR="00AE0BDF" w:rsidRPr="001308E7"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lastRenderedPageBreak/>
              <w:t>“</w:t>
            </w:r>
            <w:r w:rsidRPr="001308E7">
              <w:rPr>
                <w:rFonts w:ascii="Arial" w:hAnsi="Arial" w:cs="Arial"/>
                <w:sz w:val="22"/>
                <w:szCs w:val="22"/>
              </w:rPr>
              <w:t xml:space="preserve">Advisers are </w:t>
            </w:r>
            <w:r w:rsidRPr="006067D7">
              <w:rPr>
                <w:rFonts w:ascii="Arial" w:hAnsi="Arial" w:cs="Arial"/>
                <w:b/>
                <w:bCs/>
                <w:sz w:val="22"/>
                <w:szCs w:val="22"/>
              </w:rPr>
              <w:t>tasked to ask updates from their students</w:t>
            </w:r>
            <w:r w:rsidRPr="001308E7">
              <w:rPr>
                <w:rFonts w:ascii="Arial" w:hAnsi="Arial" w:cs="Arial"/>
                <w:sz w:val="22"/>
                <w:szCs w:val="22"/>
              </w:rPr>
              <w:t xml:space="preserve">... modular learning </w:t>
            </w:r>
            <w:r w:rsidRPr="006067D7">
              <w:rPr>
                <w:rFonts w:ascii="Arial" w:hAnsi="Arial" w:cs="Arial"/>
                <w:b/>
                <w:bCs/>
                <w:sz w:val="22"/>
                <w:szCs w:val="22"/>
              </w:rPr>
              <w:t>modality is utilized</w:t>
            </w:r>
            <w:r w:rsidRPr="001308E7">
              <w:rPr>
                <w:rFonts w:ascii="Arial" w:hAnsi="Arial" w:cs="Arial"/>
                <w:sz w:val="22"/>
                <w:szCs w:val="22"/>
              </w:rPr>
              <w:t>.” (DRR_C3)</w:t>
            </w:r>
          </w:p>
        </w:tc>
      </w:tr>
    </w:tbl>
    <w:p w14:paraId="25294311" w14:textId="77777777" w:rsidR="00AE0BDF" w:rsidRDefault="00AE0BDF" w:rsidP="00AE0BDF">
      <w:pPr>
        <w:spacing w:after="0" w:line="480" w:lineRule="auto"/>
        <w:jc w:val="both"/>
        <w:rPr>
          <w:rFonts w:ascii="Arial" w:hAnsi="Arial" w:cs="Arial"/>
        </w:rPr>
      </w:pPr>
    </w:p>
    <w:p w14:paraId="46257A55" w14:textId="01B2C97D" w:rsidR="00574D3C" w:rsidRPr="00574D3C" w:rsidRDefault="00574D3C" w:rsidP="00574D3C">
      <w:pPr>
        <w:tabs>
          <w:tab w:val="left" w:pos="2695"/>
        </w:tabs>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1AD8BEE5" w14:textId="77777777" w:rsidTr="00B10240">
        <w:trPr>
          <w:trHeight w:val="170"/>
        </w:trPr>
        <w:tc>
          <w:tcPr>
            <w:tcW w:w="6536" w:type="dxa"/>
          </w:tcPr>
          <w:p w14:paraId="08AAC874" w14:textId="77777777" w:rsidR="00AE0BDF" w:rsidRPr="001308E7"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t>“</w:t>
            </w:r>
            <w:r w:rsidRPr="001308E7">
              <w:rPr>
                <w:rFonts w:ascii="Arial" w:hAnsi="Arial" w:cs="Arial"/>
                <w:sz w:val="22"/>
                <w:szCs w:val="22"/>
              </w:rPr>
              <w:t xml:space="preserve">We always </w:t>
            </w:r>
            <w:r w:rsidRPr="006067D7">
              <w:rPr>
                <w:rFonts w:ascii="Arial" w:hAnsi="Arial" w:cs="Arial"/>
                <w:b/>
                <w:bCs/>
                <w:sz w:val="22"/>
                <w:szCs w:val="22"/>
              </w:rPr>
              <w:t>provide feedbacks</w:t>
            </w:r>
            <w:r w:rsidRPr="001308E7">
              <w:rPr>
                <w:rFonts w:ascii="Arial" w:hAnsi="Arial" w:cs="Arial"/>
                <w:sz w:val="22"/>
                <w:szCs w:val="22"/>
              </w:rPr>
              <w:t xml:space="preserve">… how many learners have undergone modular modality… What we usually practice is the </w:t>
            </w:r>
            <w:r w:rsidRPr="006067D7">
              <w:rPr>
                <w:rFonts w:ascii="Arial" w:hAnsi="Arial" w:cs="Arial"/>
                <w:b/>
                <w:bCs/>
                <w:sz w:val="22"/>
                <w:szCs w:val="22"/>
              </w:rPr>
              <w:t>giving of modules through online</w:t>
            </w:r>
            <w:r w:rsidRPr="001308E7">
              <w:rPr>
                <w:rFonts w:ascii="Arial" w:hAnsi="Arial" w:cs="Arial"/>
                <w:sz w:val="22"/>
                <w:szCs w:val="22"/>
              </w:rPr>
              <w:t>.” (SH_3)</w:t>
            </w:r>
          </w:p>
        </w:tc>
      </w:tr>
    </w:tbl>
    <w:p w14:paraId="082005E0" w14:textId="77777777" w:rsidR="00AE0BDF" w:rsidRDefault="00AE0BDF" w:rsidP="00AE0BDF">
      <w:pPr>
        <w:spacing w:after="0" w:line="480" w:lineRule="auto"/>
        <w:jc w:val="both"/>
        <w:rPr>
          <w:rFonts w:ascii="Arial" w:hAnsi="Arial" w:cs="Arial"/>
        </w:rPr>
      </w:pPr>
    </w:p>
    <w:p w14:paraId="47528DC1" w14:textId="77777777" w:rsidR="00476445" w:rsidRDefault="00476445" w:rsidP="00AE0BDF">
      <w:pPr>
        <w:spacing w:after="0" w:line="480" w:lineRule="auto"/>
        <w:jc w:val="both"/>
        <w:rPr>
          <w:rFonts w:ascii="Arial" w:hAnsi="Arial" w:cs="Arial"/>
        </w:rPr>
      </w:pPr>
    </w:p>
    <w:p w14:paraId="41B50410" w14:textId="77777777" w:rsidR="006067D7" w:rsidRDefault="006067D7" w:rsidP="00AE0BDF">
      <w:pPr>
        <w:spacing w:after="0" w:line="480" w:lineRule="auto"/>
        <w:jc w:val="both"/>
        <w:rPr>
          <w:rFonts w:ascii="Arial" w:hAnsi="Arial" w:cs="Arial"/>
        </w:rPr>
      </w:pPr>
    </w:p>
    <w:p w14:paraId="11D71488" w14:textId="725FF5EE" w:rsidR="00574D3C" w:rsidRPr="00574D3C" w:rsidRDefault="00574D3C" w:rsidP="00AE0BDF">
      <w:pPr>
        <w:spacing w:after="0" w:line="480" w:lineRule="auto"/>
        <w:jc w:val="both"/>
        <w:rPr>
          <w:rFonts w:ascii="Arial" w:hAnsi="Arial" w:cs="Arial"/>
        </w:rPr>
      </w:pPr>
      <w:r>
        <w:rPr>
          <w:rFonts w:ascii="Arial" w:hAnsi="Arial" w:cs="Arial"/>
        </w:rPr>
        <w:tab/>
      </w:r>
      <w:r w:rsidRPr="00574D3C">
        <w:rPr>
          <w:rFonts w:ascii="Arial" w:hAnsi="Arial" w:cs="Arial"/>
        </w:rPr>
        <w:t>The theme Instructional Continuity also aligns with the very high quantitative result (M = 4.57, SD = 0.53), showing that schools are able to sustain learning despite disaster disruptions. The implementation of alternative delivery modes, flexible classroom arrangements, and continuous monitoring of student learning reflect a strong commitment to maintaining educational progress under emergency conditions. These qualitative insights support the quantitative findings by demonstrating that preparedness is not only about safety response but also about ensuring uninterrupted learning through adaptive academic strategies.</w:t>
      </w:r>
    </w:p>
    <w:p w14:paraId="3171F9B0" w14:textId="67145393" w:rsidR="00AE0BDF" w:rsidRPr="005548DA" w:rsidRDefault="00AE0BDF" w:rsidP="00AE0BDF">
      <w:pPr>
        <w:spacing w:after="0" w:line="480" w:lineRule="auto"/>
        <w:jc w:val="both"/>
        <w:rPr>
          <w:rFonts w:ascii="Arial" w:hAnsi="Arial" w:cs="Arial"/>
          <w:i/>
          <w:iCs/>
        </w:rPr>
      </w:pPr>
      <w:r w:rsidRPr="005548DA">
        <w:rPr>
          <w:rFonts w:ascii="Arial" w:hAnsi="Arial" w:cs="Arial"/>
          <w:i/>
          <w:iCs/>
        </w:rPr>
        <w:t>Theme 3: Adaptive Learning Strategies</w:t>
      </w:r>
    </w:p>
    <w:p w14:paraId="09461011" w14:textId="34389AF7" w:rsidR="00AE0BDF" w:rsidRDefault="00AE0BDF" w:rsidP="00AE0BDF">
      <w:pPr>
        <w:spacing w:after="0" w:line="480" w:lineRule="auto"/>
        <w:jc w:val="both"/>
        <w:rPr>
          <w:rFonts w:ascii="Arial" w:hAnsi="Arial" w:cs="Arial"/>
        </w:rPr>
      </w:pPr>
      <w:r>
        <w:rPr>
          <w:rFonts w:ascii="Arial" w:hAnsi="Arial" w:cs="Arial"/>
        </w:rPr>
        <w:tab/>
      </w:r>
      <w:r w:rsidR="00574D3C" w:rsidRPr="00574D3C">
        <w:rPr>
          <w:rFonts w:ascii="Arial" w:hAnsi="Arial" w:cs="Arial"/>
        </w:rPr>
        <w:t>The core ideas under Adaptive Learning Strategies emphasize the use of flexible instructional approaches and learning resources to support continuous student engagement during disaster events. This includes adjusting teaching methods to suit emergency conditions and ensuring that students remain actively involved in learning activities despite disruptions. In addition, participants noted the importance of monitoring student progress and welfare to address both academic and psychosocial needs during crises. These strategies reflect a responsive and learner-centered approach that supports resilience in education during disaster situations.</w:t>
      </w: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547C01DC" w14:textId="77777777" w:rsidTr="00B10240">
        <w:trPr>
          <w:trHeight w:val="2240"/>
        </w:trPr>
        <w:tc>
          <w:tcPr>
            <w:tcW w:w="6536" w:type="dxa"/>
          </w:tcPr>
          <w:p w14:paraId="5FE30FA6"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lastRenderedPageBreak/>
              <w:t>“</w:t>
            </w:r>
            <w:r w:rsidRPr="00477CE7">
              <w:rPr>
                <w:rFonts w:ascii="Arial" w:hAnsi="Arial" w:cs="Arial"/>
                <w:sz w:val="22"/>
                <w:szCs w:val="22"/>
              </w:rPr>
              <w:t xml:space="preserve">Ang impact </w:t>
            </w:r>
            <w:proofErr w:type="spellStart"/>
            <w:r w:rsidRPr="00477CE7">
              <w:rPr>
                <w:rFonts w:ascii="Arial" w:hAnsi="Arial" w:cs="Arial"/>
                <w:sz w:val="22"/>
                <w:szCs w:val="22"/>
              </w:rPr>
              <w:t>sa</w:t>
            </w:r>
            <w:proofErr w:type="spellEnd"/>
            <w:r w:rsidRPr="00477CE7">
              <w:rPr>
                <w:rFonts w:ascii="Arial" w:hAnsi="Arial" w:cs="Arial"/>
                <w:sz w:val="22"/>
                <w:szCs w:val="22"/>
              </w:rPr>
              <w:t xml:space="preserve"> hazard </w:t>
            </w:r>
            <w:proofErr w:type="spellStart"/>
            <w:r w:rsidRPr="00477CE7">
              <w:rPr>
                <w:rFonts w:ascii="Arial" w:hAnsi="Arial" w:cs="Arial"/>
                <w:sz w:val="22"/>
                <w:szCs w:val="22"/>
              </w:rPr>
              <w:t>maka</w:t>
            </w:r>
            <w:proofErr w:type="spellEnd"/>
            <w:r w:rsidRPr="00477CE7">
              <w:rPr>
                <w:rFonts w:ascii="Arial" w:hAnsi="Arial" w:cs="Arial"/>
                <w:sz w:val="22"/>
                <w:szCs w:val="22"/>
              </w:rPr>
              <w:t xml:space="preserve"> </w:t>
            </w:r>
            <w:proofErr w:type="spellStart"/>
            <w:r w:rsidRPr="00477CE7">
              <w:rPr>
                <w:rFonts w:ascii="Arial" w:hAnsi="Arial" w:cs="Arial"/>
                <w:sz w:val="22"/>
                <w:szCs w:val="22"/>
              </w:rPr>
              <w:t>apekto</w:t>
            </w:r>
            <w:proofErr w:type="spellEnd"/>
            <w:r w:rsidRPr="00477CE7">
              <w:rPr>
                <w:rFonts w:ascii="Arial" w:hAnsi="Arial" w:cs="Arial"/>
                <w:sz w:val="22"/>
                <w:szCs w:val="22"/>
              </w:rPr>
              <w:t xml:space="preserve"> </w:t>
            </w:r>
            <w:proofErr w:type="spellStart"/>
            <w:r w:rsidRPr="00477CE7">
              <w:rPr>
                <w:rFonts w:ascii="Arial" w:hAnsi="Arial" w:cs="Arial"/>
                <w:sz w:val="22"/>
                <w:szCs w:val="22"/>
              </w:rPr>
              <w:t>sa</w:t>
            </w:r>
            <w:proofErr w:type="spellEnd"/>
            <w:r w:rsidRPr="00477CE7">
              <w:rPr>
                <w:rFonts w:ascii="Arial" w:hAnsi="Arial" w:cs="Arial"/>
                <w:sz w:val="22"/>
                <w:szCs w:val="22"/>
              </w:rPr>
              <w:t xml:space="preserve"> learners... learning ma stop so </w:t>
            </w:r>
            <w:proofErr w:type="spellStart"/>
            <w:r w:rsidRPr="00477CE7">
              <w:rPr>
                <w:rFonts w:ascii="Arial" w:hAnsi="Arial" w:cs="Arial"/>
                <w:sz w:val="22"/>
                <w:szCs w:val="22"/>
              </w:rPr>
              <w:t>mao</w:t>
            </w:r>
            <w:proofErr w:type="spellEnd"/>
            <w:r w:rsidRPr="00477CE7">
              <w:rPr>
                <w:rFonts w:ascii="Arial" w:hAnsi="Arial" w:cs="Arial"/>
                <w:sz w:val="22"/>
                <w:szCs w:val="22"/>
              </w:rPr>
              <w:t xml:space="preserve"> ng </w:t>
            </w:r>
            <w:proofErr w:type="spellStart"/>
            <w:r w:rsidRPr="00477CE7">
              <w:rPr>
                <w:rFonts w:ascii="Arial" w:hAnsi="Arial" w:cs="Arial"/>
                <w:sz w:val="22"/>
                <w:szCs w:val="22"/>
              </w:rPr>
              <w:t>mahitabo</w:t>
            </w:r>
            <w:proofErr w:type="spellEnd"/>
            <w:r w:rsidRPr="00477CE7">
              <w:rPr>
                <w:rFonts w:ascii="Arial" w:hAnsi="Arial" w:cs="Arial"/>
                <w:sz w:val="22"/>
                <w:szCs w:val="22"/>
              </w:rPr>
              <w:t xml:space="preserve"> </w:t>
            </w:r>
            <w:proofErr w:type="spellStart"/>
            <w:r w:rsidRPr="00477CE7">
              <w:rPr>
                <w:rFonts w:ascii="Arial" w:hAnsi="Arial" w:cs="Arial"/>
                <w:sz w:val="22"/>
                <w:szCs w:val="22"/>
              </w:rPr>
              <w:t>si</w:t>
            </w:r>
            <w:proofErr w:type="spellEnd"/>
            <w:r w:rsidRPr="00477CE7">
              <w:rPr>
                <w:rFonts w:ascii="Arial" w:hAnsi="Arial" w:cs="Arial"/>
                <w:sz w:val="22"/>
                <w:szCs w:val="22"/>
              </w:rPr>
              <w:t xml:space="preserve"> school </w:t>
            </w:r>
            <w:proofErr w:type="spellStart"/>
            <w:r w:rsidRPr="00477CE7">
              <w:rPr>
                <w:rFonts w:ascii="Arial" w:hAnsi="Arial" w:cs="Arial"/>
                <w:sz w:val="22"/>
                <w:szCs w:val="22"/>
              </w:rPr>
              <w:t>na</w:t>
            </w:r>
            <w:proofErr w:type="spellEnd"/>
            <w:r w:rsidRPr="00477CE7">
              <w:rPr>
                <w:rFonts w:ascii="Arial" w:hAnsi="Arial" w:cs="Arial"/>
                <w:sz w:val="22"/>
                <w:szCs w:val="22"/>
              </w:rPr>
              <w:t xml:space="preserve"> pod mag </w:t>
            </w:r>
            <w:r w:rsidRPr="003D5C84">
              <w:rPr>
                <w:rFonts w:ascii="Arial" w:hAnsi="Arial" w:cs="Arial"/>
                <w:b/>
                <w:bCs/>
                <w:sz w:val="22"/>
                <w:szCs w:val="22"/>
              </w:rPr>
              <w:t xml:space="preserve">adapt of alternative delivery mode </w:t>
            </w:r>
            <w:proofErr w:type="spellStart"/>
            <w:r w:rsidRPr="003D5C84">
              <w:rPr>
                <w:rFonts w:ascii="Arial" w:hAnsi="Arial" w:cs="Arial"/>
                <w:b/>
                <w:bCs/>
                <w:sz w:val="22"/>
                <w:szCs w:val="22"/>
              </w:rPr>
              <w:t>aron</w:t>
            </w:r>
            <w:proofErr w:type="spellEnd"/>
            <w:r w:rsidRPr="003D5C84">
              <w:rPr>
                <w:rFonts w:ascii="Arial" w:hAnsi="Arial" w:cs="Arial"/>
                <w:b/>
                <w:bCs/>
                <w:sz w:val="22"/>
                <w:szCs w:val="22"/>
              </w:rPr>
              <w:t xml:space="preserve"> </w:t>
            </w:r>
            <w:proofErr w:type="spellStart"/>
            <w:r w:rsidRPr="003D5C84">
              <w:rPr>
                <w:rFonts w:ascii="Arial" w:hAnsi="Arial" w:cs="Arial"/>
                <w:b/>
                <w:bCs/>
                <w:sz w:val="22"/>
                <w:szCs w:val="22"/>
              </w:rPr>
              <w:t>naay</w:t>
            </w:r>
            <w:proofErr w:type="spellEnd"/>
            <w:r w:rsidRPr="003D5C84">
              <w:rPr>
                <w:rFonts w:ascii="Arial" w:hAnsi="Arial" w:cs="Arial"/>
                <w:b/>
                <w:bCs/>
                <w:sz w:val="22"/>
                <w:szCs w:val="22"/>
              </w:rPr>
              <w:t xml:space="preserve"> continuous learning</w:t>
            </w:r>
            <w:r w:rsidRPr="00477CE7">
              <w:rPr>
                <w:rFonts w:ascii="Arial" w:hAnsi="Arial" w:cs="Arial"/>
                <w:sz w:val="22"/>
                <w:szCs w:val="22"/>
              </w:rPr>
              <w:t>.”</w:t>
            </w:r>
            <w:r>
              <w:rPr>
                <w:rFonts w:ascii="Arial" w:hAnsi="Arial" w:cs="Arial"/>
                <w:sz w:val="22"/>
                <w:szCs w:val="22"/>
              </w:rPr>
              <w:t xml:space="preserve"> (SH_1)</w:t>
            </w:r>
          </w:p>
          <w:p w14:paraId="24DC4B57" w14:textId="77777777" w:rsidR="00AE0BDF" w:rsidRDefault="00AE0BDF" w:rsidP="00B10240">
            <w:pPr>
              <w:spacing w:line="276" w:lineRule="auto"/>
              <w:ind w:right="1"/>
              <w:jc w:val="both"/>
              <w:rPr>
                <w:rFonts w:ascii="Arial" w:hAnsi="Arial" w:cs="Arial"/>
                <w:i/>
                <w:iCs/>
                <w:sz w:val="22"/>
                <w:szCs w:val="22"/>
              </w:rPr>
            </w:pPr>
          </w:p>
          <w:p w14:paraId="324321FF" w14:textId="77777777" w:rsidR="00AE0BDF" w:rsidRPr="005D73D0" w:rsidRDefault="00AE0BDF" w:rsidP="00B10240">
            <w:pPr>
              <w:spacing w:line="276" w:lineRule="auto"/>
              <w:ind w:right="1"/>
              <w:jc w:val="both"/>
              <w:rPr>
                <w:rFonts w:ascii="Arial" w:hAnsi="Arial" w:cs="Arial"/>
                <w:i/>
                <w:iCs/>
                <w:sz w:val="22"/>
                <w:szCs w:val="22"/>
              </w:rPr>
            </w:pPr>
            <w:r w:rsidRPr="00F46234">
              <w:rPr>
                <w:rFonts w:ascii="Arial" w:hAnsi="Arial" w:cs="Arial"/>
                <w:i/>
                <w:iCs/>
                <w:sz w:val="22"/>
                <w:szCs w:val="22"/>
              </w:rPr>
              <w:t>The impact of the hazard affects the learners. Learning may stop, so the school adapts by using Alternative Delivery Mode to ensure continuous learning.</w:t>
            </w:r>
          </w:p>
        </w:tc>
      </w:tr>
    </w:tbl>
    <w:p w14:paraId="3460470A" w14:textId="77777777" w:rsidR="00AE0BDF" w:rsidRDefault="00AE0BDF" w:rsidP="00AE0BDF">
      <w:pPr>
        <w:spacing w:after="0" w:line="480" w:lineRule="auto"/>
        <w:jc w:val="both"/>
        <w:rPr>
          <w:rFonts w:ascii="Arial" w:hAnsi="Arial" w:cs="Arial"/>
        </w:rPr>
      </w:pPr>
    </w:p>
    <w:p w14:paraId="6C92169C" w14:textId="77777777" w:rsidR="00AE0BDF" w:rsidRDefault="00AE0BDF" w:rsidP="00AE0BDF">
      <w:pPr>
        <w:spacing w:after="0" w:line="480" w:lineRule="auto"/>
        <w:jc w:val="both"/>
        <w:rPr>
          <w:rFonts w:ascii="Arial" w:hAnsi="Arial" w:cs="Arial"/>
        </w:rPr>
      </w:pPr>
    </w:p>
    <w:p w14:paraId="3B7A3F8E" w14:textId="77777777" w:rsidR="00AE0BDF" w:rsidRDefault="00AE0BDF" w:rsidP="00AE0BDF">
      <w:pPr>
        <w:spacing w:after="0" w:line="480" w:lineRule="auto"/>
        <w:jc w:val="both"/>
        <w:rPr>
          <w:rFonts w:ascii="Arial" w:hAnsi="Arial" w:cs="Arial"/>
        </w:rPr>
      </w:pPr>
    </w:p>
    <w:p w14:paraId="5BE4FF2E" w14:textId="77777777" w:rsidR="00AE0BDF" w:rsidRDefault="00AE0BDF" w:rsidP="00AE0BDF">
      <w:pPr>
        <w:spacing w:after="0" w:line="480" w:lineRule="auto"/>
        <w:jc w:val="both"/>
        <w:rPr>
          <w:rFonts w:ascii="Arial" w:hAnsi="Arial" w:cs="Arial"/>
        </w:rPr>
      </w:pPr>
    </w:p>
    <w:p w14:paraId="773CC2B9" w14:textId="35B37E67" w:rsidR="00AE0BDF" w:rsidRDefault="00AE0BDF" w:rsidP="00574D3C">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3D09CC5B" w14:textId="77777777" w:rsidTr="00B10240">
        <w:trPr>
          <w:trHeight w:val="714"/>
        </w:trPr>
        <w:tc>
          <w:tcPr>
            <w:tcW w:w="6536" w:type="dxa"/>
          </w:tcPr>
          <w:p w14:paraId="7107385A" w14:textId="77777777" w:rsidR="00AE0BDF" w:rsidRPr="00F46234" w:rsidRDefault="00AE0BDF" w:rsidP="00B10240">
            <w:pPr>
              <w:spacing w:line="276" w:lineRule="auto"/>
              <w:ind w:right="1"/>
              <w:jc w:val="both"/>
              <w:rPr>
                <w:rFonts w:ascii="Arial" w:hAnsi="Arial" w:cs="Arial"/>
                <w:b/>
                <w:bCs/>
                <w:sz w:val="22"/>
                <w:szCs w:val="22"/>
              </w:rPr>
            </w:pPr>
            <w:r w:rsidRPr="005D73D0">
              <w:rPr>
                <w:rFonts w:ascii="Arial" w:hAnsi="Arial" w:cs="Arial"/>
                <w:sz w:val="22"/>
                <w:szCs w:val="22"/>
              </w:rPr>
              <w:t>“</w:t>
            </w:r>
            <w:r w:rsidRPr="003D5C84">
              <w:rPr>
                <w:rFonts w:ascii="Arial" w:hAnsi="Arial" w:cs="Arial"/>
                <w:b/>
                <w:bCs/>
                <w:sz w:val="22"/>
                <w:szCs w:val="22"/>
              </w:rPr>
              <w:t>ADMs are implemented</w:t>
            </w:r>
            <w:r w:rsidRPr="00F46234">
              <w:rPr>
                <w:rFonts w:ascii="Arial" w:hAnsi="Arial" w:cs="Arial"/>
                <w:sz w:val="22"/>
                <w:szCs w:val="22"/>
              </w:rPr>
              <w:t xml:space="preserve"> and classroom use is </w:t>
            </w:r>
            <w:r w:rsidRPr="003D5C84">
              <w:rPr>
                <w:rFonts w:ascii="Arial" w:hAnsi="Arial" w:cs="Arial"/>
                <w:b/>
                <w:bCs/>
                <w:sz w:val="22"/>
                <w:szCs w:val="22"/>
              </w:rPr>
              <w:t>flexible to balance learning continuity with evacuation needs</w:t>
            </w:r>
            <w:r w:rsidRPr="00F46234">
              <w:rPr>
                <w:rFonts w:ascii="Arial" w:hAnsi="Arial" w:cs="Arial"/>
                <w:sz w:val="22"/>
                <w:szCs w:val="22"/>
              </w:rPr>
              <w:t>.” (DRR_C2)</w:t>
            </w:r>
          </w:p>
        </w:tc>
      </w:tr>
    </w:tbl>
    <w:p w14:paraId="3BF19C0C" w14:textId="77777777" w:rsidR="00AE0BDF" w:rsidRDefault="00AE0BDF" w:rsidP="00AE0BDF">
      <w:pPr>
        <w:spacing w:after="0" w:line="480" w:lineRule="auto"/>
        <w:jc w:val="both"/>
        <w:rPr>
          <w:rFonts w:ascii="Arial" w:hAnsi="Arial" w:cs="Arial"/>
        </w:rPr>
      </w:pPr>
    </w:p>
    <w:p w14:paraId="0778C327" w14:textId="77777777" w:rsidR="00AE0BDF" w:rsidRDefault="00AE0BDF" w:rsidP="00AE0BDF">
      <w:pPr>
        <w:spacing w:after="0" w:line="480" w:lineRule="auto"/>
        <w:jc w:val="both"/>
        <w:rPr>
          <w:rFonts w:ascii="Arial" w:hAnsi="Arial" w:cs="Arial"/>
          <w:b/>
          <w:bCs/>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63CA4A63" w14:textId="77777777" w:rsidTr="00B10240">
        <w:trPr>
          <w:trHeight w:val="2240"/>
        </w:trPr>
        <w:tc>
          <w:tcPr>
            <w:tcW w:w="6536" w:type="dxa"/>
          </w:tcPr>
          <w:p w14:paraId="3EE37201" w14:textId="77777777" w:rsidR="00AE0BDF"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CC2B3C">
              <w:rPr>
                <w:rFonts w:ascii="Arial" w:hAnsi="Arial" w:cs="Arial"/>
                <w:sz w:val="22"/>
                <w:szCs w:val="22"/>
              </w:rPr>
              <w:t xml:space="preserve">Since the preparedness is advance </w:t>
            </w:r>
            <w:proofErr w:type="spellStart"/>
            <w:r w:rsidRPr="00CC2B3C">
              <w:rPr>
                <w:rFonts w:ascii="Arial" w:hAnsi="Arial" w:cs="Arial"/>
                <w:sz w:val="22"/>
                <w:szCs w:val="22"/>
              </w:rPr>
              <w:t>maka</w:t>
            </w:r>
            <w:proofErr w:type="spellEnd"/>
            <w:r w:rsidRPr="00CC2B3C">
              <w:rPr>
                <w:rFonts w:ascii="Arial" w:hAnsi="Arial" w:cs="Arial"/>
                <w:sz w:val="22"/>
                <w:szCs w:val="22"/>
              </w:rPr>
              <w:t xml:space="preserve"> </w:t>
            </w:r>
            <w:r w:rsidRPr="003D5C84">
              <w:rPr>
                <w:rFonts w:ascii="Arial" w:hAnsi="Arial" w:cs="Arial"/>
                <w:b/>
                <w:bCs/>
                <w:sz w:val="22"/>
                <w:szCs w:val="22"/>
              </w:rPr>
              <w:t xml:space="preserve">prepare </w:t>
            </w:r>
            <w:proofErr w:type="spellStart"/>
            <w:r w:rsidRPr="003D5C84">
              <w:rPr>
                <w:rFonts w:ascii="Arial" w:hAnsi="Arial" w:cs="Arial"/>
                <w:b/>
                <w:bCs/>
                <w:sz w:val="22"/>
                <w:szCs w:val="22"/>
              </w:rPr>
              <w:t>na</w:t>
            </w:r>
            <w:proofErr w:type="spellEnd"/>
            <w:r w:rsidRPr="003D5C84">
              <w:rPr>
                <w:rFonts w:ascii="Arial" w:hAnsi="Arial" w:cs="Arial"/>
                <w:b/>
                <w:bCs/>
                <w:sz w:val="22"/>
                <w:szCs w:val="22"/>
              </w:rPr>
              <w:t xml:space="preserve"> ang </w:t>
            </w:r>
            <w:proofErr w:type="spellStart"/>
            <w:r w:rsidRPr="003D5C84">
              <w:rPr>
                <w:rFonts w:ascii="Arial" w:hAnsi="Arial" w:cs="Arial"/>
                <w:b/>
                <w:bCs/>
                <w:sz w:val="22"/>
                <w:szCs w:val="22"/>
              </w:rPr>
              <w:t>mga</w:t>
            </w:r>
            <w:proofErr w:type="spellEnd"/>
            <w:r w:rsidRPr="003D5C84">
              <w:rPr>
                <w:rFonts w:ascii="Arial" w:hAnsi="Arial" w:cs="Arial"/>
                <w:b/>
                <w:bCs/>
                <w:sz w:val="22"/>
                <w:szCs w:val="22"/>
              </w:rPr>
              <w:t xml:space="preserve"> bata.</w:t>
            </w:r>
            <w:r w:rsidRPr="00CC2B3C">
              <w:rPr>
                <w:rFonts w:ascii="Arial" w:hAnsi="Arial" w:cs="Arial"/>
                <w:sz w:val="22"/>
                <w:szCs w:val="22"/>
              </w:rPr>
              <w:t xml:space="preserve"> Og ang ka </w:t>
            </w:r>
            <w:proofErr w:type="spellStart"/>
            <w:r w:rsidRPr="00CC2B3C">
              <w:rPr>
                <w:rFonts w:ascii="Arial" w:hAnsi="Arial" w:cs="Arial"/>
                <w:sz w:val="22"/>
                <w:szCs w:val="22"/>
              </w:rPr>
              <w:t>nindot</w:t>
            </w:r>
            <w:proofErr w:type="spellEnd"/>
            <w:r w:rsidRPr="00CC2B3C">
              <w:rPr>
                <w:rFonts w:ascii="Arial" w:hAnsi="Arial" w:cs="Arial"/>
                <w:sz w:val="22"/>
                <w:szCs w:val="22"/>
              </w:rPr>
              <w:t xml:space="preserve"> kay ang </w:t>
            </w:r>
            <w:proofErr w:type="spellStart"/>
            <w:r w:rsidRPr="00CC2B3C">
              <w:rPr>
                <w:rFonts w:ascii="Arial" w:hAnsi="Arial" w:cs="Arial"/>
                <w:sz w:val="22"/>
                <w:szCs w:val="22"/>
              </w:rPr>
              <w:t>mga</w:t>
            </w:r>
            <w:proofErr w:type="spellEnd"/>
            <w:r w:rsidRPr="00CC2B3C">
              <w:rPr>
                <w:rFonts w:ascii="Arial" w:hAnsi="Arial" w:cs="Arial"/>
                <w:sz w:val="22"/>
                <w:szCs w:val="22"/>
              </w:rPr>
              <w:t xml:space="preserve"> </w:t>
            </w:r>
            <w:proofErr w:type="gramStart"/>
            <w:r w:rsidRPr="00CC2B3C">
              <w:rPr>
                <w:rFonts w:ascii="Arial" w:hAnsi="Arial" w:cs="Arial"/>
                <w:sz w:val="22"/>
                <w:szCs w:val="22"/>
              </w:rPr>
              <w:t>teachers</w:t>
            </w:r>
            <w:proofErr w:type="gramEnd"/>
            <w:r w:rsidRPr="00CC2B3C">
              <w:rPr>
                <w:rFonts w:ascii="Arial" w:hAnsi="Arial" w:cs="Arial"/>
                <w:sz w:val="22"/>
                <w:szCs w:val="22"/>
              </w:rPr>
              <w:t xml:space="preserve"> </w:t>
            </w:r>
            <w:r w:rsidRPr="003D5C84">
              <w:rPr>
                <w:rFonts w:ascii="Arial" w:hAnsi="Arial" w:cs="Arial"/>
                <w:b/>
                <w:bCs/>
                <w:sz w:val="22"/>
                <w:szCs w:val="22"/>
              </w:rPr>
              <w:t xml:space="preserve">mag </w:t>
            </w:r>
            <w:proofErr w:type="spellStart"/>
            <w:r w:rsidRPr="003D5C84">
              <w:rPr>
                <w:rFonts w:ascii="Arial" w:hAnsi="Arial" w:cs="Arial"/>
                <w:b/>
                <w:bCs/>
                <w:sz w:val="22"/>
                <w:szCs w:val="22"/>
              </w:rPr>
              <w:t>hatag</w:t>
            </w:r>
            <w:proofErr w:type="spellEnd"/>
            <w:r w:rsidRPr="003D5C84">
              <w:rPr>
                <w:rFonts w:ascii="Arial" w:hAnsi="Arial" w:cs="Arial"/>
                <w:b/>
                <w:bCs/>
                <w:sz w:val="22"/>
                <w:szCs w:val="22"/>
              </w:rPr>
              <w:t xml:space="preserve"> </w:t>
            </w:r>
            <w:proofErr w:type="spellStart"/>
            <w:r w:rsidRPr="003D5C84">
              <w:rPr>
                <w:rFonts w:ascii="Arial" w:hAnsi="Arial" w:cs="Arial"/>
                <w:b/>
                <w:bCs/>
                <w:sz w:val="22"/>
                <w:szCs w:val="22"/>
              </w:rPr>
              <w:t>na</w:t>
            </w:r>
            <w:proofErr w:type="spellEnd"/>
            <w:r w:rsidRPr="003D5C84">
              <w:rPr>
                <w:rFonts w:ascii="Arial" w:hAnsi="Arial" w:cs="Arial"/>
                <w:b/>
                <w:bCs/>
                <w:sz w:val="22"/>
                <w:szCs w:val="22"/>
              </w:rPr>
              <w:t xml:space="preserve"> </w:t>
            </w:r>
            <w:proofErr w:type="spellStart"/>
            <w:r w:rsidRPr="003D5C84">
              <w:rPr>
                <w:rFonts w:ascii="Arial" w:hAnsi="Arial" w:cs="Arial"/>
                <w:b/>
                <w:bCs/>
                <w:sz w:val="22"/>
                <w:szCs w:val="22"/>
              </w:rPr>
              <w:t>og</w:t>
            </w:r>
            <w:proofErr w:type="spellEnd"/>
            <w:r w:rsidRPr="003D5C84">
              <w:rPr>
                <w:rFonts w:ascii="Arial" w:hAnsi="Arial" w:cs="Arial"/>
                <w:b/>
                <w:bCs/>
                <w:sz w:val="22"/>
                <w:szCs w:val="22"/>
              </w:rPr>
              <w:t xml:space="preserve"> advance materials and activities</w:t>
            </w:r>
            <w:r w:rsidRPr="00CC2B3C">
              <w:rPr>
                <w:rFonts w:ascii="Arial" w:hAnsi="Arial" w:cs="Arial"/>
                <w:sz w:val="22"/>
                <w:szCs w:val="22"/>
              </w:rPr>
              <w:t xml:space="preserve"> </w:t>
            </w:r>
            <w:proofErr w:type="spellStart"/>
            <w:r w:rsidRPr="00CC2B3C">
              <w:rPr>
                <w:rFonts w:ascii="Arial" w:hAnsi="Arial" w:cs="Arial"/>
                <w:sz w:val="22"/>
                <w:szCs w:val="22"/>
              </w:rPr>
              <w:t>labi</w:t>
            </w:r>
            <w:proofErr w:type="spellEnd"/>
            <w:r w:rsidRPr="00CC2B3C">
              <w:rPr>
                <w:rFonts w:ascii="Arial" w:hAnsi="Arial" w:cs="Arial"/>
                <w:sz w:val="22"/>
                <w:szCs w:val="22"/>
              </w:rPr>
              <w:t xml:space="preserve"> </w:t>
            </w:r>
            <w:proofErr w:type="spellStart"/>
            <w:r w:rsidRPr="00CC2B3C">
              <w:rPr>
                <w:rFonts w:ascii="Arial" w:hAnsi="Arial" w:cs="Arial"/>
                <w:sz w:val="22"/>
                <w:szCs w:val="22"/>
              </w:rPr>
              <w:t>na</w:t>
            </w:r>
            <w:proofErr w:type="spellEnd"/>
            <w:r w:rsidRPr="00CC2B3C">
              <w:rPr>
                <w:rFonts w:ascii="Arial" w:hAnsi="Arial" w:cs="Arial"/>
                <w:sz w:val="22"/>
                <w:szCs w:val="22"/>
              </w:rPr>
              <w:t xml:space="preserve"> ang </w:t>
            </w:r>
            <w:proofErr w:type="spellStart"/>
            <w:r w:rsidRPr="00CC2B3C">
              <w:rPr>
                <w:rFonts w:ascii="Arial" w:hAnsi="Arial" w:cs="Arial"/>
                <w:sz w:val="22"/>
                <w:szCs w:val="22"/>
              </w:rPr>
              <w:t>mga</w:t>
            </w:r>
            <w:proofErr w:type="spellEnd"/>
            <w:r w:rsidRPr="00CC2B3C">
              <w:rPr>
                <w:rFonts w:ascii="Arial" w:hAnsi="Arial" w:cs="Arial"/>
                <w:sz w:val="22"/>
                <w:szCs w:val="22"/>
              </w:rPr>
              <w:t xml:space="preserve"> </w:t>
            </w:r>
            <w:r w:rsidRPr="003D5C84">
              <w:rPr>
                <w:rFonts w:ascii="Arial" w:hAnsi="Arial" w:cs="Arial"/>
                <w:b/>
                <w:bCs/>
                <w:sz w:val="22"/>
                <w:szCs w:val="22"/>
              </w:rPr>
              <w:t xml:space="preserve">modules </w:t>
            </w:r>
            <w:proofErr w:type="spellStart"/>
            <w:r w:rsidRPr="003D5C84">
              <w:rPr>
                <w:rFonts w:ascii="Arial" w:hAnsi="Arial" w:cs="Arial"/>
                <w:b/>
                <w:bCs/>
                <w:sz w:val="22"/>
                <w:szCs w:val="22"/>
              </w:rPr>
              <w:t>sa</w:t>
            </w:r>
            <w:proofErr w:type="spellEnd"/>
            <w:r w:rsidRPr="003D5C84">
              <w:rPr>
                <w:rFonts w:ascii="Arial" w:hAnsi="Arial" w:cs="Arial"/>
                <w:b/>
                <w:bCs/>
                <w:sz w:val="22"/>
                <w:szCs w:val="22"/>
              </w:rPr>
              <w:t xml:space="preserve"> </w:t>
            </w:r>
            <w:proofErr w:type="spellStart"/>
            <w:r w:rsidRPr="003D5C84">
              <w:rPr>
                <w:rFonts w:ascii="Arial" w:hAnsi="Arial" w:cs="Arial"/>
                <w:b/>
                <w:bCs/>
                <w:sz w:val="22"/>
                <w:szCs w:val="22"/>
              </w:rPr>
              <w:t>mga</w:t>
            </w:r>
            <w:proofErr w:type="spellEnd"/>
            <w:r w:rsidRPr="003D5C84">
              <w:rPr>
                <w:rFonts w:ascii="Arial" w:hAnsi="Arial" w:cs="Arial"/>
                <w:b/>
                <w:bCs/>
                <w:sz w:val="22"/>
                <w:szCs w:val="22"/>
              </w:rPr>
              <w:t xml:space="preserve"> lessons</w:t>
            </w:r>
            <w:r w:rsidRPr="00CC2B3C">
              <w:rPr>
                <w:rFonts w:ascii="Arial" w:hAnsi="Arial" w:cs="Arial"/>
                <w:sz w:val="22"/>
                <w:szCs w:val="22"/>
              </w:rPr>
              <w:t>.”</w:t>
            </w:r>
            <w:r>
              <w:rPr>
                <w:rFonts w:ascii="Arial" w:hAnsi="Arial" w:cs="Arial"/>
                <w:sz w:val="22"/>
                <w:szCs w:val="22"/>
              </w:rPr>
              <w:t xml:space="preserve"> (SH_1)</w:t>
            </w:r>
          </w:p>
          <w:p w14:paraId="36996B1A" w14:textId="77777777" w:rsidR="00AE0BDF" w:rsidRDefault="00AE0BDF" w:rsidP="00B10240">
            <w:pPr>
              <w:spacing w:line="276" w:lineRule="auto"/>
              <w:ind w:right="1"/>
              <w:jc w:val="both"/>
              <w:rPr>
                <w:rFonts w:ascii="Arial" w:hAnsi="Arial" w:cs="Arial"/>
                <w:i/>
                <w:iCs/>
                <w:sz w:val="22"/>
                <w:szCs w:val="22"/>
              </w:rPr>
            </w:pPr>
          </w:p>
          <w:p w14:paraId="36AE9D03" w14:textId="77777777" w:rsidR="00AE0BDF" w:rsidRPr="005D73D0" w:rsidRDefault="00AE0BDF" w:rsidP="00B10240">
            <w:pPr>
              <w:spacing w:line="276" w:lineRule="auto"/>
              <w:ind w:right="1"/>
              <w:jc w:val="both"/>
              <w:rPr>
                <w:rFonts w:ascii="Arial" w:hAnsi="Arial" w:cs="Arial"/>
                <w:i/>
                <w:iCs/>
                <w:sz w:val="22"/>
                <w:szCs w:val="22"/>
              </w:rPr>
            </w:pPr>
            <w:r w:rsidRPr="00CC2B3C">
              <w:rPr>
                <w:rFonts w:ascii="Arial" w:hAnsi="Arial" w:cs="Arial"/>
                <w:i/>
                <w:iCs/>
                <w:sz w:val="22"/>
                <w:szCs w:val="22"/>
              </w:rPr>
              <w:t xml:space="preserve">Since preparedness is done in advance, the children can prepare. What is good is that teachers provide advance materials and activities, especially lesson modules. </w:t>
            </w:r>
          </w:p>
        </w:tc>
      </w:tr>
    </w:tbl>
    <w:p w14:paraId="6294B10C" w14:textId="77777777" w:rsidR="00AE0BDF" w:rsidRDefault="00AE0BDF" w:rsidP="00AE0BDF">
      <w:pPr>
        <w:spacing w:after="0" w:line="480" w:lineRule="auto"/>
        <w:jc w:val="both"/>
        <w:rPr>
          <w:rFonts w:ascii="Arial" w:hAnsi="Arial" w:cs="Arial"/>
          <w:b/>
          <w:bCs/>
        </w:rPr>
      </w:pPr>
    </w:p>
    <w:p w14:paraId="7D590793" w14:textId="77777777" w:rsidR="00AE0BDF" w:rsidRDefault="00AE0BDF" w:rsidP="00AE0BDF">
      <w:pPr>
        <w:spacing w:after="0" w:line="480" w:lineRule="auto"/>
        <w:jc w:val="both"/>
        <w:rPr>
          <w:rFonts w:ascii="Arial" w:hAnsi="Arial" w:cs="Arial"/>
          <w:b/>
          <w:bCs/>
        </w:rPr>
      </w:pPr>
    </w:p>
    <w:p w14:paraId="5B849A05" w14:textId="77777777" w:rsidR="00AE0BDF" w:rsidRDefault="00AE0BDF" w:rsidP="00AE0BDF">
      <w:pPr>
        <w:spacing w:after="0" w:line="480" w:lineRule="auto"/>
        <w:jc w:val="both"/>
        <w:rPr>
          <w:rFonts w:ascii="Arial" w:hAnsi="Arial" w:cs="Arial"/>
          <w:b/>
          <w:bCs/>
        </w:rPr>
      </w:pPr>
    </w:p>
    <w:p w14:paraId="0915A955" w14:textId="77777777" w:rsidR="00AE0BDF" w:rsidRDefault="00AE0BDF" w:rsidP="00AE0BDF">
      <w:pPr>
        <w:spacing w:after="0" w:line="480" w:lineRule="auto"/>
        <w:jc w:val="both"/>
        <w:rPr>
          <w:rFonts w:ascii="Arial" w:hAnsi="Arial" w:cs="Arial"/>
          <w:b/>
          <w:bCs/>
        </w:rPr>
      </w:pPr>
    </w:p>
    <w:p w14:paraId="7FE910F9" w14:textId="1DDDAAF9" w:rsidR="00AE0BDF" w:rsidRPr="00CC2B3C" w:rsidRDefault="00AE0BDF" w:rsidP="00AE0BDF">
      <w:pPr>
        <w:spacing w:after="0" w:line="480" w:lineRule="auto"/>
        <w:jc w:val="both"/>
        <w:rPr>
          <w:rFonts w:ascii="Arial" w:hAnsi="Arial" w:cs="Arial"/>
        </w:rPr>
      </w:pPr>
    </w:p>
    <w:tbl>
      <w:tblPr>
        <w:tblStyle w:val="TableGridLight"/>
        <w:tblpPr w:leftFromText="180" w:rightFromText="180" w:vertAnchor="text" w:horzAnchor="margin" w:tblpXSpec="center"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tblGrid>
      <w:tr w:rsidR="00AE0BDF" w:rsidRPr="005D73D0" w14:paraId="05564180" w14:textId="77777777" w:rsidTr="00B10240">
        <w:trPr>
          <w:trHeight w:val="714"/>
        </w:trPr>
        <w:tc>
          <w:tcPr>
            <w:tcW w:w="6536" w:type="dxa"/>
          </w:tcPr>
          <w:p w14:paraId="62CA48C3" w14:textId="6855EA1A" w:rsidR="00AE0BDF" w:rsidRPr="00476445" w:rsidRDefault="00AE0BDF" w:rsidP="00B10240">
            <w:pPr>
              <w:spacing w:line="276" w:lineRule="auto"/>
              <w:ind w:right="1"/>
              <w:jc w:val="both"/>
              <w:rPr>
                <w:rFonts w:ascii="Arial" w:hAnsi="Arial" w:cs="Arial"/>
                <w:sz w:val="22"/>
                <w:szCs w:val="22"/>
              </w:rPr>
            </w:pPr>
            <w:r w:rsidRPr="005D73D0">
              <w:rPr>
                <w:rFonts w:ascii="Arial" w:hAnsi="Arial" w:cs="Arial"/>
                <w:sz w:val="22"/>
                <w:szCs w:val="22"/>
              </w:rPr>
              <w:t>“</w:t>
            </w:r>
            <w:r w:rsidRPr="00CC2B3C">
              <w:rPr>
                <w:rFonts w:ascii="Arial" w:hAnsi="Arial" w:cs="Arial"/>
                <w:sz w:val="22"/>
                <w:szCs w:val="22"/>
              </w:rPr>
              <w:t xml:space="preserve">During or after disaster, advisers are </w:t>
            </w:r>
            <w:r w:rsidRPr="003D4A07">
              <w:rPr>
                <w:rFonts w:ascii="Arial" w:hAnsi="Arial" w:cs="Arial"/>
                <w:b/>
                <w:bCs/>
                <w:sz w:val="22"/>
                <w:szCs w:val="22"/>
              </w:rPr>
              <w:t>tasks to ask updates from their students</w:t>
            </w:r>
            <w:r w:rsidRPr="00CC2B3C">
              <w:rPr>
                <w:rFonts w:ascii="Arial" w:hAnsi="Arial" w:cs="Arial"/>
                <w:sz w:val="22"/>
                <w:szCs w:val="22"/>
              </w:rPr>
              <w:t xml:space="preserve"> specially those who are living near or at the flood prone area.” (DRR_C3)</w:t>
            </w:r>
          </w:p>
        </w:tc>
      </w:tr>
    </w:tbl>
    <w:p w14:paraId="591B8B1D" w14:textId="77777777" w:rsidR="00AE0BDF" w:rsidRPr="00CC2B3C" w:rsidRDefault="00AE0BDF" w:rsidP="00AE0BDF">
      <w:pPr>
        <w:spacing w:after="0" w:line="480" w:lineRule="auto"/>
        <w:jc w:val="both"/>
        <w:rPr>
          <w:rFonts w:ascii="Arial" w:hAnsi="Arial" w:cs="Arial"/>
        </w:rPr>
      </w:pPr>
    </w:p>
    <w:p w14:paraId="10B4B98B" w14:textId="77777777" w:rsidR="00AE0BDF" w:rsidRPr="00CC2B3C" w:rsidRDefault="00AE0BDF" w:rsidP="00AE0BDF">
      <w:pPr>
        <w:spacing w:after="0" w:line="480" w:lineRule="auto"/>
        <w:jc w:val="both"/>
        <w:rPr>
          <w:rFonts w:ascii="Arial" w:hAnsi="Arial" w:cs="Arial"/>
        </w:rPr>
      </w:pPr>
    </w:p>
    <w:p w14:paraId="5871FB51" w14:textId="77777777" w:rsidR="003D4A07" w:rsidRDefault="00AE0BDF" w:rsidP="00476445">
      <w:pPr>
        <w:spacing w:after="0" w:line="480" w:lineRule="auto"/>
        <w:jc w:val="both"/>
        <w:rPr>
          <w:rFonts w:ascii="Arial" w:hAnsi="Arial" w:cs="Arial"/>
        </w:rPr>
      </w:pPr>
      <w:r>
        <w:rPr>
          <w:rFonts w:ascii="Arial" w:hAnsi="Arial" w:cs="Arial"/>
        </w:rPr>
        <w:tab/>
      </w:r>
    </w:p>
    <w:p w14:paraId="46E86F84" w14:textId="27C332A3" w:rsidR="004601FF" w:rsidRDefault="003D4A07" w:rsidP="00476445">
      <w:pPr>
        <w:spacing w:after="0" w:line="480" w:lineRule="auto"/>
        <w:jc w:val="both"/>
        <w:rPr>
          <w:rFonts w:ascii="Arial" w:hAnsi="Arial" w:cs="Arial"/>
        </w:rPr>
      </w:pPr>
      <w:r>
        <w:rPr>
          <w:rFonts w:ascii="Arial" w:hAnsi="Arial" w:cs="Arial"/>
        </w:rPr>
        <w:tab/>
      </w:r>
      <w:r w:rsidR="00574D3C" w:rsidRPr="00574D3C">
        <w:rPr>
          <w:rFonts w:ascii="Arial" w:hAnsi="Arial" w:cs="Arial"/>
        </w:rPr>
        <w:t>Similarly, the qualitative findings under Adaptive Learning Strategies reinforce the very high quantitative result (M = 4.57, SD = 0.53), emphasizing that schools actively adjust instructional methods and learning resources during disaster events. The use of flexible teaching approaches and the monitoring of both student progress and welfare highlight a holistic response that addresses academic and psychosocial needs. These practices confirm that the high level of preparedness captured in the quantitative data is grounded in responsive, learner-centered strategies that ensure continuity of learning and student well-being during crises.</w:t>
      </w:r>
    </w:p>
    <w:p w14:paraId="074D15B7" w14:textId="77777777" w:rsidR="00E51675" w:rsidRDefault="00E51675" w:rsidP="00476445">
      <w:pPr>
        <w:spacing w:after="0" w:line="480" w:lineRule="auto"/>
        <w:jc w:val="both"/>
        <w:rPr>
          <w:rFonts w:ascii="Arial" w:hAnsi="Arial" w:cs="Arial"/>
        </w:rPr>
      </w:pPr>
    </w:p>
    <w:p w14:paraId="3707499A" w14:textId="77777777" w:rsidR="00E51675" w:rsidRPr="00476445" w:rsidRDefault="00E51675" w:rsidP="00476445">
      <w:pPr>
        <w:spacing w:after="0" w:line="480" w:lineRule="auto"/>
        <w:jc w:val="both"/>
        <w:rPr>
          <w:rFonts w:ascii="Arial" w:hAnsi="Arial" w:cs="Arial"/>
        </w:rPr>
      </w:pPr>
    </w:p>
    <w:p w14:paraId="4C72846C" w14:textId="24A41C8F" w:rsidR="00AE0BDF" w:rsidRDefault="00AE0BDF" w:rsidP="004601FF">
      <w:pPr>
        <w:spacing w:after="0" w:line="240" w:lineRule="auto"/>
        <w:jc w:val="both"/>
        <w:rPr>
          <w:rFonts w:ascii="Arial" w:hAnsi="Arial" w:cs="Arial"/>
          <w:b/>
          <w:bCs/>
        </w:rPr>
      </w:pPr>
      <w:r>
        <w:rPr>
          <w:rFonts w:ascii="Arial" w:hAnsi="Arial" w:cs="Arial"/>
          <w:b/>
          <w:bCs/>
        </w:rPr>
        <w:lastRenderedPageBreak/>
        <w:t xml:space="preserve">Joint Display </w:t>
      </w:r>
      <w:r w:rsidR="00E06F29">
        <w:rPr>
          <w:rFonts w:ascii="Arial" w:hAnsi="Arial" w:cs="Arial"/>
          <w:b/>
          <w:bCs/>
        </w:rPr>
        <w:t>of the Quantitative and Qualitative Results</w:t>
      </w:r>
      <w:r w:rsidR="008B3E4B">
        <w:rPr>
          <w:rFonts w:ascii="Arial" w:hAnsi="Arial" w:cs="Arial"/>
          <w:b/>
          <w:bCs/>
        </w:rPr>
        <w:t xml:space="preserve"> in the </w:t>
      </w:r>
    </w:p>
    <w:p w14:paraId="45D58939" w14:textId="44D9D060" w:rsidR="008B3E4B" w:rsidRDefault="008B3E4B" w:rsidP="004601FF">
      <w:pPr>
        <w:spacing w:after="0" w:line="240" w:lineRule="auto"/>
        <w:jc w:val="both"/>
        <w:rPr>
          <w:rFonts w:ascii="Arial" w:hAnsi="Arial" w:cs="Arial"/>
          <w:b/>
          <w:bCs/>
        </w:rPr>
      </w:pPr>
      <w:r>
        <w:rPr>
          <w:rFonts w:ascii="Arial" w:hAnsi="Arial" w:cs="Arial"/>
          <w:b/>
          <w:bCs/>
        </w:rPr>
        <w:t>Implementation of the School-Based Disaster Preparedness</w:t>
      </w:r>
    </w:p>
    <w:p w14:paraId="39B3EB54" w14:textId="77777777" w:rsidR="00C0096D" w:rsidRDefault="008B3E4B" w:rsidP="004601FF">
      <w:pPr>
        <w:spacing w:after="0" w:line="240" w:lineRule="auto"/>
        <w:jc w:val="both"/>
        <w:rPr>
          <w:rFonts w:ascii="Arial" w:hAnsi="Arial" w:cs="Arial"/>
          <w:b/>
          <w:bCs/>
        </w:rPr>
      </w:pPr>
      <w:r>
        <w:rPr>
          <w:rFonts w:ascii="Arial" w:hAnsi="Arial" w:cs="Arial"/>
          <w:b/>
          <w:bCs/>
        </w:rPr>
        <w:t xml:space="preserve">and Response Measures of School Heads and </w:t>
      </w:r>
    </w:p>
    <w:p w14:paraId="4F7F1229" w14:textId="5701C1F3" w:rsidR="008B3E4B" w:rsidRDefault="008B3E4B" w:rsidP="004601FF">
      <w:pPr>
        <w:spacing w:after="0" w:line="240" w:lineRule="auto"/>
        <w:jc w:val="both"/>
        <w:rPr>
          <w:rFonts w:ascii="Arial" w:hAnsi="Arial" w:cs="Arial"/>
          <w:b/>
          <w:bCs/>
        </w:rPr>
      </w:pPr>
      <w:r>
        <w:rPr>
          <w:rFonts w:ascii="Arial" w:hAnsi="Arial" w:cs="Arial"/>
          <w:b/>
          <w:bCs/>
        </w:rPr>
        <w:t>School</w:t>
      </w:r>
      <w:r w:rsidR="00792536">
        <w:rPr>
          <w:rFonts w:ascii="Arial" w:hAnsi="Arial" w:cs="Arial"/>
          <w:b/>
          <w:bCs/>
        </w:rPr>
        <w:t xml:space="preserve"> </w:t>
      </w:r>
      <w:r>
        <w:rPr>
          <w:rFonts w:ascii="Arial" w:hAnsi="Arial" w:cs="Arial"/>
          <w:b/>
          <w:bCs/>
        </w:rPr>
        <w:t>DRRM Coordinators</w:t>
      </w:r>
    </w:p>
    <w:p w14:paraId="0A99D71D" w14:textId="77777777" w:rsidR="004601FF" w:rsidRDefault="004601FF" w:rsidP="004601FF">
      <w:pPr>
        <w:spacing w:after="0" w:line="240" w:lineRule="auto"/>
        <w:jc w:val="both"/>
        <w:rPr>
          <w:rFonts w:ascii="Arial" w:hAnsi="Arial" w:cs="Arial"/>
          <w:b/>
          <w:bCs/>
        </w:rPr>
      </w:pPr>
    </w:p>
    <w:p w14:paraId="410B3A28" w14:textId="4CC3BB17" w:rsidR="00E51675" w:rsidRPr="00E51675" w:rsidRDefault="00AE0BDF" w:rsidP="00AE0BDF">
      <w:pPr>
        <w:spacing w:after="0" w:line="480" w:lineRule="auto"/>
        <w:jc w:val="both"/>
        <w:rPr>
          <w:rFonts w:ascii="Arial" w:hAnsi="Arial" w:cs="Arial"/>
        </w:rPr>
      </w:pPr>
      <w:r>
        <w:rPr>
          <w:rFonts w:ascii="Arial" w:hAnsi="Arial" w:cs="Arial"/>
        </w:rPr>
        <w:tab/>
      </w:r>
      <w:r w:rsidRPr="00411B05">
        <w:rPr>
          <w:rFonts w:ascii="Arial" w:hAnsi="Arial" w:cs="Arial"/>
        </w:rPr>
        <w:t xml:space="preserve">This section presents the Joint Display Analysis (JDA) of the quantitative and qualitative findings of the study. The purpose of this section is to show how the qualitative results explain and support the quantitative findings, particularly in relation to the extent of implementation of school-based disaster preparedness and response measures. The integration focused on the three indicators used in the study, namely </w:t>
      </w:r>
      <w:r w:rsidR="00194AF5">
        <w:rPr>
          <w:rFonts w:ascii="Arial" w:hAnsi="Arial" w:cs="Arial"/>
        </w:rPr>
        <w:t>p</w:t>
      </w:r>
      <w:r w:rsidRPr="00411B05">
        <w:rPr>
          <w:rFonts w:ascii="Arial" w:hAnsi="Arial" w:cs="Arial"/>
        </w:rPr>
        <w:t xml:space="preserve">reparedness in </w:t>
      </w:r>
      <w:r w:rsidR="00194AF5">
        <w:rPr>
          <w:rFonts w:ascii="Arial" w:hAnsi="Arial" w:cs="Arial"/>
        </w:rPr>
        <w:t>n</w:t>
      </w:r>
      <w:r w:rsidRPr="00411B05">
        <w:rPr>
          <w:rFonts w:ascii="Arial" w:hAnsi="Arial" w:cs="Arial"/>
        </w:rPr>
        <w:t xml:space="preserve">ormal </w:t>
      </w:r>
      <w:r w:rsidR="00194AF5">
        <w:rPr>
          <w:rFonts w:ascii="Arial" w:hAnsi="Arial" w:cs="Arial"/>
        </w:rPr>
        <w:t>t</w:t>
      </w:r>
      <w:r w:rsidRPr="00411B05">
        <w:rPr>
          <w:rFonts w:ascii="Arial" w:hAnsi="Arial" w:cs="Arial"/>
        </w:rPr>
        <w:t xml:space="preserve">imes, </w:t>
      </w:r>
      <w:r w:rsidR="00194AF5">
        <w:rPr>
          <w:rFonts w:ascii="Arial" w:hAnsi="Arial" w:cs="Arial"/>
        </w:rPr>
        <w:t>p</w:t>
      </w:r>
      <w:r w:rsidRPr="00411B05">
        <w:rPr>
          <w:rFonts w:ascii="Arial" w:hAnsi="Arial" w:cs="Arial"/>
        </w:rPr>
        <w:t xml:space="preserve">reparedness for </w:t>
      </w:r>
      <w:r w:rsidR="00194AF5">
        <w:rPr>
          <w:rFonts w:ascii="Arial" w:hAnsi="Arial" w:cs="Arial"/>
        </w:rPr>
        <w:t>r</w:t>
      </w:r>
      <w:r w:rsidRPr="00411B05">
        <w:rPr>
          <w:rFonts w:ascii="Arial" w:hAnsi="Arial" w:cs="Arial"/>
        </w:rPr>
        <w:t xml:space="preserve">esponse, and </w:t>
      </w:r>
      <w:r w:rsidR="00194AF5">
        <w:rPr>
          <w:rFonts w:ascii="Arial" w:hAnsi="Arial" w:cs="Arial"/>
        </w:rPr>
        <w:t>d</w:t>
      </w:r>
      <w:r w:rsidRPr="00411B05">
        <w:rPr>
          <w:rFonts w:ascii="Arial" w:hAnsi="Arial" w:cs="Arial"/>
        </w:rPr>
        <w:t xml:space="preserve">isaster </w:t>
      </w:r>
      <w:r w:rsidR="00194AF5">
        <w:rPr>
          <w:rFonts w:ascii="Arial" w:hAnsi="Arial" w:cs="Arial"/>
        </w:rPr>
        <w:t>r</w:t>
      </w:r>
      <w:r w:rsidRPr="00411B05">
        <w:rPr>
          <w:rFonts w:ascii="Arial" w:hAnsi="Arial" w:cs="Arial"/>
        </w:rPr>
        <w:t xml:space="preserve">esponse </w:t>
      </w:r>
      <w:r w:rsidR="00194AF5">
        <w:rPr>
          <w:rFonts w:ascii="Arial" w:hAnsi="Arial" w:cs="Arial"/>
        </w:rPr>
        <w:t>m</w:t>
      </w:r>
      <w:r w:rsidRPr="00411B05">
        <w:rPr>
          <w:rFonts w:ascii="Arial" w:hAnsi="Arial" w:cs="Arial"/>
        </w:rPr>
        <w:t>easures. This analysis also presents the meta-inferences drawn from both phases of the study.</w:t>
      </w:r>
    </w:p>
    <w:p w14:paraId="6C908532" w14:textId="385BEA4C" w:rsidR="00792536" w:rsidRDefault="00AE0BDF" w:rsidP="00AE0BDF">
      <w:pPr>
        <w:spacing w:after="0" w:line="480" w:lineRule="auto"/>
        <w:jc w:val="both"/>
        <w:rPr>
          <w:rFonts w:ascii="Arial" w:hAnsi="Arial" w:cs="Arial"/>
          <w:b/>
          <w:bCs/>
        </w:rPr>
      </w:pPr>
      <w:r>
        <w:rPr>
          <w:rFonts w:ascii="Arial" w:hAnsi="Arial" w:cs="Arial"/>
          <w:b/>
          <w:bCs/>
        </w:rPr>
        <w:t>Table 6</w:t>
      </w:r>
    </w:p>
    <w:p w14:paraId="1CCA2608" w14:textId="77777777" w:rsidR="00476445" w:rsidRDefault="00AE0BDF" w:rsidP="00F56F9E">
      <w:pPr>
        <w:spacing w:after="0" w:line="240" w:lineRule="auto"/>
        <w:jc w:val="both"/>
        <w:rPr>
          <w:rFonts w:ascii="Arial" w:hAnsi="Arial" w:cs="Arial"/>
          <w:i/>
          <w:iCs/>
        </w:rPr>
      </w:pPr>
      <w:r>
        <w:rPr>
          <w:rFonts w:ascii="Arial" w:hAnsi="Arial" w:cs="Arial"/>
          <w:i/>
          <w:iCs/>
        </w:rPr>
        <w:t>Joint Display Analysis Table</w:t>
      </w:r>
      <w:r w:rsidR="00792536">
        <w:rPr>
          <w:rFonts w:ascii="Arial" w:hAnsi="Arial" w:cs="Arial"/>
          <w:i/>
          <w:iCs/>
        </w:rPr>
        <w:t xml:space="preserve"> of the Quantitative and Qualitative Results in the Implementation of the School-Based Disaster Preparedness and Response</w:t>
      </w:r>
    </w:p>
    <w:p w14:paraId="53663B85" w14:textId="070D1ACF" w:rsidR="00AE0BDF" w:rsidRDefault="00792536" w:rsidP="00F56F9E">
      <w:pPr>
        <w:spacing w:after="0" w:line="240" w:lineRule="auto"/>
        <w:jc w:val="both"/>
        <w:rPr>
          <w:rFonts w:ascii="Arial" w:hAnsi="Arial" w:cs="Arial"/>
          <w:i/>
          <w:iCs/>
        </w:rPr>
      </w:pPr>
      <w:r>
        <w:rPr>
          <w:rFonts w:ascii="Arial" w:hAnsi="Arial" w:cs="Arial"/>
          <w:i/>
          <w:iCs/>
        </w:rPr>
        <w:t>Measures of School Heads and School DRRM Coordinators</w:t>
      </w:r>
    </w:p>
    <w:p w14:paraId="74388AA0" w14:textId="77777777" w:rsidR="00792536" w:rsidRPr="00411B05" w:rsidRDefault="00792536" w:rsidP="00792536">
      <w:pPr>
        <w:spacing w:after="0" w:line="276" w:lineRule="auto"/>
        <w:jc w:val="both"/>
        <w:rPr>
          <w:rFonts w:ascii="Arial" w:hAnsi="Arial" w:cs="Arial"/>
          <w:b/>
          <w:bCs/>
        </w:rPr>
      </w:pPr>
    </w:p>
    <w:tbl>
      <w:tblPr>
        <w:tblStyle w:val="TableGrid"/>
        <w:tblW w:w="8550" w:type="dxa"/>
        <w:tblInd w:w="-5" w:type="dxa"/>
        <w:tblLook w:val="04A0" w:firstRow="1" w:lastRow="0" w:firstColumn="1" w:lastColumn="0" w:noHBand="0" w:noVBand="1"/>
      </w:tblPr>
      <w:tblGrid>
        <w:gridCol w:w="1800"/>
        <w:gridCol w:w="2610"/>
        <w:gridCol w:w="4140"/>
      </w:tblGrid>
      <w:tr w:rsidR="00194AF5" w:rsidRPr="0031078E" w14:paraId="4D1BCBD4" w14:textId="77777777" w:rsidTr="00194AF5">
        <w:trPr>
          <w:trHeight w:val="242"/>
        </w:trPr>
        <w:tc>
          <w:tcPr>
            <w:tcW w:w="1800" w:type="dxa"/>
            <w:vAlign w:val="bottom"/>
          </w:tcPr>
          <w:p w14:paraId="14063775" w14:textId="77777777" w:rsidR="00194AF5" w:rsidRPr="0031078E" w:rsidRDefault="00194AF5" w:rsidP="00B10240">
            <w:pPr>
              <w:spacing w:line="276" w:lineRule="auto"/>
              <w:ind w:right="1"/>
              <w:jc w:val="center"/>
              <w:rPr>
                <w:rFonts w:ascii="Arial" w:hAnsi="Arial" w:cs="Arial"/>
                <w:b/>
                <w:bCs/>
              </w:rPr>
            </w:pPr>
            <w:r w:rsidRPr="0031078E">
              <w:rPr>
                <w:rFonts w:ascii="Arial" w:hAnsi="Arial" w:cs="Arial"/>
                <w:b/>
                <w:bCs/>
              </w:rPr>
              <w:t>Quantitative Results</w:t>
            </w:r>
          </w:p>
        </w:tc>
        <w:tc>
          <w:tcPr>
            <w:tcW w:w="2610" w:type="dxa"/>
            <w:vAlign w:val="center"/>
          </w:tcPr>
          <w:p w14:paraId="4D8A4AAF" w14:textId="37C16656" w:rsidR="00194AF5" w:rsidRPr="0031078E" w:rsidRDefault="00194AF5" w:rsidP="00B10240">
            <w:pPr>
              <w:spacing w:line="276" w:lineRule="auto"/>
              <w:ind w:right="1"/>
              <w:jc w:val="center"/>
              <w:rPr>
                <w:rFonts w:ascii="Arial" w:hAnsi="Arial" w:cs="Arial"/>
                <w:b/>
                <w:bCs/>
              </w:rPr>
            </w:pPr>
            <w:r w:rsidRPr="0031078E">
              <w:rPr>
                <w:rFonts w:ascii="Arial" w:hAnsi="Arial" w:cs="Arial"/>
                <w:b/>
                <w:bCs/>
              </w:rPr>
              <w:t xml:space="preserve">Qualitative </w:t>
            </w:r>
            <w:r>
              <w:rPr>
                <w:rFonts w:ascii="Arial" w:hAnsi="Arial" w:cs="Arial"/>
                <w:b/>
                <w:bCs/>
              </w:rPr>
              <w:t>Results</w:t>
            </w:r>
          </w:p>
        </w:tc>
        <w:tc>
          <w:tcPr>
            <w:tcW w:w="4140" w:type="dxa"/>
            <w:vAlign w:val="center"/>
          </w:tcPr>
          <w:p w14:paraId="788CD030" w14:textId="115BF16D" w:rsidR="00194AF5" w:rsidRDefault="00194AF5" w:rsidP="00B10240">
            <w:pPr>
              <w:spacing w:line="276" w:lineRule="auto"/>
              <w:ind w:right="1"/>
              <w:jc w:val="center"/>
              <w:rPr>
                <w:rFonts w:ascii="Arial" w:hAnsi="Arial" w:cs="Arial"/>
                <w:b/>
                <w:bCs/>
              </w:rPr>
            </w:pPr>
            <w:r>
              <w:rPr>
                <w:rFonts w:ascii="Arial" w:hAnsi="Arial" w:cs="Arial"/>
                <w:b/>
                <w:bCs/>
              </w:rPr>
              <w:t>Meta – Inference</w:t>
            </w:r>
          </w:p>
        </w:tc>
      </w:tr>
      <w:tr w:rsidR="00194AF5" w:rsidRPr="001F43B8" w14:paraId="421900A8" w14:textId="77777777" w:rsidTr="00194AF5">
        <w:trPr>
          <w:trHeight w:val="1880"/>
        </w:trPr>
        <w:tc>
          <w:tcPr>
            <w:tcW w:w="1800" w:type="dxa"/>
          </w:tcPr>
          <w:p w14:paraId="5C309C07" w14:textId="3630147D" w:rsidR="00194AF5" w:rsidRPr="00194AF5" w:rsidRDefault="00194AF5" w:rsidP="00586A53">
            <w:pPr>
              <w:ind w:right="1"/>
              <w:jc w:val="center"/>
              <w:rPr>
                <w:rFonts w:ascii="Arial" w:hAnsi="Arial" w:cs="Arial"/>
                <w:i/>
                <w:iCs/>
                <w:sz w:val="20"/>
                <w:szCs w:val="20"/>
              </w:rPr>
            </w:pPr>
            <w:r w:rsidRPr="0031078E">
              <w:rPr>
                <w:rFonts w:ascii="Arial" w:hAnsi="Arial" w:cs="Arial"/>
                <w:i/>
                <w:iCs/>
                <w:sz w:val="20"/>
                <w:szCs w:val="20"/>
              </w:rPr>
              <w:t>Indicator 1: Preparedness in Normal Times</w:t>
            </w:r>
          </w:p>
          <w:p w14:paraId="7FFD2944" w14:textId="24078DFD" w:rsidR="00194AF5" w:rsidRPr="001F43B8" w:rsidRDefault="00194AF5" w:rsidP="00B10240">
            <w:pPr>
              <w:spacing w:line="360" w:lineRule="auto"/>
              <w:ind w:right="1"/>
              <w:jc w:val="center"/>
              <w:rPr>
                <w:rFonts w:ascii="Arial" w:hAnsi="Arial" w:cs="Arial"/>
                <w:b/>
                <w:bCs/>
                <w:sz w:val="20"/>
                <w:szCs w:val="20"/>
              </w:rPr>
            </w:pPr>
            <w:r w:rsidRPr="001F43B8">
              <w:rPr>
                <w:rFonts w:ascii="Arial" w:hAnsi="Arial" w:cs="Arial"/>
                <w:b/>
                <w:bCs/>
                <w:sz w:val="20"/>
                <w:szCs w:val="20"/>
              </w:rPr>
              <w:t xml:space="preserve">Mean: 4.44 </w:t>
            </w:r>
          </w:p>
          <w:p w14:paraId="2E251BFA" w14:textId="77777777" w:rsidR="00194AF5" w:rsidRPr="001F43B8" w:rsidRDefault="00194AF5" w:rsidP="00B10240">
            <w:pPr>
              <w:spacing w:line="360" w:lineRule="auto"/>
              <w:ind w:right="1"/>
              <w:jc w:val="center"/>
              <w:rPr>
                <w:rFonts w:ascii="Arial" w:hAnsi="Arial" w:cs="Arial"/>
                <w:b/>
                <w:bCs/>
                <w:sz w:val="20"/>
                <w:szCs w:val="20"/>
              </w:rPr>
            </w:pPr>
            <w:r w:rsidRPr="001F43B8">
              <w:rPr>
                <w:rFonts w:ascii="Arial" w:hAnsi="Arial" w:cs="Arial"/>
                <w:b/>
                <w:bCs/>
                <w:sz w:val="20"/>
                <w:szCs w:val="20"/>
              </w:rPr>
              <w:t>SD: 0.65</w:t>
            </w:r>
          </w:p>
          <w:p w14:paraId="60AF0C7A" w14:textId="77777777" w:rsidR="00194AF5" w:rsidRPr="001F43B8" w:rsidRDefault="00194AF5" w:rsidP="00B10240">
            <w:pPr>
              <w:spacing w:line="360" w:lineRule="auto"/>
              <w:ind w:right="1"/>
              <w:jc w:val="center"/>
              <w:rPr>
                <w:rFonts w:ascii="Arial" w:hAnsi="Arial" w:cs="Arial"/>
                <w:i/>
                <w:iCs/>
                <w:sz w:val="20"/>
                <w:szCs w:val="20"/>
              </w:rPr>
            </w:pPr>
            <w:r w:rsidRPr="001F43B8">
              <w:rPr>
                <w:rFonts w:ascii="Arial" w:hAnsi="Arial" w:cs="Arial"/>
                <w:b/>
                <w:bCs/>
                <w:i/>
                <w:iCs/>
                <w:sz w:val="20"/>
                <w:szCs w:val="20"/>
              </w:rPr>
              <w:t>(Very High)</w:t>
            </w:r>
          </w:p>
        </w:tc>
        <w:tc>
          <w:tcPr>
            <w:tcW w:w="2610" w:type="dxa"/>
          </w:tcPr>
          <w:p w14:paraId="367E892D" w14:textId="77777777" w:rsidR="00194AF5" w:rsidRPr="001F43B8" w:rsidRDefault="00194AF5" w:rsidP="00AE0BDF">
            <w:pPr>
              <w:pStyle w:val="ListParagraph"/>
              <w:numPr>
                <w:ilvl w:val="0"/>
                <w:numId w:val="32"/>
              </w:numPr>
              <w:spacing w:line="276" w:lineRule="auto"/>
              <w:ind w:left="527" w:right="1"/>
              <w:rPr>
                <w:rFonts w:ascii="Arial" w:hAnsi="Arial" w:cs="Arial"/>
                <w:sz w:val="20"/>
                <w:szCs w:val="20"/>
              </w:rPr>
            </w:pPr>
            <w:r>
              <w:rPr>
                <w:rFonts w:ascii="Arial" w:hAnsi="Arial" w:cs="Arial"/>
                <w:sz w:val="20"/>
                <w:szCs w:val="20"/>
              </w:rPr>
              <w:t>Participatory Contingency Planning</w:t>
            </w:r>
          </w:p>
          <w:p w14:paraId="2F61498F" w14:textId="77777777" w:rsidR="00194AF5" w:rsidRPr="001F43B8" w:rsidRDefault="00194AF5" w:rsidP="00AE0BDF">
            <w:pPr>
              <w:pStyle w:val="ListParagraph"/>
              <w:numPr>
                <w:ilvl w:val="0"/>
                <w:numId w:val="32"/>
              </w:numPr>
              <w:spacing w:line="276" w:lineRule="auto"/>
              <w:ind w:left="527" w:right="1"/>
              <w:rPr>
                <w:rFonts w:ascii="Arial" w:hAnsi="Arial" w:cs="Arial"/>
                <w:sz w:val="20"/>
                <w:szCs w:val="20"/>
              </w:rPr>
            </w:pPr>
            <w:r w:rsidRPr="001F43B8">
              <w:rPr>
                <w:rFonts w:ascii="Arial" w:hAnsi="Arial" w:cs="Arial"/>
                <w:sz w:val="20"/>
                <w:szCs w:val="20"/>
              </w:rPr>
              <w:t>Proactive Physical Mitigation</w:t>
            </w:r>
          </w:p>
          <w:p w14:paraId="424FADFE" w14:textId="77777777" w:rsidR="00194AF5" w:rsidRPr="00FE35B3" w:rsidRDefault="00194AF5" w:rsidP="00AE0BDF">
            <w:pPr>
              <w:pStyle w:val="ListParagraph"/>
              <w:numPr>
                <w:ilvl w:val="0"/>
                <w:numId w:val="32"/>
              </w:numPr>
              <w:spacing w:line="276" w:lineRule="auto"/>
              <w:ind w:left="527" w:right="1"/>
              <w:rPr>
                <w:rFonts w:ascii="Arial" w:hAnsi="Arial" w:cs="Arial"/>
                <w:sz w:val="20"/>
                <w:szCs w:val="20"/>
              </w:rPr>
            </w:pPr>
            <w:r>
              <w:rPr>
                <w:rFonts w:ascii="Arial" w:hAnsi="Arial" w:cs="Arial"/>
                <w:sz w:val="20"/>
                <w:szCs w:val="20"/>
              </w:rPr>
              <w:t>Leadership Commitment</w:t>
            </w:r>
          </w:p>
        </w:tc>
        <w:tc>
          <w:tcPr>
            <w:tcW w:w="4140" w:type="dxa"/>
          </w:tcPr>
          <w:p w14:paraId="1ABF908C" w14:textId="77777777" w:rsidR="00194AF5" w:rsidRPr="006231F6" w:rsidRDefault="00194AF5" w:rsidP="00B10240">
            <w:pPr>
              <w:spacing w:line="276" w:lineRule="auto"/>
              <w:ind w:left="73" w:right="1"/>
              <w:jc w:val="both"/>
              <w:rPr>
                <w:rFonts w:ascii="Arial" w:hAnsi="Arial" w:cs="Arial"/>
                <w:sz w:val="20"/>
                <w:szCs w:val="20"/>
              </w:rPr>
            </w:pPr>
            <w:r w:rsidRPr="00FE35B3">
              <w:rPr>
                <w:rFonts w:ascii="Arial" w:hAnsi="Arial" w:cs="Arial"/>
                <w:sz w:val="20"/>
                <w:szCs w:val="20"/>
              </w:rPr>
              <w:t>The very high quantitative result is explained by the qualitative findings showing that schools regularly prepare contingency plans, conduct physical mitigation measures, and rely on the commitment of school heads to sustain preparedness practices.</w:t>
            </w:r>
          </w:p>
        </w:tc>
      </w:tr>
      <w:tr w:rsidR="00194AF5" w:rsidRPr="006231F6" w14:paraId="663E4D4E" w14:textId="77777777" w:rsidTr="00194AF5">
        <w:trPr>
          <w:trHeight w:val="1682"/>
        </w:trPr>
        <w:tc>
          <w:tcPr>
            <w:tcW w:w="1800" w:type="dxa"/>
          </w:tcPr>
          <w:p w14:paraId="799D9C55" w14:textId="1E2AF2C7" w:rsidR="00194AF5" w:rsidRPr="00194AF5" w:rsidRDefault="00194AF5" w:rsidP="00194AF5">
            <w:pPr>
              <w:ind w:right="1"/>
              <w:jc w:val="center"/>
              <w:rPr>
                <w:rFonts w:ascii="Arial" w:hAnsi="Arial" w:cs="Arial"/>
                <w:sz w:val="20"/>
                <w:szCs w:val="20"/>
              </w:rPr>
            </w:pPr>
            <w:r w:rsidRPr="0031078E">
              <w:rPr>
                <w:rFonts w:ascii="Arial" w:hAnsi="Arial" w:cs="Arial"/>
                <w:i/>
                <w:iCs/>
                <w:sz w:val="20"/>
                <w:szCs w:val="20"/>
              </w:rPr>
              <w:t xml:space="preserve">Indicator </w:t>
            </w:r>
            <w:r>
              <w:rPr>
                <w:rFonts w:ascii="Arial" w:hAnsi="Arial" w:cs="Arial"/>
                <w:i/>
                <w:iCs/>
                <w:sz w:val="20"/>
                <w:szCs w:val="20"/>
              </w:rPr>
              <w:t>2</w:t>
            </w:r>
            <w:r w:rsidRPr="0031078E">
              <w:rPr>
                <w:rFonts w:ascii="Arial" w:hAnsi="Arial" w:cs="Arial"/>
                <w:i/>
                <w:iCs/>
                <w:sz w:val="20"/>
                <w:szCs w:val="20"/>
              </w:rPr>
              <w:t xml:space="preserve">: Preparedness </w:t>
            </w:r>
            <w:r>
              <w:rPr>
                <w:rFonts w:ascii="Arial" w:hAnsi="Arial" w:cs="Arial"/>
                <w:i/>
                <w:iCs/>
                <w:sz w:val="20"/>
                <w:szCs w:val="20"/>
              </w:rPr>
              <w:t>for Response</w:t>
            </w:r>
          </w:p>
          <w:p w14:paraId="784AA16B" w14:textId="75131F1D" w:rsidR="00194AF5" w:rsidRPr="001F43B8" w:rsidRDefault="00194AF5" w:rsidP="00B10240">
            <w:pPr>
              <w:spacing w:line="360" w:lineRule="auto"/>
              <w:ind w:right="1"/>
              <w:jc w:val="center"/>
              <w:rPr>
                <w:rFonts w:ascii="Arial" w:hAnsi="Arial" w:cs="Arial"/>
                <w:b/>
                <w:bCs/>
                <w:sz w:val="20"/>
                <w:szCs w:val="20"/>
              </w:rPr>
            </w:pPr>
            <w:r w:rsidRPr="001F43B8">
              <w:rPr>
                <w:rFonts w:ascii="Arial" w:hAnsi="Arial" w:cs="Arial"/>
                <w:b/>
                <w:bCs/>
                <w:sz w:val="20"/>
                <w:szCs w:val="20"/>
              </w:rPr>
              <w:t>Mean: 4.</w:t>
            </w:r>
            <w:r>
              <w:rPr>
                <w:rFonts w:ascii="Arial" w:hAnsi="Arial" w:cs="Arial"/>
                <w:b/>
                <w:bCs/>
                <w:sz w:val="20"/>
                <w:szCs w:val="20"/>
              </w:rPr>
              <w:t>55</w:t>
            </w:r>
            <w:r w:rsidRPr="001F43B8">
              <w:rPr>
                <w:rFonts w:ascii="Arial" w:hAnsi="Arial" w:cs="Arial"/>
                <w:b/>
                <w:bCs/>
                <w:sz w:val="20"/>
                <w:szCs w:val="20"/>
              </w:rPr>
              <w:t xml:space="preserve"> </w:t>
            </w:r>
          </w:p>
          <w:p w14:paraId="621F8C97" w14:textId="77777777" w:rsidR="00194AF5" w:rsidRPr="001F43B8" w:rsidRDefault="00194AF5" w:rsidP="00B10240">
            <w:pPr>
              <w:spacing w:line="360" w:lineRule="auto"/>
              <w:ind w:right="1"/>
              <w:jc w:val="center"/>
              <w:rPr>
                <w:rFonts w:ascii="Arial" w:hAnsi="Arial" w:cs="Arial"/>
                <w:b/>
                <w:bCs/>
                <w:sz w:val="20"/>
                <w:szCs w:val="20"/>
              </w:rPr>
            </w:pPr>
            <w:r w:rsidRPr="001F43B8">
              <w:rPr>
                <w:rFonts w:ascii="Arial" w:hAnsi="Arial" w:cs="Arial"/>
                <w:b/>
                <w:bCs/>
                <w:sz w:val="20"/>
                <w:szCs w:val="20"/>
              </w:rPr>
              <w:t>SD: 0.</w:t>
            </w:r>
            <w:r>
              <w:rPr>
                <w:rFonts w:ascii="Arial" w:hAnsi="Arial" w:cs="Arial"/>
                <w:b/>
                <w:bCs/>
                <w:sz w:val="20"/>
                <w:szCs w:val="20"/>
              </w:rPr>
              <w:t>54</w:t>
            </w:r>
          </w:p>
          <w:p w14:paraId="6F616D78" w14:textId="77777777" w:rsidR="00194AF5" w:rsidRPr="001F43B8" w:rsidRDefault="00194AF5" w:rsidP="00B10240">
            <w:pPr>
              <w:spacing w:line="360" w:lineRule="auto"/>
              <w:ind w:right="1"/>
              <w:jc w:val="center"/>
              <w:rPr>
                <w:rFonts w:ascii="Arial" w:hAnsi="Arial" w:cs="Arial"/>
                <w:i/>
                <w:iCs/>
                <w:sz w:val="20"/>
                <w:szCs w:val="20"/>
              </w:rPr>
            </w:pPr>
            <w:r w:rsidRPr="001F43B8">
              <w:rPr>
                <w:rFonts w:ascii="Arial" w:hAnsi="Arial" w:cs="Arial"/>
                <w:b/>
                <w:bCs/>
                <w:i/>
                <w:iCs/>
                <w:sz w:val="20"/>
                <w:szCs w:val="20"/>
              </w:rPr>
              <w:t>(Very High)</w:t>
            </w:r>
          </w:p>
        </w:tc>
        <w:tc>
          <w:tcPr>
            <w:tcW w:w="2610" w:type="dxa"/>
          </w:tcPr>
          <w:p w14:paraId="42AEC78B" w14:textId="77777777" w:rsidR="00194AF5" w:rsidRDefault="00194AF5" w:rsidP="00194AF5">
            <w:pPr>
              <w:pStyle w:val="ListParagraph"/>
              <w:spacing w:line="276" w:lineRule="auto"/>
              <w:ind w:left="527" w:right="1"/>
              <w:rPr>
                <w:rFonts w:ascii="Arial" w:hAnsi="Arial" w:cs="Arial"/>
                <w:sz w:val="20"/>
                <w:szCs w:val="20"/>
              </w:rPr>
            </w:pPr>
            <w:r>
              <w:rPr>
                <w:rFonts w:ascii="Arial" w:hAnsi="Arial" w:cs="Arial"/>
                <w:sz w:val="20"/>
                <w:szCs w:val="20"/>
              </w:rPr>
              <w:t>Preventive Safety Measures</w:t>
            </w:r>
          </w:p>
          <w:p w14:paraId="4629FA76" w14:textId="77777777" w:rsidR="00194AF5" w:rsidRDefault="00194AF5" w:rsidP="00AE0BDF">
            <w:pPr>
              <w:pStyle w:val="ListParagraph"/>
              <w:numPr>
                <w:ilvl w:val="0"/>
                <w:numId w:val="32"/>
              </w:numPr>
              <w:spacing w:line="276" w:lineRule="auto"/>
              <w:ind w:left="527" w:right="1"/>
              <w:rPr>
                <w:rFonts w:ascii="Arial" w:hAnsi="Arial" w:cs="Arial"/>
                <w:sz w:val="20"/>
                <w:szCs w:val="20"/>
              </w:rPr>
            </w:pPr>
            <w:r>
              <w:rPr>
                <w:rFonts w:ascii="Arial" w:hAnsi="Arial" w:cs="Arial"/>
                <w:sz w:val="20"/>
                <w:szCs w:val="20"/>
              </w:rPr>
              <w:t>Community- Based Communications</w:t>
            </w:r>
          </w:p>
          <w:p w14:paraId="537A47F9" w14:textId="77777777" w:rsidR="00194AF5" w:rsidRPr="001F43B8" w:rsidRDefault="00194AF5" w:rsidP="00AE0BDF">
            <w:pPr>
              <w:pStyle w:val="ListParagraph"/>
              <w:numPr>
                <w:ilvl w:val="0"/>
                <w:numId w:val="32"/>
              </w:numPr>
              <w:spacing w:line="276" w:lineRule="auto"/>
              <w:ind w:left="527" w:right="1"/>
              <w:rPr>
                <w:rFonts w:ascii="Arial" w:hAnsi="Arial" w:cs="Arial"/>
                <w:sz w:val="20"/>
                <w:szCs w:val="20"/>
              </w:rPr>
            </w:pPr>
            <w:r>
              <w:rPr>
                <w:rFonts w:ascii="Arial" w:hAnsi="Arial" w:cs="Arial"/>
                <w:sz w:val="20"/>
                <w:szCs w:val="20"/>
              </w:rPr>
              <w:t>Strategic Continuity Planning</w:t>
            </w:r>
          </w:p>
        </w:tc>
        <w:tc>
          <w:tcPr>
            <w:tcW w:w="4140" w:type="dxa"/>
          </w:tcPr>
          <w:p w14:paraId="686783F5" w14:textId="77777777" w:rsidR="00194AF5" w:rsidRPr="006231F6" w:rsidRDefault="00194AF5" w:rsidP="00B10240">
            <w:pPr>
              <w:spacing w:line="360" w:lineRule="auto"/>
              <w:ind w:left="73" w:right="1"/>
              <w:jc w:val="both"/>
              <w:rPr>
                <w:rFonts w:ascii="Arial" w:hAnsi="Arial" w:cs="Arial"/>
                <w:sz w:val="20"/>
                <w:szCs w:val="20"/>
              </w:rPr>
            </w:pPr>
            <w:r w:rsidRPr="00FE35B3">
              <w:rPr>
                <w:rFonts w:ascii="Arial" w:hAnsi="Arial" w:cs="Arial"/>
                <w:sz w:val="20"/>
                <w:szCs w:val="20"/>
              </w:rPr>
              <w:t>The very high rating is supported by the participants’ accounts of advance safety checks, active communication with stakeholders, and protection of records and learning resources before disasters occur.</w:t>
            </w:r>
          </w:p>
        </w:tc>
      </w:tr>
      <w:tr w:rsidR="00194AF5" w:rsidRPr="006231F6" w14:paraId="2560D837" w14:textId="77777777" w:rsidTr="00194AF5">
        <w:trPr>
          <w:trHeight w:val="1880"/>
        </w:trPr>
        <w:tc>
          <w:tcPr>
            <w:tcW w:w="1800" w:type="dxa"/>
          </w:tcPr>
          <w:p w14:paraId="697F2DA0" w14:textId="633200E4" w:rsidR="00194AF5" w:rsidRDefault="00194AF5" w:rsidP="00194AF5">
            <w:pPr>
              <w:ind w:right="1"/>
              <w:jc w:val="center"/>
              <w:rPr>
                <w:rFonts w:ascii="Arial" w:hAnsi="Arial" w:cs="Arial"/>
                <w:b/>
                <w:bCs/>
                <w:sz w:val="20"/>
                <w:szCs w:val="20"/>
              </w:rPr>
            </w:pPr>
            <w:r w:rsidRPr="0031078E">
              <w:rPr>
                <w:rFonts w:ascii="Arial" w:hAnsi="Arial" w:cs="Arial"/>
                <w:i/>
                <w:iCs/>
                <w:sz w:val="20"/>
                <w:szCs w:val="20"/>
              </w:rPr>
              <w:t xml:space="preserve">Indicator </w:t>
            </w:r>
            <w:r>
              <w:rPr>
                <w:rFonts w:ascii="Arial" w:hAnsi="Arial" w:cs="Arial"/>
                <w:i/>
                <w:iCs/>
                <w:sz w:val="20"/>
                <w:szCs w:val="20"/>
              </w:rPr>
              <w:t>3</w:t>
            </w:r>
            <w:r w:rsidRPr="0031078E">
              <w:rPr>
                <w:rFonts w:ascii="Arial" w:hAnsi="Arial" w:cs="Arial"/>
                <w:i/>
                <w:iCs/>
                <w:sz w:val="20"/>
                <w:szCs w:val="20"/>
              </w:rPr>
              <w:t xml:space="preserve">: </w:t>
            </w:r>
            <w:r>
              <w:rPr>
                <w:rFonts w:ascii="Arial" w:hAnsi="Arial" w:cs="Arial"/>
                <w:i/>
                <w:iCs/>
                <w:sz w:val="20"/>
                <w:szCs w:val="20"/>
              </w:rPr>
              <w:t>Disaster Response Measures</w:t>
            </w:r>
          </w:p>
          <w:p w14:paraId="34424269" w14:textId="5BD084B0" w:rsidR="00194AF5" w:rsidRPr="001F43B8" w:rsidRDefault="00194AF5" w:rsidP="00B10240">
            <w:pPr>
              <w:spacing w:line="360" w:lineRule="auto"/>
              <w:ind w:right="1"/>
              <w:jc w:val="center"/>
              <w:rPr>
                <w:rFonts w:ascii="Arial" w:hAnsi="Arial" w:cs="Arial"/>
                <w:b/>
                <w:bCs/>
                <w:sz w:val="20"/>
                <w:szCs w:val="20"/>
              </w:rPr>
            </w:pPr>
            <w:r w:rsidRPr="001F43B8">
              <w:rPr>
                <w:rFonts w:ascii="Arial" w:hAnsi="Arial" w:cs="Arial"/>
                <w:b/>
                <w:bCs/>
                <w:sz w:val="20"/>
                <w:szCs w:val="20"/>
              </w:rPr>
              <w:t>Mean: 4.</w:t>
            </w:r>
            <w:r>
              <w:rPr>
                <w:rFonts w:ascii="Arial" w:hAnsi="Arial" w:cs="Arial"/>
                <w:b/>
                <w:bCs/>
                <w:sz w:val="20"/>
                <w:szCs w:val="20"/>
              </w:rPr>
              <w:t>57</w:t>
            </w:r>
            <w:r w:rsidRPr="001F43B8">
              <w:rPr>
                <w:rFonts w:ascii="Arial" w:hAnsi="Arial" w:cs="Arial"/>
                <w:b/>
                <w:bCs/>
                <w:sz w:val="20"/>
                <w:szCs w:val="20"/>
              </w:rPr>
              <w:t xml:space="preserve"> </w:t>
            </w:r>
          </w:p>
          <w:p w14:paraId="6CFA8F15" w14:textId="77777777" w:rsidR="00194AF5" w:rsidRPr="001F43B8" w:rsidRDefault="00194AF5" w:rsidP="00B10240">
            <w:pPr>
              <w:spacing w:line="360" w:lineRule="auto"/>
              <w:ind w:right="1"/>
              <w:jc w:val="center"/>
              <w:rPr>
                <w:rFonts w:ascii="Arial" w:hAnsi="Arial" w:cs="Arial"/>
                <w:b/>
                <w:bCs/>
                <w:sz w:val="20"/>
                <w:szCs w:val="20"/>
              </w:rPr>
            </w:pPr>
            <w:r w:rsidRPr="001F43B8">
              <w:rPr>
                <w:rFonts w:ascii="Arial" w:hAnsi="Arial" w:cs="Arial"/>
                <w:b/>
                <w:bCs/>
                <w:sz w:val="20"/>
                <w:szCs w:val="20"/>
              </w:rPr>
              <w:t>SD: 0.</w:t>
            </w:r>
            <w:r>
              <w:rPr>
                <w:rFonts w:ascii="Arial" w:hAnsi="Arial" w:cs="Arial"/>
                <w:b/>
                <w:bCs/>
                <w:sz w:val="20"/>
                <w:szCs w:val="20"/>
              </w:rPr>
              <w:t>53</w:t>
            </w:r>
          </w:p>
          <w:p w14:paraId="635009C5" w14:textId="77777777" w:rsidR="00194AF5" w:rsidRPr="001F43B8" w:rsidRDefault="00194AF5" w:rsidP="00B10240">
            <w:pPr>
              <w:spacing w:line="360" w:lineRule="auto"/>
              <w:ind w:right="1"/>
              <w:jc w:val="center"/>
              <w:rPr>
                <w:rFonts w:ascii="Arial" w:hAnsi="Arial" w:cs="Arial"/>
                <w:i/>
                <w:iCs/>
                <w:sz w:val="20"/>
                <w:szCs w:val="20"/>
              </w:rPr>
            </w:pPr>
            <w:r w:rsidRPr="001F43B8">
              <w:rPr>
                <w:rFonts w:ascii="Arial" w:hAnsi="Arial" w:cs="Arial"/>
                <w:b/>
                <w:bCs/>
                <w:i/>
                <w:iCs/>
                <w:sz w:val="20"/>
                <w:szCs w:val="20"/>
              </w:rPr>
              <w:t>(Very High)</w:t>
            </w:r>
          </w:p>
        </w:tc>
        <w:tc>
          <w:tcPr>
            <w:tcW w:w="2610" w:type="dxa"/>
          </w:tcPr>
          <w:p w14:paraId="0CB4E8D5" w14:textId="77777777" w:rsidR="00194AF5" w:rsidRDefault="00194AF5" w:rsidP="00194AF5">
            <w:pPr>
              <w:pStyle w:val="ListParagraph"/>
              <w:spacing w:line="276" w:lineRule="auto"/>
              <w:ind w:left="527" w:right="1"/>
              <w:rPr>
                <w:rFonts w:ascii="Arial" w:hAnsi="Arial" w:cs="Arial"/>
                <w:sz w:val="20"/>
                <w:szCs w:val="20"/>
              </w:rPr>
            </w:pPr>
            <w:r>
              <w:rPr>
                <w:rFonts w:ascii="Arial" w:hAnsi="Arial" w:cs="Arial"/>
                <w:sz w:val="20"/>
                <w:szCs w:val="20"/>
              </w:rPr>
              <w:t>Humanitarian Response</w:t>
            </w:r>
          </w:p>
          <w:p w14:paraId="1354FACA" w14:textId="77777777" w:rsidR="00194AF5" w:rsidRDefault="00194AF5" w:rsidP="00AE0BDF">
            <w:pPr>
              <w:pStyle w:val="ListParagraph"/>
              <w:numPr>
                <w:ilvl w:val="0"/>
                <w:numId w:val="32"/>
              </w:numPr>
              <w:spacing w:line="276" w:lineRule="auto"/>
              <w:ind w:left="527" w:right="1"/>
              <w:rPr>
                <w:rFonts w:ascii="Arial" w:hAnsi="Arial" w:cs="Arial"/>
                <w:sz w:val="20"/>
                <w:szCs w:val="20"/>
              </w:rPr>
            </w:pPr>
            <w:r>
              <w:rPr>
                <w:rFonts w:ascii="Arial" w:hAnsi="Arial" w:cs="Arial"/>
                <w:sz w:val="20"/>
                <w:szCs w:val="20"/>
              </w:rPr>
              <w:t>Instructional Continuity</w:t>
            </w:r>
          </w:p>
          <w:p w14:paraId="3E25CED5" w14:textId="77777777" w:rsidR="00194AF5" w:rsidRPr="001F43B8" w:rsidRDefault="00194AF5" w:rsidP="00AE0BDF">
            <w:pPr>
              <w:pStyle w:val="ListParagraph"/>
              <w:numPr>
                <w:ilvl w:val="0"/>
                <w:numId w:val="32"/>
              </w:numPr>
              <w:spacing w:line="276" w:lineRule="auto"/>
              <w:ind w:left="527" w:right="1"/>
              <w:rPr>
                <w:rFonts w:ascii="Arial" w:hAnsi="Arial" w:cs="Arial"/>
                <w:sz w:val="20"/>
                <w:szCs w:val="20"/>
              </w:rPr>
            </w:pPr>
            <w:r>
              <w:rPr>
                <w:rFonts w:ascii="Arial" w:hAnsi="Arial" w:cs="Arial"/>
                <w:sz w:val="20"/>
                <w:szCs w:val="20"/>
              </w:rPr>
              <w:t>Adaptive Learning Strategies</w:t>
            </w:r>
          </w:p>
        </w:tc>
        <w:tc>
          <w:tcPr>
            <w:tcW w:w="4140" w:type="dxa"/>
          </w:tcPr>
          <w:p w14:paraId="620643B8" w14:textId="77777777" w:rsidR="00194AF5" w:rsidRPr="006231F6" w:rsidRDefault="00194AF5" w:rsidP="00B10240">
            <w:pPr>
              <w:spacing w:line="276" w:lineRule="auto"/>
              <w:ind w:left="73" w:right="1"/>
              <w:jc w:val="both"/>
              <w:rPr>
                <w:rFonts w:ascii="Arial" w:hAnsi="Arial" w:cs="Arial"/>
                <w:sz w:val="20"/>
                <w:szCs w:val="20"/>
              </w:rPr>
            </w:pPr>
            <w:r w:rsidRPr="00FE35B3">
              <w:rPr>
                <w:rFonts w:ascii="Arial" w:hAnsi="Arial" w:cs="Arial"/>
                <w:sz w:val="20"/>
                <w:szCs w:val="20"/>
              </w:rPr>
              <w:t>The highest rating is explained by the schools’ immediate prioritization of learner and teacher safety, use of alternative learning modalities, and flexible strategies to continue education during disaster disruptions.</w:t>
            </w:r>
          </w:p>
        </w:tc>
      </w:tr>
    </w:tbl>
    <w:p w14:paraId="1134BA52" w14:textId="078734C7" w:rsidR="00AE0BDF" w:rsidRDefault="00AE0BDF" w:rsidP="00AE0BDF">
      <w:pPr>
        <w:spacing w:after="0" w:line="480" w:lineRule="auto"/>
        <w:jc w:val="both"/>
        <w:rPr>
          <w:rFonts w:ascii="Arial" w:hAnsi="Arial" w:cs="Arial"/>
          <w:b/>
          <w:bCs/>
        </w:rPr>
      </w:pPr>
      <w:r>
        <w:rPr>
          <w:rFonts w:ascii="Arial" w:hAnsi="Arial" w:cs="Arial"/>
          <w:b/>
          <w:bCs/>
        </w:rPr>
        <w:lastRenderedPageBreak/>
        <w:t>Preparedness in Normal Times</w:t>
      </w:r>
    </w:p>
    <w:p w14:paraId="2EDC9D94" w14:textId="77777777" w:rsidR="00AE0BDF" w:rsidRDefault="00AE0BDF" w:rsidP="00AE0BDF">
      <w:pPr>
        <w:spacing w:after="0" w:line="480" w:lineRule="auto"/>
        <w:jc w:val="both"/>
        <w:rPr>
          <w:rFonts w:ascii="Arial" w:hAnsi="Arial" w:cs="Arial"/>
        </w:rPr>
      </w:pPr>
      <w:r>
        <w:rPr>
          <w:rFonts w:ascii="Arial" w:hAnsi="Arial" w:cs="Arial"/>
        </w:rPr>
        <w:tab/>
      </w:r>
      <w:r w:rsidRPr="00FF2595">
        <w:rPr>
          <w:rFonts w:ascii="Arial" w:hAnsi="Arial" w:cs="Arial"/>
        </w:rPr>
        <w:t xml:space="preserve">The quantitative result for Preparedness in Normal Times obtained a mean score of 4.44 with a standard deviation of 0.65, interpreted as Very High. This suggests that the schools consistently implemented regular disaster preparedness measures even during ordinary school days or in the absence of immediate disaster warnings. In relation to DepEd Order No. 033, s. 2021, the result indicates that the respondents perceived the school-based disaster preparedness measures as strongly implemented and embedded in their regular school operations. Since the respondents were school heads and DRRM coordinators who were directly involved in planning, coordinating, and monitoring DRRM activities, their ratings reflect a high level of confidence in the schools’ compliance with the mandated preparedness mechanisms. However, the standard deviation of 0.65 also suggests some variation in responses, implying that while implementation was generally very high, the consistency of preparedness practices may still differ across schools due to differences in resources, infrastructure, and local conditions. </w:t>
      </w:r>
    </w:p>
    <w:p w14:paraId="387A80CB" w14:textId="43405D3D" w:rsidR="00093710" w:rsidRPr="002B14EB" w:rsidRDefault="00093710" w:rsidP="00AE0BDF">
      <w:pPr>
        <w:spacing w:after="0" w:line="480" w:lineRule="auto"/>
        <w:jc w:val="both"/>
        <w:rPr>
          <w:rFonts w:ascii="Arial" w:hAnsi="Arial" w:cs="Arial"/>
        </w:rPr>
      </w:pPr>
      <w:r>
        <w:rPr>
          <w:rFonts w:ascii="Arial" w:hAnsi="Arial" w:cs="Arial"/>
        </w:rPr>
        <w:tab/>
      </w:r>
      <w:r w:rsidRPr="002B14EB">
        <w:rPr>
          <w:rFonts w:ascii="Arial" w:hAnsi="Arial" w:cs="Arial"/>
        </w:rPr>
        <w:t xml:space="preserve">The result is supported by Tizon and </w:t>
      </w:r>
      <w:proofErr w:type="spellStart"/>
      <w:r w:rsidRPr="002B14EB">
        <w:rPr>
          <w:rFonts w:ascii="Arial" w:hAnsi="Arial" w:cs="Arial"/>
        </w:rPr>
        <w:t>Comighud</w:t>
      </w:r>
      <w:proofErr w:type="spellEnd"/>
      <w:r w:rsidRPr="002B14EB">
        <w:rPr>
          <w:rFonts w:ascii="Arial" w:hAnsi="Arial" w:cs="Arial"/>
        </w:rPr>
        <w:t xml:space="preserve"> (2020), who found that public schools demonstrated well-implemented DRRM programs and a high level of capability to respond to hazards, showing that preparedness becomes stronger when DRRM mechanisms are institutionalized in school operations. Similarly, Ronquillo (2020) revealed that teachers in public senior high schools practiced preparedness by familiarizing learners with standard procedures, safety reminders, and drill protocols, while also encouraging school personnel and students to remain prepared even before disasters occur. In addition, </w:t>
      </w:r>
      <w:proofErr w:type="spellStart"/>
      <w:r w:rsidRPr="002B14EB">
        <w:rPr>
          <w:rFonts w:ascii="Arial" w:hAnsi="Arial" w:cs="Arial"/>
        </w:rPr>
        <w:t>Pojas</w:t>
      </w:r>
      <w:proofErr w:type="spellEnd"/>
      <w:r w:rsidRPr="002B14EB">
        <w:rPr>
          <w:rFonts w:ascii="Arial" w:hAnsi="Arial" w:cs="Arial"/>
        </w:rPr>
        <w:t xml:space="preserve"> (2024) found that school disaster risk reduction and management programs had a strong impact on preparedness, response, recovery, and rehabilitation, although implementation was still affected by challenges encountered by schools. These studies support the present finding that school heads and DRRM coordinators perceived </w:t>
      </w:r>
      <w:r w:rsidRPr="002B14EB">
        <w:rPr>
          <w:rFonts w:ascii="Arial" w:hAnsi="Arial" w:cs="Arial"/>
        </w:rPr>
        <w:lastRenderedPageBreak/>
        <w:t>preparedness in normal times as strongly embedded in regular school operations; however, the standard deviation of 0.65 suggests that while implementation was generally very high, some differences may still exist across schools due to variations in resources, infrastructure, communication access, and local conditions.</w:t>
      </w:r>
    </w:p>
    <w:p w14:paraId="6095FCAC" w14:textId="77777777" w:rsidR="00AE0BDF" w:rsidRPr="002B14EB" w:rsidRDefault="00AE0BDF" w:rsidP="00AE0BDF">
      <w:pPr>
        <w:spacing w:after="0" w:line="480" w:lineRule="auto"/>
        <w:jc w:val="both"/>
        <w:rPr>
          <w:rFonts w:ascii="Arial" w:hAnsi="Arial" w:cs="Arial"/>
        </w:rPr>
      </w:pPr>
      <w:r w:rsidRPr="002B14EB">
        <w:rPr>
          <w:rFonts w:ascii="Arial" w:hAnsi="Arial" w:cs="Arial"/>
        </w:rPr>
        <w:tab/>
        <w:t xml:space="preserve">The qualitative findings further explained this very high rating through the themes Participatory Contingency Planning, Proactive Physical Mitigation, and Leadership Commitment. The interviews revealed that schools prepared DRRM contingency plans through the involvement of school heads, DRRM coordinators, teachers, and in some cases, barangay officials. Participants also described proactive mitigation practices such as monitoring waterways, maintaining drainage systems, concreting vulnerable areas, pruning trees, cleaning canals, and placing important materials in elevated areas. These practices show that preparedness was not limited to written compliance but was translated into actual school routines. Nevertheless, the interviews also pointed to areas for improvement in the implementation of the DepEd Order. Some respondents mentioned shortages in first aid kits, hard hats, internet supply, ICT resources, and differences in preparedness practices depending on leadership priorities, school location, available materials, and community cooperation. These findings suggest that although the policy is highly implemented, there remains a need to strengthen resource provision, technology support, school-level monitoring, and leadership consistency across schools. </w:t>
      </w:r>
    </w:p>
    <w:p w14:paraId="3F41D6C4" w14:textId="77777777" w:rsidR="00B16C75" w:rsidRDefault="00B16C75" w:rsidP="00B16C75">
      <w:pPr>
        <w:spacing w:after="0" w:line="480" w:lineRule="auto"/>
        <w:jc w:val="both"/>
        <w:rPr>
          <w:rFonts w:ascii="Arial" w:hAnsi="Arial" w:cs="Arial"/>
        </w:rPr>
      </w:pPr>
      <w:r w:rsidRPr="002B14EB">
        <w:rPr>
          <w:rFonts w:ascii="Arial" w:hAnsi="Arial" w:cs="Arial"/>
        </w:rPr>
        <w:tab/>
        <w:t xml:space="preserve">The first theme, participatory contingency planning, is strongly reflected in the very high preparedness in normal times (M = 4.44), suggesting that schools actively involve stakeholders in disaster readiness activities. This aligns with recent findings emphasizing the importance of inclusive planning in strengthening school resilience. According to Reiersen et al. (2021), participatory school disaster planning significantly improves preparedness outcomes by ensuring that teachers, administrators, and community </w:t>
      </w:r>
      <w:r w:rsidRPr="002B14EB">
        <w:rPr>
          <w:rFonts w:ascii="Arial" w:hAnsi="Arial" w:cs="Arial"/>
        </w:rPr>
        <w:lastRenderedPageBreak/>
        <w:t>members collectively identify risks and develop context-specific contingency measures. Similarly, Johnson and Idema (2020) found that schools with structured stakeholder engagement in emergency planning demonstrated higher readiness levels and faster coordination during hazard simulations. In addition, Alim et al. (20</w:t>
      </w:r>
      <w:r w:rsidRPr="00FC2B2D">
        <w:rPr>
          <w:rFonts w:ascii="Arial" w:hAnsi="Arial" w:cs="Arial"/>
        </w:rPr>
        <w:t>22) emphasized that participatory approaches in school DRRM enhance ownership of preparedness plans, resulting in more consistent implementation of safety protocols and emergency procedures. Collectively, these studies support the notion that participatory contingency planning contributes significantly to sustained preparedness in schools.</w:t>
      </w:r>
    </w:p>
    <w:p w14:paraId="5BD9032E" w14:textId="77777777" w:rsidR="00B16C75" w:rsidRDefault="00B16C75" w:rsidP="00B16C75">
      <w:pPr>
        <w:spacing w:after="0" w:line="480" w:lineRule="auto"/>
        <w:jc w:val="both"/>
        <w:rPr>
          <w:rFonts w:ascii="Arial" w:hAnsi="Arial" w:cs="Arial"/>
        </w:rPr>
      </w:pPr>
      <w:r>
        <w:rPr>
          <w:rFonts w:ascii="Arial" w:hAnsi="Arial" w:cs="Arial"/>
        </w:rPr>
        <w:tab/>
      </w:r>
      <w:r w:rsidRPr="00FC2B2D">
        <w:rPr>
          <w:rFonts w:ascii="Arial" w:hAnsi="Arial" w:cs="Arial"/>
        </w:rPr>
        <w:t xml:space="preserve">The second theme, proactive physical mitigation, is also evident in the high level of preparedness, indicating that schools regularly implement structural and non-structural safety measures before disasters occur. This is supported by recent literature highlighting the role of anticipatory risk reduction strategies in school safety. For instance, Shah et al. (2020) reported that proactive hazard mitigation measures such as safety inspections, infrastructure strengthening, and regular emergency drills significantly reduce school vulnerability to disasters. Likewise, Rahman and Shaw (2021) found that schools adopting proactive physical mitigation strategies, including hazard mapping and facility retrofitting, experienced improved resilience and reduced disruption during disaster events. Furthermore, </w:t>
      </w:r>
      <w:proofErr w:type="spellStart"/>
      <w:r w:rsidRPr="00FC2B2D">
        <w:rPr>
          <w:rFonts w:ascii="Arial" w:hAnsi="Arial" w:cs="Arial"/>
        </w:rPr>
        <w:t>Seddighi</w:t>
      </w:r>
      <w:proofErr w:type="spellEnd"/>
      <w:r w:rsidRPr="00FC2B2D">
        <w:rPr>
          <w:rFonts w:ascii="Arial" w:hAnsi="Arial" w:cs="Arial"/>
        </w:rPr>
        <w:t xml:space="preserve"> et al. (2022) emphasized that consistent implementation of preventive safety measures enhances institutional readiness by minimizing potential damage and ensuring continuity of school operations. These studies collectively reinforce the importance of proactive physical mitigation in sustaining high levels of preparedness in normal times.</w:t>
      </w:r>
    </w:p>
    <w:p w14:paraId="0534482E" w14:textId="5AC667A9" w:rsidR="00B16C75" w:rsidRPr="00FF2595" w:rsidRDefault="00B16C75" w:rsidP="00AE0BDF">
      <w:pPr>
        <w:spacing w:after="0" w:line="480" w:lineRule="auto"/>
        <w:jc w:val="both"/>
        <w:rPr>
          <w:rFonts w:ascii="Arial" w:hAnsi="Arial" w:cs="Arial"/>
        </w:rPr>
      </w:pPr>
      <w:r>
        <w:rPr>
          <w:rFonts w:ascii="Arial" w:hAnsi="Arial" w:cs="Arial"/>
        </w:rPr>
        <w:tab/>
      </w:r>
      <w:r w:rsidRPr="00FC2B2D">
        <w:rPr>
          <w:rFonts w:ascii="Arial" w:hAnsi="Arial" w:cs="Arial"/>
        </w:rPr>
        <w:t xml:space="preserve">The third theme, leadership commitment, underscores the role of school heads in sustaining preparedness practices, as reflected in the very high mean score. This finding is supported by recent studies highlighting leadership as a critical driver of disaster </w:t>
      </w:r>
      <w:r w:rsidRPr="00FC2B2D">
        <w:rPr>
          <w:rFonts w:ascii="Arial" w:hAnsi="Arial" w:cs="Arial"/>
        </w:rPr>
        <w:lastRenderedPageBreak/>
        <w:t>preparedness in educational institutions. According to Mutasa and Nyoni (2020), strong leadership commitment ensures the institutionalization of disaster risk reduction policies and continuous implementation of preparedness programs in schools. Similarly, Armagan et al. (2021) found that school leaders who actively prioritize disaster preparedness foster a culture of safety, accountability, and continuous readiness among staff and students. In addition, Mutch (2023) emphasized that sustained leadership engagement is essential for maintaining preparedness systems, particularly in resource-constrained school settings, as it ensures consistent coordination, training, and policy enforcement. Together, these studies confirm that leadership commitment is a fundamental factor in achieving and sustaining very high preparedness in normal times.</w:t>
      </w:r>
    </w:p>
    <w:p w14:paraId="750B3E61" w14:textId="77777777" w:rsidR="00AE0BDF" w:rsidRPr="00FF2595" w:rsidRDefault="00AE0BDF" w:rsidP="00AE0BDF">
      <w:pPr>
        <w:spacing w:after="0" w:line="480" w:lineRule="auto"/>
        <w:jc w:val="both"/>
        <w:rPr>
          <w:rFonts w:ascii="Arial" w:hAnsi="Arial" w:cs="Arial"/>
        </w:rPr>
      </w:pPr>
      <w:r>
        <w:rPr>
          <w:rFonts w:ascii="Arial" w:hAnsi="Arial" w:cs="Arial"/>
        </w:rPr>
        <w:tab/>
      </w:r>
      <w:r w:rsidRPr="00FF2595">
        <w:rPr>
          <w:rFonts w:ascii="Arial" w:hAnsi="Arial" w:cs="Arial"/>
        </w:rPr>
        <w:t>The integration of the quantitative and qualitative results shows a clear connection between the very high numerical rating and the actual preparedness practices described by the participants. The quantitative data established that preparedness in normal times was very highly implemented, while the qualitative data explained why this was the case: schools had contingency plans, assigned DRRM roles, conducted preventive physical measures, and relied on the commitment of school heads to sustain implementation. At the same time, the qualitative findings also helped explain the variation reflected in the standard deviation, as some schools still experienced limitations in resources, equipment, internet connectivity, and infrastructure. Thus, the qualitative phase supported and deepened the quantitative result by showing both the strengths behind the high rating and the contextual gaps that still need attention.</w:t>
      </w:r>
    </w:p>
    <w:p w14:paraId="212591E2" w14:textId="790EB089" w:rsidR="00AD76DF" w:rsidRPr="00AD76DF" w:rsidRDefault="00AE0BDF" w:rsidP="00AD76DF">
      <w:pPr>
        <w:spacing w:after="0" w:line="480" w:lineRule="auto"/>
        <w:jc w:val="both"/>
        <w:rPr>
          <w:rFonts w:ascii="Arial" w:hAnsi="Arial" w:cs="Arial"/>
        </w:rPr>
      </w:pPr>
      <w:r>
        <w:rPr>
          <w:rFonts w:ascii="Arial" w:hAnsi="Arial" w:cs="Arial"/>
        </w:rPr>
        <w:tab/>
      </w:r>
      <w:r w:rsidR="00AD76DF" w:rsidRPr="00AD76DF">
        <w:rPr>
          <w:rFonts w:ascii="Arial" w:hAnsi="Arial" w:cs="Arial"/>
        </w:rPr>
        <w:t xml:space="preserve">The result is strongly aligned with Crisis Management Theory by Mitroff (2005) and Pearson and Clair (1998), which emphasizes that effective crisis management begins before the crisis happens. The theory highlights anticipation, preparation, leadership, and organizational readiness as foundations of effective crisis response. In this study, the </w:t>
      </w:r>
      <w:r w:rsidR="00AD76DF" w:rsidRPr="00AD76DF">
        <w:rPr>
          <w:rFonts w:ascii="Arial" w:hAnsi="Arial" w:cs="Arial"/>
        </w:rPr>
        <w:lastRenderedPageBreak/>
        <w:t>quantitative rating of “very high” indicates that school heads demonstrate strong anticipatory preparedness, while the qualitative themes explain how this preparedness is practiced through inclusive planning, hazard reduction, and leadership commitment. Participatory contingency planning reflects the theory’s emphasis on early preparation and shared decision-making; proactive physical mitigation reflects risk reduction before disruption occurs; and leadership commitment reflects the role of school heads in sustaining readiness even during normal times.</w:t>
      </w:r>
    </w:p>
    <w:p w14:paraId="395A549B" w14:textId="23F78B94" w:rsidR="00AD76DF" w:rsidRPr="00AD76DF" w:rsidRDefault="00AD76DF" w:rsidP="00AD76DF">
      <w:pPr>
        <w:spacing w:after="0" w:line="480" w:lineRule="auto"/>
        <w:jc w:val="both"/>
        <w:rPr>
          <w:rFonts w:ascii="Arial" w:hAnsi="Arial" w:cs="Arial"/>
        </w:rPr>
      </w:pPr>
      <w:r>
        <w:rPr>
          <w:rFonts w:ascii="Arial" w:hAnsi="Arial" w:cs="Arial"/>
        </w:rPr>
        <w:tab/>
      </w:r>
      <w:r w:rsidRPr="00AD76DF">
        <w:rPr>
          <w:rFonts w:ascii="Arial" w:hAnsi="Arial" w:cs="Arial"/>
        </w:rPr>
        <w:t xml:space="preserve">The findings also support DepEd Order No. 033, s. 2021, which provides school-based disaster preparedness and response measures for tropical cyclones, flooding, and other weather-related disturbances. The policy guides public schools in preparing for and responding to hazards and defines what schools must do to safeguard learners, personnel, and educational investments during calamities and emergencies. It also recognizes the role of school heads in the planning, implementation, and monitoring of school-based disaster preparedness measures. Thus, the “very high” result under Preparedness in Normal Times complements the intent of the DepEd order because the school heads’ practices reflect the expected readiness mechanisms before disasters occur. </w:t>
      </w:r>
    </w:p>
    <w:p w14:paraId="2DAFEF9D" w14:textId="0CB32C5A" w:rsidR="000E5557" w:rsidRPr="00EB69C6" w:rsidRDefault="00EB69C6" w:rsidP="00AE0BDF">
      <w:pPr>
        <w:spacing w:after="0" w:line="480" w:lineRule="auto"/>
        <w:jc w:val="both"/>
        <w:rPr>
          <w:rFonts w:ascii="Arial" w:hAnsi="Arial" w:cs="Arial"/>
        </w:rPr>
      </w:pPr>
      <w:r>
        <w:rPr>
          <w:rFonts w:ascii="Arial" w:hAnsi="Arial" w:cs="Arial"/>
        </w:rPr>
        <w:tab/>
        <w:t xml:space="preserve">The </w:t>
      </w:r>
      <w:r w:rsidR="00AD76DF" w:rsidRPr="00AD76DF">
        <w:rPr>
          <w:rFonts w:ascii="Arial" w:hAnsi="Arial" w:cs="Arial"/>
        </w:rPr>
        <w:t xml:space="preserve">mixed-methods results suggest that school heads in the Davao de Oro Division have developed a strong culture of preparedness even during non-emergency periods. The qualitative findings enrich the quantitative result by showing that preparedness is not limited to compliance but is carried out through planning with stakeholders, maintaining safer physical conditions, and demonstrating visible leadership. At the same time, the findings imply that challenges may still exist, particularly in sustaining participation, updating contingency plans, and ensuring that mitigation measures are regularly checked. Nevertheless, these challenges do not weaken the “very high” result; </w:t>
      </w:r>
      <w:r w:rsidR="00AD76DF" w:rsidRPr="00AD76DF">
        <w:rPr>
          <w:rFonts w:ascii="Arial" w:hAnsi="Arial" w:cs="Arial"/>
        </w:rPr>
        <w:lastRenderedPageBreak/>
        <w:t>rather, they show that the schools’ preparedness practices are active, evolving, and continuously strengthened.</w:t>
      </w:r>
    </w:p>
    <w:p w14:paraId="7C8A50C3" w14:textId="5E924D64" w:rsidR="00AE0BDF" w:rsidRDefault="00AE0BDF" w:rsidP="00AE0BDF">
      <w:pPr>
        <w:spacing w:after="0" w:line="480" w:lineRule="auto"/>
        <w:jc w:val="both"/>
        <w:rPr>
          <w:rFonts w:ascii="Arial" w:hAnsi="Arial" w:cs="Arial"/>
          <w:b/>
          <w:bCs/>
        </w:rPr>
      </w:pPr>
      <w:r>
        <w:rPr>
          <w:rFonts w:ascii="Arial" w:hAnsi="Arial" w:cs="Arial"/>
          <w:b/>
          <w:bCs/>
        </w:rPr>
        <w:t>Preparedness for Response</w:t>
      </w:r>
    </w:p>
    <w:p w14:paraId="614951F5" w14:textId="77777777" w:rsidR="00AE0BDF" w:rsidRDefault="00AE0BDF" w:rsidP="00AE0BDF">
      <w:pPr>
        <w:spacing w:after="0" w:line="480" w:lineRule="auto"/>
        <w:jc w:val="both"/>
        <w:rPr>
          <w:rFonts w:ascii="Arial" w:hAnsi="Arial" w:cs="Arial"/>
        </w:rPr>
      </w:pPr>
      <w:r>
        <w:rPr>
          <w:rFonts w:ascii="Arial" w:hAnsi="Arial" w:cs="Arial"/>
        </w:rPr>
        <w:tab/>
        <w:t xml:space="preserve"> </w:t>
      </w:r>
      <w:r w:rsidRPr="003A06A1">
        <w:rPr>
          <w:rFonts w:ascii="Arial" w:hAnsi="Arial" w:cs="Arial"/>
        </w:rPr>
        <w:t xml:space="preserve">The quantitative result for Preparedness for Response obtained a mean score of 4.55 with a standard deviation of 0.54, interpreted as Very High. This suggests that schools consistently implemented precautionary and protective measures once warnings, advisories, or signs of possible disaster were received. In relation to DepEd Order No. 033, s. 2021, the result indicates that school heads and DRRM coordinators perceived the response-preparedness mechanisms of their schools as strongly implemented, particularly in preparing personnel, facilities, communication systems, and learning resources before the actual impact of a hazard. The high mean further implies that the respondents viewed their schools as capable of activating established preparedness procedures when faced with anticipated disasters such as typhoons, floods, landslides, heavy rains, and high heat index. Meanwhile, the standard deviation of 0.54 indicates relatively consistent responses among the respondents, suggesting that preparedness for response was similarly practiced across schools, although minor differences may still exist depending on available resources, communication access, and school context. </w:t>
      </w:r>
    </w:p>
    <w:p w14:paraId="0156CF7F" w14:textId="21F50752" w:rsidR="00FC73B0" w:rsidRPr="00FC73B0" w:rsidRDefault="00FC73B0" w:rsidP="00AE0BDF">
      <w:pPr>
        <w:spacing w:after="0" w:line="480" w:lineRule="auto"/>
        <w:jc w:val="both"/>
        <w:rPr>
          <w:rFonts w:ascii="Arial" w:hAnsi="Arial" w:cs="Arial"/>
        </w:rPr>
      </w:pPr>
      <w:r>
        <w:rPr>
          <w:rFonts w:ascii="Arial" w:hAnsi="Arial" w:cs="Arial"/>
        </w:rPr>
        <w:tab/>
      </w:r>
      <w:r w:rsidRPr="00FC73B0">
        <w:rPr>
          <w:rFonts w:ascii="Arial" w:hAnsi="Arial" w:cs="Arial"/>
        </w:rPr>
        <w:t>This finding aligns with the study of Aguado et al. (2021), which reported that schools with established DRRM structures demonstrated significantly higher readiness in activating emergency protocols, especially in hazard-prone areas, emphasizing the role of institutional policy and trained personnel in strengthening preparedness for response. Similarly, UNESCO (2022) highlighted that schools with regular simulation drills, clear communication chains, and updated contingency plans consistently scored high in response readiness, reinforcing the importance of system-wide preparedness mechanisms in minimizing disaster-related disruptions in education.</w:t>
      </w:r>
      <w:r>
        <w:rPr>
          <w:rFonts w:ascii="Arial" w:hAnsi="Arial" w:cs="Arial"/>
        </w:rPr>
        <w:t xml:space="preserve"> </w:t>
      </w:r>
      <w:r w:rsidRPr="00FC73B0">
        <w:rPr>
          <w:rFonts w:ascii="Arial" w:hAnsi="Arial" w:cs="Arial"/>
        </w:rPr>
        <w:t xml:space="preserve">However, a </w:t>
      </w:r>
      <w:r w:rsidRPr="00FC73B0">
        <w:rPr>
          <w:rFonts w:ascii="Arial" w:hAnsi="Arial" w:cs="Arial"/>
        </w:rPr>
        <w:lastRenderedPageBreak/>
        <w:t>contrasting result was noted in the study of Reyes and Santos (2023), which found that despite high self-reported preparedness levels, actual implementation gaps still existed during real disaster events, particularly in resource-limited schools where communication breakdowns and delayed activation of protocols were observed. This suggests that while perceived preparedness may be very high, actual response effectiveness can still vary depending on infrastructure and contextual limitations.</w:t>
      </w:r>
    </w:p>
    <w:p w14:paraId="54DA0D6D" w14:textId="77777777" w:rsidR="00AE0BDF" w:rsidRDefault="00AE0BDF" w:rsidP="00AE0BDF">
      <w:pPr>
        <w:spacing w:after="0" w:line="480" w:lineRule="auto"/>
        <w:jc w:val="both"/>
        <w:rPr>
          <w:rFonts w:ascii="Arial" w:hAnsi="Arial" w:cs="Arial"/>
        </w:rPr>
      </w:pPr>
      <w:r>
        <w:rPr>
          <w:rFonts w:ascii="Arial" w:hAnsi="Arial" w:cs="Arial"/>
        </w:rPr>
        <w:tab/>
      </w:r>
      <w:r w:rsidRPr="003A06A1">
        <w:rPr>
          <w:rFonts w:ascii="Arial" w:hAnsi="Arial" w:cs="Arial"/>
        </w:rPr>
        <w:t xml:space="preserve">The qualitative findings explained this very high rating through the themes Preventive Safety Measures, Community-Based Communications, and Strategic Continuity Planning. The interviews revealed that schools conducted advance safety checks, such as inspecting electrical systems, preparing emergency kits, securing school equipment, and informing teachers before disasters occurred. Participants also emphasized the use of group chats, Facebook pages, advisers, barangay officials, and municipal DRRM channels to disseminate warnings and instructions. Strategic continuity planning was also evident in the safeguarding of school records, preparation of soft copies, and protection of learning materials and equipment. However, despite the very high rating, the interviews also revealed areas that still need improvement in the implementation of the DepEd Order. These include the need for backup power sources, generators, batteries, walkie-talkies, stable internet connection, sufficient first aid kits, hard hats, and stronger alternative communication systems during power or signal interruptions. These concerns suggest that while schools are responsive to warnings and advisories, the implementation of preparedness for response can still be strengthened through better resource allocation, improved emergency communication tools, and more resilient support systems. </w:t>
      </w:r>
    </w:p>
    <w:p w14:paraId="1143007A" w14:textId="21182CEE" w:rsidR="00EB69C6" w:rsidRDefault="00EB69C6" w:rsidP="00AE0BDF">
      <w:pPr>
        <w:spacing w:after="0" w:line="480" w:lineRule="auto"/>
        <w:jc w:val="both"/>
        <w:rPr>
          <w:rFonts w:ascii="Arial" w:hAnsi="Arial" w:cs="Arial"/>
        </w:rPr>
      </w:pPr>
      <w:r>
        <w:rPr>
          <w:rFonts w:ascii="Arial" w:hAnsi="Arial" w:cs="Arial"/>
        </w:rPr>
        <w:tab/>
      </w:r>
      <w:r w:rsidRPr="00EB69C6">
        <w:rPr>
          <w:rFonts w:ascii="Arial" w:hAnsi="Arial" w:cs="Arial"/>
        </w:rPr>
        <w:t>The first theme</w:t>
      </w:r>
      <w:r w:rsidRPr="004674D3">
        <w:rPr>
          <w:rFonts w:ascii="Arial" w:hAnsi="Arial" w:cs="Arial"/>
        </w:rPr>
        <w:t>, preventive safety measures</w:t>
      </w:r>
      <w:r w:rsidRPr="00EB69C6">
        <w:rPr>
          <w:rFonts w:ascii="Arial" w:hAnsi="Arial" w:cs="Arial"/>
        </w:rPr>
        <w:t xml:space="preserve">, reflects the very high preparedness for response (M = 4.55), indicating that schools consistently conduct advance safety </w:t>
      </w:r>
      <w:r w:rsidRPr="00EB69C6">
        <w:rPr>
          <w:rFonts w:ascii="Arial" w:hAnsi="Arial" w:cs="Arial"/>
        </w:rPr>
        <w:lastRenderedPageBreak/>
        <w:t>checks and risk prevention actions before disasters occur. This finding is supported by recent literature emphasizing the importance of proactive safety systems in school resilience. According to Hite and Smith (2020), regular safety inspections and hazard audits in schools significantly reduce response time and improve emergency readiness during disaster events. Similarly, Garcia and Zhou (2021) found that institutions implementing structured preventive safety protocols, including evacuation drills and equipment checks, demonstrate higher levels of disaster response efficiency and lower risk exposure. In addition, Alhassan et al. (2023) emphasized that preventive school safety measures, particularly those integrated into routine school management systems, strengthen institutional preparedness and ensure continuity of protection for learners and staff. These studies collectively affirm that preventive safety measures are a critical foundation for effective disaster response preparedness in schools.</w:t>
      </w:r>
    </w:p>
    <w:p w14:paraId="3FCEA9B3" w14:textId="77777777" w:rsidR="004674D3" w:rsidRPr="004674D3" w:rsidRDefault="004674D3" w:rsidP="004674D3">
      <w:pPr>
        <w:spacing w:after="0" w:line="480" w:lineRule="auto"/>
        <w:jc w:val="both"/>
        <w:rPr>
          <w:rFonts w:ascii="Arial" w:hAnsi="Arial" w:cs="Arial"/>
        </w:rPr>
      </w:pPr>
      <w:r>
        <w:rPr>
          <w:rFonts w:ascii="Arial" w:hAnsi="Arial" w:cs="Arial"/>
        </w:rPr>
        <w:tab/>
      </w:r>
      <w:r w:rsidRPr="004674D3">
        <w:rPr>
          <w:rFonts w:ascii="Arial" w:hAnsi="Arial" w:cs="Arial"/>
        </w:rPr>
        <w:t xml:space="preserve">The second theme, community-based communications, highlights the role of active stakeholder coordination in ensuring effective preparedness for response, as reflected in the very high rating. This aligns with recent research stressing that communication systems are essential in disaster readiness. For instance, </w:t>
      </w:r>
      <w:r w:rsidRPr="00B54C0E">
        <w:rPr>
          <w:rFonts w:ascii="Arial" w:hAnsi="Arial" w:cs="Arial"/>
        </w:rPr>
        <w:t>Patel and McCarthy (2020)</w:t>
      </w:r>
      <w:r w:rsidRPr="004674D3">
        <w:rPr>
          <w:rFonts w:ascii="Arial" w:hAnsi="Arial" w:cs="Arial"/>
        </w:rPr>
        <w:t xml:space="preserve"> found that schools with strong communication networks involving parents, local government units, and emergency responders experience more coordinated and timely disaster responses. Likewise, Osei et al. (2022) emphasized that community-based communication strategies, such as early warning dissemination systems and stakeholder coordination meetings, significantly enhance school resilience during emergencies. Furthermore, Lim and Navarro (2024) reported that continuous engagement between schools and community stakeholders improves information flow, enabling faster decision-making and reducing confusion during disaster events. Together, these studies </w:t>
      </w:r>
      <w:r w:rsidRPr="004674D3">
        <w:rPr>
          <w:rFonts w:ascii="Arial" w:hAnsi="Arial" w:cs="Arial"/>
        </w:rPr>
        <w:lastRenderedPageBreak/>
        <w:t>confirm that community-based communications play a vital role in strengthening preparedness for response.</w:t>
      </w:r>
    </w:p>
    <w:p w14:paraId="49D7761A" w14:textId="04E60AE2" w:rsidR="004674D3" w:rsidRDefault="004674D3" w:rsidP="00AE0BDF">
      <w:pPr>
        <w:spacing w:after="0" w:line="480" w:lineRule="auto"/>
        <w:jc w:val="both"/>
        <w:rPr>
          <w:rFonts w:ascii="Arial" w:hAnsi="Arial" w:cs="Arial"/>
        </w:rPr>
      </w:pPr>
      <w:r w:rsidRPr="004674D3">
        <w:rPr>
          <w:rFonts w:ascii="Arial" w:hAnsi="Arial" w:cs="Arial"/>
        </w:rPr>
        <w:t>The third theme, strategic continuity planning, is reflected in the high preparedness rating, indicating that schools actively protect learning resources and ensure operational continuity before disasters occur. This is supported by recent studies emphasizing the importance of continuity planning in education systems. According to Brown et al. (2021), schools that implement strategic continuity plans are better able to maintain instructional delivery and safeguard critical records during emergencies. Similarly, UNESCO (2022) highlighted that education systems with established continuity frameworks, including digital backups and modular learning strategies, are more resilient in the face of disruptions. In addition, Kim and Lee (2023) found that strategic continuity planning significantly improves institutional recovery capacity by ensuring that teaching and learning resources remain accessible even during prolonged disaster situations. These findings collectively support the role of strategic continuity planning in sustaining very high preparedness for response in schools.</w:t>
      </w:r>
    </w:p>
    <w:p w14:paraId="4C41FE3E" w14:textId="12245FFA" w:rsidR="00AE0BDF" w:rsidRPr="003A06A1" w:rsidRDefault="00FC2B2D" w:rsidP="00B16C75">
      <w:pPr>
        <w:spacing w:after="0" w:line="480" w:lineRule="auto"/>
        <w:jc w:val="both"/>
        <w:rPr>
          <w:rFonts w:ascii="Arial" w:hAnsi="Arial" w:cs="Arial"/>
        </w:rPr>
      </w:pPr>
      <w:r>
        <w:rPr>
          <w:rFonts w:ascii="Arial" w:hAnsi="Arial" w:cs="Arial"/>
        </w:rPr>
        <w:tab/>
      </w:r>
      <w:r w:rsidR="00AE0BDF" w:rsidRPr="003A06A1">
        <w:rPr>
          <w:rFonts w:ascii="Arial" w:hAnsi="Arial" w:cs="Arial"/>
        </w:rPr>
        <w:t xml:space="preserve">The integration of the quantitative and qualitative results shows that the very high score for Preparedness for Response is supported by the actual practices described by the participants. The quantitative data established that schools were highly prepared to respond before disaster impact, while the qualitative data explained how this preparedness was carried out through advance safety inspections, early warning dissemination, coordination with community partners, and protection of records and learning resources. At the same time, the qualitative findings clarified that the high score did not mean the absence of challenges. Instead, the interviews showed that schools were able to implement response-preparedness measures despite limitations in electricity, internet connectivity, emergency supplies, and communication equipment. Thus, the </w:t>
      </w:r>
      <w:r w:rsidR="00AE0BDF" w:rsidRPr="003A06A1">
        <w:rPr>
          <w:rFonts w:ascii="Arial" w:hAnsi="Arial" w:cs="Arial"/>
        </w:rPr>
        <w:lastRenderedPageBreak/>
        <w:t>qualitative findings deepened the quantitative results by showing both the operational strengths and the remaining resource gaps behind the very high rating.</w:t>
      </w:r>
    </w:p>
    <w:p w14:paraId="2BD85A69" w14:textId="71F678B5" w:rsidR="00AD76DF" w:rsidRPr="00AD76DF" w:rsidRDefault="00AE0BDF" w:rsidP="00AD76DF">
      <w:pPr>
        <w:spacing w:after="0" w:line="480" w:lineRule="auto"/>
        <w:jc w:val="both"/>
        <w:rPr>
          <w:rFonts w:ascii="Arial" w:hAnsi="Arial" w:cs="Arial"/>
        </w:rPr>
      </w:pPr>
      <w:r>
        <w:rPr>
          <w:rFonts w:ascii="Arial" w:hAnsi="Arial" w:cs="Arial"/>
        </w:rPr>
        <w:tab/>
      </w:r>
      <w:r w:rsidR="00AD76DF" w:rsidRPr="00AD76DF">
        <w:rPr>
          <w:rFonts w:ascii="Arial" w:hAnsi="Arial" w:cs="Arial"/>
        </w:rPr>
        <w:t>In relation to Crisis Management Theory, Preparedness for Response represents the transition from anticipation to organized action. The theory explains that crisis effectiveness depends on structured decision-making, communication, and readiness under uncertain and high-pressure conditions. The qualitative themes show this alignment clearly: preventive safety measures represent proactive risk control, community-based communications represent coordinated information-sharing during threat situations, and strategic continuity planning represents the school’s capacity to maintain essential functions despite disruption. Therefore, the “very high” quantitative result is strengthened by the qualitative data because both show that school heads are not only preparing documents but are also organizing response systems that can be activated when hazards become imminent.</w:t>
      </w:r>
    </w:p>
    <w:p w14:paraId="26112BE3" w14:textId="450314A8" w:rsidR="00AD76DF" w:rsidRPr="00AD76DF" w:rsidRDefault="00AD76DF" w:rsidP="00AD76DF">
      <w:pPr>
        <w:spacing w:after="0" w:line="480" w:lineRule="auto"/>
        <w:jc w:val="both"/>
        <w:rPr>
          <w:rFonts w:ascii="Arial" w:hAnsi="Arial" w:cs="Arial"/>
        </w:rPr>
      </w:pPr>
      <w:r>
        <w:rPr>
          <w:rFonts w:ascii="Arial" w:hAnsi="Arial" w:cs="Arial"/>
        </w:rPr>
        <w:tab/>
      </w:r>
      <w:r w:rsidRPr="00AD76DF">
        <w:rPr>
          <w:rFonts w:ascii="Arial" w:hAnsi="Arial" w:cs="Arial"/>
        </w:rPr>
        <w:t xml:space="preserve">The findings also complement DepEd Order No. 033, s. 2021, because the order was issued to guide schools in preparing for and responding to the impacts of tropical cyclones, flooding, and other weather-related hazards. The policy emphasizes safeguarding learners, personnel, and educational investments and identifies the support roles of division, regional, and central offices in enabling school-based measures. The very high rating in Preparedness for Response indicates that school heads are implementing practices consistent with the order’s expectation that schools should be ready before disaster impacts are fully experienced. </w:t>
      </w:r>
    </w:p>
    <w:p w14:paraId="566B7CF5" w14:textId="3B506CBB" w:rsidR="00AD76DF" w:rsidRPr="003A06A1" w:rsidRDefault="00AD76DF" w:rsidP="00AE0BDF">
      <w:pPr>
        <w:spacing w:after="0" w:line="480" w:lineRule="auto"/>
        <w:jc w:val="both"/>
        <w:rPr>
          <w:rFonts w:ascii="Arial" w:hAnsi="Arial" w:cs="Arial"/>
        </w:rPr>
      </w:pPr>
      <w:r>
        <w:rPr>
          <w:rFonts w:ascii="Arial" w:hAnsi="Arial" w:cs="Arial"/>
        </w:rPr>
        <w:tab/>
      </w:r>
      <w:r w:rsidR="00FC2B2D">
        <w:rPr>
          <w:rFonts w:ascii="Arial" w:hAnsi="Arial" w:cs="Arial"/>
        </w:rPr>
        <w:t xml:space="preserve">The </w:t>
      </w:r>
      <w:r w:rsidRPr="00AD76DF">
        <w:rPr>
          <w:rFonts w:ascii="Arial" w:hAnsi="Arial" w:cs="Arial"/>
        </w:rPr>
        <w:t xml:space="preserve">mixed-methods findings indicate that school heads in the Davao de Oro Division have strengthened their response readiness through practical and coordinated actions. The qualitative data show that their preparedness is manifested through advance safety checks, active communication with stakeholders, and protection of records and </w:t>
      </w:r>
      <w:r w:rsidRPr="00AD76DF">
        <w:rPr>
          <w:rFonts w:ascii="Arial" w:hAnsi="Arial" w:cs="Arial"/>
        </w:rPr>
        <w:lastRenderedPageBreak/>
        <w:t>learning resources. Possible challenges may include ensuring that communication reaches all concerned stakeholders on time, maintaining updated response plans, and securing adequate materials for continuity measures. However, these challenges remain complementary to the very high rating because they point to areas for refinement rather than weakness in implementation.</w:t>
      </w:r>
    </w:p>
    <w:p w14:paraId="53C91AFE" w14:textId="77777777" w:rsidR="00AE0BDF" w:rsidRDefault="00AE0BDF" w:rsidP="00AE0BDF">
      <w:pPr>
        <w:spacing w:after="0" w:line="480" w:lineRule="auto"/>
        <w:jc w:val="both"/>
        <w:rPr>
          <w:rFonts w:ascii="Arial" w:hAnsi="Arial" w:cs="Arial"/>
          <w:b/>
          <w:bCs/>
        </w:rPr>
      </w:pPr>
      <w:r>
        <w:rPr>
          <w:rFonts w:ascii="Arial" w:hAnsi="Arial" w:cs="Arial"/>
          <w:b/>
          <w:bCs/>
        </w:rPr>
        <w:t>Disaster Response Measures</w:t>
      </w:r>
    </w:p>
    <w:p w14:paraId="651D70CA" w14:textId="77777777" w:rsidR="00AE0BDF" w:rsidRDefault="00AE0BDF" w:rsidP="00AE0BDF">
      <w:pPr>
        <w:spacing w:after="0" w:line="480" w:lineRule="auto"/>
        <w:jc w:val="both"/>
        <w:rPr>
          <w:rFonts w:ascii="Arial" w:hAnsi="Arial" w:cs="Arial"/>
        </w:rPr>
      </w:pPr>
      <w:r>
        <w:rPr>
          <w:rFonts w:ascii="Arial" w:hAnsi="Arial" w:cs="Arial"/>
        </w:rPr>
        <w:tab/>
      </w:r>
      <w:r w:rsidRPr="003A06A1">
        <w:rPr>
          <w:rFonts w:ascii="Arial" w:hAnsi="Arial" w:cs="Arial"/>
        </w:rPr>
        <w:t xml:space="preserve">The quantitative result for Disaster Response Measures obtained a mean score of 4.57 with a standard deviation of 0.53, interpreted as Very High. This was the highest mean among the three indicators, suggesting that schools were most consistent and visible in carrying out coordinated actions during and after disaster events. In relation to DepEd Order No. 033, s. 2021, the result indicates that school heads and DRRM coordinators perceived the implementation of disaster response measures as strongly evident in actual emergency situations, particularly in protecting learners and personnel, coordinating reports, and maintaining school operations during disruptions. The relatively low standard deviation also suggests that respondents had fairly consistent perceptions regarding the implementation of disaster response practices across schools. This implies that the schools were able to translate the mandated response measures of the DepEd Order into actual school-level actions during disaster situations. </w:t>
      </w:r>
    </w:p>
    <w:p w14:paraId="0AAE71DB" w14:textId="60F5E6E3" w:rsidR="005F0D94" w:rsidRPr="003A06A1" w:rsidRDefault="005F0D94" w:rsidP="00AE0BDF">
      <w:pPr>
        <w:spacing w:after="0" w:line="480" w:lineRule="auto"/>
        <w:jc w:val="both"/>
        <w:rPr>
          <w:rFonts w:ascii="Arial" w:hAnsi="Arial" w:cs="Arial"/>
        </w:rPr>
      </w:pPr>
      <w:r>
        <w:rPr>
          <w:rFonts w:ascii="Arial" w:hAnsi="Arial" w:cs="Arial"/>
        </w:rPr>
        <w:tab/>
      </w:r>
      <w:r w:rsidRPr="005F0D94">
        <w:rPr>
          <w:rFonts w:ascii="Arial" w:hAnsi="Arial" w:cs="Arial"/>
        </w:rPr>
        <w:t xml:space="preserve">This finding is supported by Fuentes (2023), who found that teachers experienced school disaster response and recovery as a shared responsibility, strengthened by supportive administration, training and workshops, and strategic information dissemination, which are necessary in protecting learners and personnel during emergencies. Similarly, </w:t>
      </w:r>
      <w:proofErr w:type="spellStart"/>
      <w:r w:rsidRPr="005F0D94">
        <w:rPr>
          <w:rFonts w:ascii="Arial" w:hAnsi="Arial" w:cs="Arial"/>
        </w:rPr>
        <w:t>Baluran</w:t>
      </w:r>
      <w:proofErr w:type="spellEnd"/>
      <w:r w:rsidRPr="005F0D94">
        <w:rPr>
          <w:rFonts w:ascii="Arial" w:hAnsi="Arial" w:cs="Arial"/>
        </w:rPr>
        <w:t xml:space="preserve"> (2023) reported that public elementary schools demonstrated a high level of DRRM implementation in terms of disaster response, suggesting that schools were able to carry out organized actions when hazards occurred. </w:t>
      </w:r>
      <w:r w:rsidRPr="005F0D94">
        <w:rPr>
          <w:rFonts w:ascii="Arial" w:hAnsi="Arial" w:cs="Arial"/>
        </w:rPr>
        <w:lastRenderedPageBreak/>
        <w:t>In addition, Cresencio and Yabut (2023) found that coastal schools in Pampanga showed uniformity in implementing school disaster risk reduction and management measures, particularly in maintaining safe learning facilities, school disaster management, and safety procedures. These studies support the present result by confirming that effective disaster response measures depend on coordinated school leadership, trained personnel, clear communication, and established safety procedures that allow schools to respond promptly and maintain continuity during disaster disruptions.</w:t>
      </w:r>
    </w:p>
    <w:p w14:paraId="357CF284" w14:textId="77777777" w:rsidR="00AE0BDF" w:rsidRDefault="00AE0BDF" w:rsidP="00AE0BDF">
      <w:pPr>
        <w:spacing w:after="0" w:line="480" w:lineRule="auto"/>
        <w:jc w:val="both"/>
        <w:rPr>
          <w:rFonts w:ascii="Arial" w:hAnsi="Arial" w:cs="Arial"/>
        </w:rPr>
      </w:pPr>
      <w:r>
        <w:rPr>
          <w:rFonts w:ascii="Arial" w:hAnsi="Arial" w:cs="Arial"/>
        </w:rPr>
        <w:tab/>
      </w:r>
      <w:r w:rsidRPr="003A06A1">
        <w:rPr>
          <w:rFonts w:ascii="Arial" w:hAnsi="Arial" w:cs="Arial"/>
        </w:rPr>
        <w:t xml:space="preserve">The qualitative findings explained this very high result through the themes Humanitarian Response, Instructional Continuity, and Adaptive Learning Strategies. The interviews revealed that schools prioritized the safety of learners, teachers, and personnel, while also extending support to the community when schools served as evacuation centers. Participants also described the use of RADAR reporting, coordination with barangay and municipal DRRM offices, Alternative Delivery Mode, modular learning, flexible classroom use, and learner monitoring during and after disaster events. However, despite the very high quantitative rating, the qualitative data also revealed points for improvement. Some participants noted that Psychological First Aid was not yet fully practiced due to limited teacher training, while others mentioned the need to strengthen post-disaster mental health support. There were also concerns regarding limited emergency resources, internet interruption, and power supply problems, which could affect reporting and response operations during disasters. </w:t>
      </w:r>
    </w:p>
    <w:p w14:paraId="37AF9084" w14:textId="77777777" w:rsidR="00F01319" w:rsidRPr="00F01319" w:rsidRDefault="00F01319" w:rsidP="00F01319">
      <w:pPr>
        <w:spacing w:after="0" w:line="480" w:lineRule="auto"/>
        <w:jc w:val="both"/>
        <w:rPr>
          <w:rFonts w:ascii="Arial" w:hAnsi="Arial" w:cs="Arial"/>
        </w:rPr>
      </w:pPr>
      <w:r>
        <w:rPr>
          <w:rFonts w:ascii="Arial" w:hAnsi="Arial" w:cs="Arial"/>
        </w:rPr>
        <w:tab/>
      </w:r>
      <w:r w:rsidRPr="00F01319">
        <w:rPr>
          <w:rFonts w:ascii="Arial" w:hAnsi="Arial" w:cs="Arial"/>
        </w:rPr>
        <w:t xml:space="preserve">The first major theme, humanitarian response, explains why Disaster Response Measures obtained the highest mean score of 4.57, interpreted as Very High. This suggests that schools placed immediate priority on the protection, safety, and welfare of learners, teachers, and other personnel during and after disaster events. This finding is supported by Fuentes (2023), who found that teachers viewed disaster response and </w:t>
      </w:r>
      <w:r w:rsidRPr="00F01319">
        <w:rPr>
          <w:rFonts w:ascii="Arial" w:hAnsi="Arial" w:cs="Arial"/>
        </w:rPr>
        <w:lastRenderedPageBreak/>
        <w:t xml:space="preserve">recovery as a major responsibility, with school measures strengthened through supportive administration, trainings and workshops, and strategic information dissemination. Similarly, </w:t>
      </w:r>
      <w:proofErr w:type="spellStart"/>
      <w:r w:rsidRPr="00F01319">
        <w:rPr>
          <w:rFonts w:ascii="Arial" w:hAnsi="Arial" w:cs="Arial"/>
        </w:rPr>
        <w:t>Baluran</w:t>
      </w:r>
      <w:proofErr w:type="spellEnd"/>
      <w:r w:rsidRPr="00F01319">
        <w:rPr>
          <w:rFonts w:ascii="Arial" w:hAnsi="Arial" w:cs="Arial"/>
        </w:rPr>
        <w:t xml:space="preserve"> (2023) reported that public elementary schools showed a high level of DRRM implementation in terms of disaster response, indicating that schools were able to perform organized actions during emergencies. In addition, Iqbal and Nauman (2024) emphasized that school disaster management becomes effective when teachers are prepared through safe learning facilities, response plans, drills, and disaster risk reduction education. These studies support the present result by showing that humanitarian response in schools depends on coordinated action, trained personnel, and immediate concern for learner and personnel safety.</w:t>
      </w:r>
    </w:p>
    <w:p w14:paraId="6547DA7D" w14:textId="2EF491B0" w:rsidR="00F01319" w:rsidRPr="00F01319" w:rsidRDefault="00F01319" w:rsidP="00F01319">
      <w:pPr>
        <w:spacing w:after="0" w:line="480" w:lineRule="auto"/>
        <w:jc w:val="both"/>
        <w:rPr>
          <w:rFonts w:ascii="Arial" w:hAnsi="Arial" w:cs="Arial"/>
        </w:rPr>
      </w:pPr>
      <w:r>
        <w:rPr>
          <w:rFonts w:ascii="Arial" w:hAnsi="Arial" w:cs="Arial"/>
        </w:rPr>
        <w:tab/>
      </w:r>
      <w:r w:rsidRPr="00F01319">
        <w:rPr>
          <w:rFonts w:ascii="Arial" w:hAnsi="Arial" w:cs="Arial"/>
        </w:rPr>
        <w:t xml:space="preserve">The second major theme, instructional continuity, further supports the very high rating of Disaster Response Measures, as it shows that schools did not only focus on safety but also on maintaining teaching and learning despite disaster-related disruptions. This is consistent with </w:t>
      </w:r>
      <w:proofErr w:type="spellStart"/>
      <w:r w:rsidRPr="00F01319">
        <w:rPr>
          <w:rFonts w:ascii="Arial" w:hAnsi="Arial" w:cs="Arial"/>
        </w:rPr>
        <w:t>Dayagbil</w:t>
      </w:r>
      <w:proofErr w:type="spellEnd"/>
      <w:r w:rsidRPr="00F01319">
        <w:rPr>
          <w:rFonts w:ascii="Arial" w:hAnsi="Arial" w:cs="Arial"/>
        </w:rPr>
        <w:t xml:space="preserve"> et al. (2021), who found that teaching and learning during crisis situations require schools to shift to flexible learning modalities, recalibrate instruction, capacitate teachers, and develop strategic plans to sustain education. Likewise, </w:t>
      </w:r>
      <w:proofErr w:type="spellStart"/>
      <w:r w:rsidRPr="00F01319">
        <w:rPr>
          <w:rFonts w:ascii="Arial" w:hAnsi="Arial" w:cs="Arial"/>
        </w:rPr>
        <w:t>Manlogon</w:t>
      </w:r>
      <w:proofErr w:type="spellEnd"/>
      <w:r w:rsidRPr="00F01319">
        <w:rPr>
          <w:rFonts w:ascii="Arial" w:hAnsi="Arial" w:cs="Arial"/>
        </w:rPr>
        <w:t xml:space="preserve"> (2023) revealed that schools were highly ready in implementing distance learning systems aligned with the Basic Education Learning Continuity Plan, particularly in terms of contextualized learning strategies, communication, monitoring, and learning resources. </w:t>
      </w:r>
      <w:proofErr w:type="spellStart"/>
      <w:r w:rsidRPr="00F01319">
        <w:rPr>
          <w:rFonts w:ascii="Arial" w:hAnsi="Arial" w:cs="Arial"/>
        </w:rPr>
        <w:t>Doctora</w:t>
      </w:r>
      <w:proofErr w:type="spellEnd"/>
      <w:r w:rsidRPr="00F01319">
        <w:rPr>
          <w:rFonts w:ascii="Arial" w:hAnsi="Arial" w:cs="Arial"/>
        </w:rPr>
        <w:t xml:space="preserve"> and </w:t>
      </w:r>
      <w:proofErr w:type="spellStart"/>
      <w:r w:rsidRPr="00F01319">
        <w:rPr>
          <w:rFonts w:ascii="Arial" w:hAnsi="Arial" w:cs="Arial"/>
        </w:rPr>
        <w:t>Bantulo</w:t>
      </w:r>
      <w:proofErr w:type="spellEnd"/>
      <w:r w:rsidRPr="00F01319">
        <w:rPr>
          <w:rFonts w:ascii="Arial" w:hAnsi="Arial" w:cs="Arial"/>
        </w:rPr>
        <w:t xml:space="preserve"> (2025) also found that the implementation of Learning Continuity Plans in public schools was high in areas such as multiple learning modalities, capacity building, stakeholder engagement, governance, advocacy, and monitoring. These studies affirm that instructional continuity is a vital component of disaster response because it enables schools to protect learning time and reduce educational disruption during emergencies.</w:t>
      </w:r>
    </w:p>
    <w:p w14:paraId="1095D2A4" w14:textId="7785E114" w:rsidR="00F01319" w:rsidRPr="00F01319" w:rsidRDefault="00F01319" w:rsidP="00F01319">
      <w:pPr>
        <w:spacing w:after="0" w:line="480" w:lineRule="auto"/>
        <w:jc w:val="both"/>
        <w:rPr>
          <w:rFonts w:ascii="Arial" w:hAnsi="Arial" w:cs="Arial"/>
        </w:rPr>
      </w:pPr>
      <w:r>
        <w:rPr>
          <w:rFonts w:ascii="Arial" w:hAnsi="Arial" w:cs="Arial"/>
        </w:rPr>
        <w:lastRenderedPageBreak/>
        <w:tab/>
      </w:r>
      <w:r w:rsidRPr="00F01319">
        <w:rPr>
          <w:rFonts w:ascii="Arial" w:hAnsi="Arial" w:cs="Arial"/>
        </w:rPr>
        <w:t xml:space="preserve">The third major theme, adaptive learning strategies, explains how schools were able to continue education through flexible and alternative approaches during disaster situations. This supports the meta-inference that the highest rating was influenced by the schools’ use of alternative learning modalities and flexible strategies to continue education during disruptions. </w:t>
      </w:r>
      <w:proofErr w:type="spellStart"/>
      <w:r w:rsidRPr="00F01319">
        <w:rPr>
          <w:rFonts w:ascii="Arial" w:hAnsi="Arial" w:cs="Arial"/>
        </w:rPr>
        <w:t>Escasinas</w:t>
      </w:r>
      <w:proofErr w:type="spellEnd"/>
      <w:r w:rsidRPr="00F01319">
        <w:rPr>
          <w:rFonts w:ascii="Arial" w:hAnsi="Arial" w:cs="Arial"/>
        </w:rPr>
        <w:t xml:space="preserve"> and Padro (2024) found that school leaders implementing alternative delivery modalities during calamities had to adjust leadership strategies, demonstrate resilience, and apply adaptive decision-making to ensure learning continuity. Similarly, Acedo et al. (2023) revealed that emergency remote teaching required the participation of learners, parents, teachers, and school leaders, showing that instructional delivery during crises depends on partnership, communication, and shared responsibility. In addition, </w:t>
      </w:r>
      <w:proofErr w:type="spellStart"/>
      <w:r w:rsidRPr="00F01319">
        <w:rPr>
          <w:rFonts w:ascii="Arial" w:hAnsi="Arial" w:cs="Arial"/>
        </w:rPr>
        <w:t>Alicabo</w:t>
      </w:r>
      <w:proofErr w:type="spellEnd"/>
      <w:r w:rsidRPr="00F01319">
        <w:rPr>
          <w:rFonts w:ascii="Arial" w:hAnsi="Arial" w:cs="Arial"/>
        </w:rPr>
        <w:t xml:space="preserve"> and </w:t>
      </w:r>
      <w:proofErr w:type="spellStart"/>
      <w:r w:rsidRPr="00F01319">
        <w:rPr>
          <w:rFonts w:ascii="Arial" w:hAnsi="Arial" w:cs="Arial"/>
        </w:rPr>
        <w:t>Cacharo</w:t>
      </w:r>
      <w:proofErr w:type="spellEnd"/>
      <w:r w:rsidRPr="00F01319">
        <w:rPr>
          <w:rFonts w:ascii="Arial" w:hAnsi="Arial" w:cs="Arial"/>
        </w:rPr>
        <w:t xml:space="preserve"> (2025) found that Self-Learning Modules helped maintain educational continuity during calamities, although accessibility and learner support remained important concerns. These studies support the present finding by showing that adaptive learning strategies allow schools to respond flexibly to disasters while continuing to provide learners with access to instruction.</w:t>
      </w:r>
    </w:p>
    <w:p w14:paraId="215344E7" w14:textId="5F493D06" w:rsidR="0088218B" w:rsidRPr="0088218B" w:rsidRDefault="009D56E4" w:rsidP="0095526B">
      <w:pPr>
        <w:spacing w:after="0" w:line="480" w:lineRule="auto"/>
        <w:jc w:val="both"/>
        <w:rPr>
          <w:rFonts w:ascii="Arial" w:hAnsi="Arial" w:cs="Arial"/>
        </w:rPr>
      </w:pPr>
      <w:r>
        <w:rPr>
          <w:rFonts w:ascii="Arial" w:hAnsi="Arial" w:cs="Arial"/>
        </w:rPr>
        <w:tab/>
      </w:r>
      <w:r w:rsidR="00AE0BDF" w:rsidRPr="003A06A1">
        <w:rPr>
          <w:rFonts w:ascii="Arial" w:hAnsi="Arial" w:cs="Arial"/>
        </w:rPr>
        <w:t xml:space="preserve">The integration of the quantitative and qualitative results shows that the very high rating for Disaster Response Measures was supported by the actual response practices shared by the participants. The quantitative findings established that disaster response measures were very highly implemented, while the qualitative findings explained how this implementation occurred through immediate safety prioritization, evacuation readiness, communication flow, official reporting, and continuity of learning. The qualitative data also clarified that the high rating did not mean that implementation was already complete in all aspects. Instead, it showed that while schools were strong in immediate protection and instructional adjustment, further support was still needed in psychosocial response, emergency resources, power supply, and communication stability. This connection </w:t>
      </w:r>
      <w:r w:rsidR="00AE0BDF" w:rsidRPr="003A06A1">
        <w:rPr>
          <w:rFonts w:ascii="Arial" w:hAnsi="Arial" w:cs="Arial"/>
        </w:rPr>
        <w:lastRenderedPageBreak/>
        <w:t>between the two phases reflects the purpose of an explanatory sequential mixed-method design, where qualitative findings are used to explain and deepen the meaning of quantitative results.</w:t>
      </w:r>
    </w:p>
    <w:p w14:paraId="188BA254" w14:textId="128713C8" w:rsidR="0095526B" w:rsidRPr="0095526B" w:rsidRDefault="0088218B" w:rsidP="0095526B">
      <w:pPr>
        <w:spacing w:after="0" w:line="480" w:lineRule="auto"/>
        <w:jc w:val="both"/>
        <w:rPr>
          <w:rFonts w:ascii="Arial" w:hAnsi="Arial" w:cs="Arial"/>
        </w:rPr>
      </w:pPr>
      <w:r>
        <w:rPr>
          <w:rFonts w:ascii="Arial" w:hAnsi="Arial" w:cs="Arial"/>
        </w:rPr>
        <w:tab/>
      </w:r>
      <w:r w:rsidR="0095526B" w:rsidRPr="0095526B">
        <w:rPr>
          <w:rFonts w:ascii="Arial" w:hAnsi="Arial" w:cs="Arial"/>
        </w:rPr>
        <w:t>The result is closely aligned with Crisis Management Theory, particularly in the response and recovery dimensions. Mitroff and Pearson and Clair emphasized that organizations must be able to act decisively during crises while stabilizing affected systems after disruption. In this study, the highest quantitative rating suggests that school heads are most confident and active in actual response measures. The qualitative themes explain why: humanitarian response reflects immediate concern for learner and teacher safety; instructional continuity reflects the protection of the school’s core function; and adaptive learning strategies reflect flexibility during unstable conditions. Thus, the integration of the two methods shows that school heads’ disaster response practices are not only reactive but also organized, learner-centered, and continuity-oriented.</w:t>
      </w:r>
    </w:p>
    <w:p w14:paraId="3FDF33E0" w14:textId="5958EFC1" w:rsidR="0095526B" w:rsidRPr="0095526B" w:rsidRDefault="0095526B" w:rsidP="0095526B">
      <w:pPr>
        <w:spacing w:after="0" w:line="480" w:lineRule="auto"/>
        <w:jc w:val="both"/>
        <w:rPr>
          <w:rFonts w:ascii="Arial" w:hAnsi="Arial" w:cs="Arial"/>
        </w:rPr>
      </w:pPr>
      <w:r>
        <w:rPr>
          <w:rFonts w:ascii="Arial" w:hAnsi="Arial" w:cs="Arial"/>
        </w:rPr>
        <w:tab/>
      </w:r>
      <w:r w:rsidRPr="0095526B">
        <w:rPr>
          <w:rFonts w:ascii="Arial" w:hAnsi="Arial" w:cs="Arial"/>
        </w:rPr>
        <w:t xml:space="preserve">The findings further support DepEd Order No. 033, s. 2021, as the order defines school-based measures intended to safeguard learners, personnel, and educational investments during calamities and emergencies. The very high result in Disaster Response Measures complements the policy because it shows that schools are able to translate preparedness into actual response actions once disruption occurs. The emphasis on learner safety, protection of school resources, and continuity of education is consistent with the policy’s purpose of guiding schools before and during weather-related emergencies. </w:t>
      </w:r>
    </w:p>
    <w:p w14:paraId="70D5FD87" w14:textId="5031919C" w:rsidR="0095526B" w:rsidRPr="0095526B" w:rsidRDefault="0095526B" w:rsidP="0095526B">
      <w:pPr>
        <w:spacing w:after="0" w:line="480" w:lineRule="auto"/>
        <w:jc w:val="both"/>
        <w:rPr>
          <w:rFonts w:ascii="Arial" w:hAnsi="Arial" w:cs="Arial"/>
        </w:rPr>
      </w:pPr>
      <w:r>
        <w:rPr>
          <w:rFonts w:ascii="Arial" w:hAnsi="Arial" w:cs="Arial"/>
        </w:rPr>
        <w:tab/>
      </w:r>
      <w:r w:rsidR="008946E5">
        <w:rPr>
          <w:rFonts w:ascii="Arial" w:hAnsi="Arial" w:cs="Arial"/>
        </w:rPr>
        <w:t xml:space="preserve">The </w:t>
      </w:r>
      <w:r w:rsidRPr="0095526B">
        <w:rPr>
          <w:rFonts w:ascii="Arial" w:hAnsi="Arial" w:cs="Arial"/>
        </w:rPr>
        <w:t xml:space="preserve">mixed-methods result suggests that school heads in the Davao de Oro Division demonstrate strong implementation of response measures, especially when learner welfare and instructional continuity are at stake. The qualitative findings show that response is carried out through humanitarian concern, flexible learning arrangements, and </w:t>
      </w:r>
      <w:r w:rsidRPr="0095526B">
        <w:rPr>
          <w:rFonts w:ascii="Arial" w:hAnsi="Arial" w:cs="Arial"/>
        </w:rPr>
        <w:lastRenderedPageBreak/>
        <w:t>immediate adjustment to disruption. Some challenges may still be present, such as ensuring sufficient learning resources, maintaining inclusive access to alternative learning modalities, and coordinating support for affected learners and teachers. Even so, these challenges appear to be managed within a generally strong response system, which explains why Disaster Response Measures received the highest rating among the three indicators.</w:t>
      </w:r>
    </w:p>
    <w:p w14:paraId="5E6A2A2B" w14:textId="77777777" w:rsidR="001C26AA" w:rsidRDefault="001C26AA" w:rsidP="00034F1F">
      <w:pPr>
        <w:jc w:val="center"/>
        <w:rPr>
          <w:rFonts w:ascii="Arial" w:hAnsi="Arial" w:cs="Arial"/>
        </w:rPr>
      </w:pPr>
    </w:p>
    <w:p w14:paraId="78CDFF59" w14:textId="77777777" w:rsidR="009E4DD3" w:rsidRDefault="009E4DD3" w:rsidP="00034F1F">
      <w:pPr>
        <w:jc w:val="center"/>
        <w:rPr>
          <w:rFonts w:ascii="Arial" w:hAnsi="Arial" w:cs="Arial"/>
        </w:rPr>
      </w:pPr>
    </w:p>
    <w:p w14:paraId="08B3D9C5" w14:textId="77777777" w:rsidR="009E4DD3" w:rsidRDefault="009E4DD3" w:rsidP="00034F1F">
      <w:pPr>
        <w:jc w:val="center"/>
        <w:rPr>
          <w:rFonts w:ascii="Arial" w:hAnsi="Arial" w:cs="Arial"/>
        </w:rPr>
      </w:pPr>
    </w:p>
    <w:p w14:paraId="41202F59" w14:textId="77777777" w:rsidR="009E4DD3" w:rsidRDefault="009E4DD3" w:rsidP="00034F1F">
      <w:pPr>
        <w:jc w:val="center"/>
        <w:rPr>
          <w:rFonts w:ascii="Arial" w:hAnsi="Arial" w:cs="Arial"/>
        </w:rPr>
      </w:pPr>
    </w:p>
    <w:p w14:paraId="4EE7E70D" w14:textId="77777777" w:rsidR="009E4DD3" w:rsidRDefault="009E4DD3" w:rsidP="00034F1F">
      <w:pPr>
        <w:jc w:val="center"/>
        <w:rPr>
          <w:rFonts w:ascii="Arial" w:hAnsi="Arial" w:cs="Arial"/>
        </w:rPr>
      </w:pPr>
    </w:p>
    <w:p w14:paraId="22CBF39C" w14:textId="77777777" w:rsidR="009E4DD3" w:rsidRDefault="009E4DD3" w:rsidP="00034F1F">
      <w:pPr>
        <w:jc w:val="center"/>
        <w:rPr>
          <w:rFonts w:ascii="Arial" w:hAnsi="Arial" w:cs="Arial"/>
        </w:rPr>
      </w:pPr>
    </w:p>
    <w:p w14:paraId="61B1187C" w14:textId="77777777" w:rsidR="009D56E4" w:rsidRDefault="009D56E4" w:rsidP="00034F1F">
      <w:pPr>
        <w:jc w:val="center"/>
        <w:rPr>
          <w:rFonts w:ascii="Arial" w:hAnsi="Arial" w:cs="Arial"/>
        </w:rPr>
      </w:pPr>
    </w:p>
    <w:p w14:paraId="7B135FBC" w14:textId="77777777" w:rsidR="009D56E4" w:rsidRDefault="009D56E4" w:rsidP="00034F1F">
      <w:pPr>
        <w:jc w:val="center"/>
        <w:rPr>
          <w:rFonts w:ascii="Arial" w:hAnsi="Arial" w:cs="Arial"/>
        </w:rPr>
      </w:pPr>
    </w:p>
    <w:p w14:paraId="67E3FD00" w14:textId="77777777" w:rsidR="009D56E4" w:rsidRDefault="009D56E4" w:rsidP="00034F1F">
      <w:pPr>
        <w:jc w:val="center"/>
        <w:rPr>
          <w:rFonts w:ascii="Arial" w:hAnsi="Arial" w:cs="Arial"/>
        </w:rPr>
      </w:pPr>
    </w:p>
    <w:p w14:paraId="42BE90E3" w14:textId="77777777" w:rsidR="00B23B9D" w:rsidRDefault="00B23B9D" w:rsidP="00034F1F">
      <w:pPr>
        <w:jc w:val="center"/>
        <w:rPr>
          <w:rFonts w:ascii="Arial" w:hAnsi="Arial" w:cs="Arial"/>
        </w:rPr>
      </w:pPr>
    </w:p>
    <w:p w14:paraId="79E52247" w14:textId="77777777" w:rsidR="00B23B9D" w:rsidRDefault="00B23B9D" w:rsidP="00034F1F">
      <w:pPr>
        <w:jc w:val="center"/>
        <w:rPr>
          <w:rFonts w:ascii="Arial" w:hAnsi="Arial" w:cs="Arial"/>
        </w:rPr>
      </w:pPr>
    </w:p>
    <w:p w14:paraId="31A6B544" w14:textId="77777777" w:rsidR="00B23B9D" w:rsidRDefault="00B23B9D" w:rsidP="00034F1F">
      <w:pPr>
        <w:jc w:val="center"/>
        <w:rPr>
          <w:rFonts w:ascii="Arial" w:hAnsi="Arial" w:cs="Arial"/>
        </w:rPr>
      </w:pPr>
    </w:p>
    <w:p w14:paraId="75036D63" w14:textId="77777777" w:rsidR="00B23B9D" w:rsidRDefault="00B23B9D" w:rsidP="00034F1F">
      <w:pPr>
        <w:jc w:val="center"/>
        <w:rPr>
          <w:rFonts w:ascii="Arial" w:hAnsi="Arial" w:cs="Arial"/>
        </w:rPr>
      </w:pPr>
    </w:p>
    <w:p w14:paraId="4CA55E67" w14:textId="77777777" w:rsidR="00B23B9D" w:rsidRDefault="00B23B9D" w:rsidP="00034F1F">
      <w:pPr>
        <w:jc w:val="center"/>
        <w:rPr>
          <w:rFonts w:ascii="Arial" w:hAnsi="Arial" w:cs="Arial"/>
        </w:rPr>
      </w:pPr>
    </w:p>
    <w:p w14:paraId="10920492" w14:textId="77777777" w:rsidR="00B23B9D" w:rsidRDefault="00B23B9D" w:rsidP="00034F1F">
      <w:pPr>
        <w:jc w:val="center"/>
        <w:rPr>
          <w:rFonts w:ascii="Arial" w:hAnsi="Arial" w:cs="Arial"/>
        </w:rPr>
      </w:pPr>
    </w:p>
    <w:p w14:paraId="645E4054" w14:textId="77777777" w:rsidR="00B23B9D" w:rsidRDefault="00B23B9D" w:rsidP="00034F1F">
      <w:pPr>
        <w:jc w:val="center"/>
        <w:rPr>
          <w:rFonts w:ascii="Arial" w:hAnsi="Arial" w:cs="Arial"/>
        </w:rPr>
      </w:pPr>
    </w:p>
    <w:p w14:paraId="6279A834" w14:textId="77777777" w:rsidR="00B23B9D" w:rsidRDefault="00B23B9D" w:rsidP="00034F1F">
      <w:pPr>
        <w:jc w:val="center"/>
        <w:rPr>
          <w:rFonts w:ascii="Arial" w:hAnsi="Arial" w:cs="Arial"/>
        </w:rPr>
      </w:pPr>
    </w:p>
    <w:p w14:paraId="00A96447" w14:textId="77777777" w:rsidR="00B23B9D" w:rsidRDefault="00B23B9D" w:rsidP="00034F1F">
      <w:pPr>
        <w:jc w:val="center"/>
        <w:rPr>
          <w:rFonts w:ascii="Arial" w:hAnsi="Arial" w:cs="Arial"/>
        </w:rPr>
      </w:pPr>
    </w:p>
    <w:p w14:paraId="176C5D78" w14:textId="77777777" w:rsidR="00B23B9D" w:rsidRDefault="00B23B9D" w:rsidP="00034F1F">
      <w:pPr>
        <w:jc w:val="center"/>
        <w:rPr>
          <w:rFonts w:ascii="Arial" w:hAnsi="Arial" w:cs="Arial"/>
        </w:rPr>
      </w:pPr>
    </w:p>
    <w:p w14:paraId="4CDB85F7" w14:textId="77777777" w:rsidR="00B23B9D" w:rsidRDefault="00B23B9D" w:rsidP="00034F1F">
      <w:pPr>
        <w:jc w:val="center"/>
        <w:rPr>
          <w:rFonts w:ascii="Arial" w:hAnsi="Arial" w:cs="Arial"/>
        </w:rPr>
      </w:pPr>
    </w:p>
    <w:p w14:paraId="6DFF0F4A" w14:textId="77777777" w:rsidR="000E5557" w:rsidRDefault="000E5557" w:rsidP="00034F1F">
      <w:pPr>
        <w:jc w:val="center"/>
        <w:rPr>
          <w:rFonts w:ascii="Arial" w:hAnsi="Arial" w:cs="Arial"/>
        </w:rPr>
      </w:pPr>
    </w:p>
    <w:p w14:paraId="1F625491" w14:textId="77777777" w:rsidR="00D167E9" w:rsidRDefault="00D167E9" w:rsidP="00034F1F">
      <w:pPr>
        <w:jc w:val="center"/>
        <w:rPr>
          <w:rFonts w:ascii="Arial" w:hAnsi="Arial" w:cs="Arial"/>
        </w:rPr>
      </w:pPr>
    </w:p>
    <w:p w14:paraId="49ECA980" w14:textId="61E919DE" w:rsidR="00034F1F" w:rsidRPr="00EE7615" w:rsidRDefault="00034F1F" w:rsidP="009D56E4">
      <w:pPr>
        <w:spacing w:line="480" w:lineRule="auto"/>
        <w:jc w:val="center"/>
        <w:rPr>
          <w:rFonts w:ascii="Arial" w:hAnsi="Arial" w:cs="Arial"/>
          <w:b/>
          <w:bCs/>
        </w:rPr>
      </w:pPr>
      <w:r w:rsidRPr="00EE7615">
        <w:rPr>
          <w:rFonts w:ascii="Arial" w:hAnsi="Arial" w:cs="Arial"/>
          <w:b/>
          <w:bCs/>
        </w:rPr>
        <w:lastRenderedPageBreak/>
        <w:t xml:space="preserve">Chapter </w:t>
      </w:r>
      <w:r w:rsidR="009D56E4">
        <w:rPr>
          <w:rFonts w:ascii="Arial" w:hAnsi="Arial" w:cs="Arial"/>
          <w:b/>
          <w:bCs/>
        </w:rPr>
        <w:t>4</w:t>
      </w:r>
    </w:p>
    <w:p w14:paraId="0E9C4810" w14:textId="469239C9" w:rsidR="00CF048A" w:rsidRDefault="00CF048A" w:rsidP="009D56E4">
      <w:pPr>
        <w:spacing w:line="480" w:lineRule="auto"/>
        <w:jc w:val="center"/>
        <w:rPr>
          <w:rFonts w:ascii="Arial" w:hAnsi="Arial" w:cs="Arial"/>
          <w:b/>
          <w:bCs/>
        </w:rPr>
      </w:pPr>
      <w:r>
        <w:rPr>
          <w:rFonts w:ascii="Arial" w:hAnsi="Arial" w:cs="Arial"/>
          <w:b/>
          <w:bCs/>
        </w:rPr>
        <w:t>SUMMARY, CONCLUSIONS, AND RECOMMENDATIONS</w:t>
      </w:r>
    </w:p>
    <w:p w14:paraId="7E012262" w14:textId="77777777" w:rsidR="00C0263C" w:rsidRDefault="00C0263C" w:rsidP="009D56E4">
      <w:pPr>
        <w:spacing w:after="0" w:line="480" w:lineRule="auto"/>
        <w:rPr>
          <w:rFonts w:ascii="Arial" w:hAnsi="Arial" w:cs="Arial"/>
          <w:b/>
          <w:bCs/>
        </w:rPr>
      </w:pPr>
      <w:r>
        <w:rPr>
          <w:rFonts w:ascii="Arial" w:hAnsi="Arial" w:cs="Arial"/>
          <w:b/>
          <w:bCs/>
        </w:rPr>
        <w:t>Summary of Findings</w:t>
      </w:r>
    </w:p>
    <w:p w14:paraId="76D46C06" w14:textId="77777777" w:rsidR="00B262D6" w:rsidRDefault="00C0263C" w:rsidP="00B262D6">
      <w:pPr>
        <w:spacing w:after="0" w:line="480" w:lineRule="auto"/>
        <w:jc w:val="both"/>
        <w:rPr>
          <w:rFonts w:ascii="Arial" w:hAnsi="Arial" w:cs="Arial"/>
        </w:rPr>
      </w:pPr>
      <w:r>
        <w:rPr>
          <w:rFonts w:ascii="Arial" w:hAnsi="Arial" w:cs="Arial"/>
          <w:b/>
          <w:bCs/>
        </w:rPr>
        <w:tab/>
      </w:r>
      <w:r w:rsidRPr="00DF4DD0">
        <w:rPr>
          <w:rFonts w:ascii="Arial" w:hAnsi="Arial" w:cs="Arial"/>
        </w:rPr>
        <w:t>This section presents the major findings of the study based on the three research questions. To ensure clear alignment between the research problems and the results, the findings are organized into three main statements. Each statement corresponds to one research question and summarizes the quantitative results, qualitative themes, and the integrated interpretation of both phases of the study.</w:t>
      </w:r>
    </w:p>
    <w:p w14:paraId="3BA6806B" w14:textId="77777777"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The extent of implementation of school-based disaster preparedness and response measures among school heads and DRRM coordinators was very high across the three indicators. Specifically, Preparedness in Normal Times obtained a mean of 4.44 with an SD of 0.65, Preparedness for Response obtained a mean of 4.55 with an SD of 0.54, and Disaster Response Measures obtained the highest mean of 4.57 with an SD of 0.53. These results indicate that the respondents perceived the implementation of school-based disaster preparedness and response measures under DepEd Order No. 033, s. 2021 as strongly evident in their schools. Overall, the findings suggest that schools consistently practiced preparedness planning, response readiness, and disaster response actions in relation to school safety and continuity of learning. </w:t>
      </w:r>
    </w:p>
    <w:p w14:paraId="2066A42D" w14:textId="77777777"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The standpoints of school heads and DRRM coordinators revealed that the very high implementation was supported by concrete school-level practices, but with remaining areas for improvement. For Preparedness in Normal Times, the themes that emerged were Participatory Contingency Planning, Proactive Physical Mitigation, and Leadership Commitment. For Preparedness for Response, the themes were Preventive Safety Measures, Community-Based Communications, and Strategic Continuity Planning. For </w:t>
      </w:r>
      <w:r w:rsidR="00C0263C" w:rsidRPr="00B262D6">
        <w:rPr>
          <w:rFonts w:ascii="Arial" w:hAnsi="Arial" w:cs="Arial"/>
        </w:rPr>
        <w:lastRenderedPageBreak/>
        <w:t xml:space="preserve">Disaster Response Measures, the themes were Humanitarian Response, Instructional Continuity, and Adaptive Learning Strategies. The participants’ responses showed that schools implemented contingency plans, conducted mitigation activities, disseminated warnings, protected records and resources, prioritized learner safety, and used alternative learning modalities during disruptions. However, the interviews also pointed to improvement needs such as additional first aid kits, hard hats, backup power, stable internet connection, communication equipment, and stronger training on Psychological First Aid. </w:t>
      </w:r>
    </w:p>
    <w:p w14:paraId="49ADC1AF" w14:textId="1CB50F6B" w:rsidR="00C0263C" w:rsidRP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The qualitative findings explained the quantitative results by showing the actual practices behind the very high ratings. The high quantitative scores were supported by participants’ descriptions of collaborative planning, preventive safety actions, communication systems, resource protection, humanitarian response, and continuity of learning. At the same time, the qualitative results clarified that very high implementation did not mean the absence of gaps. Instead, the integration of both phases showed that while schools were strongly implementing disaster preparedness and response measures, the implementation could still be strengthened through better resources, more reliable communication systems, stronger psychosocial support, and more consistent leadership and stakeholder coordination.</w:t>
      </w:r>
    </w:p>
    <w:p w14:paraId="29EC3D87" w14:textId="77777777" w:rsidR="00C0263C" w:rsidRPr="00B262D6" w:rsidRDefault="00C0263C" w:rsidP="00C0263C">
      <w:pPr>
        <w:spacing w:after="0" w:line="480" w:lineRule="auto"/>
        <w:jc w:val="both"/>
        <w:rPr>
          <w:rFonts w:ascii="Arial" w:hAnsi="Arial" w:cs="Arial"/>
          <w:b/>
          <w:bCs/>
        </w:rPr>
      </w:pPr>
      <w:r w:rsidRPr="00B262D6">
        <w:rPr>
          <w:rFonts w:ascii="Arial" w:hAnsi="Arial" w:cs="Arial"/>
          <w:b/>
          <w:bCs/>
        </w:rPr>
        <w:t>Conclusions</w:t>
      </w:r>
    </w:p>
    <w:p w14:paraId="67012D8C" w14:textId="77777777" w:rsidR="00C0263C" w:rsidRPr="00B262D6" w:rsidRDefault="00C0263C" w:rsidP="00C0263C">
      <w:pPr>
        <w:spacing w:after="0" w:line="480" w:lineRule="auto"/>
        <w:jc w:val="both"/>
        <w:rPr>
          <w:rFonts w:ascii="Arial" w:hAnsi="Arial" w:cs="Arial"/>
        </w:rPr>
      </w:pPr>
      <w:r w:rsidRPr="00B262D6">
        <w:rPr>
          <w:rFonts w:ascii="Arial" w:hAnsi="Arial" w:cs="Arial"/>
        </w:rPr>
        <w:tab/>
        <w:t>Based on the findings of the study, the following conclusions were drawn:</w:t>
      </w:r>
    </w:p>
    <w:p w14:paraId="333D34F8" w14:textId="77777777" w:rsidR="00C0263C" w:rsidRPr="00B262D6" w:rsidRDefault="00C0263C" w:rsidP="00C0263C">
      <w:pPr>
        <w:spacing w:after="0" w:line="480" w:lineRule="auto"/>
        <w:jc w:val="both"/>
        <w:rPr>
          <w:rFonts w:ascii="Arial" w:hAnsi="Arial" w:cs="Arial"/>
        </w:rPr>
      </w:pPr>
      <w:r w:rsidRPr="00B262D6">
        <w:rPr>
          <w:rFonts w:ascii="Arial" w:hAnsi="Arial" w:cs="Arial"/>
        </w:rPr>
        <w:tab/>
        <w:t xml:space="preserve">DepEd Order No. 033, s. 2021 served as a strong policy basis for institutionalizing school-based disaster preparedness and response measures. The very high quantitative results across the three indicators—Preparedness in Normal Times, Preparedness for Response, and Disaster Response Measures—show that school heads and DRRM coordinators perceived the implementation of the DepEd Order as strongly evident in their </w:t>
      </w:r>
      <w:r w:rsidRPr="00B262D6">
        <w:rPr>
          <w:rFonts w:ascii="Arial" w:hAnsi="Arial" w:cs="Arial"/>
        </w:rPr>
        <w:lastRenderedPageBreak/>
        <w:t xml:space="preserve">schools. This indicates that the policy has contributed to the establishment of organized preparedness systems, precautionary actions, and response practices at the school level. The study was specifically aligned with DepEd Order No. 033, s. 2021 and assessed areas such as safe learning environments, curriculum integration, training, and stakeholder coordination. </w:t>
      </w:r>
    </w:p>
    <w:p w14:paraId="1BD5B4D0" w14:textId="5072E12B" w:rsidR="00C0263C" w:rsidRPr="00B262D6" w:rsidRDefault="00C0263C" w:rsidP="00C0263C">
      <w:pPr>
        <w:spacing w:after="0" w:line="480" w:lineRule="auto"/>
        <w:jc w:val="both"/>
        <w:rPr>
          <w:rFonts w:ascii="Arial" w:hAnsi="Arial" w:cs="Arial"/>
        </w:rPr>
      </w:pPr>
      <w:r w:rsidRPr="00B262D6">
        <w:rPr>
          <w:rFonts w:ascii="Arial" w:hAnsi="Arial" w:cs="Arial"/>
        </w:rPr>
        <w:tab/>
        <w:t xml:space="preserve">The Joint Display Analysis showed that the qualitative findings explained the high quantitative ratings by revealing the actual practices behind policy implementation. In Preparedness in Normal Times, the high rating was explained by participatory contingency planning, proactive physical mitigation, and leadership commitment. In Preparedness for Response, the result was supported by preventive safety measures, community-based communication, and strategic continuity planning. In Disaster Response Measures, the highest rating was explained by humanitarian response, instructional continuity, and adaptive learning strategies. These findings show that the DepEd Order contributed not only as a compliance document but as a practical guide for school-level DRRM actions. </w:t>
      </w:r>
      <w:r w:rsidRPr="00B262D6">
        <w:rPr>
          <w:rFonts w:ascii="Arial" w:hAnsi="Arial" w:cs="Arial"/>
        </w:rPr>
        <w:tab/>
        <w:t xml:space="preserve">Although the implementation of school-based disaster preparedness and response measures was very high, the qualitative findings revealed areas that still need strengthening. The interviews showed that some schools still experienced limitations in emergency supplies, first aid kits, hard hats, internet connectivity, backup power, communication equipment, and Psychological First Aid training. Thus, while DepEd Order No. 033, s. 2021 provides the necessary framework for preparedness and response, its implementation can be further improved through stronger resource support, capacity-building, communication systems, and psychosocial response mechanisms. </w:t>
      </w:r>
    </w:p>
    <w:p w14:paraId="70865BC3" w14:textId="77777777" w:rsidR="00C0263C" w:rsidRPr="00B262D6" w:rsidRDefault="00C0263C" w:rsidP="00C0263C">
      <w:pPr>
        <w:spacing w:after="0" w:line="480" w:lineRule="auto"/>
        <w:jc w:val="both"/>
        <w:rPr>
          <w:rFonts w:ascii="Arial" w:hAnsi="Arial" w:cs="Arial"/>
          <w:b/>
          <w:bCs/>
        </w:rPr>
      </w:pPr>
      <w:r w:rsidRPr="00B262D6">
        <w:rPr>
          <w:rFonts w:ascii="Arial" w:hAnsi="Arial" w:cs="Arial"/>
          <w:b/>
          <w:bCs/>
        </w:rPr>
        <w:t>Recommendations</w:t>
      </w:r>
    </w:p>
    <w:p w14:paraId="29544AAD" w14:textId="1CC4C15F"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Based on the conclusions of the study, the following recommendations are offered:</w:t>
      </w:r>
    </w:p>
    <w:p w14:paraId="03187548" w14:textId="77777777" w:rsidR="00B262D6" w:rsidRDefault="00B262D6" w:rsidP="00B262D6">
      <w:pPr>
        <w:spacing w:after="0" w:line="480" w:lineRule="auto"/>
        <w:jc w:val="both"/>
        <w:rPr>
          <w:rFonts w:ascii="Arial" w:hAnsi="Arial" w:cs="Arial"/>
        </w:rPr>
      </w:pPr>
      <w:r>
        <w:rPr>
          <w:rFonts w:ascii="Arial" w:hAnsi="Arial" w:cs="Arial"/>
        </w:rPr>
        <w:lastRenderedPageBreak/>
        <w:tab/>
      </w:r>
      <w:r w:rsidR="00C0263C" w:rsidRPr="00B262D6">
        <w:rPr>
          <w:rFonts w:ascii="Arial" w:hAnsi="Arial" w:cs="Arial"/>
        </w:rPr>
        <w:t xml:space="preserve">The Department of Education and the Division Office may strengthen the implementation support for DepEd Order No. 033, s. 2021 by providing clearer resource standards and monitoring mechanisms for schools. Since the findings showed very high implementation but also revealed resource-related gaps, DepEd may consider ensuring that schools have adequate first aid kits, hard hats, emergency supplies, backup power sources, communication devices, and stable information systems. This would help schools implement the DepEd Order not only through documentation and planning but also through actual operational readiness. </w:t>
      </w:r>
    </w:p>
    <w:p w14:paraId="2ED469A7" w14:textId="77777777"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School heads may regularly review and update their contingency plans through participatory planning with DRRM coordinators, teachers, learners, parents, barangay officials, and local DRRM partners. The findings showed that participatory contingency planning contributed to strong preparedness in normal times. Therefore, school heads should continue to ensure that contingency plans are not merely prepared for compliance but are functional, updated, and understood by all stakeholders. </w:t>
      </w:r>
    </w:p>
    <w:p w14:paraId="02008923" w14:textId="77777777"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Schools may strengthen preventive safety measures and communication systems before disasters occur. Since preparedness for response was supported by early safety checks, warning dissemination, and strategic continuity planning, schools should maintain regular inspection of electrical systems, emergency kits, school records, learning materials, and communication channels. Alternative communication tools such as radios, walkie-talkies, SMS systems, or barangay-based information relays may also be prepared in case internet or power supply becomes unavailable. </w:t>
      </w:r>
    </w:p>
    <w:p w14:paraId="17686D00" w14:textId="77777777"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DRRM coordinators and teachers may be given continuous training on disaster response, Psychological First Aid, learner monitoring, and continuity of learning. Although schools demonstrated strong humanitarian response and instructional continuity, the findings revealed that Psychological First Aid and post-disaster mental health support still </w:t>
      </w:r>
      <w:r w:rsidR="00C0263C" w:rsidRPr="00B262D6">
        <w:rPr>
          <w:rFonts w:ascii="Arial" w:hAnsi="Arial" w:cs="Arial"/>
        </w:rPr>
        <w:lastRenderedPageBreak/>
        <w:t xml:space="preserve">need improvement. Training in these areas would strengthen the recovery aspect of DepEd Order No. 033 and help schools respond not only to physical safety needs but also to learners’ emotional and psychological needs. </w:t>
      </w:r>
    </w:p>
    <w:p w14:paraId="7284BDDA" w14:textId="77777777" w:rsid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Local government units and barangay DRRM offices may strengthen coordination with schools, especially those used as evacuation centers. Since the findings showed that some schools serve as temporary shelters during disasters, LGUs may provide additional support for evacuation management, security, sanitation, supplies, and post-disaster clearing. This would help schools balance their role as evacuation centers while still protecting instructional continuity. </w:t>
      </w:r>
    </w:p>
    <w:p w14:paraId="5B6E0F2A" w14:textId="6CFA873C" w:rsidR="00B262D6" w:rsidRPr="00B262D6" w:rsidRDefault="00B262D6" w:rsidP="00B262D6">
      <w:pPr>
        <w:spacing w:after="0" w:line="480" w:lineRule="auto"/>
        <w:jc w:val="both"/>
        <w:rPr>
          <w:rFonts w:ascii="Arial" w:hAnsi="Arial" w:cs="Arial"/>
        </w:rPr>
      </w:pPr>
      <w:r>
        <w:rPr>
          <w:rFonts w:ascii="Arial" w:hAnsi="Arial" w:cs="Arial"/>
        </w:rPr>
        <w:tab/>
      </w:r>
      <w:r w:rsidR="00C0263C" w:rsidRPr="00B262D6">
        <w:rPr>
          <w:rFonts w:ascii="Arial" w:hAnsi="Arial" w:cs="Arial"/>
        </w:rPr>
        <w:t xml:space="preserve">Future researchers may conduct further studies using observation, document analysis, or actual DRRM implementation audits to validate self-reported findings. Since this study relied mainly on the responses of school heads and DRRM coordinators, future research may include teachers, learners, parents, LGU officials, and external evaluators to gain a broader assessment of how DepEd Order No. 033 is implemented in actual disaster situations. </w:t>
      </w:r>
    </w:p>
    <w:p w14:paraId="2FABD9E8" w14:textId="77777777" w:rsidR="00C0263C" w:rsidRDefault="00C0263C" w:rsidP="00C0263C">
      <w:pPr>
        <w:spacing w:after="0" w:line="480" w:lineRule="auto"/>
        <w:jc w:val="both"/>
        <w:rPr>
          <w:rFonts w:ascii="Arial" w:hAnsi="Arial" w:cs="Arial"/>
          <w:b/>
          <w:bCs/>
        </w:rPr>
      </w:pPr>
      <w:r>
        <w:rPr>
          <w:rFonts w:ascii="Arial" w:hAnsi="Arial" w:cs="Arial"/>
          <w:b/>
          <w:bCs/>
        </w:rPr>
        <w:t>Implications</w:t>
      </w:r>
    </w:p>
    <w:p w14:paraId="6ED355BF" w14:textId="77777777" w:rsidR="00C0263C" w:rsidRPr="0097298B" w:rsidRDefault="00C0263C" w:rsidP="00C0263C">
      <w:pPr>
        <w:spacing w:after="0" w:line="480" w:lineRule="auto"/>
        <w:jc w:val="both"/>
        <w:rPr>
          <w:rFonts w:ascii="Arial" w:hAnsi="Arial" w:cs="Arial"/>
        </w:rPr>
      </w:pPr>
      <w:r>
        <w:rPr>
          <w:rFonts w:ascii="Arial" w:hAnsi="Arial" w:cs="Arial"/>
          <w:b/>
          <w:bCs/>
        </w:rPr>
        <w:tab/>
      </w:r>
      <w:r>
        <w:rPr>
          <w:rFonts w:ascii="Arial" w:hAnsi="Arial" w:cs="Arial"/>
          <w:i/>
          <w:iCs/>
        </w:rPr>
        <w:t>Implications for Practice</w:t>
      </w:r>
      <w:r w:rsidRPr="0097298B">
        <w:rPr>
          <w:rFonts w:ascii="Arial" w:hAnsi="Arial" w:cs="Arial"/>
        </w:rPr>
        <w:t>. The findings of the study provide important implications for improving the implementation of school-based disaster preparedness and response measures in the Davao de Oro Division. Since the results showed a very high level of implementation across the three indicators, the study implies that DepEd Order No. 033, s. 2021 serves as an effective policy framework for guiding schools in disaster preparedness, response readiness, and actual disaster response. However, the qualitative findings also show that the implementation of the DepEd Order should move beyond compliance and documentation toward more practical, consistent, and resource-supported application at the school level.</w:t>
      </w:r>
    </w:p>
    <w:p w14:paraId="3C8D70A1" w14:textId="77777777" w:rsidR="00C0263C" w:rsidRPr="00DF4DD0" w:rsidRDefault="00C0263C" w:rsidP="00C0263C">
      <w:pPr>
        <w:spacing w:after="0" w:line="480" w:lineRule="auto"/>
        <w:jc w:val="both"/>
        <w:rPr>
          <w:rFonts w:ascii="Arial" w:hAnsi="Arial" w:cs="Arial"/>
        </w:rPr>
      </w:pPr>
      <w:r w:rsidRPr="0097298B">
        <w:rPr>
          <w:rFonts w:ascii="Arial" w:hAnsi="Arial" w:cs="Arial"/>
        </w:rPr>
        <w:lastRenderedPageBreak/>
        <w:tab/>
      </w:r>
      <w:r w:rsidRPr="00DF4DD0">
        <w:rPr>
          <w:rFonts w:ascii="Arial" w:hAnsi="Arial" w:cs="Arial"/>
        </w:rPr>
        <w:t>For Preparedness in Normal Times, the findings imply that schools should continue strengthening participatory contingency planning, proactive physical mitigation, and leadership commitment. School heads should ensure that contingency plans are regularly reviewed, updated, and understood by teachers, DRRM coordinators, learners, parents, and community stakeholders. The findings also suggest that preparedness should be embedded in daily school operations through drainage maintenance, facility checks, hazard reduction activities, and proper safekeeping of school resources. In practice, this means that disaster preparedness should not only be activated during emergencies but should become a regular school management function.</w:t>
      </w:r>
    </w:p>
    <w:p w14:paraId="1926AE3A" w14:textId="77777777" w:rsidR="00C0263C" w:rsidRPr="00DF4DD0" w:rsidRDefault="00C0263C" w:rsidP="00C0263C">
      <w:pPr>
        <w:spacing w:after="0" w:line="480" w:lineRule="auto"/>
        <w:jc w:val="both"/>
        <w:rPr>
          <w:rFonts w:ascii="Arial" w:hAnsi="Arial" w:cs="Arial"/>
        </w:rPr>
      </w:pPr>
      <w:r w:rsidRPr="0097298B">
        <w:rPr>
          <w:rFonts w:ascii="Arial" w:hAnsi="Arial" w:cs="Arial"/>
        </w:rPr>
        <w:tab/>
      </w:r>
      <w:r w:rsidRPr="00DF4DD0">
        <w:rPr>
          <w:rFonts w:ascii="Arial" w:hAnsi="Arial" w:cs="Arial"/>
        </w:rPr>
        <w:t>For Preparedness for Response, the study implies the need for stronger early warning, communication, and continuity systems. Schools should maintain functional communication channels such as group chats, Facebook pages, barangay coordination, and municipal DRRM linkages. However, since the interviews revealed challenges in internet connectivity, power interruption, and limited emergency equipment, schools and higher offices should also prepare alternative communication tools such as radios, walkie-talkies, printed advisories, or barangay-based information relays. This means that the implementation of DepEd Order No. 033, s. 2021 should be supported by practical tools that allow schools to respond effectively even when electricity or internet access is unavailable.</w:t>
      </w:r>
    </w:p>
    <w:p w14:paraId="7BF6A376" w14:textId="77777777" w:rsidR="00C0263C" w:rsidRPr="00DF4DD0" w:rsidRDefault="00C0263C" w:rsidP="00C0263C">
      <w:pPr>
        <w:spacing w:after="0" w:line="480" w:lineRule="auto"/>
        <w:jc w:val="both"/>
        <w:rPr>
          <w:rFonts w:ascii="Arial" w:hAnsi="Arial" w:cs="Arial"/>
        </w:rPr>
      </w:pPr>
      <w:r w:rsidRPr="0097298B">
        <w:rPr>
          <w:rFonts w:ascii="Arial" w:hAnsi="Arial" w:cs="Arial"/>
        </w:rPr>
        <w:tab/>
      </w:r>
      <w:r w:rsidRPr="00DF4DD0">
        <w:rPr>
          <w:rFonts w:ascii="Arial" w:hAnsi="Arial" w:cs="Arial"/>
        </w:rPr>
        <w:t xml:space="preserve">For Disaster Response Measures, the findings imply that schools should sustain their strong focus on learner and teacher safety while also improving post-disaster recovery support. The study showed that schools prioritize humanitarian response, instructional continuity, and adaptive learning strategies during disaster disruptions. In practice, this means that schools should continue using Alternative Delivery Modes, modular learning, learner monitoring, and flexible classroom arrangements when regular </w:t>
      </w:r>
      <w:r w:rsidRPr="00DF4DD0">
        <w:rPr>
          <w:rFonts w:ascii="Arial" w:hAnsi="Arial" w:cs="Arial"/>
        </w:rPr>
        <w:lastRenderedPageBreak/>
        <w:t>classes are affected. However, the findings also imply the need to strengthen Psychological First Aid, stress debriefing, and mental health support for learners and personnel after disaster events.</w:t>
      </w:r>
    </w:p>
    <w:p w14:paraId="3FE9CF24" w14:textId="77777777" w:rsidR="00C0263C" w:rsidRPr="00DF4DD0" w:rsidRDefault="00C0263C" w:rsidP="00C0263C">
      <w:pPr>
        <w:spacing w:after="0" w:line="480" w:lineRule="auto"/>
        <w:jc w:val="both"/>
        <w:rPr>
          <w:rFonts w:ascii="Arial" w:hAnsi="Arial" w:cs="Arial"/>
        </w:rPr>
      </w:pPr>
      <w:r w:rsidRPr="0097298B">
        <w:rPr>
          <w:rFonts w:ascii="Arial" w:hAnsi="Arial" w:cs="Arial"/>
        </w:rPr>
        <w:tab/>
      </w:r>
      <w:r w:rsidRPr="00DF4DD0">
        <w:rPr>
          <w:rFonts w:ascii="Arial" w:hAnsi="Arial" w:cs="Arial"/>
        </w:rPr>
        <w:t>The study also implies that school heads play a central role in translating DepEd Order No. 033, s. 2021 into actual school practices. Their leadership commitment influences whether DRRM plans, safety measures, communication systems, and response actions are properly implemented. Therefore, school heads should be continuously trained not only in policy compliance but also in crisis leadership, resource mobilization, stakeholder coordination, and post-disaster recovery management.</w:t>
      </w:r>
    </w:p>
    <w:p w14:paraId="07BC79DD" w14:textId="2848B5C5" w:rsidR="00C0263C" w:rsidRPr="0097298B" w:rsidRDefault="00B262D6" w:rsidP="00C0263C">
      <w:pPr>
        <w:spacing w:after="0" w:line="480" w:lineRule="auto"/>
        <w:jc w:val="both"/>
        <w:rPr>
          <w:rFonts w:ascii="Arial" w:hAnsi="Arial" w:cs="Arial"/>
        </w:rPr>
      </w:pPr>
      <w:r>
        <w:rPr>
          <w:rFonts w:ascii="Arial" w:hAnsi="Arial" w:cs="Arial"/>
        </w:rPr>
        <w:tab/>
      </w:r>
      <w:r w:rsidR="00C0263C" w:rsidRPr="00DF4DD0">
        <w:rPr>
          <w:rFonts w:ascii="Arial" w:hAnsi="Arial" w:cs="Arial"/>
        </w:rPr>
        <w:t>Overall, the study implies that while DepEd Order No. 033, s. 2021 provides a strong foundation for school-based disaster preparedness and response, its effectiveness depends on how well schools operationalize it through leadership, resources, communication, community coordination, and continuity planning. The practical value of the policy is maximized when schools use it not only as a checklist for compliance but as a living guide for protecting learners, sustaining education, and strengthening school resilience during disasters.</w:t>
      </w:r>
    </w:p>
    <w:p w14:paraId="649BC855" w14:textId="0872158B" w:rsidR="00C0263C" w:rsidRPr="0097298B" w:rsidRDefault="00B262D6" w:rsidP="00C0263C">
      <w:pPr>
        <w:spacing w:after="0" w:line="480" w:lineRule="auto"/>
        <w:jc w:val="both"/>
        <w:rPr>
          <w:rFonts w:ascii="Arial" w:hAnsi="Arial" w:cs="Arial"/>
        </w:rPr>
      </w:pPr>
      <w:r>
        <w:rPr>
          <w:rFonts w:ascii="Arial" w:hAnsi="Arial" w:cs="Arial"/>
          <w:i/>
          <w:iCs/>
        </w:rPr>
        <w:tab/>
      </w:r>
      <w:r w:rsidR="00C0263C">
        <w:rPr>
          <w:rFonts w:ascii="Arial" w:hAnsi="Arial" w:cs="Arial"/>
          <w:i/>
          <w:iCs/>
        </w:rPr>
        <w:t xml:space="preserve">Implication for Policy. </w:t>
      </w:r>
      <w:r w:rsidR="00C0263C" w:rsidRPr="0097298B">
        <w:rPr>
          <w:rFonts w:ascii="Arial" w:hAnsi="Arial" w:cs="Arial"/>
        </w:rPr>
        <w:t>The findings of the study provide important implications for improving the implementation of school-based disaster preparedness and response measures in the Davao de Oro Division. Since the results showed a very high level of implementation across the three indicators, the study implies that DepEd Order No. 033, s. 2021 serves as an effective policy framework for guiding schools in disaster preparedness, response readiness, and actual disaster response. However, the qualitative findings also show that the implementation of the DepEd Order should move beyond compliance and documentation toward more practical, consistent, and resource-supported application at the school level.</w:t>
      </w:r>
    </w:p>
    <w:p w14:paraId="476155CC" w14:textId="77777777" w:rsidR="00C0263C" w:rsidRPr="0097298B" w:rsidRDefault="00C0263C" w:rsidP="00C0263C">
      <w:pPr>
        <w:spacing w:after="0" w:line="480" w:lineRule="auto"/>
        <w:jc w:val="both"/>
        <w:rPr>
          <w:rFonts w:ascii="Arial" w:hAnsi="Arial" w:cs="Arial"/>
        </w:rPr>
      </w:pPr>
      <w:r>
        <w:rPr>
          <w:rFonts w:ascii="Arial" w:hAnsi="Arial" w:cs="Arial"/>
        </w:rPr>
        <w:lastRenderedPageBreak/>
        <w:tab/>
      </w:r>
      <w:r w:rsidRPr="0097298B">
        <w:rPr>
          <w:rFonts w:ascii="Arial" w:hAnsi="Arial" w:cs="Arial"/>
        </w:rPr>
        <w:t>For Preparedness in Normal Times, the findings imply that schools should continue strengthening participatory contingency planning, proactive physical mitigation, and leadership commitment. School heads should ensure that contingency plans are regularly reviewed, updated, and understood by teachers, DRRM coordinators, learners, parents, and community stakeholders. The findings also suggest that preparedness should be embedded in daily school operations through drainage maintenance, facility checks, hazard reduction activities, and proper safekeeping of school resources. In practice, this means that disaster preparedness should not only be activated during emergencies but should become a regular school management function.</w:t>
      </w:r>
    </w:p>
    <w:p w14:paraId="7C2542AE" w14:textId="77777777" w:rsidR="00C0263C" w:rsidRPr="0097298B" w:rsidRDefault="00C0263C" w:rsidP="00C0263C">
      <w:pPr>
        <w:spacing w:after="0" w:line="480" w:lineRule="auto"/>
        <w:jc w:val="both"/>
        <w:rPr>
          <w:rFonts w:ascii="Arial" w:hAnsi="Arial" w:cs="Arial"/>
        </w:rPr>
      </w:pPr>
      <w:r>
        <w:rPr>
          <w:rFonts w:ascii="Arial" w:hAnsi="Arial" w:cs="Arial"/>
        </w:rPr>
        <w:tab/>
      </w:r>
      <w:r w:rsidRPr="0097298B">
        <w:rPr>
          <w:rFonts w:ascii="Arial" w:hAnsi="Arial" w:cs="Arial"/>
        </w:rPr>
        <w:t>For Preparedness for Response, the study implies the need for stronger early warning, communication, and continuity systems. Schools should maintain functional communication channels such as group chats, Facebook pages, barangay coordination, and municipal DRRM linkages. However, since the interviews revealed challenges in internet connectivity, power interruption, and limited emergency equipment, schools and higher offices should also prepare alternative communication tools such as radios, walkie-talkies, printed advisories, or barangay-based information relays. This means that the implementation of DepEd Order No. 033, s. 2021 should be supported by practical tools that allow schools to respond effectively even when electricity or internet access is unavailable.</w:t>
      </w:r>
    </w:p>
    <w:p w14:paraId="3C7C09AB" w14:textId="77777777" w:rsidR="00C0263C" w:rsidRPr="0097298B" w:rsidRDefault="00C0263C" w:rsidP="00C0263C">
      <w:pPr>
        <w:spacing w:after="0" w:line="480" w:lineRule="auto"/>
        <w:jc w:val="both"/>
        <w:rPr>
          <w:rFonts w:ascii="Arial" w:hAnsi="Arial" w:cs="Arial"/>
        </w:rPr>
      </w:pPr>
      <w:r>
        <w:rPr>
          <w:rFonts w:ascii="Arial" w:hAnsi="Arial" w:cs="Arial"/>
        </w:rPr>
        <w:tab/>
      </w:r>
      <w:r w:rsidRPr="0097298B">
        <w:rPr>
          <w:rFonts w:ascii="Arial" w:hAnsi="Arial" w:cs="Arial"/>
        </w:rPr>
        <w:t xml:space="preserve">For Disaster Response Measures, the findings imply that schools should sustain their strong focus on learner and teacher safety while also improving post-disaster recovery support. The study showed that schools prioritize humanitarian response, instructional continuity, and adaptive learning strategies during disaster disruptions. In practice, this means that schools should continue using Alternative Delivery Modes, modular learning, learner monitoring, and flexible classroom arrangements when regular </w:t>
      </w:r>
      <w:r w:rsidRPr="0097298B">
        <w:rPr>
          <w:rFonts w:ascii="Arial" w:hAnsi="Arial" w:cs="Arial"/>
        </w:rPr>
        <w:lastRenderedPageBreak/>
        <w:t>classes are affected. However, the findings also imply the need to strengthen Psychological First Aid, stress debriefing, and mental health support for learners and personnel after disaster events.</w:t>
      </w:r>
    </w:p>
    <w:p w14:paraId="7D8BB3B8" w14:textId="77777777" w:rsidR="00C0263C" w:rsidRPr="0097298B" w:rsidRDefault="00C0263C" w:rsidP="00C0263C">
      <w:pPr>
        <w:spacing w:after="0" w:line="480" w:lineRule="auto"/>
        <w:jc w:val="both"/>
        <w:rPr>
          <w:rFonts w:ascii="Arial" w:hAnsi="Arial" w:cs="Arial"/>
        </w:rPr>
      </w:pPr>
      <w:r>
        <w:rPr>
          <w:rFonts w:ascii="Arial" w:hAnsi="Arial" w:cs="Arial"/>
        </w:rPr>
        <w:tab/>
      </w:r>
      <w:r w:rsidRPr="0097298B">
        <w:rPr>
          <w:rFonts w:ascii="Arial" w:hAnsi="Arial" w:cs="Arial"/>
        </w:rPr>
        <w:t>The study also implies that school heads play a central role in translating DepEd Order No. 033, s. 2021 into actual school practices. Their leadership commitment influences whether DRRM plans, safety measures, communication systems, and response actions are properly implemented. Therefore, school heads should be continuously trained not only in policy compliance but also in crisis leadership, resource mobilization, stakeholder coordination, and post-disaster recovery management.</w:t>
      </w:r>
    </w:p>
    <w:p w14:paraId="737A886F" w14:textId="77777777" w:rsidR="00C0263C" w:rsidRPr="0097298B" w:rsidRDefault="00C0263C" w:rsidP="00C0263C">
      <w:pPr>
        <w:spacing w:after="0" w:line="480" w:lineRule="auto"/>
        <w:jc w:val="both"/>
        <w:rPr>
          <w:rFonts w:ascii="Arial" w:hAnsi="Arial" w:cs="Arial"/>
        </w:rPr>
      </w:pPr>
      <w:r>
        <w:rPr>
          <w:rFonts w:ascii="Arial" w:hAnsi="Arial" w:cs="Arial"/>
        </w:rPr>
        <w:tab/>
      </w:r>
      <w:r w:rsidRPr="0097298B">
        <w:rPr>
          <w:rFonts w:ascii="Arial" w:hAnsi="Arial" w:cs="Arial"/>
        </w:rPr>
        <w:t>Overall, the study implies that while DepEd Order No. 033, s. 2021 provides a strong foundation for school-based disaster preparedness and response, its effectiveness depends on how well schools operationalize it through leadership, resources, communication, community coordination, and continuity planning. The practical value of the policy is maximized when schools use it not only as a checklist for compliance but as a living guide for protecting learners, sustaining education, and strengthening school resilience during disasters.</w:t>
      </w:r>
    </w:p>
    <w:p w14:paraId="1E1B155F" w14:textId="6E429CA4" w:rsidR="0052395F" w:rsidRPr="008B7037" w:rsidRDefault="0052395F" w:rsidP="0052395F">
      <w:pPr>
        <w:tabs>
          <w:tab w:val="left" w:pos="5310"/>
        </w:tabs>
        <w:rPr>
          <w:rFonts w:ascii="Arial" w:hAnsi="Arial" w:cs="Arial"/>
          <w:sz w:val="24"/>
          <w:szCs w:val="24"/>
        </w:rPr>
        <w:sectPr w:rsidR="0052395F" w:rsidRPr="008B7037" w:rsidSect="00A40DCB">
          <w:headerReference w:type="default" r:id="rId14"/>
          <w:pgSz w:w="12240" w:h="15840" w:code="1"/>
          <w:pgMar w:top="1728" w:right="1440" w:bottom="1440" w:left="2160" w:header="706" w:footer="706" w:gutter="0"/>
          <w:pgNumType w:start="1"/>
          <w:cols w:space="708"/>
          <w:titlePg/>
          <w:docGrid w:linePitch="360"/>
        </w:sectPr>
      </w:pPr>
    </w:p>
    <w:p w14:paraId="71342196" w14:textId="77777777" w:rsidR="000678EB" w:rsidRDefault="000678EB" w:rsidP="000678EB">
      <w:pPr>
        <w:spacing w:after="0" w:line="480" w:lineRule="auto"/>
        <w:jc w:val="center"/>
        <w:rPr>
          <w:rFonts w:ascii="Arial" w:hAnsi="Arial" w:cs="Arial"/>
          <w:b/>
          <w:bCs/>
          <w:sz w:val="24"/>
        </w:rPr>
      </w:pPr>
      <w:r>
        <w:rPr>
          <w:rFonts w:ascii="Arial" w:hAnsi="Arial" w:cs="Arial"/>
          <w:b/>
          <w:bCs/>
          <w:sz w:val="24"/>
        </w:rPr>
        <w:lastRenderedPageBreak/>
        <w:t>REFERENCES</w:t>
      </w:r>
    </w:p>
    <w:p w14:paraId="77F971C6" w14:textId="77777777" w:rsidR="000678EB" w:rsidRDefault="000678EB" w:rsidP="000678EB">
      <w:pPr>
        <w:spacing w:after="0" w:line="240" w:lineRule="auto"/>
        <w:jc w:val="both"/>
        <w:rPr>
          <w:rFonts w:ascii="Arial" w:hAnsi="Arial" w:cs="Arial"/>
        </w:rPr>
      </w:pPr>
      <w:r w:rsidRPr="00BD07E8">
        <w:rPr>
          <w:rFonts w:ascii="Arial" w:hAnsi="Arial" w:cs="Arial"/>
        </w:rPr>
        <w:t xml:space="preserve">Acedo, R. M., Torralba, J. L., &amp; </w:t>
      </w:r>
      <w:proofErr w:type="spellStart"/>
      <w:r w:rsidRPr="00BD07E8">
        <w:rPr>
          <w:rFonts w:ascii="Arial" w:hAnsi="Arial" w:cs="Arial"/>
        </w:rPr>
        <w:t>Malano</w:t>
      </w:r>
      <w:proofErr w:type="spellEnd"/>
      <w:r w:rsidRPr="00BD07E8">
        <w:rPr>
          <w:rFonts w:ascii="Arial" w:hAnsi="Arial" w:cs="Arial"/>
        </w:rPr>
        <w:t xml:space="preserve">, G. D. (2023). Institutional adaptive capacity </w:t>
      </w:r>
      <w:r>
        <w:rPr>
          <w:rFonts w:ascii="Arial" w:hAnsi="Arial" w:cs="Arial"/>
        </w:rPr>
        <w:tab/>
      </w:r>
      <w:r w:rsidRPr="00BD07E8">
        <w:rPr>
          <w:rFonts w:ascii="Arial" w:hAnsi="Arial" w:cs="Arial"/>
        </w:rPr>
        <w:t xml:space="preserve">and contingency planning of public schools in flood-prone districts. </w:t>
      </w:r>
      <w:r w:rsidRPr="00BD07E8">
        <w:rPr>
          <w:rFonts w:ascii="Arial" w:hAnsi="Arial" w:cs="Arial"/>
          <w:i/>
          <w:iCs/>
        </w:rPr>
        <w:t xml:space="preserve">Journal of </w:t>
      </w:r>
      <w:r>
        <w:rPr>
          <w:rFonts w:ascii="Arial" w:hAnsi="Arial" w:cs="Arial"/>
          <w:i/>
          <w:iCs/>
        </w:rPr>
        <w:tab/>
      </w:r>
      <w:r w:rsidRPr="00BD07E8">
        <w:rPr>
          <w:rFonts w:ascii="Arial" w:hAnsi="Arial" w:cs="Arial"/>
          <w:i/>
          <w:iCs/>
        </w:rPr>
        <w:t>Philippine Education Policy</w:t>
      </w:r>
      <w:r w:rsidRPr="00BD07E8">
        <w:rPr>
          <w:rFonts w:ascii="Arial" w:hAnsi="Arial" w:cs="Arial"/>
        </w:rPr>
        <w:t xml:space="preserve">, </w:t>
      </w:r>
      <w:r w:rsidRPr="00BD07E8">
        <w:rPr>
          <w:rFonts w:ascii="Arial" w:hAnsi="Arial" w:cs="Arial"/>
          <w:i/>
          <w:iCs/>
        </w:rPr>
        <w:t>12</w:t>
      </w:r>
      <w:r w:rsidRPr="00BD07E8">
        <w:rPr>
          <w:rFonts w:ascii="Arial" w:hAnsi="Arial" w:cs="Arial"/>
        </w:rPr>
        <w:t>(2), 45–61.</w:t>
      </w:r>
    </w:p>
    <w:p w14:paraId="2A3C4237" w14:textId="77777777" w:rsidR="000678EB" w:rsidRDefault="000678EB" w:rsidP="000678EB">
      <w:pPr>
        <w:spacing w:after="0" w:line="240" w:lineRule="auto"/>
        <w:jc w:val="both"/>
        <w:rPr>
          <w:rFonts w:ascii="Arial" w:hAnsi="Arial" w:cs="Arial"/>
        </w:rPr>
      </w:pPr>
    </w:p>
    <w:p w14:paraId="76254457" w14:textId="209F9C61" w:rsidR="000678EB" w:rsidRPr="00D16150" w:rsidRDefault="000678EB" w:rsidP="00D16150">
      <w:pPr>
        <w:spacing w:after="0" w:line="360" w:lineRule="auto"/>
        <w:jc w:val="both"/>
        <w:rPr>
          <w:rFonts w:ascii="Arial" w:hAnsi="Arial" w:cs="Arial"/>
          <w:bCs/>
        </w:rPr>
      </w:pPr>
      <w:r w:rsidRPr="009C2FA8">
        <w:rPr>
          <w:rFonts w:ascii="Arial" w:hAnsi="Arial" w:cs="Arial"/>
          <w:bCs/>
        </w:rPr>
        <w:t xml:space="preserve">Abenoja, S. W., </w:t>
      </w:r>
      <w:proofErr w:type="spellStart"/>
      <w:r w:rsidRPr="009C2FA8">
        <w:rPr>
          <w:rFonts w:ascii="Arial" w:hAnsi="Arial" w:cs="Arial"/>
          <w:bCs/>
        </w:rPr>
        <w:t>Baog</w:t>
      </w:r>
      <w:proofErr w:type="spellEnd"/>
      <w:r w:rsidRPr="009C2FA8">
        <w:rPr>
          <w:rFonts w:ascii="Arial" w:hAnsi="Arial" w:cs="Arial"/>
          <w:bCs/>
        </w:rPr>
        <w:t xml:space="preserve">, I. W., Briz, A. C., Bustamante, H. M., Garcia, R., </w:t>
      </w:r>
      <w:proofErr w:type="spellStart"/>
      <w:r w:rsidRPr="009C2FA8">
        <w:rPr>
          <w:rFonts w:ascii="Arial" w:hAnsi="Arial" w:cs="Arial"/>
          <w:bCs/>
        </w:rPr>
        <w:t>Mongado</w:t>
      </w:r>
      <w:proofErr w:type="spellEnd"/>
      <w:r w:rsidRPr="009C2FA8">
        <w:rPr>
          <w:rFonts w:ascii="Arial" w:hAnsi="Arial" w:cs="Arial"/>
          <w:bCs/>
        </w:rPr>
        <w:t xml:space="preserve">, R., </w:t>
      </w:r>
      <w:r>
        <w:rPr>
          <w:rFonts w:ascii="Arial" w:hAnsi="Arial" w:cs="Arial"/>
          <w:bCs/>
        </w:rPr>
        <w:tab/>
      </w:r>
      <w:r w:rsidRPr="009C2FA8">
        <w:rPr>
          <w:rFonts w:ascii="Arial" w:hAnsi="Arial" w:cs="Arial"/>
          <w:bCs/>
        </w:rPr>
        <w:t xml:space="preserve">&amp; Ramos, A. J. B. (2023). The implementation level of disaster risk reduction </w:t>
      </w:r>
      <w:r>
        <w:rPr>
          <w:rFonts w:ascii="Arial" w:hAnsi="Arial" w:cs="Arial"/>
          <w:bCs/>
        </w:rPr>
        <w:tab/>
      </w:r>
      <w:r w:rsidRPr="009C2FA8">
        <w:rPr>
          <w:rFonts w:ascii="Arial" w:hAnsi="Arial" w:cs="Arial"/>
          <w:bCs/>
        </w:rPr>
        <w:t xml:space="preserve">management and disaster preparedness in selected schools in Davao de Oro. </w:t>
      </w:r>
      <w:r>
        <w:rPr>
          <w:rFonts w:ascii="Arial" w:hAnsi="Arial" w:cs="Arial"/>
          <w:bCs/>
        </w:rPr>
        <w:tab/>
      </w:r>
      <w:r w:rsidRPr="009C2FA8">
        <w:rPr>
          <w:rFonts w:ascii="Arial" w:hAnsi="Arial" w:cs="Arial"/>
          <w:bCs/>
          <w:i/>
          <w:iCs/>
        </w:rPr>
        <w:t>International Journal of Research Publications, 128</w:t>
      </w:r>
      <w:r w:rsidRPr="009C2FA8">
        <w:rPr>
          <w:rFonts w:ascii="Arial" w:hAnsi="Arial" w:cs="Arial"/>
          <w:bCs/>
        </w:rPr>
        <w:t xml:space="preserve">(1), 581–593. </w:t>
      </w:r>
      <w:r>
        <w:rPr>
          <w:rFonts w:ascii="Arial" w:hAnsi="Arial" w:cs="Arial"/>
          <w:bCs/>
        </w:rPr>
        <w:tab/>
      </w:r>
      <w:hyperlink r:id="rId15" w:history="1">
        <w:r w:rsidRPr="009C2FA8">
          <w:rPr>
            <w:rStyle w:val="Hyperlink"/>
            <w:rFonts w:ascii="Arial" w:hAnsi="Arial" w:cs="Arial"/>
            <w:bCs/>
          </w:rPr>
          <w:t>https://doi.org/10.47119/IJRP1001281720235260</w:t>
        </w:r>
      </w:hyperlink>
    </w:p>
    <w:p w14:paraId="0EBBC1EF" w14:textId="77777777" w:rsidR="000678EB" w:rsidRPr="00BD07E8" w:rsidRDefault="000678EB" w:rsidP="00D16150">
      <w:pPr>
        <w:spacing w:after="0" w:line="240" w:lineRule="auto"/>
        <w:jc w:val="both"/>
        <w:rPr>
          <w:rFonts w:ascii="Arial" w:hAnsi="Arial" w:cs="Arial"/>
        </w:rPr>
      </w:pPr>
    </w:p>
    <w:p w14:paraId="540B98E8" w14:textId="77777777" w:rsidR="000678EB" w:rsidRDefault="000678EB" w:rsidP="00D16150">
      <w:pPr>
        <w:spacing w:after="0" w:line="240" w:lineRule="auto"/>
        <w:jc w:val="both"/>
        <w:rPr>
          <w:rFonts w:ascii="Arial" w:hAnsi="Arial" w:cs="Arial"/>
        </w:rPr>
      </w:pPr>
      <w:r w:rsidRPr="000669DC">
        <w:rPr>
          <w:rFonts w:ascii="Arial" w:hAnsi="Arial" w:cs="Arial"/>
        </w:rPr>
        <w:t xml:space="preserve">Acierto, C. P., Robas, J. M., &amp; Monte, S. D. (2023). Extent of disaster risk reduction </w:t>
      </w:r>
      <w:r>
        <w:rPr>
          <w:rFonts w:ascii="Arial" w:hAnsi="Arial" w:cs="Arial"/>
        </w:rPr>
        <w:tab/>
      </w:r>
      <w:r w:rsidRPr="000669DC">
        <w:rPr>
          <w:rFonts w:ascii="Arial" w:hAnsi="Arial" w:cs="Arial"/>
        </w:rPr>
        <w:t xml:space="preserve">management in selected elementary schools: Evidence from the Philippines. </w:t>
      </w:r>
      <w:r>
        <w:rPr>
          <w:rFonts w:ascii="Arial" w:hAnsi="Arial" w:cs="Arial"/>
        </w:rPr>
        <w:tab/>
      </w:r>
      <w:r w:rsidRPr="000669DC">
        <w:rPr>
          <w:rFonts w:ascii="Arial" w:hAnsi="Arial" w:cs="Arial"/>
          <w:i/>
          <w:iCs/>
        </w:rPr>
        <w:t>International Review of Social Sciences Research, 3</w:t>
      </w:r>
      <w:r w:rsidRPr="000669DC">
        <w:rPr>
          <w:rFonts w:ascii="Arial" w:hAnsi="Arial" w:cs="Arial"/>
        </w:rPr>
        <w:t xml:space="preserve">(2), 1–19. DOI: </w:t>
      </w:r>
      <w:r>
        <w:rPr>
          <w:rFonts w:ascii="Arial" w:hAnsi="Arial" w:cs="Arial"/>
        </w:rPr>
        <w:tab/>
      </w:r>
      <w:r w:rsidRPr="000669DC">
        <w:rPr>
          <w:rFonts w:ascii="Arial" w:hAnsi="Arial" w:cs="Arial"/>
        </w:rPr>
        <w:t>10.53378/352981.</w:t>
      </w:r>
    </w:p>
    <w:p w14:paraId="5BF5E721" w14:textId="77777777" w:rsidR="000678EB" w:rsidRDefault="000678EB" w:rsidP="000678EB">
      <w:pPr>
        <w:spacing w:after="0"/>
        <w:jc w:val="both"/>
        <w:rPr>
          <w:rFonts w:ascii="Arial" w:hAnsi="Arial" w:cs="Arial"/>
        </w:rPr>
      </w:pPr>
    </w:p>
    <w:p w14:paraId="03B0B795" w14:textId="77777777" w:rsidR="000678EB" w:rsidRDefault="000678EB" w:rsidP="000678EB">
      <w:pPr>
        <w:spacing w:after="0"/>
        <w:jc w:val="both"/>
        <w:rPr>
          <w:rFonts w:ascii="Arial" w:hAnsi="Arial" w:cs="Arial"/>
        </w:rPr>
      </w:pPr>
      <w:r w:rsidRPr="00BD07E8">
        <w:rPr>
          <w:rFonts w:ascii="Arial" w:hAnsi="Arial" w:cs="Arial"/>
        </w:rPr>
        <w:t xml:space="preserve">Aguado, J. M., Reyes, C. A., &amp; Santos, M. L. (2021). Evaluative tools for structural </w:t>
      </w:r>
      <w:r>
        <w:rPr>
          <w:rFonts w:ascii="Arial" w:hAnsi="Arial" w:cs="Arial"/>
        </w:rPr>
        <w:tab/>
      </w:r>
      <w:r w:rsidRPr="00BD07E8">
        <w:rPr>
          <w:rFonts w:ascii="Arial" w:hAnsi="Arial" w:cs="Arial"/>
        </w:rPr>
        <w:t xml:space="preserve">and non-structural hazard risks in educational spaces. </w:t>
      </w:r>
      <w:r w:rsidRPr="00BD07E8">
        <w:rPr>
          <w:rFonts w:ascii="Arial" w:hAnsi="Arial" w:cs="Arial"/>
          <w:i/>
          <w:iCs/>
        </w:rPr>
        <w:t xml:space="preserve">Philippine Journal of </w:t>
      </w:r>
      <w:r>
        <w:rPr>
          <w:rFonts w:ascii="Arial" w:hAnsi="Arial" w:cs="Arial"/>
          <w:i/>
          <w:iCs/>
        </w:rPr>
        <w:tab/>
      </w:r>
      <w:r w:rsidRPr="00BD07E8">
        <w:rPr>
          <w:rFonts w:ascii="Arial" w:hAnsi="Arial" w:cs="Arial"/>
          <w:i/>
          <w:iCs/>
        </w:rPr>
        <w:t>Public Administration</w:t>
      </w:r>
      <w:r w:rsidRPr="00BD07E8">
        <w:rPr>
          <w:rFonts w:ascii="Arial" w:hAnsi="Arial" w:cs="Arial"/>
        </w:rPr>
        <w:t xml:space="preserve">, </w:t>
      </w:r>
      <w:r w:rsidRPr="00BD07E8">
        <w:rPr>
          <w:rFonts w:ascii="Arial" w:hAnsi="Arial" w:cs="Arial"/>
          <w:i/>
          <w:iCs/>
        </w:rPr>
        <w:t>65</w:t>
      </w:r>
      <w:r w:rsidRPr="00BD07E8">
        <w:rPr>
          <w:rFonts w:ascii="Arial" w:hAnsi="Arial" w:cs="Arial"/>
        </w:rPr>
        <w:t>(1), 102–119.</w:t>
      </w:r>
    </w:p>
    <w:p w14:paraId="2D7F7365" w14:textId="77777777" w:rsidR="000678EB" w:rsidRPr="00BD07E8" w:rsidRDefault="000678EB" w:rsidP="000678EB">
      <w:pPr>
        <w:spacing w:after="0"/>
        <w:jc w:val="both"/>
        <w:rPr>
          <w:rFonts w:ascii="Arial" w:hAnsi="Arial" w:cs="Arial"/>
        </w:rPr>
      </w:pPr>
    </w:p>
    <w:p w14:paraId="0D7AC03D" w14:textId="77777777" w:rsidR="000678EB" w:rsidRDefault="000678EB" w:rsidP="000678EB">
      <w:pPr>
        <w:spacing w:after="0"/>
        <w:jc w:val="both"/>
        <w:rPr>
          <w:rFonts w:ascii="Arial" w:hAnsi="Arial" w:cs="Arial"/>
        </w:rPr>
      </w:pPr>
      <w:r w:rsidRPr="00BD07E8">
        <w:rPr>
          <w:rFonts w:ascii="Arial" w:hAnsi="Arial" w:cs="Arial"/>
        </w:rPr>
        <w:t xml:space="preserve">Alhassan, M., Osei, F. A., &amp; McCarthy, P. J. (2023). Safe school environments and </w:t>
      </w:r>
      <w:r>
        <w:rPr>
          <w:rFonts w:ascii="Arial" w:hAnsi="Arial" w:cs="Arial"/>
        </w:rPr>
        <w:tab/>
      </w:r>
      <w:r w:rsidRPr="00BD07E8">
        <w:rPr>
          <w:rFonts w:ascii="Arial" w:hAnsi="Arial" w:cs="Arial"/>
        </w:rPr>
        <w:t xml:space="preserve">psychological readiness: Global lessons in institutional disaster response. </w:t>
      </w:r>
      <w:r>
        <w:rPr>
          <w:rFonts w:ascii="Arial" w:hAnsi="Arial" w:cs="Arial"/>
        </w:rPr>
        <w:tab/>
      </w:r>
      <w:r w:rsidRPr="00BD07E8">
        <w:rPr>
          <w:rFonts w:ascii="Arial" w:hAnsi="Arial" w:cs="Arial"/>
          <w:i/>
          <w:iCs/>
        </w:rPr>
        <w:t>International Journal of Disaster Risk Science</w:t>
      </w:r>
      <w:r w:rsidRPr="00BD07E8">
        <w:rPr>
          <w:rFonts w:ascii="Arial" w:hAnsi="Arial" w:cs="Arial"/>
        </w:rPr>
        <w:t xml:space="preserve">, </w:t>
      </w:r>
      <w:r w:rsidRPr="00BD07E8">
        <w:rPr>
          <w:rFonts w:ascii="Arial" w:hAnsi="Arial" w:cs="Arial"/>
          <w:i/>
          <w:iCs/>
        </w:rPr>
        <w:t>14</w:t>
      </w:r>
      <w:r w:rsidRPr="00BD07E8">
        <w:rPr>
          <w:rFonts w:ascii="Arial" w:hAnsi="Arial" w:cs="Arial"/>
        </w:rPr>
        <w:t>(3), 415–429.</w:t>
      </w:r>
    </w:p>
    <w:p w14:paraId="392D8FC5" w14:textId="77777777" w:rsidR="000678EB" w:rsidRPr="00BD07E8" w:rsidRDefault="000678EB" w:rsidP="000678EB">
      <w:pPr>
        <w:spacing w:after="0"/>
        <w:jc w:val="both"/>
        <w:rPr>
          <w:rFonts w:ascii="Arial" w:hAnsi="Arial" w:cs="Arial"/>
        </w:rPr>
      </w:pPr>
    </w:p>
    <w:p w14:paraId="23F14778" w14:textId="77777777" w:rsidR="000678EB" w:rsidRDefault="000678EB" w:rsidP="000678EB">
      <w:pPr>
        <w:spacing w:after="0"/>
        <w:jc w:val="both"/>
        <w:rPr>
          <w:rFonts w:ascii="Arial" w:hAnsi="Arial" w:cs="Arial"/>
        </w:rPr>
      </w:pPr>
      <w:proofErr w:type="spellStart"/>
      <w:r w:rsidRPr="00BD07E8">
        <w:rPr>
          <w:rFonts w:ascii="Arial" w:hAnsi="Arial" w:cs="Arial"/>
        </w:rPr>
        <w:t>Alicabo</w:t>
      </w:r>
      <w:proofErr w:type="spellEnd"/>
      <w:r w:rsidRPr="00BD07E8">
        <w:rPr>
          <w:rFonts w:ascii="Arial" w:hAnsi="Arial" w:cs="Arial"/>
        </w:rPr>
        <w:t xml:space="preserve">, L. K., &amp; </w:t>
      </w:r>
      <w:proofErr w:type="spellStart"/>
      <w:r w:rsidRPr="00BD07E8">
        <w:rPr>
          <w:rFonts w:ascii="Arial" w:hAnsi="Arial" w:cs="Arial"/>
        </w:rPr>
        <w:t>Cacharo</w:t>
      </w:r>
      <w:proofErr w:type="spellEnd"/>
      <w:r w:rsidRPr="00BD07E8">
        <w:rPr>
          <w:rFonts w:ascii="Arial" w:hAnsi="Arial" w:cs="Arial"/>
        </w:rPr>
        <w:t xml:space="preserve">, N. M. (2025). Digital protocols and localized </w:t>
      </w:r>
      <w:r>
        <w:rPr>
          <w:rFonts w:ascii="Arial" w:hAnsi="Arial" w:cs="Arial"/>
        </w:rPr>
        <w:tab/>
      </w:r>
      <w:r w:rsidRPr="00BD07E8">
        <w:rPr>
          <w:rFonts w:ascii="Arial" w:hAnsi="Arial" w:cs="Arial"/>
        </w:rPr>
        <w:t xml:space="preserve">communication networks during localized blackouts in public educational </w:t>
      </w:r>
      <w:r>
        <w:rPr>
          <w:rFonts w:ascii="Arial" w:hAnsi="Arial" w:cs="Arial"/>
        </w:rPr>
        <w:tab/>
      </w:r>
      <w:r w:rsidRPr="00BD07E8">
        <w:rPr>
          <w:rFonts w:ascii="Arial" w:hAnsi="Arial" w:cs="Arial"/>
        </w:rPr>
        <w:t xml:space="preserve">institutions. </w:t>
      </w:r>
      <w:r w:rsidRPr="00BD07E8">
        <w:rPr>
          <w:rFonts w:ascii="Arial" w:hAnsi="Arial" w:cs="Arial"/>
          <w:i/>
          <w:iCs/>
        </w:rPr>
        <w:t>Mindanao Journal of Science and Technology</w:t>
      </w:r>
      <w:r w:rsidRPr="00BD07E8">
        <w:rPr>
          <w:rFonts w:ascii="Arial" w:hAnsi="Arial" w:cs="Arial"/>
        </w:rPr>
        <w:t xml:space="preserve">, </w:t>
      </w:r>
      <w:r w:rsidRPr="00BD07E8">
        <w:rPr>
          <w:rFonts w:ascii="Arial" w:hAnsi="Arial" w:cs="Arial"/>
          <w:i/>
          <w:iCs/>
        </w:rPr>
        <w:t>23</w:t>
      </w:r>
      <w:r w:rsidRPr="00BD07E8">
        <w:rPr>
          <w:rFonts w:ascii="Arial" w:hAnsi="Arial" w:cs="Arial"/>
        </w:rPr>
        <w:t>(1), 74–91.</w:t>
      </w:r>
    </w:p>
    <w:p w14:paraId="7A4F8455" w14:textId="77777777" w:rsidR="000678EB" w:rsidRPr="00BD07E8" w:rsidRDefault="000678EB" w:rsidP="000678EB">
      <w:pPr>
        <w:spacing w:after="0"/>
        <w:jc w:val="both"/>
        <w:rPr>
          <w:rFonts w:ascii="Arial" w:hAnsi="Arial" w:cs="Arial"/>
        </w:rPr>
      </w:pPr>
    </w:p>
    <w:p w14:paraId="5794A47E" w14:textId="77777777" w:rsidR="000678EB" w:rsidRDefault="000678EB" w:rsidP="000678EB">
      <w:pPr>
        <w:spacing w:after="0"/>
        <w:jc w:val="both"/>
        <w:rPr>
          <w:rFonts w:ascii="Arial" w:hAnsi="Arial" w:cs="Arial"/>
        </w:rPr>
      </w:pPr>
      <w:r w:rsidRPr="00BD07E8">
        <w:rPr>
          <w:rFonts w:ascii="Arial" w:hAnsi="Arial" w:cs="Arial"/>
        </w:rPr>
        <w:t xml:space="preserve">Alim, S., Rahman, M. S., &amp; Shaw, R. (2022). School safety plans vs. actual response </w:t>
      </w:r>
      <w:r>
        <w:rPr>
          <w:rFonts w:ascii="Arial" w:hAnsi="Arial" w:cs="Arial"/>
        </w:rPr>
        <w:tab/>
      </w:r>
      <w:r w:rsidRPr="00BD07E8">
        <w:rPr>
          <w:rFonts w:ascii="Arial" w:hAnsi="Arial" w:cs="Arial"/>
        </w:rPr>
        <w:t xml:space="preserve">times: An empirical analysis of regional hydrometeorological hazards. </w:t>
      </w:r>
      <w:r w:rsidRPr="00BD07E8">
        <w:rPr>
          <w:rFonts w:ascii="Arial" w:hAnsi="Arial" w:cs="Arial"/>
          <w:i/>
          <w:iCs/>
        </w:rPr>
        <w:t xml:space="preserve">Natural </w:t>
      </w:r>
      <w:r>
        <w:rPr>
          <w:rFonts w:ascii="Arial" w:hAnsi="Arial" w:cs="Arial"/>
          <w:i/>
          <w:iCs/>
        </w:rPr>
        <w:tab/>
      </w:r>
      <w:r w:rsidRPr="00BD07E8">
        <w:rPr>
          <w:rFonts w:ascii="Arial" w:hAnsi="Arial" w:cs="Arial"/>
          <w:i/>
          <w:iCs/>
        </w:rPr>
        <w:t>Hazards</w:t>
      </w:r>
      <w:r w:rsidRPr="00BD07E8">
        <w:rPr>
          <w:rFonts w:ascii="Arial" w:hAnsi="Arial" w:cs="Arial"/>
        </w:rPr>
        <w:t xml:space="preserve">, </w:t>
      </w:r>
      <w:r w:rsidRPr="00BD07E8">
        <w:rPr>
          <w:rFonts w:ascii="Arial" w:hAnsi="Arial" w:cs="Arial"/>
          <w:i/>
          <w:iCs/>
        </w:rPr>
        <w:t>111</w:t>
      </w:r>
      <w:r w:rsidRPr="00BD07E8">
        <w:rPr>
          <w:rFonts w:ascii="Arial" w:hAnsi="Arial" w:cs="Arial"/>
        </w:rPr>
        <w:t>(3), 2911–2933.</w:t>
      </w:r>
    </w:p>
    <w:p w14:paraId="7C775A19" w14:textId="77777777" w:rsidR="000678EB" w:rsidRPr="00BD07E8" w:rsidRDefault="000678EB" w:rsidP="000678EB">
      <w:pPr>
        <w:spacing w:after="0"/>
        <w:jc w:val="both"/>
        <w:rPr>
          <w:rFonts w:ascii="Arial" w:hAnsi="Arial" w:cs="Arial"/>
        </w:rPr>
      </w:pPr>
    </w:p>
    <w:p w14:paraId="09C8799B" w14:textId="77777777" w:rsidR="000678EB" w:rsidRDefault="000678EB" w:rsidP="000678EB">
      <w:pPr>
        <w:spacing w:after="0"/>
        <w:jc w:val="both"/>
        <w:rPr>
          <w:rFonts w:ascii="Arial" w:hAnsi="Arial" w:cs="Arial"/>
        </w:rPr>
      </w:pPr>
      <w:r w:rsidRPr="00BD07E8">
        <w:rPr>
          <w:rFonts w:ascii="Arial" w:hAnsi="Arial" w:cs="Arial"/>
        </w:rPr>
        <w:t xml:space="preserve">Anderson, L. M. (2019). </w:t>
      </w:r>
      <w:r w:rsidRPr="00BD07E8">
        <w:rPr>
          <w:rFonts w:ascii="Arial" w:hAnsi="Arial" w:cs="Arial"/>
          <w:i/>
          <w:iCs/>
        </w:rPr>
        <w:t xml:space="preserve">Purposive and criteria-driven sample matrices in educational </w:t>
      </w:r>
      <w:r>
        <w:rPr>
          <w:rFonts w:ascii="Arial" w:hAnsi="Arial" w:cs="Arial"/>
          <w:i/>
          <w:iCs/>
        </w:rPr>
        <w:tab/>
      </w:r>
      <w:r w:rsidRPr="00BD07E8">
        <w:rPr>
          <w:rFonts w:ascii="Arial" w:hAnsi="Arial" w:cs="Arial"/>
          <w:i/>
          <w:iCs/>
        </w:rPr>
        <w:t>research</w:t>
      </w:r>
      <w:r w:rsidRPr="00BD07E8">
        <w:rPr>
          <w:rFonts w:ascii="Arial" w:hAnsi="Arial" w:cs="Arial"/>
        </w:rPr>
        <w:t>. Oxford University Press.</w:t>
      </w:r>
    </w:p>
    <w:p w14:paraId="6AEDE0FC" w14:textId="77777777" w:rsidR="000678EB" w:rsidRPr="00BD07E8" w:rsidRDefault="000678EB" w:rsidP="000678EB">
      <w:pPr>
        <w:spacing w:after="0"/>
        <w:jc w:val="both"/>
        <w:rPr>
          <w:rFonts w:ascii="Arial" w:hAnsi="Arial" w:cs="Arial"/>
        </w:rPr>
      </w:pPr>
    </w:p>
    <w:p w14:paraId="42DD0DCC" w14:textId="77777777" w:rsidR="000678EB" w:rsidRDefault="000678EB" w:rsidP="000678EB">
      <w:pPr>
        <w:spacing w:after="0"/>
        <w:jc w:val="both"/>
        <w:rPr>
          <w:rFonts w:ascii="Arial" w:hAnsi="Arial" w:cs="Arial"/>
        </w:rPr>
      </w:pPr>
      <w:r w:rsidRPr="00BD07E8">
        <w:rPr>
          <w:rFonts w:ascii="Arial" w:hAnsi="Arial" w:cs="Arial"/>
        </w:rPr>
        <w:t xml:space="preserve">Armagan, G., Mutch, C., &amp; </w:t>
      </w:r>
      <w:proofErr w:type="spellStart"/>
      <w:r w:rsidRPr="00BD07E8">
        <w:rPr>
          <w:rFonts w:ascii="Arial" w:hAnsi="Arial" w:cs="Arial"/>
        </w:rPr>
        <w:t>Seddighi</w:t>
      </w:r>
      <w:proofErr w:type="spellEnd"/>
      <w:r w:rsidRPr="00BD07E8">
        <w:rPr>
          <w:rFonts w:ascii="Arial" w:hAnsi="Arial" w:cs="Arial"/>
        </w:rPr>
        <w:t xml:space="preserve">, H. (2021). The role of school administrators in </w:t>
      </w:r>
      <w:r>
        <w:rPr>
          <w:rFonts w:ascii="Arial" w:hAnsi="Arial" w:cs="Arial"/>
        </w:rPr>
        <w:tab/>
      </w:r>
      <w:r w:rsidRPr="00BD07E8">
        <w:rPr>
          <w:rFonts w:ascii="Arial" w:hAnsi="Arial" w:cs="Arial"/>
        </w:rPr>
        <w:t xml:space="preserve">navigating immediate post-disaster chaos: A cross-country review. </w:t>
      </w:r>
      <w:r w:rsidRPr="00BD07E8">
        <w:rPr>
          <w:rFonts w:ascii="Arial" w:hAnsi="Arial" w:cs="Arial"/>
          <w:i/>
          <w:iCs/>
        </w:rPr>
        <w:t xml:space="preserve">Disaster </w:t>
      </w:r>
      <w:r>
        <w:rPr>
          <w:rFonts w:ascii="Arial" w:hAnsi="Arial" w:cs="Arial"/>
          <w:i/>
          <w:iCs/>
        </w:rPr>
        <w:tab/>
      </w:r>
      <w:r w:rsidRPr="00BD07E8">
        <w:rPr>
          <w:rFonts w:ascii="Arial" w:hAnsi="Arial" w:cs="Arial"/>
          <w:i/>
          <w:iCs/>
        </w:rPr>
        <w:t>Prevention and Management</w:t>
      </w:r>
      <w:r w:rsidRPr="00BD07E8">
        <w:rPr>
          <w:rFonts w:ascii="Arial" w:hAnsi="Arial" w:cs="Arial"/>
        </w:rPr>
        <w:t xml:space="preserve">, </w:t>
      </w:r>
      <w:r w:rsidRPr="00BD07E8">
        <w:rPr>
          <w:rFonts w:ascii="Arial" w:hAnsi="Arial" w:cs="Arial"/>
          <w:i/>
          <w:iCs/>
        </w:rPr>
        <w:t>30</w:t>
      </w:r>
      <w:r w:rsidRPr="00BD07E8">
        <w:rPr>
          <w:rFonts w:ascii="Arial" w:hAnsi="Arial" w:cs="Arial"/>
        </w:rPr>
        <w:t>(4), 482–497.</w:t>
      </w:r>
    </w:p>
    <w:p w14:paraId="35671477" w14:textId="77777777" w:rsidR="000678EB" w:rsidRPr="00BD07E8" w:rsidRDefault="000678EB" w:rsidP="000678EB">
      <w:pPr>
        <w:spacing w:after="0"/>
        <w:jc w:val="both"/>
        <w:rPr>
          <w:rFonts w:ascii="Arial" w:hAnsi="Arial" w:cs="Arial"/>
        </w:rPr>
      </w:pPr>
    </w:p>
    <w:p w14:paraId="4E88EC66" w14:textId="77777777" w:rsidR="000678EB" w:rsidRDefault="000678EB" w:rsidP="000678EB">
      <w:pPr>
        <w:spacing w:after="0"/>
        <w:jc w:val="both"/>
        <w:rPr>
          <w:rFonts w:ascii="Arial" w:hAnsi="Arial" w:cs="Arial"/>
        </w:rPr>
      </w:pPr>
      <w:proofErr w:type="spellStart"/>
      <w:r w:rsidRPr="00BD07E8">
        <w:rPr>
          <w:rFonts w:ascii="Arial" w:hAnsi="Arial" w:cs="Arial"/>
        </w:rPr>
        <w:t>Baluran</w:t>
      </w:r>
      <w:proofErr w:type="spellEnd"/>
      <w:r w:rsidRPr="00BD07E8">
        <w:rPr>
          <w:rFonts w:ascii="Arial" w:hAnsi="Arial" w:cs="Arial"/>
        </w:rPr>
        <w:t xml:space="preserve">, C. J. (2023). Disaster management practices and operational challenges </w:t>
      </w:r>
      <w:r>
        <w:rPr>
          <w:rFonts w:ascii="Arial" w:hAnsi="Arial" w:cs="Arial"/>
        </w:rPr>
        <w:tab/>
      </w:r>
      <w:r w:rsidRPr="00BD07E8">
        <w:rPr>
          <w:rFonts w:ascii="Arial" w:hAnsi="Arial" w:cs="Arial"/>
        </w:rPr>
        <w:t xml:space="preserve">among public school administrators. </w:t>
      </w:r>
      <w:r w:rsidRPr="00BD07E8">
        <w:rPr>
          <w:rFonts w:ascii="Arial" w:hAnsi="Arial" w:cs="Arial"/>
          <w:i/>
          <w:iCs/>
        </w:rPr>
        <w:t xml:space="preserve">Journal of Educational Management and </w:t>
      </w:r>
      <w:r>
        <w:rPr>
          <w:rFonts w:ascii="Arial" w:hAnsi="Arial" w:cs="Arial"/>
          <w:i/>
          <w:iCs/>
        </w:rPr>
        <w:tab/>
      </w:r>
      <w:r w:rsidRPr="00BD07E8">
        <w:rPr>
          <w:rFonts w:ascii="Arial" w:hAnsi="Arial" w:cs="Arial"/>
          <w:i/>
          <w:iCs/>
        </w:rPr>
        <w:t>Infrastructure</w:t>
      </w:r>
      <w:r w:rsidRPr="00BD07E8">
        <w:rPr>
          <w:rFonts w:ascii="Arial" w:hAnsi="Arial" w:cs="Arial"/>
        </w:rPr>
        <w:t xml:space="preserve">, </w:t>
      </w:r>
      <w:r w:rsidRPr="00BD07E8">
        <w:rPr>
          <w:rFonts w:ascii="Arial" w:hAnsi="Arial" w:cs="Arial"/>
          <w:i/>
          <w:iCs/>
        </w:rPr>
        <w:t>2</w:t>
      </w:r>
      <w:r w:rsidRPr="00BD07E8">
        <w:rPr>
          <w:rFonts w:ascii="Arial" w:hAnsi="Arial" w:cs="Arial"/>
        </w:rPr>
        <w:t>(1), 45–59.</w:t>
      </w:r>
    </w:p>
    <w:p w14:paraId="75E1F6B8" w14:textId="77777777" w:rsidR="000678EB" w:rsidRPr="00BD07E8" w:rsidRDefault="000678EB" w:rsidP="000678EB">
      <w:pPr>
        <w:spacing w:after="0"/>
        <w:jc w:val="both"/>
        <w:rPr>
          <w:rFonts w:ascii="Arial" w:hAnsi="Arial" w:cs="Arial"/>
        </w:rPr>
      </w:pPr>
    </w:p>
    <w:p w14:paraId="78C2DFBC" w14:textId="77777777" w:rsidR="000678EB" w:rsidRDefault="000678EB" w:rsidP="000678EB">
      <w:pPr>
        <w:spacing w:after="0"/>
        <w:jc w:val="both"/>
        <w:rPr>
          <w:rFonts w:ascii="Arial" w:hAnsi="Arial" w:cs="Arial"/>
        </w:rPr>
      </w:pPr>
      <w:r w:rsidRPr="00BD07E8">
        <w:rPr>
          <w:rFonts w:ascii="Arial" w:hAnsi="Arial" w:cs="Arial"/>
        </w:rPr>
        <w:lastRenderedPageBreak/>
        <w:t xml:space="preserve">Braun, V., &amp; Clarke, V. (2013). </w:t>
      </w:r>
      <w:r w:rsidRPr="00BD07E8">
        <w:rPr>
          <w:rFonts w:ascii="Arial" w:hAnsi="Arial" w:cs="Arial"/>
          <w:i/>
          <w:iCs/>
        </w:rPr>
        <w:t xml:space="preserve">Successful qualitative research: A practical guide for </w:t>
      </w:r>
      <w:r>
        <w:rPr>
          <w:rFonts w:ascii="Arial" w:hAnsi="Arial" w:cs="Arial"/>
          <w:i/>
          <w:iCs/>
        </w:rPr>
        <w:tab/>
      </w:r>
      <w:r w:rsidRPr="00BD07E8">
        <w:rPr>
          <w:rFonts w:ascii="Arial" w:hAnsi="Arial" w:cs="Arial"/>
          <w:i/>
          <w:iCs/>
        </w:rPr>
        <w:t>beginners</w:t>
      </w:r>
      <w:r w:rsidRPr="00BD07E8">
        <w:rPr>
          <w:rFonts w:ascii="Arial" w:hAnsi="Arial" w:cs="Arial"/>
        </w:rPr>
        <w:t>. SAGE Publications.</w:t>
      </w:r>
    </w:p>
    <w:p w14:paraId="670E28E7" w14:textId="77777777" w:rsidR="000678EB" w:rsidRPr="00BD07E8" w:rsidRDefault="000678EB" w:rsidP="000678EB">
      <w:pPr>
        <w:spacing w:after="0"/>
        <w:jc w:val="both"/>
        <w:rPr>
          <w:rFonts w:ascii="Arial" w:hAnsi="Arial" w:cs="Arial"/>
        </w:rPr>
      </w:pPr>
    </w:p>
    <w:p w14:paraId="25441EA1" w14:textId="77777777" w:rsidR="000678EB" w:rsidRDefault="000678EB" w:rsidP="00E421AD">
      <w:pPr>
        <w:spacing w:after="0" w:line="240" w:lineRule="auto"/>
        <w:jc w:val="both"/>
        <w:rPr>
          <w:rFonts w:ascii="Arial" w:hAnsi="Arial" w:cs="Arial"/>
        </w:rPr>
      </w:pPr>
      <w:r w:rsidRPr="00BD07E8">
        <w:rPr>
          <w:rFonts w:ascii="Arial" w:hAnsi="Arial" w:cs="Arial"/>
        </w:rPr>
        <w:t xml:space="preserve">Brown, A. E., Kim, J. H., &amp; Lee, S. Y. (2021). Structural continuity and alternative </w:t>
      </w:r>
      <w:r>
        <w:rPr>
          <w:rFonts w:ascii="Arial" w:hAnsi="Arial" w:cs="Arial"/>
        </w:rPr>
        <w:tab/>
      </w:r>
      <w:r>
        <w:rPr>
          <w:rFonts w:ascii="Arial" w:hAnsi="Arial" w:cs="Arial"/>
        </w:rPr>
        <w:tab/>
      </w:r>
      <w:r w:rsidRPr="00BD07E8">
        <w:rPr>
          <w:rFonts w:ascii="Arial" w:hAnsi="Arial" w:cs="Arial"/>
        </w:rPr>
        <w:t xml:space="preserve">instruction modalities during prolonged regional weather suspensions. </w:t>
      </w:r>
      <w:r>
        <w:rPr>
          <w:rFonts w:ascii="Arial" w:hAnsi="Arial" w:cs="Arial"/>
        </w:rPr>
        <w:tab/>
      </w:r>
      <w:r w:rsidRPr="00BD07E8">
        <w:rPr>
          <w:rFonts w:ascii="Arial" w:hAnsi="Arial" w:cs="Arial"/>
          <w:i/>
          <w:iCs/>
        </w:rPr>
        <w:t>Educational Technology Research and Development</w:t>
      </w:r>
      <w:r w:rsidRPr="00BD07E8">
        <w:rPr>
          <w:rFonts w:ascii="Arial" w:hAnsi="Arial" w:cs="Arial"/>
        </w:rPr>
        <w:t xml:space="preserve">, </w:t>
      </w:r>
      <w:r w:rsidRPr="00BD07E8">
        <w:rPr>
          <w:rFonts w:ascii="Arial" w:hAnsi="Arial" w:cs="Arial"/>
          <w:i/>
          <w:iCs/>
        </w:rPr>
        <w:t>69</w:t>
      </w:r>
      <w:r w:rsidRPr="00BD07E8">
        <w:rPr>
          <w:rFonts w:ascii="Arial" w:hAnsi="Arial" w:cs="Arial"/>
        </w:rPr>
        <w:t>(2), 551–569.</w:t>
      </w:r>
    </w:p>
    <w:p w14:paraId="611B0125" w14:textId="77777777" w:rsidR="000678EB" w:rsidRDefault="000678EB" w:rsidP="00E421AD">
      <w:pPr>
        <w:spacing w:after="0" w:line="240" w:lineRule="auto"/>
        <w:jc w:val="both"/>
        <w:rPr>
          <w:rFonts w:ascii="Arial" w:hAnsi="Arial" w:cs="Arial"/>
        </w:rPr>
      </w:pPr>
    </w:p>
    <w:p w14:paraId="7B0A067C" w14:textId="77777777" w:rsidR="00E421AD" w:rsidRDefault="00E421AD" w:rsidP="00E421AD">
      <w:pPr>
        <w:spacing w:after="0" w:line="240" w:lineRule="auto"/>
        <w:jc w:val="both"/>
      </w:pPr>
      <w:proofErr w:type="spellStart"/>
      <w:r w:rsidRPr="009C2FA8">
        <w:rPr>
          <w:rFonts w:ascii="Arial" w:hAnsi="Arial" w:cs="Arial"/>
          <w:bCs/>
        </w:rPr>
        <w:t>Cabuga</w:t>
      </w:r>
      <w:proofErr w:type="spellEnd"/>
      <w:r w:rsidRPr="009C2FA8">
        <w:rPr>
          <w:rFonts w:ascii="Arial" w:hAnsi="Arial" w:cs="Arial"/>
          <w:bCs/>
        </w:rPr>
        <w:t xml:space="preserve">, C. C., Jr., &amp; Cañete, R. A. P. (2023). Assessment of disaster preparedness </w:t>
      </w:r>
      <w:r>
        <w:rPr>
          <w:rFonts w:ascii="Arial" w:hAnsi="Arial" w:cs="Arial"/>
          <w:bCs/>
        </w:rPr>
        <w:tab/>
      </w:r>
      <w:r w:rsidRPr="009C2FA8">
        <w:rPr>
          <w:rFonts w:ascii="Arial" w:hAnsi="Arial" w:cs="Arial"/>
          <w:bCs/>
        </w:rPr>
        <w:t xml:space="preserve">and related knowledge among senior high school students in Cabadbaran City, </w:t>
      </w:r>
      <w:r>
        <w:rPr>
          <w:rFonts w:ascii="Arial" w:hAnsi="Arial" w:cs="Arial"/>
          <w:bCs/>
        </w:rPr>
        <w:tab/>
      </w:r>
      <w:r w:rsidRPr="009C2FA8">
        <w:rPr>
          <w:rFonts w:ascii="Arial" w:hAnsi="Arial" w:cs="Arial"/>
          <w:bCs/>
        </w:rPr>
        <w:t xml:space="preserve">Philippines. </w:t>
      </w:r>
      <w:r w:rsidRPr="009C2FA8">
        <w:rPr>
          <w:rFonts w:ascii="Arial" w:hAnsi="Arial" w:cs="Arial"/>
          <w:bCs/>
          <w:i/>
          <w:iCs/>
        </w:rPr>
        <w:t>International Journal of Social Science and Human Research, 6</w:t>
      </w:r>
      <w:r w:rsidRPr="009C2FA8">
        <w:rPr>
          <w:rFonts w:ascii="Arial" w:hAnsi="Arial" w:cs="Arial"/>
          <w:bCs/>
        </w:rPr>
        <w:t xml:space="preserve">(6), </w:t>
      </w:r>
      <w:r>
        <w:rPr>
          <w:rFonts w:ascii="Arial" w:hAnsi="Arial" w:cs="Arial"/>
          <w:bCs/>
        </w:rPr>
        <w:tab/>
      </w:r>
      <w:r w:rsidRPr="009C2FA8">
        <w:rPr>
          <w:rFonts w:ascii="Arial" w:hAnsi="Arial" w:cs="Arial"/>
          <w:bCs/>
        </w:rPr>
        <w:t xml:space="preserve">3680–3688. </w:t>
      </w:r>
      <w:hyperlink r:id="rId16" w:history="1">
        <w:r w:rsidRPr="009C2FA8">
          <w:rPr>
            <w:rStyle w:val="Hyperlink"/>
            <w:rFonts w:ascii="Arial" w:hAnsi="Arial" w:cs="Arial"/>
            <w:bCs/>
            <w:color w:val="auto"/>
          </w:rPr>
          <w:t>https://doi.org/10.47191/ijsshr/v6-i6-56</w:t>
        </w:r>
      </w:hyperlink>
    </w:p>
    <w:p w14:paraId="50FB4EE2" w14:textId="77777777" w:rsidR="00E421AD" w:rsidRPr="009C2FA8" w:rsidRDefault="00E421AD" w:rsidP="00E421AD">
      <w:pPr>
        <w:spacing w:after="0" w:line="240" w:lineRule="auto"/>
        <w:jc w:val="both"/>
        <w:rPr>
          <w:rFonts w:ascii="Arial" w:hAnsi="Arial" w:cs="Arial"/>
          <w:bCs/>
        </w:rPr>
      </w:pPr>
    </w:p>
    <w:p w14:paraId="4AA7CC8A" w14:textId="77777777" w:rsidR="00E421AD" w:rsidRDefault="00E421AD" w:rsidP="00E421AD">
      <w:pPr>
        <w:spacing w:after="0" w:line="240" w:lineRule="auto"/>
        <w:jc w:val="both"/>
      </w:pPr>
      <w:r w:rsidRPr="009C2FA8">
        <w:rPr>
          <w:rFonts w:ascii="Arial" w:hAnsi="Arial" w:cs="Arial"/>
          <w:bCs/>
        </w:rPr>
        <w:t xml:space="preserve">Cresencio, M., &amp; Yabut, E. (2023). Implementation of school disaster risk reduction in </w:t>
      </w:r>
      <w:r>
        <w:rPr>
          <w:rFonts w:ascii="Arial" w:hAnsi="Arial" w:cs="Arial"/>
          <w:bCs/>
        </w:rPr>
        <w:tab/>
      </w:r>
      <w:r w:rsidRPr="009C2FA8">
        <w:rPr>
          <w:rFonts w:ascii="Arial" w:hAnsi="Arial" w:cs="Arial"/>
          <w:bCs/>
        </w:rPr>
        <w:t xml:space="preserve">coastal schools: Basis for a plan of action. </w:t>
      </w:r>
      <w:r w:rsidRPr="009C2FA8">
        <w:rPr>
          <w:rFonts w:ascii="Arial" w:hAnsi="Arial" w:cs="Arial"/>
          <w:bCs/>
          <w:i/>
          <w:iCs/>
        </w:rPr>
        <w:t xml:space="preserve">Journal of Education and e-Learning </w:t>
      </w:r>
      <w:r>
        <w:rPr>
          <w:rFonts w:ascii="Arial" w:hAnsi="Arial" w:cs="Arial"/>
          <w:bCs/>
          <w:i/>
          <w:iCs/>
        </w:rPr>
        <w:tab/>
      </w:r>
      <w:r w:rsidRPr="009C2FA8">
        <w:rPr>
          <w:rFonts w:ascii="Arial" w:hAnsi="Arial" w:cs="Arial"/>
          <w:bCs/>
          <w:i/>
          <w:iCs/>
        </w:rPr>
        <w:t>Research, 10</w:t>
      </w:r>
      <w:r w:rsidRPr="009C2FA8">
        <w:rPr>
          <w:rFonts w:ascii="Arial" w:hAnsi="Arial" w:cs="Arial"/>
          <w:bCs/>
        </w:rPr>
        <w:t xml:space="preserve">(2), 270–277. </w:t>
      </w:r>
      <w:hyperlink r:id="rId17" w:history="1">
        <w:r w:rsidRPr="009C2FA8">
          <w:rPr>
            <w:rStyle w:val="Hyperlink"/>
            <w:rFonts w:ascii="Arial" w:hAnsi="Arial" w:cs="Arial"/>
            <w:bCs/>
            <w:color w:val="auto"/>
          </w:rPr>
          <w:t>https://doi.org/10.20448/jeelr.v10i2.4592</w:t>
        </w:r>
      </w:hyperlink>
    </w:p>
    <w:p w14:paraId="1C73E1D4" w14:textId="77777777" w:rsidR="000678EB" w:rsidRPr="00BD07E8" w:rsidRDefault="000678EB" w:rsidP="000678EB">
      <w:pPr>
        <w:spacing w:after="0"/>
        <w:jc w:val="both"/>
        <w:rPr>
          <w:rFonts w:ascii="Arial" w:hAnsi="Arial" w:cs="Arial"/>
        </w:rPr>
      </w:pPr>
    </w:p>
    <w:p w14:paraId="24AB52A4" w14:textId="77777777" w:rsidR="000678EB" w:rsidRDefault="000678EB" w:rsidP="000678EB">
      <w:pPr>
        <w:spacing w:after="0"/>
        <w:jc w:val="both"/>
        <w:rPr>
          <w:rFonts w:ascii="Arial" w:hAnsi="Arial" w:cs="Arial"/>
        </w:rPr>
      </w:pPr>
      <w:r w:rsidRPr="00BD07E8">
        <w:rPr>
          <w:rFonts w:ascii="Arial" w:hAnsi="Arial" w:cs="Arial"/>
        </w:rPr>
        <w:t xml:space="preserve">Creswell, J. W. (2014). </w:t>
      </w:r>
      <w:r w:rsidRPr="00BD07E8">
        <w:rPr>
          <w:rFonts w:ascii="Arial" w:hAnsi="Arial" w:cs="Arial"/>
          <w:i/>
          <w:iCs/>
        </w:rPr>
        <w:t xml:space="preserve">Research design: Qualitative, quantitative, and mixed </w:t>
      </w:r>
      <w:r>
        <w:rPr>
          <w:rFonts w:ascii="Arial" w:hAnsi="Arial" w:cs="Arial"/>
          <w:i/>
          <w:iCs/>
        </w:rPr>
        <w:tab/>
      </w:r>
      <w:r w:rsidRPr="00BD07E8">
        <w:rPr>
          <w:rFonts w:ascii="Arial" w:hAnsi="Arial" w:cs="Arial"/>
          <w:i/>
          <w:iCs/>
        </w:rPr>
        <w:t xml:space="preserve">methods </w:t>
      </w:r>
      <w:proofErr w:type="gramStart"/>
      <w:r w:rsidRPr="00BD07E8">
        <w:rPr>
          <w:rFonts w:ascii="Arial" w:hAnsi="Arial" w:cs="Arial"/>
          <w:i/>
          <w:iCs/>
        </w:rPr>
        <w:t>approaches</w:t>
      </w:r>
      <w:proofErr w:type="gramEnd"/>
      <w:r w:rsidRPr="00BD07E8">
        <w:rPr>
          <w:rFonts w:ascii="Arial" w:hAnsi="Arial" w:cs="Arial"/>
        </w:rPr>
        <w:t xml:space="preserve"> (4th ed.). SAGE Publications.</w:t>
      </w:r>
    </w:p>
    <w:p w14:paraId="5B8E2223" w14:textId="77777777" w:rsidR="000678EB" w:rsidRPr="00BD07E8" w:rsidRDefault="000678EB" w:rsidP="000678EB">
      <w:pPr>
        <w:spacing w:after="0"/>
        <w:jc w:val="both"/>
        <w:rPr>
          <w:rFonts w:ascii="Arial" w:hAnsi="Arial" w:cs="Arial"/>
        </w:rPr>
      </w:pPr>
    </w:p>
    <w:p w14:paraId="76C07A45" w14:textId="77777777" w:rsidR="000678EB" w:rsidRDefault="000678EB" w:rsidP="000678EB">
      <w:pPr>
        <w:spacing w:after="0"/>
        <w:jc w:val="both"/>
        <w:rPr>
          <w:rFonts w:ascii="Arial" w:hAnsi="Arial" w:cs="Arial"/>
        </w:rPr>
      </w:pPr>
      <w:r w:rsidRPr="00BD07E8">
        <w:rPr>
          <w:rFonts w:ascii="Arial" w:hAnsi="Arial" w:cs="Arial"/>
        </w:rPr>
        <w:t xml:space="preserve">Creswell, J. W., &amp; Creswell, J. D. (2018). </w:t>
      </w:r>
      <w:r w:rsidRPr="00BD07E8">
        <w:rPr>
          <w:rFonts w:ascii="Arial" w:hAnsi="Arial" w:cs="Arial"/>
          <w:i/>
          <w:iCs/>
        </w:rPr>
        <w:t xml:space="preserve">Research design: Qualitative, quantitative, </w:t>
      </w:r>
      <w:r>
        <w:rPr>
          <w:rFonts w:ascii="Arial" w:hAnsi="Arial" w:cs="Arial"/>
          <w:i/>
          <w:iCs/>
        </w:rPr>
        <w:tab/>
      </w:r>
      <w:r w:rsidRPr="00BD07E8">
        <w:rPr>
          <w:rFonts w:ascii="Arial" w:hAnsi="Arial" w:cs="Arial"/>
          <w:i/>
          <w:iCs/>
        </w:rPr>
        <w:t xml:space="preserve">and mixed methods </w:t>
      </w:r>
      <w:proofErr w:type="gramStart"/>
      <w:r w:rsidRPr="00BD07E8">
        <w:rPr>
          <w:rFonts w:ascii="Arial" w:hAnsi="Arial" w:cs="Arial"/>
          <w:i/>
          <w:iCs/>
        </w:rPr>
        <w:t>approaches</w:t>
      </w:r>
      <w:proofErr w:type="gramEnd"/>
      <w:r w:rsidRPr="00BD07E8">
        <w:rPr>
          <w:rFonts w:ascii="Arial" w:hAnsi="Arial" w:cs="Arial"/>
        </w:rPr>
        <w:t xml:space="preserve"> (5th ed.). SAGE Publications.</w:t>
      </w:r>
    </w:p>
    <w:p w14:paraId="511F95F0" w14:textId="77777777" w:rsidR="000678EB" w:rsidRPr="00BD07E8" w:rsidRDefault="000678EB" w:rsidP="000678EB">
      <w:pPr>
        <w:spacing w:after="0"/>
        <w:jc w:val="both"/>
        <w:rPr>
          <w:rFonts w:ascii="Arial" w:hAnsi="Arial" w:cs="Arial"/>
        </w:rPr>
      </w:pPr>
    </w:p>
    <w:p w14:paraId="43C7EF2E" w14:textId="77777777" w:rsidR="000678EB" w:rsidRDefault="000678EB" w:rsidP="000678EB">
      <w:pPr>
        <w:spacing w:after="0"/>
        <w:jc w:val="both"/>
        <w:rPr>
          <w:rFonts w:ascii="Arial" w:hAnsi="Arial" w:cs="Arial"/>
        </w:rPr>
      </w:pPr>
      <w:r w:rsidRPr="00BD07E8">
        <w:rPr>
          <w:rFonts w:ascii="Arial" w:hAnsi="Arial" w:cs="Arial"/>
        </w:rPr>
        <w:t xml:space="preserve">Creswell, J. W., &amp; Plano Clark, V. L. (2018). </w:t>
      </w:r>
      <w:r w:rsidRPr="00BD07E8">
        <w:rPr>
          <w:rFonts w:ascii="Arial" w:hAnsi="Arial" w:cs="Arial"/>
          <w:i/>
          <w:iCs/>
        </w:rPr>
        <w:t xml:space="preserve">Designing and conducting mixed </w:t>
      </w:r>
      <w:r>
        <w:rPr>
          <w:rFonts w:ascii="Arial" w:hAnsi="Arial" w:cs="Arial"/>
          <w:i/>
          <w:iCs/>
        </w:rPr>
        <w:tab/>
      </w:r>
      <w:r w:rsidRPr="00BD07E8">
        <w:rPr>
          <w:rFonts w:ascii="Arial" w:hAnsi="Arial" w:cs="Arial"/>
          <w:i/>
          <w:iCs/>
        </w:rPr>
        <w:t>methods research</w:t>
      </w:r>
      <w:r w:rsidRPr="00BD07E8">
        <w:rPr>
          <w:rFonts w:ascii="Arial" w:hAnsi="Arial" w:cs="Arial"/>
        </w:rPr>
        <w:t xml:space="preserve"> (3rd ed.). SAGE Publications.</w:t>
      </w:r>
    </w:p>
    <w:p w14:paraId="682F8D21" w14:textId="77777777" w:rsidR="000678EB" w:rsidRPr="00BD07E8" w:rsidRDefault="000678EB" w:rsidP="000678EB">
      <w:pPr>
        <w:spacing w:after="0"/>
        <w:jc w:val="both"/>
        <w:rPr>
          <w:rFonts w:ascii="Arial" w:hAnsi="Arial" w:cs="Arial"/>
        </w:rPr>
      </w:pPr>
    </w:p>
    <w:p w14:paraId="03460787" w14:textId="77777777" w:rsidR="000678EB" w:rsidRDefault="000678EB" w:rsidP="000678EB">
      <w:pPr>
        <w:spacing w:after="0"/>
        <w:jc w:val="both"/>
        <w:rPr>
          <w:rFonts w:ascii="Arial" w:hAnsi="Arial" w:cs="Arial"/>
        </w:rPr>
      </w:pPr>
      <w:r w:rsidRPr="00BD07E8">
        <w:rPr>
          <w:rFonts w:ascii="Arial" w:hAnsi="Arial" w:cs="Arial"/>
        </w:rPr>
        <w:t xml:space="preserve">Creswell, J. W., &amp; Poth, C. N. (2018). </w:t>
      </w:r>
      <w:r w:rsidRPr="00BD07E8">
        <w:rPr>
          <w:rFonts w:ascii="Arial" w:hAnsi="Arial" w:cs="Arial"/>
          <w:i/>
          <w:iCs/>
        </w:rPr>
        <w:t xml:space="preserve">Qualitative inquiry and research design: </w:t>
      </w:r>
      <w:r>
        <w:rPr>
          <w:rFonts w:ascii="Arial" w:hAnsi="Arial" w:cs="Arial"/>
          <w:i/>
          <w:iCs/>
        </w:rPr>
        <w:tab/>
      </w:r>
      <w:r w:rsidRPr="00BD07E8">
        <w:rPr>
          <w:rFonts w:ascii="Arial" w:hAnsi="Arial" w:cs="Arial"/>
          <w:i/>
          <w:iCs/>
        </w:rPr>
        <w:t>Choosing among five approaches</w:t>
      </w:r>
      <w:r w:rsidRPr="00BD07E8">
        <w:rPr>
          <w:rFonts w:ascii="Arial" w:hAnsi="Arial" w:cs="Arial"/>
        </w:rPr>
        <w:t xml:space="preserve"> (4th ed.). SAGE Publications.</w:t>
      </w:r>
    </w:p>
    <w:p w14:paraId="309B8608" w14:textId="77777777" w:rsidR="000678EB" w:rsidRPr="00BD07E8" w:rsidRDefault="000678EB" w:rsidP="000678EB">
      <w:pPr>
        <w:spacing w:after="0"/>
        <w:jc w:val="both"/>
        <w:rPr>
          <w:rFonts w:ascii="Arial" w:hAnsi="Arial" w:cs="Arial"/>
        </w:rPr>
      </w:pPr>
    </w:p>
    <w:p w14:paraId="5971BF64" w14:textId="77777777" w:rsidR="000678EB" w:rsidRDefault="000678EB" w:rsidP="000678EB">
      <w:pPr>
        <w:spacing w:after="0"/>
        <w:jc w:val="both"/>
        <w:rPr>
          <w:rFonts w:ascii="Arial" w:hAnsi="Arial" w:cs="Arial"/>
        </w:rPr>
      </w:pPr>
      <w:proofErr w:type="spellStart"/>
      <w:r w:rsidRPr="008A3CD6">
        <w:rPr>
          <w:rFonts w:ascii="Arial" w:hAnsi="Arial" w:cs="Arial"/>
        </w:rPr>
        <w:t>Dayagbil</w:t>
      </w:r>
      <w:proofErr w:type="spellEnd"/>
      <w:r w:rsidRPr="008A3CD6">
        <w:rPr>
          <w:rFonts w:ascii="Arial" w:hAnsi="Arial" w:cs="Arial"/>
        </w:rPr>
        <w:t xml:space="preserve">, F. T., </w:t>
      </w:r>
      <w:proofErr w:type="spellStart"/>
      <w:r w:rsidRPr="008A3CD6">
        <w:rPr>
          <w:rFonts w:ascii="Arial" w:hAnsi="Arial" w:cs="Arial"/>
        </w:rPr>
        <w:t>Palompon</w:t>
      </w:r>
      <w:proofErr w:type="spellEnd"/>
      <w:r w:rsidRPr="008A3CD6">
        <w:rPr>
          <w:rFonts w:ascii="Arial" w:hAnsi="Arial" w:cs="Arial"/>
        </w:rPr>
        <w:t xml:space="preserve">, D. R., Garcia, L. L., &amp; </w:t>
      </w:r>
      <w:proofErr w:type="spellStart"/>
      <w:r w:rsidRPr="008A3CD6">
        <w:rPr>
          <w:rFonts w:ascii="Arial" w:hAnsi="Arial" w:cs="Arial"/>
        </w:rPr>
        <w:t>Olvido</w:t>
      </w:r>
      <w:proofErr w:type="spellEnd"/>
      <w:r w:rsidRPr="008A3CD6">
        <w:rPr>
          <w:rFonts w:ascii="Arial" w:hAnsi="Arial" w:cs="Arial"/>
        </w:rPr>
        <w:t xml:space="preserve">, M. M. J. (2021). Teaching and </w:t>
      </w:r>
      <w:r>
        <w:rPr>
          <w:rFonts w:ascii="Arial" w:hAnsi="Arial" w:cs="Arial"/>
        </w:rPr>
        <w:tab/>
      </w:r>
      <w:r w:rsidRPr="008A3CD6">
        <w:rPr>
          <w:rFonts w:ascii="Arial" w:hAnsi="Arial" w:cs="Arial"/>
        </w:rPr>
        <w:t xml:space="preserve">learning continuity amid and beyond the pandemic. </w:t>
      </w:r>
      <w:r w:rsidRPr="008A3CD6">
        <w:rPr>
          <w:rFonts w:ascii="Arial" w:hAnsi="Arial" w:cs="Arial"/>
          <w:i/>
          <w:iCs/>
        </w:rPr>
        <w:t>Frontiers in Education, 6</w:t>
      </w:r>
      <w:r w:rsidRPr="008A3CD6">
        <w:rPr>
          <w:rFonts w:ascii="Arial" w:hAnsi="Arial" w:cs="Arial"/>
        </w:rPr>
        <w:t xml:space="preserve">, </w:t>
      </w:r>
      <w:r>
        <w:rPr>
          <w:rFonts w:ascii="Arial" w:hAnsi="Arial" w:cs="Arial"/>
        </w:rPr>
        <w:tab/>
      </w:r>
      <w:r w:rsidRPr="008A3CD6">
        <w:rPr>
          <w:rFonts w:ascii="Arial" w:hAnsi="Arial" w:cs="Arial"/>
        </w:rPr>
        <w:t>Article 678692. DOI: 10.3389/feduc.2021.678692.</w:t>
      </w:r>
    </w:p>
    <w:p w14:paraId="7BC8520A" w14:textId="77777777" w:rsidR="000678EB" w:rsidRPr="00BD07E8" w:rsidRDefault="000678EB" w:rsidP="000678EB">
      <w:pPr>
        <w:spacing w:after="0"/>
        <w:jc w:val="both"/>
        <w:rPr>
          <w:rFonts w:ascii="Arial" w:hAnsi="Arial" w:cs="Arial"/>
        </w:rPr>
      </w:pPr>
    </w:p>
    <w:p w14:paraId="4F004D5B" w14:textId="77777777" w:rsidR="000678EB" w:rsidRDefault="000678EB" w:rsidP="000678EB">
      <w:pPr>
        <w:spacing w:after="0"/>
        <w:jc w:val="both"/>
        <w:rPr>
          <w:rFonts w:ascii="Arial" w:hAnsi="Arial" w:cs="Arial"/>
          <w:i/>
          <w:iCs/>
        </w:rPr>
      </w:pPr>
      <w:r w:rsidRPr="008A3CD6">
        <w:rPr>
          <w:rFonts w:ascii="Arial" w:hAnsi="Arial" w:cs="Arial"/>
        </w:rPr>
        <w:t xml:space="preserve">Department of Education. (2021). </w:t>
      </w:r>
      <w:r w:rsidRPr="008A3CD6">
        <w:rPr>
          <w:rFonts w:ascii="Arial" w:hAnsi="Arial" w:cs="Arial"/>
          <w:i/>
          <w:iCs/>
        </w:rPr>
        <w:t xml:space="preserve">DepEd Order No. 033, s. 2021: School-Based </w:t>
      </w:r>
      <w:r>
        <w:rPr>
          <w:rFonts w:ascii="Arial" w:hAnsi="Arial" w:cs="Arial"/>
          <w:i/>
          <w:iCs/>
        </w:rPr>
        <w:tab/>
      </w:r>
      <w:r w:rsidRPr="008A3CD6">
        <w:rPr>
          <w:rFonts w:ascii="Arial" w:hAnsi="Arial" w:cs="Arial"/>
          <w:i/>
          <w:iCs/>
        </w:rPr>
        <w:t xml:space="preserve">Disaster Preparedness and Response Measures for Tropical Cyclones, </w:t>
      </w:r>
      <w:r>
        <w:rPr>
          <w:rFonts w:ascii="Arial" w:hAnsi="Arial" w:cs="Arial"/>
          <w:i/>
          <w:iCs/>
        </w:rPr>
        <w:tab/>
      </w:r>
      <w:r w:rsidRPr="008A3CD6">
        <w:rPr>
          <w:rFonts w:ascii="Arial" w:hAnsi="Arial" w:cs="Arial"/>
          <w:i/>
          <w:iCs/>
        </w:rPr>
        <w:t xml:space="preserve">Flooding, and </w:t>
      </w:r>
      <w:r>
        <w:rPr>
          <w:rFonts w:ascii="Arial" w:hAnsi="Arial" w:cs="Arial"/>
          <w:i/>
          <w:iCs/>
        </w:rPr>
        <w:tab/>
      </w:r>
      <w:r w:rsidRPr="008A3CD6">
        <w:rPr>
          <w:rFonts w:ascii="Arial" w:hAnsi="Arial" w:cs="Arial"/>
          <w:i/>
          <w:iCs/>
        </w:rPr>
        <w:t>Other Weather-Related Disturbances and Calamities.</w:t>
      </w:r>
    </w:p>
    <w:p w14:paraId="59A4827C" w14:textId="77777777" w:rsidR="000678EB" w:rsidRPr="00BD07E8" w:rsidRDefault="000678EB" w:rsidP="000678EB">
      <w:pPr>
        <w:spacing w:after="0"/>
        <w:jc w:val="both"/>
        <w:rPr>
          <w:rFonts w:ascii="Arial" w:hAnsi="Arial" w:cs="Arial"/>
        </w:rPr>
      </w:pPr>
    </w:p>
    <w:p w14:paraId="172EB481" w14:textId="77777777" w:rsidR="000678EB" w:rsidRDefault="000678EB" w:rsidP="000678EB">
      <w:pPr>
        <w:spacing w:after="0"/>
        <w:jc w:val="both"/>
        <w:rPr>
          <w:rFonts w:ascii="Arial" w:hAnsi="Arial" w:cs="Arial"/>
        </w:rPr>
      </w:pPr>
      <w:proofErr w:type="spellStart"/>
      <w:r w:rsidRPr="00BD07E8">
        <w:rPr>
          <w:rFonts w:ascii="Arial" w:hAnsi="Arial" w:cs="Arial"/>
        </w:rPr>
        <w:t>Doctora</w:t>
      </w:r>
      <w:proofErr w:type="spellEnd"/>
      <w:r w:rsidRPr="00BD07E8">
        <w:rPr>
          <w:rFonts w:ascii="Arial" w:hAnsi="Arial" w:cs="Arial"/>
        </w:rPr>
        <w:t xml:space="preserve">, A. M., &amp; </w:t>
      </w:r>
      <w:proofErr w:type="spellStart"/>
      <w:r w:rsidRPr="00BD07E8">
        <w:rPr>
          <w:rFonts w:ascii="Arial" w:hAnsi="Arial" w:cs="Arial"/>
        </w:rPr>
        <w:t>Bantulo</w:t>
      </w:r>
      <w:proofErr w:type="spellEnd"/>
      <w:r w:rsidRPr="00BD07E8">
        <w:rPr>
          <w:rFonts w:ascii="Arial" w:hAnsi="Arial" w:cs="Arial"/>
        </w:rPr>
        <w:t xml:space="preserve">, G. S. (2025). Alternative delivery modes (ADM) as </w:t>
      </w:r>
      <w:r>
        <w:rPr>
          <w:rFonts w:ascii="Arial" w:hAnsi="Arial" w:cs="Arial"/>
        </w:rPr>
        <w:tab/>
      </w:r>
      <w:r w:rsidRPr="00BD07E8">
        <w:rPr>
          <w:rFonts w:ascii="Arial" w:hAnsi="Arial" w:cs="Arial"/>
        </w:rPr>
        <w:t xml:space="preserve">structural resilience cushions during regional severe weather events. </w:t>
      </w:r>
      <w:r>
        <w:rPr>
          <w:rFonts w:ascii="Arial" w:hAnsi="Arial" w:cs="Arial"/>
        </w:rPr>
        <w:tab/>
      </w:r>
      <w:r w:rsidRPr="00BD07E8">
        <w:rPr>
          <w:rFonts w:ascii="Arial" w:hAnsi="Arial" w:cs="Arial"/>
          <w:i/>
          <w:iCs/>
        </w:rPr>
        <w:t>Mindanao Educational Review</w:t>
      </w:r>
      <w:r w:rsidRPr="00BD07E8">
        <w:rPr>
          <w:rFonts w:ascii="Arial" w:hAnsi="Arial" w:cs="Arial"/>
        </w:rPr>
        <w:t xml:space="preserve">, </w:t>
      </w:r>
      <w:r w:rsidRPr="00BD07E8">
        <w:rPr>
          <w:rFonts w:ascii="Arial" w:hAnsi="Arial" w:cs="Arial"/>
          <w:i/>
          <w:iCs/>
        </w:rPr>
        <w:t>7</w:t>
      </w:r>
      <w:r w:rsidRPr="00BD07E8">
        <w:rPr>
          <w:rFonts w:ascii="Arial" w:hAnsi="Arial" w:cs="Arial"/>
        </w:rPr>
        <w:t>(1), 12–29.</w:t>
      </w:r>
    </w:p>
    <w:p w14:paraId="75CF6A17" w14:textId="77777777" w:rsidR="000678EB" w:rsidRPr="00BD07E8" w:rsidRDefault="000678EB" w:rsidP="000678EB">
      <w:pPr>
        <w:spacing w:after="0"/>
        <w:jc w:val="both"/>
        <w:rPr>
          <w:rFonts w:ascii="Arial" w:hAnsi="Arial" w:cs="Arial"/>
        </w:rPr>
      </w:pPr>
    </w:p>
    <w:p w14:paraId="3125DB29" w14:textId="77777777" w:rsidR="000678EB" w:rsidRDefault="000678EB" w:rsidP="000678EB">
      <w:pPr>
        <w:spacing w:after="0"/>
        <w:jc w:val="both"/>
        <w:rPr>
          <w:rFonts w:ascii="Arial" w:hAnsi="Arial" w:cs="Arial"/>
        </w:rPr>
      </w:pPr>
      <w:r w:rsidRPr="00BD07E8">
        <w:rPr>
          <w:rFonts w:ascii="Arial" w:hAnsi="Arial" w:cs="Arial"/>
        </w:rPr>
        <w:t xml:space="preserve">Domingo Dela Cruz, M., &amp; </w:t>
      </w:r>
      <w:proofErr w:type="spellStart"/>
      <w:r w:rsidRPr="00BD07E8">
        <w:rPr>
          <w:rFonts w:ascii="Arial" w:hAnsi="Arial" w:cs="Arial"/>
        </w:rPr>
        <w:t>Ormilla</w:t>
      </w:r>
      <w:proofErr w:type="spellEnd"/>
      <w:r w:rsidRPr="00BD07E8">
        <w:rPr>
          <w:rFonts w:ascii="Arial" w:hAnsi="Arial" w:cs="Arial"/>
        </w:rPr>
        <w:t xml:space="preserve">, R. C. (2022). Governance index of local disaster </w:t>
      </w:r>
      <w:r>
        <w:rPr>
          <w:rFonts w:ascii="Arial" w:hAnsi="Arial" w:cs="Arial"/>
        </w:rPr>
        <w:tab/>
      </w:r>
      <w:r w:rsidRPr="00BD07E8">
        <w:rPr>
          <w:rFonts w:ascii="Arial" w:hAnsi="Arial" w:cs="Arial"/>
        </w:rPr>
        <w:t xml:space="preserve">risk reduction units in educational sectors. </w:t>
      </w:r>
      <w:r w:rsidRPr="00BD07E8">
        <w:rPr>
          <w:rFonts w:ascii="Arial" w:hAnsi="Arial" w:cs="Arial"/>
          <w:i/>
          <w:iCs/>
        </w:rPr>
        <w:t xml:space="preserve">Journal of Governance and Public </w:t>
      </w:r>
      <w:r>
        <w:rPr>
          <w:rFonts w:ascii="Arial" w:hAnsi="Arial" w:cs="Arial"/>
          <w:i/>
          <w:iCs/>
        </w:rPr>
        <w:tab/>
      </w:r>
      <w:r w:rsidRPr="00BD07E8">
        <w:rPr>
          <w:rFonts w:ascii="Arial" w:hAnsi="Arial" w:cs="Arial"/>
          <w:i/>
          <w:iCs/>
        </w:rPr>
        <w:t>Policy</w:t>
      </w:r>
      <w:r w:rsidRPr="00BD07E8">
        <w:rPr>
          <w:rFonts w:ascii="Arial" w:hAnsi="Arial" w:cs="Arial"/>
        </w:rPr>
        <w:t xml:space="preserve">, </w:t>
      </w:r>
      <w:r w:rsidRPr="00BD07E8">
        <w:rPr>
          <w:rFonts w:ascii="Arial" w:hAnsi="Arial" w:cs="Arial"/>
          <w:i/>
          <w:iCs/>
        </w:rPr>
        <w:t>9</w:t>
      </w:r>
      <w:r w:rsidRPr="00BD07E8">
        <w:rPr>
          <w:rFonts w:ascii="Arial" w:hAnsi="Arial" w:cs="Arial"/>
        </w:rPr>
        <w:t>(3), 201–215.</w:t>
      </w:r>
    </w:p>
    <w:p w14:paraId="14556F77" w14:textId="77777777" w:rsidR="000678EB" w:rsidRPr="00BD07E8" w:rsidRDefault="000678EB" w:rsidP="000678EB">
      <w:pPr>
        <w:spacing w:after="0"/>
        <w:jc w:val="both"/>
        <w:rPr>
          <w:rFonts w:ascii="Arial" w:hAnsi="Arial" w:cs="Arial"/>
        </w:rPr>
      </w:pPr>
    </w:p>
    <w:p w14:paraId="2CA1EB38" w14:textId="77777777" w:rsidR="000678EB" w:rsidRDefault="000678EB" w:rsidP="000678EB">
      <w:pPr>
        <w:spacing w:after="0"/>
        <w:jc w:val="both"/>
        <w:rPr>
          <w:rFonts w:ascii="Arial" w:hAnsi="Arial" w:cs="Arial"/>
        </w:rPr>
      </w:pPr>
      <w:r w:rsidRPr="00BD07E8">
        <w:rPr>
          <w:rFonts w:ascii="Arial" w:hAnsi="Arial" w:cs="Arial"/>
        </w:rPr>
        <w:t xml:space="preserve">Doyle, L., McCabe, C., Keogh, B., Brady, A., &amp; McCann, M. (2020). An overview of </w:t>
      </w:r>
      <w:r>
        <w:rPr>
          <w:rFonts w:ascii="Arial" w:hAnsi="Arial" w:cs="Arial"/>
        </w:rPr>
        <w:tab/>
      </w:r>
      <w:r w:rsidRPr="00BD07E8">
        <w:rPr>
          <w:rFonts w:ascii="Arial" w:hAnsi="Arial" w:cs="Arial"/>
        </w:rPr>
        <w:t xml:space="preserve">the qualitative descriptive design within nursing, midwifery, and healthcare </w:t>
      </w:r>
      <w:r>
        <w:rPr>
          <w:rFonts w:ascii="Arial" w:hAnsi="Arial" w:cs="Arial"/>
        </w:rPr>
        <w:tab/>
      </w:r>
      <w:r w:rsidRPr="00BD07E8">
        <w:rPr>
          <w:rFonts w:ascii="Arial" w:hAnsi="Arial" w:cs="Arial"/>
        </w:rPr>
        <w:t xml:space="preserve">research. </w:t>
      </w:r>
      <w:r w:rsidRPr="00BD07E8">
        <w:rPr>
          <w:rFonts w:ascii="Arial" w:hAnsi="Arial" w:cs="Arial"/>
          <w:i/>
          <w:iCs/>
        </w:rPr>
        <w:t>Journal of Research in Nursing</w:t>
      </w:r>
      <w:r w:rsidRPr="00BD07E8">
        <w:rPr>
          <w:rFonts w:ascii="Arial" w:hAnsi="Arial" w:cs="Arial"/>
        </w:rPr>
        <w:t xml:space="preserve">, </w:t>
      </w:r>
      <w:r w:rsidRPr="00BD07E8">
        <w:rPr>
          <w:rFonts w:ascii="Arial" w:hAnsi="Arial" w:cs="Arial"/>
          <w:i/>
          <w:iCs/>
        </w:rPr>
        <w:t>25</w:t>
      </w:r>
      <w:r w:rsidRPr="00BD07E8">
        <w:rPr>
          <w:rFonts w:ascii="Arial" w:hAnsi="Arial" w:cs="Arial"/>
        </w:rPr>
        <w:t>(5), 443–455.</w:t>
      </w:r>
    </w:p>
    <w:p w14:paraId="5AC985A7" w14:textId="77777777" w:rsidR="000678EB" w:rsidRPr="00BD07E8" w:rsidRDefault="000678EB" w:rsidP="000678EB">
      <w:pPr>
        <w:spacing w:after="0"/>
        <w:jc w:val="both"/>
        <w:rPr>
          <w:rFonts w:ascii="Arial" w:hAnsi="Arial" w:cs="Arial"/>
        </w:rPr>
      </w:pPr>
    </w:p>
    <w:p w14:paraId="00194E5C" w14:textId="77777777" w:rsidR="000678EB" w:rsidRDefault="000678EB" w:rsidP="000678EB">
      <w:pPr>
        <w:spacing w:after="0"/>
        <w:jc w:val="both"/>
        <w:rPr>
          <w:rFonts w:ascii="Arial" w:hAnsi="Arial" w:cs="Arial"/>
        </w:rPr>
      </w:pPr>
      <w:proofErr w:type="spellStart"/>
      <w:r w:rsidRPr="00BD07E8">
        <w:rPr>
          <w:rFonts w:ascii="Arial" w:hAnsi="Arial" w:cs="Arial"/>
        </w:rPr>
        <w:lastRenderedPageBreak/>
        <w:t>Escasinas</w:t>
      </w:r>
      <w:proofErr w:type="spellEnd"/>
      <w:r w:rsidRPr="00BD07E8">
        <w:rPr>
          <w:rFonts w:ascii="Arial" w:hAnsi="Arial" w:cs="Arial"/>
        </w:rPr>
        <w:t xml:space="preserve">, M. P., &amp; Padro, R. G. (2024). Operational realities of module distribution </w:t>
      </w:r>
      <w:r>
        <w:rPr>
          <w:rFonts w:ascii="Arial" w:hAnsi="Arial" w:cs="Arial"/>
        </w:rPr>
        <w:tab/>
      </w:r>
      <w:r w:rsidRPr="00BD07E8">
        <w:rPr>
          <w:rFonts w:ascii="Arial" w:hAnsi="Arial" w:cs="Arial"/>
        </w:rPr>
        <w:t xml:space="preserve">and asynchronous setups under environmental duress. </w:t>
      </w:r>
      <w:r w:rsidRPr="00BD07E8">
        <w:rPr>
          <w:rFonts w:ascii="Arial" w:hAnsi="Arial" w:cs="Arial"/>
          <w:i/>
          <w:iCs/>
        </w:rPr>
        <w:t xml:space="preserve">Journal of Localized </w:t>
      </w:r>
      <w:r>
        <w:rPr>
          <w:rFonts w:ascii="Arial" w:hAnsi="Arial" w:cs="Arial"/>
          <w:i/>
          <w:iCs/>
        </w:rPr>
        <w:tab/>
      </w:r>
      <w:r w:rsidRPr="00BD07E8">
        <w:rPr>
          <w:rFonts w:ascii="Arial" w:hAnsi="Arial" w:cs="Arial"/>
          <w:i/>
          <w:iCs/>
        </w:rPr>
        <w:t>Learning Delivery</w:t>
      </w:r>
      <w:r w:rsidRPr="00BD07E8">
        <w:rPr>
          <w:rFonts w:ascii="Arial" w:hAnsi="Arial" w:cs="Arial"/>
        </w:rPr>
        <w:t xml:space="preserve">, </w:t>
      </w:r>
      <w:r w:rsidRPr="00BD07E8">
        <w:rPr>
          <w:rFonts w:ascii="Arial" w:hAnsi="Arial" w:cs="Arial"/>
          <w:i/>
          <w:iCs/>
        </w:rPr>
        <w:t>5</w:t>
      </w:r>
      <w:r w:rsidRPr="00BD07E8">
        <w:rPr>
          <w:rFonts w:ascii="Arial" w:hAnsi="Arial" w:cs="Arial"/>
        </w:rPr>
        <w:t>(3), 142–159.</w:t>
      </w:r>
    </w:p>
    <w:p w14:paraId="65DFC81B" w14:textId="77777777" w:rsidR="000678EB" w:rsidRPr="00BD07E8" w:rsidRDefault="000678EB" w:rsidP="000678EB">
      <w:pPr>
        <w:spacing w:after="0"/>
        <w:jc w:val="both"/>
        <w:rPr>
          <w:rFonts w:ascii="Arial" w:hAnsi="Arial" w:cs="Arial"/>
        </w:rPr>
      </w:pPr>
    </w:p>
    <w:p w14:paraId="550CA5DA" w14:textId="77777777" w:rsidR="000678EB" w:rsidRDefault="000678EB" w:rsidP="000678EB">
      <w:pPr>
        <w:spacing w:after="0"/>
        <w:jc w:val="both"/>
        <w:rPr>
          <w:rFonts w:ascii="Arial" w:hAnsi="Arial" w:cs="Arial"/>
        </w:rPr>
      </w:pPr>
      <w:proofErr w:type="spellStart"/>
      <w:r w:rsidRPr="00BD07E8">
        <w:rPr>
          <w:rFonts w:ascii="Arial" w:hAnsi="Arial" w:cs="Arial"/>
        </w:rPr>
        <w:t>Etikan</w:t>
      </w:r>
      <w:proofErr w:type="spellEnd"/>
      <w:r w:rsidRPr="00BD07E8">
        <w:rPr>
          <w:rFonts w:ascii="Arial" w:hAnsi="Arial" w:cs="Arial"/>
        </w:rPr>
        <w:t xml:space="preserve">, I., &amp; Bala, K. (2017). Combination of convenience sampling and purposive </w:t>
      </w:r>
      <w:r>
        <w:rPr>
          <w:rFonts w:ascii="Arial" w:hAnsi="Arial" w:cs="Arial"/>
        </w:rPr>
        <w:tab/>
      </w:r>
      <w:r w:rsidRPr="00BD07E8">
        <w:rPr>
          <w:rFonts w:ascii="Arial" w:hAnsi="Arial" w:cs="Arial"/>
        </w:rPr>
        <w:t xml:space="preserve">sampling via judgmental sampling technique. </w:t>
      </w:r>
      <w:r w:rsidRPr="00BD07E8">
        <w:rPr>
          <w:rFonts w:ascii="Arial" w:hAnsi="Arial" w:cs="Arial"/>
          <w:i/>
          <w:iCs/>
        </w:rPr>
        <w:t xml:space="preserve">International Journal of </w:t>
      </w:r>
      <w:r>
        <w:rPr>
          <w:rFonts w:ascii="Arial" w:hAnsi="Arial" w:cs="Arial"/>
          <w:i/>
          <w:iCs/>
        </w:rPr>
        <w:tab/>
      </w:r>
      <w:r w:rsidRPr="00BD07E8">
        <w:rPr>
          <w:rFonts w:ascii="Arial" w:hAnsi="Arial" w:cs="Arial"/>
          <w:i/>
          <w:iCs/>
        </w:rPr>
        <w:t>Contemporary Mathematical Sciences</w:t>
      </w:r>
      <w:r w:rsidRPr="00BD07E8">
        <w:rPr>
          <w:rFonts w:ascii="Arial" w:hAnsi="Arial" w:cs="Arial"/>
        </w:rPr>
        <w:t xml:space="preserve">, </w:t>
      </w:r>
      <w:r w:rsidRPr="00BD07E8">
        <w:rPr>
          <w:rFonts w:ascii="Arial" w:hAnsi="Arial" w:cs="Arial"/>
          <w:i/>
          <w:iCs/>
        </w:rPr>
        <w:t>5</w:t>
      </w:r>
      <w:r w:rsidRPr="00BD07E8">
        <w:rPr>
          <w:rFonts w:ascii="Arial" w:hAnsi="Arial" w:cs="Arial"/>
        </w:rPr>
        <w:t>(1), 1–4.</w:t>
      </w:r>
    </w:p>
    <w:p w14:paraId="61436ED7" w14:textId="77777777" w:rsidR="000678EB" w:rsidRPr="00BD07E8" w:rsidRDefault="000678EB" w:rsidP="000678EB">
      <w:pPr>
        <w:spacing w:after="0"/>
        <w:jc w:val="both"/>
        <w:rPr>
          <w:rFonts w:ascii="Arial" w:hAnsi="Arial" w:cs="Arial"/>
        </w:rPr>
      </w:pPr>
    </w:p>
    <w:p w14:paraId="7300155B" w14:textId="77777777" w:rsidR="000678EB" w:rsidRDefault="000678EB" w:rsidP="000678EB">
      <w:pPr>
        <w:spacing w:after="0"/>
        <w:jc w:val="both"/>
        <w:rPr>
          <w:rFonts w:ascii="Arial" w:hAnsi="Arial" w:cs="Arial"/>
        </w:rPr>
      </w:pPr>
      <w:r w:rsidRPr="00BD07E8">
        <w:rPr>
          <w:rFonts w:ascii="Arial" w:hAnsi="Arial" w:cs="Arial"/>
        </w:rPr>
        <w:t xml:space="preserve">Fuentes, E. M. (2023). Community-linked evacuation architectures: Formalizing the </w:t>
      </w:r>
      <w:r>
        <w:rPr>
          <w:rFonts w:ascii="Arial" w:hAnsi="Arial" w:cs="Arial"/>
        </w:rPr>
        <w:tab/>
      </w:r>
      <w:r w:rsidRPr="00BD07E8">
        <w:rPr>
          <w:rFonts w:ascii="Arial" w:hAnsi="Arial" w:cs="Arial"/>
        </w:rPr>
        <w:t xml:space="preserve">partnership between school heads and local barangay governance. </w:t>
      </w:r>
      <w:r w:rsidRPr="00BD07E8">
        <w:rPr>
          <w:rFonts w:ascii="Arial" w:hAnsi="Arial" w:cs="Arial"/>
          <w:i/>
          <w:iCs/>
        </w:rPr>
        <w:t xml:space="preserve">Journal of </w:t>
      </w:r>
      <w:r>
        <w:rPr>
          <w:rFonts w:ascii="Arial" w:hAnsi="Arial" w:cs="Arial"/>
          <w:i/>
          <w:iCs/>
        </w:rPr>
        <w:tab/>
      </w:r>
      <w:r w:rsidRPr="00BD07E8">
        <w:rPr>
          <w:rFonts w:ascii="Arial" w:hAnsi="Arial" w:cs="Arial"/>
          <w:i/>
          <w:iCs/>
        </w:rPr>
        <w:t>Integrated Community Development</w:t>
      </w:r>
      <w:r w:rsidRPr="00BD07E8">
        <w:rPr>
          <w:rFonts w:ascii="Arial" w:hAnsi="Arial" w:cs="Arial"/>
        </w:rPr>
        <w:t xml:space="preserve">, </w:t>
      </w:r>
      <w:r w:rsidRPr="00BD07E8">
        <w:rPr>
          <w:rFonts w:ascii="Arial" w:hAnsi="Arial" w:cs="Arial"/>
          <w:i/>
          <w:iCs/>
        </w:rPr>
        <w:t>15</w:t>
      </w:r>
      <w:r w:rsidRPr="00BD07E8">
        <w:rPr>
          <w:rFonts w:ascii="Arial" w:hAnsi="Arial" w:cs="Arial"/>
        </w:rPr>
        <w:t>(1), 33–50.</w:t>
      </w:r>
    </w:p>
    <w:p w14:paraId="1193DC25" w14:textId="77777777" w:rsidR="00507670" w:rsidRPr="00BD07E8" w:rsidRDefault="00507670" w:rsidP="000678EB">
      <w:pPr>
        <w:spacing w:after="0"/>
        <w:jc w:val="both"/>
        <w:rPr>
          <w:rFonts w:ascii="Arial" w:hAnsi="Arial" w:cs="Arial"/>
        </w:rPr>
      </w:pPr>
    </w:p>
    <w:p w14:paraId="6DDA6032" w14:textId="77777777" w:rsidR="00507670" w:rsidRPr="009C2FA8" w:rsidRDefault="00507670" w:rsidP="00507670">
      <w:pPr>
        <w:spacing w:after="0" w:line="240" w:lineRule="auto"/>
        <w:jc w:val="both"/>
        <w:rPr>
          <w:rFonts w:ascii="Arial" w:hAnsi="Arial" w:cs="Arial"/>
          <w:bCs/>
        </w:rPr>
      </w:pPr>
      <w:r w:rsidRPr="009C2FA8">
        <w:rPr>
          <w:rFonts w:ascii="Arial" w:hAnsi="Arial" w:cs="Arial"/>
          <w:bCs/>
        </w:rPr>
        <w:t xml:space="preserve">Gainey, B. S. (2009). Crisis management’s new role in educational settings. </w:t>
      </w:r>
      <w:r w:rsidRPr="009C2FA8">
        <w:rPr>
          <w:rFonts w:ascii="Arial" w:hAnsi="Arial" w:cs="Arial"/>
          <w:bCs/>
          <w:i/>
          <w:iCs/>
        </w:rPr>
        <w:t xml:space="preserve">The </w:t>
      </w:r>
      <w:r>
        <w:rPr>
          <w:rFonts w:ascii="Arial" w:hAnsi="Arial" w:cs="Arial"/>
          <w:bCs/>
          <w:i/>
          <w:iCs/>
        </w:rPr>
        <w:tab/>
      </w:r>
      <w:r w:rsidRPr="009C2FA8">
        <w:rPr>
          <w:rFonts w:ascii="Arial" w:hAnsi="Arial" w:cs="Arial"/>
          <w:bCs/>
          <w:i/>
          <w:iCs/>
        </w:rPr>
        <w:t>Clearing House: A Journal of Educational Strategies, Issues and Ideas, 82</w:t>
      </w:r>
      <w:r w:rsidRPr="009C2FA8">
        <w:rPr>
          <w:rFonts w:ascii="Arial" w:hAnsi="Arial" w:cs="Arial"/>
          <w:bCs/>
        </w:rPr>
        <w:t xml:space="preserve">(6), </w:t>
      </w:r>
      <w:r>
        <w:rPr>
          <w:rFonts w:ascii="Arial" w:hAnsi="Arial" w:cs="Arial"/>
          <w:bCs/>
        </w:rPr>
        <w:tab/>
      </w:r>
      <w:r w:rsidRPr="009C2FA8">
        <w:rPr>
          <w:rFonts w:ascii="Arial" w:hAnsi="Arial" w:cs="Arial"/>
          <w:bCs/>
        </w:rPr>
        <w:t xml:space="preserve">267–274. </w:t>
      </w:r>
      <w:hyperlink r:id="rId18" w:history="1">
        <w:r w:rsidRPr="009C2FA8">
          <w:rPr>
            <w:rStyle w:val="Hyperlink"/>
            <w:rFonts w:ascii="Arial" w:hAnsi="Arial" w:cs="Arial"/>
            <w:bCs/>
            <w:color w:val="auto"/>
          </w:rPr>
          <w:t>https://doi.org/10.3200/TCHS.82.6.267-274</w:t>
        </w:r>
      </w:hyperlink>
    </w:p>
    <w:p w14:paraId="69827E62" w14:textId="77777777" w:rsidR="000678EB" w:rsidRPr="00BD07E8" w:rsidRDefault="000678EB" w:rsidP="000678EB">
      <w:pPr>
        <w:spacing w:after="0"/>
        <w:jc w:val="both"/>
        <w:rPr>
          <w:rFonts w:ascii="Arial" w:hAnsi="Arial" w:cs="Arial"/>
        </w:rPr>
      </w:pPr>
    </w:p>
    <w:p w14:paraId="4E37677E" w14:textId="77777777" w:rsidR="000678EB" w:rsidRDefault="000678EB" w:rsidP="000678EB">
      <w:pPr>
        <w:spacing w:after="0"/>
        <w:jc w:val="both"/>
        <w:rPr>
          <w:rFonts w:ascii="Arial" w:hAnsi="Arial" w:cs="Arial"/>
        </w:rPr>
      </w:pPr>
      <w:r w:rsidRPr="00BD07E8">
        <w:rPr>
          <w:rFonts w:ascii="Arial" w:hAnsi="Arial" w:cs="Arial"/>
        </w:rPr>
        <w:t xml:space="preserve">Garcia, R. L., &amp; Zhou, X. (2021). The buffer effect: Psychological safety and material </w:t>
      </w:r>
      <w:r>
        <w:rPr>
          <w:rFonts w:ascii="Arial" w:hAnsi="Arial" w:cs="Arial"/>
        </w:rPr>
        <w:tab/>
      </w:r>
      <w:r w:rsidRPr="00BD07E8">
        <w:rPr>
          <w:rFonts w:ascii="Arial" w:hAnsi="Arial" w:cs="Arial"/>
        </w:rPr>
        <w:t xml:space="preserve">preparation in secondary education institutions. </w:t>
      </w:r>
      <w:r w:rsidRPr="00BD07E8">
        <w:rPr>
          <w:rFonts w:ascii="Arial" w:hAnsi="Arial" w:cs="Arial"/>
          <w:i/>
          <w:iCs/>
        </w:rPr>
        <w:t xml:space="preserve">School Leadership &amp; </w:t>
      </w:r>
      <w:r>
        <w:rPr>
          <w:rFonts w:ascii="Arial" w:hAnsi="Arial" w:cs="Arial"/>
          <w:i/>
          <w:iCs/>
        </w:rPr>
        <w:tab/>
      </w:r>
      <w:r w:rsidRPr="00BD07E8">
        <w:rPr>
          <w:rFonts w:ascii="Arial" w:hAnsi="Arial" w:cs="Arial"/>
          <w:i/>
          <w:iCs/>
        </w:rPr>
        <w:t>Management</w:t>
      </w:r>
      <w:r w:rsidRPr="00BD07E8">
        <w:rPr>
          <w:rFonts w:ascii="Arial" w:hAnsi="Arial" w:cs="Arial"/>
        </w:rPr>
        <w:t xml:space="preserve">, </w:t>
      </w:r>
      <w:r w:rsidRPr="00BD07E8">
        <w:rPr>
          <w:rFonts w:ascii="Arial" w:hAnsi="Arial" w:cs="Arial"/>
          <w:i/>
          <w:iCs/>
        </w:rPr>
        <w:t>41</w:t>
      </w:r>
      <w:r w:rsidRPr="00BD07E8">
        <w:rPr>
          <w:rFonts w:ascii="Arial" w:hAnsi="Arial" w:cs="Arial"/>
        </w:rPr>
        <w:t>(4), 320–338.</w:t>
      </w:r>
    </w:p>
    <w:p w14:paraId="3E8A2A36" w14:textId="77777777" w:rsidR="000678EB" w:rsidRPr="00BD07E8" w:rsidRDefault="000678EB" w:rsidP="000678EB">
      <w:pPr>
        <w:spacing w:after="0"/>
        <w:jc w:val="both"/>
        <w:rPr>
          <w:rFonts w:ascii="Arial" w:hAnsi="Arial" w:cs="Arial"/>
        </w:rPr>
      </w:pPr>
    </w:p>
    <w:p w14:paraId="55822080" w14:textId="77777777" w:rsidR="000678EB" w:rsidRDefault="000678EB" w:rsidP="000678EB">
      <w:pPr>
        <w:spacing w:after="0"/>
        <w:jc w:val="both"/>
        <w:rPr>
          <w:rFonts w:ascii="Arial" w:hAnsi="Arial" w:cs="Arial"/>
        </w:rPr>
      </w:pPr>
      <w:r w:rsidRPr="00BD07E8">
        <w:rPr>
          <w:rFonts w:ascii="Arial" w:hAnsi="Arial" w:cs="Arial"/>
        </w:rPr>
        <w:t xml:space="preserve">Gay, L. R., Mills, G. E., &amp; </w:t>
      </w:r>
      <w:proofErr w:type="spellStart"/>
      <w:r w:rsidRPr="00BD07E8">
        <w:rPr>
          <w:rFonts w:ascii="Arial" w:hAnsi="Arial" w:cs="Arial"/>
        </w:rPr>
        <w:t>Airasian</w:t>
      </w:r>
      <w:proofErr w:type="spellEnd"/>
      <w:r w:rsidRPr="00BD07E8">
        <w:rPr>
          <w:rFonts w:ascii="Arial" w:hAnsi="Arial" w:cs="Arial"/>
        </w:rPr>
        <w:t xml:space="preserve">, P. W. (2012). </w:t>
      </w:r>
      <w:r w:rsidRPr="00BD07E8">
        <w:rPr>
          <w:rFonts w:ascii="Arial" w:hAnsi="Arial" w:cs="Arial"/>
          <w:i/>
          <w:iCs/>
        </w:rPr>
        <w:t xml:space="preserve">Educational research: </w:t>
      </w:r>
      <w:r>
        <w:rPr>
          <w:rFonts w:ascii="Arial" w:hAnsi="Arial" w:cs="Arial"/>
          <w:i/>
          <w:iCs/>
        </w:rPr>
        <w:tab/>
      </w:r>
      <w:r w:rsidRPr="00BD07E8">
        <w:rPr>
          <w:rFonts w:ascii="Arial" w:hAnsi="Arial" w:cs="Arial"/>
          <w:i/>
          <w:iCs/>
        </w:rPr>
        <w:t>Competencies for analysis and applications</w:t>
      </w:r>
      <w:r w:rsidRPr="00BD07E8">
        <w:rPr>
          <w:rFonts w:ascii="Arial" w:hAnsi="Arial" w:cs="Arial"/>
        </w:rPr>
        <w:t xml:space="preserve"> (10th ed.). Pearson.</w:t>
      </w:r>
    </w:p>
    <w:p w14:paraId="7C25A1E4" w14:textId="77777777" w:rsidR="000678EB" w:rsidRPr="00BD07E8" w:rsidRDefault="000678EB" w:rsidP="000678EB">
      <w:pPr>
        <w:spacing w:after="0"/>
        <w:jc w:val="both"/>
        <w:rPr>
          <w:rFonts w:ascii="Arial" w:hAnsi="Arial" w:cs="Arial"/>
        </w:rPr>
      </w:pPr>
    </w:p>
    <w:p w14:paraId="4AC0AE66" w14:textId="77777777" w:rsidR="000678EB" w:rsidRDefault="000678EB" w:rsidP="000678EB">
      <w:pPr>
        <w:spacing w:after="0"/>
        <w:jc w:val="both"/>
        <w:rPr>
          <w:rFonts w:ascii="Arial" w:hAnsi="Arial" w:cs="Arial"/>
        </w:rPr>
      </w:pPr>
      <w:r w:rsidRPr="00BD07E8">
        <w:rPr>
          <w:rFonts w:ascii="Arial" w:hAnsi="Arial" w:cs="Arial"/>
        </w:rPr>
        <w:t xml:space="preserve">Hite, S. J., &amp; Smith, W. C. (2020). Resource mapping and facilities management </w:t>
      </w:r>
      <w:r>
        <w:rPr>
          <w:rFonts w:ascii="Arial" w:hAnsi="Arial" w:cs="Arial"/>
        </w:rPr>
        <w:tab/>
      </w:r>
      <w:r>
        <w:rPr>
          <w:rFonts w:ascii="Arial" w:hAnsi="Arial" w:cs="Arial"/>
        </w:rPr>
        <w:tab/>
      </w:r>
      <w:r w:rsidRPr="00BD07E8">
        <w:rPr>
          <w:rFonts w:ascii="Arial" w:hAnsi="Arial" w:cs="Arial"/>
        </w:rPr>
        <w:t xml:space="preserve">during non-academic emergencies. </w:t>
      </w:r>
      <w:r w:rsidRPr="00BD07E8">
        <w:rPr>
          <w:rFonts w:ascii="Arial" w:hAnsi="Arial" w:cs="Arial"/>
          <w:i/>
          <w:iCs/>
        </w:rPr>
        <w:t xml:space="preserve">International Journal of Educational </w:t>
      </w:r>
      <w:r>
        <w:rPr>
          <w:rFonts w:ascii="Arial" w:hAnsi="Arial" w:cs="Arial"/>
          <w:i/>
          <w:iCs/>
        </w:rPr>
        <w:tab/>
      </w:r>
      <w:r w:rsidRPr="00BD07E8">
        <w:rPr>
          <w:rFonts w:ascii="Arial" w:hAnsi="Arial" w:cs="Arial"/>
          <w:i/>
          <w:iCs/>
        </w:rPr>
        <w:t>Development</w:t>
      </w:r>
      <w:r w:rsidRPr="00BD07E8">
        <w:rPr>
          <w:rFonts w:ascii="Arial" w:hAnsi="Arial" w:cs="Arial"/>
        </w:rPr>
        <w:t xml:space="preserve">, </w:t>
      </w:r>
      <w:r w:rsidRPr="00BD07E8">
        <w:rPr>
          <w:rFonts w:ascii="Arial" w:hAnsi="Arial" w:cs="Arial"/>
          <w:i/>
          <w:iCs/>
        </w:rPr>
        <w:t>78</w:t>
      </w:r>
      <w:r w:rsidRPr="00BD07E8">
        <w:rPr>
          <w:rFonts w:ascii="Arial" w:hAnsi="Arial" w:cs="Arial"/>
        </w:rPr>
        <w:t>, 102241.</w:t>
      </w:r>
    </w:p>
    <w:p w14:paraId="5CEF6195" w14:textId="77777777" w:rsidR="000678EB" w:rsidRPr="00BD07E8" w:rsidRDefault="000678EB" w:rsidP="000678EB">
      <w:pPr>
        <w:spacing w:after="0"/>
        <w:jc w:val="both"/>
        <w:rPr>
          <w:rFonts w:ascii="Arial" w:hAnsi="Arial" w:cs="Arial"/>
        </w:rPr>
      </w:pPr>
    </w:p>
    <w:p w14:paraId="667F8BDC" w14:textId="77777777" w:rsidR="000678EB" w:rsidRDefault="000678EB" w:rsidP="000678EB">
      <w:pPr>
        <w:spacing w:after="0"/>
        <w:jc w:val="both"/>
        <w:rPr>
          <w:rFonts w:ascii="Arial" w:hAnsi="Arial" w:cs="Arial"/>
        </w:rPr>
      </w:pPr>
      <w:proofErr w:type="spellStart"/>
      <w:r w:rsidRPr="00BD07E8">
        <w:rPr>
          <w:rFonts w:ascii="Arial" w:hAnsi="Arial" w:cs="Arial"/>
        </w:rPr>
        <w:t>Hordista</w:t>
      </w:r>
      <w:proofErr w:type="spellEnd"/>
      <w:r w:rsidRPr="00BD07E8">
        <w:rPr>
          <w:rFonts w:ascii="Arial" w:hAnsi="Arial" w:cs="Arial"/>
        </w:rPr>
        <w:t xml:space="preserve">, M. L. (2023). Localized protocols for emergency school evacuations: A case </w:t>
      </w:r>
      <w:r>
        <w:rPr>
          <w:rFonts w:ascii="Arial" w:hAnsi="Arial" w:cs="Arial"/>
        </w:rPr>
        <w:tab/>
      </w:r>
      <w:r w:rsidRPr="00BD07E8">
        <w:rPr>
          <w:rFonts w:ascii="Arial" w:hAnsi="Arial" w:cs="Arial"/>
        </w:rPr>
        <w:t xml:space="preserve">of coastal municipalities. </w:t>
      </w:r>
      <w:r w:rsidRPr="00BD07E8">
        <w:rPr>
          <w:rFonts w:ascii="Arial" w:hAnsi="Arial" w:cs="Arial"/>
          <w:i/>
          <w:iCs/>
        </w:rPr>
        <w:t>Journal of Disaster and Emergency Management</w:t>
      </w:r>
      <w:r w:rsidRPr="00BD07E8">
        <w:rPr>
          <w:rFonts w:ascii="Arial" w:hAnsi="Arial" w:cs="Arial"/>
        </w:rPr>
        <w:t xml:space="preserve">, </w:t>
      </w:r>
      <w:r>
        <w:rPr>
          <w:rFonts w:ascii="Arial" w:hAnsi="Arial" w:cs="Arial"/>
        </w:rPr>
        <w:tab/>
      </w:r>
      <w:r w:rsidRPr="00BD07E8">
        <w:rPr>
          <w:rFonts w:ascii="Arial" w:hAnsi="Arial" w:cs="Arial"/>
          <w:i/>
          <w:iCs/>
        </w:rPr>
        <w:t>14</w:t>
      </w:r>
      <w:r w:rsidRPr="00BD07E8">
        <w:rPr>
          <w:rFonts w:ascii="Arial" w:hAnsi="Arial" w:cs="Arial"/>
        </w:rPr>
        <w:t>(2), 77–92.</w:t>
      </w:r>
    </w:p>
    <w:p w14:paraId="462564FE" w14:textId="77777777" w:rsidR="000678EB" w:rsidRPr="00BD07E8" w:rsidRDefault="000678EB" w:rsidP="000678EB">
      <w:pPr>
        <w:spacing w:after="0"/>
        <w:jc w:val="both"/>
        <w:rPr>
          <w:rFonts w:ascii="Arial" w:hAnsi="Arial" w:cs="Arial"/>
        </w:rPr>
      </w:pPr>
    </w:p>
    <w:p w14:paraId="23A03799" w14:textId="77777777" w:rsidR="000678EB" w:rsidRDefault="000678EB" w:rsidP="000678EB">
      <w:pPr>
        <w:spacing w:after="0"/>
        <w:jc w:val="both"/>
        <w:rPr>
          <w:rFonts w:ascii="Arial" w:hAnsi="Arial" w:cs="Arial"/>
        </w:rPr>
      </w:pPr>
      <w:r w:rsidRPr="00BD07E8">
        <w:rPr>
          <w:rFonts w:ascii="Arial" w:hAnsi="Arial" w:cs="Arial"/>
        </w:rPr>
        <w:t xml:space="preserve">Iqbal, Z., &amp; Nauman, M. (2024). Resource dependency, standby power </w:t>
      </w:r>
      <w:r>
        <w:rPr>
          <w:rFonts w:ascii="Arial" w:hAnsi="Arial" w:cs="Arial"/>
        </w:rPr>
        <w:tab/>
      </w:r>
      <w:r w:rsidRPr="00BD07E8">
        <w:rPr>
          <w:rFonts w:ascii="Arial" w:hAnsi="Arial" w:cs="Arial"/>
        </w:rPr>
        <w:t xml:space="preserve">infrastructures, and emergency communication breakdowns in public </w:t>
      </w:r>
      <w:r>
        <w:rPr>
          <w:rFonts w:ascii="Arial" w:hAnsi="Arial" w:cs="Arial"/>
        </w:rPr>
        <w:tab/>
      </w:r>
      <w:r w:rsidRPr="00BD07E8">
        <w:rPr>
          <w:rFonts w:ascii="Arial" w:hAnsi="Arial" w:cs="Arial"/>
        </w:rPr>
        <w:t xml:space="preserve">education networks. </w:t>
      </w:r>
      <w:r w:rsidRPr="00BD07E8">
        <w:rPr>
          <w:rFonts w:ascii="Arial" w:hAnsi="Arial" w:cs="Arial"/>
          <w:i/>
          <w:iCs/>
        </w:rPr>
        <w:t>International Journal of Educational Administration</w:t>
      </w:r>
      <w:r w:rsidRPr="00BD07E8">
        <w:rPr>
          <w:rFonts w:ascii="Arial" w:hAnsi="Arial" w:cs="Arial"/>
        </w:rPr>
        <w:t xml:space="preserve">, </w:t>
      </w:r>
      <w:r>
        <w:rPr>
          <w:rFonts w:ascii="Arial" w:hAnsi="Arial" w:cs="Arial"/>
        </w:rPr>
        <w:tab/>
      </w:r>
      <w:r w:rsidRPr="00BD07E8">
        <w:rPr>
          <w:rFonts w:ascii="Arial" w:hAnsi="Arial" w:cs="Arial"/>
          <w:i/>
          <w:iCs/>
        </w:rPr>
        <w:t>46</w:t>
      </w:r>
      <w:r w:rsidRPr="00BD07E8">
        <w:rPr>
          <w:rFonts w:ascii="Arial" w:hAnsi="Arial" w:cs="Arial"/>
        </w:rPr>
        <w:t>(1), 88–105.</w:t>
      </w:r>
    </w:p>
    <w:p w14:paraId="54819B75" w14:textId="77777777" w:rsidR="000678EB" w:rsidRPr="00BD07E8" w:rsidRDefault="000678EB" w:rsidP="000678EB">
      <w:pPr>
        <w:spacing w:after="0"/>
        <w:jc w:val="both"/>
        <w:rPr>
          <w:rFonts w:ascii="Arial" w:hAnsi="Arial" w:cs="Arial"/>
        </w:rPr>
      </w:pPr>
    </w:p>
    <w:p w14:paraId="0B35BE29" w14:textId="77777777" w:rsidR="000678EB" w:rsidRDefault="000678EB" w:rsidP="000678EB">
      <w:pPr>
        <w:spacing w:after="0"/>
        <w:jc w:val="both"/>
        <w:rPr>
          <w:rFonts w:ascii="Arial" w:hAnsi="Arial" w:cs="Arial"/>
        </w:rPr>
      </w:pPr>
      <w:r w:rsidRPr="00BD07E8">
        <w:rPr>
          <w:rFonts w:ascii="Arial" w:hAnsi="Arial" w:cs="Arial"/>
        </w:rPr>
        <w:t xml:space="preserve">Johnson, K. R., &amp; Idema, M. L. (2020). Assessing the efficacy of two-way radio </w:t>
      </w:r>
      <w:r>
        <w:rPr>
          <w:rFonts w:ascii="Arial" w:hAnsi="Arial" w:cs="Arial"/>
        </w:rPr>
        <w:tab/>
      </w:r>
      <w:r w:rsidRPr="00BD07E8">
        <w:rPr>
          <w:rFonts w:ascii="Arial" w:hAnsi="Arial" w:cs="Arial"/>
        </w:rPr>
        <w:t xml:space="preserve">channels and analog fallback networks in disaster communications. </w:t>
      </w:r>
      <w:r w:rsidRPr="00BD07E8">
        <w:rPr>
          <w:rFonts w:ascii="Arial" w:hAnsi="Arial" w:cs="Arial"/>
          <w:i/>
          <w:iCs/>
        </w:rPr>
        <w:t xml:space="preserve">Journal of </w:t>
      </w:r>
      <w:r>
        <w:rPr>
          <w:rFonts w:ascii="Arial" w:hAnsi="Arial" w:cs="Arial"/>
          <w:i/>
          <w:iCs/>
        </w:rPr>
        <w:tab/>
      </w:r>
      <w:r w:rsidRPr="00BD07E8">
        <w:rPr>
          <w:rFonts w:ascii="Arial" w:hAnsi="Arial" w:cs="Arial"/>
          <w:i/>
          <w:iCs/>
        </w:rPr>
        <w:t>Contingencies and Crisis Management</w:t>
      </w:r>
      <w:r w:rsidRPr="00BD07E8">
        <w:rPr>
          <w:rFonts w:ascii="Arial" w:hAnsi="Arial" w:cs="Arial"/>
        </w:rPr>
        <w:t xml:space="preserve">, </w:t>
      </w:r>
      <w:r w:rsidRPr="00BD07E8">
        <w:rPr>
          <w:rFonts w:ascii="Arial" w:hAnsi="Arial" w:cs="Arial"/>
          <w:i/>
          <w:iCs/>
        </w:rPr>
        <w:t>28</w:t>
      </w:r>
      <w:r w:rsidRPr="00BD07E8">
        <w:rPr>
          <w:rFonts w:ascii="Arial" w:hAnsi="Arial" w:cs="Arial"/>
        </w:rPr>
        <w:t>(4), 412–425.</w:t>
      </w:r>
    </w:p>
    <w:p w14:paraId="27CCD887" w14:textId="77777777" w:rsidR="000678EB" w:rsidRPr="00BD07E8" w:rsidRDefault="000678EB" w:rsidP="000678EB">
      <w:pPr>
        <w:spacing w:after="0"/>
        <w:jc w:val="both"/>
        <w:rPr>
          <w:rFonts w:ascii="Arial" w:hAnsi="Arial" w:cs="Arial"/>
        </w:rPr>
      </w:pPr>
    </w:p>
    <w:p w14:paraId="789B7E45" w14:textId="77777777" w:rsidR="000678EB" w:rsidRDefault="000678EB" w:rsidP="000678EB">
      <w:pPr>
        <w:spacing w:after="0"/>
        <w:jc w:val="both"/>
        <w:rPr>
          <w:rFonts w:ascii="Arial" w:hAnsi="Arial" w:cs="Arial"/>
        </w:rPr>
      </w:pPr>
      <w:r w:rsidRPr="00BD07E8">
        <w:rPr>
          <w:rFonts w:ascii="Arial" w:hAnsi="Arial" w:cs="Arial"/>
        </w:rPr>
        <w:t xml:space="preserve">Kim, H., Sefcik, J. S., &amp; Bradway, C. (2017). Characteristics of qualitative descriptive </w:t>
      </w:r>
      <w:r>
        <w:rPr>
          <w:rFonts w:ascii="Arial" w:hAnsi="Arial" w:cs="Arial"/>
        </w:rPr>
        <w:tab/>
      </w:r>
      <w:r w:rsidRPr="00BD07E8">
        <w:rPr>
          <w:rFonts w:ascii="Arial" w:hAnsi="Arial" w:cs="Arial"/>
        </w:rPr>
        <w:t xml:space="preserve">studies: A systematic review. </w:t>
      </w:r>
      <w:r w:rsidRPr="00BD07E8">
        <w:rPr>
          <w:rFonts w:ascii="Arial" w:hAnsi="Arial" w:cs="Arial"/>
          <w:i/>
          <w:iCs/>
        </w:rPr>
        <w:t>Research in Nursing &amp; Health</w:t>
      </w:r>
      <w:r w:rsidRPr="00BD07E8">
        <w:rPr>
          <w:rFonts w:ascii="Arial" w:hAnsi="Arial" w:cs="Arial"/>
        </w:rPr>
        <w:t xml:space="preserve">, </w:t>
      </w:r>
      <w:r w:rsidRPr="00BD07E8">
        <w:rPr>
          <w:rFonts w:ascii="Arial" w:hAnsi="Arial" w:cs="Arial"/>
          <w:i/>
          <w:iCs/>
        </w:rPr>
        <w:t>40</w:t>
      </w:r>
      <w:r w:rsidRPr="00BD07E8">
        <w:rPr>
          <w:rFonts w:ascii="Arial" w:hAnsi="Arial" w:cs="Arial"/>
        </w:rPr>
        <w:t>(1), 23–42.</w:t>
      </w:r>
    </w:p>
    <w:p w14:paraId="004804FF" w14:textId="77777777" w:rsidR="000678EB" w:rsidRPr="00BD07E8" w:rsidRDefault="000678EB" w:rsidP="000678EB">
      <w:pPr>
        <w:spacing w:after="0"/>
        <w:jc w:val="both"/>
        <w:rPr>
          <w:rFonts w:ascii="Arial" w:hAnsi="Arial" w:cs="Arial"/>
        </w:rPr>
      </w:pPr>
    </w:p>
    <w:p w14:paraId="65F45BB6" w14:textId="77777777" w:rsidR="000678EB" w:rsidRDefault="000678EB" w:rsidP="000678EB">
      <w:pPr>
        <w:spacing w:after="0"/>
        <w:jc w:val="both"/>
        <w:rPr>
          <w:rFonts w:ascii="Arial" w:hAnsi="Arial" w:cs="Arial"/>
        </w:rPr>
      </w:pPr>
      <w:r w:rsidRPr="00BD07E8">
        <w:rPr>
          <w:rFonts w:ascii="Arial" w:hAnsi="Arial" w:cs="Arial"/>
        </w:rPr>
        <w:t xml:space="preserve">Kim, Y. S., &amp; Lee, J. H. (2023). Synchronous vs. asynchronous adaptation baselines </w:t>
      </w:r>
      <w:r>
        <w:rPr>
          <w:rFonts w:ascii="Arial" w:hAnsi="Arial" w:cs="Arial"/>
        </w:rPr>
        <w:tab/>
      </w:r>
      <w:r w:rsidRPr="00BD07E8">
        <w:rPr>
          <w:rFonts w:ascii="Arial" w:hAnsi="Arial" w:cs="Arial"/>
        </w:rPr>
        <w:t xml:space="preserve">in high-frequency climate hazard zones. </w:t>
      </w:r>
      <w:r w:rsidRPr="00BD07E8">
        <w:rPr>
          <w:rFonts w:ascii="Arial" w:hAnsi="Arial" w:cs="Arial"/>
          <w:i/>
          <w:iCs/>
        </w:rPr>
        <w:t>Asia Pacific Journal of Education</w:t>
      </w:r>
      <w:r w:rsidRPr="00BD07E8">
        <w:rPr>
          <w:rFonts w:ascii="Arial" w:hAnsi="Arial" w:cs="Arial"/>
        </w:rPr>
        <w:t xml:space="preserve">, </w:t>
      </w:r>
      <w:r>
        <w:rPr>
          <w:rFonts w:ascii="Arial" w:hAnsi="Arial" w:cs="Arial"/>
        </w:rPr>
        <w:tab/>
      </w:r>
      <w:r w:rsidRPr="00BD07E8">
        <w:rPr>
          <w:rFonts w:ascii="Arial" w:hAnsi="Arial" w:cs="Arial"/>
          <w:i/>
          <w:iCs/>
        </w:rPr>
        <w:t>43</w:t>
      </w:r>
      <w:r w:rsidRPr="00BD07E8">
        <w:rPr>
          <w:rFonts w:ascii="Arial" w:hAnsi="Arial" w:cs="Arial"/>
        </w:rPr>
        <w:t>(3), 601–617.</w:t>
      </w:r>
    </w:p>
    <w:p w14:paraId="6A6F5458" w14:textId="77777777" w:rsidR="000678EB" w:rsidRPr="00BD07E8" w:rsidRDefault="000678EB" w:rsidP="000678EB">
      <w:pPr>
        <w:spacing w:after="0"/>
        <w:jc w:val="both"/>
        <w:rPr>
          <w:rFonts w:ascii="Arial" w:hAnsi="Arial" w:cs="Arial"/>
        </w:rPr>
      </w:pPr>
    </w:p>
    <w:p w14:paraId="4C03AC87" w14:textId="77777777" w:rsidR="000678EB" w:rsidRDefault="000678EB" w:rsidP="000678EB">
      <w:pPr>
        <w:spacing w:after="0"/>
        <w:jc w:val="both"/>
        <w:rPr>
          <w:rFonts w:ascii="Arial" w:hAnsi="Arial" w:cs="Arial"/>
        </w:rPr>
      </w:pPr>
      <w:r w:rsidRPr="00BD07E8">
        <w:rPr>
          <w:rFonts w:ascii="Arial" w:hAnsi="Arial" w:cs="Arial"/>
        </w:rPr>
        <w:lastRenderedPageBreak/>
        <w:t xml:space="preserve">Lambert, V. A., &amp; Lambert, C. E. (2012). Qualitative descriptive research: An </w:t>
      </w:r>
      <w:r>
        <w:rPr>
          <w:rFonts w:ascii="Arial" w:hAnsi="Arial" w:cs="Arial"/>
        </w:rPr>
        <w:tab/>
      </w:r>
      <w:r w:rsidRPr="00BD07E8">
        <w:rPr>
          <w:rFonts w:ascii="Arial" w:hAnsi="Arial" w:cs="Arial"/>
        </w:rPr>
        <w:t xml:space="preserve">acceptable design. </w:t>
      </w:r>
      <w:r w:rsidRPr="00BD07E8">
        <w:rPr>
          <w:rFonts w:ascii="Arial" w:hAnsi="Arial" w:cs="Arial"/>
          <w:i/>
          <w:iCs/>
        </w:rPr>
        <w:t>Pacific Rim International Journal of Nursing Research</w:t>
      </w:r>
      <w:r w:rsidRPr="00BD07E8">
        <w:rPr>
          <w:rFonts w:ascii="Arial" w:hAnsi="Arial" w:cs="Arial"/>
        </w:rPr>
        <w:t xml:space="preserve">, </w:t>
      </w:r>
      <w:r>
        <w:rPr>
          <w:rFonts w:ascii="Arial" w:hAnsi="Arial" w:cs="Arial"/>
        </w:rPr>
        <w:tab/>
      </w:r>
      <w:r w:rsidRPr="00BD07E8">
        <w:rPr>
          <w:rFonts w:ascii="Arial" w:hAnsi="Arial" w:cs="Arial"/>
          <w:i/>
          <w:iCs/>
        </w:rPr>
        <w:t>16</w:t>
      </w:r>
      <w:r w:rsidRPr="00BD07E8">
        <w:rPr>
          <w:rFonts w:ascii="Arial" w:hAnsi="Arial" w:cs="Arial"/>
        </w:rPr>
        <w:t>(4), 255–256.</w:t>
      </w:r>
    </w:p>
    <w:p w14:paraId="2FCFB452" w14:textId="77777777" w:rsidR="00A172DE" w:rsidRDefault="00A172DE" w:rsidP="000678EB">
      <w:pPr>
        <w:spacing w:after="0"/>
        <w:jc w:val="both"/>
        <w:rPr>
          <w:rFonts w:ascii="Arial" w:hAnsi="Arial" w:cs="Arial"/>
        </w:rPr>
      </w:pPr>
    </w:p>
    <w:p w14:paraId="3FEFC4E2" w14:textId="6C60F6CE" w:rsidR="00A172DE" w:rsidRDefault="00A172DE" w:rsidP="000678EB">
      <w:pPr>
        <w:spacing w:after="0"/>
        <w:jc w:val="both"/>
        <w:rPr>
          <w:rFonts w:ascii="Arial" w:hAnsi="Arial" w:cs="Arial"/>
        </w:rPr>
      </w:pPr>
      <w:r w:rsidRPr="009C2FA8">
        <w:rPr>
          <w:rFonts w:ascii="Arial" w:hAnsi="Arial" w:cs="Arial"/>
          <w:bCs/>
        </w:rPr>
        <w:t xml:space="preserve">Lassa, J. A., &amp; Nugroho, K. (2020). Community and school resilience to natural </w:t>
      </w:r>
      <w:r>
        <w:rPr>
          <w:rFonts w:ascii="Arial" w:hAnsi="Arial" w:cs="Arial"/>
          <w:bCs/>
        </w:rPr>
        <w:tab/>
      </w:r>
      <w:r w:rsidRPr="009C2FA8">
        <w:rPr>
          <w:rFonts w:ascii="Arial" w:hAnsi="Arial" w:cs="Arial"/>
          <w:bCs/>
        </w:rPr>
        <w:t xml:space="preserve">hazards: Case studies from Southeast Asia. </w:t>
      </w:r>
      <w:r w:rsidRPr="009C2FA8">
        <w:rPr>
          <w:rFonts w:ascii="Arial" w:hAnsi="Arial" w:cs="Arial"/>
          <w:bCs/>
          <w:i/>
          <w:iCs/>
        </w:rPr>
        <w:t xml:space="preserve">International Journal of Disaster </w:t>
      </w:r>
      <w:r>
        <w:rPr>
          <w:rFonts w:ascii="Arial" w:hAnsi="Arial" w:cs="Arial"/>
          <w:bCs/>
          <w:i/>
          <w:iCs/>
        </w:rPr>
        <w:tab/>
      </w:r>
      <w:r w:rsidRPr="009C2FA8">
        <w:rPr>
          <w:rFonts w:ascii="Arial" w:hAnsi="Arial" w:cs="Arial"/>
          <w:bCs/>
          <w:i/>
          <w:iCs/>
        </w:rPr>
        <w:t>Risk Science, 11</w:t>
      </w:r>
      <w:r w:rsidRPr="009C2FA8">
        <w:rPr>
          <w:rFonts w:ascii="Arial" w:hAnsi="Arial" w:cs="Arial"/>
          <w:bCs/>
        </w:rPr>
        <w:t xml:space="preserve">(4), 523–537. </w:t>
      </w:r>
      <w:hyperlink r:id="rId19" w:history="1">
        <w:r w:rsidRPr="009C2FA8">
          <w:rPr>
            <w:rStyle w:val="Hyperlink"/>
            <w:rFonts w:ascii="Arial" w:hAnsi="Arial" w:cs="Arial"/>
            <w:bCs/>
            <w:color w:val="auto"/>
          </w:rPr>
          <w:t>https://doi.org/10.1007/s13753-020-00278-x</w:t>
        </w:r>
      </w:hyperlink>
    </w:p>
    <w:p w14:paraId="43FE9AD9" w14:textId="77777777" w:rsidR="000678EB" w:rsidRPr="00BD07E8" w:rsidRDefault="000678EB" w:rsidP="000678EB">
      <w:pPr>
        <w:spacing w:after="0"/>
        <w:jc w:val="both"/>
        <w:rPr>
          <w:rFonts w:ascii="Arial" w:hAnsi="Arial" w:cs="Arial"/>
        </w:rPr>
      </w:pPr>
    </w:p>
    <w:p w14:paraId="19874E93" w14:textId="77777777" w:rsidR="000678EB" w:rsidRDefault="000678EB" w:rsidP="000678EB">
      <w:pPr>
        <w:spacing w:after="0"/>
        <w:jc w:val="both"/>
        <w:rPr>
          <w:rFonts w:ascii="Arial" w:hAnsi="Arial" w:cs="Arial"/>
        </w:rPr>
      </w:pPr>
      <w:r w:rsidRPr="00BD07E8">
        <w:rPr>
          <w:rFonts w:ascii="Arial" w:hAnsi="Arial" w:cs="Arial"/>
        </w:rPr>
        <w:t xml:space="preserve">Lassa, J., Petal, M., &amp; Surjan, A. (2023). Understanding the impacts of floods on </w:t>
      </w:r>
      <w:r>
        <w:rPr>
          <w:rFonts w:ascii="Arial" w:hAnsi="Arial" w:cs="Arial"/>
        </w:rPr>
        <w:tab/>
      </w:r>
      <w:r w:rsidRPr="00BD07E8">
        <w:rPr>
          <w:rFonts w:ascii="Arial" w:hAnsi="Arial" w:cs="Arial"/>
        </w:rPr>
        <w:t xml:space="preserve">learning quality, school facilities, and educational recovery in Indonesia. </w:t>
      </w:r>
      <w:r>
        <w:rPr>
          <w:rFonts w:ascii="Arial" w:hAnsi="Arial" w:cs="Arial"/>
        </w:rPr>
        <w:tab/>
      </w:r>
      <w:r w:rsidRPr="00BD07E8">
        <w:rPr>
          <w:rFonts w:ascii="Arial" w:hAnsi="Arial" w:cs="Arial"/>
          <w:i/>
          <w:iCs/>
        </w:rPr>
        <w:t>Disasters</w:t>
      </w:r>
      <w:r w:rsidRPr="00BD07E8">
        <w:rPr>
          <w:rFonts w:ascii="Arial" w:hAnsi="Arial" w:cs="Arial"/>
        </w:rPr>
        <w:t xml:space="preserve">, </w:t>
      </w:r>
      <w:r w:rsidRPr="00BD07E8">
        <w:rPr>
          <w:rFonts w:ascii="Arial" w:hAnsi="Arial" w:cs="Arial"/>
          <w:i/>
          <w:iCs/>
        </w:rPr>
        <w:t>47</w:t>
      </w:r>
      <w:r w:rsidRPr="00BD07E8">
        <w:rPr>
          <w:rFonts w:ascii="Arial" w:hAnsi="Arial" w:cs="Arial"/>
        </w:rPr>
        <w:t xml:space="preserve">(2), 412–436. </w:t>
      </w:r>
      <w:hyperlink r:id="rId20" w:tgtFrame="_blank" w:history="1">
        <w:r w:rsidRPr="00BD07E8">
          <w:rPr>
            <w:rStyle w:val="Hyperlink"/>
            <w:rFonts w:ascii="Arial" w:hAnsi="Arial" w:cs="Arial"/>
          </w:rPr>
          <w:t>https://doi.org/10.1111/disa.12543</w:t>
        </w:r>
      </w:hyperlink>
      <w:r>
        <w:rPr>
          <w:rFonts w:ascii="Arial" w:hAnsi="Arial" w:cs="Arial"/>
        </w:rPr>
        <w:t xml:space="preserve"> </w:t>
      </w:r>
    </w:p>
    <w:p w14:paraId="76DE2BC6" w14:textId="77777777" w:rsidR="000678EB" w:rsidRPr="00BD07E8" w:rsidRDefault="000678EB" w:rsidP="000678EB">
      <w:pPr>
        <w:spacing w:after="0"/>
        <w:jc w:val="both"/>
        <w:rPr>
          <w:rFonts w:ascii="Arial" w:hAnsi="Arial" w:cs="Arial"/>
        </w:rPr>
      </w:pPr>
    </w:p>
    <w:p w14:paraId="44424AFB" w14:textId="35EDB6FA" w:rsidR="000678EB" w:rsidRDefault="000678EB" w:rsidP="000678EB">
      <w:pPr>
        <w:spacing w:after="0"/>
        <w:jc w:val="both"/>
        <w:rPr>
          <w:rFonts w:ascii="Arial" w:hAnsi="Arial" w:cs="Arial"/>
        </w:rPr>
      </w:pPr>
      <w:r w:rsidRPr="00BD07E8">
        <w:rPr>
          <w:rFonts w:ascii="Arial" w:hAnsi="Arial" w:cs="Arial"/>
        </w:rPr>
        <w:t xml:space="preserve">Lim, D. G., &amp; Navarro, F. S. (2024). Operational boundaries and institutional gaps in </w:t>
      </w:r>
      <w:r>
        <w:rPr>
          <w:rFonts w:ascii="Arial" w:hAnsi="Arial" w:cs="Arial"/>
        </w:rPr>
        <w:tab/>
      </w:r>
      <w:r w:rsidRPr="00BD07E8">
        <w:rPr>
          <w:rFonts w:ascii="Arial" w:hAnsi="Arial" w:cs="Arial"/>
        </w:rPr>
        <w:t xml:space="preserve">Rapid Damage Assessment (RDANA) reporting systems. </w:t>
      </w:r>
      <w:r w:rsidRPr="00BD07E8">
        <w:rPr>
          <w:rFonts w:ascii="Arial" w:hAnsi="Arial" w:cs="Arial"/>
          <w:i/>
          <w:iCs/>
        </w:rPr>
        <w:t xml:space="preserve">Philippine Journal </w:t>
      </w:r>
      <w:r>
        <w:rPr>
          <w:rFonts w:ascii="Arial" w:hAnsi="Arial" w:cs="Arial"/>
          <w:i/>
          <w:iCs/>
        </w:rPr>
        <w:tab/>
      </w:r>
      <w:r w:rsidRPr="00BD07E8">
        <w:rPr>
          <w:rFonts w:ascii="Arial" w:hAnsi="Arial" w:cs="Arial"/>
          <w:i/>
          <w:iCs/>
        </w:rPr>
        <w:t xml:space="preserve"> </w:t>
      </w:r>
      <w:r w:rsidR="009E779E">
        <w:rPr>
          <w:rFonts w:ascii="Arial" w:hAnsi="Arial" w:cs="Arial"/>
          <w:i/>
          <w:iCs/>
        </w:rPr>
        <w:tab/>
      </w:r>
      <w:r w:rsidRPr="00BD07E8">
        <w:rPr>
          <w:rFonts w:ascii="Arial" w:hAnsi="Arial" w:cs="Arial"/>
          <w:i/>
          <w:iCs/>
        </w:rPr>
        <w:t>Development</w:t>
      </w:r>
      <w:r w:rsidRPr="00BD07E8">
        <w:rPr>
          <w:rFonts w:ascii="Arial" w:hAnsi="Arial" w:cs="Arial"/>
        </w:rPr>
        <w:t xml:space="preserve">, </w:t>
      </w:r>
      <w:r w:rsidRPr="00BD07E8">
        <w:rPr>
          <w:rFonts w:ascii="Arial" w:hAnsi="Arial" w:cs="Arial"/>
          <w:i/>
          <w:iCs/>
        </w:rPr>
        <w:t>51</w:t>
      </w:r>
      <w:r w:rsidRPr="00BD07E8">
        <w:rPr>
          <w:rFonts w:ascii="Arial" w:hAnsi="Arial" w:cs="Arial"/>
        </w:rPr>
        <w:t>(1), 56–79.</w:t>
      </w:r>
    </w:p>
    <w:p w14:paraId="3E43695B" w14:textId="77777777" w:rsidR="000678EB" w:rsidRPr="00BD07E8" w:rsidRDefault="000678EB" w:rsidP="000678EB">
      <w:pPr>
        <w:spacing w:after="0"/>
        <w:jc w:val="both"/>
        <w:rPr>
          <w:rFonts w:ascii="Arial" w:hAnsi="Arial" w:cs="Arial"/>
        </w:rPr>
      </w:pPr>
    </w:p>
    <w:p w14:paraId="3B2DB0A9" w14:textId="77777777" w:rsidR="000678EB" w:rsidRDefault="000678EB" w:rsidP="000678EB">
      <w:pPr>
        <w:spacing w:after="0"/>
        <w:jc w:val="both"/>
        <w:rPr>
          <w:rFonts w:ascii="Arial" w:hAnsi="Arial" w:cs="Arial"/>
        </w:rPr>
      </w:pPr>
      <w:r w:rsidRPr="00BD07E8">
        <w:rPr>
          <w:rFonts w:ascii="Arial" w:hAnsi="Arial" w:cs="Arial"/>
        </w:rPr>
        <w:t xml:space="preserve">Lincoln, Y. S., &amp; Guba, E. G. (1985). </w:t>
      </w:r>
      <w:r w:rsidRPr="00BD07E8">
        <w:rPr>
          <w:rFonts w:ascii="Arial" w:hAnsi="Arial" w:cs="Arial"/>
          <w:i/>
          <w:iCs/>
        </w:rPr>
        <w:t>Naturalistic inquiry</w:t>
      </w:r>
      <w:r w:rsidRPr="00BD07E8">
        <w:rPr>
          <w:rFonts w:ascii="Arial" w:hAnsi="Arial" w:cs="Arial"/>
        </w:rPr>
        <w:t>. SAGE Publications.</w:t>
      </w:r>
    </w:p>
    <w:p w14:paraId="62DF0CBF" w14:textId="77777777" w:rsidR="000678EB" w:rsidRPr="00BD07E8" w:rsidRDefault="000678EB" w:rsidP="000678EB">
      <w:pPr>
        <w:spacing w:after="0"/>
        <w:jc w:val="both"/>
        <w:rPr>
          <w:rFonts w:ascii="Arial" w:hAnsi="Arial" w:cs="Arial"/>
        </w:rPr>
      </w:pPr>
    </w:p>
    <w:p w14:paraId="21F8F4EC" w14:textId="77777777" w:rsidR="000678EB" w:rsidRDefault="000678EB" w:rsidP="000678EB">
      <w:pPr>
        <w:spacing w:after="0"/>
        <w:jc w:val="both"/>
        <w:rPr>
          <w:rFonts w:ascii="Arial" w:hAnsi="Arial" w:cs="Arial"/>
        </w:rPr>
      </w:pPr>
      <w:proofErr w:type="spellStart"/>
      <w:r w:rsidRPr="00BD07E8">
        <w:rPr>
          <w:rFonts w:ascii="Arial" w:hAnsi="Arial" w:cs="Arial"/>
        </w:rPr>
        <w:t>Manlogon</w:t>
      </w:r>
      <w:proofErr w:type="spellEnd"/>
      <w:r w:rsidRPr="00BD07E8">
        <w:rPr>
          <w:rFonts w:ascii="Arial" w:hAnsi="Arial" w:cs="Arial"/>
        </w:rPr>
        <w:t xml:space="preserve">, P. D. (2023). Rapid Assessment of Damages Report (RADAR) protocols: </w:t>
      </w:r>
      <w:r>
        <w:rPr>
          <w:rFonts w:ascii="Arial" w:hAnsi="Arial" w:cs="Arial"/>
        </w:rPr>
        <w:tab/>
      </w:r>
      <w:r w:rsidRPr="00BD07E8">
        <w:rPr>
          <w:rFonts w:ascii="Arial" w:hAnsi="Arial" w:cs="Arial"/>
        </w:rPr>
        <w:t xml:space="preserve">Administrative delays and information flows to regional divisions. </w:t>
      </w:r>
      <w:r w:rsidRPr="00BD07E8">
        <w:rPr>
          <w:rFonts w:ascii="Arial" w:hAnsi="Arial" w:cs="Arial"/>
          <w:i/>
          <w:iCs/>
        </w:rPr>
        <w:t xml:space="preserve">Journal of </w:t>
      </w:r>
      <w:r>
        <w:rPr>
          <w:rFonts w:ascii="Arial" w:hAnsi="Arial" w:cs="Arial"/>
          <w:i/>
          <w:iCs/>
        </w:rPr>
        <w:tab/>
      </w:r>
      <w:r w:rsidRPr="00BD07E8">
        <w:rPr>
          <w:rFonts w:ascii="Arial" w:hAnsi="Arial" w:cs="Arial"/>
          <w:i/>
          <w:iCs/>
        </w:rPr>
        <w:t>Educational Policy and Practice</w:t>
      </w:r>
      <w:r w:rsidRPr="00BD07E8">
        <w:rPr>
          <w:rFonts w:ascii="Arial" w:hAnsi="Arial" w:cs="Arial"/>
        </w:rPr>
        <w:t xml:space="preserve">, </w:t>
      </w:r>
      <w:r w:rsidRPr="00BD07E8">
        <w:rPr>
          <w:rFonts w:ascii="Arial" w:hAnsi="Arial" w:cs="Arial"/>
          <w:i/>
          <w:iCs/>
        </w:rPr>
        <w:t>19</w:t>
      </w:r>
      <w:r w:rsidRPr="00BD07E8">
        <w:rPr>
          <w:rFonts w:ascii="Arial" w:hAnsi="Arial" w:cs="Arial"/>
        </w:rPr>
        <w:t>(2), 204–221.</w:t>
      </w:r>
    </w:p>
    <w:p w14:paraId="66D8CD09" w14:textId="77777777" w:rsidR="000678EB" w:rsidRPr="00BD07E8" w:rsidRDefault="000678EB" w:rsidP="000678EB">
      <w:pPr>
        <w:spacing w:after="0"/>
        <w:jc w:val="both"/>
        <w:rPr>
          <w:rFonts w:ascii="Arial" w:hAnsi="Arial" w:cs="Arial"/>
        </w:rPr>
      </w:pPr>
    </w:p>
    <w:p w14:paraId="263EC12A" w14:textId="76265687" w:rsidR="000678EB" w:rsidRDefault="000678EB" w:rsidP="000678EB">
      <w:pPr>
        <w:spacing w:after="0"/>
        <w:jc w:val="both"/>
        <w:rPr>
          <w:rFonts w:ascii="Arial" w:hAnsi="Arial" w:cs="Arial"/>
        </w:rPr>
      </w:pPr>
      <w:r w:rsidRPr="00BD07E8">
        <w:rPr>
          <w:rFonts w:ascii="Arial" w:hAnsi="Arial" w:cs="Arial"/>
        </w:rPr>
        <w:t xml:space="preserve">Marshall, C., &amp; Rossman, G. B. (2016). </w:t>
      </w:r>
      <w:r w:rsidRPr="00BD07E8">
        <w:rPr>
          <w:rFonts w:ascii="Arial" w:hAnsi="Arial" w:cs="Arial"/>
          <w:i/>
          <w:iCs/>
        </w:rPr>
        <w:t>Designing qualitative research</w:t>
      </w:r>
      <w:r w:rsidRPr="00BD07E8">
        <w:rPr>
          <w:rFonts w:ascii="Arial" w:hAnsi="Arial" w:cs="Arial"/>
        </w:rPr>
        <w:t xml:space="preserve"> (6th ed.). </w:t>
      </w:r>
      <w:r>
        <w:rPr>
          <w:rFonts w:ascii="Arial" w:hAnsi="Arial" w:cs="Arial"/>
        </w:rPr>
        <w:tab/>
      </w:r>
      <w:r w:rsidRPr="00BD07E8">
        <w:rPr>
          <w:rFonts w:ascii="Arial" w:hAnsi="Arial" w:cs="Arial"/>
        </w:rPr>
        <w:t xml:space="preserve">SAGE </w:t>
      </w:r>
      <w:r w:rsidR="00CE433B">
        <w:rPr>
          <w:rFonts w:ascii="Arial" w:hAnsi="Arial" w:cs="Arial"/>
        </w:rPr>
        <w:tab/>
      </w:r>
      <w:r w:rsidRPr="00BD07E8">
        <w:rPr>
          <w:rFonts w:ascii="Arial" w:hAnsi="Arial" w:cs="Arial"/>
        </w:rPr>
        <w:t>Publications.</w:t>
      </w:r>
    </w:p>
    <w:p w14:paraId="50853B81" w14:textId="77777777" w:rsidR="000678EB" w:rsidRPr="00BD07E8" w:rsidRDefault="000678EB" w:rsidP="000678EB">
      <w:pPr>
        <w:spacing w:after="0"/>
        <w:jc w:val="both"/>
        <w:rPr>
          <w:rFonts w:ascii="Arial" w:hAnsi="Arial" w:cs="Arial"/>
        </w:rPr>
      </w:pPr>
    </w:p>
    <w:p w14:paraId="22489623" w14:textId="77777777" w:rsidR="000678EB" w:rsidRDefault="000678EB" w:rsidP="000678EB">
      <w:pPr>
        <w:spacing w:after="0"/>
        <w:jc w:val="both"/>
        <w:rPr>
          <w:rFonts w:ascii="Arial" w:hAnsi="Arial" w:cs="Arial"/>
        </w:rPr>
      </w:pPr>
      <w:r w:rsidRPr="00BD07E8">
        <w:rPr>
          <w:rFonts w:ascii="Arial" w:hAnsi="Arial" w:cs="Arial"/>
        </w:rPr>
        <w:t xml:space="preserve">McCombes, S. (2025). </w:t>
      </w:r>
      <w:r w:rsidRPr="00BD07E8">
        <w:rPr>
          <w:rFonts w:ascii="Arial" w:hAnsi="Arial" w:cs="Arial"/>
          <w:i/>
          <w:iCs/>
        </w:rPr>
        <w:t xml:space="preserve">Descriptive research designs: Methods, applications, and </w:t>
      </w:r>
      <w:r>
        <w:rPr>
          <w:rFonts w:ascii="Arial" w:hAnsi="Arial" w:cs="Arial"/>
          <w:i/>
          <w:iCs/>
        </w:rPr>
        <w:tab/>
      </w:r>
      <w:r w:rsidRPr="00BD07E8">
        <w:rPr>
          <w:rFonts w:ascii="Arial" w:hAnsi="Arial" w:cs="Arial"/>
          <w:i/>
          <w:iCs/>
        </w:rPr>
        <w:t>analysis iterations</w:t>
      </w:r>
      <w:r w:rsidRPr="00BD07E8">
        <w:rPr>
          <w:rFonts w:ascii="Arial" w:hAnsi="Arial" w:cs="Arial"/>
        </w:rPr>
        <w:t xml:space="preserve">. </w:t>
      </w:r>
      <w:proofErr w:type="spellStart"/>
      <w:r w:rsidRPr="00BD07E8">
        <w:rPr>
          <w:rFonts w:ascii="Arial" w:hAnsi="Arial" w:cs="Arial"/>
        </w:rPr>
        <w:t>Scribbr</w:t>
      </w:r>
      <w:proofErr w:type="spellEnd"/>
      <w:r w:rsidRPr="00BD07E8">
        <w:rPr>
          <w:rFonts w:ascii="Arial" w:hAnsi="Arial" w:cs="Arial"/>
        </w:rPr>
        <w:t xml:space="preserve"> Academic Press.</w:t>
      </w:r>
    </w:p>
    <w:p w14:paraId="55B48120" w14:textId="77777777" w:rsidR="000678EB" w:rsidRPr="00BD07E8" w:rsidRDefault="000678EB" w:rsidP="000678EB">
      <w:pPr>
        <w:spacing w:after="0"/>
        <w:jc w:val="both"/>
        <w:rPr>
          <w:rFonts w:ascii="Arial" w:hAnsi="Arial" w:cs="Arial"/>
        </w:rPr>
      </w:pPr>
    </w:p>
    <w:p w14:paraId="08CA7C40" w14:textId="77777777" w:rsidR="000678EB" w:rsidRDefault="000678EB" w:rsidP="000678EB">
      <w:pPr>
        <w:spacing w:after="0"/>
        <w:jc w:val="both"/>
        <w:rPr>
          <w:rFonts w:ascii="Arial" w:hAnsi="Arial" w:cs="Arial"/>
        </w:rPr>
      </w:pPr>
      <w:r w:rsidRPr="008A3CD6">
        <w:rPr>
          <w:rFonts w:ascii="Arial" w:hAnsi="Arial" w:cs="Arial"/>
        </w:rPr>
        <w:t xml:space="preserve">Miles, M. B., Huberman, A. M., &amp; Saldaña, J. (2020). </w:t>
      </w:r>
      <w:r w:rsidRPr="008A3CD6">
        <w:rPr>
          <w:rFonts w:ascii="Arial" w:hAnsi="Arial" w:cs="Arial"/>
          <w:i/>
          <w:iCs/>
        </w:rPr>
        <w:t xml:space="preserve">Qualitative data analysis: A </w:t>
      </w:r>
      <w:r>
        <w:rPr>
          <w:rFonts w:ascii="Arial" w:hAnsi="Arial" w:cs="Arial"/>
          <w:i/>
          <w:iCs/>
        </w:rPr>
        <w:tab/>
      </w:r>
      <w:r w:rsidRPr="008A3CD6">
        <w:rPr>
          <w:rFonts w:ascii="Arial" w:hAnsi="Arial" w:cs="Arial"/>
          <w:i/>
          <w:iCs/>
        </w:rPr>
        <w:t>methods sourcebook</w:t>
      </w:r>
      <w:r w:rsidRPr="008A3CD6">
        <w:rPr>
          <w:rFonts w:ascii="Arial" w:hAnsi="Arial" w:cs="Arial"/>
        </w:rPr>
        <w:t xml:space="preserve"> (4th ed.). SAGE Publications.</w:t>
      </w:r>
    </w:p>
    <w:p w14:paraId="5B0D4BA3" w14:textId="77777777" w:rsidR="000678EB" w:rsidRPr="00BD07E8" w:rsidRDefault="000678EB" w:rsidP="000678EB">
      <w:pPr>
        <w:spacing w:after="0"/>
        <w:jc w:val="both"/>
        <w:rPr>
          <w:rFonts w:ascii="Arial" w:hAnsi="Arial" w:cs="Arial"/>
        </w:rPr>
      </w:pPr>
    </w:p>
    <w:p w14:paraId="281B8262" w14:textId="77777777" w:rsidR="000678EB" w:rsidRDefault="000678EB" w:rsidP="000678EB">
      <w:pPr>
        <w:spacing w:after="0"/>
        <w:jc w:val="both"/>
        <w:rPr>
          <w:rFonts w:ascii="Arial" w:hAnsi="Arial" w:cs="Arial"/>
        </w:rPr>
      </w:pPr>
      <w:r w:rsidRPr="00BD07E8">
        <w:rPr>
          <w:rFonts w:ascii="Arial" w:hAnsi="Arial" w:cs="Arial"/>
        </w:rPr>
        <w:t xml:space="preserve">Mitroff, I. I. (2005). </w:t>
      </w:r>
      <w:r w:rsidRPr="00BD07E8">
        <w:rPr>
          <w:rFonts w:ascii="Arial" w:hAnsi="Arial" w:cs="Arial"/>
          <w:i/>
          <w:iCs/>
        </w:rPr>
        <w:t xml:space="preserve">Why some companies emerge stronger and better from a crisis: 7 </w:t>
      </w:r>
      <w:r>
        <w:rPr>
          <w:rFonts w:ascii="Arial" w:hAnsi="Arial" w:cs="Arial"/>
          <w:i/>
          <w:iCs/>
        </w:rPr>
        <w:tab/>
      </w:r>
      <w:r w:rsidRPr="00BD07E8">
        <w:rPr>
          <w:rFonts w:ascii="Arial" w:hAnsi="Arial" w:cs="Arial"/>
          <w:i/>
          <w:iCs/>
        </w:rPr>
        <w:t>essential strategies for tragedy management</w:t>
      </w:r>
      <w:r w:rsidRPr="00BD07E8">
        <w:rPr>
          <w:rFonts w:ascii="Arial" w:hAnsi="Arial" w:cs="Arial"/>
        </w:rPr>
        <w:t>. AMACOM.</w:t>
      </w:r>
    </w:p>
    <w:p w14:paraId="4265BF18" w14:textId="77777777" w:rsidR="000678EB" w:rsidRPr="00BD07E8" w:rsidRDefault="000678EB" w:rsidP="000678EB">
      <w:pPr>
        <w:spacing w:after="0"/>
        <w:jc w:val="both"/>
        <w:rPr>
          <w:rFonts w:ascii="Arial" w:hAnsi="Arial" w:cs="Arial"/>
        </w:rPr>
      </w:pPr>
    </w:p>
    <w:p w14:paraId="5460DF39" w14:textId="77777777" w:rsidR="000678EB" w:rsidRDefault="000678EB" w:rsidP="000678EB">
      <w:pPr>
        <w:spacing w:after="0"/>
        <w:jc w:val="both"/>
      </w:pPr>
      <w:proofErr w:type="spellStart"/>
      <w:r w:rsidRPr="00BD07E8">
        <w:rPr>
          <w:rFonts w:ascii="Arial" w:hAnsi="Arial" w:cs="Arial"/>
        </w:rPr>
        <w:t>Morote</w:t>
      </w:r>
      <w:proofErr w:type="spellEnd"/>
      <w:r w:rsidRPr="00BD07E8">
        <w:rPr>
          <w:rFonts w:ascii="Arial" w:hAnsi="Arial" w:cs="Arial"/>
        </w:rPr>
        <w:t xml:space="preserve">, Á.-F., &amp; </w:t>
      </w:r>
      <w:proofErr w:type="spellStart"/>
      <w:r w:rsidRPr="00BD07E8">
        <w:rPr>
          <w:rFonts w:ascii="Arial" w:hAnsi="Arial" w:cs="Arial"/>
        </w:rPr>
        <w:t>Olcina</w:t>
      </w:r>
      <w:proofErr w:type="spellEnd"/>
      <w:r w:rsidRPr="00BD07E8">
        <w:rPr>
          <w:rFonts w:ascii="Arial" w:hAnsi="Arial" w:cs="Arial"/>
        </w:rPr>
        <w:t xml:space="preserve">, J. (2024). Preventing through sustainability education: </w:t>
      </w:r>
      <w:r>
        <w:rPr>
          <w:rFonts w:ascii="Arial" w:hAnsi="Arial" w:cs="Arial"/>
        </w:rPr>
        <w:tab/>
      </w:r>
      <w:r w:rsidRPr="00BD07E8">
        <w:rPr>
          <w:rFonts w:ascii="Arial" w:hAnsi="Arial" w:cs="Arial"/>
        </w:rPr>
        <w:t xml:space="preserve">Training and the perception of floods among school children. </w:t>
      </w:r>
      <w:r w:rsidRPr="00BD07E8">
        <w:rPr>
          <w:rFonts w:ascii="Arial" w:hAnsi="Arial" w:cs="Arial"/>
          <w:i/>
          <w:iCs/>
        </w:rPr>
        <w:t>Sustainability</w:t>
      </w:r>
      <w:r w:rsidRPr="00BD07E8">
        <w:rPr>
          <w:rFonts w:ascii="Arial" w:hAnsi="Arial" w:cs="Arial"/>
        </w:rPr>
        <w:t xml:space="preserve">, </w:t>
      </w:r>
      <w:r>
        <w:rPr>
          <w:rFonts w:ascii="Arial" w:hAnsi="Arial" w:cs="Arial"/>
        </w:rPr>
        <w:tab/>
      </w:r>
      <w:r w:rsidRPr="00BD07E8">
        <w:rPr>
          <w:rFonts w:ascii="Arial" w:hAnsi="Arial" w:cs="Arial"/>
          <w:i/>
          <w:iCs/>
        </w:rPr>
        <w:t>16</w:t>
      </w:r>
      <w:r w:rsidRPr="00BD07E8">
        <w:rPr>
          <w:rFonts w:ascii="Arial" w:hAnsi="Arial" w:cs="Arial"/>
        </w:rPr>
        <w:t xml:space="preserve">(11), 4678. </w:t>
      </w:r>
      <w:hyperlink r:id="rId21" w:tgtFrame="_blank" w:history="1">
        <w:r w:rsidRPr="00BD07E8">
          <w:rPr>
            <w:rStyle w:val="Hyperlink"/>
            <w:rFonts w:ascii="Arial" w:hAnsi="Arial" w:cs="Arial"/>
          </w:rPr>
          <w:t>https://doi.org/10.3390/su16114678</w:t>
        </w:r>
      </w:hyperlink>
    </w:p>
    <w:p w14:paraId="23606FF1" w14:textId="77777777" w:rsidR="000678EB" w:rsidRPr="00BD07E8" w:rsidRDefault="000678EB" w:rsidP="000678EB">
      <w:pPr>
        <w:spacing w:after="0"/>
        <w:jc w:val="both"/>
        <w:rPr>
          <w:rFonts w:ascii="Arial" w:hAnsi="Arial" w:cs="Arial"/>
        </w:rPr>
      </w:pPr>
    </w:p>
    <w:p w14:paraId="45B3290C" w14:textId="77777777" w:rsidR="000678EB" w:rsidRDefault="000678EB" w:rsidP="000678EB">
      <w:pPr>
        <w:spacing w:after="0"/>
        <w:jc w:val="both"/>
        <w:rPr>
          <w:rFonts w:ascii="Arial" w:hAnsi="Arial" w:cs="Arial"/>
        </w:rPr>
      </w:pPr>
      <w:r w:rsidRPr="00BD07E8">
        <w:rPr>
          <w:rFonts w:ascii="Arial" w:hAnsi="Arial" w:cs="Arial"/>
        </w:rPr>
        <w:t xml:space="preserve">Mutasa, S., &amp; Nyoni, T. (2020). Localizing the Comprehensive School Safety (CSS) </w:t>
      </w:r>
      <w:r>
        <w:rPr>
          <w:rFonts w:ascii="Arial" w:hAnsi="Arial" w:cs="Arial"/>
        </w:rPr>
        <w:tab/>
      </w:r>
      <w:r w:rsidRPr="00BD07E8">
        <w:rPr>
          <w:rFonts w:ascii="Arial" w:hAnsi="Arial" w:cs="Arial"/>
        </w:rPr>
        <w:t xml:space="preserve">matrix: Structural metrics for vulnerable administrative centers. </w:t>
      </w:r>
      <w:r w:rsidRPr="00BD07E8">
        <w:rPr>
          <w:rFonts w:ascii="Arial" w:hAnsi="Arial" w:cs="Arial"/>
          <w:i/>
          <w:iCs/>
        </w:rPr>
        <w:t xml:space="preserve">Journal of </w:t>
      </w:r>
      <w:r>
        <w:rPr>
          <w:rFonts w:ascii="Arial" w:hAnsi="Arial" w:cs="Arial"/>
          <w:i/>
          <w:iCs/>
        </w:rPr>
        <w:tab/>
      </w:r>
      <w:r w:rsidRPr="00BD07E8">
        <w:rPr>
          <w:rFonts w:ascii="Arial" w:hAnsi="Arial" w:cs="Arial"/>
          <w:i/>
          <w:iCs/>
        </w:rPr>
        <w:t>Disaster Studies</w:t>
      </w:r>
      <w:r w:rsidRPr="00BD07E8">
        <w:rPr>
          <w:rFonts w:ascii="Arial" w:hAnsi="Arial" w:cs="Arial"/>
        </w:rPr>
        <w:t xml:space="preserve">, </w:t>
      </w:r>
      <w:r w:rsidRPr="00BD07E8">
        <w:rPr>
          <w:rFonts w:ascii="Arial" w:hAnsi="Arial" w:cs="Arial"/>
          <w:i/>
          <w:iCs/>
        </w:rPr>
        <w:t>22</w:t>
      </w:r>
      <w:r w:rsidRPr="00BD07E8">
        <w:rPr>
          <w:rFonts w:ascii="Arial" w:hAnsi="Arial" w:cs="Arial"/>
        </w:rPr>
        <w:t>(3), 189–205.</w:t>
      </w:r>
    </w:p>
    <w:p w14:paraId="053A898E" w14:textId="77777777" w:rsidR="000678EB" w:rsidRPr="00BD07E8" w:rsidRDefault="000678EB" w:rsidP="000678EB">
      <w:pPr>
        <w:spacing w:after="0"/>
        <w:jc w:val="both"/>
        <w:rPr>
          <w:rFonts w:ascii="Arial" w:hAnsi="Arial" w:cs="Arial"/>
        </w:rPr>
      </w:pPr>
    </w:p>
    <w:p w14:paraId="31BBB80C" w14:textId="77777777" w:rsidR="000678EB" w:rsidRDefault="000678EB" w:rsidP="000678EB">
      <w:pPr>
        <w:spacing w:after="0"/>
        <w:jc w:val="both"/>
        <w:rPr>
          <w:rFonts w:ascii="Arial" w:hAnsi="Arial" w:cs="Arial"/>
        </w:rPr>
      </w:pPr>
      <w:r w:rsidRPr="00BD07E8">
        <w:rPr>
          <w:rFonts w:ascii="Arial" w:hAnsi="Arial" w:cs="Arial"/>
        </w:rPr>
        <w:t xml:space="preserve">Mutch, C. (2023). Schools as community hubs in times of crisis: Reconceptualizing </w:t>
      </w:r>
      <w:r>
        <w:rPr>
          <w:rFonts w:ascii="Arial" w:hAnsi="Arial" w:cs="Arial"/>
        </w:rPr>
        <w:tab/>
      </w:r>
      <w:r w:rsidRPr="00BD07E8">
        <w:rPr>
          <w:rFonts w:ascii="Arial" w:hAnsi="Arial" w:cs="Arial"/>
        </w:rPr>
        <w:t xml:space="preserve">disaster risk reduction frameworks. </w:t>
      </w:r>
      <w:r w:rsidRPr="00BD07E8">
        <w:rPr>
          <w:rFonts w:ascii="Arial" w:hAnsi="Arial" w:cs="Arial"/>
          <w:i/>
          <w:iCs/>
        </w:rPr>
        <w:t xml:space="preserve">International Journal of Disaster Risk </w:t>
      </w:r>
      <w:r>
        <w:rPr>
          <w:rFonts w:ascii="Arial" w:hAnsi="Arial" w:cs="Arial"/>
          <w:i/>
          <w:iCs/>
        </w:rPr>
        <w:tab/>
      </w:r>
      <w:r w:rsidRPr="00BD07E8">
        <w:rPr>
          <w:rFonts w:ascii="Arial" w:hAnsi="Arial" w:cs="Arial"/>
          <w:i/>
          <w:iCs/>
        </w:rPr>
        <w:t>Reduction</w:t>
      </w:r>
      <w:r w:rsidRPr="00BD07E8">
        <w:rPr>
          <w:rFonts w:ascii="Arial" w:hAnsi="Arial" w:cs="Arial"/>
        </w:rPr>
        <w:t xml:space="preserve">, </w:t>
      </w:r>
      <w:r w:rsidRPr="00BD07E8">
        <w:rPr>
          <w:rFonts w:ascii="Arial" w:hAnsi="Arial" w:cs="Arial"/>
          <w:i/>
          <w:iCs/>
        </w:rPr>
        <w:t>85</w:t>
      </w:r>
      <w:r w:rsidRPr="00BD07E8">
        <w:rPr>
          <w:rFonts w:ascii="Arial" w:hAnsi="Arial" w:cs="Arial"/>
        </w:rPr>
        <w:t>, 103517.</w:t>
      </w:r>
    </w:p>
    <w:p w14:paraId="09906553" w14:textId="77777777" w:rsidR="000678EB" w:rsidRPr="00BD07E8" w:rsidRDefault="000678EB" w:rsidP="000678EB">
      <w:pPr>
        <w:spacing w:after="0"/>
        <w:jc w:val="both"/>
        <w:rPr>
          <w:rFonts w:ascii="Arial" w:hAnsi="Arial" w:cs="Arial"/>
        </w:rPr>
      </w:pPr>
    </w:p>
    <w:p w14:paraId="038BE724" w14:textId="77777777" w:rsidR="000678EB" w:rsidRDefault="000678EB" w:rsidP="000678EB">
      <w:pPr>
        <w:spacing w:after="0"/>
        <w:jc w:val="both"/>
        <w:rPr>
          <w:rFonts w:ascii="Arial" w:hAnsi="Arial" w:cs="Arial"/>
        </w:rPr>
      </w:pPr>
      <w:r w:rsidRPr="00BD07E8">
        <w:rPr>
          <w:rFonts w:ascii="Arial" w:hAnsi="Arial" w:cs="Arial"/>
        </w:rPr>
        <w:lastRenderedPageBreak/>
        <w:t xml:space="preserve">Osei, F. A., Patel, N. K., &amp; McCarthy, P. J. (2022). Risk mitigation timelines and </w:t>
      </w:r>
      <w:r>
        <w:rPr>
          <w:rFonts w:ascii="Arial" w:hAnsi="Arial" w:cs="Arial"/>
        </w:rPr>
        <w:tab/>
      </w:r>
      <w:r w:rsidRPr="00BD07E8">
        <w:rPr>
          <w:rFonts w:ascii="Arial" w:hAnsi="Arial" w:cs="Arial"/>
        </w:rPr>
        <w:t xml:space="preserve">inventory optimization for non-structural assets in educational divisions. </w:t>
      </w:r>
      <w:r w:rsidRPr="00BD07E8">
        <w:rPr>
          <w:rFonts w:ascii="Arial" w:hAnsi="Arial" w:cs="Arial"/>
          <w:i/>
          <w:iCs/>
        </w:rPr>
        <w:t xml:space="preserve">Risk </w:t>
      </w:r>
      <w:r>
        <w:rPr>
          <w:rFonts w:ascii="Arial" w:hAnsi="Arial" w:cs="Arial"/>
          <w:i/>
          <w:iCs/>
        </w:rPr>
        <w:tab/>
      </w:r>
      <w:r w:rsidRPr="00BD07E8">
        <w:rPr>
          <w:rFonts w:ascii="Arial" w:hAnsi="Arial" w:cs="Arial"/>
          <w:i/>
          <w:iCs/>
        </w:rPr>
        <w:t>Analysis</w:t>
      </w:r>
      <w:r w:rsidRPr="00BD07E8">
        <w:rPr>
          <w:rFonts w:ascii="Arial" w:hAnsi="Arial" w:cs="Arial"/>
        </w:rPr>
        <w:t xml:space="preserve">, </w:t>
      </w:r>
      <w:r w:rsidRPr="00BD07E8">
        <w:rPr>
          <w:rFonts w:ascii="Arial" w:hAnsi="Arial" w:cs="Arial"/>
          <w:i/>
          <w:iCs/>
        </w:rPr>
        <w:t>42</w:t>
      </w:r>
      <w:r w:rsidRPr="00BD07E8">
        <w:rPr>
          <w:rFonts w:ascii="Arial" w:hAnsi="Arial" w:cs="Arial"/>
        </w:rPr>
        <w:t>(9), 1988–2004.</w:t>
      </w:r>
    </w:p>
    <w:p w14:paraId="292EF638" w14:textId="77777777" w:rsidR="000678EB" w:rsidRDefault="000678EB" w:rsidP="000678EB">
      <w:pPr>
        <w:spacing w:after="0"/>
        <w:jc w:val="both"/>
        <w:rPr>
          <w:rFonts w:ascii="Arial" w:hAnsi="Arial" w:cs="Arial"/>
        </w:rPr>
      </w:pPr>
    </w:p>
    <w:p w14:paraId="09A88748" w14:textId="77777777" w:rsidR="000678EB" w:rsidRDefault="000678EB" w:rsidP="000678EB">
      <w:pPr>
        <w:spacing w:after="0"/>
        <w:jc w:val="both"/>
        <w:rPr>
          <w:rFonts w:ascii="Arial" w:hAnsi="Arial" w:cs="Arial"/>
        </w:rPr>
      </w:pPr>
      <w:r w:rsidRPr="00B54C0E">
        <w:rPr>
          <w:rFonts w:ascii="Arial" w:hAnsi="Arial" w:cs="Arial"/>
        </w:rPr>
        <w:t xml:space="preserve">Patel, N. K., &amp; McCarthy, P. J. (2020). Logistical buffering and resource availability </w:t>
      </w:r>
      <w:r>
        <w:rPr>
          <w:rFonts w:ascii="Arial" w:hAnsi="Arial" w:cs="Arial"/>
        </w:rPr>
        <w:tab/>
      </w:r>
      <w:r w:rsidRPr="00B54C0E">
        <w:rPr>
          <w:rFonts w:ascii="Arial" w:hAnsi="Arial" w:cs="Arial"/>
        </w:rPr>
        <w:t xml:space="preserve">thresholds during environmental shocks. </w:t>
      </w:r>
      <w:r w:rsidRPr="00B54C0E">
        <w:rPr>
          <w:rFonts w:ascii="Arial" w:hAnsi="Arial" w:cs="Arial"/>
          <w:i/>
          <w:iCs/>
        </w:rPr>
        <w:t>Journal of Operations Management</w:t>
      </w:r>
      <w:r w:rsidRPr="00B54C0E">
        <w:rPr>
          <w:rFonts w:ascii="Arial" w:hAnsi="Arial" w:cs="Arial"/>
        </w:rPr>
        <w:t xml:space="preserve">, </w:t>
      </w:r>
      <w:r>
        <w:rPr>
          <w:rFonts w:ascii="Arial" w:hAnsi="Arial" w:cs="Arial"/>
        </w:rPr>
        <w:tab/>
      </w:r>
      <w:r w:rsidRPr="00B54C0E">
        <w:rPr>
          <w:rFonts w:ascii="Arial" w:hAnsi="Arial" w:cs="Arial"/>
          <w:i/>
          <w:iCs/>
        </w:rPr>
        <w:t>66</w:t>
      </w:r>
      <w:r w:rsidRPr="00B54C0E">
        <w:rPr>
          <w:rFonts w:ascii="Arial" w:hAnsi="Arial" w:cs="Arial"/>
        </w:rPr>
        <w:t>(5), 512–531.</w:t>
      </w:r>
    </w:p>
    <w:p w14:paraId="215A8CD5" w14:textId="77777777" w:rsidR="000678EB" w:rsidRPr="00BD07E8" w:rsidRDefault="000678EB" w:rsidP="000678EB">
      <w:pPr>
        <w:spacing w:after="0"/>
        <w:jc w:val="both"/>
        <w:rPr>
          <w:rFonts w:ascii="Arial" w:hAnsi="Arial" w:cs="Arial"/>
        </w:rPr>
      </w:pPr>
    </w:p>
    <w:p w14:paraId="29D97948" w14:textId="77777777" w:rsidR="000678EB" w:rsidRDefault="000678EB" w:rsidP="000678EB">
      <w:pPr>
        <w:spacing w:after="0"/>
        <w:jc w:val="both"/>
        <w:rPr>
          <w:rFonts w:ascii="Arial" w:hAnsi="Arial" w:cs="Arial"/>
        </w:rPr>
      </w:pPr>
      <w:r w:rsidRPr="00BD07E8">
        <w:rPr>
          <w:rFonts w:ascii="Arial" w:hAnsi="Arial" w:cs="Arial"/>
        </w:rPr>
        <w:t xml:space="preserve">Patton, M. Q. (2015). </w:t>
      </w:r>
      <w:r w:rsidRPr="00BD07E8">
        <w:rPr>
          <w:rFonts w:ascii="Arial" w:hAnsi="Arial" w:cs="Arial"/>
          <w:i/>
          <w:iCs/>
        </w:rPr>
        <w:t>Qualitative research &amp; evaluation methods</w:t>
      </w:r>
      <w:r w:rsidRPr="00BD07E8">
        <w:rPr>
          <w:rFonts w:ascii="Arial" w:hAnsi="Arial" w:cs="Arial"/>
        </w:rPr>
        <w:t xml:space="preserve"> (4th ed.). SAGE </w:t>
      </w:r>
      <w:r>
        <w:rPr>
          <w:rFonts w:ascii="Arial" w:hAnsi="Arial" w:cs="Arial"/>
        </w:rPr>
        <w:tab/>
      </w:r>
      <w:r w:rsidRPr="00BD07E8">
        <w:rPr>
          <w:rFonts w:ascii="Arial" w:hAnsi="Arial" w:cs="Arial"/>
        </w:rPr>
        <w:t>Publications.</w:t>
      </w:r>
    </w:p>
    <w:p w14:paraId="170E97F3" w14:textId="77777777" w:rsidR="000678EB" w:rsidRPr="00BD07E8" w:rsidRDefault="000678EB" w:rsidP="000678EB">
      <w:pPr>
        <w:spacing w:after="0"/>
        <w:jc w:val="both"/>
        <w:rPr>
          <w:rFonts w:ascii="Arial" w:hAnsi="Arial" w:cs="Arial"/>
        </w:rPr>
      </w:pPr>
    </w:p>
    <w:p w14:paraId="66848765" w14:textId="77777777" w:rsidR="009E779E" w:rsidRDefault="009E779E" w:rsidP="009E779E">
      <w:pPr>
        <w:spacing w:after="0" w:line="360" w:lineRule="auto"/>
        <w:jc w:val="both"/>
      </w:pPr>
      <w:r w:rsidRPr="009C2FA8">
        <w:rPr>
          <w:rFonts w:ascii="Arial" w:hAnsi="Arial" w:cs="Arial"/>
          <w:bCs/>
        </w:rPr>
        <w:t xml:space="preserve">Pearson, C. M., &amp; Clair, J. A. (1998). Reframing crisis management. </w:t>
      </w:r>
      <w:r w:rsidRPr="009C2FA8">
        <w:rPr>
          <w:rFonts w:ascii="Arial" w:hAnsi="Arial" w:cs="Arial"/>
          <w:bCs/>
          <w:i/>
          <w:iCs/>
        </w:rPr>
        <w:t xml:space="preserve">Academy of </w:t>
      </w:r>
      <w:r>
        <w:rPr>
          <w:rFonts w:ascii="Arial" w:hAnsi="Arial" w:cs="Arial"/>
          <w:bCs/>
          <w:i/>
          <w:iCs/>
        </w:rPr>
        <w:tab/>
      </w:r>
      <w:r w:rsidRPr="009C2FA8">
        <w:rPr>
          <w:rFonts w:ascii="Arial" w:hAnsi="Arial" w:cs="Arial"/>
          <w:bCs/>
          <w:i/>
          <w:iCs/>
        </w:rPr>
        <w:t>Management Review, 23</w:t>
      </w:r>
      <w:r w:rsidRPr="009C2FA8">
        <w:rPr>
          <w:rFonts w:ascii="Arial" w:hAnsi="Arial" w:cs="Arial"/>
          <w:bCs/>
        </w:rPr>
        <w:t xml:space="preserve">(1), 59–76. </w:t>
      </w:r>
      <w:hyperlink r:id="rId22" w:history="1">
        <w:r w:rsidRPr="009C2FA8">
          <w:rPr>
            <w:rStyle w:val="Hyperlink"/>
            <w:rFonts w:ascii="Arial" w:hAnsi="Arial" w:cs="Arial"/>
            <w:bCs/>
            <w:color w:val="auto"/>
          </w:rPr>
          <w:t>https://doi.org/10.5465/AMR.1998.192960</w:t>
        </w:r>
      </w:hyperlink>
    </w:p>
    <w:p w14:paraId="5145B022" w14:textId="77777777" w:rsidR="009E779E" w:rsidRPr="009C2FA8" w:rsidRDefault="009E779E" w:rsidP="009E779E">
      <w:pPr>
        <w:spacing w:after="0" w:line="240" w:lineRule="auto"/>
        <w:jc w:val="both"/>
        <w:rPr>
          <w:rFonts w:ascii="Arial" w:hAnsi="Arial" w:cs="Arial"/>
          <w:bCs/>
        </w:rPr>
      </w:pPr>
    </w:p>
    <w:p w14:paraId="054B15C5" w14:textId="77777777" w:rsidR="009E779E" w:rsidRDefault="009E779E" w:rsidP="009E779E">
      <w:pPr>
        <w:spacing w:after="0" w:line="360" w:lineRule="auto"/>
        <w:jc w:val="both"/>
      </w:pPr>
      <w:proofErr w:type="spellStart"/>
      <w:r w:rsidRPr="009C2FA8">
        <w:rPr>
          <w:rFonts w:ascii="Arial" w:hAnsi="Arial" w:cs="Arial"/>
          <w:bCs/>
        </w:rPr>
        <w:t>PreventionWeb</w:t>
      </w:r>
      <w:proofErr w:type="spellEnd"/>
      <w:r w:rsidRPr="009C2FA8">
        <w:rPr>
          <w:rFonts w:ascii="Arial" w:hAnsi="Arial" w:cs="Arial"/>
          <w:bCs/>
        </w:rPr>
        <w:t xml:space="preserve">. (2025, September 25). </w:t>
      </w:r>
      <w:r w:rsidRPr="009C2FA8">
        <w:rPr>
          <w:rFonts w:ascii="Arial" w:hAnsi="Arial" w:cs="Arial"/>
          <w:bCs/>
          <w:i/>
          <w:iCs/>
        </w:rPr>
        <w:t>World risk report 2025: Focus: Floods</w:t>
      </w:r>
      <w:r w:rsidRPr="009C2FA8">
        <w:rPr>
          <w:rFonts w:ascii="Arial" w:hAnsi="Arial" w:cs="Arial"/>
          <w:bCs/>
        </w:rPr>
        <w:t xml:space="preserve">. </w:t>
      </w:r>
      <w:r>
        <w:rPr>
          <w:rFonts w:ascii="Arial" w:hAnsi="Arial" w:cs="Arial"/>
          <w:bCs/>
        </w:rPr>
        <w:tab/>
      </w:r>
      <w:hyperlink r:id="rId23" w:history="1">
        <w:r w:rsidRPr="009C2FA8">
          <w:rPr>
            <w:rStyle w:val="Hyperlink"/>
            <w:rFonts w:ascii="Arial" w:hAnsi="Arial" w:cs="Arial"/>
            <w:bCs/>
          </w:rPr>
          <w:t>https://www.preventionweb.net/publication/documents-and-publications/world-</w:t>
        </w:r>
        <w:r w:rsidRPr="009E779E">
          <w:rPr>
            <w:rStyle w:val="Hyperlink"/>
            <w:rFonts w:ascii="Arial" w:hAnsi="Arial" w:cs="Arial"/>
            <w:bCs/>
            <w:u w:val="none"/>
          </w:rPr>
          <w:tab/>
        </w:r>
        <w:r w:rsidRPr="009C2FA8">
          <w:rPr>
            <w:rStyle w:val="Hyperlink"/>
            <w:rFonts w:ascii="Arial" w:hAnsi="Arial" w:cs="Arial"/>
            <w:bCs/>
          </w:rPr>
          <w:t>risk-report-2025-focus-floods</w:t>
        </w:r>
      </w:hyperlink>
    </w:p>
    <w:p w14:paraId="50A6259E" w14:textId="20A4B615" w:rsidR="000678EB" w:rsidRPr="00BD07E8" w:rsidRDefault="000678EB" w:rsidP="000678EB">
      <w:pPr>
        <w:spacing w:after="0"/>
        <w:jc w:val="both"/>
        <w:rPr>
          <w:rFonts w:ascii="Arial" w:hAnsi="Arial" w:cs="Arial"/>
        </w:rPr>
      </w:pPr>
    </w:p>
    <w:p w14:paraId="10FE0DBF" w14:textId="77777777" w:rsidR="000678EB" w:rsidRDefault="000678EB" w:rsidP="000678EB">
      <w:pPr>
        <w:spacing w:after="0"/>
        <w:jc w:val="both"/>
        <w:rPr>
          <w:rFonts w:ascii="Arial" w:hAnsi="Arial" w:cs="Arial"/>
        </w:rPr>
      </w:pPr>
      <w:proofErr w:type="spellStart"/>
      <w:r w:rsidRPr="00BD07E8">
        <w:rPr>
          <w:rFonts w:ascii="Arial" w:hAnsi="Arial" w:cs="Arial"/>
        </w:rPr>
        <w:t>Pojas</w:t>
      </w:r>
      <w:proofErr w:type="spellEnd"/>
      <w:r w:rsidRPr="00BD07E8">
        <w:rPr>
          <w:rFonts w:ascii="Arial" w:hAnsi="Arial" w:cs="Arial"/>
        </w:rPr>
        <w:t xml:space="preserve">, G. E. (2024). Evaluating the mean execution indices of disaster preparedness </w:t>
      </w:r>
      <w:r>
        <w:rPr>
          <w:rFonts w:ascii="Arial" w:hAnsi="Arial" w:cs="Arial"/>
        </w:rPr>
        <w:tab/>
      </w:r>
      <w:r w:rsidRPr="00BD07E8">
        <w:rPr>
          <w:rFonts w:ascii="Arial" w:hAnsi="Arial" w:cs="Arial"/>
        </w:rPr>
        <w:t xml:space="preserve">modules in basic education contexts. </w:t>
      </w:r>
      <w:r w:rsidRPr="00BD07E8">
        <w:rPr>
          <w:rFonts w:ascii="Arial" w:hAnsi="Arial" w:cs="Arial"/>
          <w:i/>
          <w:iCs/>
        </w:rPr>
        <w:t xml:space="preserve">Journal of Classroom Research and </w:t>
      </w:r>
      <w:r>
        <w:rPr>
          <w:rFonts w:ascii="Arial" w:hAnsi="Arial" w:cs="Arial"/>
          <w:i/>
          <w:iCs/>
        </w:rPr>
        <w:tab/>
      </w:r>
      <w:r w:rsidRPr="00BD07E8">
        <w:rPr>
          <w:rFonts w:ascii="Arial" w:hAnsi="Arial" w:cs="Arial"/>
          <w:i/>
          <w:iCs/>
        </w:rPr>
        <w:t>Management</w:t>
      </w:r>
      <w:r w:rsidRPr="00BD07E8">
        <w:rPr>
          <w:rFonts w:ascii="Arial" w:hAnsi="Arial" w:cs="Arial"/>
        </w:rPr>
        <w:t xml:space="preserve">, </w:t>
      </w:r>
      <w:r w:rsidRPr="00BD07E8">
        <w:rPr>
          <w:rFonts w:ascii="Arial" w:hAnsi="Arial" w:cs="Arial"/>
          <w:i/>
          <w:iCs/>
        </w:rPr>
        <w:t>30</w:t>
      </w:r>
      <w:r w:rsidRPr="00BD07E8">
        <w:rPr>
          <w:rFonts w:ascii="Arial" w:hAnsi="Arial" w:cs="Arial"/>
        </w:rPr>
        <w:t>(1), 12–29.</w:t>
      </w:r>
    </w:p>
    <w:p w14:paraId="7D6208B6" w14:textId="77777777" w:rsidR="000678EB" w:rsidRPr="00BD07E8" w:rsidRDefault="000678EB" w:rsidP="000678EB">
      <w:pPr>
        <w:spacing w:after="0"/>
        <w:jc w:val="both"/>
        <w:rPr>
          <w:rFonts w:ascii="Arial" w:hAnsi="Arial" w:cs="Arial"/>
        </w:rPr>
      </w:pPr>
    </w:p>
    <w:p w14:paraId="34F53464" w14:textId="77777777" w:rsidR="000678EB" w:rsidRDefault="000678EB" w:rsidP="000678EB">
      <w:pPr>
        <w:spacing w:after="0"/>
        <w:jc w:val="both"/>
        <w:rPr>
          <w:rFonts w:ascii="Arial" w:hAnsi="Arial" w:cs="Arial"/>
        </w:rPr>
      </w:pPr>
      <w:r w:rsidRPr="00BD07E8">
        <w:rPr>
          <w:rFonts w:ascii="Arial" w:hAnsi="Arial" w:cs="Arial"/>
        </w:rPr>
        <w:t xml:space="preserve">Rahman, M. S., &amp; Shaw, R. (2021). Micro-level institutional gaps in typhoon and flood </w:t>
      </w:r>
      <w:r>
        <w:rPr>
          <w:rFonts w:ascii="Arial" w:hAnsi="Arial" w:cs="Arial"/>
        </w:rPr>
        <w:tab/>
      </w:r>
      <w:r w:rsidRPr="00BD07E8">
        <w:rPr>
          <w:rFonts w:ascii="Arial" w:hAnsi="Arial" w:cs="Arial"/>
        </w:rPr>
        <w:t xml:space="preserve">disaster materials coordination. </w:t>
      </w:r>
      <w:r w:rsidRPr="00BD07E8">
        <w:rPr>
          <w:rFonts w:ascii="Arial" w:hAnsi="Arial" w:cs="Arial"/>
          <w:i/>
          <w:iCs/>
        </w:rPr>
        <w:t>Environmental Hazards</w:t>
      </w:r>
      <w:r w:rsidRPr="00BD07E8">
        <w:rPr>
          <w:rFonts w:ascii="Arial" w:hAnsi="Arial" w:cs="Arial"/>
        </w:rPr>
        <w:t xml:space="preserve">, </w:t>
      </w:r>
      <w:r w:rsidRPr="00BD07E8">
        <w:rPr>
          <w:rFonts w:ascii="Arial" w:hAnsi="Arial" w:cs="Arial"/>
          <w:i/>
          <w:iCs/>
        </w:rPr>
        <w:t>20</w:t>
      </w:r>
      <w:r w:rsidRPr="00BD07E8">
        <w:rPr>
          <w:rFonts w:ascii="Arial" w:hAnsi="Arial" w:cs="Arial"/>
        </w:rPr>
        <w:t>(2), 143–162.</w:t>
      </w:r>
    </w:p>
    <w:p w14:paraId="3DE7A6FC" w14:textId="77777777" w:rsidR="000678EB" w:rsidRPr="00BD07E8" w:rsidRDefault="000678EB" w:rsidP="000678EB">
      <w:pPr>
        <w:spacing w:after="0"/>
        <w:jc w:val="both"/>
        <w:rPr>
          <w:rFonts w:ascii="Arial" w:hAnsi="Arial" w:cs="Arial"/>
        </w:rPr>
      </w:pPr>
    </w:p>
    <w:p w14:paraId="7AFDF666" w14:textId="77777777" w:rsidR="000678EB" w:rsidRPr="00BD07E8" w:rsidRDefault="000678EB" w:rsidP="000678EB">
      <w:pPr>
        <w:spacing w:after="0"/>
        <w:jc w:val="both"/>
        <w:rPr>
          <w:rFonts w:ascii="Arial" w:hAnsi="Arial" w:cs="Arial"/>
        </w:rPr>
      </w:pPr>
      <w:r w:rsidRPr="00BD07E8">
        <w:rPr>
          <w:rFonts w:ascii="Arial" w:hAnsi="Arial" w:cs="Arial"/>
        </w:rPr>
        <w:t xml:space="preserve">Rana, S., &amp; </w:t>
      </w:r>
      <w:proofErr w:type="spellStart"/>
      <w:r w:rsidRPr="00BD07E8">
        <w:rPr>
          <w:rFonts w:ascii="Arial" w:hAnsi="Arial" w:cs="Arial"/>
        </w:rPr>
        <w:t>Chimoriya</w:t>
      </w:r>
      <w:proofErr w:type="spellEnd"/>
      <w:r w:rsidRPr="00BD07E8">
        <w:rPr>
          <w:rFonts w:ascii="Arial" w:hAnsi="Arial" w:cs="Arial"/>
        </w:rPr>
        <w:t>, R. (2025). Mixed methods integration logic within resource-</w:t>
      </w:r>
      <w:r>
        <w:rPr>
          <w:rFonts w:ascii="Arial" w:hAnsi="Arial" w:cs="Arial"/>
        </w:rPr>
        <w:tab/>
      </w:r>
      <w:r w:rsidRPr="00BD07E8">
        <w:rPr>
          <w:rFonts w:ascii="Arial" w:hAnsi="Arial" w:cs="Arial"/>
        </w:rPr>
        <w:t xml:space="preserve">constrained administrative assessments. </w:t>
      </w:r>
      <w:r w:rsidRPr="00BD07E8">
        <w:rPr>
          <w:rFonts w:ascii="Arial" w:hAnsi="Arial" w:cs="Arial"/>
          <w:i/>
          <w:iCs/>
        </w:rPr>
        <w:t xml:space="preserve">Journal of Multi-Method Research </w:t>
      </w:r>
      <w:r>
        <w:rPr>
          <w:rFonts w:ascii="Arial" w:hAnsi="Arial" w:cs="Arial"/>
          <w:i/>
          <w:iCs/>
        </w:rPr>
        <w:tab/>
      </w:r>
      <w:r w:rsidRPr="00BD07E8">
        <w:rPr>
          <w:rFonts w:ascii="Arial" w:hAnsi="Arial" w:cs="Arial"/>
          <w:i/>
          <w:iCs/>
        </w:rPr>
        <w:t>Inquiry</w:t>
      </w:r>
      <w:r w:rsidRPr="00BD07E8">
        <w:rPr>
          <w:rFonts w:ascii="Arial" w:hAnsi="Arial" w:cs="Arial"/>
        </w:rPr>
        <w:t xml:space="preserve">, </w:t>
      </w:r>
      <w:r w:rsidRPr="00BD07E8">
        <w:rPr>
          <w:rFonts w:ascii="Arial" w:hAnsi="Arial" w:cs="Arial"/>
          <w:i/>
          <w:iCs/>
        </w:rPr>
        <w:t>11</w:t>
      </w:r>
      <w:r w:rsidRPr="00BD07E8">
        <w:rPr>
          <w:rFonts w:ascii="Arial" w:hAnsi="Arial" w:cs="Arial"/>
        </w:rPr>
        <w:t>(1), 34–52.</w:t>
      </w:r>
    </w:p>
    <w:p w14:paraId="7BE2939F" w14:textId="77777777" w:rsidR="000678EB" w:rsidRDefault="000678EB" w:rsidP="000678EB">
      <w:pPr>
        <w:spacing w:after="0"/>
        <w:jc w:val="both"/>
        <w:rPr>
          <w:rFonts w:ascii="Arial" w:hAnsi="Arial" w:cs="Arial"/>
        </w:rPr>
      </w:pPr>
      <w:r w:rsidRPr="00BD07E8">
        <w:rPr>
          <w:rFonts w:ascii="Arial" w:hAnsi="Arial" w:cs="Arial"/>
        </w:rPr>
        <w:t xml:space="preserve">Reeves, M. A., Kanan, L. M., &amp; Plog, A. E. (2010). </w:t>
      </w:r>
      <w:r w:rsidRPr="00BD07E8">
        <w:rPr>
          <w:rFonts w:ascii="Arial" w:hAnsi="Arial" w:cs="Arial"/>
          <w:i/>
          <w:iCs/>
        </w:rPr>
        <w:t xml:space="preserve">Comprehensive planning for safe </w:t>
      </w:r>
      <w:r>
        <w:rPr>
          <w:rFonts w:ascii="Arial" w:hAnsi="Arial" w:cs="Arial"/>
          <w:i/>
          <w:iCs/>
        </w:rPr>
        <w:tab/>
      </w:r>
      <w:r w:rsidRPr="00BD07E8">
        <w:rPr>
          <w:rFonts w:ascii="Arial" w:hAnsi="Arial" w:cs="Arial"/>
          <w:i/>
          <w:iCs/>
        </w:rPr>
        <w:t xml:space="preserve">learning environments: A school professional's guide to integrating physical </w:t>
      </w:r>
      <w:r>
        <w:rPr>
          <w:rFonts w:ascii="Arial" w:hAnsi="Arial" w:cs="Arial"/>
          <w:i/>
          <w:iCs/>
        </w:rPr>
        <w:tab/>
      </w:r>
      <w:r w:rsidRPr="00BD07E8">
        <w:rPr>
          <w:rFonts w:ascii="Arial" w:hAnsi="Arial" w:cs="Arial"/>
          <w:i/>
          <w:iCs/>
        </w:rPr>
        <w:t>and psychological safety</w:t>
      </w:r>
      <w:r w:rsidRPr="00BD07E8">
        <w:rPr>
          <w:rFonts w:ascii="Arial" w:hAnsi="Arial" w:cs="Arial"/>
        </w:rPr>
        <w:t>. Routledge.</w:t>
      </w:r>
    </w:p>
    <w:p w14:paraId="3E46429B" w14:textId="77777777" w:rsidR="000678EB" w:rsidRPr="00BD07E8" w:rsidRDefault="000678EB" w:rsidP="000678EB">
      <w:pPr>
        <w:spacing w:after="0"/>
        <w:jc w:val="both"/>
        <w:rPr>
          <w:rFonts w:ascii="Arial" w:hAnsi="Arial" w:cs="Arial"/>
        </w:rPr>
      </w:pPr>
    </w:p>
    <w:p w14:paraId="28761A4A" w14:textId="77777777" w:rsidR="000678EB" w:rsidRDefault="000678EB" w:rsidP="000678EB">
      <w:pPr>
        <w:spacing w:after="0"/>
        <w:jc w:val="both"/>
        <w:rPr>
          <w:rFonts w:ascii="Arial" w:hAnsi="Arial" w:cs="Arial"/>
        </w:rPr>
      </w:pPr>
      <w:r w:rsidRPr="00BD07E8">
        <w:rPr>
          <w:rFonts w:ascii="Arial" w:hAnsi="Arial" w:cs="Arial"/>
        </w:rPr>
        <w:t xml:space="preserve">Reiersen, J., Shah, A. A., &amp; Johnson, K. (2021). Community asset tracking and </w:t>
      </w:r>
      <w:r>
        <w:rPr>
          <w:rFonts w:ascii="Arial" w:hAnsi="Arial" w:cs="Arial"/>
        </w:rPr>
        <w:tab/>
      </w:r>
      <w:r w:rsidRPr="00BD07E8">
        <w:rPr>
          <w:rFonts w:ascii="Arial" w:hAnsi="Arial" w:cs="Arial"/>
        </w:rPr>
        <w:t xml:space="preserve">institutional accountability patterns in localized weather monitoring. </w:t>
      </w:r>
      <w:r w:rsidRPr="00BD07E8">
        <w:rPr>
          <w:rFonts w:ascii="Arial" w:hAnsi="Arial" w:cs="Arial"/>
          <w:i/>
          <w:iCs/>
        </w:rPr>
        <w:t xml:space="preserve">Global </w:t>
      </w:r>
      <w:r>
        <w:rPr>
          <w:rFonts w:ascii="Arial" w:hAnsi="Arial" w:cs="Arial"/>
          <w:i/>
          <w:iCs/>
        </w:rPr>
        <w:tab/>
      </w:r>
      <w:r w:rsidRPr="00BD07E8">
        <w:rPr>
          <w:rFonts w:ascii="Arial" w:hAnsi="Arial" w:cs="Arial"/>
          <w:i/>
          <w:iCs/>
        </w:rPr>
        <w:t>Environmental Change</w:t>
      </w:r>
      <w:r w:rsidRPr="00BD07E8">
        <w:rPr>
          <w:rFonts w:ascii="Arial" w:hAnsi="Arial" w:cs="Arial"/>
        </w:rPr>
        <w:t xml:space="preserve">, </w:t>
      </w:r>
      <w:r w:rsidRPr="00BD07E8">
        <w:rPr>
          <w:rFonts w:ascii="Arial" w:hAnsi="Arial" w:cs="Arial"/>
          <w:i/>
          <w:iCs/>
        </w:rPr>
        <w:t>70</w:t>
      </w:r>
      <w:r w:rsidRPr="00BD07E8">
        <w:rPr>
          <w:rFonts w:ascii="Arial" w:hAnsi="Arial" w:cs="Arial"/>
        </w:rPr>
        <w:t>, 102345.</w:t>
      </w:r>
    </w:p>
    <w:p w14:paraId="55DB4486" w14:textId="77777777" w:rsidR="000678EB" w:rsidRPr="00BD07E8" w:rsidRDefault="000678EB" w:rsidP="000678EB">
      <w:pPr>
        <w:spacing w:after="0"/>
        <w:jc w:val="both"/>
        <w:rPr>
          <w:rFonts w:ascii="Arial" w:hAnsi="Arial" w:cs="Arial"/>
        </w:rPr>
      </w:pPr>
    </w:p>
    <w:p w14:paraId="57E0B8FF" w14:textId="77777777" w:rsidR="000678EB" w:rsidRDefault="000678EB" w:rsidP="000678EB">
      <w:pPr>
        <w:spacing w:after="0"/>
        <w:jc w:val="both"/>
        <w:rPr>
          <w:rFonts w:ascii="Arial" w:hAnsi="Arial" w:cs="Arial"/>
        </w:rPr>
      </w:pPr>
      <w:r w:rsidRPr="00BD07E8">
        <w:rPr>
          <w:rFonts w:ascii="Arial" w:hAnsi="Arial" w:cs="Arial"/>
        </w:rPr>
        <w:t xml:space="preserve">Reyes, C. A., &amp; Santos, M. L. (2023). Auditing school electrical grids and hazard </w:t>
      </w:r>
      <w:r>
        <w:rPr>
          <w:rFonts w:ascii="Arial" w:hAnsi="Arial" w:cs="Arial"/>
        </w:rPr>
        <w:tab/>
      </w:r>
      <w:r w:rsidRPr="00BD07E8">
        <w:rPr>
          <w:rFonts w:ascii="Arial" w:hAnsi="Arial" w:cs="Arial"/>
        </w:rPr>
        <w:t xml:space="preserve">vulnerabilities under DepEd infrastructure parameters. </w:t>
      </w:r>
      <w:r w:rsidRPr="00BD07E8">
        <w:rPr>
          <w:rFonts w:ascii="Arial" w:hAnsi="Arial" w:cs="Arial"/>
          <w:i/>
          <w:iCs/>
        </w:rPr>
        <w:t xml:space="preserve">Philippine Educational </w:t>
      </w:r>
      <w:r>
        <w:rPr>
          <w:rFonts w:ascii="Arial" w:hAnsi="Arial" w:cs="Arial"/>
          <w:i/>
          <w:iCs/>
        </w:rPr>
        <w:tab/>
      </w:r>
      <w:r w:rsidRPr="00BD07E8">
        <w:rPr>
          <w:rFonts w:ascii="Arial" w:hAnsi="Arial" w:cs="Arial"/>
          <w:i/>
          <w:iCs/>
        </w:rPr>
        <w:t>Engineering Review</w:t>
      </w:r>
      <w:r w:rsidRPr="00BD07E8">
        <w:rPr>
          <w:rFonts w:ascii="Arial" w:hAnsi="Arial" w:cs="Arial"/>
        </w:rPr>
        <w:t xml:space="preserve">, </w:t>
      </w:r>
      <w:r w:rsidRPr="00BD07E8">
        <w:rPr>
          <w:rFonts w:ascii="Arial" w:hAnsi="Arial" w:cs="Arial"/>
          <w:i/>
          <w:iCs/>
        </w:rPr>
        <w:t>8</w:t>
      </w:r>
      <w:r w:rsidRPr="00BD07E8">
        <w:rPr>
          <w:rFonts w:ascii="Arial" w:hAnsi="Arial" w:cs="Arial"/>
        </w:rPr>
        <w:t>(2), 87–101.</w:t>
      </w:r>
    </w:p>
    <w:p w14:paraId="6325F330" w14:textId="77777777" w:rsidR="000678EB" w:rsidRPr="00BD07E8" w:rsidRDefault="000678EB" w:rsidP="000678EB">
      <w:pPr>
        <w:spacing w:after="0"/>
        <w:jc w:val="both"/>
        <w:rPr>
          <w:rFonts w:ascii="Arial" w:hAnsi="Arial" w:cs="Arial"/>
        </w:rPr>
      </w:pPr>
    </w:p>
    <w:p w14:paraId="69EA18E5" w14:textId="77777777" w:rsidR="00CE433B" w:rsidRPr="00CE433B" w:rsidRDefault="00CE433B" w:rsidP="00A72B1F">
      <w:pPr>
        <w:spacing w:after="0" w:line="240" w:lineRule="auto"/>
        <w:jc w:val="both"/>
      </w:pPr>
      <w:r w:rsidRPr="009C2FA8">
        <w:rPr>
          <w:rFonts w:ascii="Arial" w:hAnsi="Arial" w:cs="Arial"/>
          <w:bCs/>
        </w:rPr>
        <w:t xml:space="preserve">Ronquillo, R. B. (2020). Teachers’ preparedness on disaster risk reduction and </w:t>
      </w:r>
      <w:r>
        <w:rPr>
          <w:rFonts w:ascii="Arial" w:hAnsi="Arial" w:cs="Arial"/>
          <w:bCs/>
        </w:rPr>
        <w:tab/>
      </w:r>
      <w:r w:rsidRPr="009C2FA8">
        <w:rPr>
          <w:rFonts w:ascii="Arial" w:hAnsi="Arial" w:cs="Arial"/>
          <w:bCs/>
        </w:rPr>
        <w:t xml:space="preserve">management measures among public senior high schools in the Division of </w:t>
      </w:r>
      <w:r>
        <w:rPr>
          <w:rFonts w:ascii="Arial" w:hAnsi="Arial" w:cs="Arial"/>
          <w:bCs/>
        </w:rPr>
        <w:tab/>
      </w:r>
      <w:r w:rsidRPr="009C2FA8">
        <w:rPr>
          <w:rFonts w:ascii="Arial" w:hAnsi="Arial" w:cs="Arial"/>
          <w:bCs/>
        </w:rPr>
        <w:t xml:space="preserve">Batangas City. </w:t>
      </w:r>
      <w:r w:rsidRPr="009C2FA8">
        <w:rPr>
          <w:rFonts w:ascii="Arial" w:hAnsi="Arial" w:cs="Arial"/>
          <w:bCs/>
          <w:i/>
          <w:iCs/>
        </w:rPr>
        <w:t xml:space="preserve">International Journal of Innovative Science and Research </w:t>
      </w:r>
      <w:r>
        <w:rPr>
          <w:rFonts w:ascii="Arial" w:hAnsi="Arial" w:cs="Arial"/>
          <w:bCs/>
          <w:i/>
          <w:iCs/>
        </w:rPr>
        <w:tab/>
      </w:r>
      <w:r w:rsidRPr="009C2FA8">
        <w:rPr>
          <w:rFonts w:ascii="Arial" w:hAnsi="Arial" w:cs="Arial"/>
          <w:bCs/>
          <w:i/>
          <w:iCs/>
        </w:rPr>
        <w:t>Technology, 5</w:t>
      </w:r>
      <w:r w:rsidRPr="009C2FA8">
        <w:rPr>
          <w:rFonts w:ascii="Arial" w:hAnsi="Arial" w:cs="Arial"/>
          <w:bCs/>
        </w:rPr>
        <w:t xml:space="preserve">(12), 306–313. </w:t>
      </w:r>
      <w:r>
        <w:rPr>
          <w:rFonts w:ascii="Arial" w:hAnsi="Arial" w:cs="Arial"/>
          <w:bCs/>
        </w:rPr>
        <w:tab/>
      </w:r>
      <w:hyperlink r:id="rId24" w:history="1">
        <w:r w:rsidRPr="009C2FA8">
          <w:rPr>
            <w:rStyle w:val="Hyperlink"/>
            <w:rFonts w:ascii="Arial" w:hAnsi="Arial" w:cs="Arial"/>
            <w:bCs/>
          </w:rPr>
          <w:t>https://ijisrt.com/assets/upload/files/IJISRT20DEC243.pdf</w:t>
        </w:r>
      </w:hyperlink>
    </w:p>
    <w:p w14:paraId="19954D08" w14:textId="77777777" w:rsidR="000678EB" w:rsidRPr="00BD07E8" w:rsidRDefault="000678EB" w:rsidP="00A72B1F">
      <w:pPr>
        <w:spacing w:after="0" w:line="240" w:lineRule="auto"/>
        <w:jc w:val="both"/>
        <w:rPr>
          <w:rFonts w:ascii="Arial" w:hAnsi="Arial" w:cs="Arial"/>
        </w:rPr>
      </w:pPr>
    </w:p>
    <w:p w14:paraId="0FB8E2FB" w14:textId="77777777" w:rsidR="000678EB" w:rsidRDefault="000678EB" w:rsidP="00A72B1F">
      <w:pPr>
        <w:spacing w:after="0" w:line="240" w:lineRule="auto"/>
        <w:jc w:val="both"/>
        <w:rPr>
          <w:rFonts w:ascii="Arial" w:hAnsi="Arial" w:cs="Arial"/>
        </w:rPr>
      </w:pPr>
      <w:r w:rsidRPr="00BD07E8">
        <w:rPr>
          <w:rFonts w:ascii="Arial" w:hAnsi="Arial" w:cs="Arial"/>
        </w:rPr>
        <w:t xml:space="preserve">Sandelowski, M. (2010). What's in a name? Qualitative description revisited. </w:t>
      </w:r>
      <w:r>
        <w:rPr>
          <w:rFonts w:ascii="Arial" w:hAnsi="Arial" w:cs="Arial"/>
        </w:rPr>
        <w:tab/>
      </w:r>
      <w:r w:rsidRPr="00BD07E8">
        <w:rPr>
          <w:rFonts w:ascii="Arial" w:hAnsi="Arial" w:cs="Arial"/>
          <w:i/>
          <w:iCs/>
        </w:rPr>
        <w:t>Research in Nursing &amp; Health</w:t>
      </w:r>
      <w:r w:rsidRPr="00BD07E8">
        <w:rPr>
          <w:rFonts w:ascii="Arial" w:hAnsi="Arial" w:cs="Arial"/>
        </w:rPr>
        <w:t xml:space="preserve">, </w:t>
      </w:r>
      <w:r w:rsidRPr="00BD07E8">
        <w:rPr>
          <w:rFonts w:ascii="Arial" w:hAnsi="Arial" w:cs="Arial"/>
          <w:i/>
          <w:iCs/>
        </w:rPr>
        <w:t>33</w:t>
      </w:r>
      <w:r w:rsidRPr="00BD07E8">
        <w:rPr>
          <w:rFonts w:ascii="Arial" w:hAnsi="Arial" w:cs="Arial"/>
        </w:rPr>
        <w:t>(1), 77–84.</w:t>
      </w:r>
    </w:p>
    <w:p w14:paraId="42E87E11" w14:textId="77777777" w:rsidR="000678EB" w:rsidRPr="00BD07E8" w:rsidRDefault="000678EB" w:rsidP="00A72B1F">
      <w:pPr>
        <w:spacing w:after="0" w:line="240" w:lineRule="auto"/>
        <w:jc w:val="both"/>
        <w:rPr>
          <w:rFonts w:ascii="Arial" w:hAnsi="Arial" w:cs="Arial"/>
        </w:rPr>
      </w:pPr>
    </w:p>
    <w:p w14:paraId="6C392592" w14:textId="77777777" w:rsidR="000678EB" w:rsidRDefault="000678EB" w:rsidP="00A72B1F">
      <w:pPr>
        <w:spacing w:after="0" w:line="240" w:lineRule="auto"/>
        <w:jc w:val="both"/>
        <w:rPr>
          <w:rFonts w:ascii="Arial" w:hAnsi="Arial" w:cs="Arial"/>
        </w:rPr>
      </w:pPr>
      <w:proofErr w:type="spellStart"/>
      <w:r w:rsidRPr="00BD07E8">
        <w:rPr>
          <w:rFonts w:ascii="Arial" w:hAnsi="Arial" w:cs="Arial"/>
        </w:rPr>
        <w:t>Seddighi</w:t>
      </w:r>
      <w:proofErr w:type="spellEnd"/>
      <w:r w:rsidRPr="00BD07E8">
        <w:rPr>
          <w:rFonts w:ascii="Arial" w:hAnsi="Arial" w:cs="Arial"/>
        </w:rPr>
        <w:t xml:space="preserve">, H., Armagan, G., &amp; Mutch, C. (2022). Institutional trust, resource scarcity, </w:t>
      </w:r>
      <w:r>
        <w:rPr>
          <w:rFonts w:ascii="Arial" w:hAnsi="Arial" w:cs="Arial"/>
        </w:rPr>
        <w:tab/>
      </w:r>
      <w:r w:rsidRPr="00BD07E8">
        <w:rPr>
          <w:rFonts w:ascii="Arial" w:hAnsi="Arial" w:cs="Arial"/>
        </w:rPr>
        <w:t xml:space="preserve">and school-based emergency logistical execution loops. </w:t>
      </w:r>
      <w:r w:rsidRPr="00BD07E8">
        <w:rPr>
          <w:rFonts w:ascii="Arial" w:hAnsi="Arial" w:cs="Arial"/>
          <w:i/>
          <w:iCs/>
        </w:rPr>
        <w:t>Safety Science</w:t>
      </w:r>
      <w:r w:rsidRPr="00BD07E8">
        <w:rPr>
          <w:rFonts w:ascii="Arial" w:hAnsi="Arial" w:cs="Arial"/>
        </w:rPr>
        <w:t xml:space="preserve">, </w:t>
      </w:r>
      <w:r w:rsidRPr="00BD07E8">
        <w:rPr>
          <w:rFonts w:ascii="Arial" w:hAnsi="Arial" w:cs="Arial"/>
          <w:i/>
          <w:iCs/>
        </w:rPr>
        <w:t>149</w:t>
      </w:r>
      <w:r w:rsidRPr="00BD07E8">
        <w:rPr>
          <w:rFonts w:ascii="Arial" w:hAnsi="Arial" w:cs="Arial"/>
        </w:rPr>
        <w:t xml:space="preserve">, </w:t>
      </w:r>
      <w:r>
        <w:rPr>
          <w:rFonts w:ascii="Arial" w:hAnsi="Arial" w:cs="Arial"/>
        </w:rPr>
        <w:tab/>
      </w:r>
      <w:r w:rsidRPr="00BD07E8">
        <w:rPr>
          <w:rFonts w:ascii="Arial" w:hAnsi="Arial" w:cs="Arial"/>
        </w:rPr>
        <w:t>105692.</w:t>
      </w:r>
    </w:p>
    <w:p w14:paraId="6763323F" w14:textId="77777777" w:rsidR="000678EB" w:rsidRPr="00BD07E8" w:rsidRDefault="000678EB" w:rsidP="00A72B1F">
      <w:pPr>
        <w:spacing w:after="0" w:line="240" w:lineRule="auto"/>
        <w:jc w:val="both"/>
        <w:rPr>
          <w:rFonts w:ascii="Arial" w:hAnsi="Arial" w:cs="Arial"/>
        </w:rPr>
      </w:pPr>
    </w:p>
    <w:p w14:paraId="638B7D6A" w14:textId="6FB4B0B0" w:rsidR="000678EB" w:rsidRDefault="000678EB" w:rsidP="00A72B1F">
      <w:pPr>
        <w:spacing w:after="0" w:line="240" w:lineRule="auto"/>
        <w:jc w:val="both"/>
        <w:rPr>
          <w:rFonts w:ascii="Arial" w:hAnsi="Arial" w:cs="Arial"/>
        </w:rPr>
      </w:pPr>
      <w:r w:rsidRPr="00BD07E8">
        <w:rPr>
          <w:rFonts w:ascii="Arial" w:hAnsi="Arial" w:cs="Arial"/>
        </w:rPr>
        <w:t xml:space="preserve">Shah, A. A., Rahman, M. S., &amp; </w:t>
      </w:r>
      <w:proofErr w:type="spellStart"/>
      <w:r w:rsidRPr="00BD07E8">
        <w:rPr>
          <w:rFonts w:ascii="Arial" w:hAnsi="Arial" w:cs="Arial"/>
        </w:rPr>
        <w:t>Seddighi</w:t>
      </w:r>
      <w:proofErr w:type="spellEnd"/>
      <w:r w:rsidRPr="00BD07E8">
        <w:rPr>
          <w:rFonts w:ascii="Arial" w:hAnsi="Arial" w:cs="Arial"/>
        </w:rPr>
        <w:t xml:space="preserve">, H. (2020). Disaster tracking accuracy </w:t>
      </w:r>
      <w:r>
        <w:rPr>
          <w:rFonts w:ascii="Arial" w:hAnsi="Arial" w:cs="Arial"/>
        </w:rPr>
        <w:tab/>
      </w:r>
      <w:r w:rsidRPr="00BD07E8">
        <w:rPr>
          <w:rFonts w:ascii="Arial" w:hAnsi="Arial" w:cs="Arial"/>
        </w:rPr>
        <w:t xml:space="preserve">across </w:t>
      </w:r>
      <w:r w:rsidR="009E779E">
        <w:rPr>
          <w:rFonts w:ascii="Arial" w:hAnsi="Arial" w:cs="Arial"/>
        </w:rPr>
        <w:tab/>
      </w:r>
      <w:r w:rsidRPr="00BD07E8">
        <w:rPr>
          <w:rFonts w:ascii="Arial" w:hAnsi="Arial" w:cs="Arial"/>
        </w:rPr>
        <w:t xml:space="preserve">district-to-division data pathways. </w:t>
      </w:r>
      <w:r w:rsidRPr="00BD07E8">
        <w:rPr>
          <w:rFonts w:ascii="Arial" w:hAnsi="Arial" w:cs="Arial"/>
          <w:i/>
          <w:iCs/>
        </w:rPr>
        <w:t>Socio-Economic Planning Sciences</w:t>
      </w:r>
      <w:r w:rsidRPr="00BD07E8">
        <w:rPr>
          <w:rFonts w:ascii="Arial" w:hAnsi="Arial" w:cs="Arial"/>
        </w:rPr>
        <w:t xml:space="preserve">, </w:t>
      </w:r>
      <w:r>
        <w:rPr>
          <w:rFonts w:ascii="Arial" w:hAnsi="Arial" w:cs="Arial"/>
        </w:rPr>
        <w:tab/>
      </w:r>
      <w:r w:rsidRPr="00BD07E8">
        <w:rPr>
          <w:rFonts w:ascii="Arial" w:hAnsi="Arial" w:cs="Arial"/>
          <w:i/>
          <w:iCs/>
        </w:rPr>
        <w:t>72</w:t>
      </w:r>
      <w:r w:rsidRPr="00BD07E8">
        <w:rPr>
          <w:rFonts w:ascii="Arial" w:hAnsi="Arial" w:cs="Arial"/>
        </w:rPr>
        <w:t xml:space="preserve">, </w:t>
      </w:r>
      <w:r w:rsidR="009E779E">
        <w:rPr>
          <w:rFonts w:ascii="Arial" w:hAnsi="Arial" w:cs="Arial"/>
        </w:rPr>
        <w:tab/>
      </w:r>
      <w:r w:rsidRPr="00BD07E8">
        <w:rPr>
          <w:rFonts w:ascii="Arial" w:hAnsi="Arial" w:cs="Arial"/>
        </w:rPr>
        <w:t>100912.</w:t>
      </w:r>
    </w:p>
    <w:p w14:paraId="7957463D" w14:textId="77777777" w:rsidR="000678EB" w:rsidRPr="00BD07E8" w:rsidRDefault="000678EB" w:rsidP="00A72B1F">
      <w:pPr>
        <w:spacing w:after="0" w:line="240" w:lineRule="auto"/>
        <w:jc w:val="both"/>
        <w:rPr>
          <w:rFonts w:ascii="Arial" w:hAnsi="Arial" w:cs="Arial"/>
        </w:rPr>
      </w:pPr>
    </w:p>
    <w:p w14:paraId="305BE261" w14:textId="77777777" w:rsidR="009E779E" w:rsidRDefault="009E779E" w:rsidP="00A72B1F">
      <w:pPr>
        <w:spacing w:after="0" w:line="240" w:lineRule="auto"/>
        <w:jc w:val="both"/>
      </w:pPr>
      <w:r w:rsidRPr="009C2FA8">
        <w:rPr>
          <w:rFonts w:ascii="Arial" w:hAnsi="Arial" w:cs="Arial"/>
          <w:bCs/>
        </w:rPr>
        <w:t xml:space="preserve">Shaw, R., &amp; Okazaki, K. (2019). Education continuity planning in disaster-prone </w:t>
      </w:r>
      <w:r>
        <w:rPr>
          <w:rFonts w:ascii="Arial" w:hAnsi="Arial" w:cs="Arial"/>
          <w:bCs/>
        </w:rPr>
        <w:tab/>
      </w:r>
      <w:r w:rsidRPr="009C2FA8">
        <w:rPr>
          <w:rFonts w:ascii="Arial" w:hAnsi="Arial" w:cs="Arial"/>
          <w:bCs/>
        </w:rPr>
        <w:t xml:space="preserve">schools. </w:t>
      </w:r>
      <w:r w:rsidRPr="009C2FA8">
        <w:rPr>
          <w:rFonts w:ascii="Arial" w:hAnsi="Arial" w:cs="Arial"/>
          <w:bCs/>
          <w:i/>
          <w:iCs/>
        </w:rPr>
        <w:t>International Journal of Disaster Risk Reduction, 35</w:t>
      </w:r>
      <w:r w:rsidRPr="009C2FA8">
        <w:rPr>
          <w:rFonts w:ascii="Arial" w:hAnsi="Arial" w:cs="Arial"/>
          <w:bCs/>
        </w:rPr>
        <w:t xml:space="preserve">, Article 101084. </w:t>
      </w:r>
      <w:r>
        <w:rPr>
          <w:rFonts w:ascii="Arial" w:hAnsi="Arial" w:cs="Arial"/>
          <w:bCs/>
        </w:rPr>
        <w:tab/>
      </w:r>
      <w:hyperlink r:id="rId25" w:history="1">
        <w:r w:rsidRPr="009C2FA8">
          <w:rPr>
            <w:rStyle w:val="Hyperlink"/>
            <w:rFonts w:ascii="Arial" w:hAnsi="Arial" w:cs="Arial"/>
            <w:bCs/>
          </w:rPr>
          <w:t>https://doi.org/10.1016/j.ijdrr.2019.101084</w:t>
        </w:r>
      </w:hyperlink>
    </w:p>
    <w:p w14:paraId="7B94ABFE" w14:textId="77777777" w:rsidR="009E779E" w:rsidRPr="009C2FA8" w:rsidRDefault="009E779E" w:rsidP="00A72B1F">
      <w:pPr>
        <w:spacing w:after="0" w:line="240" w:lineRule="auto"/>
        <w:jc w:val="both"/>
        <w:rPr>
          <w:rFonts w:ascii="Arial" w:hAnsi="Arial" w:cs="Arial"/>
          <w:bCs/>
        </w:rPr>
      </w:pPr>
    </w:p>
    <w:p w14:paraId="5008774F" w14:textId="77777777" w:rsidR="009E779E" w:rsidRPr="009C2FA8" w:rsidRDefault="009E779E" w:rsidP="00A72B1F">
      <w:pPr>
        <w:spacing w:after="0" w:line="240" w:lineRule="auto"/>
        <w:jc w:val="both"/>
        <w:rPr>
          <w:rFonts w:ascii="Arial" w:hAnsi="Arial" w:cs="Arial"/>
          <w:bCs/>
        </w:rPr>
      </w:pPr>
      <w:r w:rsidRPr="009C2FA8">
        <w:rPr>
          <w:rFonts w:ascii="Arial" w:hAnsi="Arial" w:cs="Arial"/>
          <w:bCs/>
        </w:rPr>
        <w:t xml:space="preserve">Slater, P. F., &amp; Hasson, F. (2025). Quantitative data quality assurance, analysis and </w:t>
      </w:r>
      <w:r>
        <w:rPr>
          <w:rFonts w:ascii="Arial" w:hAnsi="Arial" w:cs="Arial"/>
          <w:bCs/>
        </w:rPr>
        <w:tab/>
      </w:r>
      <w:r w:rsidRPr="009C2FA8">
        <w:rPr>
          <w:rFonts w:ascii="Arial" w:hAnsi="Arial" w:cs="Arial"/>
          <w:bCs/>
        </w:rPr>
        <w:t xml:space="preserve">presentation. </w:t>
      </w:r>
      <w:r w:rsidRPr="009C2FA8">
        <w:rPr>
          <w:rFonts w:ascii="Arial" w:hAnsi="Arial" w:cs="Arial"/>
          <w:bCs/>
          <w:i/>
          <w:iCs/>
        </w:rPr>
        <w:t>Journal of Psychiatric and Mental Health Nursing, 32</w:t>
      </w:r>
      <w:r w:rsidRPr="009C2FA8">
        <w:rPr>
          <w:rFonts w:ascii="Arial" w:hAnsi="Arial" w:cs="Arial"/>
          <w:bCs/>
        </w:rPr>
        <w:t>(3), 723–</w:t>
      </w:r>
      <w:r>
        <w:rPr>
          <w:rFonts w:ascii="Arial" w:hAnsi="Arial" w:cs="Arial"/>
          <w:bCs/>
        </w:rPr>
        <w:tab/>
      </w:r>
      <w:r w:rsidRPr="009C2FA8">
        <w:rPr>
          <w:rFonts w:ascii="Arial" w:hAnsi="Arial" w:cs="Arial"/>
          <w:bCs/>
        </w:rPr>
        <w:t xml:space="preserve">727. </w:t>
      </w:r>
      <w:hyperlink r:id="rId26" w:history="1">
        <w:r w:rsidRPr="009C2FA8">
          <w:rPr>
            <w:rStyle w:val="Hyperlink"/>
            <w:rFonts w:ascii="Arial" w:hAnsi="Arial" w:cs="Arial"/>
            <w:bCs/>
            <w:color w:val="auto"/>
          </w:rPr>
          <w:t>https://doi.org/10.1111/jpm.13143</w:t>
        </w:r>
      </w:hyperlink>
    </w:p>
    <w:p w14:paraId="3C38583D" w14:textId="77777777" w:rsidR="000678EB" w:rsidRPr="00BD07E8" w:rsidRDefault="000678EB" w:rsidP="00A72B1F">
      <w:pPr>
        <w:spacing w:after="0" w:line="240" w:lineRule="auto"/>
        <w:jc w:val="both"/>
        <w:rPr>
          <w:rFonts w:ascii="Arial" w:hAnsi="Arial" w:cs="Arial"/>
        </w:rPr>
      </w:pPr>
    </w:p>
    <w:p w14:paraId="589DF087" w14:textId="77777777" w:rsidR="000678EB" w:rsidRDefault="000678EB" w:rsidP="00A72B1F">
      <w:pPr>
        <w:spacing w:after="0" w:line="240" w:lineRule="auto"/>
        <w:jc w:val="both"/>
      </w:pPr>
      <w:r w:rsidRPr="00BD07E8">
        <w:rPr>
          <w:rFonts w:ascii="Arial" w:hAnsi="Arial" w:cs="Arial"/>
        </w:rPr>
        <w:t xml:space="preserve">Syarif, E., </w:t>
      </w:r>
      <w:proofErr w:type="spellStart"/>
      <w:r w:rsidRPr="00BD07E8">
        <w:rPr>
          <w:rFonts w:ascii="Arial" w:hAnsi="Arial" w:cs="Arial"/>
        </w:rPr>
        <w:t>Maddatuang</w:t>
      </w:r>
      <w:proofErr w:type="spellEnd"/>
      <w:r w:rsidRPr="00BD07E8">
        <w:rPr>
          <w:rFonts w:ascii="Arial" w:hAnsi="Arial" w:cs="Arial"/>
        </w:rPr>
        <w:t xml:space="preserve">, M., </w:t>
      </w:r>
      <w:proofErr w:type="spellStart"/>
      <w:r w:rsidRPr="00BD07E8">
        <w:rPr>
          <w:rFonts w:ascii="Arial" w:hAnsi="Arial" w:cs="Arial"/>
        </w:rPr>
        <w:t>Saputro</w:t>
      </w:r>
      <w:proofErr w:type="spellEnd"/>
      <w:r w:rsidRPr="00BD07E8">
        <w:rPr>
          <w:rFonts w:ascii="Arial" w:hAnsi="Arial" w:cs="Arial"/>
        </w:rPr>
        <w:t xml:space="preserve">, A., Carver, S., &amp; Cutter, S. L. (2024). Disaster </w:t>
      </w:r>
      <w:r>
        <w:rPr>
          <w:rFonts w:ascii="Arial" w:hAnsi="Arial" w:cs="Arial"/>
        </w:rPr>
        <w:tab/>
      </w:r>
      <w:r w:rsidRPr="00BD07E8">
        <w:rPr>
          <w:rFonts w:ascii="Arial" w:hAnsi="Arial" w:cs="Arial"/>
        </w:rPr>
        <w:t xml:space="preserve">education as an effort to improve students' flood mitigation preparedness. </w:t>
      </w:r>
      <w:r>
        <w:rPr>
          <w:rFonts w:ascii="Arial" w:hAnsi="Arial" w:cs="Arial"/>
        </w:rPr>
        <w:tab/>
      </w:r>
      <w:proofErr w:type="spellStart"/>
      <w:r w:rsidRPr="00BD07E8">
        <w:rPr>
          <w:rFonts w:ascii="Arial" w:hAnsi="Arial" w:cs="Arial"/>
          <w:i/>
          <w:iCs/>
        </w:rPr>
        <w:t>Jurnal</w:t>
      </w:r>
      <w:proofErr w:type="spellEnd"/>
      <w:r w:rsidRPr="00BD07E8">
        <w:rPr>
          <w:rFonts w:ascii="Arial" w:hAnsi="Arial" w:cs="Arial"/>
          <w:i/>
          <w:iCs/>
        </w:rPr>
        <w:t xml:space="preserve"> Pendidikan </w:t>
      </w:r>
      <w:proofErr w:type="spellStart"/>
      <w:r w:rsidRPr="00BD07E8">
        <w:rPr>
          <w:rFonts w:ascii="Arial" w:hAnsi="Arial" w:cs="Arial"/>
          <w:i/>
          <w:iCs/>
        </w:rPr>
        <w:t>Geografi</w:t>
      </w:r>
      <w:proofErr w:type="spellEnd"/>
      <w:r w:rsidRPr="00BD07E8">
        <w:rPr>
          <w:rFonts w:ascii="Arial" w:hAnsi="Arial" w:cs="Arial"/>
          <w:i/>
          <w:iCs/>
        </w:rPr>
        <w:t xml:space="preserve">: Kajian, Teori, dan </w:t>
      </w:r>
      <w:proofErr w:type="spellStart"/>
      <w:r w:rsidRPr="00BD07E8">
        <w:rPr>
          <w:rFonts w:ascii="Arial" w:hAnsi="Arial" w:cs="Arial"/>
          <w:i/>
          <w:iCs/>
        </w:rPr>
        <w:t>Praktek</w:t>
      </w:r>
      <w:proofErr w:type="spellEnd"/>
      <w:r w:rsidRPr="00BD07E8">
        <w:rPr>
          <w:rFonts w:ascii="Arial" w:hAnsi="Arial" w:cs="Arial"/>
          <w:i/>
          <w:iCs/>
        </w:rPr>
        <w:t xml:space="preserve"> </w:t>
      </w:r>
      <w:proofErr w:type="spellStart"/>
      <w:r w:rsidRPr="00BD07E8">
        <w:rPr>
          <w:rFonts w:ascii="Arial" w:hAnsi="Arial" w:cs="Arial"/>
          <w:i/>
          <w:iCs/>
        </w:rPr>
        <w:t>dalam</w:t>
      </w:r>
      <w:proofErr w:type="spellEnd"/>
      <w:r w:rsidRPr="00BD07E8">
        <w:rPr>
          <w:rFonts w:ascii="Arial" w:hAnsi="Arial" w:cs="Arial"/>
          <w:i/>
          <w:iCs/>
        </w:rPr>
        <w:t xml:space="preserve"> </w:t>
      </w:r>
      <w:proofErr w:type="spellStart"/>
      <w:r w:rsidRPr="00BD07E8">
        <w:rPr>
          <w:rFonts w:ascii="Arial" w:hAnsi="Arial" w:cs="Arial"/>
          <w:i/>
          <w:iCs/>
        </w:rPr>
        <w:t>Bidang</w:t>
      </w:r>
      <w:proofErr w:type="spellEnd"/>
      <w:r w:rsidRPr="00BD07E8">
        <w:rPr>
          <w:rFonts w:ascii="Arial" w:hAnsi="Arial" w:cs="Arial"/>
          <w:i/>
          <w:iCs/>
        </w:rPr>
        <w:t xml:space="preserve"> </w:t>
      </w:r>
      <w:r>
        <w:rPr>
          <w:rFonts w:ascii="Arial" w:hAnsi="Arial" w:cs="Arial"/>
          <w:i/>
          <w:iCs/>
        </w:rPr>
        <w:tab/>
      </w:r>
      <w:r w:rsidRPr="00BD07E8">
        <w:rPr>
          <w:rFonts w:ascii="Arial" w:hAnsi="Arial" w:cs="Arial"/>
          <w:i/>
          <w:iCs/>
        </w:rPr>
        <w:t xml:space="preserve">Pendidikan dan </w:t>
      </w:r>
      <w:proofErr w:type="spellStart"/>
      <w:r w:rsidRPr="00BD07E8">
        <w:rPr>
          <w:rFonts w:ascii="Arial" w:hAnsi="Arial" w:cs="Arial"/>
          <w:i/>
          <w:iCs/>
        </w:rPr>
        <w:t>Ilmu</w:t>
      </w:r>
      <w:proofErr w:type="spellEnd"/>
      <w:r w:rsidRPr="00BD07E8">
        <w:rPr>
          <w:rFonts w:ascii="Arial" w:hAnsi="Arial" w:cs="Arial"/>
          <w:i/>
          <w:iCs/>
        </w:rPr>
        <w:t xml:space="preserve"> Geografi</w:t>
      </w:r>
      <w:r w:rsidRPr="00BD07E8">
        <w:rPr>
          <w:rFonts w:ascii="Arial" w:hAnsi="Arial" w:cs="Arial"/>
        </w:rPr>
        <w:t xml:space="preserve">, </w:t>
      </w:r>
      <w:r w:rsidRPr="00BD07E8">
        <w:rPr>
          <w:rFonts w:ascii="Arial" w:hAnsi="Arial" w:cs="Arial"/>
          <w:i/>
          <w:iCs/>
        </w:rPr>
        <w:t>28</w:t>
      </w:r>
      <w:r w:rsidRPr="00BD07E8">
        <w:rPr>
          <w:rFonts w:ascii="Arial" w:hAnsi="Arial" w:cs="Arial"/>
        </w:rPr>
        <w:t xml:space="preserve">(2), 158–167. </w:t>
      </w:r>
      <w:r>
        <w:rPr>
          <w:rFonts w:ascii="Arial" w:hAnsi="Arial" w:cs="Arial"/>
        </w:rPr>
        <w:tab/>
      </w:r>
      <w:hyperlink r:id="rId27" w:history="1">
        <w:r w:rsidRPr="00BD07E8">
          <w:rPr>
            <w:rStyle w:val="Hyperlink"/>
            <w:rFonts w:ascii="Arial" w:hAnsi="Arial" w:cs="Arial"/>
          </w:rPr>
          <w:t>https://doi.org/10.17977/um017v28i22023p158-167</w:t>
        </w:r>
      </w:hyperlink>
    </w:p>
    <w:p w14:paraId="3E21591D" w14:textId="77777777" w:rsidR="000678EB" w:rsidRPr="00BD07E8" w:rsidRDefault="000678EB" w:rsidP="00A72B1F">
      <w:pPr>
        <w:spacing w:after="0" w:line="240" w:lineRule="auto"/>
        <w:jc w:val="both"/>
        <w:rPr>
          <w:rFonts w:ascii="Arial" w:hAnsi="Arial" w:cs="Arial"/>
        </w:rPr>
      </w:pPr>
    </w:p>
    <w:p w14:paraId="371B6CE4" w14:textId="77777777" w:rsidR="00CE433B" w:rsidRDefault="00CE433B" w:rsidP="00A72B1F">
      <w:pPr>
        <w:spacing w:after="0" w:line="240" w:lineRule="auto"/>
        <w:jc w:val="both"/>
      </w:pPr>
      <w:r w:rsidRPr="009C2FA8">
        <w:rPr>
          <w:rFonts w:ascii="Arial" w:hAnsi="Arial" w:cs="Arial"/>
          <w:bCs/>
        </w:rPr>
        <w:t xml:space="preserve">Taber, K. S. (2018). The use of Cronbach’s alpha when developing and reporting </w:t>
      </w:r>
      <w:r>
        <w:rPr>
          <w:rFonts w:ascii="Arial" w:hAnsi="Arial" w:cs="Arial"/>
          <w:bCs/>
        </w:rPr>
        <w:tab/>
      </w:r>
      <w:r w:rsidRPr="009C2FA8">
        <w:rPr>
          <w:rFonts w:ascii="Arial" w:hAnsi="Arial" w:cs="Arial"/>
          <w:bCs/>
        </w:rPr>
        <w:t xml:space="preserve">research instruments in science education. </w:t>
      </w:r>
      <w:r w:rsidRPr="009C2FA8">
        <w:rPr>
          <w:rFonts w:ascii="Arial" w:hAnsi="Arial" w:cs="Arial"/>
          <w:bCs/>
          <w:i/>
          <w:iCs/>
        </w:rPr>
        <w:t>Research in Science Education, 48</w:t>
      </w:r>
      <w:r w:rsidRPr="009C2FA8">
        <w:rPr>
          <w:rFonts w:ascii="Arial" w:hAnsi="Arial" w:cs="Arial"/>
          <w:bCs/>
        </w:rPr>
        <w:t xml:space="preserve">, </w:t>
      </w:r>
      <w:r>
        <w:rPr>
          <w:rFonts w:ascii="Arial" w:hAnsi="Arial" w:cs="Arial"/>
          <w:bCs/>
        </w:rPr>
        <w:tab/>
      </w:r>
      <w:r w:rsidRPr="009C2FA8">
        <w:rPr>
          <w:rFonts w:ascii="Arial" w:hAnsi="Arial" w:cs="Arial"/>
          <w:bCs/>
        </w:rPr>
        <w:t xml:space="preserve">1273–1296. </w:t>
      </w:r>
      <w:hyperlink r:id="rId28" w:history="1">
        <w:r w:rsidRPr="009C2FA8">
          <w:rPr>
            <w:rStyle w:val="Hyperlink"/>
            <w:rFonts w:ascii="Arial" w:hAnsi="Arial" w:cs="Arial"/>
            <w:bCs/>
            <w:color w:val="auto"/>
          </w:rPr>
          <w:t>https://doi.org/10.1007/s11165-016-9602-2</w:t>
        </w:r>
      </w:hyperlink>
    </w:p>
    <w:p w14:paraId="4C88455A" w14:textId="77777777" w:rsidR="00CE433B" w:rsidRPr="009C2FA8" w:rsidRDefault="00CE433B" w:rsidP="00A72B1F">
      <w:pPr>
        <w:spacing w:after="0" w:line="240" w:lineRule="auto"/>
        <w:jc w:val="both"/>
        <w:rPr>
          <w:rFonts w:ascii="Arial" w:hAnsi="Arial" w:cs="Arial"/>
          <w:bCs/>
        </w:rPr>
      </w:pPr>
    </w:p>
    <w:p w14:paraId="4AB02ACC" w14:textId="77777777" w:rsidR="000678EB" w:rsidRPr="00BD07E8" w:rsidRDefault="000678EB" w:rsidP="00A72B1F">
      <w:pPr>
        <w:spacing w:after="0" w:line="240" w:lineRule="auto"/>
        <w:jc w:val="both"/>
        <w:rPr>
          <w:rFonts w:ascii="Arial" w:hAnsi="Arial" w:cs="Arial"/>
        </w:rPr>
      </w:pPr>
    </w:p>
    <w:p w14:paraId="6366BAC2" w14:textId="77777777" w:rsidR="000678EB" w:rsidRDefault="000678EB" w:rsidP="00A72B1F">
      <w:pPr>
        <w:spacing w:after="0" w:line="240" w:lineRule="auto"/>
        <w:jc w:val="both"/>
        <w:rPr>
          <w:rFonts w:ascii="Arial" w:hAnsi="Arial" w:cs="Arial"/>
        </w:rPr>
      </w:pPr>
      <w:r w:rsidRPr="00BD07E8">
        <w:rPr>
          <w:rFonts w:ascii="Arial" w:hAnsi="Arial" w:cs="Arial"/>
        </w:rPr>
        <w:t xml:space="preserve">Tizon, R. E., &amp; </w:t>
      </w:r>
      <w:proofErr w:type="spellStart"/>
      <w:r w:rsidRPr="00BD07E8">
        <w:rPr>
          <w:rFonts w:ascii="Arial" w:hAnsi="Arial" w:cs="Arial"/>
        </w:rPr>
        <w:t>Comighud</w:t>
      </w:r>
      <w:proofErr w:type="spellEnd"/>
      <w:r w:rsidRPr="00BD07E8">
        <w:rPr>
          <w:rFonts w:ascii="Arial" w:hAnsi="Arial" w:cs="Arial"/>
        </w:rPr>
        <w:t xml:space="preserve">, S. M. (2020). Emergency management capabilities, </w:t>
      </w:r>
      <w:r>
        <w:rPr>
          <w:rFonts w:ascii="Arial" w:hAnsi="Arial" w:cs="Arial"/>
        </w:rPr>
        <w:tab/>
      </w:r>
      <w:r w:rsidRPr="00BD07E8">
        <w:rPr>
          <w:rFonts w:ascii="Arial" w:hAnsi="Arial" w:cs="Arial"/>
        </w:rPr>
        <w:t xml:space="preserve">structural integrity, and disaster readiness of public institutions. </w:t>
      </w:r>
      <w:r w:rsidRPr="00BD07E8">
        <w:rPr>
          <w:rFonts w:ascii="Arial" w:hAnsi="Arial" w:cs="Arial"/>
          <w:i/>
          <w:iCs/>
        </w:rPr>
        <w:t xml:space="preserve">International </w:t>
      </w:r>
      <w:r>
        <w:rPr>
          <w:rFonts w:ascii="Arial" w:hAnsi="Arial" w:cs="Arial"/>
          <w:i/>
          <w:iCs/>
        </w:rPr>
        <w:tab/>
      </w:r>
      <w:r w:rsidRPr="00BD07E8">
        <w:rPr>
          <w:rFonts w:ascii="Arial" w:hAnsi="Arial" w:cs="Arial"/>
          <w:i/>
          <w:iCs/>
        </w:rPr>
        <w:t>Journal of Pedagogical Development and Lifelong Learning</w:t>
      </w:r>
      <w:r w:rsidRPr="00BD07E8">
        <w:rPr>
          <w:rFonts w:ascii="Arial" w:hAnsi="Arial" w:cs="Arial"/>
        </w:rPr>
        <w:t xml:space="preserve">, </w:t>
      </w:r>
      <w:r w:rsidRPr="00BD07E8">
        <w:rPr>
          <w:rFonts w:ascii="Arial" w:hAnsi="Arial" w:cs="Arial"/>
          <w:i/>
          <w:iCs/>
        </w:rPr>
        <w:t>1</w:t>
      </w:r>
      <w:r w:rsidRPr="00BD07E8">
        <w:rPr>
          <w:rFonts w:ascii="Arial" w:hAnsi="Arial" w:cs="Arial"/>
        </w:rPr>
        <w:t>(2), ep2004.</w:t>
      </w:r>
    </w:p>
    <w:p w14:paraId="77179ED5" w14:textId="77777777" w:rsidR="000678EB" w:rsidRPr="00BD07E8" w:rsidRDefault="000678EB" w:rsidP="00A72B1F">
      <w:pPr>
        <w:spacing w:after="0" w:line="240" w:lineRule="auto"/>
        <w:jc w:val="both"/>
        <w:rPr>
          <w:rFonts w:ascii="Arial" w:hAnsi="Arial" w:cs="Arial"/>
        </w:rPr>
      </w:pPr>
    </w:p>
    <w:p w14:paraId="603542F8" w14:textId="77777777" w:rsidR="000678EB" w:rsidRDefault="000678EB" w:rsidP="00A72B1F">
      <w:pPr>
        <w:spacing w:after="0" w:line="240" w:lineRule="auto"/>
        <w:jc w:val="both"/>
        <w:rPr>
          <w:rFonts w:ascii="Arial" w:hAnsi="Arial" w:cs="Arial"/>
        </w:rPr>
      </w:pPr>
      <w:r w:rsidRPr="00BD07E8">
        <w:rPr>
          <w:rFonts w:ascii="Arial" w:hAnsi="Arial" w:cs="Arial"/>
        </w:rPr>
        <w:t xml:space="preserve">Trump, K. S. (2011). </w:t>
      </w:r>
      <w:r w:rsidRPr="00BD07E8">
        <w:rPr>
          <w:rFonts w:ascii="Arial" w:hAnsi="Arial" w:cs="Arial"/>
          <w:i/>
          <w:iCs/>
        </w:rPr>
        <w:t xml:space="preserve">Proactive school security and emergency preparedness </w:t>
      </w:r>
      <w:r>
        <w:rPr>
          <w:rFonts w:ascii="Arial" w:hAnsi="Arial" w:cs="Arial"/>
          <w:i/>
          <w:iCs/>
        </w:rPr>
        <w:tab/>
      </w:r>
      <w:r w:rsidRPr="00BD07E8">
        <w:rPr>
          <w:rFonts w:ascii="Arial" w:hAnsi="Arial" w:cs="Arial"/>
          <w:i/>
          <w:iCs/>
        </w:rPr>
        <w:t>planning</w:t>
      </w:r>
      <w:r w:rsidRPr="00BD07E8">
        <w:rPr>
          <w:rFonts w:ascii="Arial" w:hAnsi="Arial" w:cs="Arial"/>
        </w:rPr>
        <w:t xml:space="preserve"> (2nd ed.). Corwin Press.</w:t>
      </w:r>
    </w:p>
    <w:p w14:paraId="419B277D" w14:textId="77777777" w:rsidR="00CE433B" w:rsidRPr="00BD07E8" w:rsidRDefault="00CE433B" w:rsidP="00A72B1F">
      <w:pPr>
        <w:spacing w:after="0" w:line="240" w:lineRule="auto"/>
        <w:jc w:val="both"/>
        <w:rPr>
          <w:rFonts w:ascii="Arial" w:hAnsi="Arial" w:cs="Arial"/>
        </w:rPr>
      </w:pPr>
    </w:p>
    <w:p w14:paraId="76570C04" w14:textId="77777777" w:rsidR="000678EB" w:rsidRDefault="000678EB" w:rsidP="00A72B1F">
      <w:pPr>
        <w:spacing w:after="0" w:line="240" w:lineRule="auto"/>
        <w:jc w:val="both"/>
        <w:rPr>
          <w:rFonts w:ascii="Arial" w:hAnsi="Arial" w:cs="Arial"/>
        </w:rPr>
      </w:pPr>
      <w:r w:rsidRPr="00BD07E8">
        <w:rPr>
          <w:rFonts w:ascii="Arial" w:hAnsi="Arial" w:cs="Arial"/>
        </w:rPr>
        <w:t xml:space="preserve">UNESCO. (2022). </w:t>
      </w:r>
      <w:r w:rsidRPr="00BD07E8">
        <w:rPr>
          <w:rFonts w:ascii="Arial" w:hAnsi="Arial" w:cs="Arial"/>
          <w:i/>
          <w:iCs/>
        </w:rPr>
        <w:t xml:space="preserve">Global education monitoring report: Gender and environmental </w:t>
      </w:r>
      <w:r>
        <w:rPr>
          <w:rFonts w:ascii="Arial" w:hAnsi="Arial" w:cs="Arial"/>
          <w:i/>
          <w:iCs/>
        </w:rPr>
        <w:tab/>
      </w:r>
      <w:r w:rsidRPr="00BD07E8">
        <w:rPr>
          <w:rFonts w:ascii="Arial" w:hAnsi="Arial" w:cs="Arial"/>
          <w:i/>
          <w:iCs/>
        </w:rPr>
        <w:t>resilience benchmarks in local administrative spaces</w:t>
      </w:r>
      <w:r w:rsidRPr="00BD07E8">
        <w:rPr>
          <w:rFonts w:ascii="Arial" w:hAnsi="Arial" w:cs="Arial"/>
        </w:rPr>
        <w:t>. UNESCO Publishing.</w:t>
      </w:r>
    </w:p>
    <w:p w14:paraId="6B5DA6E1" w14:textId="77777777" w:rsidR="0024497A" w:rsidRDefault="0024497A" w:rsidP="0024497A">
      <w:pPr>
        <w:rPr>
          <w:rFonts w:ascii="Arial Narrow" w:hAnsi="Arial Narrow" w:cs="Arial"/>
          <w:i/>
          <w:iCs/>
        </w:rPr>
      </w:pPr>
      <w:bookmarkStart w:id="2" w:name="_Hlk228307651"/>
    </w:p>
    <w:p w14:paraId="5A023666" w14:textId="77777777" w:rsidR="003C6B07" w:rsidRPr="00C66699" w:rsidRDefault="003C6B07" w:rsidP="0024497A">
      <w:pPr>
        <w:rPr>
          <w:rFonts w:ascii="Arial Narrow" w:hAnsi="Arial Narrow" w:cs="Arial"/>
          <w:i/>
          <w:iCs/>
        </w:rPr>
      </w:pPr>
    </w:p>
    <w:bookmarkEnd w:id="2"/>
    <w:p w14:paraId="04CAACB9" w14:textId="77777777" w:rsidR="0024497A" w:rsidRDefault="0024497A" w:rsidP="0024497A">
      <w:pPr>
        <w:jc w:val="center"/>
        <w:rPr>
          <w:rFonts w:ascii="Arial" w:hAnsi="Arial" w:cs="Arial"/>
          <w:sz w:val="24"/>
        </w:rPr>
      </w:pPr>
    </w:p>
    <w:p w14:paraId="06979EFA" w14:textId="77777777" w:rsidR="00BD07E8" w:rsidRDefault="00BD07E8" w:rsidP="0024497A">
      <w:pPr>
        <w:jc w:val="center"/>
        <w:rPr>
          <w:rFonts w:ascii="Arial" w:hAnsi="Arial" w:cs="Arial"/>
          <w:sz w:val="24"/>
        </w:rPr>
      </w:pPr>
    </w:p>
    <w:p w14:paraId="6B363CB0" w14:textId="77777777" w:rsidR="00BD07E8" w:rsidRDefault="00BD07E8" w:rsidP="0024497A">
      <w:pPr>
        <w:jc w:val="center"/>
        <w:rPr>
          <w:rFonts w:ascii="Arial" w:hAnsi="Arial" w:cs="Arial"/>
          <w:sz w:val="24"/>
        </w:rPr>
      </w:pPr>
    </w:p>
    <w:p w14:paraId="4F5C9485" w14:textId="77777777" w:rsidR="00BD07E8" w:rsidRDefault="00BD07E8" w:rsidP="0024497A">
      <w:pPr>
        <w:jc w:val="center"/>
        <w:rPr>
          <w:rFonts w:ascii="Arial" w:hAnsi="Arial" w:cs="Arial"/>
          <w:sz w:val="24"/>
        </w:rPr>
      </w:pPr>
    </w:p>
    <w:sectPr w:rsidR="00BD07E8" w:rsidSect="000678EB">
      <w:pgSz w:w="12240" w:h="15840" w:code="1"/>
      <w:pgMar w:top="1440" w:right="1440" w:bottom="1440" w:left="21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FA5B5F" w14:textId="77777777" w:rsidR="005D634D" w:rsidRDefault="005D634D">
      <w:pPr>
        <w:spacing w:after="0" w:line="240" w:lineRule="auto"/>
      </w:pPr>
      <w:r>
        <w:separator/>
      </w:r>
    </w:p>
  </w:endnote>
  <w:endnote w:type="continuationSeparator" w:id="0">
    <w:p w14:paraId="73526944" w14:textId="77777777" w:rsidR="005D634D" w:rsidRDefault="005D63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87261" w14:textId="77777777" w:rsidR="005D634D" w:rsidRDefault="005D634D">
      <w:pPr>
        <w:spacing w:after="0" w:line="240" w:lineRule="auto"/>
      </w:pPr>
      <w:r>
        <w:separator/>
      </w:r>
    </w:p>
  </w:footnote>
  <w:footnote w:type="continuationSeparator" w:id="0">
    <w:p w14:paraId="26694AF9" w14:textId="77777777" w:rsidR="005D634D" w:rsidRDefault="005D63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922210"/>
      <w:docPartObj>
        <w:docPartGallery w:val="Page Numbers (Top of Page)"/>
        <w:docPartUnique/>
      </w:docPartObj>
    </w:sdtPr>
    <w:sdtEndPr>
      <w:rPr>
        <w:noProof/>
      </w:rPr>
    </w:sdtEndPr>
    <w:sdtContent>
      <w:p w14:paraId="5414E441" w14:textId="362963DB" w:rsidR="00DF20C3" w:rsidRDefault="00DF20C3">
        <w:pPr>
          <w:pStyle w:val="Header"/>
          <w:jc w:val="right"/>
        </w:pPr>
      </w:p>
      <w:p w14:paraId="3CC90CF9" w14:textId="23B909B4" w:rsidR="008A4225" w:rsidRDefault="001D0018" w:rsidP="00E41FA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7429399"/>
      <w:docPartObj>
        <w:docPartGallery w:val="Page Numbers (Top of Page)"/>
        <w:docPartUnique/>
      </w:docPartObj>
    </w:sdtPr>
    <w:sdtEndPr>
      <w:rPr>
        <w:noProof/>
      </w:rPr>
    </w:sdtEndPr>
    <w:sdtContent>
      <w:p w14:paraId="75AD439B" w14:textId="1070D391" w:rsidR="00541410" w:rsidRDefault="00541410" w:rsidP="00CC2972">
        <w:pPr>
          <w:pStyle w:val="Header"/>
          <w:rPr>
            <w:noProof/>
          </w:rPr>
        </w:pPr>
      </w:p>
      <w:p w14:paraId="4C94F25A" w14:textId="29712BE2" w:rsidR="00E57E13" w:rsidRDefault="00000000" w:rsidP="00CC2972">
        <w:pPr>
          <w:pStyle w:val="Header"/>
        </w:pPr>
      </w:p>
    </w:sdtContent>
  </w:sdt>
  <w:p w14:paraId="7466727C" w14:textId="77777777" w:rsidR="00E57E13" w:rsidRDefault="00E57E1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299645"/>
      <w:docPartObj>
        <w:docPartGallery w:val="Page Numbers (Top of Page)"/>
        <w:docPartUnique/>
      </w:docPartObj>
    </w:sdtPr>
    <w:sdtEndPr>
      <w:rPr>
        <w:noProof/>
      </w:rPr>
    </w:sdtEndPr>
    <w:sdtContent>
      <w:p w14:paraId="5C60856D" w14:textId="31332F21" w:rsidR="00541410" w:rsidRDefault="00541410">
        <w:pPr>
          <w:pStyle w:val="Header"/>
          <w:jc w:val="right"/>
        </w:pPr>
      </w:p>
      <w:p w14:paraId="3FFA7290" w14:textId="2DC79309" w:rsidR="001D0018" w:rsidRDefault="001D0018">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E268BEF" w14:textId="77777777" w:rsidR="001D0018" w:rsidRDefault="001D0018" w:rsidP="00B10240">
    <w:pPr>
      <w:pStyle w:val="Header"/>
      <w:tabs>
        <w:tab w:val="left" w:pos="7825"/>
        <w:tab w:val="right" w:pos="8640"/>
      </w:tabs>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1EF2"/>
    <w:multiLevelType w:val="multilevel"/>
    <w:tmpl w:val="64601E3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2200FA"/>
    <w:multiLevelType w:val="hybridMultilevel"/>
    <w:tmpl w:val="6378724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E4E6D0F"/>
    <w:multiLevelType w:val="hybridMultilevel"/>
    <w:tmpl w:val="E420361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2AB585E"/>
    <w:multiLevelType w:val="multilevel"/>
    <w:tmpl w:val="89E0B87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12C54CBF"/>
    <w:multiLevelType w:val="hybridMultilevel"/>
    <w:tmpl w:val="07C4371A"/>
    <w:lvl w:ilvl="0" w:tplc="04090001">
      <w:start w:val="1"/>
      <w:numFmt w:val="bullet"/>
      <w:lvlText w:val=""/>
      <w:lvlJc w:val="left"/>
      <w:pPr>
        <w:ind w:left="1187" w:hanging="360"/>
      </w:pPr>
      <w:rPr>
        <w:rFonts w:ascii="Symbol" w:hAnsi="Symbol" w:hint="default"/>
      </w:rPr>
    </w:lvl>
    <w:lvl w:ilvl="1" w:tplc="04090003" w:tentative="1">
      <w:start w:val="1"/>
      <w:numFmt w:val="bullet"/>
      <w:lvlText w:val="o"/>
      <w:lvlJc w:val="left"/>
      <w:pPr>
        <w:ind w:left="1907" w:hanging="360"/>
      </w:pPr>
      <w:rPr>
        <w:rFonts w:ascii="Courier New" w:hAnsi="Courier New" w:cs="Courier New" w:hint="default"/>
      </w:rPr>
    </w:lvl>
    <w:lvl w:ilvl="2" w:tplc="04090005" w:tentative="1">
      <w:start w:val="1"/>
      <w:numFmt w:val="bullet"/>
      <w:lvlText w:val=""/>
      <w:lvlJc w:val="left"/>
      <w:pPr>
        <w:ind w:left="2627" w:hanging="360"/>
      </w:pPr>
      <w:rPr>
        <w:rFonts w:ascii="Wingdings" w:hAnsi="Wingdings" w:hint="default"/>
      </w:rPr>
    </w:lvl>
    <w:lvl w:ilvl="3" w:tplc="04090001" w:tentative="1">
      <w:start w:val="1"/>
      <w:numFmt w:val="bullet"/>
      <w:lvlText w:val=""/>
      <w:lvlJc w:val="left"/>
      <w:pPr>
        <w:ind w:left="3347" w:hanging="360"/>
      </w:pPr>
      <w:rPr>
        <w:rFonts w:ascii="Symbol" w:hAnsi="Symbol" w:hint="default"/>
      </w:rPr>
    </w:lvl>
    <w:lvl w:ilvl="4" w:tplc="04090003" w:tentative="1">
      <w:start w:val="1"/>
      <w:numFmt w:val="bullet"/>
      <w:lvlText w:val="o"/>
      <w:lvlJc w:val="left"/>
      <w:pPr>
        <w:ind w:left="4067" w:hanging="360"/>
      </w:pPr>
      <w:rPr>
        <w:rFonts w:ascii="Courier New" w:hAnsi="Courier New" w:cs="Courier New" w:hint="default"/>
      </w:rPr>
    </w:lvl>
    <w:lvl w:ilvl="5" w:tplc="04090005" w:tentative="1">
      <w:start w:val="1"/>
      <w:numFmt w:val="bullet"/>
      <w:lvlText w:val=""/>
      <w:lvlJc w:val="left"/>
      <w:pPr>
        <w:ind w:left="4787" w:hanging="360"/>
      </w:pPr>
      <w:rPr>
        <w:rFonts w:ascii="Wingdings" w:hAnsi="Wingdings" w:hint="default"/>
      </w:rPr>
    </w:lvl>
    <w:lvl w:ilvl="6" w:tplc="04090001" w:tentative="1">
      <w:start w:val="1"/>
      <w:numFmt w:val="bullet"/>
      <w:lvlText w:val=""/>
      <w:lvlJc w:val="left"/>
      <w:pPr>
        <w:ind w:left="5507" w:hanging="360"/>
      </w:pPr>
      <w:rPr>
        <w:rFonts w:ascii="Symbol" w:hAnsi="Symbol" w:hint="default"/>
      </w:rPr>
    </w:lvl>
    <w:lvl w:ilvl="7" w:tplc="04090003" w:tentative="1">
      <w:start w:val="1"/>
      <w:numFmt w:val="bullet"/>
      <w:lvlText w:val="o"/>
      <w:lvlJc w:val="left"/>
      <w:pPr>
        <w:ind w:left="6227" w:hanging="360"/>
      </w:pPr>
      <w:rPr>
        <w:rFonts w:ascii="Courier New" w:hAnsi="Courier New" w:cs="Courier New" w:hint="default"/>
      </w:rPr>
    </w:lvl>
    <w:lvl w:ilvl="8" w:tplc="04090005" w:tentative="1">
      <w:start w:val="1"/>
      <w:numFmt w:val="bullet"/>
      <w:lvlText w:val=""/>
      <w:lvlJc w:val="left"/>
      <w:pPr>
        <w:ind w:left="6947" w:hanging="360"/>
      </w:pPr>
      <w:rPr>
        <w:rFonts w:ascii="Wingdings" w:hAnsi="Wingdings" w:hint="default"/>
      </w:rPr>
    </w:lvl>
  </w:abstractNum>
  <w:abstractNum w:abstractNumId="5" w15:restartNumberingAfterBreak="0">
    <w:nsid w:val="14EA0D6E"/>
    <w:multiLevelType w:val="hybridMultilevel"/>
    <w:tmpl w:val="B186E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51642"/>
    <w:multiLevelType w:val="hybridMultilevel"/>
    <w:tmpl w:val="0EBA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475E50"/>
    <w:multiLevelType w:val="hybridMultilevel"/>
    <w:tmpl w:val="7D2A567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3123247"/>
    <w:multiLevelType w:val="hybridMultilevel"/>
    <w:tmpl w:val="30CA1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16C88"/>
    <w:multiLevelType w:val="hybridMultilevel"/>
    <w:tmpl w:val="D054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12442"/>
    <w:multiLevelType w:val="hybridMultilevel"/>
    <w:tmpl w:val="87125C0E"/>
    <w:lvl w:ilvl="0" w:tplc="2266EB76">
      <w:start w:val="1"/>
      <w:numFmt w:val="decimal"/>
      <w:lvlText w:val="%1."/>
      <w:lvlJc w:val="left"/>
      <w:pPr>
        <w:ind w:left="720" w:hanging="360"/>
      </w:pPr>
    </w:lvl>
    <w:lvl w:ilvl="1" w:tplc="96944B28">
      <w:start w:val="1"/>
      <w:numFmt w:val="lowerLetter"/>
      <w:lvlText w:val="%2."/>
      <w:lvlJc w:val="left"/>
      <w:pPr>
        <w:ind w:left="1440" w:hanging="360"/>
      </w:pPr>
    </w:lvl>
    <w:lvl w:ilvl="2" w:tplc="8C3095BE">
      <w:start w:val="1"/>
      <w:numFmt w:val="lowerRoman"/>
      <w:lvlText w:val="%3."/>
      <w:lvlJc w:val="right"/>
      <w:pPr>
        <w:ind w:left="2160" w:hanging="180"/>
      </w:pPr>
    </w:lvl>
    <w:lvl w:ilvl="3" w:tplc="103630C8">
      <w:start w:val="1"/>
      <w:numFmt w:val="decimal"/>
      <w:lvlText w:val="%4."/>
      <w:lvlJc w:val="left"/>
      <w:pPr>
        <w:ind w:left="2880" w:hanging="360"/>
      </w:pPr>
    </w:lvl>
    <w:lvl w:ilvl="4" w:tplc="C2C4658C">
      <w:start w:val="1"/>
      <w:numFmt w:val="lowerLetter"/>
      <w:lvlText w:val="%5."/>
      <w:lvlJc w:val="left"/>
      <w:pPr>
        <w:ind w:left="3600" w:hanging="360"/>
      </w:pPr>
    </w:lvl>
    <w:lvl w:ilvl="5" w:tplc="29B8C012">
      <w:start w:val="1"/>
      <w:numFmt w:val="lowerRoman"/>
      <w:lvlText w:val="%6."/>
      <w:lvlJc w:val="right"/>
      <w:pPr>
        <w:ind w:left="4320" w:hanging="180"/>
      </w:pPr>
    </w:lvl>
    <w:lvl w:ilvl="6" w:tplc="FA30BD6C">
      <w:start w:val="1"/>
      <w:numFmt w:val="decimal"/>
      <w:lvlText w:val="%7."/>
      <w:lvlJc w:val="left"/>
      <w:pPr>
        <w:ind w:left="5040" w:hanging="360"/>
      </w:pPr>
    </w:lvl>
    <w:lvl w:ilvl="7" w:tplc="87B00916">
      <w:start w:val="1"/>
      <w:numFmt w:val="lowerLetter"/>
      <w:lvlText w:val="%8."/>
      <w:lvlJc w:val="left"/>
      <w:pPr>
        <w:ind w:left="5760" w:hanging="360"/>
      </w:pPr>
    </w:lvl>
    <w:lvl w:ilvl="8" w:tplc="0B24B8FA">
      <w:start w:val="1"/>
      <w:numFmt w:val="lowerRoman"/>
      <w:lvlText w:val="%9."/>
      <w:lvlJc w:val="right"/>
      <w:pPr>
        <w:ind w:left="6480" w:hanging="180"/>
      </w:pPr>
    </w:lvl>
  </w:abstractNum>
  <w:abstractNum w:abstractNumId="11" w15:restartNumberingAfterBreak="0">
    <w:nsid w:val="33C832FE"/>
    <w:multiLevelType w:val="hybridMultilevel"/>
    <w:tmpl w:val="EF541D68"/>
    <w:lvl w:ilvl="0" w:tplc="04DA78A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770F13"/>
    <w:multiLevelType w:val="hybridMultilevel"/>
    <w:tmpl w:val="44CE0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951BEE"/>
    <w:multiLevelType w:val="multilevel"/>
    <w:tmpl w:val="6BEE08E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C780489"/>
    <w:multiLevelType w:val="hybridMultilevel"/>
    <w:tmpl w:val="52C2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411672"/>
    <w:multiLevelType w:val="multilevel"/>
    <w:tmpl w:val="A8381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C83CB5"/>
    <w:multiLevelType w:val="hybridMultilevel"/>
    <w:tmpl w:val="7A0C7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C22EB2"/>
    <w:multiLevelType w:val="hybridMultilevel"/>
    <w:tmpl w:val="399A553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511857B2"/>
    <w:multiLevelType w:val="hybridMultilevel"/>
    <w:tmpl w:val="40E0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3D7339"/>
    <w:multiLevelType w:val="hybridMultilevel"/>
    <w:tmpl w:val="3B24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D35E3C"/>
    <w:multiLevelType w:val="multilevel"/>
    <w:tmpl w:val="D2E2A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C5D2C71"/>
    <w:multiLevelType w:val="hybridMultilevel"/>
    <w:tmpl w:val="35C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9C2783"/>
    <w:multiLevelType w:val="hybridMultilevel"/>
    <w:tmpl w:val="E2601F1A"/>
    <w:lvl w:ilvl="0" w:tplc="D5AE21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E5F1F5B"/>
    <w:multiLevelType w:val="multilevel"/>
    <w:tmpl w:val="4238B7EE"/>
    <w:lvl w:ilvl="0">
      <w:start w:val="1"/>
      <w:numFmt w:val="decimal"/>
      <w:lvlText w:val="%1"/>
      <w:lvlJc w:val="left"/>
      <w:pPr>
        <w:ind w:left="370" w:hanging="370"/>
      </w:pPr>
      <w:rPr>
        <w:rFonts w:hint="default"/>
      </w:rPr>
    </w:lvl>
    <w:lvl w:ilvl="1">
      <w:start w:val="1"/>
      <w:numFmt w:val="decimal"/>
      <w:lvlText w:val="%1.%2"/>
      <w:lvlJc w:val="left"/>
      <w:pPr>
        <w:ind w:left="1090" w:hanging="37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8A1360F"/>
    <w:multiLevelType w:val="hybridMultilevel"/>
    <w:tmpl w:val="55E4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E349B0"/>
    <w:multiLevelType w:val="multilevel"/>
    <w:tmpl w:val="5958E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BF60E13"/>
    <w:multiLevelType w:val="multilevel"/>
    <w:tmpl w:val="6BFE9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7" w15:restartNumberingAfterBreak="0">
    <w:nsid w:val="6E742E36"/>
    <w:multiLevelType w:val="multilevel"/>
    <w:tmpl w:val="1E16BA6E"/>
    <w:lvl w:ilvl="0">
      <w:start w:val="1"/>
      <w:numFmt w:val="decimal"/>
      <w:lvlText w:val="%1."/>
      <w:lvlJc w:val="left"/>
      <w:pPr>
        <w:ind w:left="470" w:hanging="47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8" w15:restartNumberingAfterBreak="0">
    <w:nsid w:val="74220A8F"/>
    <w:multiLevelType w:val="hybridMultilevel"/>
    <w:tmpl w:val="7D2A5678"/>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75994206"/>
    <w:multiLevelType w:val="hybridMultilevel"/>
    <w:tmpl w:val="43489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B56506"/>
    <w:multiLevelType w:val="hybridMultilevel"/>
    <w:tmpl w:val="BA42E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4C0E85"/>
    <w:multiLevelType w:val="hybridMultilevel"/>
    <w:tmpl w:val="49D83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845338"/>
    <w:multiLevelType w:val="multilevel"/>
    <w:tmpl w:val="9A485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E700B6"/>
    <w:multiLevelType w:val="multilevel"/>
    <w:tmpl w:val="D338A0DC"/>
    <w:lvl w:ilvl="0">
      <w:start w:val="1"/>
      <w:numFmt w:val="decimal"/>
      <w:lvlText w:val="%1."/>
      <w:lvlJc w:val="left"/>
      <w:pPr>
        <w:ind w:left="470" w:hanging="47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9784F99"/>
    <w:multiLevelType w:val="hybridMultilevel"/>
    <w:tmpl w:val="E892E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E9457F"/>
    <w:multiLevelType w:val="hybridMultilevel"/>
    <w:tmpl w:val="E420361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E363BCC"/>
    <w:multiLevelType w:val="multilevel"/>
    <w:tmpl w:val="A85E9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3270E5"/>
    <w:multiLevelType w:val="hybridMultilevel"/>
    <w:tmpl w:val="953C8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8325786">
    <w:abstractNumId w:val="1"/>
  </w:num>
  <w:num w:numId="2" w16cid:durableId="343441103">
    <w:abstractNumId w:val="10"/>
  </w:num>
  <w:num w:numId="3" w16cid:durableId="1961495983">
    <w:abstractNumId w:val="0"/>
  </w:num>
  <w:num w:numId="4" w16cid:durableId="1892110985">
    <w:abstractNumId w:val="17"/>
  </w:num>
  <w:num w:numId="5" w16cid:durableId="463933357">
    <w:abstractNumId w:val="2"/>
  </w:num>
  <w:num w:numId="6" w16cid:durableId="1724207086">
    <w:abstractNumId w:val="35"/>
  </w:num>
  <w:num w:numId="7" w16cid:durableId="1491479218">
    <w:abstractNumId w:val="7"/>
  </w:num>
  <w:num w:numId="8" w16cid:durableId="381560052">
    <w:abstractNumId w:val="28"/>
  </w:num>
  <w:num w:numId="9" w16cid:durableId="2085031115">
    <w:abstractNumId w:val="11"/>
  </w:num>
  <w:num w:numId="10" w16cid:durableId="2055502535">
    <w:abstractNumId w:val="22"/>
  </w:num>
  <w:num w:numId="11" w16cid:durableId="1678070675">
    <w:abstractNumId w:val="33"/>
  </w:num>
  <w:num w:numId="12" w16cid:durableId="1428504088">
    <w:abstractNumId w:val="27"/>
  </w:num>
  <w:num w:numId="13" w16cid:durableId="961884147">
    <w:abstractNumId w:val="3"/>
  </w:num>
  <w:num w:numId="14" w16cid:durableId="1628118196">
    <w:abstractNumId w:val="26"/>
  </w:num>
  <w:num w:numId="15" w16cid:durableId="1664971894">
    <w:abstractNumId w:val="20"/>
  </w:num>
  <w:num w:numId="16" w16cid:durableId="1590193829">
    <w:abstractNumId w:val="13"/>
  </w:num>
  <w:num w:numId="17" w16cid:durableId="571278475">
    <w:abstractNumId w:val="29"/>
  </w:num>
  <w:num w:numId="18" w16cid:durableId="1655799198">
    <w:abstractNumId w:val="21"/>
  </w:num>
  <w:num w:numId="19" w16cid:durableId="1931696191">
    <w:abstractNumId w:val="14"/>
  </w:num>
  <w:num w:numId="20" w16cid:durableId="1837525645">
    <w:abstractNumId w:val="31"/>
  </w:num>
  <w:num w:numId="21" w16cid:durableId="1403453889">
    <w:abstractNumId w:val="34"/>
  </w:num>
  <w:num w:numId="22" w16cid:durableId="1911499465">
    <w:abstractNumId w:val="6"/>
  </w:num>
  <w:num w:numId="23" w16cid:durableId="1423530796">
    <w:abstractNumId w:val="37"/>
  </w:num>
  <w:num w:numId="24" w16cid:durableId="1341279078">
    <w:abstractNumId w:val="16"/>
  </w:num>
  <w:num w:numId="25" w16cid:durableId="622228165">
    <w:abstractNumId w:val="18"/>
  </w:num>
  <w:num w:numId="26" w16cid:durableId="1927610598">
    <w:abstractNumId w:val="5"/>
  </w:num>
  <w:num w:numId="27" w16cid:durableId="196088261">
    <w:abstractNumId w:val="30"/>
  </w:num>
  <w:num w:numId="28" w16cid:durableId="556164473">
    <w:abstractNumId w:val="9"/>
  </w:num>
  <w:num w:numId="29" w16cid:durableId="1515336254">
    <w:abstractNumId w:val="8"/>
  </w:num>
  <w:num w:numId="30" w16cid:durableId="1099446534">
    <w:abstractNumId w:val="19"/>
  </w:num>
  <w:num w:numId="31" w16cid:durableId="1708215749">
    <w:abstractNumId w:val="23"/>
  </w:num>
  <w:num w:numId="32" w16cid:durableId="1152254257">
    <w:abstractNumId w:val="24"/>
  </w:num>
  <w:num w:numId="33" w16cid:durableId="558781987">
    <w:abstractNumId w:val="12"/>
  </w:num>
  <w:num w:numId="34" w16cid:durableId="2046631717">
    <w:abstractNumId w:val="25"/>
  </w:num>
  <w:num w:numId="35" w16cid:durableId="1642731264">
    <w:abstractNumId w:val="4"/>
  </w:num>
  <w:num w:numId="36" w16cid:durableId="1184397713">
    <w:abstractNumId w:val="15"/>
  </w:num>
  <w:num w:numId="37" w16cid:durableId="1086656556">
    <w:abstractNumId w:val="36"/>
  </w:num>
  <w:num w:numId="38" w16cid:durableId="6452090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60E"/>
    <w:rsid w:val="000005CF"/>
    <w:rsid w:val="00000641"/>
    <w:rsid w:val="000007F2"/>
    <w:rsid w:val="00003F61"/>
    <w:rsid w:val="00005565"/>
    <w:rsid w:val="00010473"/>
    <w:rsid w:val="00011E35"/>
    <w:rsid w:val="00014DD1"/>
    <w:rsid w:val="00015FCB"/>
    <w:rsid w:val="00017C8A"/>
    <w:rsid w:val="0002283C"/>
    <w:rsid w:val="00024043"/>
    <w:rsid w:val="0002756C"/>
    <w:rsid w:val="0002762D"/>
    <w:rsid w:val="00032D66"/>
    <w:rsid w:val="00034F1F"/>
    <w:rsid w:val="00040F09"/>
    <w:rsid w:val="00042FD4"/>
    <w:rsid w:val="00047A45"/>
    <w:rsid w:val="00055622"/>
    <w:rsid w:val="000557E1"/>
    <w:rsid w:val="00062E20"/>
    <w:rsid w:val="00065AAF"/>
    <w:rsid w:val="0006644F"/>
    <w:rsid w:val="000669DC"/>
    <w:rsid w:val="000678EB"/>
    <w:rsid w:val="00070A1D"/>
    <w:rsid w:val="00076324"/>
    <w:rsid w:val="0008237F"/>
    <w:rsid w:val="0008469F"/>
    <w:rsid w:val="0009092D"/>
    <w:rsid w:val="00090FC9"/>
    <w:rsid w:val="000936C6"/>
    <w:rsid w:val="00093710"/>
    <w:rsid w:val="000A1599"/>
    <w:rsid w:val="000A1D2B"/>
    <w:rsid w:val="000A1F62"/>
    <w:rsid w:val="000A421D"/>
    <w:rsid w:val="000A4CFC"/>
    <w:rsid w:val="000B021F"/>
    <w:rsid w:val="000B457A"/>
    <w:rsid w:val="000B4743"/>
    <w:rsid w:val="000B70BA"/>
    <w:rsid w:val="000C08D9"/>
    <w:rsid w:val="000C18FB"/>
    <w:rsid w:val="000C3B8E"/>
    <w:rsid w:val="000C49A5"/>
    <w:rsid w:val="000C532B"/>
    <w:rsid w:val="000D11DD"/>
    <w:rsid w:val="000D129E"/>
    <w:rsid w:val="000D177C"/>
    <w:rsid w:val="000D57CA"/>
    <w:rsid w:val="000D749F"/>
    <w:rsid w:val="000E1CC2"/>
    <w:rsid w:val="000E5557"/>
    <w:rsid w:val="000E6E41"/>
    <w:rsid w:val="000E735B"/>
    <w:rsid w:val="000E7373"/>
    <w:rsid w:val="000E747E"/>
    <w:rsid w:val="000F5509"/>
    <w:rsid w:val="00107F74"/>
    <w:rsid w:val="00112C6F"/>
    <w:rsid w:val="00114FFE"/>
    <w:rsid w:val="00124716"/>
    <w:rsid w:val="0012610A"/>
    <w:rsid w:val="00127AFC"/>
    <w:rsid w:val="0013175F"/>
    <w:rsid w:val="00134A1F"/>
    <w:rsid w:val="00134F7C"/>
    <w:rsid w:val="00137F78"/>
    <w:rsid w:val="001439CE"/>
    <w:rsid w:val="00144CFD"/>
    <w:rsid w:val="00152B9B"/>
    <w:rsid w:val="00154AE2"/>
    <w:rsid w:val="00162BDA"/>
    <w:rsid w:val="00164DFB"/>
    <w:rsid w:val="00167BF1"/>
    <w:rsid w:val="00172AD7"/>
    <w:rsid w:val="001746B9"/>
    <w:rsid w:val="00175468"/>
    <w:rsid w:val="0017637F"/>
    <w:rsid w:val="0017743F"/>
    <w:rsid w:val="001779EF"/>
    <w:rsid w:val="001823F9"/>
    <w:rsid w:val="00184AAB"/>
    <w:rsid w:val="001877DB"/>
    <w:rsid w:val="0019211D"/>
    <w:rsid w:val="00192BA0"/>
    <w:rsid w:val="001947A1"/>
    <w:rsid w:val="00194AF5"/>
    <w:rsid w:val="00196B18"/>
    <w:rsid w:val="001A37C6"/>
    <w:rsid w:val="001A6534"/>
    <w:rsid w:val="001A6597"/>
    <w:rsid w:val="001A7045"/>
    <w:rsid w:val="001A7A3E"/>
    <w:rsid w:val="001B4005"/>
    <w:rsid w:val="001B58B0"/>
    <w:rsid w:val="001B6051"/>
    <w:rsid w:val="001B62C9"/>
    <w:rsid w:val="001C0D08"/>
    <w:rsid w:val="001C0D5D"/>
    <w:rsid w:val="001C1C46"/>
    <w:rsid w:val="001C26AA"/>
    <w:rsid w:val="001C7383"/>
    <w:rsid w:val="001D0018"/>
    <w:rsid w:val="001D1A24"/>
    <w:rsid w:val="001D45BD"/>
    <w:rsid w:val="001D4E4C"/>
    <w:rsid w:val="001D7B51"/>
    <w:rsid w:val="001F12CD"/>
    <w:rsid w:val="001F166B"/>
    <w:rsid w:val="001F3ABF"/>
    <w:rsid w:val="001F4F27"/>
    <w:rsid w:val="001F7947"/>
    <w:rsid w:val="0020711D"/>
    <w:rsid w:val="00211D25"/>
    <w:rsid w:val="00214007"/>
    <w:rsid w:val="00214A47"/>
    <w:rsid w:val="00215AEC"/>
    <w:rsid w:val="00225F52"/>
    <w:rsid w:val="00227017"/>
    <w:rsid w:val="00227855"/>
    <w:rsid w:val="00227D0B"/>
    <w:rsid w:val="00232874"/>
    <w:rsid w:val="0023368C"/>
    <w:rsid w:val="00240E41"/>
    <w:rsid w:val="0024497A"/>
    <w:rsid w:val="0024529B"/>
    <w:rsid w:val="002539BC"/>
    <w:rsid w:val="00255896"/>
    <w:rsid w:val="00255D58"/>
    <w:rsid w:val="00257775"/>
    <w:rsid w:val="0026285B"/>
    <w:rsid w:val="002650C8"/>
    <w:rsid w:val="0026751C"/>
    <w:rsid w:val="0027067A"/>
    <w:rsid w:val="002734ED"/>
    <w:rsid w:val="00281550"/>
    <w:rsid w:val="00281FEA"/>
    <w:rsid w:val="00285B10"/>
    <w:rsid w:val="002902D8"/>
    <w:rsid w:val="00292896"/>
    <w:rsid w:val="00293A31"/>
    <w:rsid w:val="00294A29"/>
    <w:rsid w:val="00294E8E"/>
    <w:rsid w:val="002A3DC9"/>
    <w:rsid w:val="002A472D"/>
    <w:rsid w:val="002A7D8D"/>
    <w:rsid w:val="002B14EB"/>
    <w:rsid w:val="002B74AB"/>
    <w:rsid w:val="002B7EE9"/>
    <w:rsid w:val="002C0AE9"/>
    <w:rsid w:val="002C50DD"/>
    <w:rsid w:val="002C607E"/>
    <w:rsid w:val="002D37C9"/>
    <w:rsid w:val="002D539D"/>
    <w:rsid w:val="002E1F82"/>
    <w:rsid w:val="002E29DE"/>
    <w:rsid w:val="002E4D65"/>
    <w:rsid w:val="002E5A6A"/>
    <w:rsid w:val="002F098E"/>
    <w:rsid w:val="002F152C"/>
    <w:rsid w:val="002F3132"/>
    <w:rsid w:val="002F78D1"/>
    <w:rsid w:val="00307C7D"/>
    <w:rsid w:val="0031164B"/>
    <w:rsid w:val="00311F19"/>
    <w:rsid w:val="00312146"/>
    <w:rsid w:val="0031372D"/>
    <w:rsid w:val="00313B8F"/>
    <w:rsid w:val="00317396"/>
    <w:rsid w:val="00317888"/>
    <w:rsid w:val="00321290"/>
    <w:rsid w:val="0032357F"/>
    <w:rsid w:val="00326083"/>
    <w:rsid w:val="0032622D"/>
    <w:rsid w:val="0032784B"/>
    <w:rsid w:val="00327ACD"/>
    <w:rsid w:val="00330E6A"/>
    <w:rsid w:val="00331B25"/>
    <w:rsid w:val="00333A76"/>
    <w:rsid w:val="00335BE7"/>
    <w:rsid w:val="00343ADC"/>
    <w:rsid w:val="00355D14"/>
    <w:rsid w:val="00355E45"/>
    <w:rsid w:val="00355F02"/>
    <w:rsid w:val="00361A6C"/>
    <w:rsid w:val="00365C0E"/>
    <w:rsid w:val="00371F3E"/>
    <w:rsid w:val="003737A3"/>
    <w:rsid w:val="0037513F"/>
    <w:rsid w:val="003809AC"/>
    <w:rsid w:val="00382FB3"/>
    <w:rsid w:val="00383537"/>
    <w:rsid w:val="00395B49"/>
    <w:rsid w:val="003A5D4B"/>
    <w:rsid w:val="003A6914"/>
    <w:rsid w:val="003A7D8F"/>
    <w:rsid w:val="003B1A91"/>
    <w:rsid w:val="003B734D"/>
    <w:rsid w:val="003C12D3"/>
    <w:rsid w:val="003C6900"/>
    <w:rsid w:val="003C6B07"/>
    <w:rsid w:val="003D2CF5"/>
    <w:rsid w:val="003D3609"/>
    <w:rsid w:val="003D4A07"/>
    <w:rsid w:val="003D5C84"/>
    <w:rsid w:val="003E03FF"/>
    <w:rsid w:val="003E1CB4"/>
    <w:rsid w:val="003E6B24"/>
    <w:rsid w:val="003F0218"/>
    <w:rsid w:val="003F1950"/>
    <w:rsid w:val="003F3962"/>
    <w:rsid w:val="003F4CDD"/>
    <w:rsid w:val="003F6D20"/>
    <w:rsid w:val="004012B3"/>
    <w:rsid w:val="00406230"/>
    <w:rsid w:val="00407A23"/>
    <w:rsid w:val="00412E00"/>
    <w:rsid w:val="0041618C"/>
    <w:rsid w:val="00422B42"/>
    <w:rsid w:val="00434B08"/>
    <w:rsid w:val="00442705"/>
    <w:rsid w:val="004438CD"/>
    <w:rsid w:val="00443CB6"/>
    <w:rsid w:val="00447A0B"/>
    <w:rsid w:val="004577EA"/>
    <w:rsid w:val="004601FF"/>
    <w:rsid w:val="004674D3"/>
    <w:rsid w:val="0046760E"/>
    <w:rsid w:val="0047230F"/>
    <w:rsid w:val="00473164"/>
    <w:rsid w:val="0047358D"/>
    <w:rsid w:val="00476445"/>
    <w:rsid w:val="00477FC3"/>
    <w:rsid w:val="00480B4C"/>
    <w:rsid w:val="00481381"/>
    <w:rsid w:val="00483C8E"/>
    <w:rsid w:val="00487F84"/>
    <w:rsid w:val="00490B26"/>
    <w:rsid w:val="0049595E"/>
    <w:rsid w:val="00496EAB"/>
    <w:rsid w:val="004977DB"/>
    <w:rsid w:val="004A09A5"/>
    <w:rsid w:val="004A3187"/>
    <w:rsid w:val="004A3E8E"/>
    <w:rsid w:val="004B194D"/>
    <w:rsid w:val="004B6931"/>
    <w:rsid w:val="004B6A08"/>
    <w:rsid w:val="004B718A"/>
    <w:rsid w:val="004C0E84"/>
    <w:rsid w:val="004C2705"/>
    <w:rsid w:val="004C3B8C"/>
    <w:rsid w:val="004D3C16"/>
    <w:rsid w:val="004D69A3"/>
    <w:rsid w:val="004E12ED"/>
    <w:rsid w:val="004E5E27"/>
    <w:rsid w:val="004F10D2"/>
    <w:rsid w:val="004F2538"/>
    <w:rsid w:val="004F59EC"/>
    <w:rsid w:val="004F6D4F"/>
    <w:rsid w:val="00500863"/>
    <w:rsid w:val="005008BE"/>
    <w:rsid w:val="00500FF5"/>
    <w:rsid w:val="00501326"/>
    <w:rsid w:val="00503833"/>
    <w:rsid w:val="00507670"/>
    <w:rsid w:val="00514712"/>
    <w:rsid w:val="00514A7E"/>
    <w:rsid w:val="00514FD3"/>
    <w:rsid w:val="00514FE2"/>
    <w:rsid w:val="00520183"/>
    <w:rsid w:val="00522E05"/>
    <w:rsid w:val="0052395F"/>
    <w:rsid w:val="00524FA8"/>
    <w:rsid w:val="005251EE"/>
    <w:rsid w:val="00532069"/>
    <w:rsid w:val="0053328B"/>
    <w:rsid w:val="00540435"/>
    <w:rsid w:val="00540517"/>
    <w:rsid w:val="00541410"/>
    <w:rsid w:val="005424F0"/>
    <w:rsid w:val="00543984"/>
    <w:rsid w:val="00551A02"/>
    <w:rsid w:val="005522A9"/>
    <w:rsid w:val="00553CBE"/>
    <w:rsid w:val="005566EE"/>
    <w:rsid w:val="00563ED2"/>
    <w:rsid w:val="0057466D"/>
    <w:rsid w:val="0057468F"/>
    <w:rsid w:val="00574D3C"/>
    <w:rsid w:val="005757C2"/>
    <w:rsid w:val="00580A80"/>
    <w:rsid w:val="00586A53"/>
    <w:rsid w:val="005926FF"/>
    <w:rsid w:val="00592E3A"/>
    <w:rsid w:val="00594169"/>
    <w:rsid w:val="005964A0"/>
    <w:rsid w:val="005A0600"/>
    <w:rsid w:val="005B4E3C"/>
    <w:rsid w:val="005B7502"/>
    <w:rsid w:val="005C1C67"/>
    <w:rsid w:val="005C3C06"/>
    <w:rsid w:val="005D634D"/>
    <w:rsid w:val="005D6372"/>
    <w:rsid w:val="005D6F47"/>
    <w:rsid w:val="005D73D0"/>
    <w:rsid w:val="005E10A1"/>
    <w:rsid w:val="005E1B80"/>
    <w:rsid w:val="005F0D94"/>
    <w:rsid w:val="005F3CD5"/>
    <w:rsid w:val="005F69E0"/>
    <w:rsid w:val="005F782C"/>
    <w:rsid w:val="00603E6D"/>
    <w:rsid w:val="00603EAB"/>
    <w:rsid w:val="006050AC"/>
    <w:rsid w:val="006057DE"/>
    <w:rsid w:val="00605C50"/>
    <w:rsid w:val="006067D7"/>
    <w:rsid w:val="00607EAC"/>
    <w:rsid w:val="00607F25"/>
    <w:rsid w:val="00610132"/>
    <w:rsid w:val="00613BE9"/>
    <w:rsid w:val="00613DBE"/>
    <w:rsid w:val="0061659E"/>
    <w:rsid w:val="006223B7"/>
    <w:rsid w:val="00625CC4"/>
    <w:rsid w:val="00634215"/>
    <w:rsid w:val="0063438E"/>
    <w:rsid w:val="00634FED"/>
    <w:rsid w:val="00635948"/>
    <w:rsid w:val="00635B17"/>
    <w:rsid w:val="00636AD5"/>
    <w:rsid w:val="00640D5B"/>
    <w:rsid w:val="00640E06"/>
    <w:rsid w:val="006435BD"/>
    <w:rsid w:val="00650835"/>
    <w:rsid w:val="00651026"/>
    <w:rsid w:val="00652370"/>
    <w:rsid w:val="006546DA"/>
    <w:rsid w:val="0065560D"/>
    <w:rsid w:val="0066089C"/>
    <w:rsid w:val="00660F27"/>
    <w:rsid w:val="0066382E"/>
    <w:rsid w:val="00664AFE"/>
    <w:rsid w:val="00665E1F"/>
    <w:rsid w:val="00666546"/>
    <w:rsid w:val="00670F58"/>
    <w:rsid w:val="006752D4"/>
    <w:rsid w:val="00677398"/>
    <w:rsid w:val="0067771A"/>
    <w:rsid w:val="00695D90"/>
    <w:rsid w:val="006A100F"/>
    <w:rsid w:val="006A395C"/>
    <w:rsid w:val="006B39B9"/>
    <w:rsid w:val="006B3C81"/>
    <w:rsid w:val="006C39FA"/>
    <w:rsid w:val="006C6982"/>
    <w:rsid w:val="006C7D0C"/>
    <w:rsid w:val="006E4474"/>
    <w:rsid w:val="006E59C8"/>
    <w:rsid w:val="006F58ED"/>
    <w:rsid w:val="007014B0"/>
    <w:rsid w:val="00704A88"/>
    <w:rsid w:val="00707DB0"/>
    <w:rsid w:val="00711B16"/>
    <w:rsid w:val="00713464"/>
    <w:rsid w:val="00713D2B"/>
    <w:rsid w:val="007144A4"/>
    <w:rsid w:val="00720D01"/>
    <w:rsid w:val="00722F28"/>
    <w:rsid w:val="007232F5"/>
    <w:rsid w:val="0073015F"/>
    <w:rsid w:val="00732407"/>
    <w:rsid w:val="0073336C"/>
    <w:rsid w:val="00735863"/>
    <w:rsid w:val="007407F1"/>
    <w:rsid w:val="00742205"/>
    <w:rsid w:val="007434E1"/>
    <w:rsid w:val="00744B0B"/>
    <w:rsid w:val="00744D42"/>
    <w:rsid w:val="00744E19"/>
    <w:rsid w:val="00744EA4"/>
    <w:rsid w:val="0075335F"/>
    <w:rsid w:val="007652F3"/>
    <w:rsid w:val="00765837"/>
    <w:rsid w:val="0076625D"/>
    <w:rsid w:val="0076744A"/>
    <w:rsid w:val="00773D6D"/>
    <w:rsid w:val="00782512"/>
    <w:rsid w:val="00782C38"/>
    <w:rsid w:val="00785546"/>
    <w:rsid w:val="00786755"/>
    <w:rsid w:val="00792536"/>
    <w:rsid w:val="007935A6"/>
    <w:rsid w:val="007A29EE"/>
    <w:rsid w:val="007A2A37"/>
    <w:rsid w:val="007A39BC"/>
    <w:rsid w:val="007A742E"/>
    <w:rsid w:val="007B24BB"/>
    <w:rsid w:val="007B357B"/>
    <w:rsid w:val="007B361D"/>
    <w:rsid w:val="007B55F9"/>
    <w:rsid w:val="007C6C92"/>
    <w:rsid w:val="007D39A1"/>
    <w:rsid w:val="007E62BF"/>
    <w:rsid w:val="007F3625"/>
    <w:rsid w:val="007F44B3"/>
    <w:rsid w:val="007F4818"/>
    <w:rsid w:val="007F71E2"/>
    <w:rsid w:val="008017EC"/>
    <w:rsid w:val="00801D0C"/>
    <w:rsid w:val="00803361"/>
    <w:rsid w:val="008035ED"/>
    <w:rsid w:val="008037BC"/>
    <w:rsid w:val="008069C9"/>
    <w:rsid w:val="00814606"/>
    <w:rsid w:val="00817DD2"/>
    <w:rsid w:val="00824BA3"/>
    <w:rsid w:val="00825194"/>
    <w:rsid w:val="008275DB"/>
    <w:rsid w:val="00830D1D"/>
    <w:rsid w:val="00834646"/>
    <w:rsid w:val="00840946"/>
    <w:rsid w:val="00840DFD"/>
    <w:rsid w:val="00841D4C"/>
    <w:rsid w:val="008422A9"/>
    <w:rsid w:val="00854C54"/>
    <w:rsid w:val="008574DF"/>
    <w:rsid w:val="00857D96"/>
    <w:rsid w:val="00861347"/>
    <w:rsid w:val="00861D48"/>
    <w:rsid w:val="00861E63"/>
    <w:rsid w:val="00862736"/>
    <w:rsid w:val="00864DA5"/>
    <w:rsid w:val="008721C8"/>
    <w:rsid w:val="008724B4"/>
    <w:rsid w:val="00874BB2"/>
    <w:rsid w:val="008769CD"/>
    <w:rsid w:val="00876D1A"/>
    <w:rsid w:val="00877A17"/>
    <w:rsid w:val="008811EA"/>
    <w:rsid w:val="0088148F"/>
    <w:rsid w:val="0088218B"/>
    <w:rsid w:val="008875D3"/>
    <w:rsid w:val="008922B2"/>
    <w:rsid w:val="008946E5"/>
    <w:rsid w:val="00894DE8"/>
    <w:rsid w:val="008A2C1A"/>
    <w:rsid w:val="008A3CD6"/>
    <w:rsid w:val="008A4225"/>
    <w:rsid w:val="008A5625"/>
    <w:rsid w:val="008B3E4B"/>
    <w:rsid w:val="008B5088"/>
    <w:rsid w:val="008B7037"/>
    <w:rsid w:val="008C6E67"/>
    <w:rsid w:val="008C78B8"/>
    <w:rsid w:val="008D1528"/>
    <w:rsid w:val="008D3151"/>
    <w:rsid w:val="008D44E2"/>
    <w:rsid w:val="008D5DDE"/>
    <w:rsid w:val="008E310F"/>
    <w:rsid w:val="008F22AE"/>
    <w:rsid w:val="008F7F74"/>
    <w:rsid w:val="009002E6"/>
    <w:rsid w:val="00901A6E"/>
    <w:rsid w:val="00902DF0"/>
    <w:rsid w:val="00904B06"/>
    <w:rsid w:val="0091655E"/>
    <w:rsid w:val="00916F92"/>
    <w:rsid w:val="00917565"/>
    <w:rsid w:val="00920CF8"/>
    <w:rsid w:val="00922F28"/>
    <w:rsid w:val="0092759C"/>
    <w:rsid w:val="00931F55"/>
    <w:rsid w:val="00933D25"/>
    <w:rsid w:val="00935DA4"/>
    <w:rsid w:val="0094098E"/>
    <w:rsid w:val="009410CB"/>
    <w:rsid w:val="009424EC"/>
    <w:rsid w:val="00947878"/>
    <w:rsid w:val="00952B4F"/>
    <w:rsid w:val="00953A76"/>
    <w:rsid w:val="00954A52"/>
    <w:rsid w:val="0095526B"/>
    <w:rsid w:val="0095797A"/>
    <w:rsid w:val="00961257"/>
    <w:rsid w:val="00961B59"/>
    <w:rsid w:val="0096331B"/>
    <w:rsid w:val="0096397A"/>
    <w:rsid w:val="009676A9"/>
    <w:rsid w:val="00967DFF"/>
    <w:rsid w:val="0097070E"/>
    <w:rsid w:val="00975226"/>
    <w:rsid w:val="00977198"/>
    <w:rsid w:val="00977811"/>
    <w:rsid w:val="0098154B"/>
    <w:rsid w:val="00994E2F"/>
    <w:rsid w:val="009960D6"/>
    <w:rsid w:val="009970F2"/>
    <w:rsid w:val="009A1931"/>
    <w:rsid w:val="009A55FB"/>
    <w:rsid w:val="009A5D10"/>
    <w:rsid w:val="009B06E6"/>
    <w:rsid w:val="009B5CD3"/>
    <w:rsid w:val="009C10BF"/>
    <w:rsid w:val="009C2FA8"/>
    <w:rsid w:val="009C7AF1"/>
    <w:rsid w:val="009C7DC9"/>
    <w:rsid w:val="009D56E4"/>
    <w:rsid w:val="009E2756"/>
    <w:rsid w:val="009E4DD3"/>
    <w:rsid w:val="009E779E"/>
    <w:rsid w:val="009E7F2C"/>
    <w:rsid w:val="009F04F0"/>
    <w:rsid w:val="009F7A8D"/>
    <w:rsid w:val="00A0343D"/>
    <w:rsid w:val="00A04B1A"/>
    <w:rsid w:val="00A10F6A"/>
    <w:rsid w:val="00A15D9B"/>
    <w:rsid w:val="00A17048"/>
    <w:rsid w:val="00A172DE"/>
    <w:rsid w:val="00A214A1"/>
    <w:rsid w:val="00A22D2B"/>
    <w:rsid w:val="00A273FE"/>
    <w:rsid w:val="00A325D4"/>
    <w:rsid w:val="00A33FB4"/>
    <w:rsid w:val="00A40DCB"/>
    <w:rsid w:val="00A41B17"/>
    <w:rsid w:val="00A43F0B"/>
    <w:rsid w:val="00A47A2B"/>
    <w:rsid w:val="00A53729"/>
    <w:rsid w:val="00A551D1"/>
    <w:rsid w:val="00A557E0"/>
    <w:rsid w:val="00A56539"/>
    <w:rsid w:val="00A72B1F"/>
    <w:rsid w:val="00A82674"/>
    <w:rsid w:val="00A8717E"/>
    <w:rsid w:val="00A90BFE"/>
    <w:rsid w:val="00A90E3C"/>
    <w:rsid w:val="00A90E78"/>
    <w:rsid w:val="00A93EA1"/>
    <w:rsid w:val="00A94C68"/>
    <w:rsid w:val="00AA781A"/>
    <w:rsid w:val="00AB2F71"/>
    <w:rsid w:val="00AB7203"/>
    <w:rsid w:val="00AB7C8E"/>
    <w:rsid w:val="00AC1B48"/>
    <w:rsid w:val="00AC1DD7"/>
    <w:rsid w:val="00AC2457"/>
    <w:rsid w:val="00AC5E9B"/>
    <w:rsid w:val="00AC7171"/>
    <w:rsid w:val="00AD7599"/>
    <w:rsid w:val="00AD76DF"/>
    <w:rsid w:val="00AE0BDF"/>
    <w:rsid w:val="00AE125D"/>
    <w:rsid w:val="00AE12B8"/>
    <w:rsid w:val="00AE13BC"/>
    <w:rsid w:val="00AE170C"/>
    <w:rsid w:val="00AE356A"/>
    <w:rsid w:val="00AE459E"/>
    <w:rsid w:val="00AE6D29"/>
    <w:rsid w:val="00AF1083"/>
    <w:rsid w:val="00AF2769"/>
    <w:rsid w:val="00AF4A5A"/>
    <w:rsid w:val="00B02FBE"/>
    <w:rsid w:val="00B049B3"/>
    <w:rsid w:val="00B05194"/>
    <w:rsid w:val="00B10240"/>
    <w:rsid w:val="00B12E89"/>
    <w:rsid w:val="00B16C75"/>
    <w:rsid w:val="00B237E2"/>
    <w:rsid w:val="00B23B9D"/>
    <w:rsid w:val="00B2495E"/>
    <w:rsid w:val="00B262D6"/>
    <w:rsid w:val="00B30807"/>
    <w:rsid w:val="00B31217"/>
    <w:rsid w:val="00B32AF0"/>
    <w:rsid w:val="00B333D4"/>
    <w:rsid w:val="00B3574E"/>
    <w:rsid w:val="00B404A8"/>
    <w:rsid w:val="00B40EFC"/>
    <w:rsid w:val="00B41C48"/>
    <w:rsid w:val="00B467B4"/>
    <w:rsid w:val="00B474B3"/>
    <w:rsid w:val="00B50ED8"/>
    <w:rsid w:val="00B51DF7"/>
    <w:rsid w:val="00B54C0E"/>
    <w:rsid w:val="00B61598"/>
    <w:rsid w:val="00B64F6F"/>
    <w:rsid w:val="00B65D5C"/>
    <w:rsid w:val="00B72ADE"/>
    <w:rsid w:val="00B72BD5"/>
    <w:rsid w:val="00B76010"/>
    <w:rsid w:val="00B77583"/>
    <w:rsid w:val="00B8263E"/>
    <w:rsid w:val="00B92693"/>
    <w:rsid w:val="00B96451"/>
    <w:rsid w:val="00B9779B"/>
    <w:rsid w:val="00BA14D0"/>
    <w:rsid w:val="00BA2739"/>
    <w:rsid w:val="00BA6519"/>
    <w:rsid w:val="00BB0FCA"/>
    <w:rsid w:val="00BB1E32"/>
    <w:rsid w:val="00BB2144"/>
    <w:rsid w:val="00BB2674"/>
    <w:rsid w:val="00BB619C"/>
    <w:rsid w:val="00BB6885"/>
    <w:rsid w:val="00BC2551"/>
    <w:rsid w:val="00BC4065"/>
    <w:rsid w:val="00BD07E8"/>
    <w:rsid w:val="00BD48E9"/>
    <w:rsid w:val="00BD5A16"/>
    <w:rsid w:val="00BE0C7C"/>
    <w:rsid w:val="00BE34A3"/>
    <w:rsid w:val="00BE6945"/>
    <w:rsid w:val="00BF2758"/>
    <w:rsid w:val="00BF718E"/>
    <w:rsid w:val="00BF740F"/>
    <w:rsid w:val="00C001CA"/>
    <w:rsid w:val="00C0096D"/>
    <w:rsid w:val="00C00F4C"/>
    <w:rsid w:val="00C01296"/>
    <w:rsid w:val="00C0263C"/>
    <w:rsid w:val="00C027E9"/>
    <w:rsid w:val="00C10746"/>
    <w:rsid w:val="00C14A4E"/>
    <w:rsid w:val="00C16217"/>
    <w:rsid w:val="00C233C5"/>
    <w:rsid w:val="00C33F99"/>
    <w:rsid w:val="00C407DF"/>
    <w:rsid w:val="00C57ABD"/>
    <w:rsid w:val="00C60F92"/>
    <w:rsid w:val="00C630FE"/>
    <w:rsid w:val="00C63542"/>
    <w:rsid w:val="00C64964"/>
    <w:rsid w:val="00C65478"/>
    <w:rsid w:val="00C67183"/>
    <w:rsid w:val="00C71D84"/>
    <w:rsid w:val="00C74D6F"/>
    <w:rsid w:val="00C76187"/>
    <w:rsid w:val="00C777F0"/>
    <w:rsid w:val="00C84351"/>
    <w:rsid w:val="00C9003B"/>
    <w:rsid w:val="00C90C65"/>
    <w:rsid w:val="00C9173D"/>
    <w:rsid w:val="00C92ADA"/>
    <w:rsid w:val="00C934E0"/>
    <w:rsid w:val="00CA143A"/>
    <w:rsid w:val="00CA2F88"/>
    <w:rsid w:val="00CA3007"/>
    <w:rsid w:val="00CA6330"/>
    <w:rsid w:val="00CA754A"/>
    <w:rsid w:val="00CA77F7"/>
    <w:rsid w:val="00CB2494"/>
    <w:rsid w:val="00CC291E"/>
    <w:rsid w:val="00CC2972"/>
    <w:rsid w:val="00CC4D6E"/>
    <w:rsid w:val="00CC544F"/>
    <w:rsid w:val="00CC54CF"/>
    <w:rsid w:val="00CD1C2C"/>
    <w:rsid w:val="00CD1CDF"/>
    <w:rsid w:val="00CD3C9A"/>
    <w:rsid w:val="00CD4128"/>
    <w:rsid w:val="00CD594E"/>
    <w:rsid w:val="00CE0AA7"/>
    <w:rsid w:val="00CE433B"/>
    <w:rsid w:val="00CE4A41"/>
    <w:rsid w:val="00CF048A"/>
    <w:rsid w:val="00CF169B"/>
    <w:rsid w:val="00CF39DC"/>
    <w:rsid w:val="00CF69FB"/>
    <w:rsid w:val="00CF7600"/>
    <w:rsid w:val="00D025FE"/>
    <w:rsid w:val="00D06437"/>
    <w:rsid w:val="00D07698"/>
    <w:rsid w:val="00D11BAA"/>
    <w:rsid w:val="00D12750"/>
    <w:rsid w:val="00D15388"/>
    <w:rsid w:val="00D15530"/>
    <w:rsid w:val="00D16150"/>
    <w:rsid w:val="00D167E9"/>
    <w:rsid w:val="00D22F66"/>
    <w:rsid w:val="00D40481"/>
    <w:rsid w:val="00D4474B"/>
    <w:rsid w:val="00D4721C"/>
    <w:rsid w:val="00D508C0"/>
    <w:rsid w:val="00D533EF"/>
    <w:rsid w:val="00D564A9"/>
    <w:rsid w:val="00D56A56"/>
    <w:rsid w:val="00D56CA1"/>
    <w:rsid w:val="00D601FA"/>
    <w:rsid w:val="00D6079A"/>
    <w:rsid w:val="00D62BBF"/>
    <w:rsid w:val="00D632E4"/>
    <w:rsid w:val="00D634A6"/>
    <w:rsid w:val="00D63DBA"/>
    <w:rsid w:val="00D65104"/>
    <w:rsid w:val="00D66FA8"/>
    <w:rsid w:val="00D7276E"/>
    <w:rsid w:val="00D763D1"/>
    <w:rsid w:val="00D8151D"/>
    <w:rsid w:val="00D83E9B"/>
    <w:rsid w:val="00D847A8"/>
    <w:rsid w:val="00D847BA"/>
    <w:rsid w:val="00D84913"/>
    <w:rsid w:val="00DA2DC3"/>
    <w:rsid w:val="00DA3C69"/>
    <w:rsid w:val="00DA6A95"/>
    <w:rsid w:val="00DB007C"/>
    <w:rsid w:val="00DB0587"/>
    <w:rsid w:val="00DB12BC"/>
    <w:rsid w:val="00DB2203"/>
    <w:rsid w:val="00DB67EB"/>
    <w:rsid w:val="00DC1759"/>
    <w:rsid w:val="00DC1880"/>
    <w:rsid w:val="00DC2899"/>
    <w:rsid w:val="00DC2F4F"/>
    <w:rsid w:val="00DC67EB"/>
    <w:rsid w:val="00DD016B"/>
    <w:rsid w:val="00DD115B"/>
    <w:rsid w:val="00DD17E4"/>
    <w:rsid w:val="00DE1AFF"/>
    <w:rsid w:val="00DE1F68"/>
    <w:rsid w:val="00DE2C80"/>
    <w:rsid w:val="00DE2FC0"/>
    <w:rsid w:val="00DE3BF9"/>
    <w:rsid w:val="00DE4AF5"/>
    <w:rsid w:val="00DE58EC"/>
    <w:rsid w:val="00DF20C3"/>
    <w:rsid w:val="00DF353F"/>
    <w:rsid w:val="00DF771C"/>
    <w:rsid w:val="00E04250"/>
    <w:rsid w:val="00E069E0"/>
    <w:rsid w:val="00E06F29"/>
    <w:rsid w:val="00E11600"/>
    <w:rsid w:val="00E134C6"/>
    <w:rsid w:val="00E13E9C"/>
    <w:rsid w:val="00E14C76"/>
    <w:rsid w:val="00E20100"/>
    <w:rsid w:val="00E21642"/>
    <w:rsid w:val="00E31FE0"/>
    <w:rsid w:val="00E34E0F"/>
    <w:rsid w:val="00E357B5"/>
    <w:rsid w:val="00E3688D"/>
    <w:rsid w:val="00E41FA6"/>
    <w:rsid w:val="00E421AD"/>
    <w:rsid w:val="00E44026"/>
    <w:rsid w:val="00E462C0"/>
    <w:rsid w:val="00E51675"/>
    <w:rsid w:val="00E52BB1"/>
    <w:rsid w:val="00E5558A"/>
    <w:rsid w:val="00E57E13"/>
    <w:rsid w:val="00E62DB3"/>
    <w:rsid w:val="00E66532"/>
    <w:rsid w:val="00E67640"/>
    <w:rsid w:val="00E732E9"/>
    <w:rsid w:val="00E8000C"/>
    <w:rsid w:val="00E80B52"/>
    <w:rsid w:val="00E81285"/>
    <w:rsid w:val="00E82285"/>
    <w:rsid w:val="00E82886"/>
    <w:rsid w:val="00E83882"/>
    <w:rsid w:val="00E84030"/>
    <w:rsid w:val="00E840E3"/>
    <w:rsid w:val="00E84A92"/>
    <w:rsid w:val="00E84F53"/>
    <w:rsid w:val="00EA336D"/>
    <w:rsid w:val="00EA7869"/>
    <w:rsid w:val="00EB1A78"/>
    <w:rsid w:val="00EB45AC"/>
    <w:rsid w:val="00EB5AC3"/>
    <w:rsid w:val="00EB5BBB"/>
    <w:rsid w:val="00EB647B"/>
    <w:rsid w:val="00EB647C"/>
    <w:rsid w:val="00EB69C6"/>
    <w:rsid w:val="00EC2706"/>
    <w:rsid w:val="00EC6363"/>
    <w:rsid w:val="00EC6378"/>
    <w:rsid w:val="00ED5ACE"/>
    <w:rsid w:val="00ED66CC"/>
    <w:rsid w:val="00EE0C54"/>
    <w:rsid w:val="00EE1A7B"/>
    <w:rsid w:val="00EE1E65"/>
    <w:rsid w:val="00EE2D38"/>
    <w:rsid w:val="00EE5E3A"/>
    <w:rsid w:val="00EE7615"/>
    <w:rsid w:val="00F01021"/>
    <w:rsid w:val="00F01319"/>
    <w:rsid w:val="00F11AD9"/>
    <w:rsid w:val="00F11E4F"/>
    <w:rsid w:val="00F12637"/>
    <w:rsid w:val="00F15ACE"/>
    <w:rsid w:val="00F20B0F"/>
    <w:rsid w:val="00F221D9"/>
    <w:rsid w:val="00F2362D"/>
    <w:rsid w:val="00F24890"/>
    <w:rsid w:val="00F25AE6"/>
    <w:rsid w:val="00F33A37"/>
    <w:rsid w:val="00F353BA"/>
    <w:rsid w:val="00F35979"/>
    <w:rsid w:val="00F40E7D"/>
    <w:rsid w:val="00F44227"/>
    <w:rsid w:val="00F444F2"/>
    <w:rsid w:val="00F45455"/>
    <w:rsid w:val="00F479CA"/>
    <w:rsid w:val="00F505E0"/>
    <w:rsid w:val="00F50991"/>
    <w:rsid w:val="00F50C10"/>
    <w:rsid w:val="00F5566C"/>
    <w:rsid w:val="00F56F9E"/>
    <w:rsid w:val="00F576F9"/>
    <w:rsid w:val="00F64490"/>
    <w:rsid w:val="00F713AF"/>
    <w:rsid w:val="00F83E74"/>
    <w:rsid w:val="00F83EC4"/>
    <w:rsid w:val="00F84CE1"/>
    <w:rsid w:val="00F8656C"/>
    <w:rsid w:val="00F86880"/>
    <w:rsid w:val="00F907B4"/>
    <w:rsid w:val="00F930BF"/>
    <w:rsid w:val="00F95495"/>
    <w:rsid w:val="00FA4B76"/>
    <w:rsid w:val="00FA5E44"/>
    <w:rsid w:val="00FC2B2D"/>
    <w:rsid w:val="00FC3482"/>
    <w:rsid w:val="00FC73B0"/>
    <w:rsid w:val="00FD0548"/>
    <w:rsid w:val="00FE3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A3592"/>
  <w15:chartTrackingRefBased/>
  <w15:docId w15:val="{D785D4AB-3AF5-40EE-9C4A-B362C8F54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C48"/>
  </w:style>
  <w:style w:type="paragraph" w:styleId="Heading1">
    <w:name w:val="heading 1"/>
    <w:basedOn w:val="Normal"/>
    <w:next w:val="Normal"/>
    <w:link w:val="Heading1Char"/>
    <w:uiPriority w:val="9"/>
    <w:qFormat/>
    <w:rsid w:val="004676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676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676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676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676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676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676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76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76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76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676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676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676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676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676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76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76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760E"/>
    <w:rPr>
      <w:rFonts w:eastAsiaTheme="majorEastAsia" w:cstheme="majorBidi"/>
      <w:color w:val="272727" w:themeColor="text1" w:themeTint="D8"/>
    </w:rPr>
  </w:style>
  <w:style w:type="paragraph" w:styleId="Title">
    <w:name w:val="Title"/>
    <w:basedOn w:val="Normal"/>
    <w:next w:val="Normal"/>
    <w:link w:val="TitleChar"/>
    <w:uiPriority w:val="10"/>
    <w:qFormat/>
    <w:rsid w:val="004676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676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676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676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760E"/>
    <w:pPr>
      <w:spacing w:before="160"/>
      <w:jc w:val="center"/>
    </w:pPr>
    <w:rPr>
      <w:i/>
      <w:iCs/>
      <w:color w:val="404040" w:themeColor="text1" w:themeTint="BF"/>
    </w:rPr>
  </w:style>
  <w:style w:type="character" w:customStyle="1" w:styleId="QuoteChar">
    <w:name w:val="Quote Char"/>
    <w:basedOn w:val="DefaultParagraphFont"/>
    <w:link w:val="Quote"/>
    <w:uiPriority w:val="29"/>
    <w:rsid w:val="0046760E"/>
    <w:rPr>
      <w:i/>
      <w:iCs/>
      <w:color w:val="404040" w:themeColor="text1" w:themeTint="BF"/>
    </w:rPr>
  </w:style>
  <w:style w:type="paragraph" w:styleId="ListParagraph">
    <w:name w:val="List Paragraph"/>
    <w:basedOn w:val="Normal"/>
    <w:uiPriority w:val="34"/>
    <w:qFormat/>
    <w:rsid w:val="0046760E"/>
    <w:pPr>
      <w:ind w:left="720"/>
      <w:contextualSpacing/>
    </w:pPr>
  </w:style>
  <w:style w:type="character" w:styleId="IntenseEmphasis">
    <w:name w:val="Intense Emphasis"/>
    <w:basedOn w:val="DefaultParagraphFont"/>
    <w:uiPriority w:val="21"/>
    <w:qFormat/>
    <w:rsid w:val="0046760E"/>
    <w:rPr>
      <w:i/>
      <w:iCs/>
      <w:color w:val="2F5496" w:themeColor="accent1" w:themeShade="BF"/>
    </w:rPr>
  </w:style>
  <w:style w:type="paragraph" w:styleId="IntenseQuote">
    <w:name w:val="Intense Quote"/>
    <w:basedOn w:val="Normal"/>
    <w:next w:val="Normal"/>
    <w:link w:val="IntenseQuoteChar"/>
    <w:uiPriority w:val="30"/>
    <w:qFormat/>
    <w:rsid w:val="004676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6760E"/>
    <w:rPr>
      <w:i/>
      <w:iCs/>
      <w:color w:val="2F5496" w:themeColor="accent1" w:themeShade="BF"/>
    </w:rPr>
  </w:style>
  <w:style w:type="character" w:styleId="IntenseReference">
    <w:name w:val="Intense Reference"/>
    <w:basedOn w:val="DefaultParagraphFont"/>
    <w:uiPriority w:val="32"/>
    <w:qFormat/>
    <w:rsid w:val="0046760E"/>
    <w:rPr>
      <w:b/>
      <w:bCs/>
      <w:smallCaps/>
      <w:color w:val="2F5496" w:themeColor="accent1" w:themeShade="BF"/>
      <w:spacing w:val="5"/>
    </w:rPr>
  </w:style>
  <w:style w:type="paragraph" w:styleId="NoSpacing">
    <w:name w:val="No Spacing"/>
    <w:link w:val="NoSpacingChar"/>
    <w:uiPriority w:val="1"/>
    <w:qFormat/>
    <w:rsid w:val="00B237E2"/>
    <w:pPr>
      <w:spacing w:after="0" w:line="240" w:lineRule="auto"/>
    </w:pPr>
    <w:rPr>
      <w:rFonts w:ascii="Calibri" w:eastAsia="Calibri" w:hAnsi="Calibri" w:cs="Times New Roman"/>
      <w:kern w:val="0"/>
      <w:lang w:bidi="en-US"/>
      <w14:ligatures w14:val="none"/>
    </w:rPr>
  </w:style>
  <w:style w:type="character" w:customStyle="1" w:styleId="NoSpacingChar">
    <w:name w:val="No Spacing Char"/>
    <w:link w:val="NoSpacing"/>
    <w:uiPriority w:val="1"/>
    <w:qFormat/>
    <w:rsid w:val="00B237E2"/>
    <w:rPr>
      <w:rFonts w:ascii="Calibri" w:eastAsia="Calibri" w:hAnsi="Calibri" w:cs="Times New Roman"/>
      <w:kern w:val="0"/>
      <w:lang w:bidi="en-US"/>
      <w14:ligatures w14:val="none"/>
    </w:rPr>
  </w:style>
  <w:style w:type="paragraph" w:styleId="Header">
    <w:name w:val="header"/>
    <w:basedOn w:val="Normal"/>
    <w:link w:val="HeaderChar"/>
    <w:uiPriority w:val="99"/>
    <w:unhideWhenUsed/>
    <w:rsid w:val="00B237E2"/>
    <w:pPr>
      <w:tabs>
        <w:tab w:val="center" w:pos="4680"/>
        <w:tab w:val="right" w:pos="9360"/>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B237E2"/>
    <w:rPr>
      <w:rFonts w:ascii="Calibri" w:eastAsia="Calibri" w:hAnsi="Calibri" w:cs="Times New Roman"/>
      <w:kern w:val="0"/>
      <w14:ligatures w14:val="none"/>
    </w:rPr>
  </w:style>
  <w:style w:type="table" w:styleId="TableGrid">
    <w:name w:val="Table Grid"/>
    <w:basedOn w:val="TableNormal"/>
    <w:uiPriority w:val="39"/>
    <w:rsid w:val="002A3DC9"/>
    <w:pPr>
      <w:spacing w:after="0" w:line="240" w:lineRule="auto"/>
    </w:pPr>
    <w:rPr>
      <w:rFonts w:ascii="Calibri" w:eastAsia="Calibri" w:hAnsi="Calibri" w:cs="SimSun"/>
      <w:kern w:val="0"/>
      <w:lang w:val="en-P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A42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4225"/>
  </w:style>
  <w:style w:type="character" w:styleId="Hyperlink">
    <w:name w:val="Hyperlink"/>
    <w:basedOn w:val="DefaultParagraphFont"/>
    <w:uiPriority w:val="99"/>
    <w:unhideWhenUsed/>
    <w:rsid w:val="0073336C"/>
    <w:rPr>
      <w:color w:val="0563C1" w:themeColor="hyperlink"/>
      <w:u w:val="single"/>
    </w:rPr>
  </w:style>
  <w:style w:type="character" w:styleId="UnresolvedMention">
    <w:name w:val="Unresolved Mention"/>
    <w:basedOn w:val="DefaultParagraphFont"/>
    <w:uiPriority w:val="99"/>
    <w:semiHidden/>
    <w:unhideWhenUsed/>
    <w:rsid w:val="0073336C"/>
    <w:rPr>
      <w:color w:val="605E5C"/>
      <w:shd w:val="clear" w:color="auto" w:fill="E1DFDD"/>
    </w:rPr>
  </w:style>
  <w:style w:type="paragraph" w:styleId="NormalWeb">
    <w:name w:val="Normal (Web)"/>
    <w:basedOn w:val="Normal"/>
    <w:uiPriority w:val="99"/>
    <w:unhideWhenUsed/>
    <w:rsid w:val="00DC67EB"/>
    <w:rPr>
      <w:rFonts w:ascii="Times New Roman" w:hAnsi="Times New Roman" w:cs="Times New Roman"/>
      <w:sz w:val="24"/>
      <w:szCs w:val="24"/>
    </w:rPr>
  </w:style>
  <w:style w:type="character" w:styleId="Strong">
    <w:name w:val="Strong"/>
    <w:basedOn w:val="DefaultParagraphFont"/>
    <w:uiPriority w:val="22"/>
    <w:qFormat/>
    <w:rsid w:val="00EB647B"/>
    <w:rPr>
      <w:b/>
      <w:bCs/>
    </w:rPr>
  </w:style>
  <w:style w:type="character" w:customStyle="1" w:styleId="apple-tab-span">
    <w:name w:val="apple-tab-span"/>
    <w:basedOn w:val="DefaultParagraphFont"/>
    <w:rsid w:val="00CA77F7"/>
  </w:style>
  <w:style w:type="table" w:styleId="PlainTable2">
    <w:name w:val="Plain Table 2"/>
    <w:basedOn w:val="TableNormal"/>
    <w:uiPriority w:val="42"/>
    <w:rsid w:val="009F04F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B70BA"/>
    <w:pPr>
      <w:spacing w:after="0" w:line="240" w:lineRule="auto"/>
    </w:pPr>
    <w:rPr>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0B70BA"/>
    <w:pPr>
      <w:spacing w:after="0" w:line="240" w:lineRule="auto"/>
    </w:pPr>
    <w:rPr>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24497A"/>
    <w:rPr>
      <w:i/>
      <w:iCs/>
    </w:rPr>
  </w:style>
  <w:style w:type="table" w:customStyle="1" w:styleId="TableGrid1">
    <w:name w:val="Table Grid1"/>
    <w:basedOn w:val="TableNormal"/>
    <w:next w:val="TableGrid"/>
    <w:uiPriority w:val="39"/>
    <w:rsid w:val="0098154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642162">
      <w:bodyDiv w:val="1"/>
      <w:marLeft w:val="0"/>
      <w:marRight w:val="0"/>
      <w:marTop w:val="0"/>
      <w:marBottom w:val="0"/>
      <w:divBdr>
        <w:top w:val="none" w:sz="0" w:space="0" w:color="auto"/>
        <w:left w:val="none" w:sz="0" w:space="0" w:color="auto"/>
        <w:bottom w:val="none" w:sz="0" w:space="0" w:color="auto"/>
        <w:right w:val="none" w:sz="0" w:space="0" w:color="auto"/>
      </w:divBdr>
    </w:div>
    <w:div w:id="78454785">
      <w:bodyDiv w:val="1"/>
      <w:marLeft w:val="0"/>
      <w:marRight w:val="0"/>
      <w:marTop w:val="0"/>
      <w:marBottom w:val="0"/>
      <w:divBdr>
        <w:top w:val="none" w:sz="0" w:space="0" w:color="auto"/>
        <w:left w:val="none" w:sz="0" w:space="0" w:color="auto"/>
        <w:bottom w:val="none" w:sz="0" w:space="0" w:color="auto"/>
        <w:right w:val="none" w:sz="0" w:space="0" w:color="auto"/>
      </w:divBdr>
    </w:div>
    <w:div w:id="120926578">
      <w:bodyDiv w:val="1"/>
      <w:marLeft w:val="0"/>
      <w:marRight w:val="0"/>
      <w:marTop w:val="0"/>
      <w:marBottom w:val="0"/>
      <w:divBdr>
        <w:top w:val="none" w:sz="0" w:space="0" w:color="auto"/>
        <w:left w:val="none" w:sz="0" w:space="0" w:color="auto"/>
        <w:bottom w:val="none" w:sz="0" w:space="0" w:color="auto"/>
        <w:right w:val="none" w:sz="0" w:space="0" w:color="auto"/>
      </w:divBdr>
    </w:div>
    <w:div w:id="130951483">
      <w:bodyDiv w:val="1"/>
      <w:marLeft w:val="0"/>
      <w:marRight w:val="0"/>
      <w:marTop w:val="0"/>
      <w:marBottom w:val="0"/>
      <w:divBdr>
        <w:top w:val="none" w:sz="0" w:space="0" w:color="auto"/>
        <w:left w:val="none" w:sz="0" w:space="0" w:color="auto"/>
        <w:bottom w:val="none" w:sz="0" w:space="0" w:color="auto"/>
        <w:right w:val="none" w:sz="0" w:space="0" w:color="auto"/>
      </w:divBdr>
    </w:div>
    <w:div w:id="139075088">
      <w:bodyDiv w:val="1"/>
      <w:marLeft w:val="0"/>
      <w:marRight w:val="0"/>
      <w:marTop w:val="0"/>
      <w:marBottom w:val="0"/>
      <w:divBdr>
        <w:top w:val="none" w:sz="0" w:space="0" w:color="auto"/>
        <w:left w:val="none" w:sz="0" w:space="0" w:color="auto"/>
        <w:bottom w:val="none" w:sz="0" w:space="0" w:color="auto"/>
        <w:right w:val="none" w:sz="0" w:space="0" w:color="auto"/>
      </w:divBdr>
    </w:div>
    <w:div w:id="141428026">
      <w:bodyDiv w:val="1"/>
      <w:marLeft w:val="0"/>
      <w:marRight w:val="0"/>
      <w:marTop w:val="0"/>
      <w:marBottom w:val="0"/>
      <w:divBdr>
        <w:top w:val="none" w:sz="0" w:space="0" w:color="auto"/>
        <w:left w:val="none" w:sz="0" w:space="0" w:color="auto"/>
        <w:bottom w:val="none" w:sz="0" w:space="0" w:color="auto"/>
        <w:right w:val="none" w:sz="0" w:space="0" w:color="auto"/>
      </w:divBdr>
    </w:div>
    <w:div w:id="225921202">
      <w:bodyDiv w:val="1"/>
      <w:marLeft w:val="0"/>
      <w:marRight w:val="0"/>
      <w:marTop w:val="0"/>
      <w:marBottom w:val="0"/>
      <w:divBdr>
        <w:top w:val="none" w:sz="0" w:space="0" w:color="auto"/>
        <w:left w:val="none" w:sz="0" w:space="0" w:color="auto"/>
        <w:bottom w:val="none" w:sz="0" w:space="0" w:color="auto"/>
        <w:right w:val="none" w:sz="0" w:space="0" w:color="auto"/>
      </w:divBdr>
    </w:div>
    <w:div w:id="251596524">
      <w:bodyDiv w:val="1"/>
      <w:marLeft w:val="0"/>
      <w:marRight w:val="0"/>
      <w:marTop w:val="0"/>
      <w:marBottom w:val="0"/>
      <w:divBdr>
        <w:top w:val="none" w:sz="0" w:space="0" w:color="auto"/>
        <w:left w:val="none" w:sz="0" w:space="0" w:color="auto"/>
        <w:bottom w:val="none" w:sz="0" w:space="0" w:color="auto"/>
        <w:right w:val="none" w:sz="0" w:space="0" w:color="auto"/>
      </w:divBdr>
    </w:div>
    <w:div w:id="375663729">
      <w:bodyDiv w:val="1"/>
      <w:marLeft w:val="0"/>
      <w:marRight w:val="0"/>
      <w:marTop w:val="0"/>
      <w:marBottom w:val="0"/>
      <w:divBdr>
        <w:top w:val="none" w:sz="0" w:space="0" w:color="auto"/>
        <w:left w:val="none" w:sz="0" w:space="0" w:color="auto"/>
        <w:bottom w:val="none" w:sz="0" w:space="0" w:color="auto"/>
        <w:right w:val="none" w:sz="0" w:space="0" w:color="auto"/>
      </w:divBdr>
    </w:div>
    <w:div w:id="386611774">
      <w:bodyDiv w:val="1"/>
      <w:marLeft w:val="0"/>
      <w:marRight w:val="0"/>
      <w:marTop w:val="0"/>
      <w:marBottom w:val="0"/>
      <w:divBdr>
        <w:top w:val="none" w:sz="0" w:space="0" w:color="auto"/>
        <w:left w:val="none" w:sz="0" w:space="0" w:color="auto"/>
        <w:bottom w:val="none" w:sz="0" w:space="0" w:color="auto"/>
        <w:right w:val="none" w:sz="0" w:space="0" w:color="auto"/>
      </w:divBdr>
    </w:div>
    <w:div w:id="473761110">
      <w:bodyDiv w:val="1"/>
      <w:marLeft w:val="0"/>
      <w:marRight w:val="0"/>
      <w:marTop w:val="0"/>
      <w:marBottom w:val="0"/>
      <w:divBdr>
        <w:top w:val="none" w:sz="0" w:space="0" w:color="auto"/>
        <w:left w:val="none" w:sz="0" w:space="0" w:color="auto"/>
        <w:bottom w:val="none" w:sz="0" w:space="0" w:color="auto"/>
        <w:right w:val="none" w:sz="0" w:space="0" w:color="auto"/>
      </w:divBdr>
    </w:div>
    <w:div w:id="642737250">
      <w:bodyDiv w:val="1"/>
      <w:marLeft w:val="0"/>
      <w:marRight w:val="0"/>
      <w:marTop w:val="0"/>
      <w:marBottom w:val="0"/>
      <w:divBdr>
        <w:top w:val="none" w:sz="0" w:space="0" w:color="auto"/>
        <w:left w:val="none" w:sz="0" w:space="0" w:color="auto"/>
        <w:bottom w:val="none" w:sz="0" w:space="0" w:color="auto"/>
        <w:right w:val="none" w:sz="0" w:space="0" w:color="auto"/>
      </w:divBdr>
    </w:div>
    <w:div w:id="801458640">
      <w:bodyDiv w:val="1"/>
      <w:marLeft w:val="0"/>
      <w:marRight w:val="0"/>
      <w:marTop w:val="0"/>
      <w:marBottom w:val="0"/>
      <w:divBdr>
        <w:top w:val="none" w:sz="0" w:space="0" w:color="auto"/>
        <w:left w:val="none" w:sz="0" w:space="0" w:color="auto"/>
        <w:bottom w:val="none" w:sz="0" w:space="0" w:color="auto"/>
        <w:right w:val="none" w:sz="0" w:space="0" w:color="auto"/>
      </w:divBdr>
    </w:div>
    <w:div w:id="874582248">
      <w:bodyDiv w:val="1"/>
      <w:marLeft w:val="0"/>
      <w:marRight w:val="0"/>
      <w:marTop w:val="0"/>
      <w:marBottom w:val="0"/>
      <w:divBdr>
        <w:top w:val="none" w:sz="0" w:space="0" w:color="auto"/>
        <w:left w:val="none" w:sz="0" w:space="0" w:color="auto"/>
        <w:bottom w:val="none" w:sz="0" w:space="0" w:color="auto"/>
        <w:right w:val="none" w:sz="0" w:space="0" w:color="auto"/>
      </w:divBdr>
    </w:div>
    <w:div w:id="875509790">
      <w:bodyDiv w:val="1"/>
      <w:marLeft w:val="0"/>
      <w:marRight w:val="0"/>
      <w:marTop w:val="0"/>
      <w:marBottom w:val="0"/>
      <w:divBdr>
        <w:top w:val="none" w:sz="0" w:space="0" w:color="auto"/>
        <w:left w:val="none" w:sz="0" w:space="0" w:color="auto"/>
        <w:bottom w:val="none" w:sz="0" w:space="0" w:color="auto"/>
        <w:right w:val="none" w:sz="0" w:space="0" w:color="auto"/>
      </w:divBdr>
    </w:div>
    <w:div w:id="877476788">
      <w:bodyDiv w:val="1"/>
      <w:marLeft w:val="0"/>
      <w:marRight w:val="0"/>
      <w:marTop w:val="0"/>
      <w:marBottom w:val="0"/>
      <w:divBdr>
        <w:top w:val="none" w:sz="0" w:space="0" w:color="auto"/>
        <w:left w:val="none" w:sz="0" w:space="0" w:color="auto"/>
        <w:bottom w:val="none" w:sz="0" w:space="0" w:color="auto"/>
        <w:right w:val="none" w:sz="0" w:space="0" w:color="auto"/>
      </w:divBdr>
    </w:div>
    <w:div w:id="888959576">
      <w:bodyDiv w:val="1"/>
      <w:marLeft w:val="0"/>
      <w:marRight w:val="0"/>
      <w:marTop w:val="0"/>
      <w:marBottom w:val="0"/>
      <w:divBdr>
        <w:top w:val="none" w:sz="0" w:space="0" w:color="auto"/>
        <w:left w:val="none" w:sz="0" w:space="0" w:color="auto"/>
        <w:bottom w:val="none" w:sz="0" w:space="0" w:color="auto"/>
        <w:right w:val="none" w:sz="0" w:space="0" w:color="auto"/>
      </w:divBdr>
    </w:div>
    <w:div w:id="977226780">
      <w:bodyDiv w:val="1"/>
      <w:marLeft w:val="0"/>
      <w:marRight w:val="0"/>
      <w:marTop w:val="0"/>
      <w:marBottom w:val="0"/>
      <w:divBdr>
        <w:top w:val="none" w:sz="0" w:space="0" w:color="auto"/>
        <w:left w:val="none" w:sz="0" w:space="0" w:color="auto"/>
        <w:bottom w:val="none" w:sz="0" w:space="0" w:color="auto"/>
        <w:right w:val="none" w:sz="0" w:space="0" w:color="auto"/>
      </w:divBdr>
    </w:div>
    <w:div w:id="987247256">
      <w:bodyDiv w:val="1"/>
      <w:marLeft w:val="0"/>
      <w:marRight w:val="0"/>
      <w:marTop w:val="0"/>
      <w:marBottom w:val="0"/>
      <w:divBdr>
        <w:top w:val="none" w:sz="0" w:space="0" w:color="auto"/>
        <w:left w:val="none" w:sz="0" w:space="0" w:color="auto"/>
        <w:bottom w:val="none" w:sz="0" w:space="0" w:color="auto"/>
        <w:right w:val="none" w:sz="0" w:space="0" w:color="auto"/>
      </w:divBdr>
    </w:div>
    <w:div w:id="995838570">
      <w:bodyDiv w:val="1"/>
      <w:marLeft w:val="0"/>
      <w:marRight w:val="0"/>
      <w:marTop w:val="0"/>
      <w:marBottom w:val="0"/>
      <w:divBdr>
        <w:top w:val="none" w:sz="0" w:space="0" w:color="auto"/>
        <w:left w:val="none" w:sz="0" w:space="0" w:color="auto"/>
        <w:bottom w:val="none" w:sz="0" w:space="0" w:color="auto"/>
        <w:right w:val="none" w:sz="0" w:space="0" w:color="auto"/>
      </w:divBdr>
      <w:divsChild>
        <w:div w:id="1907952996">
          <w:marLeft w:val="0"/>
          <w:marRight w:val="0"/>
          <w:marTop w:val="0"/>
          <w:marBottom w:val="0"/>
          <w:divBdr>
            <w:top w:val="none" w:sz="0" w:space="0" w:color="auto"/>
            <w:left w:val="none" w:sz="0" w:space="0" w:color="auto"/>
            <w:bottom w:val="none" w:sz="0" w:space="0" w:color="auto"/>
            <w:right w:val="none" w:sz="0" w:space="0" w:color="auto"/>
          </w:divBdr>
          <w:divsChild>
            <w:div w:id="93797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10292">
      <w:bodyDiv w:val="1"/>
      <w:marLeft w:val="0"/>
      <w:marRight w:val="0"/>
      <w:marTop w:val="0"/>
      <w:marBottom w:val="0"/>
      <w:divBdr>
        <w:top w:val="none" w:sz="0" w:space="0" w:color="auto"/>
        <w:left w:val="none" w:sz="0" w:space="0" w:color="auto"/>
        <w:bottom w:val="none" w:sz="0" w:space="0" w:color="auto"/>
        <w:right w:val="none" w:sz="0" w:space="0" w:color="auto"/>
      </w:divBdr>
    </w:div>
    <w:div w:id="1022559685">
      <w:bodyDiv w:val="1"/>
      <w:marLeft w:val="0"/>
      <w:marRight w:val="0"/>
      <w:marTop w:val="0"/>
      <w:marBottom w:val="0"/>
      <w:divBdr>
        <w:top w:val="none" w:sz="0" w:space="0" w:color="auto"/>
        <w:left w:val="none" w:sz="0" w:space="0" w:color="auto"/>
        <w:bottom w:val="none" w:sz="0" w:space="0" w:color="auto"/>
        <w:right w:val="none" w:sz="0" w:space="0" w:color="auto"/>
      </w:divBdr>
    </w:div>
    <w:div w:id="1096362481">
      <w:bodyDiv w:val="1"/>
      <w:marLeft w:val="0"/>
      <w:marRight w:val="0"/>
      <w:marTop w:val="0"/>
      <w:marBottom w:val="0"/>
      <w:divBdr>
        <w:top w:val="none" w:sz="0" w:space="0" w:color="auto"/>
        <w:left w:val="none" w:sz="0" w:space="0" w:color="auto"/>
        <w:bottom w:val="none" w:sz="0" w:space="0" w:color="auto"/>
        <w:right w:val="none" w:sz="0" w:space="0" w:color="auto"/>
      </w:divBdr>
    </w:div>
    <w:div w:id="1099832356">
      <w:bodyDiv w:val="1"/>
      <w:marLeft w:val="0"/>
      <w:marRight w:val="0"/>
      <w:marTop w:val="0"/>
      <w:marBottom w:val="0"/>
      <w:divBdr>
        <w:top w:val="none" w:sz="0" w:space="0" w:color="auto"/>
        <w:left w:val="none" w:sz="0" w:space="0" w:color="auto"/>
        <w:bottom w:val="none" w:sz="0" w:space="0" w:color="auto"/>
        <w:right w:val="none" w:sz="0" w:space="0" w:color="auto"/>
      </w:divBdr>
    </w:div>
    <w:div w:id="1109205643">
      <w:bodyDiv w:val="1"/>
      <w:marLeft w:val="0"/>
      <w:marRight w:val="0"/>
      <w:marTop w:val="0"/>
      <w:marBottom w:val="0"/>
      <w:divBdr>
        <w:top w:val="none" w:sz="0" w:space="0" w:color="auto"/>
        <w:left w:val="none" w:sz="0" w:space="0" w:color="auto"/>
        <w:bottom w:val="none" w:sz="0" w:space="0" w:color="auto"/>
        <w:right w:val="none" w:sz="0" w:space="0" w:color="auto"/>
      </w:divBdr>
    </w:div>
    <w:div w:id="1192110829">
      <w:bodyDiv w:val="1"/>
      <w:marLeft w:val="0"/>
      <w:marRight w:val="0"/>
      <w:marTop w:val="0"/>
      <w:marBottom w:val="0"/>
      <w:divBdr>
        <w:top w:val="none" w:sz="0" w:space="0" w:color="auto"/>
        <w:left w:val="none" w:sz="0" w:space="0" w:color="auto"/>
        <w:bottom w:val="none" w:sz="0" w:space="0" w:color="auto"/>
        <w:right w:val="none" w:sz="0" w:space="0" w:color="auto"/>
      </w:divBdr>
    </w:div>
    <w:div w:id="1234968888">
      <w:bodyDiv w:val="1"/>
      <w:marLeft w:val="0"/>
      <w:marRight w:val="0"/>
      <w:marTop w:val="0"/>
      <w:marBottom w:val="0"/>
      <w:divBdr>
        <w:top w:val="none" w:sz="0" w:space="0" w:color="auto"/>
        <w:left w:val="none" w:sz="0" w:space="0" w:color="auto"/>
        <w:bottom w:val="none" w:sz="0" w:space="0" w:color="auto"/>
        <w:right w:val="none" w:sz="0" w:space="0" w:color="auto"/>
      </w:divBdr>
    </w:div>
    <w:div w:id="1254708443">
      <w:bodyDiv w:val="1"/>
      <w:marLeft w:val="0"/>
      <w:marRight w:val="0"/>
      <w:marTop w:val="0"/>
      <w:marBottom w:val="0"/>
      <w:divBdr>
        <w:top w:val="none" w:sz="0" w:space="0" w:color="auto"/>
        <w:left w:val="none" w:sz="0" w:space="0" w:color="auto"/>
        <w:bottom w:val="none" w:sz="0" w:space="0" w:color="auto"/>
        <w:right w:val="none" w:sz="0" w:space="0" w:color="auto"/>
      </w:divBdr>
    </w:div>
    <w:div w:id="1352687762">
      <w:bodyDiv w:val="1"/>
      <w:marLeft w:val="0"/>
      <w:marRight w:val="0"/>
      <w:marTop w:val="0"/>
      <w:marBottom w:val="0"/>
      <w:divBdr>
        <w:top w:val="none" w:sz="0" w:space="0" w:color="auto"/>
        <w:left w:val="none" w:sz="0" w:space="0" w:color="auto"/>
        <w:bottom w:val="none" w:sz="0" w:space="0" w:color="auto"/>
        <w:right w:val="none" w:sz="0" w:space="0" w:color="auto"/>
      </w:divBdr>
    </w:div>
    <w:div w:id="1354064650">
      <w:bodyDiv w:val="1"/>
      <w:marLeft w:val="0"/>
      <w:marRight w:val="0"/>
      <w:marTop w:val="0"/>
      <w:marBottom w:val="0"/>
      <w:divBdr>
        <w:top w:val="none" w:sz="0" w:space="0" w:color="auto"/>
        <w:left w:val="none" w:sz="0" w:space="0" w:color="auto"/>
        <w:bottom w:val="none" w:sz="0" w:space="0" w:color="auto"/>
        <w:right w:val="none" w:sz="0" w:space="0" w:color="auto"/>
      </w:divBdr>
    </w:div>
    <w:div w:id="1472018292">
      <w:bodyDiv w:val="1"/>
      <w:marLeft w:val="0"/>
      <w:marRight w:val="0"/>
      <w:marTop w:val="0"/>
      <w:marBottom w:val="0"/>
      <w:divBdr>
        <w:top w:val="none" w:sz="0" w:space="0" w:color="auto"/>
        <w:left w:val="none" w:sz="0" w:space="0" w:color="auto"/>
        <w:bottom w:val="none" w:sz="0" w:space="0" w:color="auto"/>
        <w:right w:val="none" w:sz="0" w:space="0" w:color="auto"/>
      </w:divBdr>
    </w:div>
    <w:div w:id="1500846028">
      <w:bodyDiv w:val="1"/>
      <w:marLeft w:val="0"/>
      <w:marRight w:val="0"/>
      <w:marTop w:val="0"/>
      <w:marBottom w:val="0"/>
      <w:divBdr>
        <w:top w:val="none" w:sz="0" w:space="0" w:color="auto"/>
        <w:left w:val="none" w:sz="0" w:space="0" w:color="auto"/>
        <w:bottom w:val="none" w:sz="0" w:space="0" w:color="auto"/>
        <w:right w:val="none" w:sz="0" w:space="0" w:color="auto"/>
      </w:divBdr>
    </w:div>
    <w:div w:id="1506361143">
      <w:bodyDiv w:val="1"/>
      <w:marLeft w:val="0"/>
      <w:marRight w:val="0"/>
      <w:marTop w:val="0"/>
      <w:marBottom w:val="0"/>
      <w:divBdr>
        <w:top w:val="none" w:sz="0" w:space="0" w:color="auto"/>
        <w:left w:val="none" w:sz="0" w:space="0" w:color="auto"/>
        <w:bottom w:val="none" w:sz="0" w:space="0" w:color="auto"/>
        <w:right w:val="none" w:sz="0" w:space="0" w:color="auto"/>
      </w:divBdr>
    </w:div>
    <w:div w:id="1566143945">
      <w:bodyDiv w:val="1"/>
      <w:marLeft w:val="0"/>
      <w:marRight w:val="0"/>
      <w:marTop w:val="0"/>
      <w:marBottom w:val="0"/>
      <w:divBdr>
        <w:top w:val="none" w:sz="0" w:space="0" w:color="auto"/>
        <w:left w:val="none" w:sz="0" w:space="0" w:color="auto"/>
        <w:bottom w:val="none" w:sz="0" w:space="0" w:color="auto"/>
        <w:right w:val="none" w:sz="0" w:space="0" w:color="auto"/>
      </w:divBdr>
    </w:div>
    <w:div w:id="1638098039">
      <w:bodyDiv w:val="1"/>
      <w:marLeft w:val="0"/>
      <w:marRight w:val="0"/>
      <w:marTop w:val="0"/>
      <w:marBottom w:val="0"/>
      <w:divBdr>
        <w:top w:val="none" w:sz="0" w:space="0" w:color="auto"/>
        <w:left w:val="none" w:sz="0" w:space="0" w:color="auto"/>
        <w:bottom w:val="none" w:sz="0" w:space="0" w:color="auto"/>
        <w:right w:val="none" w:sz="0" w:space="0" w:color="auto"/>
      </w:divBdr>
    </w:div>
    <w:div w:id="1708290666">
      <w:bodyDiv w:val="1"/>
      <w:marLeft w:val="0"/>
      <w:marRight w:val="0"/>
      <w:marTop w:val="0"/>
      <w:marBottom w:val="0"/>
      <w:divBdr>
        <w:top w:val="none" w:sz="0" w:space="0" w:color="auto"/>
        <w:left w:val="none" w:sz="0" w:space="0" w:color="auto"/>
        <w:bottom w:val="none" w:sz="0" w:space="0" w:color="auto"/>
        <w:right w:val="none" w:sz="0" w:space="0" w:color="auto"/>
      </w:divBdr>
    </w:div>
    <w:div w:id="1709066490">
      <w:bodyDiv w:val="1"/>
      <w:marLeft w:val="0"/>
      <w:marRight w:val="0"/>
      <w:marTop w:val="0"/>
      <w:marBottom w:val="0"/>
      <w:divBdr>
        <w:top w:val="none" w:sz="0" w:space="0" w:color="auto"/>
        <w:left w:val="none" w:sz="0" w:space="0" w:color="auto"/>
        <w:bottom w:val="none" w:sz="0" w:space="0" w:color="auto"/>
        <w:right w:val="none" w:sz="0" w:space="0" w:color="auto"/>
      </w:divBdr>
    </w:div>
    <w:div w:id="1743063130">
      <w:bodyDiv w:val="1"/>
      <w:marLeft w:val="0"/>
      <w:marRight w:val="0"/>
      <w:marTop w:val="0"/>
      <w:marBottom w:val="0"/>
      <w:divBdr>
        <w:top w:val="none" w:sz="0" w:space="0" w:color="auto"/>
        <w:left w:val="none" w:sz="0" w:space="0" w:color="auto"/>
        <w:bottom w:val="none" w:sz="0" w:space="0" w:color="auto"/>
        <w:right w:val="none" w:sz="0" w:space="0" w:color="auto"/>
      </w:divBdr>
    </w:div>
    <w:div w:id="1768690156">
      <w:bodyDiv w:val="1"/>
      <w:marLeft w:val="0"/>
      <w:marRight w:val="0"/>
      <w:marTop w:val="0"/>
      <w:marBottom w:val="0"/>
      <w:divBdr>
        <w:top w:val="none" w:sz="0" w:space="0" w:color="auto"/>
        <w:left w:val="none" w:sz="0" w:space="0" w:color="auto"/>
        <w:bottom w:val="none" w:sz="0" w:space="0" w:color="auto"/>
        <w:right w:val="none" w:sz="0" w:space="0" w:color="auto"/>
      </w:divBdr>
      <w:divsChild>
        <w:div w:id="1489318895">
          <w:marLeft w:val="0"/>
          <w:marRight w:val="0"/>
          <w:marTop w:val="0"/>
          <w:marBottom w:val="0"/>
          <w:divBdr>
            <w:top w:val="none" w:sz="0" w:space="0" w:color="auto"/>
            <w:left w:val="none" w:sz="0" w:space="0" w:color="auto"/>
            <w:bottom w:val="none" w:sz="0" w:space="0" w:color="auto"/>
            <w:right w:val="none" w:sz="0" w:space="0" w:color="auto"/>
          </w:divBdr>
          <w:divsChild>
            <w:div w:id="42214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185">
      <w:bodyDiv w:val="1"/>
      <w:marLeft w:val="0"/>
      <w:marRight w:val="0"/>
      <w:marTop w:val="0"/>
      <w:marBottom w:val="0"/>
      <w:divBdr>
        <w:top w:val="none" w:sz="0" w:space="0" w:color="auto"/>
        <w:left w:val="none" w:sz="0" w:space="0" w:color="auto"/>
        <w:bottom w:val="none" w:sz="0" w:space="0" w:color="auto"/>
        <w:right w:val="none" w:sz="0" w:space="0" w:color="auto"/>
      </w:divBdr>
    </w:div>
    <w:div w:id="1941524113">
      <w:bodyDiv w:val="1"/>
      <w:marLeft w:val="0"/>
      <w:marRight w:val="0"/>
      <w:marTop w:val="0"/>
      <w:marBottom w:val="0"/>
      <w:divBdr>
        <w:top w:val="none" w:sz="0" w:space="0" w:color="auto"/>
        <w:left w:val="none" w:sz="0" w:space="0" w:color="auto"/>
        <w:bottom w:val="none" w:sz="0" w:space="0" w:color="auto"/>
        <w:right w:val="none" w:sz="0" w:space="0" w:color="auto"/>
      </w:divBdr>
    </w:div>
    <w:div w:id="2039508725">
      <w:bodyDiv w:val="1"/>
      <w:marLeft w:val="0"/>
      <w:marRight w:val="0"/>
      <w:marTop w:val="0"/>
      <w:marBottom w:val="0"/>
      <w:divBdr>
        <w:top w:val="none" w:sz="0" w:space="0" w:color="auto"/>
        <w:left w:val="none" w:sz="0" w:space="0" w:color="auto"/>
        <w:bottom w:val="none" w:sz="0" w:space="0" w:color="auto"/>
        <w:right w:val="none" w:sz="0" w:space="0" w:color="auto"/>
      </w:divBdr>
      <w:divsChild>
        <w:div w:id="680544664">
          <w:marLeft w:val="0"/>
          <w:marRight w:val="0"/>
          <w:marTop w:val="0"/>
          <w:marBottom w:val="0"/>
          <w:divBdr>
            <w:top w:val="none" w:sz="0" w:space="0" w:color="auto"/>
            <w:left w:val="none" w:sz="0" w:space="0" w:color="auto"/>
            <w:bottom w:val="none" w:sz="0" w:space="0" w:color="auto"/>
            <w:right w:val="none" w:sz="0" w:space="0" w:color="auto"/>
          </w:divBdr>
          <w:divsChild>
            <w:div w:id="687027595">
              <w:marLeft w:val="0"/>
              <w:marRight w:val="0"/>
              <w:marTop w:val="0"/>
              <w:marBottom w:val="0"/>
              <w:divBdr>
                <w:top w:val="none" w:sz="0" w:space="0" w:color="auto"/>
                <w:left w:val="none" w:sz="0" w:space="0" w:color="auto"/>
                <w:bottom w:val="none" w:sz="0" w:space="0" w:color="auto"/>
                <w:right w:val="none" w:sz="0" w:space="0" w:color="auto"/>
              </w:divBdr>
              <w:divsChild>
                <w:div w:id="632101320">
                  <w:marLeft w:val="0"/>
                  <w:marRight w:val="0"/>
                  <w:marTop w:val="0"/>
                  <w:marBottom w:val="0"/>
                  <w:divBdr>
                    <w:top w:val="none" w:sz="0" w:space="0" w:color="auto"/>
                    <w:left w:val="none" w:sz="0" w:space="0" w:color="auto"/>
                    <w:bottom w:val="none" w:sz="0" w:space="0" w:color="auto"/>
                    <w:right w:val="none" w:sz="0" w:space="0" w:color="auto"/>
                  </w:divBdr>
                  <w:divsChild>
                    <w:div w:id="16196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500468">
      <w:bodyDiv w:val="1"/>
      <w:marLeft w:val="0"/>
      <w:marRight w:val="0"/>
      <w:marTop w:val="0"/>
      <w:marBottom w:val="0"/>
      <w:divBdr>
        <w:top w:val="none" w:sz="0" w:space="0" w:color="auto"/>
        <w:left w:val="none" w:sz="0" w:space="0" w:color="auto"/>
        <w:bottom w:val="none" w:sz="0" w:space="0" w:color="auto"/>
        <w:right w:val="none" w:sz="0" w:space="0" w:color="auto"/>
      </w:divBdr>
      <w:divsChild>
        <w:div w:id="971863285">
          <w:marLeft w:val="0"/>
          <w:marRight w:val="0"/>
          <w:marTop w:val="0"/>
          <w:marBottom w:val="0"/>
          <w:divBdr>
            <w:top w:val="none" w:sz="0" w:space="0" w:color="auto"/>
            <w:left w:val="none" w:sz="0" w:space="0" w:color="auto"/>
            <w:bottom w:val="none" w:sz="0" w:space="0" w:color="auto"/>
            <w:right w:val="none" w:sz="0" w:space="0" w:color="auto"/>
          </w:divBdr>
          <w:divsChild>
            <w:div w:id="1486313496">
              <w:marLeft w:val="0"/>
              <w:marRight w:val="0"/>
              <w:marTop w:val="0"/>
              <w:marBottom w:val="0"/>
              <w:divBdr>
                <w:top w:val="none" w:sz="0" w:space="0" w:color="auto"/>
                <w:left w:val="none" w:sz="0" w:space="0" w:color="auto"/>
                <w:bottom w:val="none" w:sz="0" w:space="0" w:color="auto"/>
                <w:right w:val="none" w:sz="0" w:space="0" w:color="auto"/>
              </w:divBdr>
              <w:divsChild>
                <w:div w:id="757361517">
                  <w:marLeft w:val="0"/>
                  <w:marRight w:val="0"/>
                  <w:marTop w:val="0"/>
                  <w:marBottom w:val="0"/>
                  <w:divBdr>
                    <w:top w:val="none" w:sz="0" w:space="0" w:color="auto"/>
                    <w:left w:val="none" w:sz="0" w:space="0" w:color="auto"/>
                    <w:bottom w:val="none" w:sz="0" w:space="0" w:color="auto"/>
                    <w:right w:val="none" w:sz="0" w:space="0" w:color="auto"/>
                  </w:divBdr>
                  <w:divsChild>
                    <w:div w:id="13713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doi.org/10.3200/TCHS.82.6.267-274" TargetMode="External"/><Relationship Id="rId26" Type="http://schemas.openxmlformats.org/officeDocument/2006/relationships/hyperlink" Target="https://doi.org/10.1111/jpm.13143" TargetMode="External"/><Relationship Id="rId3" Type="http://schemas.openxmlformats.org/officeDocument/2006/relationships/styles" Target="styles.xml"/><Relationship Id="rId21" Type="http://schemas.openxmlformats.org/officeDocument/2006/relationships/hyperlink" Target="https://doi.org/10.3390/su16114678"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20448/jeelr.v10i2.4592" TargetMode="External"/><Relationship Id="rId25" Type="http://schemas.openxmlformats.org/officeDocument/2006/relationships/hyperlink" Target="https://doi.org/10.1016/j.ijdrr.2019.101084" TargetMode="External"/><Relationship Id="rId2" Type="http://schemas.openxmlformats.org/officeDocument/2006/relationships/numbering" Target="numbering.xml"/><Relationship Id="rId16" Type="http://schemas.openxmlformats.org/officeDocument/2006/relationships/hyperlink" Target="https://doi.org/10.47191/ijsshr/v6-i6-56" TargetMode="External"/><Relationship Id="rId20" Type="http://schemas.openxmlformats.org/officeDocument/2006/relationships/hyperlink" Target="https://doi.org/10.1111/disa.12543"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ijisrt.com/assets/upload/files/IJISRT20DEC243.pdf" TargetMode="External"/><Relationship Id="rId5" Type="http://schemas.openxmlformats.org/officeDocument/2006/relationships/webSettings" Target="webSettings.xml"/><Relationship Id="rId15" Type="http://schemas.openxmlformats.org/officeDocument/2006/relationships/hyperlink" Target="https://doi.org/10.47119/IJRP1001281720235260" TargetMode="External"/><Relationship Id="rId23" Type="http://schemas.openxmlformats.org/officeDocument/2006/relationships/hyperlink" Target="https://www.preventionweb.net/publication/documents-and-publications/world-%09risk-report-2025-focus-floods" TargetMode="External"/><Relationship Id="rId28" Type="http://schemas.openxmlformats.org/officeDocument/2006/relationships/hyperlink" Target="https://doi.org/10.1007/s11165-016-9602-2" TargetMode="External"/><Relationship Id="rId10" Type="http://schemas.openxmlformats.org/officeDocument/2006/relationships/header" Target="header2.xml"/><Relationship Id="rId19" Type="http://schemas.openxmlformats.org/officeDocument/2006/relationships/hyperlink" Target="https://doi.org/10.1007/s13753-020-00278-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doi.org/10.5465/AMR.1998.192960" TargetMode="External"/><Relationship Id="rId27" Type="http://schemas.openxmlformats.org/officeDocument/2006/relationships/hyperlink" Target="https://doi.org/10.17977/um017v28i22023p158-167"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6158A-A48F-4E77-8E23-7ABA8A39D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4336</TotalTime>
  <Pages>86</Pages>
  <Words>23194</Words>
  <Characters>132208</Characters>
  <Application>Microsoft Office Word</Application>
  <DocSecurity>0</DocSecurity>
  <Lines>1101</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106</cp:revision>
  <cp:lastPrinted>2026-06-19T00:25:00Z</cp:lastPrinted>
  <dcterms:created xsi:type="dcterms:W3CDTF">2025-05-30T10:45:00Z</dcterms:created>
  <dcterms:modified xsi:type="dcterms:W3CDTF">2026-06-19T05:55:00Z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aa733784-5673-425e-90dc-31087483a6c2</vt:lpwstr>
  </property>
</Properties>
</file>