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7406" w14:textId="6E2774E2" w:rsidR="005633E5" w:rsidRPr="00AC20C2" w:rsidRDefault="005633E5" w:rsidP="00AC20C2">
      <w:pPr>
        <w:spacing w:before="240" w:after="0" w:line="240" w:lineRule="auto"/>
        <w:jc w:val="center"/>
        <w:rPr>
          <w:rFonts w:ascii="Times New Roman" w:hAnsi="Times New Roman" w:cs="Times New Roman"/>
          <w:b/>
          <w:bCs/>
          <w:sz w:val="36"/>
          <w:szCs w:val="36"/>
        </w:rPr>
      </w:pPr>
      <w:r w:rsidRPr="00AC20C2">
        <w:rPr>
          <w:rFonts w:ascii="Times New Roman" w:hAnsi="Times New Roman" w:cs="Times New Roman"/>
          <w:b/>
          <w:bCs/>
          <w:sz w:val="36"/>
          <w:szCs w:val="36"/>
        </w:rPr>
        <w:t>British Colonial Administration and Islamic Institutional Resilience in Kelantan (1915–1945)</w:t>
      </w:r>
    </w:p>
    <w:p w14:paraId="0D730FF5" w14:textId="66C0CF69" w:rsidR="00A8392A" w:rsidRPr="00AC20C2" w:rsidRDefault="00A8392A" w:rsidP="003B73E3">
      <w:pPr>
        <w:spacing w:before="240" w:after="0" w:line="240" w:lineRule="auto"/>
        <w:jc w:val="both"/>
        <w:rPr>
          <w:rFonts w:ascii="Times New Roman" w:hAnsi="Times New Roman" w:cs="Times New Roman"/>
          <w:b/>
          <w:bCs/>
        </w:rPr>
      </w:pPr>
      <w:r w:rsidRPr="00AC20C2">
        <w:rPr>
          <w:rFonts w:ascii="Times New Roman" w:hAnsi="Times New Roman" w:cs="Times New Roman"/>
          <w:b/>
          <w:bCs/>
        </w:rPr>
        <w:t>Abstract</w:t>
      </w:r>
    </w:p>
    <w:p w14:paraId="639FBBA4" w14:textId="03D2E07D" w:rsidR="0079535B" w:rsidRPr="00AC20C2" w:rsidRDefault="0079535B" w:rsidP="003B73E3">
      <w:pPr>
        <w:spacing w:before="240" w:after="0" w:line="240" w:lineRule="auto"/>
        <w:jc w:val="both"/>
        <w:rPr>
          <w:rFonts w:ascii="Times New Roman" w:hAnsi="Times New Roman" w:cs="Times New Roman"/>
        </w:rPr>
      </w:pPr>
      <w:r w:rsidRPr="00AC20C2">
        <w:rPr>
          <w:rFonts w:ascii="Times New Roman" w:hAnsi="Times New Roman" w:cs="Times New Roman"/>
        </w:rPr>
        <w:t>This study examines the socio-religious administration of Kelantan</w:t>
      </w:r>
      <w:r w:rsidR="00F961A8" w:rsidRPr="00AC20C2">
        <w:rPr>
          <w:rFonts w:ascii="Times New Roman" w:hAnsi="Times New Roman" w:cs="Times New Roman"/>
        </w:rPr>
        <w:t xml:space="preserve"> under British colonial </w:t>
      </w:r>
      <w:proofErr w:type="spellStart"/>
      <w:r w:rsidR="00F961A8" w:rsidRPr="00AC20C2">
        <w:rPr>
          <w:rFonts w:ascii="Times New Roman" w:hAnsi="Times New Roman" w:cs="Times New Roman"/>
        </w:rPr>
        <w:t>adminstration</w:t>
      </w:r>
      <w:proofErr w:type="spellEnd"/>
      <w:r w:rsidRPr="00AC20C2">
        <w:rPr>
          <w:rFonts w:ascii="Times New Roman" w:hAnsi="Times New Roman" w:cs="Times New Roman"/>
        </w:rPr>
        <w:t>, Malay</w:t>
      </w:r>
      <w:r w:rsidR="00AD1CE1" w:rsidRPr="00AC20C2">
        <w:rPr>
          <w:rFonts w:ascii="Times New Roman" w:hAnsi="Times New Roman" w:cs="Times New Roman"/>
        </w:rPr>
        <w:t>a</w:t>
      </w:r>
      <w:r w:rsidRPr="00AC20C2">
        <w:rPr>
          <w:rFonts w:ascii="Times New Roman" w:hAnsi="Times New Roman" w:cs="Times New Roman"/>
        </w:rPr>
        <w:t xml:space="preserve">, between 1915 and 1945 through the analytical framework of Ibn Khaldun’s Theory of </w:t>
      </w:r>
      <w:proofErr w:type="spellStart"/>
      <w:r w:rsidRPr="00AC20C2">
        <w:rPr>
          <w:rFonts w:ascii="Times New Roman" w:hAnsi="Times New Roman" w:cs="Times New Roman"/>
          <w:i/>
          <w:iCs/>
        </w:rPr>
        <w:t>ʿUmrān</w:t>
      </w:r>
      <w:proofErr w:type="spellEnd"/>
      <w:r w:rsidRPr="00AC20C2">
        <w:rPr>
          <w:rFonts w:ascii="Times New Roman" w:hAnsi="Times New Roman" w:cs="Times New Roman"/>
        </w:rPr>
        <w:t xml:space="preserve"> (civilization). During this transitional colonial era, Kelantan was widely designated as the “Paris of Malaya,” reflecting its burgeoning commercial dynamism, cultural vibrancy, and intellectual development. However, British colonial hegemony introduced structural transformations that precipitated socio-moral tensions and fractured traditional Islamic values. In response, local administrative elites led by Dato’ Perdana, in tandem with the Kelantan Islamic Religious and Malay Customs Council (</w:t>
      </w:r>
      <w:r w:rsidRPr="00AC20C2">
        <w:rPr>
          <w:rFonts w:ascii="Times New Roman" w:hAnsi="Times New Roman" w:cs="Times New Roman"/>
          <w:i/>
          <w:iCs/>
        </w:rPr>
        <w:t xml:space="preserve">Majlis Agama Islam dan Adat </w:t>
      </w:r>
      <w:proofErr w:type="spellStart"/>
      <w:r w:rsidRPr="00AC20C2">
        <w:rPr>
          <w:rFonts w:ascii="Times New Roman" w:hAnsi="Times New Roman" w:cs="Times New Roman"/>
          <w:i/>
          <w:iCs/>
        </w:rPr>
        <w:t>Istiadat</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Melayu</w:t>
      </w:r>
      <w:proofErr w:type="spellEnd"/>
      <w:r w:rsidRPr="00AC20C2">
        <w:rPr>
          <w:rFonts w:ascii="Times New Roman" w:hAnsi="Times New Roman" w:cs="Times New Roman"/>
          <w:i/>
          <w:iCs/>
        </w:rPr>
        <w:t xml:space="preserve"> Kelantan</w:t>
      </w:r>
      <w:r w:rsidRPr="00AC20C2">
        <w:rPr>
          <w:rFonts w:ascii="Times New Roman" w:hAnsi="Times New Roman" w:cs="Times New Roman"/>
        </w:rPr>
        <w:t xml:space="preserve"> [MAIK]), executed a series of institutional reforms designed to re-establish Islamic governance and social order. Employing a qualitative historical research design, this study utilizes thematic document analysis of state archival registries, colonial intelligence reports, MAIK administrative files, and contemporary historiographical literature. The empirical data are systematically </w:t>
      </w:r>
      <w:proofErr w:type="spellStart"/>
      <w:r w:rsidRPr="00AC20C2">
        <w:rPr>
          <w:rFonts w:ascii="Times New Roman" w:hAnsi="Times New Roman" w:cs="Times New Roman"/>
        </w:rPr>
        <w:t>analyzed</w:t>
      </w:r>
      <w:proofErr w:type="spellEnd"/>
      <w:r w:rsidRPr="00AC20C2">
        <w:rPr>
          <w:rFonts w:ascii="Times New Roman" w:hAnsi="Times New Roman" w:cs="Times New Roman"/>
        </w:rPr>
        <w:t xml:space="preserve"> through three core dimensions of </w:t>
      </w:r>
      <w:proofErr w:type="spellStart"/>
      <w:r w:rsidRPr="00AC20C2">
        <w:rPr>
          <w:rFonts w:ascii="Times New Roman" w:hAnsi="Times New Roman" w:cs="Times New Roman"/>
        </w:rPr>
        <w:t>Khaldunian</w:t>
      </w:r>
      <w:proofErr w:type="spellEnd"/>
      <w:r w:rsidRPr="00AC20C2">
        <w:rPr>
          <w:rFonts w:ascii="Times New Roman" w:hAnsi="Times New Roman" w:cs="Times New Roman"/>
        </w:rPr>
        <w:t xml:space="preserve"> theory</w:t>
      </w:r>
      <w:r w:rsidR="00260F94" w:rsidRPr="00AC20C2">
        <w:rPr>
          <w:rFonts w:ascii="Times New Roman" w:hAnsi="Times New Roman" w:cs="Times New Roman"/>
        </w:rPr>
        <w:t xml:space="preserve"> such as </w:t>
      </w:r>
      <w:r w:rsidRPr="00AC20C2">
        <w:rPr>
          <w:rFonts w:ascii="Times New Roman" w:hAnsi="Times New Roman" w:cs="Times New Roman"/>
        </w:rPr>
        <w:t>religion (</w:t>
      </w:r>
      <w:r w:rsidRPr="00AC20C2">
        <w:rPr>
          <w:rFonts w:ascii="Times New Roman" w:hAnsi="Times New Roman" w:cs="Times New Roman"/>
          <w:i/>
          <w:iCs/>
        </w:rPr>
        <w:t>al-</w:t>
      </w:r>
      <w:proofErr w:type="spellStart"/>
      <w:r w:rsidRPr="00AC20C2">
        <w:rPr>
          <w:rFonts w:ascii="Times New Roman" w:hAnsi="Times New Roman" w:cs="Times New Roman"/>
          <w:i/>
          <w:iCs/>
        </w:rPr>
        <w:t>Dīn</w:t>
      </w:r>
      <w:proofErr w:type="spellEnd"/>
      <w:r w:rsidRPr="00AC20C2">
        <w:rPr>
          <w:rFonts w:ascii="Times New Roman" w:hAnsi="Times New Roman" w:cs="Times New Roman"/>
        </w:rPr>
        <w:t>), social solidarity (</w:t>
      </w:r>
      <w:proofErr w:type="spellStart"/>
      <w:r w:rsidRPr="00AC20C2">
        <w:rPr>
          <w:rFonts w:ascii="Times New Roman" w:hAnsi="Times New Roman" w:cs="Times New Roman"/>
          <w:i/>
          <w:iCs/>
        </w:rPr>
        <w:t>ʿAṣabiyyah</w:t>
      </w:r>
      <w:proofErr w:type="spellEnd"/>
      <w:r w:rsidRPr="00AC20C2">
        <w:rPr>
          <w:rFonts w:ascii="Times New Roman" w:hAnsi="Times New Roman" w:cs="Times New Roman"/>
        </w:rPr>
        <w:t>), and political-legal architecture (</w:t>
      </w:r>
      <w:proofErr w:type="spellStart"/>
      <w:r w:rsidRPr="00AC20C2">
        <w:rPr>
          <w:rFonts w:ascii="Times New Roman" w:hAnsi="Times New Roman" w:cs="Times New Roman"/>
          <w:i/>
          <w:iCs/>
        </w:rPr>
        <w:t>Siyāsah</w:t>
      </w:r>
      <w:proofErr w:type="spellEnd"/>
      <w:r w:rsidRPr="00AC20C2">
        <w:rPr>
          <w:rFonts w:ascii="Times New Roman" w:hAnsi="Times New Roman" w:cs="Times New Roman"/>
          <w:i/>
          <w:iCs/>
        </w:rPr>
        <w:t xml:space="preserve"> &amp; al-</w:t>
      </w:r>
      <w:proofErr w:type="spellStart"/>
      <w:r w:rsidRPr="00AC20C2">
        <w:rPr>
          <w:rFonts w:ascii="Times New Roman" w:hAnsi="Times New Roman" w:cs="Times New Roman"/>
          <w:i/>
          <w:iCs/>
        </w:rPr>
        <w:t>Sharīʿah</w:t>
      </w:r>
      <w:proofErr w:type="spellEnd"/>
      <w:r w:rsidRPr="00AC20C2">
        <w:rPr>
          <w:rFonts w:ascii="Times New Roman" w:hAnsi="Times New Roman" w:cs="Times New Roman"/>
        </w:rPr>
        <w:t xml:space="preserve">). The findings demonstrate that MAIK functioned as a critical institutional nexus that harmonized modern bureaucratic expansion with Islamic moral governance. Through targeted pedagogical initiatives, rigorous legal enforcement, and strategic elite coalitions, Dato’ Perdana’s administration fortified social cohesion and mitigated systemic moral decline. This study concludes that Kelantan’s socio-political resilience during the colonial epoch was fundamentally shaped by the pragmatic operationalization of Islamic institutional leadership and </w:t>
      </w:r>
      <w:proofErr w:type="spellStart"/>
      <w:r w:rsidRPr="00AC20C2">
        <w:rPr>
          <w:rFonts w:ascii="Times New Roman" w:hAnsi="Times New Roman" w:cs="Times New Roman"/>
        </w:rPr>
        <w:t>Khaldunian</w:t>
      </w:r>
      <w:proofErr w:type="spellEnd"/>
      <w:r w:rsidRPr="00AC20C2">
        <w:rPr>
          <w:rFonts w:ascii="Times New Roman" w:hAnsi="Times New Roman" w:cs="Times New Roman"/>
        </w:rPr>
        <w:t xml:space="preserve"> civilizational tenets.</w:t>
      </w:r>
    </w:p>
    <w:p w14:paraId="0F1CB197" w14:textId="451ED99A" w:rsidR="00894C00" w:rsidRPr="00AC20C2" w:rsidRDefault="00894C0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Keywords: Paris of Malaya in Kelantan; Ibn Khaldun; </w:t>
      </w:r>
      <w:proofErr w:type="spellStart"/>
      <w:r w:rsidRPr="00AC20C2">
        <w:rPr>
          <w:rFonts w:ascii="Times New Roman" w:hAnsi="Times New Roman" w:cs="Times New Roman"/>
        </w:rPr>
        <w:t>ʿUmran</w:t>
      </w:r>
      <w:proofErr w:type="spellEnd"/>
      <w:r w:rsidRPr="00AC20C2">
        <w:rPr>
          <w:rFonts w:ascii="Times New Roman" w:hAnsi="Times New Roman" w:cs="Times New Roman"/>
        </w:rPr>
        <w:t xml:space="preserve"> theory; MAIK; Islamic governance</w:t>
      </w:r>
    </w:p>
    <w:p w14:paraId="1F2FE18A" w14:textId="77777777" w:rsidR="00A8392A" w:rsidRPr="00AC20C2" w:rsidRDefault="00A8392A" w:rsidP="003B73E3">
      <w:pPr>
        <w:spacing w:before="240" w:after="0" w:line="240" w:lineRule="auto"/>
        <w:jc w:val="both"/>
        <w:rPr>
          <w:rFonts w:ascii="Times New Roman" w:hAnsi="Times New Roman" w:cs="Times New Roman"/>
        </w:rPr>
      </w:pPr>
    </w:p>
    <w:p w14:paraId="28F8F8E4" w14:textId="0D26A90C" w:rsidR="00023080" w:rsidRPr="000F20A6" w:rsidRDefault="00023080" w:rsidP="003B73E3">
      <w:pPr>
        <w:spacing w:before="240" w:after="0" w:line="240" w:lineRule="auto"/>
        <w:jc w:val="both"/>
        <w:rPr>
          <w:rFonts w:ascii="Times New Roman" w:hAnsi="Times New Roman" w:cs="Times New Roman"/>
          <w:b/>
          <w:bCs/>
        </w:rPr>
      </w:pPr>
      <w:r w:rsidRPr="000F20A6">
        <w:rPr>
          <w:rFonts w:ascii="Times New Roman" w:hAnsi="Times New Roman" w:cs="Times New Roman"/>
          <w:b/>
          <w:bCs/>
        </w:rPr>
        <w:t>Introduction</w:t>
      </w:r>
    </w:p>
    <w:p w14:paraId="72710330"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Kelantan is widely recognised as one of the oldest political entities in the Malay Peninsula, possessing a long and continuous tradition of governance that predates the colonial era. Owing to its strategic location along the Isthmus of Kra and its proximity to major maritime trade routes, the state emerged as an important commercial centre connecting regional and international markets (Andaya &amp; Andaya, 2017). The presence of entrepôt ports further stimulated economic development and intensified trading activities. As international trading hubs, entrepôt ports functioned as centres for the exchange, storage, and redistribution of goods, while also providing essential facilities such as warehouses, shelters, and supplies for merchants and travellers (Seow Han Lin, 2021). Consequently, Kelantan became an important node in the commercial networks linking China, India, and the Malay world, facilitating the exchange of commodities, ideas, and cultural influences (</w:t>
      </w:r>
      <w:proofErr w:type="spellStart"/>
      <w:r w:rsidRPr="00AC20C2">
        <w:rPr>
          <w:rFonts w:ascii="Times New Roman" w:hAnsi="Times New Roman" w:cs="Times New Roman"/>
        </w:rPr>
        <w:t>Haziyah</w:t>
      </w:r>
      <w:proofErr w:type="spellEnd"/>
      <w:r w:rsidRPr="00AC20C2">
        <w:rPr>
          <w:rFonts w:ascii="Times New Roman" w:hAnsi="Times New Roman" w:cs="Times New Roman"/>
        </w:rPr>
        <w:t xml:space="preserve"> Hussin, 2004).</w:t>
      </w:r>
    </w:p>
    <w:p w14:paraId="749449C3"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In addition to its economic significance, Kelantan developed a well-organised system of governance that facilitated cooperation between the ruler and state officials. The state's political stability was supported by a structured administrative framework rooted in the Malay monarchical tradition (Milner, 1982). Alongside its political development, Kelantan became renowned for its rich cultural heritage, particularly its traditional performing arts such as </w:t>
      </w:r>
      <w:proofErr w:type="spellStart"/>
      <w:r w:rsidRPr="00AC20C2">
        <w:rPr>
          <w:rFonts w:ascii="Times New Roman" w:hAnsi="Times New Roman" w:cs="Times New Roman"/>
          <w:i/>
          <w:iCs/>
        </w:rPr>
        <w:t>wayang</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kulit</w:t>
      </w:r>
      <w:proofErr w:type="spellEnd"/>
      <w:r w:rsidRPr="00AC20C2">
        <w:rPr>
          <w:rFonts w:ascii="Times New Roman" w:hAnsi="Times New Roman" w:cs="Times New Roman"/>
        </w:rPr>
        <w:t xml:space="preserve"> (shadow puppet theatre), gamelan music, and </w:t>
      </w:r>
      <w:proofErr w:type="spellStart"/>
      <w:r w:rsidRPr="00AC20C2">
        <w:rPr>
          <w:rFonts w:ascii="Times New Roman" w:hAnsi="Times New Roman" w:cs="Times New Roman"/>
          <w:i/>
          <w:iCs/>
        </w:rPr>
        <w:t>dikir</w:t>
      </w:r>
      <w:proofErr w:type="spellEnd"/>
      <w:r w:rsidRPr="00AC20C2">
        <w:rPr>
          <w:rFonts w:ascii="Times New Roman" w:hAnsi="Times New Roman" w:cs="Times New Roman"/>
          <w:i/>
          <w:iCs/>
        </w:rPr>
        <w:t xml:space="preserve"> barat</w:t>
      </w:r>
      <w:r w:rsidRPr="00AC20C2">
        <w:rPr>
          <w:rFonts w:ascii="Times New Roman" w:hAnsi="Times New Roman" w:cs="Times New Roman"/>
        </w:rPr>
        <w:t xml:space="preserve">. These cultural traditions attracted merchants, aristocrats, and foreign visitors, enhancing the state's reputation as a regional centre of culture and learning (Roff, 1974). </w:t>
      </w:r>
      <w:proofErr w:type="spellStart"/>
      <w:r w:rsidRPr="00AC20C2">
        <w:rPr>
          <w:rFonts w:ascii="Times New Roman" w:hAnsi="Times New Roman" w:cs="Times New Roman"/>
          <w:i/>
          <w:iCs/>
        </w:rPr>
        <w:t>Wayang</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kulit</w:t>
      </w:r>
      <w:proofErr w:type="spellEnd"/>
      <w:r w:rsidRPr="00AC20C2">
        <w:rPr>
          <w:rFonts w:ascii="Times New Roman" w:hAnsi="Times New Roman" w:cs="Times New Roman"/>
        </w:rPr>
        <w:t xml:space="preserve"> functioned as an important medium of entertainment and cultural transmission, while </w:t>
      </w:r>
      <w:proofErr w:type="spellStart"/>
      <w:r w:rsidRPr="00AC20C2">
        <w:rPr>
          <w:rFonts w:ascii="Times New Roman" w:hAnsi="Times New Roman" w:cs="Times New Roman"/>
          <w:i/>
          <w:iCs/>
        </w:rPr>
        <w:t>dikir</w:t>
      </w:r>
      <w:proofErr w:type="spellEnd"/>
      <w:r w:rsidRPr="00AC20C2">
        <w:rPr>
          <w:rFonts w:ascii="Times New Roman" w:hAnsi="Times New Roman" w:cs="Times New Roman"/>
          <w:i/>
          <w:iCs/>
        </w:rPr>
        <w:t xml:space="preserve"> barat</w:t>
      </w:r>
      <w:r w:rsidRPr="00AC20C2">
        <w:rPr>
          <w:rFonts w:ascii="Times New Roman" w:hAnsi="Times New Roman" w:cs="Times New Roman"/>
        </w:rPr>
        <w:t xml:space="preserve"> reflected the communal values and social identity of the Malay community (Fara Dayana, 2014).</w:t>
      </w:r>
    </w:p>
    <w:p w14:paraId="77DEAB75"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Despite these cultural achievements, the rapid expansion of entertainment activities and increasing exposure to external influences generated social challenges that gradually affected the moral and social fabric of local society. During the period of British intervention and advisory administration, Kelantan experienced significant socio-cultural transformations arising from interactions between indigenous traditions and colonial modernity (Liow, </w:t>
      </w:r>
      <w:r w:rsidRPr="00AC20C2">
        <w:rPr>
          <w:rFonts w:ascii="Times New Roman" w:hAnsi="Times New Roman" w:cs="Times New Roman"/>
        </w:rPr>
        <w:lastRenderedPageBreak/>
        <w:t>2009). The expansion of urban centres, the influx of migrant populations, and the proliferation of entertainment establishments contributed to changing patterns of social behaviour. Over time, these developments became associated with the growth of prostitution and other forms of moral transgression, leading colonial observers to describe Kelantan using the controversial epithet “Paris of Malaya” (Roff, 1974). Historical accounts suggest that women from various social backgrounds became involved in the prostitution industry, which served as a source of income for widows, single mothers, brothel operators, and owners of lodging establishments (Manderson, 1980).</w:t>
      </w:r>
    </w:p>
    <w:p w14:paraId="34649DD1" w14:textId="648430BC"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growing prevalence of prostitution and related social problems emerged as a major concern among political leaders, religious scholars, and community reformers. In response, influential figures such as Dato’ Perdana and Tok Kenali initiated various administrative and socio-religious reforms aimed at addressing moral decline and strengthening Islamic values within society (Mohd Roslan Mohd Nor, 2011). These initiatives were implemented through institutions such as the </w:t>
      </w:r>
      <w:r w:rsidR="00390A0E" w:rsidRPr="00AC20C2">
        <w:rPr>
          <w:rFonts w:ascii="Times New Roman" w:hAnsi="Times New Roman" w:cs="Times New Roman"/>
        </w:rPr>
        <w:t>Kelantan Islamic Religious and Malay Customs Council (MAIK)</w:t>
      </w:r>
      <w:r w:rsidRPr="00AC20C2">
        <w:rPr>
          <w:rFonts w:ascii="Times New Roman" w:hAnsi="Times New Roman" w:cs="Times New Roman"/>
        </w:rPr>
        <w:t>, traditional Islamic schools, and community-based organisations. Established in 1915, MAIK played a pivotal role in promoting Islamic education, regulating religious affairs, and implementing social reform programmes designed to counter the spread of immoral activities and reinforce the Islamic identity of the state (Mohd Roslan Mohd Nor, 2011).</w:t>
      </w:r>
    </w:p>
    <w:p w14:paraId="13072D93"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Against this backdrop, the present study examines the political and administrative strategies employed by Dato’ Perdana and MAIK in addressing the social and moral challenges that contributed to Kelantan’s reputation as the “Paris of Malaya” between 1915 and 1945. By analysing the interaction between political authority, Islamic institutions, and social reform initiatives, this study seeks to contribute to a deeper understanding of how indigenous governance structures responded to colonial-era social transformations and attempted to preserve the moral integrity of Malay-Muslim society. Furthermore, the study offers insights into the broader role of Islamic institutions in shaping social policy and moral governance within colonial Malaya.</w:t>
      </w:r>
    </w:p>
    <w:p w14:paraId="7B5875AB" w14:textId="77777777" w:rsidR="00023080" w:rsidRPr="00AC20C2" w:rsidRDefault="00023080" w:rsidP="003B73E3">
      <w:pPr>
        <w:spacing w:before="240" w:after="0" w:line="240" w:lineRule="auto"/>
        <w:jc w:val="both"/>
        <w:rPr>
          <w:rFonts w:ascii="Times New Roman" w:hAnsi="Times New Roman" w:cs="Times New Roman"/>
          <w:b/>
          <w:bCs/>
        </w:rPr>
      </w:pPr>
      <w:r w:rsidRPr="00AC20C2">
        <w:rPr>
          <w:rFonts w:ascii="Times New Roman" w:hAnsi="Times New Roman" w:cs="Times New Roman"/>
          <w:b/>
          <w:bCs/>
        </w:rPr>
        <w:t>Background of the Study</w:t>
      </w:r>
    </w:p>
    <w:p w14:paraId="0BA715F0"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Traditional political and administrative systems in the Malay Peninsula existed long before the arrival of Western colonial powers and were characterised by relatively stable and systematic governing structures. The political organisation of traditional Malay society was fundamentally rooted in a feudal framework that positioned the ruler, or Sultan, at the apex of political authority. The effectiveness of governance depended largely on the ability of political leaders to administer state affairs, regulate economic activities, and maintain social order. Such administrative competence contributed significantly to the prosperity and stability of Malay polities, as exemplified by the golden age of the Malay Sultanate of Malacca (Milner, 1982; Andaya &amp; Andaya, 2017). In a broader sense, political administration extends beyond the exercise of formal authority and power; it encompasses decision-making processes, resource allocation, institutional governance, and the regulation of social and moral order within society (Easton, 1965).</w:t>
      </w:r>
    </w:p>
    <w:p w14:paraId="2401528F"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Within the historical development of the East Coast region of the Malay Peninsula, Kelantan occupies a significant position as one of the oldest Malay states to have practised a structured monarchical system of government. Historical records indicate that organised royal administration had been established in Kelantan since at least the twelfth century (Nik Hassan Shuhaimi, 1987). The state's strategic location along international maritime trade routes, coupled with the expansion of entrepôt trading ports during the nineteenth century, contributed substantially to its economic prosperity (</w:t>
      </w:r>
      <w:proofErr w:type="spellStart"/>
      <w:r w:rsidRPr="00AC20C2">
        <w:rPr>
          <w:rFonts w:ascii="Times New Roman" w:hAnsi="Times New Roman" w:cs="Times New Roman"/>
        </w:rPr>
        <w:t>Haziyah</w:t>
      </w:r>
      <w:proofErr w:type="spellEnd"/>
      <w:r w:rsidRPr="00AC20C2">
        <w:rPr>
          <w:rFonts w:ascii="Times New Roman" w:hAnsi="Times New Roman" w:cs="Times New Roman"/>
        </w:rPr>
        <w:t xml:space="preserve"> Hussin, 2004). Consequently, Kelantan emerged as an important centre of commercial and cultural exchanges involving merchants, travellers, and migrants from various parts of Asia. The state's rich cultural heritage, including traditional performing arts and religious traditions, further enhanced its prominence among local elites, foreign traders, and visiting dignitaries (Roff, 1974). However, the intensification of cross-cultural interactions and the proliferation of entertainment activities in port towns and commercial centres also generated social challenges that gradually affected the moral and social fabric of local society.</w:t>
      </w:r>
    </w:p>
    <w:p w14:paraId="61C8FE88"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socio-political landscape of Kelantan underwent profound transformation during the colonial period in the early twentieth century. The process began with the Siam–Kelantan Agreement of 1902 and culminated in the Anglo-Siamese Treaty of 1909, through which Siam relinquished its authority over Kelantan and facilitated the </w:t>
      </w:r>
      <w:r w:rsidRPr="00AC20C2">
        <w:rPr>
          <w:rFonts w:ascii="Times New Roman" w:hAnsi="Times New Roman" w:cs="Times New Roman"/>
        </w:rPr>
        <w:lastRenderedPageBreak/>
        <w:t>expansion of British political influence in the state (Andaya &amp; Andaya, 2017). The appointment of British advisers, including James Scott Mason, introduced significant administrative restructuring that altered the traditional balance of political power (Roff, 1974). Under the colonial administrative framework, the authority of the Sultan was increasingly confined to matters relating to Malay customs and Islamic affairs, while executive and bureaucratic powers were gradually transferred to British-controlled institutions (Liow, 2009).</w:t>
      </w:r>
    </w:p>
    <w:p w14:paraId="76D9854A"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One of the most consequential aspects of colonial intervention was the reorganisation of the legal and judicial system. The introduction of secular legal institutions substantially reduced the jurisdiction of Islamic courts, limiting their authority primarily to personal and religious matters (Mohd Roslan Mohd Nor, 2011). As a result, the capacity of Islamic legal institutions to regulate moral offences and enforce social discipline was significantly weakened. This transformation in the legal structure coincided with broader socio-economic changes associated with colonial capitalism, including the influx of male migrant labourers, urban expansion, and the construction of inexpensive lodging facilities designed to support commercial activities (Gullick, 1987). Collectively, these developments created conditions that facilitated the growth of various social problems, particularly prostitution and illicit sexual activities.</w:t>
      </w:r>
    </w:p>
    <w:p w14:paraId="11DB5894"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The weakening of traditional mechanisms of social control had profound consequences for the moral landscape of the state. Historical evidence suggests that prostitution and other forms of sexual misconduct became increasingly prevalent in urban centres and commercial districts during the colonial period (Manderson, 1980). Economic hardship following the First World War, the burden of colonial taxation policies, fragile socio-religious conditions, and high rates of marital dissolution among widows and single mothers contributed to the vulnerability of many women (Khoo, 1984). Faced with limited economic opportunities, some resorted to prostitution as a means of sustaining themselves and their families. The concentration of such activities in towns and emerging economic centres further amplified public concern regarding moral decline and social disorder.</w:t>
      </w:r>
    </w:p>
    <w:p w14:paraId="26E1E070"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These developments ultimately contributed to the emergence of a negative reputation that became closely associated with Kelantan during the colonial period. Colonial officials and observers increasingly referred to the state as the “Paris of Malaya,” a label that reflected perceptions of widespread prostitution and an active entertainment culture (Roff, 1974). More than a simple description of urban social life, the term functioned as a colonial discourse that portrayed Kelantan as a centre of moral decadence. For the Malay-Muslim community, this designation represented a profound challenge to the state's Islamic identity, social values, and collective dignity. Consequently, the phenomenon became a major concern among local political leaders, religious scholars, and reformist institutions, who sought to restore moral order and preserve the socio-religious foundations of Kelantanese society.</w:t>
      </w:r>
    </w:p>
    <w:p w14:paraId="25491741" w14:textId="3289C661" w:rsidR="00023080"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Against this backdrop, the present study examines the political and administrative responses undertaken by local leaders, particularly through the efforts of Dato’ Perdana </w:t>
      </w:r>
      <w:r w:rsidR="00AC3A09" w:rsidRPr="00AC20C2">
        <w:rPr>
          <w:rFonts w:ascii="Times New Roman" w:hAnsi="Times New Roman" w:cs="Times New Roman"/>
        </w:rPr>
        <w:t xml:space="preserve">and </w:t>
      </w:r>
      <w:r w:rsidRPr="00AC20C2">
        <w:rPr>
          <w:rFonts w:ascii="Times New Roman" w:hAnsi="Times New Roman" w:cs="Times New Roman"/>
        </w:rPr>
        <w:t>MAIK</w:t>
      </w:r>
      <w:r w:rsidR="00AC3A09" w:rsidRPr="00AC20C2">
        <w:rPr>
          <w:rFonts w:ascii="Times New Roman" w:hAnsi="Times New Roman" w:cs="Times New Roman"/>
        </w:rPr>
        <w:t xml:space="preserve"> itself</w:t>
      </w:r>
      <w:r w:rsidRPr="00AC20C2">
        <w:rPr>
          <w:rFonts w:ascii="Times New Roman" w:hAnsi="Times New Roman" w:cs="Times New Roman"/>
        </w:rPr>
        <w:t>, in addressing the social and moral challenges that contributed to Kelantan’s reputation as the “Paris of Malaya.” Established in 1915, MAIK became a significant institution for promoting Islamic governance, religious education, and social reform within the state (Mohd Roslan Mohd Nor, 2011). By analysing the interaction between political authority, Islamic institutions, and social reform initiatives between 1915 and 1945, this study seeks to provide a deeper understanding of how indigenous governance structures responded to colonial-era social transformations and attempted to safeguard the moral integrity of Malay-Muslim society. Furthermore, the study contributes to the broader historiography of colonial Malaya by highlighting the role of Islamic institutions and local political actors in confronting the social consequences of colonial modernity</w:t>
      </w:r>
    </w:p>
    <w:p w14:paraId="20D3632F" w14:textId="77777777" w:rsidR="000F20A6" w:rsidRPr="00AC20C2" w:rsidRDefault="000F20A6" w:rsidP="003B73E3">
      <w:pPr>
        <w:spacing w:before="240" w:after="0" w:line="240" w:lineRule="auto"/>
        <w:jc w:val="both"/>
        <w:rPr>
          <w:rFonts w:ascii="Times New Roman" w:hAnsi="Times New Roman" w:cs="Times New Roman"/>
        </w:rPr>
      </w:pPr>
    </w:p>
    <w:p w14:paraId="3B9AF661" w14:textId="77777777" w:rsidR="00023080" w:rsidRPr="00AC20C2" w:rsidRDefault="00023080" w:rsidP="003B73E3">
      <w:pPr>
        <w:spacing w:before="240" w:after="0" w:line="240" w:lineRule="auto"/>
        <w:jc w:val="both"/>
        <w:rPr>
          <w:rFonts w:ascii="Times New Roman" w:hAnsi="Times New Roman" w:cs="Times New Roman"/>
          <w:b/>
          <w:bCs/>
        </w:rPr>
      </w:pPr>
      <w:r w:rsidRPr="00AC20C2">
        <w:rPr>
          <w:rFonts w:ascii="Times New Roman" w:hAnsi="Times New Roman" w:cs="Times New Roman"/>
          <w:b/>
          <w:bCs/>
        </w:rPr>
        <w:t>Literature Review</w:t>
      </w:r>
    </w:p>
    <w:p w14:paraId="42EAB816"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Scholarly analyses of Malay political history generally agree that the Malay Peninsula had already developed a structured and stable political system prior to the arrival of Western colonial powers. This pre-colonial governance system was fundamentally based on a feudal political order embedded within traditional Malay society, encompassing political, economic, and social dimensions. The success of the Malay Sultanate of Malacca demonstrates the importance of strong and effective leadership in sustaining administrative stability </w:t>
      </w:r>
      <w:r w:rsidRPr="00AC20C2">
        <w:rPr>
          <w:rFonts w:ascii="Times New Roman" w:hAnsi="Times New Roman" w:cs="Times New Roman"/>
        </w:rPr>
        <w:lastRenderedPageBreak/>
        <w:t xml:space="preserve">and civilisational development. The institution of monarchy played a central role in shaping governance structures and consolidating political authority in the Malay world (Abdul Monir, 2017). Similarly, Kelantan is believed to have practised a monarchical system as early as 900 AD and emerged as a prominent kingdom by the twelfth century (Ahmad Rashdan, </w:t>
      </w:r>
      <w:proofErr w:type="spellStart"/>
      <w:r w:rsidRPr="00AC20C2">
        <w:rPr>
          <w:rFonts w:ascii="Times New Roman" w:hAnsi="Times New Roman" w:cs="Times New Roman"/>
        </w:rPr>
        <w:t>Baharin</w:t>
      </w:r>
      <w:proofErr w:type="spellEnd"/>
      <w:r w:rsidRPr="00AC20C2">
        <w:rPr>
          <w:rFonts w:ascii="Times New Roman" w:hAnsi="Times New Roman" w:cs="Times New Roman"/>
        </w:rPr>
        <w:t xml:space="preserve"> Ilias, &amp; Abdul Latiff Abu Bakar, 2017).</w:t>
      </w:r>
    </w:p>
    <w:p w14:paraId="41A4FD75"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Historically, Kelantan’s political system was firmly grounded in the feudal structure, with the Sultan occupying the highest position in the administrative hierarchy. This traditional governance model has been in place since the reign of Sultan Muhammad I, where the ruler held absolute authority over political, administrative, and social matters (Haryati Hassan, 1998). Within this hierarchical system, the Sultan was regarded as the supreme authority, and his commands were expected to be obeyed by all levels of society, including nobles, officials, and commoners.</w:t>
      </w:r>
    </w:p>
    <w:p w14:paraId="719C46B2"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legitimacy of royal authority was further reinforced by the Malay socio-political concept of </w:t>
      </w:r>
      <w:proofErr w:type="spellStart"/>
      <w:r w:rsidRPr="00AC20C2">
        <w:rPr>
          <w:rFonts w:ascii="Times New Roman" w:hAnsi="Times New Roman" w:cs="Times New Roman"/>
          <w:i/>
          <w:iCs/>
        </w:rPr>
        <w:t>daulat</w:t>
      </w:r>
      <w:proofErr w:type="spellEnd"/>
      <w:r w:rsidRPr="00AC20C2">
        <w:rPr>
          <w:rFonts w:ascii="Times New Roman" w:hAnsi="Times New Roman" w:cs="Times New Roman"/>
        </w:rPr>
        <w:t xml:space="preserve"> and </w:t>
      </w:r>
      <w:proofErr w:type="spellStart"/>
      <w:r w:rsidRPr="00AC20C2">
        <w:rPr>
          <w:rFonts w:ascii="Times New Roman" w:hAnsi="Times New Roman" w:cs="Times New Roman"/>
          <w:i/>
          <w:iCs/>
        </w:rPr>
        <w:t>derhaka</w:t>
      </w:r>
      <w:proofErr w:type="spellEnd"/>
      <w:r w:rsidRPr="00AC20C2">
        <w:rPr>
          <w:rFonts w:ascii="Times New Roman" w:hAnsi="Times New Roman" w:cs="Times New Roman"/>
        </w:rPr>
        <w:t xml:space="preserve">. In this belief system, disobedience to the ruler was associated with </w:t>
      </w:r>
      <w:proofErr w:type="spellStart"/>
      <w:r w:rsidRPr="00AC20C2">
        <w:rPr>
          <w:rFonts w:ascii="Times New Roman" w:hAnsi="Times New Roman" w:cs="Times New Roman"/>
          <w:i/>
          <w:iCs/>
        </w:rPr>
        <w:t>tulah</w:t>
      </w:r>
      <w:proofErr w:type="spellEnd"/>
      <w:r w:rsidRPr="00AC20C2">
        <w:rPr>
          <w:rFonts w:ascii="Times New Roman" w:hAnsi="Times New Roman" w:cs="Times New Roman"/>
        </w:rPr>
        <w:t>, or divine retribution, which could bring misfortune upon the offender (Mohd Ali Kamarudin, 2004). This ideological framework strengthened the perception of the ruler as possessing extraordinary authority and divine legitimacy. Consequently, feudal governance became deeply embedded in Malay identity and political culture across generations (Muhammad Aidil Adha Zulkarnain, 2023). The administrative structure of Kelantan also demonstrates significant parallels with the political system of the Malacca Sultanate, which is widely regarded as the classical model of Malay governance (Iskandar Hassan Tan Abdullah &amp; Nur Azuki Yusuff, 2024).</w:t>
      </w:r>
    </w:p>
    <w:p w14:paraId="135108A9" w14:textId="6E7B04CF"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 significant figure in the consolidation of Kelantan’s monarchical system was Long Yunus </w:t>
      </w:r>
      <w:r w:rsidR="00114AE3" w:rsidRPr="00AC20C2">
        <w:rPr>
          <w:rFonts w:ascii="Times New Roman" w:hAnsi="Times New Roman" w:cs="Times New Roman"/>
        </w:rPr>
        <w:t xml:space="preserve">or </w:t>
      </w:r>
      <w:r w:rsidRPr="00AC20C2">
        <w:rPr>
          <w:rFonts w:ascii="Times New Roman" w:hAnsi="Times New Roman" w:cs="Times New Roman"/>
        </w:rPr>
        <w:t xml:space="preserve">Long Yunus bin Long Sulaiman bin Long Baha, who is recognised as the founder of the modern ruling dynasty of Kelantan. He successfully unified fragmented territories through strategic military and political efforts, including the conquest of Kota Kubang Labu and </w:t>
      </w:r>
      <w:proofErr w:type="spellStart"/>
      <w:r w:rsidRPr="00AC20C2">
        <w:rPr>
          <w:rFonts w:ascii="Times New Roman" w:hAnsi="Times New Roman" w:cs="Times New Roman"/>
        </w:rPr>
        <w:t>Legeh</w:t>
      </w:r>
      <w:proofErr w:type="spellEnd"/>
      <w:r w:rsidRPr="00AC20C2">
        <w:rPr>
          <w:rFonts w:ascii="Times New Roman" w:hAnsi="Times New Roman" w:cs="Times New Roman"/>
        </w:rPr>
        <w:t xml:space="preserve">. His leadership played a crucial role in stabilising Kelantan and freeing it from external domination, particularly from the influence of Patani and </w:t>
      </w:r>
      <w:proofErr w:type="spellStart"/>
      <w:r w:rsidRPr="00AC20C2">
        <w:rPr>
          <w:rFonts w:ascii="Times New Roman" w:hAnsi="Times New Roman" w:cs="Times New Roman"/>
        </w:rPr>
        <w:t>Legeh</w:t>
      </w:r>
      <w:proofErr w:type="spellEnd"/>
      <w:r w:rsidRPr="00AC20C2">
        <w:rPr>
          <w:rFonts w:ascii="Times New Roman" w:hAnsi="Times New Roman" w:cs="Times New Roman"/>
        </w:rPr>
        <w:t xml:space="preserve"> kingdoms (A. Aziz Deraman, 2018).</w:t>
      </w:r>
    </w:p>
    <w:p w14:paraId="26C607C0" w14:textId="498519F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political landscape of Kelantan later experienced external intervention, beginning with Siamese influence in the late nineteenth century. Siamese involvement in Kelantan’s administration can be traced to approximately 1894 (Davies, 1902). Although under Siamese suzerainty, Kelantan retained a considerable degree of internal autonomy. Unlike Western colonialism, Siamese imperial control was relatively indirect, with Kelantan required to send tribute in the form of </w:t>
      </w:r>
      <w:r w:rsidRPr="00AC20C2">
        <w:rPr>
          <w:rFonts w:ascii="Times New Roman" w:hAnsi="Times New Roman" w:cs="Times New Roman"/>
          <w:i/>
          <w:iCs/>
        </w:rPr>
        <w:t>Bunga Emas</w:t>
      </w:r>
      <w:r w:rsidRPr="00AC20C2">
        <w:rPr>
          <w:rFonts w:ascii="Times New Roman" w:hAnsi="Times New Roman" w:cs="Times New Roman"/>
        </w:rPr>
        <w:t xml:space="preserve"> every three years as a symbolic gesture of diplomacy and protection (Nik Haslinda</w:t>
      </w:r>
      <w:r w:rsidR="00BF09E1" w:rsidRPr="00AC20C2">
        <w:rPr>
          <w:rFonts w:ascii="Times New Roman" w:hAnsi="Times New Roman" w:cs="Times New Roman"/>
        </w:rPr>
        <w:t>,</w:t>
      </w:r>
      <w:r w:rsidRPr="00AC20C2">
        <w:rPr>
          <w:rFonts w:ascii="Times New Roman" w:hAnsi="Times New Roman" w:cs="Times New Roman"/>
        </w:rPr>
        <w:t xml:space="preserve"> 2011).</w:t>
      </w:r>
    </w:p>
    <w:p w14:paraId="162407C0" w14:textId="3E477873"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However, the political situation shifted significantly following the Siam</w:t>
      </w:r>
      <w:r w:rsidR="00BF09E1" w:rsidRPr="00AC20C2">
        <w:rPr>
          <w:rFonts w:ascii="Times New Roman" w:hAnsi="Times New Roman" w:cs="Times New Roman"/>
        </w:rPr>
        <w:t xml:space="preserve"> and </w:t>
      </w:r>
      <w:r w:rsidRPr="00AC20C2">
        <w:rPr>
          <w:rFonts w:ascii="Times New Roman" w:hAnsi="Times New Roman" w:cs="Times New Roman"/>
        </w:rPr>
        <w:t xml:space="preserve">Kelantan agreements of 1902, which marked the beginning of formal external interference in Kelantan’s internal administration. In 1903, Siam appointed representatives, including Graham and H. W. Thomson, to oversee administrative matters in Kelantan (Mohamad </w:t>
      </w:r>
      <w:proofErr w:type="spellStart"/>
      <w:r w:rsidRPr="00AC20C2">
        <w:rPr>
          <w:rFonts w:ascii="Times New Roman" w:hAnsi="Times New Roman" w:cs="Times New Roman"/>
        </w:rPr>
        <w:t>Roslaily</w:t>
      </w:r>
      <w:proofErr w:type="spellEnd"/>
      <w:r w:rsidRPr="00AC20C2">
        <w:rPr>
          <w:rFonts w:ascii="Times New Roman" w:hAnsi="Times New Roman" w:cs="Times New Roman"/>
        </w:rPr>
        <w:t xml:space="preserve"> Rosdi et al., 2022). Although these officials were nominally Siamese representatives, their administrative orientation reflected pro-British interests aimed at expanding colonial influence and economic exploitation in the region.</w:t>
      </w:r>
    </w:p>
    <w:p w14:paraId="7F4A10A9" w14:textId="502E5B4D"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This geopolitical competition culminated in the Anglo-Siamese Treaty of 1909, commonly known as the Bangkok Treaty, which formally transferred Kelantan and other northern Malay states under British influence. The treaty was primarily designed to define spheres of colonial control and prevent rival European powers such as France and Russia from expanding into the Malay Peninsula (Andaya &amp; Andaya, 2017). However, the agreement was strongly opposed by Malay elites, as it was concluded without the consent of local rulers. For instance, Long Senik </w:t>
      </w:r>
      <w:r w:rsidR="006B2CF0" w:rsidRPr="00AC20C2">
        <w:rPr>
          <w:rFonts w:ascii="Times New Roman" w:hAnsi="Times New Roman" w:cs="Times New Roman"/>
        </w:rPr>
        <w:t xml:space="preserve">known as </w:t>
      </w:r>
      <w:r w:rsidRPr="00AC20C2">
        <w:rPr>
          <w:rFonts w:ascii="Times New Roman" w:hAnsi="Times New Roman" w:cs="Times New Roman"/>
        </w:rPr>
        <w:t xml:space="preserve">Sultan Muhammad IV vehemently rejected the treaty, viewing it as a violation of Kelantan’s sovereignty and royal authority (Mohamad </w:t>
      </w:r>
      <w:proofErr w:type="spellStart"/>
      <w:r w:rsidRPr="00AC20C2">
        <w:rPr>
          <w:rFonts w:ascii="Times New Roman" w:hAnsi="Times New Roman" w:cs="Times New Roman"/>
        </w:rPr>
        <w:t>Roslaily</w:t>
      </w:r>
      <w:proofErr w:type="spellEnd"/>
      <w:r w:rsidRPr="00AC20C2">
        <w:rPr>
          <w:rFonts w:ascii="Times New Roman" w:hAnsi="Times New Roman" w:cs="Times New Roman"/>
        </w:rPr>
        <w:t xml:space="preserve"> Rosdi et al., 2022). The signing of the treaty marked the beginning of formal British colonial administration in Kelantan.</w:t>
      </w:r>
    </w:p>
    <w:p w14:paraId="576E2146" w14:textId="62835734"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Following British intervention, James Scott Mason was appointed as the first British Adviser in Kelantan, signalling the establishment of indirect colonial rule (Nik Haslinda, 2011). Under this system, the Sultan’s authority was significantly reduced and largely confined to matters of Malay customs and Islamic religion. The British administration subsequently restructured the governance system, replacing many traditional Malay officials with colonial bureaucrats. Infrastructure development, including roads, post offices, and land </w:t>
      </w:r>
      <w:r w:rsidRPr="00AC20C2">
        <w:rPr>
          <w:rFonts w:ascii="Times New Roman" w:hAnsi="Times New Roman" w:cs="Times New Roman"/>
        </w:rPr>
        <w:lastRenderedPageBreak/>
        <w:t xml:space="preserve">administration offices, was introduced primarily to facilitate resource extraction and economic control. However, colonial taxation policies placed considerable financial pressure on the local population, contributing to social unrest, including the Pasir Puteh uprising of 1915 led by Tok </w:t>
      </w:r>
      <w:proofErr w:type="spellStart"/>
      <w:r w:rsidRPr="00AC20C2">
        <w:rPr>
          <w:rFonts w:ascii="Times New Roman" w:hAnsi="Times New Roman" w:cs="Times New Roman"/>
        </w:rPr>
        <w:t>Janggut</w:t>
      </w:r>
      <w:proofErr w:type="spellEnd"/>
      <w:r w:rsidRPr="00AC20C2">
        <w:rPr>
          <w:rFonts w:ascii="Times New Roman" w:hAnsi="Times New Roman" w:cs="Times New Roman"/>
        </w:rPr>
        <w:t xml:space="preserve"> (Abdul Monir, 2017).</w:t>
      </w:r>
    </w:p>
    <w:p w14:paraId="36FF5A44" w14:textId="509EA198"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Within this historical context, Dato’ Perdana (Haji Wan Mahmud bin Haji Ismail) emerged as one of the most influential political figures in Kelantan’s administrative history. Serving as Menteri Besar from 1921 to 1944, he played a central role in shaping the state’s governance system during the colonial period </w:t>
      </w:r>
      <w:r w:rsidR="000865C1" w:rsidRPr="00AC20C2">
        <w:rPr>
          <w:rFonts w:ascii="Times New Roman" w:hAnsi="Times New Roman" w:cs="Times New Roman"/>
        </w:rPr>
        <w:t>(</w:t>
      </w:r>
      <w:proofErr w:type="spellStart"/>
      <w:r w:rsidRPr="00AC20C2">
        <w:rPr>
          <w:rFonts w:ascii="Times New Roman" w:hAnsi="Times New Roman" w:cs="Times New Roman"/>
        </w:rPr>
        <w:t>Majalah</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Pengasuh</w:t>
      </w:r>
      <w:proofErr w:type="spellEnd"/>
      <w:r w:rsidRPr="00AC20C2">
        <w:rPr>
          <w:rFonts w:ascii="Times New Roman" w:hAnsi="Times New Roman" w:cs="Times New Roman"/>
        </w:rPr>
        <w:t>, 1919). He succeeded Dato’ Che Hassan, who resigned due to health reasons after serving from 1900 to 1920. Dato’ Perdana was widely recognised for his administrative vision, leadership capacity, and governance reforms. His contributions spanned political, economic, and social development within the state.</w:t>
      </w:r>
    </w:p>
    <w:p w14:paraId="7D36A264" w14:textId="2E05A062"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Among his key administrative initiatives were his role as a founding figure of the Majlis Agama Islam Kelantan (MAIK), the introduction of the </w:t>
      </w:r>
      <w:proofErr w:type="spellStart"/>
      <w:r w:rsidRPr="00AC20C2">
        <w:rPr>
          <w:rFonts w:ascii="Times New Roman" w:hAnsi="Times New Roman" w:cs="Times New Roman"/>
        </w:rPr>
        <w:t>Penggawa</w:t>
      </w:r>
      <w:proofErr w:type="spellEnd"/>
      <w:r w:rsidRPr="00AC20C2">
        <w:rPr>
          <w:rFonts w:ascii="Times New Roman" w:hAnsi="Times New Roman" w:cs="Times New Roman"/>
        </w:rPr>
        <w:t xml:space="preserve"> </w:t>
      </w:r>
      <w:r w:rsidR="000865C1" w:rsidRPr="00AC20C2">
        <w:rPr>
          <w:rFonts w:ascii="Times New Roman" w:hAnsi="Times New Roman" w:cs="Times New Roman"/>
        </w:rPr>
        <w:t xml:space="preserve">position in </w:t>
      </w:r>
      <w:r w:rsidRPr="00AC20C2">
        <w:rPr>
          <w:rFonts w:ascii="Times New Roman" w:hAnsi="Times New Roman" w:cs="Times New Roman"/>
        </w:rPr>
        <w:t xml:space="preserve">administrative reform scheme (1917), the implementation of civil service leave regulations (1924), the introduction of a revised salary scheme for government officials (1928), and his representation of Sultan Muhammad IV in peace negotiations following the Tok </w:t>
      </w:r>
      <w:proofErr w:type="spellStart"/>
      <w:r w:rsidRPr="00AC20C2">
        <w:rPr>
          <w:rFonts w:ascii="Times New Roman" w:hAnsi="Times New Roman" w:cs="Times New Roman"/>
        </w:rPr>
        <w:t>Janggut</w:t>
      </w:r>
      <w:proofErr w:type="spellEnd"/>
      <w:r w:rsidRPr="00AC20C2">
        <w:rPr>
          <w:rFonts w:ascii="Times New Roman" w:hAnsi="Times New Roman" w:cs="Times New Roman"/>
        </w:rPr>
        <w:t xml:space="preserve"> uprising in Pasir Puteh </w:t>
      </w:r>
      <w:r w:rsidR="005337BE" w:rsidRPr="00AC20C2">
        <w:rPr>
          <w:rFonts w:ascii="Times New Roman" w:hAnsi="Times New Roman" w:cs="Times New Roman"/>
        </w:rPr>
        <w:t xml:space="preserve">in </w:t>
      </w:r>
      <w:r w:rsidRPr="00AC20C2">
        <w:rPr>
          <w:rFonts w:ascii="Times New Roman" w:hAnsi="Times New Roman" w:cs="Times New Roman"/>
        </w:rPr>
        <w:t>early 1915</w:t>
      </w:r>
      <w:r w:rsidR="005337BE" w:rsidRPr="00AC20C2">
        <w:rPr>
          <w:rFonts w:ascii="Times New Roman" w:hAnsi="Times New Roman" w:cs="Times New Roman"/>
        </w:rPr>
        <w:t xml:space="preserve"> </w:t>
      </w:r>
      <w:r w:rsidRPr="00AC20C2">
        <w:rPr>
          <w:rFonts w:ascii="Times New Roman" w:hAnsi="Times New Roman" w:cs="Times New Roman"/>
        </w:rPr>
        <w:t>(Ismail Che Daud, 2018). These reforms illustrate his significant contribution to strengthening administrative efficiency and consolidating state governance during a period of colonial transition.</w:t>
      </w:r>
    </w:p>
    <w:p w14:paraId="5D35D478" w14:textId="0F08BFBD"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discourse on civilizational development within Islamic thought is anchored heavily in the historiographical and sociological frameworks established by Ibn Khaldun (1332–1406). In his seminal text, the </w:t>
      </w:r>
      <w:r w:rsidRPr="00AC20C2">
        <w:rPr>
          <w:rFonts w:ascii="Times New Roman" w:hAnsi="Times New Roman" w:cs="Times New Roman"/>
          <w:i/>
          <w:iCs/>
        </w:rPr>
        <w:t>Muqaddimah</w:t>
      </w:r>
      <w:r w:rsidRPr="00AC20C2">
        <w:rPr>
          <w:rFonts w:ascii="Times New Roman" w:hAnsi="Times New Roman" w:cs="Times New Roman"/>
        </w:rPr>
        <w:t xml:space="preserve">, Ibn Khaldun introduced the concept of </w:t>
      </w:r>
      <w:r w:rsidRPr="00AC20C2">
        <w:rPr>
          <w:rFonts w:ascii="Times New Roman" w:hAnsi="Times New Roman" w:cs="Times New Roman"/>
          <w:i/>
          <w:iCs/>
        </w:rPr>
        <w:t>Umran</w:t>
      </w:r>
      <w:r w:rsidRPr="00AC20C2">
        <w:rPr>
          <w:rFonts w:ascii="Times New Roman" w:hAnsi="Times New Roman" w:cs="Times New Roman"/>
        </w:rPr>
        <w:t xml:space="preserve"> (civilization or societal development) as an analytical tool to diagnose the rise, stability, and eventual decay of human societies (Ibn Khaldun, 2005). Traditional interpretations of </w:t>
      </w:r>
      <w:proofErr w:type="spellStart"/>
      <w:r w:rsidRPr="00AC20C2">
        <w:rPr>
          <w:rFonts w:ascii="Times New Roman" w:hAnsi="Times New Roman" w:cs="Times New Roman"/>
        </w:rPr>
        <w:t>Khaldunian</w:t>
      </w:r>
      <w:proofErr w:type="spellEnd"/>
      <w:r w:rsidRPr="00AC20C2">
        <w:rPr>
          <w:rFonts w:ascii="Times New Roman" w:hAnsi="Times New Roman" w:cs="Times New Roman"/>
        </w:rPr>
        <w:t xml:space="preserve"> theory decompose </w:t>
      </w:r>
      <w:r w:rsidRPr="00AC20C2">
        <w:rPr>
          <w:rFonts w:ascii="Times New Roman" w:hAnsi="Times New Roman" w:cs="Times New Roman"/>
          <w:i/>
          <w:iCs/>
        </w:rPr>
        <w:t>Umran al-Alam</w:t>
      </w:r>
      <w:r w:rsidRPr="00AC20C2">
        <w:rPr>
          <w:rFonts w:ascii="Times New Roman" w:hAnsi="Times New Roman" w:cs="Times New Roman"/>
        </w:rPr>
        <w:t xml:space="preserve"> </w:t>
      </w:r>
      <w:r w:rsidR="00583B1A" w:rsidRPr="00AC20C2">
        <w:rPr>
          <w:rFonts w:ascii="Times New Roman" w:hAnsi="Times New Roman" w:cs="Times New Roman"/>
        </w:rPr>
        <w:t xml:space="preserve">or </w:t>
      </w:r>
      <w:r w:rsidRPr="00AC20C2">
        <w:rPr>
          <w:rFonts w:ascii="Times New Roman" w:hAnsi="Times New Roman" w:cs="Times New Roman"/>
        </w:rPr>
        <w:t>world civilization into three dialectically linked components</w:t>
      </w:r>
      <w:r w:rsidR="00583B1A" w:rsidRPr="00AC20C2">
        <w:rPr>
          <w:rFonts w:ascii="Times New Roman" w:hAnsi="Times New Roman" w:cs="Times New Roman"/>
        </w:rPr>
        <w:t xml:space="preserve"> such as</w:t>
      </w:r>
      <w:r w:rsidRPr="00AC20C2">
        <w:rPr>
          <w:rFonts w:ascii="Times New Roman" w:hAnsi="Times New Roman" w:cs="Times New Roman"/>
        </w:rPr>
        <w:t xml:space="preserve"> man (</w:t>
      </w:r>
      <w:proofErr w:type="spellStart"/>
      <w:r w:rsidRPr="00AC20C2">
        <w:rPr>
          <w:rFonts w:ascii="Times New Roman" w:hAnsi="Times New Roman" w:cs="Times New Roman"/>
          <w:i/>
          <w:iCs/>
        </w:rPr>
        <w:t>insan</w:t>
      </w:r>
      <w:proofErr w:type="spellEnd"/>
      <w:r w:rsidRPr="00AC20C2">
        <w:rPr>
          <w:rFonts w:ascii="Times New Roman" w:hAnsi="Times New Roman" w:cs="Times New Roman"/>
        </w:rPr>
        <w:t>), life (</w:t>
      </w:r>
      <w:proofErr w:type="spellStart"/>
      <w:r w:rsidRPr="00AC20C2">
        <w:rPr>
          <w:rFonts w:ascii="Times New Roman" w:hAnsi="Times New Roman" w:cs="Times New Roman"/>
          <w:i/>
          <w:iCs/>
        </w:rPr>
        <w:t>al-hayat</w:t>
      </w:r>
      <w:proofErr w:type="spellEnd"/>
      <w:r w:rsidRPr="00AC20C2">
        <w:rPr>
          <w:rFonts w:ascii="Times New Roman" w:hAnsi="Times New Roman" w:cs="Times New Roman"/>
        </w:rPr>
        <w:t>), and the cosmic environment (</w:t>
      </w:r>
      <w:r w:rsidRPr="00AC20C2">
        <w:rPr>
          <w:rFonts w:ascii="Times New Roman" w:hAnsi="Times New Roman" w:cs="Times New Roman"/>
          <w:i/>
          <w:iCs/>
        </w:rPr>
        <w:t>al-</w:t>
      </w:r>
      <w:proofErr w:type="spellStart"/>
      <w:r w:rsidRPr="00AC20C2">
        <w:rPr>
          <w:rFonts w:ascii="Times New Roman" w:hAnsi="Times New Roman" w:cs="Times New Roman"/>
          <w:i/>
          <w:iCs/>
        </w:rPr>
        <w:t>kawn</w:t>
      </w:r>
      <w:proofErr w:type="spellEnd"/>
      <w:r w:rsidRPr="00AC20C2">
        <w:rPr>
          <w:rFonts w:ascii="Times New Roman" w:hAnsi="Times New Roman" w:cs="Times New Roman"/>
        </w:rPr>
        <w:t>). According to this framework, a prosperous state emerges only when these three components interact harmoniously through structured, ethical cooperation.</w:t>
      </w:r>
    </w:p>
    <w:p w14:paraId="7524D708"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In a practical sense, </w:t>
      </w:r>
      <w:r w:rsidRPr="00AC20C2">
        <w:rPr>
          <w:rFonts w:ascii="Times New Roman" w:hAnsi="Times New Roman" w:cs="Times New Roman"/>
          <w:i/>
          <w:iCs/>
        </w:rPr>
        <w:t>Umran</w:t>
      </w:r>
      <w:r w:rsidRPr="00AC20C2">
        <w:rPr>
          <w:rFonts w:ascii="Times New Roman" w:hAnsi="Times New Roman" w:cs="Times New Roman"/>
        </w:rPr>
        <w:t xml:space="preserve"> represents a holistic social ecosystem driven by both urban and rural populations who cooperate through a shared sense of social solidarity, known as </w:t>
      </w:r>
      <w:proofErr w:type="spellStart"/>
      <w:r w:rsidRPr="00AC20C2">
        <w:rPr>
          <w:rFonts w:ascii="Times New Roman" w:hAnsi="Times New Roman" w:cs="Times New Roman"/>
          <w:i/>
          <w:iCs/>
        </w:rPr>
        <w:t>Asabiyyah</w:t>
      </w:r>
      <w:proofErr w:type="spellEnd"/>
      <w:r w:rsidRPr="00AC20C2">
        <w:rPr>
          <w:rFonts w:ascii="Times New Roman" w:hAnsi="Times New Roman" w:cs="Times New Roman"/>
        </w:rPr>
        <w:t>. Ibn Khaldun posited that the longevity of any civilization does not rely solely on material or infrastructural growth; rather, it depends on institutional justice, collective morality, and the preservation of spiritual identity.</w:t>
      </w:r>
    </w:p>
    <w:p w14:paraId="215A4D23" w14:textId="17E36240"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This theoretical framework provides a powerful lens for </w:t>
      </w:r>
      <w:proofErr w:type="spellStart"/>
      <w:r w:rsidRPr="00AC20C2">
        <w:rPr>
          <w:rFonts w:ascii="Times New Roman" w:hAnsi="Times New Roman" w:cs="Times New Roman"/>
        </w:rPr>
        <w:t>analyzing</w:t>
      </w:r>
      <w:proofErr w:type="spellEnd"/>
      <w:r w:rsidRPr="00AC20C2">
        <w:rPr>
          <w:rFonts w:ascii="Times New Roman" w:hAnsi="Times New Roman" w:cs="Times New Roman"/>
        </w:rPr>
        <w:t xml:space="preserve"> the historical and political landscape of Kelantan, Malaysia, between 1915 and 1945. During this period, the state experienced a profound tension between colonial-driven modernization and the preservation of its traditional Islamic identity. The structural components of </w:t>
      </w:r>
      <w:r w:rsidRPr="00AC20C2">
        <w:rPr>
          <w:rFonts w:ascii="Times New Roman" w:hAnsi="Times New Roman" w:cs="Times New Roman"/>
          <w:i/>
          <w:iCs/>
        </w:rPr>
        <w:t>Umran</w:t>
      </w:r>
      <w:r w:rsidR="00DC14C3" w:rsidRPr="00AC20C2">
        <w:rPr>
          <w:rFonts w:ascii="Times New Roman" w:hAnsi="Times New Roman" w:cs="Times New Roman"/>
        </w:rPr>
        <w:t xml:space="preserve"> such as </w:t>
      </w:r>
      <w:r w:rsidRPr="00AC20C2">
        <w:rPr>
          <w:rFonts w:ascii="Times New Roman" w:hAnsi="Times New Roman" w:cs="Times New Roman"/>
        </w:rPr>
        <w:t>religion, moral philosophy, social solidarity, and legal frameworks</w:t>
      </w:r>
      <w:r w:rsidR="00DC14C3" w:rsidRPr="00AC20C2">
        <w:rPr>
          <w:rFonts w:ascii="Times New Roman" w:hAnsi="Times New Roman" w:cs="Times New Roman"/>
        </w:rPr>
        <w:t xml:space="preserve"> and </w:t>
      </w:r>
      <w:r w:rsidRPr="00AC20C2">
        <w:rPr>
          <w:rFonts w:ascii="Times New Roman" w:hAnsi="Times New Roman" w:cs="Times New Roman"/>
        </w:rPr>
        <w:t>were visibly manifested in the state's governance, particularly through the strategic administrative reforms led by the Chief Minister, Dato’ Perdana.</w:t>
      </w:r>
    </w:p>
    <w:p w14:paraId="204DFBAD" w14:textId="495A6F77" w:rsidR="00810B68" w:rsidRPr="000F20A6" w:rsidRDefault="00810B68" w:rsidP="000F20A6">
      <w:pPr>
        <w:pStyle w:val="ListParagraph"/>
        <w:numPr>
          <w:ilvl w:val="0"/>
          <w:numId w:val="9"/>
        </w:numPr>
        <w:spacing w:before="240" w:after="0" w:line="240" w:lineRule="auto"/>
        <w:jc w:val="both"/>
        <w:rPr>
          <w:rFonts w:ascii="Times New Roman" w:hAnsi="Times New Roman" w:cs="Times New Roman"/>
          <w:b/>
          <w:bCs/>
        </w:rPr>
      </w:pPr>
      <w:r w:rsidRPr="000F20A6">
        <w:rPr>
          <w:rFonts w:ascii="Times New Roman" w:hAnsi="Times New Roman" w:cs="Times New Roman"/>
          <w:b/>
          <w:bCs/>
        </w:rPr>
        <w:t>The Historical Paradox: Kelantan as the "Paris of Malaya"</w:t>
      </w:r>
    </w:p>
    <w:p w14:paraId="6ABCEC05"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During the interwar years, Kelantan underwent a significant socio-economic transformation. It emerged as a bustling hub for regional trade, intellectual Malay discourse, publishing, and Islamic education on the East Coast of the Malay Peninsula, earning the contemporary moniker "Paris of Malaya" (Nik Anuar, 2003). However, this cultural and economic golden age was a double-edged sword. The expanding footprint of British colonial administration brought secularizing influences that disrupted the traditional social fabric. The rapid growth of urban </w:t>
      </w:r>
      <w:proofErr w:type="spellStart"/>
      <w:r w:rsidRPr="00AC20C2">
        <w:rPr>
          <w:rFonts w:ascii="Times New Roman" w:hAnsi="Times New Roman" w:cs="Times New Roman"/>
        </w:rPr>
        <w:t>centers</w:t>
      </w:r>
      <w:proofErr w:type="spellEnd"/>
      <w:r w:rsidRPr="00AC20C2">
        <w:rPr>
          <w:rFonts w:ascii="Times New Roman" w:hAnsi="Times New Roman" w:cs="Times New Roman"/>
        </w:rPr>
        <w:t xml:space="preserve"> inadvertently fostered severe social vulnerabilities, most notably systemic prostitution, gambling, and a perceived dilution of Islamic moral standards among the local populace.</w:t>
      </w:r>
    </w:p>
    <w:p w14:paraId="5269082A" w14:textId="2CAE3F84" w:rsidR="00810B68" w:rsidRPr="00AC20C2" w:rsidRDefault="00BD001B" w:rsidP="003B73E3">
      <w:pPr>
        <w:spacing w:before="240" w:after="0" w:line="240" w:lineRule="auto"/>
        <w:jc w:val="both"/>
        <w:rPr>
          <w:rFonts w:ascii="Times New Roman" w:hAnsi="Times New Roman" w:cs="Times New Roman"/>
          <w:b/>
          <w:bCs/>
        </w:rPr>
      </w:pPr>
      <w:r w:rsidRPr="00AC20C2">
        <w:rPr>
          <w:rFonts w:ascii="Times New Roman" w:hAnsi="Times New Roman" w:cs="Times New Roman"/>
        </w:rPr>
        <w:t>This profound civilizational crisis necessitated a robust institutional intervention capable of navigating the destabilizing forces of colonial modernization without jeopardizing the state's spiritual foundations. Consequently, the</w:t>
      </w:r>
      <w:r w:rsidR="0084658D" w:rsidRPr="00AC20C2">
        <w:rPr>
          <w:rFonts w:ascii="Times New Roman" w:hAnsi="Times New Roman" w:cs="Times New Roman"/>
        </w:rPr>
        <w:t xml:space="preserve"> </w:t>
      </w:r>
      <w:r w:rsidRPr="00AC20C2">
        <w:rPr>
          <w:rFonts w:ascii="Times New Roman" w:hAnsi="Times New Roman" w:cs="Times New Roman"/>
        </w:rPr>
        <w:t xml:space="preserve">MAIK, established and mobilized under the administrative stewardship of Dato’ Perdana (Nik Ahmad Kamil), emerged as the primary mechanism of structural </w:t>
      </w:r>
      <w:proofErr w:type="spellStart"/>
      <w:r w:rsidRPr="00AC20C2">
        <w:rPr>
          <w:rFonts w:ascii="Times New Roman" w:hAnsi="Times New Roman" w:cs="Times New Roman"/>
        </w:rPr>
        <w:t>defense</w:t>
      </w:r>
      <w:proofErr w:type="spellEnd"/>
      <w:r w:rsidRPr="00AC20C2">
        <w:rPr>
          <w:rFonts w:ascii="Times New Roman" w:hAnsi="Times New Roman" w:cs="Times New Roman"/>
        </w:rPr>
        <w:t xml:space="preserve"> against expanding socio-moral pathologies. When evaluated through a </w:t>
      </w:r>
      <w:proofErr w:type="spellStart"/>
      <w:r w:rsidRPr="00AC20C2">
        <w:rPr>
          <w:rFonts w:ascii="Times New Roman" w:hAnsi="Times New Roman" w:cs="Times New Roman"/>
        </w:rPr>
        <w:t>Khaldunian</w:t>
      </w:r>
      <w:proofErr w:type="spellEnd"/>
      <w:r w:rsidRPr="00AC20C2">
        <w:rPr>
          <w:rFonts w:ascii="Times New Roman" w:hAnsi="Times New Roman" w:cs="Times New Roman"/>
        </w:rPr>
        <w:t xml:space="preserve"> lens, MAIK’s targeted policies reveal a deliberate, systematic operationalization of the tenets of </w:t>
      </w:r>
      <w:proofErr w:type="spellStart"/>
      <w:r w:rsidRPr="00AC20C2">
        <w:rPr>
          <w:rFonts w:ascii="Times New Roman" w:hAnsi="Times New Roman" w:cs="Times New Roman"/>
          <w:i/>
          <w:iCs/>
        </w:rPr>
        <w:t>ʿUmrān</w:t>
      </w:r>
      <w:proofErr w:type="spellEnd"/>
      <w:r w:rsidRPr="00AC20C2">
        <w:rPr>
          <w:rFonts w:ascii="Times New Roman" w:hAnsi="Times New Roman" w:cs="Times New Roman"/>
        </w:rPr>
        <w:t xml:space="preserve"> (civilization). The administration keenly recognized that material </w:t>
      </w:r>
      <w:r w:rsidRPr="00AC20C2">
        <w:rPr>
          <w:rFonts w:ascii="Times New Roman" w:hAnsi="Times New Roman" w:cs="Times New Roman"/>
        </w:rPr>
        <w:lastRenderedPageBreak/>
        <w:t>expansion and bureaucratic modernization, if divorced from rigorous ethical and spiritual safeguards, would inevitably precipitate systemic civilizational decay</w:t>
      </w:r>
      <w:r w:rsidR="0084658D" w:rsidRPr="00AC20C2">
        <w:rPr>
          <w:rFonts w:ascii="Times New Roman" w:hAnsi="Times New Roman" w:cs="Times New Roman"/>
        </w:rPr>
        <w:t xml:space="preserve"> </w:t>
      </w:r>
      <w:r w:rsidRPr="00AC20C2">
        <w:rPr>
          <w:rFonts w:ascii="Times New Roman" w:hAnsi="Times New Roman" w:cs="Times New Roman"/>
        </w:rPr>
        <w:t>a paradigm that directly mirrors Ibn Khaldun's cyclical theory of societal collapse.</w:t>
      </w:r>
    </w:p>
    <w:p w14:paraId="226B1DE2" w14:textId="74D21AE8" w:rsidR="00810B68" w:rsidRPr="000F20A6" w:rsidRDefault="00810B68" w:rsidP="000F20A6">
      <w:pPr>
        <w:pStyle w:val="ListParagraph"/>
        <w:numPr>
          <w:ilvl w:val="0"/>
          <w:numId w:val="9"/>
        </w:numPr>
        <w:spacing w:before="240" w:after="0" w:line="240" w:lineRule="auto"/>
        <w:jc w:val="both"/>
        <w:rPr>
          <w:rFonts w:ascii="Times New Roman" w:hAnsi="Times New Roman" w:cs="Times New Roman"/>
          <w:b/>
          <w:bCs/>
        </w:rPr>
      </w:pPr>
      <w:r w:rsidRPr="000F20A6">
        <w:rPr>
          <w:rFonts w:ascii="Times New Roman" w:hAnsi="Times New Roman" w:cs="Times New Roman"/>
          <w:b/>
          <w:bCs/>
        </w:rPr>
        <w:t>Religion (</w:t>
      </w:r>
      <w:r w:rsidRPr="000F20A6">
        <w:rPr>
          <w:rFonts w:ascii="Times New Roman" w:hAnsi="Times New Roman" w:cs="Times New Roman"/>
          <w:b/>
          <w:bCs/>
          <w:i/>
          <w:iCs/>
        </w:rPr>
        <w:t>Al-Din</w:t>
      </w:r>
      <w:r w:rsidRPr="000F20A6">
        <w:rPr>
          <w:rFonts w:ascii="Times New Roman" w:hAnsi="Times New Roman" w:cs="Times New Roman"/>
          <w:b/>
          <w:bCs/>
        </w:rPr>
        <w:t>) as the Foundation for Social Transformation</w:t>
      </w:r>
    </w:p>
    <w:p w14:paraId="02662CCA"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In </w:t>
      </w:r>
      <w:proofErr w:type="spellStart"/>
      <w:r w:rsidRPr="00AC20C2">
        <w:rPr>
          <w:rFonts w:ascii="Times New Roman" w:hAnsi="Times New Roman" w:cs="Times New Roman"/>
        </w:rPr>
        <w:t>Khaldunian</w:t>
      </w:r>
      <w:proofErr w:type="spellEnd"/>
      <w:r w:rsidRPr="00AC20C2">
        <w:rPr>
          <w:rFonts w:ascii="Times New Roman" w:hAnsi="Times New Roman" w:cs="Times New Roman"/>
        </w:rPr>
        <w:t xml:space="preserve"> sociology, genuine religious adherence is the primary mechanism for social regulation. It redirects human </w:t>
      </w:r>
      <w:proofErr w:type="spellStart"/>
      <w:r w:rsidRPr="00AC20C2">
        <w:rPr>
          <w:rFonts w:ascii="Times New Roman" w:hAnsi="Times New Roman" w:cs="Times New Roman"/>
        </w:rPr>
        <w:t>behavior</w:t>
      </w:r>
      <w:proofErr w:type="spellEnd"/>
      <w:r w:rsidRPr="00AC20C2">
        <w:rPr>
          <w:rFonts w:ascii="Times New Roman" w:hAnsi="Times New Roman" w:cs="Times New Roman"/>
        </w:rPr>
        <w:t xml:space="preserve"> away from self-interest and moral decay toward collective ethical responsibility (Ibn Khaldun, 2005). Historically, the deep-rooted integration of Islam in Kelantan had systematically dismantled superstitious, pre-Islamic practices, shifting the community toward a unified monotheistic worldview (</w:t>
      </w:r>
      <w:r w:rsidRPr="00AC20C2">
        <w:rPr>
          <w:rFonts w:ascii="Times New Roman" w:hAnsi="Times New Roman" w:cs="Times New Roman"/>
          <w:i/>
          <w:iCs/>
        </w:rPr>
        <w:t>Tawhid</w:t>
      </w:r>
      <w:r w:rsidRPr="00AC20C2">
        <w:rPr>
          <w:rFonts w:ascii="Times New Roman" w:hAnsi="Times New Roman" w:cs="Times New Roman"/>
        </w:rPr>
        <w:t>). However, Dato’ Perdana observed that the moral challenges of the "Paris of Malaya" era occurred because many citizens practiced Islam as a passive, inherited tradition rather than a deeply understood framework for living.</w:t>
      </w:r>
    </w:p>
    <w:p w14:paraId="24D0F203"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To rectify this spiritual vulnerability, Dato’ Perdana initiated two major institutional reforms:</w:t>
      </w:r>
    </w:p>
    <w:p w14:paraId="7EE13282" w14:textId="77777777" w:rsidR="00810B68" w:rsidRPr="00AC20C2" w:rsidRDefault="00810B68" w:rsidP="003B73E3">
      <w:pPr>
        <w:numPr>
          <w:ilvl w:val="0"/>
          <w:numId w:val="1"/>
        </w:numPr>
        <w:spacing w:before="240" w:after="0" w:line="240" w:lineRule="auto"/>
        <w:jc w:val="both"/>
        <w:rPr>
          <w:rFonts w:ascii="Times New Roman" w:hAnsi="Times New Roman" w:cs="Times New Roman"/>
        </w:rPr>
      </w:pPr>
      <w:r w:rsidRPr="00AC20C2">
        <w:rPr>
          <w:rFonts w:ascii="Times New Roman" w:hAnsi="Times New Roman" w:cs="Times New Roman"/>
          <w:b/>
          <w:bCs/>
        </w:rPr>
        <w:t>Intellectual Revitalization:</w:t>
      </w:r>
      <w:r w:rsidRPr="00AC20C2">
        <w:rPr>
          <w:rFonts w:ascii="Times New Roman" w:hAnsi="Times New Roman" w:cs="Times New Roman"/>
        </w:rPr>
        <w:t xml:space="preserve"> He systematically brought Islamic scholar Tok Kenali to lead large-scale, structured theological and jurisprudential lectures at the state’s central spiritual hub, Masjid Besar Muhammadi in Kota Bharu (Abdullah, 2015). This initiative transformed the mosque from a quiet place of worship into an active </w:t>
      </w:r>
      <w:proofErr w:type="spellStart"/>
      <w:r w:rsidRPr="00AC20C2">
        <w:rPr>
          <w:rFonts w:ascii="Times New Roman" w:hAnsi="Times New Roman" w:cs="Times New Roman"/>
        </w:rPr>
        <w:t>center</w:t>
      </w:r>
      <w:proofErr w:type="spellEnd"/>
      <w:r w:rsidRPr="00AC20C2">
        <w:rPr>
          <w:rFonts w:ascii="Times New Roman" w:hAnsi="Times New Roman" w:cs="Times New Roman"/>
        </w:rPr>
        <w:t xml:space="preserve"> of public education.</w:t>
      </w:r>
    </w:p>
    <w:p w14:paraId="205B98C5" w14:textId="77777777" w:rsidR="00810B68" w:rsidRPr="00AC20C2" w:rsidRDefault="00810B68" w:rsidP="003B73E3">
      <w:pPr>
        <w:numPr>
          <w:ilvl w:val="0"/>
          <w:numId w:val="1"/>
        </w:numPr>
        <w:spacing w:before="240" w:after="0" w:line="240" w:lineRule="auto"/>
        <w:jc w:val="both"/>
        <w:rPr>
          <w:rFonts w:ascii="Times New Roman" w:hAnsi="Times New Roman" w:cs="Times New Roman"/>
        </w:rPr>
      </w:pPr>
      <w:r w:rsidRPr="00AC20C2">
        <w:rPr>
          <w:rFonts w:ascii="Times New Roman" w:hAnsi="Times New Roman" w:cs="Times New Roman"/>
          <w:b/>
          <w:bCs/>
        </w:rPr>
        <w:t>Infrastructural Expansion:</w:t>
      </w:r>
      <w:r w:rsidRPr="00AC20C2">
        <w:rPr>
          <w:rFonts w:ascii="Times New Roman" w:hAnsi="Times New Roman" w:cs="Times New Roman"/>
        </w:rPr>
        <w:t xml:space="preserve"> The administration rapidly built regional mosques and prayer halls (</w:t>
      </w:r>
      <w:r w:rsidRPr="00AC20C2">
        <w:rPr>
          <w:rFonts w:ascii="Times New Roman" w:hAnsi="Times New Roman" w:cs="Times New Roman"/>
          <w:i/>
          <w:iCs/>
        </w:rPr>
        <w:t>surau</w:t>
      </w:r>
      <w:r w:rsidRPr="00AC20C2">
        <w:rPr>
          <w:rFonts w:ascii="Times New Roman" w:hAnsi="Times New Roman" w:cs="Times New Roman"/>
        </w:rPr>
        <w:t>) across the state to serve as community anchor points. Historical records indicate that the number of gazetted mosques grew from 283 in 1931 to 303 by 1940 (MAIK, 1940). This infrastructural expansion decentralized religious education, creating a state-wide network that reinforced social morality at the grassroots level.</w:t>
      </w:r>
    </w:p>
    <w:p w14:paraId="750074A3" w14:textId="58B35A1F" w:rsidR="00810B68" w:rsidRPr="000F20A6" w:rsidRDefault="00810B68" w:rsidP="000F20A6">
      <w:pPr>
        <w:pStyle w:val="ListParagraph"/>
        <w:numPr>
          <w:ilvl w:val="0"/>
          <w:numId w:val="9"/>
        </w:numPr>
        <w:spacing w:before="240" w:after="0" w:line="240" w:lineRule="auto"/>
        <w:jc w:val="both"/>
        <w:rPr>
          <w:rFonts w:ascii="Times New Roman" w:hAnsi="Times New Roman" w:cs="Times New Roman"/>
          <w:b/>
          <w:bCs/>
        </w:rPr>
      </w:pPr>
      <w:r w:rsidRPr="000F20A6">
        <w:rPr>
          <w:rFonts w:ascii="Times New Roman" w:hAnsi="Times New Roman" w:cs="Times New Roman"/>
          <w:b/>
          <w:bCs/>
        </w:rPr>
        <w:t xml:space="preserve">Elite </w:t>
      </w:r>
      <w:proofErr w:type="spellStart"/>
      <w:r w:rsidRPr="000F20A6">
        <w:rPr>
          <w:rFonts w:ascii="Times New Roman" w:hAnsi="Times New Roman" w:cs="Times New Roman"/>
          <w:b/>
          <w:bCs/>
          <w:i/>
          <w:iCs/>
        </w:rPr>
        <w:t>Asabiyyah</w:t>
      </w:r>
      <w:proofErr w:type="spellEnd"/>
      <w:r w:rsidRPr="000F20A6">
        <w:rPr>
          <w:rFonts w:ascii="Times New Roman" w:hAnsi="Times New Roman" w:cs="Times New Roman"/>
          <w:b/>
          <w:bCs/>
        </w:rPr>
        <w:t xml:space="preserve"> and Institutional Solidarity</w:t>
      </w:r>
    </w:p>
    <w:p w14:paraId="2D877E76"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 central tenet of Ibn Khaldun’s theory is </w:t>
      </w:r>
      <w:proofErr w:type="spellStart"/>
      <w:r w:rsidRPr="00AC20C2">
        <w:rPr>
          <w:rFonts w:ascii="Times New Roman" w:hAnsi="Times New Roman" w:cs="Times New Roman"/>
          <w:i/>
          <w:iCs/>
        </w:rPr>
        <w:t>Asabiyyah</w:t>
      </w:r>
      <w:proofErr w:type="spellEnd"/>
      <w:r w:rsidRPr="00AC20C2">
        <w:rPr>
          <w:rFonts w:ascii="Times New Roman" w:hAnsi="Times New Roman" w:cs="Times New Roman"/>
        </w:rPr>
        <w:t xml:space="preserve">, which translates to group feeling, social cohesion, or collective solidarity. Ibn Khaldun argued that no political power or civilizational project can succeed without a strong foundation of </w:t>
      </w:r>
      <w:proofErr w:type="spellStart"/>
      <w:r w:rsidRPr="00AC20C2">
        <w:rPr>
          <w:rFonts w:ascii="Times New Roman" w:hAnsi="Times New Roman" w:cs="Times New Roman"/>
          <w:i/>
          <w:iCs/>
        </w:rPr>
        <w:t>Asabiyyah</w:t>
      </w:r>
      <w:proofErr w:type="spellEnd"/>
      <w:r w:rsidRPr="00AC20C2">
        <w:rPr>
          <w:rFonts w:ascii="Times New Roman" w:hAnsi="Times New Roman" w:cs="Times New Roman"/>
        </w:rPr>
        <w:t xml:space="preserve"> among its leadership and populace. In the context of British colonial rule, the preservation of a distinct Malay-Muslim identity became the primary </w:t>
      </w:r>
      <w:proofErr w:type="spellStart"/>
      <w:r w:rsidRPr="00AC20C2">
        <w:rPr>
          <w:rFonts w:ascii="Times New Roman" w:hAnsi="Times New Roman" w:cs="Times New Roman"/>
        </w:rPr>
        <w:t>defense</w:t>
      </w:r>
      <w:proofErr w:type="spellEnd"/>
      <w:r w:rsidRPr="00AC20C2">
        <w:rPr>
          <w:rFonts w:ascii="Times New Roman" w:hAnsi="Times New Roman" w:cs="Times New Roman"/>
        </w:rPr>
        <w:t xml:space="preserve"> against total cultural assimilation.</w:t>
      </w:r>
    </w:p>
    <w:p w14:paraId="420B486A" w14:textId="681CE572"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Dato’ Perdana cultivated this solidarity by forming a strategic alliance known as the </w:t>
      </w:r>
      <w:proofErr w:type="spellStart"/>
      <w:r w:rsidRPr="00AC20C2">
        <w:rPr>
          <w:rFonts w:ascii="Times New Roman" w:hAnsi="Times New Roman" w:cs="Times New Roman"/>
          <w:i/>
          <w:iCs/>
        </w:rPr>
        <w:t>Pemimpin</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Bertiga</w:t>
      </w:r>
      <w:proofErr w:type="spellEnd"/>
      <w:r w:rsidRPr="00AC20C2">
        <w:rPr>
          <w:rFonts w:ascii="Times New Roman" w:hAnsi="Times New Roman" w:cs="Times New Roman"/>
        </w:rPr>
        <w:t xml:space="preserve"> </w:t>
      </w:r>
      <w:r w:rsidR="00BB50E8" w:rsidRPr="00AC20C2">
        <w:rPr>
          <w:rFonts w:ascii="Times New Roman" w:hAnsi="Times New Roman" w:cs="Times New Roman"/>
        </w:rPr>
        <w:t xml:space="preserve">or </w:t>
      </w:r>
      <w:r w:rsidRPr="00AC20C2">
        <w:rPr>
          <w:rFonts w:ascii="Times New Roman" w:hAnsi="Times New Roman" w:cs="Times New Roman"/>
        </w:rPr>
        <w:t>The Triumvirate Leaders. This coalition brought together secular bureaucrats and traditional religious scholars (</w:t>
      </w:r>
      <w:r w:rsidRPr="00AC20C2">
        <w:rPr>
          <w:rFonts w:ascii="Times New Roman" w:hAnsi="Times New Roman" w:cs="Times New Roman"/>
          <w:i/>
          <w:iCs/>
        </w:rPr>
        <w:t>ulama</w:t>
      </w:r>
      <w:r w:rsidRPr="00AC20C2">
        <w:rPr>
          <w:rFonts w:ascii="Times New Roman" w:hAnsi="Times New Roman" w:cs="Times New Roman"/>
        </w:rPr>
        <w:t xml:space="preserve">), pairing the administrative skills of Dato' Perdana and Dato' </w:t>
      </w:r>
      <w:proofErr w:type="spellStart"/>
      <w:r w:rsidRPr="00AC20C2">
        <w:rPr>
          <w:rFonts w:ascii="Times New Roman" w:hAnsi="Times New Roman" w:cs="Times New Roman"/>
        </w:rPr>
        <w:t>Laksamana</w:t>
      </w:r>
      <w:proofErr w:type="spellEnd"/>
      <w:r w:rsidRPr="00AC20C2">
        <w:rPr>
          <w:rFonts w:ascii="Times New Roman" w:hAnsi="Times New Roman" w:cs="Times New Roman"/>
        </w:rPr>
        <w:t xml:space="preserve"> with the moral authority of Tok Kenali.</w:t>
      </w:r>
    </w:p>
    <w:p w14:paraId="45E5D24A"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With the formal endorsement of Sultan Muhammad IV, this elite alliance established MAIK in 1915. By centralizing the management of religious affairs, public education, </w:t>
      </w:r>
      <w:r w:rsidRPr="00AC20C2">
        <w:rPr>
          <w:rFonts w:ascii="Times New Roman" w:hAnsi="Times New Roman" w:cs="Times New Roman"/>
          <w:i/>
          <w:iCs/>
        </w:rPr>
        <w:t>zakat</w:t>
      </w:r>
      <w:r w:rsidRPr="00AC20C2">
        <w:rPr>
          <w:rFonts w:ascii="Times New Roman" w:hAnsi="Times New Roman" w:cs="Times New Roman"/>
        </w:rPr>
        <w:t xml:space="preserve"> (alms), and </w:t>
      </w:r>
      <w:proofErr w:type="spellStart"/>
      <w:r w:rsidRPr="00AC20C2">
        <w:rPr>
          <w:rFonts w:ascii="Times New Roman" w:hAnsi="Times New Roman" w:cs="Times New Roman"/>
          <w:i/>
          <w:iCs/>
        </w:rPr>
        <w:t>wakaf</w:t>
      </w:r>
      <w:proofErr w:type="spellEnd"/>
      <w:r w:rsidRPr="00AC20C2">
        <w:rPr>
          <w:rFonts w:ascii="Times New Roman" w:hAnsi="Times New Roman" w:cs="Times New Roman"/>
        </w:rPr>
        <w:t xml:space="preserve"> (charitable endowments), MAIK unified the state under a structured administrative system. This institutionalized </w:t>
      </w:r>
      <w:proofErr w:type="spellStart"/>
      <w:r w:rsidRPr="00AC20C2">
        <w:rPr>
          <w:rFonts w:ascii="Times New Roman" w:hAnsi="Times New Roman" w:cs="Times New Roman"/>
          <w:i/>
          <w:iCs/>
        </w:rPr>
        <w:t>Asabiyyah</w:t>
      </w:r>
      <w:proofErr w:type="spellEnd"/>
      <w:r w:rsidRPr="00AC20C2">
        <w:rPr>
          <w:rFonts w:ascii="Times New Roman" w:hAnsi="Times New Roman" w:cs="Times New Roman"/>
        </w:rPr>
        <w:t xml:space="preserve"> effectively counterbalanced the secularizing pressures of British colonial policy, ensuring that the state's modernization remained anchored in its indigenous identity.</w:t>
      </w:r>
    </w:p>
    <w:p w14:paraId="1CC13B2D" w14:textId="52F43BFC" w:rsidR="00810B68" w:rsidRPr="000F20A6" w:rsidRDefault="00810B68" w:rsidP="000F20A6">
      <w:pPr>
        <w:pStyle w:val="ListParagraph"/>
        <w:numPr>
          <w:ilvl w:val="0"/>
          <w:numId w:val="9"/>
        </w:numPr>
        <w:spacing w:before="240" w:after="0" w:line="240" w:lineRule="auto"/>
        <w:jc w:val="both"/>
        <w:rPr>
          <w:rFonts w:ascii="Times New Roman" w:hAnsi="Times New Roman" w:cs="Times New Roman"/>
          <w:b/>
          <w:bCs/>
        </w:rPr>
      </w:pPr>
      <w:r w:rsidRPr="000F20A6">
        <w:rPr>
          <w:rFonts w:ascii="Times New Roman" w:hAnsi="Times New Roman" w:cs="Times New Roman"/>
          <w:b/>
          <w:bCs/>
        </w:rPr>
        <w:t>Political Wisdom and Legal Architecture (</w:t>
      </w:r>
      <w:proofErr w:type="spellStart"/>
      <w:r w:rsidRPr="000F20A6">
        <w:rPr>
          <w:rFonts w:ascii="Times New Roman" w:hAnsi="Times New Roman" w:cs="Times New Roman"/>
          <w:b/>
          <w:bCs/>
          <w:i/>
          <w:iCs/>
        </w:rPr>
        <w:t>Siyasah</w:t>
      </w:r>
      <w:proofErr w:type="spellEnd"/>
      <w:r w:rsidRPr="000F20A6">
        <w:rPr>
          <w:rFonts w:ascii="Times New Roman" w:hAnsi="Times New Roman" w:cs="Times New Roman"/>
          <w:b/>
          <w:bCs/>
          <w:i/>
          <w:iCs/>
        </w:rPr>
        <w:t xml:space="preserve"> &amp; Al-Shariah</w:t>
      </w:r>
      <w:r w:rsidRPr="000F20A6">
        <w:rPr>
          <w:rFonts w:ascii="Times New Roman" w:hAnsi="Times New Roman" w:cs="Times New Roman"/>
          <w:b/>
          <w:bCs/>
        </w:rPr>
        <w:t>)</w:t>
      </w:r>
    </w:p>
    <w:p w14:paraId="3C07DC1A"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Ibn Khaldun asserted that civilizational survival requires stable political institutions and an enforceable legal framework. A just, functioning administration provides the security and predictability necessary for commerce, education, and culture to thrive. Within this framework, MAIK served as the formal advisory body to the Sultan, ensuring that state governance remained aligned with Islamic law and Malay custom without involving the religious elite in divisive political factions.</w:t>
      </w:r>
    </w:p>
    <w:p w14:paraId="1493B87A"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Furthermore, </w:t>
      </w:r>
      <w:r w:rsidRPr="00AC20C2">
        <w:rPr>
          <w:rFonts w:ascii="Times New Roman" w:hAnsi="Times New Roman" w:cs="Times New Roman"/>
          <w:i/>
          <w:iCs/>
        </w:rPr>
        <w:t>Umran</w:t>
      </w:r>
      <w:r w:rsidRPr="00AC20C2">
        <w:rPr>
          <w:rFonts w:ascii="Times New Roman" w:hAnsi="Times New Roman" w:cs="Times New Roman"/>
        </w:rPr>
        <w:t xml:space="preserve"> theory highlights that societal </w:t>
      </w:r>
      <w:proofErr w:type="spellStart"/>
      <w:r w:rsidRPr="00AC20C2">
        <w:rPr>
          <w:rFonts w:ascii="Times New Roman" w:hAnsi="Times New Roman" w:cs="Times New Roman"/>
        </w:rPr>
        <w:t>behavior</w:t>
      </w:r>
      <w:proofErr w:type="spellEnd"/>
      <w:r w:rsidRPr="00AC20C2">
        <w:rPr>
          <w:rFonts w:ascii="Times New Roman" w:hAnsi="Times New Roman" w:cs="Times New Roman"/>
        </w:rPr>
        <w:t xml:space="preserve"> is directly shaped by the legal codes enforced by the state. The open nature of British civil codes at the time had left legal gaps that allowed urban vices to grow unchecked. To address this, Dato’ Perdana utilized the State Legislative Council to introduce strict, enforceable religious legislation:</w:t>
      </w:r>
    </w:p>
    <w:p w14:paraId="0218CA6F" w14:textId="77777777" w:rsidR="00810B68" w:rsidRPr="00AC20C2" w:rsidRDefault="00810B68" w:rsidP="003B73E3">
      <w:pPr>
        <w:numPr>
          <w:ilvl w:val="0"/>
          <w:numId w:val="7"/>
        </w:numPr>
        <w:spacing w:before="240" w:after="0" w:line="240" w:lineRule="auto"/>
        <w:jc w:val="both"/>
        <w:rPr>
          <w:rFonts w:ascii="Times New Roman" w:hAnsi="Times New Roman" w:cs="Times New Roman"/>
        </w:rPr>
      </w:pPr>
      <w:r w:rsidRPr="00AC20C2">
        <w:rPr>
          <w:rFonts w:ascii="Times New Roman" w:hAnsi="Times New Roman" w:cs="Times New Roman"/>
          <w:b/>
          <w:bCs/>
        </w:rPr>
        <w:lastRenderedPageBreak/>
        <w:t>Notice No. 5 of 1916 (</w:t>
      </w:r>
      <w:proofErr w:type="spellStart"/>
      <w:r w:rsidRPr="00AC20C2">
        <w:rPr>
          <w:rFonts w:ascii="Times New Roman" w:hAnsi="Times New Roman" w:cs="Times New Roman"/>
          <w:b/>
          <w:bCs/>
          <w:i/>
          <w:iCs/>
        </w:rPr>
        <w:t>Menjaga</w:t>
      </w:r>
      <w:proofErr w:type="spellEnd"/>
      <w:r w:rsidRPr="00AC20C2">
        <w:rPr>
          <w:rFonts w:ascii="Times New Roman" w:hAnsi="Times New Roman" w:cs="Times New Roman"/>
          <w:b/>
          <w:bCs/>
          <w:i/>
          <w:iCs/>
        </w:rPr>
        <w:t xml:space="preserve"> </w:t>
      </w:r>
      <w:proofErr w:type="spellStart"/>
      <w:r w:rsidRPr="00AC20C2">
        <w:rPr>
          <w:rFonts w:ascii="Times New Roman" w:hAnsi="Times New Roman" w:cs="Times New Roman"/>
          <w:b/>
          <w:bCs/>
          <w:i/>
          <w:iCs/>
        </w:rPr>
        <w:t>Sekalian</w:t>
      </w:r>
      <w:proofErr w:type="spellEnd"/>
      <w:r w:rsidRPr="00AC20C2">
        <w:rPr>
          <w:rFonts w:ascii="Times New Roman" w:hAnsi="Times New Roman" w:cs="Times New Roman"/>
          <w:b/>
          <w:bCs/>
          <w:i/>
          <w:iCs/>
        </w:rPr>
        <w:t xml:space="preserve"> Perempuan-Perempuan </w:t>
      </w:r>
      <w:proofErr w:type="spellStart"/>
      <w:r w:rsidRPr="00AC20C2">
        <w:rPr>
          <w:rFonts w:ascii="Times New Roman" w:hAnsi="Times New Roman" w:cs="Times New Roman"/>
          <w:b/>
          <w:bCs/>
          <w:i/>
          <w:iCs/>
        </w:rPr>
        <w:t>Jahat</w:t>
      </w:r>
      <w:proofErr w:type="spellEnd"/>
      <w:r w:rsidRPr="00AC20C2">
        <w:rPr>
          <w:rFonts w:ascii="Times New Roman" w:hAnsi="Times New Roman" w:cs="Times New Roman"/>
          <w:b/>
          <w:bCs/>
        </w:rPr>
        <w:t>):</w:t>
      </w:r>
      <w:r w:rsidRPr="00AC20C2">
        <w:rPr>
          <w:rFonts w:ascii="Times New Roman" w:hAnsi="Times New Roman" w:cs="Times New Roman"/>
        </w:rPr>
        <w:t xml:space="preserve"> This decree was enacted to curb public prostitution and human trafficking.</w:t>
      </w:r>
    </w:p>
    <w:p w14:paraId="0C1ABAF3" w14:textId="77777777" w:rsidR="00810B68" w:rsidRPr="00AC20C2" w:rsidRDefault="00810B68" w:rsidP="003B73E3">
      <w:pPr>
        <w:numPr>
          <w:ilvl w:val="0"/>
          <w:numId w:val="7"/>
        </w:numPr>
        <w:spacing w:before="240" w:after="0" w:line="240" w:lineRule="auto"/>
        <w:jc w:val="both"/>
        <w:rPr>
          <w:rFonts w:ascii="Times New Roman" w:hAnsi="Times New Roman" w:cs="Times New Roman"/>
        </w:rPr>
      </w:pPr>
      <w:r w:rsidRPr="00AC20C2">
        <w:rPr>
          <w:rFonts w:ascii="Times New Roman" w:hAnsi="Times New Roman" w:cs="Times New Roman"/>
          <w:b/>
          <w:bCs/>
        </w:rPr>
        <w:t>Notice No. 3 of 1919:</w:t>
      </w:r>
      <w:r w:rsidRPr="00AC20C2">
        <w:rPr>
          <w:rFonts w:ascii="Times New Roman" w:hAnsi="Times New Roman" w:cs="Times New Roman"/>
        </w:rPr>
        <w:t xml:space="preserve"> This law introduced heavy financial fines, imprisonment, and banishment orders that forced sex workers and pimps at least one mile outside urban </w:t>
      </w:r>
      <w:proofErr w:type="spellStart"/>
      <w:r w:rsidRPr="00AC20C2">
        <w:rPr>
          <w:rFonts w:ascii="Times New Roman" w:hAnsi="Times New Roman" w:cs="Times New Roman"/>
        </w:rPr>
        <w:t>centers</w:t>
      </w:r>
      <w:proofErr w:type="spellEnd"/>
      <w:r w:rsidRPr="00AC20C2">
        <w:rPr>
          <w:rFonts w:ascii="Times New Roman" w:hAnsi="Times New Roman" w:cs="Times New Roman"/>
        </w:rPr>
        <w:t>.</w:t>
      </w:r>
    </w:p>
    <w:p w14:paraId="7882BFB6"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These legal measures re-established social order in the public sphere, demonstrating the </w:t>
      </w:r>
      <w:proofErr w:type="spellStart"/>
      <w:r w:rsidRPr="00AC20C2">
        <w:rPr>
          <w:rFonts w:ascii="Times New Roman" w:hAnsi="Times New Roman" w:cs="Times New Roman"/>
        </w:rPr>
        <w:t>Khaldunian</w:t>
      </w:r>
      <w:proofErr w:type="spellEnd"/>
      <w:r w:rsidRPr="00AC20C2">
        <w:rPr>
          <w:rFonts w:ascii="Times New Roman" w:hAnsi="Times New Roman" w:cs="Times New Roman"/>
        </w:rPr>
        <w:t xml:space="preserve"> principle that stable governance requires a clear alignment between political authority and ethical law.</w:t>
      </w:r>
    </w:p>
    <w:p w14:paraId="1A393F8F"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When evaluated through Ibn Khaldun's Theory of </w:t>
      </w:r>
      <w:r w:rsidRPr="00AC20C2">
        <w:rPr>
          <w:rFonts w:ascii="Times New Roman" w:hAnsi="Times New Roman" w:cs="Times New Roman"/>
          <w:i/>
          <w:iCs/>
        </w:rPr>
        <w:t>Umran</w:t>
      </w:r>
      <w:r w:rsidRPr="00AC20C2">
        <w:rPr>
          <w:rFonts w:ascii="Times New Roman" w:hAnsi="Times New Roman" w:cs="Times New Roman"/>
        </w:rPr>
        <w:t>, the administrative legacy of Dato’ Perdana and MAIK between 1915 and 1945 offers an instructive historical case study in socio-religious governance. Faced with the destabilizing cultural impacts of colonial modernization during the "Paris of Malaya" era, the administration did not retreat into isolationism or rely solely on punitive measures. Instead, they pursued a balanced approach to civilizational reconstruction.</w:t>
      </w:r>
    </w:p>
    <w:p w14:paraId="2148088C" w14:textId="77777777" w:rsidR="00810B68" w:rsidRPr="00AC20C2" w:rsidRDefault="00810B68" w:rsidP="003B73E3">
      <w:pPr>
        <w:spacing w:before="240" w:after="0" w:line="240" w:lineRule="auto"/>
        <w:jc w:val="both"/>
        <w:rPr>
          <w:rFonts w:ascii="Times New Roman" w:hAnsi="Times New Roman" w:cs="Times New Roman"/>
        </w:rPr>
      </w:pPr>
      <w:r w:rsidRPr="00AC20C2">
        <w:rPr>
          <w:rFonts w:ascii="Times New Roman" w:hAnsi="Times New Roman" w:cs="Times New Roman"/>
        </w:rPr>
        <w:t>By integrating religious education (</w:t>
      </w:r>
      <w:r w:rsidRPr="00AC20C2">
        <w:rPr>
          <w:rFonts w:ascii="Times New Roman" w:hAnsi="Times New Roman" w:cs="Times New Roman"/>
          <w:i/>
          <w:iCs/>
        </w:rPr>
        <w:t>Al-Din</w:t>
      </w:r>
      <w:r w:rsidRPr="00AC20C2">
        <w:rPr>
          <w:rFonts w:ascii="Times New Roman" w:hAnsi="Times New Roman" w:cs="Times New Roman"/>
        </w:rPr>
        <w:t>), institutional solidarity (</w:t>
      </w:r>
      <w:proofErr w:type="spellStart"/>
      <w:r w:rsidRPr="00AC20C2">
        <w:rPr>
          <w:rFonts w:ascii="Times New Roman" w:hAnsi="Times New Roman" w:cs="Times New Roman"/>
          <w:i/>
          <w:iCs/>
        </w:rPr>
        <w:t>Asabiyyah</w:t>
      </w:r>
      <w:proofErr w:type="spellEnd"/>
      <w:r w:rsidRPr="00AC20C2">
        <w:rPr>
          <w:rFonts w:ascii="Times New Roman" w:hAnsi="Times New Roman" w:cs="Times New Roman"/>
        </w:rPr>
        <w:t>), and targeted legal frameworks (</w:t>
      </w:r>
      <w:proofErr w:type="spellStart"/>
      <w:r w:rsidRPr="00AC20C2">
        <w:rPr>
          <w:rFonts w:ascii="Times New Roman" w:hAnsi="Times New Roman" w:cs="Times New Roman"/>
          <w:i/>
          <w:iCs/>
        </w:rPr>
        <w:t>Siyasah</w:t>
      </w:r>
      <w:proofErr w:type="spellEnd"/>
      <w:r w:rsidRPr="00AC20C2">
        <w:rPr>
          <w:rFonts w:ascii="Times New Roman" w:hAnsi="Times New Roman" w:cs="Times New Roman"/>
          <w:i/>
          <w:iCs/>
        </w:rPr>
        <w:t xml:space="preserve"> &amp; Al-Shariah</w:t>
      </w:r>
      <w:r w:rsidRPr="00AC20C2">
        <w:rPr>
          <w:rFonts w:ascii="Times New Roman" w:hAnsi="Times New Roman" w:cs="Times New Roman"/>
        </w:rPr>
        <w:t xml:space="preserve">), Dato’ Perdana’s administration constructed a resilient social ecosystem. This historical model supports the core </w:t>
      </w:r>
      <w:proofErr w:type="spellStart"/>
      <w:r w:rsidRPr="00AC20C2">
        <w:rPr>
          <w:rFonts w:ascii="Times New Roman" w:hAnsi="Times New Roman" w:cs="Times New Roman"/>
        </w:rPr>
        <w:t>Khaldunian</w:t>
      </w:r>
      <w:proofErr w:type="spellEnd"/>
      <w:r w:rsidRPr="00AC20C2">
        <w:rPr>
          <w:rFonts w:ascii="Times New Roman" w:hAnsi="Times New Roman" w:cs="Times New Roman"/>
        </w:rPr>
        <w:t xml:space="preserve"> premise: while material and economic growth are vital components of a civilization (</w:t>
      </w:r>
      <w:proofErr w:type="spellStart"/>
      <w:r w:rsidRPr="00AC20C2">
        <w:rPr>
          <w:rFonts w:ascii="Times New Roman" w:hAnsi="Times New Roman" w:cs="Times New Roman"/>
          <w:i/>
          <w:iCs/>
        </w:rPr>
        <w:t>umran</w:t>
      </w:r>
      <w:proofErr w:type="spellEnd"/>
      <w:r w:rsidRPr="00AC20C2">
        <w:rPr>
          <w:rFonts w:ascii="Times New Roman" w:hAnsi="Times New Roman" w:cs="Times New Roman"/>
        </w:rPr>
        <w:t>), they can only be sustained over the long term if they are anchored by strong institutional justice and a shared moral foundation.</w:t>
      </w:r>
    </w:p>
    <w:p w14:paraId="50ADF136" w14:textId="77777777" w:rsidR="003F0CF1" w:rsidRPr="00AC20C2" w:rsidRDefault="003F0CF1" w:rsidP="003B73E3">
      <w:pPr>
        <w:spacing w:before="240" w:after="0" w:line="240" w:lineRule="auto"/>
        <w:jc w:val="both"/>
        <w:rPr>
          <w:rFonts w:ascii="Times New Roman" w:hAnsi="Times New Roman" w:cs="Times New Roman"/>
          <w:b/>
          <w:bCs/>
        </w:rPr>
      </w:pPr>
      <w:r w:rsidRPr="00AC20C2">
        <w:rPr>
          <w:rFonts w:ascii="Times New Roman" w:hAnsi="Times New Roman" w:cs="Times New Roman"/>
          <w:b/>
          <w:bCs/>
        </w:rPr>
        <w:t>Methodology</w:t>
      </w:r>
    </w:p>
    <w:p w14:paraId="3C0B7F35" w14:textId="714F1C5C" w:rsidR="003F0CF1" w:rsidRPr="00AC20C2" w:rsidRDefault="003F0CF1"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To achieve a comprehensive understanding of the </w:t>
      </w:r>
      <w:proofErr w:type="gramStart"/>
      <w:r w:rsidRPr="00AC20C2">
        <w:rPr>
          <w:rFonts w:ascii="Times New Roman" w:hAnsi="Times New Roman" w:cs="Times New Roman"/>
        </w:rPr>
        <w:t>socio</w:t>
      </w:r>
      <w:r w:rsidR="005A041F" w:rsidRPr="00AC20C2">
        <w:rPr>
          <w:rFonts w:ascii="Times New Roman" w:hAnsi="Times New Roman" w:cs="Times New Roman"/>
        </w:rPr>
        <w:t xml:space="preserve"> </w:t>
      </w:r>
      <w:r w:rsidRPr="00AC20C2">
        <w:rPr>
          <w:rFonts w:ascii="Times New Roman" w:hAnsi="Times New Roman" w:cs="Times New Roman"/>
        </w:rPr>
        <w:t>political</w:t>
      </w:r>
      <w:proofErr w:type="gramEnd"/>
      <w:r w:rsidRPr="00AC20C2">
        <w:rPr>
          <w:rFonts w:ascii="Times New Roman" w:hAnsi="Times New Roman" w:cs="Times New Roman"/>
        </w:rPr>
        <w:t xml:space="preserve"> dynamics during a transformative era in Kelantanese history, this study adopts a qualitative research design rooted in a </w:t>
      </w:r>
      <w:proofErr w:type="gramStart"/>
      <w:r w:rsidRPr="00AC20C2">
        <w:rPr>
          <w:rFonts w:ascii="Times New Roman" w:hAnsi="Times New Roman" w:cs="Times New Roman"/>
        </w:rPr>
        <w:t>socio</w:t>
      </w:r>
      <w:r w:rsidR="00820CAD" w:rsidRPr="00AC20C2">
        <w:rPr>
          <w:rFonts w:ascii="Times New Roman" w:hAnsi="Times New Roman" w:cs="Times New Roman"/>
        </w:rPr>
        <w:t xml:space="preserve"> </w:t>
      </w:r>
      <w:r w:rsidRPr="00AC20C2">
        <w:rPr>
          <w:rFonts w:ascii="Times New Roman" w:hAnsi="Times New Roman" w:cs="Times New Roman"/>
        </w:rPr>
        <w:t>political</w:t>
      </w:r>
      <w:proofErr w:type="gramEnd"/>
      <w:r w:rsidRPr="00AC20C2">
        <w:rPr>
          <w:rFonts w:ascii="Times New Roman" w:hAnsi="Times New Roman" w:cs="Times New Roman"/>
        </w:rPr>
        <w:t xml:space="preserve"> history and cultural heritage framework. To capture the complex dynamics of regional governance and institutional leadership, this project employs a dual historical-sociological approach. This specialized methodological lens evaluates the reciprocal, symbiotic relationship between Kelantan's socio-cultural evolution</w:t>
      </w:r>
      <w:r w:rsidR="005A041F" w:rsidRPr="00AC20C2">
        <w:rPr>
          <w:rFonts w:ascii="Times New Roman" w:hAnsi="Times New Roman" w:cs="Times New Roman"/>
        </w:rPr>
        <w:t xml:space="preserve"> was </w:t>
      </w:r>
      <w:r w:rsidRPr="00AC20C2">
        <w:rPr>
          <w:rFonts w:ascii="Times New Roman" w:hAnsi="Times New Roman" w:cs="Times New Roman"/>
        </w:rPr>
        <w:t>specifically the socio</w:t>
      </w:r>
      <w:r w:rsidR="005A041F" w:rsidRPr="00AC20C2">
        <w:rPr>
          <w:rFonts w:ascii="Times New Roman" w:hAnsi="Times New Roman" w:cs="Times New Roman"/>
        </w:rPr>
        <w:t xml:space="preserve"> </w:t>
      </w:r>
      <w:r w:rsidRPr="00AC20C2">
        <w:rPr>
          <w:rFonts w:ascii="Times New Roman" w:hAnsi="Times New Roman" w:cs="Times New Roman"/>
        </w:rPr>
        <w:t>moral crisis of the "Paris of Malaya" era</w:t>
      </w:r>
      <w:r w:rsidR="005A041F" w:rsidRPr="00AC20C2">
        <w:rPr>
          <w:rFonts w:ascii="Times New Roman" w:hAnsi="Times New Roman" w:cs="Times New Roman"/>
        </w:rPr>
        <w:t xml:space="preserve"> </w:t>
      </w:r>
      <w:r w:rsidRPr="00AC20C2">
        <w:rPr>
          <w:rFonts w:ascii="Times New Roman" w:hAnsi="Times New Roman" w:cs="Times New Roman"/>
        </w:rPr>
        <w:t xml:space="preserve">and the strategic administrative interventions executed by Dato' Perdana within the </w:t>
      </w:r>
      <w:r w:rsidR="00390A0E" w:rsidRPr="00AC20C2">
        <w:rPr>
          <w:rFonts w:ascii="Times New Roman" w:hAnsi="Times New Roman" w:cs="Times New Roman"/>
          <w:i/>
          <w:iCs/>
        </w:rPr>
        <w:t>Kelantan Islamic Religious and Malay Customs Council (MAIK)</w:t>
      </w:r>
      <w:r w:rsidRPr="00AC20C2">
        <w:rPr>
          <w:rFonts w:ascii="Times New Roman" w:hAnsi="Times New Roman" w:cs="Times New Roman"/>
        </w:rPr>
        <w:t xml:space="preserve"> (MAIK).</w:t>
      </w:r>
    </w:p>
    <w:p w14:paraId="201BDEE2" w14:textId="77777777" w:rsidR="003F0CF1" w:rsidRPr="00AC20C2" w:rsidRDefault="003F0CF1"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Operationally, this study utilizes narrative analysis and phenomenological frameworks. These methodologies are deployed across three critical analytical dimensions, beginning with the life-history and institutional arc that traces the chronological background of Dato’ Perdana, his tenure at MAIK, and his targeted civilizational strategies to mitigate the "Paris of Malaya" moral vulnerabilities. The second dimension focuses on the integration of internal and external sources, </w:t>
      </w:r>
      <w:proofErr w:type="spellStart"/>
      <w:r w:rsidRPr="00AC20C2">
        <w:rPr>
          <w:rFonts w:ascii="Times New Roman" w:hAnsi="Times New Roman" w:cs="Times New Roman"/>
        </w:rPr>
        <w:t>analyzing</w:t>
      </w:r>
      <w:proofErr w:type="spellEnd"/>
      <w:r w:rsidRPr="00AC20C2">
        <w:rPr>
          <w:rFonts w:ascii="Times New Roman" w:hAnsi="Times New Roman" w:cs="Times New Roman"/>
        </w:rPr>
        <w:t xml:space="preserve"> internal institutional accounts alongside external evaluations written by contemporary scholars on his socio-political administration. Finally, the third dimension involves a triangulated conceptual synthesis, combining these empirical findings into a unified model that advances a new paradigm for indigenous Islamic administrative leadership. To achieve these dimensions successfully, a complete chronological narrative focusing on Dato' Perdana's administrative leadership within MAIK is maintained.</w:t>
      </w:r>
    </w:p>
    <w:p w14:paraId="68425AA4" w14:textId="0E3A0EA2" w:rsidR="003F0CF1" w:rsidRPr="00AC20C2" w:rsidRDefault="003F0CF1" w:rsidP="003B73E3">
      <w:pPr>
        <w:spacing w:before="240" w:after="0" w:line="240" w:lineRule="auto"/>
        <w:jc w:val="both"/>
        <w:rPr>
          <w:rFonts w:ascii="Times New Roman" w:hAnsi="Times New Roman" w:cs="Times New Roman"/>
        </w:rPr>
      </w:pPr>
      <w:r w:rsidRPr="00AC20C2">
        <w:rPr>
          <w:rFonts w:ascii="Times New Roman" w:hAnsi="Times New Roman" w:cs="Times New Roman"/>
        </w:rPr>
        <w:t>To ensure deep empirical validity and data saturation, data collection was conducted via rigorous desk research, semi-structured interviews, and field observations. Extensive archival investigations were carried out across several premier institutional repositories, including the libraries of Universit</w:t>
      </w:r>
      <w:r w:rsidR="005A041F" w:rsidRPr="00AC20C2">
        <w:rPr>
          <w:rFonts w:ascii="Times New Roman" w:hAnsi="Times New Roman" w:cs="Times New Roman"/>
        </w:rPr>
        <w:t>y</w:t>
      </w:r>
      <w:r w:rsidRPr="00AC20C2">
        <w:rPr>
          <w:rFonts w:ascii="Times New Roman" w:hAnsi="Times New Roman" w:cs="Times New Roman"/>
        </w:rPr>
        <w:t xml:space="preserve"> Malaysia </w:t>
      </w:r>
      <w:r w:rsidR="005A041F" w:rsidRPr="00AC20C2">
        <w:rPr>
          <w:rFonts w:ascii="Times New Roman" w:hAnsi="Times New Roman" w:cs="Times New Roman"/>
        </w:rPr>
        <w:t xml:space="preserve">of </w:t>
      </w:r>
      <w:r w:rsidRPr="00AC20C2">
        <w:rPr>
          <w:rFonts w:ascii="Times New Roman" w:hAnsi="Times New Roman" w:cs="Times New Roman"/>
        </w:rPr>
        <w:t>Kelantan, Universit</w:t>
      </w:r>
      <w:r w:rsidR="005A041F" w:rsidRPr="00AC20C2">
        <w:rPr>
          <w:rFonts w:ascii="Times New Roman" w:hAnsi="Times New Roman" w:cs="Times New Roman"/>
        </w:rPr>
        <w:t>y</w:t>
      </w:r>
      <w:r w:rsidRPr="00AC20C2">
        <w:rPr>
          <w:rFonts w:ascii="Times New Roman" w:hAnsi="Times New Roman" w:cs="Times New Roman"/>
        </w:rPr>
        <w:t xml:space="preserve"> </w:t>
      </w:r>
      <w:proofErr w:type="spellStart"/>
      <w:r w:rsidRPr="00AC20C2">
        <w:rPr>
          <w:rFonts w:ascii="Times New Roman" w:hAnsi="Times New Roman" w:cs="Times New Roman"/>
        </w:rPr>
        <w:t>Kebangsaan</w:t>
      </w:r>
      <w:proofErr w:type="spellEnd"/>
      <w:r w:rsidRPr="00AC20C2">
        <w:rPr>
          <w:rFonts w:ascii="Times New Roman" w:hAnsi="Times New Roman" w:cs="Times New Roman"/>
        </w:rPr>
        <w:t xml:space="preserve"> </w:t>
      </w:r>
      <w:r w:rsidR="005A041F" w:rsidRPr="00AC20C2">
        <w:rPr>
          <w:rFonts w:ascii="Times New Roman" w:hAnsi="Times New Roman" w:cs="Times New Roman"/>
        </w:rPr>
        <w:t xml:space="preserve">of </w:t>
      </w:r>
      <w:r w:rsidRPr="00AC20C2">
        <w:rPr>
          <w:rFonts w:ascii="Times New Roman" w:hAnsi="Times New Roman" w:cs="Times New Roman"/>
        </w:rPr>
        <w:t>Malaysia, Universit</w:t>
      </w:r>
      <w:r w:rsidR="005A041F" w:rsidRPr="00AC20C2">
        <w:rPr>
          <w:rFonts w:ascii="Times New Roman" w:hAnsi="Times New Roman" w:cs="Times New Roman"/>
        </w:rPr>
        <w:t>y</w:t>
      </w:r>
      <w:r w:rsidRPr="00AC20C2">
        <w:rPr>
          <w:rFonts w:ascii="Times New Roman" w:hAnsi="Times New Roman" w:cs="Times New Roman"/>
        </w:rPr>
        <w:t xml:space="preserve"> Malaya and </w:t>
      </w:r>
      <w:r w:rsidR="005A041F" w:rsidRPr="00AC20C2">
        <w:rPr>
          <w:rFonts w:ascii="Times New Roman" w:hAnsi="Times New Roman" w:cs="Times New Roman"/>
        </w:rPr>
        <w:t xml:space="preserve">lastly </w:t>
      </w:r>
      <w:r w:rsidRPr="00AC20C2">
        <w:rPr>
          <w:rFonts w:ascii="Times New Roman" w:hAnsi="Times New Roman" w:cs="Times New Roman"/>
        </w:rPr>
        <w:t xml:space="preserve">Universiti Sains Malaysia. The documentary analysis prioritized foundational texts, local edicts, and specialized state journals focusing on Kelantanese heritage and administration, such as </w:t>
      </w:r>
      <w:r w:rsidRPr="00AC20C2">
        <w:rPr>
          <w:rFonts w:ascii="Times New Roman" w:hAnsi="Times New Roman" w:cs="Times New Roman"/>
          <w:i/>
          <w:iCs/>
        </w:rPr>
        <w:t xml:space="preserve">Sejarah, Adat dan </w:t>
      </w:r>
      <w:proofErr w:type="spellStart"/>
      <w:r w:rsidRPr="00AC20C2">
        <w:rPr>
          <w:rFonts w:ascii="Times New Roman" w:hAnsi="Times New Roman" w:cs="Times New Roman"/>
          <w:i/>
          <w:iCs/>
        </w:rPr>
        <w:t>Warisan</w:t>
      </w:r>
      <w:proofErr w:type="spellEnd"/>
      <w:r w:rsidRPr="00AC20C2">
        <w:rPr>
          <w:rFonts w:ascii="Times New Roman" w:hAnsi="Times New Roman" w:cs="Times New Roman"/>
          <w:i/>
          <w:iCs/>
        </w:rPr>
        <w:t xml:space="preserve"> Kelantan</w:t>
      </w:r>
      <w:r w:rsidRPr="00AC20C2">
        <w:rPr>
          <w:rFonts w:ascii="Times New Roman" w:hAnsi="Times New Roman" w:cs="Times New Roman"/>
        </w:rPr>
        <w:t xml:space="preserve">, </w:t>
      </w:r>
      <w:proofErr w:type="spellStart"/>
      <w:r w:rsidRPr="00AC20C2">
        <w:rPr>
          <w:rFonts w:ascii="Times New Roman" w:hAnsi="Times New Roman" w:cs="Times New Roman"/>
          <w:i/>
          <w:iCs/>
        </w:rPr>
        <w:t>Warisan</w:t>
      </w:r>
      <w:proofErr w:type="spellEnd"/>
      <w:r w:rsidRPr="00AC20C2">
        <w:rPr>
          <w:rFonts w:ascii="Times New Roman" w:hAnsi="Times New Roman" w:cs="Times New Roman"/>
          <w:i/>
          <w:iCs/>
        </w:rPr>
        <w:t xml:space="preserve"> Kelantan</w:t>
      </w:r>
      <w:r w:rsidRPr="00AC20C2">
        <w:rPr>
          <w:rFonts w:ascii="Times New Roman" w:hAnsi="Times New Roman" w:cs="Times New Roman"/>
        </w:rPr>
        <w:t xml:space="preserve">, </w:t>
      </w:r>
      <w:r w:rsidRPr="00AC20C2">
        <w:rPr>
          <w:rFonts w:ascii="Times New Roman" w:hAnsi="Times New Roman" w:cs="Times New Roman"/>
          <w:i/>
          <w:iCs/>
        </w:rPr>
        <w:t>Kala Tanah Air</w:t>
      </w:r>
      <w:r w:rsidRPr="00AC20C2">
        <w:rPr>
          <w:rFonts w:ascii="Times New Roman" w:hAnsi="Times New Roman" w:cs="Times New Roman"/>
        </w:rPr>
        <w:t xml:space="preserve">, and MAIK’s historical publication, </w:t>
      </w:r>
      <w:r w:rsidRPr="00AC20C2">
        <w:rPr>
          <w:rFonts w:ascii="Times New Roman" w:hAnsi="Times New Roman" w:cs="Times New Roman"/>
          <w:i/>
          <w:iCs/>
        </w:rPr>
        <w:t xml:space="preserve">Puri </w:t>
      </w:r>
      <w:proofErr w:type="spellStart"/>
      <w:r w:rsidRPr="00AC20C2">
        <w:rPr>
          <w:rFonts w:ascii="Times New Roman" w:hAnsi="Times New Roman" w:cs="Times New Roman"/>
          <w:i/>
          <w:iCs/>
        </w:rPr>
        <w:t>Kencana</w:t>
      </w:r>
      <w:proofErr w:type="spellEnd"/>
      <w:r w:rsidRPr="00AC20C2">
        <w:rPr>
          <w:rFonts w:ascii="Times New Roman" w:hAnsi="Times New Roman" w:cs="Times New Roman"/>
        </w:rPr>
        <w:t>. These secondary data points were supplemented with peer-reviewed journal articles, historical newspapers, and verified electronic archives to cross-reference localized administrative policies against broader colonial socio-political developments and scholars' conceptual understandings of governance models.</w:t>
      </w:r>
    </w:p>
    <w:p w14:paraId="549C3DE9" w14:textId="77777777" w:rsidR="003F0CF1" w:rsidRPr="00AC20C2" w:rsidRDefault="003F0CF1"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Primary empirical data were gathered through intensive, face-to-face semi-structured interviews with five purposively selected expert informants who met strict inclusion criteria. Each informant possessed deep, expert knowledge of Kelantan’s political history, held direct academic or historical expertise regarding the </w:t>
      </w:r>
      <w:r w:rsidRPr="00AC20C2">
        <w:rPr>
          <w:rFonts w:ascii="Times New Roman" w:hAnsi="Times New Roman" w:cs="Times New Roman"/>
        </w:rPr>
        <w:lastRenderedPageBreak/>
        <w:t>administrative era of Dato’ Perdana and MAIK, and demonstrated a willingness to provide verifiable historical testimonies. The expert panel comprised prominent historians, political scientists, and cultural heritage scholars specializing in the historical governance of Kelantan. The inquiry was guided by an interview protocol divided into five distinct thematic axes: the demographic and professional profiles of the informants, Dato’ Perdana’s administrative leadership within the MAIK apparatus, the institutional and political dynamics of MAIK, the socio-religious policies and legislative measures of MAIK, and the personality traits of Dato’ Perdana alongside the strategic counter-model against the "Paris of Malaya" phenomenon.</w:t>
      </w:r>
    </w:p>
    <w:p w14:paraId="090008E9" w14:textId="718E1A7F" w:rsidR="003F0CF1" w:rsidRPr="00AC20C2" w:rsidRDefault="00820CAD" w:rsidP="003B73E3">
      <w:pPr>
        <w:spacing w:before="240" w:after="0" w:line="240" w:lineRule="auto"/>
        <w:jc w:val="both"/>
        <w:rPr>
          <w:rFonts w:ascii="Times New Roman" w:hAnsi="Times New Roman" w:cs="Times New Roman"/>
        </w:rPr>
      </w:pPr>
      <w:r w:rsidRPr="00AC20C2">
        <w:rPr>
          <w:rFonts w:ascii="Times New Roman" w:hAnsi="Times New Roman" w:cs="Times New Roman"/>
        </w:rPr>
        <w:t>Hence t</w:t>
      </w:r>
      <w:r w:rsidR="003F0CF1" w:rsidRPr="00AC20C2">
        <w:rPr>
          <w:rFonts w:ascii="Times New Roman" w:hAnsi="Times New Roman" w:cs="Times New Roman"/>
        </w:rPr>
        <w:t>o supplement and validate these interview data, participant</w:t>
      </w:r>
      <w:r w:rsidR="00796CC3" w:rsidRPr="00AC20C2">
        <w:rPr>
          <w:rFonts w:ascii="Times New Roman" w:hAnsi="Times New Roman" w:cs="Times New Roman"/>
        </w:rPr>
        <w:t xml:space="preserve"> </w:t>
      </w:r>
      <w:r w:rsidR="003F0CF1" w:rsidRPr="00AC20C2">
        <w:rPr>
          <w:rFonts w:ascii="Times New Roman" w:hAnsi="Times New Roman" w:cs="Times New Roman"/>
        </w:rPr>
        <w:t>observation techniques were employed. This involved immersive field recording, active listening, and close engagement with the local heritage communities and institutional repositories connected to the research site. This hands-on observation served as an empirical cross-check, allowing the researcher to triangulate field realities with archival data and oral testimonies, thereby improving the study's overall objectivity, validity, and reliability.</w:t>
      </w:r>
    </w:p>
    <w:p w14:paraId="61629062" w14:textId="1B0DDBDD" w:rsidR="003F0CF1" w:rsidRPr="00AC20C2" w:rsidRDefault="003F0CF1" w:rsidP="003B73E3">
      <w:pPr>
        <w:spacing w:before="240" w:after="0" w:line="240" w:lineRule="auto"/>
        <w:jc w:val="both"/>
        <w:rPr>
          <w:rFonts w:ascii="Times New Roman" w:hAnsi="Times New Roman" w:cs="Times New Roman"/>
        </w:rPr>
      </w:pPr>
      <w:r w:rsidRPr="00AC20C2">
        <w:rPr>
          <w:rFonts w:ascii="Times New Roman" w:hAnsi="Times New Roman" w:cs="Times New Roman"/>
        </w:rPr>
        <w:t>The analytical framework for this qualitative study establishes a clear relationship between historical administrative inputs, serving as the independent variables, and the resulting governance outcomes, serving as the dependent variable. The primary focus of analysis</w:t>
      </w:r>
      <w:r w:rsidR="000770C9" w:rsidRPr="00AC20C2">
        <w:rPr>
          <w:rFonts w:ascii="Times New Roman" w:hAnsi="Times New Roman" w:cs="Times New Roman"/>
        </w:rPr>
        <w:t xml:space="preserve"> in </w:t>
      </w:r>
      <w:r w:rsidRPr="00AC20C2">
        <w:rPr>
          <w:rFonts w:ascii="Times New Roman" w:hAnsi="Times New Roman" w:cs="Times New Roman"/>
        </w:rPr>
        <w:t>the dependent variable</w:t>
      </w:r>
      <w:r w:rsidR="00796CC3" w:rsidRPr="00AC20C2">
        <w:rPr>
          <w:rFonts w:ascii="Times New Roman" w:hAnsi="Times New Roman" w:cs="Times New Roman"/>
        </w:rPr>
        <w:t xml:space="preserve"> wa</w:t>
      </w:r>
      <w:r w:rsidRPr="00AC20C2">
        <w:rPr>
          <w:rFonts w:ascii="Times New Roman" w:hAnsi="Times New Roman" w:cs="Times New Roman"/>
        </w:rPr>
        <w:t xml:space="preserve">s the </w:t>
      </w:r>
      <w:r w:rsidRPr="00AC20C2">
        <w:rPr>
          <w:rFonts w:ascii="Times New Roman" w:hAnsi="Times New Roman" w:cs="Times New Roman"/>
          <w:i/>
          <w:iCs/>
        </w:rPr>
        <w:t>Model to Mitigate the "Paris of Malaya" Crisis in Kelantan</w:t>
      </w:r>
      <w:r w:rsidRPr="00AC20C2">
        <w:rPr>
          <w:rFonts w:ascii="Times New Roman" w:hAnsi="Times New Roman" w:cs="Times New Roman"/>
        </w:rPr>
        <w:t>. Following established theoretical guidelines in administrative literature, this model is measured using both objective and subjective parameters. The objective measurement evaluates the functional output and formal administrative decisions enacted by Dato’ Perdana during his official tenure in MAIK. Conversely, the subjective measurement analy</w:t>
      </w:r>
      <w:r w:rsidR="004C548F" w:rsidRPr="00AC20C2">
        <w:rPr>
          <w:rFonts w:ascii="Times New Roman" w:hAnsi="Times New Roman" w:cs="Times New Roman"/>
        </w:rPr>
        <w:t>s</w:t>
      </w:r>
      <w:r w:rsidRPr="00AC20C2">
        <w:rPr>
          <w:rFonts w:ascii="Times New Roman" w:hAnsi="Times New Roman" w:cs="Times New Roman"/>
        </w:rPr>
        <w:t>es the long-term institutional evolution, strategic vision, and governance legacy left by Dato' Perdana, which continues to shape contemporary Islamic administrative frameworks in the state.</w:t>
      </w:r>
    </w:p>
    <w:p w14:paraId="1D49F338" w14:textId="77777777" w:rsidR="003F0CF1" w:rsidRPr="00AC20C2" w:rsidRDefault="003F0CF1"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conceptual framework includes four primary independent variables that drove the success of the mitigation model: the political leadership of MAIK, the administrative policies of MAIK, the institutional machinery of MAIK, and the personality traits of Dato’ Perdana. The qualitative metrics used to evaluate these variables were adapted from established leadership instruments and customized to fit a </w:t>
      </w:r>
      <w:proofErr w:type="spellStart"/>
      <w:r w:rsidRPr="00AC20C2">
        <w:rPr>
          <w:rFonts w:ascii="Times New Roman" w:hAnsi="Times New Roman" w:cs="Times New Roman"/>
        </w:rPr>
        <w:t>Khaldunian</w:t>
      </w:r>
      <w:proofErr w:type="spellEnd"/>
      <w:r w:rsidRPr="00AC20C2">
        <w:rPr>
          <w:rFonts w:ascii="Times New Roman" w:hAnsi="Times New Roman" w:cs="Times New Roman"/>
        </w:rPr>
        <w:t xml:space="preserve"> paradigm. This allowed specific inquiry codes to be grouped into five qualitative indicators, namely Empowerment Leadership, Ibn Khaldun’s Human Capital Development, Ibn Khaldun’s </w:t>
      </w:r>
      <w:proofErr w:type="spellStart"/>
      <w:r w:rsidRPr="00AC20C2">
        <w:rPr>
          <w:rFonts w:ascii="Times New Roman" w:hAnsi="Times New Roman" w:cs="Times New Roman"/>
          <w:i/>
          <w:iCs/>
        </w:rPr>
        <w:t>Umranic</w:t>
      </w:r>
      <w:proofErr w:type="spellEnd"/>
      <w:r w:rsidRPr="00AC20C2">
        <w:rPr>
          <w:rFonts w:ascii="Times New Roman" w:hAnsi="Times New Roman" w:cs="Times New Roman"/>
        </w:rPr>
        <w:t xml:space="preserve"> Islamic Leadership, Servant Leadership, and Social Change Leadership Approaches. By applying this comprehensive, non-point qualitative framework, the study preserves a highly reliable, nuanced, and historically accurate interpretation of Kelantan's socio-political governance.</w:t>
      </w:r>
    </w:p>
    <w:p w14:paraId="0E4A53C8" w14:textId="77777777" w:rsidR="005818C6" w:rsidRPr="00AC20C2" w:rsidRDefault="005818C6" w:rsidP="003B73E3">
      <w:pPr>
        <w:spacing w:before="240" w:after="0" w:line="240" w:lineRule="auto"/>
        <w:jc w:val="both"/>
        <w:rPr>
          <w:rFonts w:ascii="Times New Roman" w:hAnsi="Times New Roman" w:cs="Times New Roman"/>
          <w:b/>
          <w:bCs/>
        </w:rPr>
      </w:pPr>
      <w:r w:rsidRPr="00AC20C2">
        <w:rPr>
          <w:rFonts w:ascii="Times New Roman" w:hAnsi="Times New Roman" w:cs="Times New Roman"/>
          <w:b/>
          <w:bCs/>
        </w:rPr>
        <w:t>Results and Discussion</w:t>
      </w:r>
    </w:p>
    <w:p w14:paraId="547CE544"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The findings of this historical-sociological inquiry reveal that the transformation of Kelantan during the late nineteenth and early twentieth centuries was not merely an administrative transition, but a profound socio-structural disruption. The intersection of British colonial capitalism, legal rationalization, and geopolitical reconfiguration triggered a systematic erosion of indigenous social control mechanisms. This discussion interprets these dynamics through three interconnected qualitative themes: the commercialization of vice as a symptom of structural vulnerability, the institutional decoupling of secular and religious authority, and the strategic deployment of legal modernization as an instrument of political subjection.</w:t>
      </w:r>
    </w:p>
    <w:p w14:paraId="567431BA" w14:textId="5A352D93" w:rsidR="005818C6" w:rsidRPr="000F20A6" w:rsidRDefault="005818C6" w:rsidP="000F20A6">
      <w:pPr>
        <w:pStyle w:val="ListParagraph"/>
        <w:numPr>
          <w:ilvl w:val="1"/>
          <w:numId w:val="1"/>
        </w:numPr>
        <w:spacing w:before="240" w:after="0" w:line="240" w:lineRule="auto"/>
        <w:jc w:val="both"/>
        <w:rPr>
          <w:rFonts w:ascii="Times New Roman" w:hAnsi="Times New Roman" w:cs="Times New Roman"/>
          <w:b/>
          <w:bCs/>
        </w:rPr>
      </w:pPr>
      <w:r w:rsidRPr="000F20A6">
        <w:rPr>
          <w:rFonts w:ascii="Times New Roman" w:hAnsi="Times New Roman" w:cs="Times New Roman"/>
          <w:b/>
          <w:bCs/>
        </w:rPr>
        <w:t>Prostitution as a Socio-Moral Phenomenon</w:t>
      </w:r>
      <w:r w:rsidR="00600F3B" w:rsidRPr="000F20A6">
        <w:rPr>
          <w:rFonts w:ascii="Times New Roman" w:hAnsi="Times New Roman" w:cs="Times New Roman"/>
          <w:b/>
          <w:bCs/>
        </w:rPr>
        <w:t xml:space="preserve"> in</w:t>
      </w:r>
      <w:r w:rsidRPr="000F20A6">
        <w:rPr>
          <w:rFonts w:ascii="Times New Roman" w:hAnsi="Times New Roman" w:cs="Times New Roman"/>
          <w:b/>
          <w:bCs/>
        </w:rPr>
        <w:t xml:space="preserve"> Structural Vulnerabilities and Colonial Modernization</w:t>
      </w:r>
    </w:p>
    <w:p w14:paraId="42A4861C" w14:textId="295D3F70"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The expansion of institutionalized prostitution in late nineteenth- and early twentieth-century British Malaya provides a stark lens through which the sociological dimensions of social dysfunction can be examined. Far from being an isolated moral failure, transactional sex emerged as a systemic response to shifting socio-economic conditions. Sociological discourse identifies this phenomenon</w:t>
      </w:r>
      <w:r w:rsidR="00600F3B" w:rsidRPr="00AC20C2">
        <w:rPr>
          <w:rFonts w:ascii="Times New Roman" w:hAnsi="Times New Roman" w:cs="Times New Roman"/>
        </w:rPr>
        <w:t xml:space="preserve"> and </w:t>
      </w:r>
      <w:r w:rsidRPr="00AC20C2">
        <w:rPr>
          <w:rFonts w:ascii="Times New Roman" w:hAnsi="Times New Roman" w:cs="Times New Roman"/>
        </w:rPr>
        <w:t>operationally defined as the exchange of sexual services for financial or material remuneration</w:t>
      </w:r>
      <w:r w:rsidR="00600F3B" w:rsidRPr="00AC20C2">
        <w:rPr>
          <w:rFonts w:ascii="Times New Roman" w:hAnsi="Times New Roman" w:cs="Times New Roman"/>
        </w:rPr>
        <w:t xml:space="preserve"> such </w:t>
      </w:r>
      <w:r w:rsidRPr="00AC20C2">
        <w:rPr>
          <w:rFonts w:ascii="Times New Roman" w:hAnsi="Times New Roman" w:cs="Times New Roman"/>
        </w:rPr>
        <w:t>as the manifestation of acute structural vulnerabilities, including systemic poverty, marital dissolution, economic displacement, and marginalized efforts toward rapid upward social mobility (Lim, 1998; Mahani Musa, 2020).</w:t>
      </w:r>
    </w:p>
    <w:p w14:paraId="3CB9BC56"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lastRenderedPageBreak/>
        <w:t xml:space="preserve">While clandestine forms of transactional sex existed within pre-colonial Malay society, the practice was highly restricted, socially ostracized, and demographically contained. This containment was a direct function of the pervasive influence of </w:t>
      </w:r>
      <w:proofErr w:type="spellStart"/>
      <w:r w:rsidRPr="00AC20C2">
        <w:rPr>
          <w:rFonts w:ascii="Times New Roman" w:hAnsi="Times New Roman" w:cs="Times New Roman"/>
          <w:i/>
          <w:iCs/>
        </w:rPr>
        <w:t>adat</w:t>
      </w:r>
      <w:proofErr w:type="spellEnd"/>
      <w:r w:rsidRPr="00AC20C2">
        <w:rPr>
          <w:rFonts w:ascii="Times New Roman" w:hAnsi="Times New Roman" w:cs="Times New Roman"/>
        </w:rPr>
        <w:t xml:space="preserve"> (customary laws) and Islamic ethical codes, which formed a cohesive normative framework for community </w:t>
      </w:r>
      <w:proofErr w:type="spellStart"/>
      <w:r w:rsidRPr="00AC20C2">
        <w:rPr>
          <w:rFonts w:ascii="Times New Roman" w:hAnsi="Times New Roman" w:cs="Times New Roman"/>
        </w:rPr>
        <w:t>behavior</w:t>
      </w:r>
      <w:proofErr w:type="spellEnd"/>
      <w:r w:rsidRPr="00AC20C2">
        <w:rPr>
          <w:rFonts w:ascii="Times New Roman" w:hAnsi="Times New Roman" w:cs="Times New Roman"/>
        </w:rPr>
        <w:t>. However, the expansion of colonial capitalism and accelerated urbanization under British administration fundamentally altered this socio-cultural ecology (Mahani Musa, 2020). The rapid growth of secular entertainment industries and red-light districts introduced Western cultural norms that directly disrupted indigenous values, particularly among the Malay-Muslim majority.</w:t>
      </w:r>
    </w:p>
    <w:p w14:paraId="3C7AF2C1"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This cultural shift provoked intense anxieties among indigenous intellectual and religious elites. The adoption of Western lifestyles, fashion trends, and social </w:t>
      </w:r>
      <w:proofErr w:type="spellStart"/>
      <w:r w:rsidRPr="00AC20C2">
        <w:rPr>
          <w:rFonts w:ascii="Times New Roman" w:hAnsi="Times New Roman" w:cs="Times New Roman"/>
        </w:rPr>
        <w:t>behaviors</w:t>
      </w:r>
      <w:proofErr w:type="spellEnd"/>
      <w:r w:rsidRPr="00AC20C2">
        <w:rPr>
          <w:rFonts w:ascii="Times New Roman" w:hAnsi="Times New Roman" w:cs="Times New Roman"/>
        </w:rPr>
        <w:t xml:space="preserve"> by the younger generation was interpreted not merely as a shift in taste, but as an existential threat to the preservation of Malay-Muslim identity (Mahani Musa, 2020). Orthodox Islamic theology explicitly classifies extra-marital sexual relations as a severe moral and legal transgression (</w:t>
      </w:r>
      <w:r w:rsidRPr="00AC20C2">
        <w:rPr>
          <w:rFonts w:ascii="Times New Roman" w:hAnsi="Times New Roman" w:cs="Times New Roman"/>
          <w:i/>
          <w:iCs/>
        </w:rPr>
        <w:t>zina</w:t>
      </w:r>
      <w:r w:rsidRPr="00AC20C2">
        <w:rPr>
          <w:rFonts w:ascii="Times New Roman" w:hAnsi="Times New Roman" w:cs="Times New Roman"/>
        </w:rPr>
        <w:t xml:space="preserve">), strictly prohibited under Shariah law (Haryati Hassan, 1998). Consequently, the public sphere—as reflected in contemporary vernacular and English-language press debates—became </w:t>
      </w:r>
      <w:proofErr w:type="spellStart"/>
      <w:proofErr w:type="gramStart"/>
      <w:r w:rsidRPr="00AC20C2">
        <w:rPr>
          <w:rFonts w:ascii="Times New Roman" w:hAnsi="Times New Roman" w:cs="Times New Roman"/>
        </w:rPr>
        <w:t>a</w:t>
      </w:r>
      <w:proofErr w:type="spellEnd"/>
      <w:proofErr w:type="gramEnd"/>
      <w:r w:rsidRPr="00AC20C2">
        <w:rPr>
          <w:rFonts w:ascii="Times New Roman" w:hAnsi="Times New Roman" w:cs="Times New Roman"/>
        </w:rPr>
        <w:t xml:space="preserve"> ideological battleground where public concern over the changing role, representation, and perceived moral degradation of modern women was fiercely contested.</w:t>
      </w:r>
    </w:p>
    <w:p w14:paraId="53BFA2D7" w14:textId="00A98DEA" w:rsidR="005818C6" w:rsidRPr="000F20A6" w:rsidRDefault="005818C6" w:rsidP="000F20A6">
      <w:pPr>
        <w:pStyle w:val="ListParagraph"/>
        <w:numPr>
          <w:ilvl w:val="1"/>
          <w:numId w:val="1"/>
        </w:numPr>
        <w:spacing w:before="240" w:after="0" w:line="240" w:lineRule="auto"/>
        <w:jc w:val="both"/>
        <w:rPr>
          <w:rFonts w:ascii="Times New Roman" w:hAnsi="Times New Roman" w:cs="Times New Roman"/>
          <w:b/>
          <w:bCs/>
        </w:rPr>
      </w:pPr>
      <w:r w:rsidRPr="000F20A6">
        <w:rPr>
          <w:rFonts w:ascii="Times New Roman" w:hAnsi="Times New Roman" w:cs="Times New Roman"/>
          <w:b/>
          <w:bCs/>
        </w:rPr>
        <w:t>Colonial Secularization and the Erosion of Social Control in Kelantan</w:t>
      </w:r>
    </w:p>
    <w:p w14:paraId="79D6EBF1"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Kelantan’s integration into the British colonial sphere </w:t>
      </w:r>
      <w:proofErr w:type="spellStart"/>
      <w:r w:rsidRPr="00AC20C2">
        <w:rPr>
          <w:rFonts w:ascii="Times New Roman" w:hAnsi="Times New Roman" w:cs="Times New Roman"/>
        </w:rPr>
        <w:t>catalyzed</w:t>
      </w:r>
      <w:proofErr w:type="spellEnd"/>
      <w:r w:rsidRPr="00AC20C2">
        <w:rPr>
          <w:rFonts w:ascii="Times New Roman" w:hAnsi="Times New Roman" w:cs="Times New Roman"/>
        </w:rPr>
        <w:t xml:space="preserve"> a disruptive socio-moral transformation, accelerating rapidly after the 1903 appointment of the Siamese-commissioned British Adviser, W.A. Graham. The colonial restructuring of the state’s administrative machinery deliberately marginalized pre-existing Shariah courts, thereby weakening traditional mechanisms of social control. This institutional erosion correlated directly with an observed increase in moral dislocation, public indecency, and sexual misconduct among the native population. Furthermore, the introduction of Westernized education models—initially restricted to the royal court and the ruling elite—altered the traditional leadership paradigm by structurally separating secular administrative duties from religious responsibilities.</w:t>
      </w:r>
    </w:p>
    <w:p w14:paraId="45267496" w14:textId="49EE143D"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The resultant expansion of commercialized vice within Kelantanese society is empirically documented in the historical ledgers of the</w:t>
      </w:r>
      <w:r w:rsidR="00E67E56" w:rsidRPr="00AC20C2">
        <w:rPr>
          <w:rFonts w:ascii="Times New Roman" w:hAnsi="Times New Roman" w:cs="Times New Roman"/>
        </w:rPr>
        <w:t xml:space="preserve"> </w:t>
      </w:r>
      <w:r w:rsidRPr="00AC20C2">
        <w:rPr>
          <w:rFonts w:ascii="Times New Roman" w:hAnsi="Times New Roman" w:cs="Times New Roman"/>
        </w:rPr>
        <w:t>MAIK. Shariah court records and administrative registries show that institutionalized prostitution, close proximity (</w:t>
      </w:r>
      <w:proofErr w:type="spellStart"/>
      <w:r w:rsidRPr="00AC20C2">
        <w:rPr>
          <w:rFonts w:ascii="Times New Roman" w:hAnsi="Times New Roman" w:cs="Times New Roman"/>
          <w:i/>
          <w:iCs/>
        </w:rPr>
        <w:t>khalwat</w:t>
      </w:r>
      <w:proofErr w:type="spellEnd"/>
      <w:r w:rsidRPr="00AC20C2">
        <w:rPr>
          <w:rFonts w:ascii="Times New Roman" w:hAnsi="Times New Roman" w:cs="Times New Roman"/>
        </w:rPr>
        <w:t>), and illicit cohabitation posed persistent enforcement challenges for the council. Archival files preserved at the National Archives of Malaysia provide clear qualitative evidence of the scale of these socio-moral challenges during Kelantan’s paradoxical "Paris of Malaya" era:</w:t>
      </w:r>
    </w:p>
    <w:p w14:paraId="6F537807" w14:textId="77777777" w:rsidR="005818C6" w:rsidRPr="00AC20C2" w:rsidRDefault="005818C6" w:rsidP="003B73E3">
      <w:pPr>
        <w:numPr>
          <w:ilvl w:val="0"/>
          <w:numId w:val="8"/>
        </w:numPr>
        <w:spacing w:before="240" w:after="0" w:line="240" w:lineRule="auto"/>
        <w:jc w:val="both"/>
        <w:rPr>
          <w:rFonts w:ascii="Times New Roman" w:hAnsi="Times New Roman" w:cs="Times New Roman"/>
        </w:rPr>
      </w:pPr>
      <w:r w:rsidRPr="00AC20C2">
        <w:rPr>
          <w:rFonts w:ascii="Times New Roman" w:hAnsi="Times New Roman" w:cs="Times New Roman"/>
        </w:rPr>
        <w:t>MAIK File PMK 63/1920: Contains detailed registries documenting the operation of systemic, institutionalized prostitution networks within urban municipalities.</w:t>
      </w:r>
    </w:p>
    <w:p w14:paraId="7030A711" w14:textId="77777777" w:rsidR="005818C6" w:rsidRPr="00AC20C2" w:rsidRDefault="005818C6" w:rsidP="003B73E3">
      <w:pPr>
        <w:numPr>
          <w:ilvl w:val="0"/>
          <w:numId w:val="8"/>
        </w:numPr>
        <w:spacing w:before="240" w:after="0" w:line="240" w:lineRule="auto"/>
        <w:jc w:val="both"/>
        <w:rPr>
          <w:rFonts w:ascii="Times New Roman" w:hAnsi="Times New Roman" w:cs="Times New Roman"/>
        </w:rPr>
      </w:pPr>
      <w:r w:rsidRPr="00AC20C2">
        <w:rPr>
          <w:rFonts w:ascii="Times New Roman" w:hAnsi="Times New Roman" w:cs="Times New Roman"/>
        </w:rPr>
        <w:t>MAIK File 187/1919: Records the state execution of anti-</w:t>
      </w:r>
      <w:proofErr w:type="spellStart"/>
      <w:r w:rsidRPr="00AC20C2">
        <w:rPr>
          <w:rFonts w:ascii="Times New Roman" w:hAnsi="Times New Roman" w:cs="Times New Roman"/>
          <w:i/>
          <w:iCs/>
        </w:rPr>
        <w:t>khalwat</w:t>
      </w:r>
      <w:proofErr w:type="spellEnd"/>
      <w:r w:rsidRPr="00AC20C2">
        <w:rPr>
          <w:rFonts w:ascii="Times New Roman" w:hAnsi="Times New Roman" w:cs="Times New Roman"/>
        </w:rPr>
        <w:t xml:space="preserve"> mandates, detailing the state-sanctioned arrest of a local woman, Kalsom binti Mamat, alongside multiple male co-defendants.</w:t>
      </w:r>
    </w:p>
    <w:p w14:paraId="15862134" w14:textId="77777777" w:rsidR="005818C6" w:rsidRPr="00AC20C2" w:rsidRDefault="005818C6" w:rsidP="003B73E3">
      <w:pPr>
        <w:numPr>
          <w:ilvl w:val="0"/>
          <w:numId w:val="8"/>
        </w:numPr>
        <w:spacing w:before="240" w:after="0" w:line="240" w:lineRule="auto"/>
        <w:jc w:val="both"/>
        <w:rPr>
          <w:rFonts w:ascii="Times New Roman" w:hAnsi="Times New Roman" w:cs="Times New Roman"/>
        </w:rPr>
      </w:pPr>
      <w:r w:rsidRPr="00AC20C2">
        <w:rPr>
          <w:rFonts w:ascii="Times New Roman" w:hAnsi="Times New Roman" w:cs="Times New Roman"/>
        </w:rPr>
        <w:t>MAIK File 6/1922 &amp; File 211/1922: Detail comprehensive law enforcement crackdowns targeting vagrant women and cohabiting couples within rapidly urbanizing public spaces.</w:t>
      </w:r>
    </w:p>
    <w:p w14:paraId="55B47C44"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These internal institutional documents demonstrate that the social disorders confronting Kelantanese society were structurally linked to the changing political and legal landscape introduced by the colonial administration. By stripping traditional institutions of their coercive enforcement teeth, the colonial state created an institutional vacuum where commercialized vice could proliferate under the protective umbrella of secular administrative indifference.</w:t>
      </w:r>
    </w:p>
    <w:p w14:paraId="08101546" w14:textId="2F8B0346" w:rsidR="005818C6" w:rsidRPr="000F20A6" w:rsidRDefault="005818C6" w:rsidP="000F20A6">
      <w:pPr>
        <w:pStyle w:val="ListParagraph"/>
        <w:numPr>
          <w:ilvl w:val="1"/>
          <w:numId w:val="1"/>
        </w:numPr>
        <w:spacing w:before="240" w:after="0" w:line="240" w:lineRule="auto"/>
        <w:jc w:val="both"/>
        <w:rPr>
          <w:rFonts w:ascii="Times New Roman" w:hAnsi="Times New Roman" w:cs="Times New Roman"/>
          <w:b/>
          <w:bCs/>
        </w:rPr>
      </w:pPr>
      <w:r w:rsidRPr="000F20A6">
        <w:rPr>
          <w:rFonts w:ascii="Times New Roman" w:hAnsi="Times New Roman" w:cs="Times New Roman"/>
          <w:b/>
          <w:bCs/>
        </w:rPr>
        <w:t>The Political Nexus</w:t>
      </w:r>
      <w:r w:rsidR="00045607" w:rsidRPr="000F20A6">
        <w:rPr>
          <w:rFonts w:ascii="Times New Roman" w:hAnsi="Times New Roman" w:cs="Times New Roman"/>
          <w:b/>
          <w:bCs/>
        </w:rPr>
        <w:t xml:space="preserve"> with</w:t>
      </w:r>
      <w:r w:rsidRPr="000F20A6">
        <w:rPr>
          <w:rFonts w:ascii="Times New Roman" w:hAnsi="Times New Roman" w:cs="Times New Roman"/>
          <w:b/>
          <w:bCs/>
        </w:rPr>
        <w:t xml:space="preserve"> Reconfiguration and Administrative Displacement</w:t>
      </w:r>
    </w:p>
    <w:p w14:paraId="6C0CC65D" w14:textId="3ACB52D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primary structural driver of moral dislocation in Kelantan was the re-engineering of political authority brought about by the British Advisory system. Between 1902 and 1945, Kelantan’s political governance was repeatedly destabilized by shifting colonial agreements. Prior to foreign intervention, the state had operated under a centralized feudal system of absolute monarchy since approximately 900 CE, with its formal dynastic consolidation occurring under Sultan Muhammad I, who officially established the title of Sultan. In this </w:t>
      </w:r>
      <w:r w:rsidRPr="00AC20C2">
        <w:rPr>
          <w:rFonts w:ascii="Times New Roman" w:hAnsi="Times New Roman" w:cs="Times New Roman"/>
        </w:rPr>
        <w:lastRenderedPageBreak/>
        <w:t>traditional arrangement, the Sultan held absolute executive, judicial, and religious authority, supported by a network of regional chief</w:t>
      </w:r>
      <w:r w:rsidR="00045607" w:rsidRPr="00AC20C2">
        <w:rPr>
          <w:rFonts w:ascii="Times New Roman" w:hAnsi="Times New Roman" w:cs="Times New Roman"/>
        </w:rPr>
        <w:t>tains</w:t>
      </w:r>
      <w:r w:rsidRPr="00AC20C2">
        <w:rPr>
          <w:rFonts w:ascii="Times New Roman" w:hAnsi="Times New Roman" w:cs="Times New Roman"/>
        </w:rPr>
        <w:t>. Allegiance to the crown was an absolute moral and civic duty, ensuring a highly integrated social order.</w:t>
      </w:r>
    </w:p>
    <w:p w14:paraId="4122D6DF" w14:textId="58B7F72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Before the formal territorial demarcations of 1910, Kelantan maintained complex geopolitical relations with the Kingdom of Siam, sending triennial tributary offerings (</w:t>
      </w:r>
      <w:r w:rsidRPr="00AC20C2">
        <w:rPr>
          <w:rFonts w:ascii="Times New Roman" w:hAnsi="Times New Roman" w:cs="Times New Roman"/>
          <w:i/>
          <w:iCs/>
        </w:rPr>
        <w:t xml:space="preserve">bunga </w:t>
      </w:r>
      <w:proofErr w:type="spellStart"/>
      <w:r w:rsidRPr="00AC20C2">
        <w:rPr>
          <w:rFonts w:ascii="Times New Roman" w:hAnsi="Times New Roman" w:cs="Times New Roman"/>
          <w:i/>
          <w:iCs/>
        </w:rPr>
        <w:t>emas</w:t>
      </w:r>
      <w:proofErr w:type="spellEnd"/>
      <w:r w:rsidRPr="00AC20C2">
        <w:rPr>
          <w:rFonts w:ascii="Times New Roman" w:hAnsi="Times New Roman" w:cs="Times New Roman"/>
        </w:rPr>
        <w:t>) to Bangkok. While the Kelantanese palace viewed this ritual as a strategic diplomatic gesture designed to preserve regional autonomy, the Siamese court interpreted it as an explicit acknowledgment of vassalage. This long-standing arrangement was permanently disrupted during the reign of Sultan Muhammad IV due to intense Anglo-Siamese competition on the northern frontier of the Malay Peninsula.</w:t>
      </w:r>
    </w:p>
    <w:p w14:paraId="7099F0DE" w14:textId="18105358"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Seeking to expand its territorial reach, Great Britain engaged in protracted diplomatic negotiations with Siam, stretching back to the Burney Treaty of 1826. A critical entry point for direct British intervention emerged from a legal and financial dispute between the Siamese government and the Duff Development Company, a British commercial syndicate operating in the Kelantanese hinterlands. To safeguard its broader territorial integrity from European military intervention, Siam conceded to formal negotiations, culminating in the Anglo-Siamese Treaty of 1902.</w:t>
      </w:r>
    </w:p>
    <w:p w14:paraId="7EF56A30"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This diplomatic arrangement placed Kelantan under a transitional administration directed by Siamese-commissioned British officials from 1903 to 1909 (Mohamed bin Nik Mohd Salleh, 1974). On July 24, 1903, W.A. Graham was appointed as the Resident Adviser, alongside H.W. Thomson as Assistant Adviser. While the terms of their appointment ostensibly barred them from interfering in local customs (</w:t>
      </w:r>
      <w:proofErr w:type="spellStart"/>
      <w:r w:rsidRPr="00AC20C2">
        <w:rPr>
          <w:rFonts w:ascii="Times New Roman" w:hAnsi="Times New Roman" w:cs="Times New Roman"/>
          <w:i/>
          <w:iCs/>
        </w:rPr>
        <w:t>adat</w:t>
      </w:r>
      <w:proofErr w:type="spellEnd"/>
      <w:r w:rsidRPr="00AC20C2">
        <w:rPr>
          <w:rFonts w:ascii="Times New Roman" w:hAnsi="Times New Roman" w:cs="Times New Roman"/>
        </w:rPr>
        <w:t>) and Islam, the Sultan was legally mandated to follow all administrative instructions issued by Graham. This arrangement reduced the monarch's executive authority to a legal fiction and created a condition of administrative dependency.</w:t>
      </w:r>
    </w:p>
    <w:p w14:paraId="27F7ACE6"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Although technically acting as agents of the Siamese crown, Graham’s bureaucratic reforms were explicitly pro-British. They sought to streamline land tenure, regularize tax collection, and optimize state resources for international capital markets. By replacing decentralized local governance networks with a centralized, secular bureaucracy, these reforms systematically eroded traditional community leadership, paving the way for the socio-moral fragmentation that MAIK would subsequently inherit.</w:t>
      </w:r>
    </w:p>
    <w:p w14:paraId="63B0B7F6" w14:textId="17996511" w:rsidR="005818C6" w:rsidRPr="000F20A6" w:rsidRDefault="005818C6" w:rsidP="000F20A6">
      <w:pPr>
        <w:pStyle w:val="ListParagraph"/>
        <w:numPr>
          <w:ilvl w:val="1"/>
          <w:numId w:val="1"/>
        </w:numPr>
        <w:spacing w:before="240" w:after="0" w:line="240" w:lineRule="auto"/>
        <w:jc w:val="both"/>
        <w:rPr>
          <w:rFonts w:ascii="Times New Roman" w:hAnsi="Times New Roman" w:cs="Times New Roman"/>
          <w:b/>
          <w:bCs/>
        </w:rPr>
      </w:pPr>
      <w:r w:rsidRPr="000F20A6">
        <w:rPr>
          <w:rFonts w:ascii="Times New Roman" w:hAnsi="Times New Roman" w:cs="Times New Roman"/>
          <w:b/>
          <w:bCs/>
        </w:rPr>
        <w:t>Institutional Cleavage</w:t>
      </w:r>
      <w:r w:rsidR="00340D22" w:rsidRPr="000F20A6">
        <w:rPr>
          <w:rFonts w:ascii="Times New Roman" w:hAnsi="Times New Roman" w:cs="Times New Roman"/>
          <w:b/>
          <w:bCs/>
        </w:rPr>
        <w:t xml:space="preserve"> following t</w:t>
      </w:r>
      <w:r w:rsidRPr="000F20A6">
        <w:rPr>
          <w:rFonts w:ascii="Times New Roman" w:hAnsi="Times New Roman" w:cs="Times New Roman"/>
          <w:b/>
          <w:bCs/>
        </w:rPr>
        <w:t>he 1909 Bangkok Treaty and Legal Rationalization</w:t>
      </w:r>
    </w:p>
    <w:p w14:paraId="0D8E525B" w14:textId="13CCEDFA"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signing of the Anglo-Siamese Treaty of 1909 </w:t>
      </w:r>
      <w:r w:rsidR="00340D22" w:rsidRPr="00AC20C2">
        <w:rPr>
          <w:rFonts w:ascii="Times New Roman" w:hAnsi="Times New Roman" w:cs="Times New Roman"/>
        </w:rPr>
        <w:t xml:space="preserve">or known as </w:t>
      </w:r>
      <w:r w:rsidRPr="00AC20C2">
        <w:rPr>
          <w:rFonts w:ascii="Times New Roman" w:hAnsi="Times New Roman" w:cs="Times New Roman"/>
        </w:rPr>
        <w:t xml:space="preserve">the Bangkok Treaty marked the definitive transition of Kelantan into the British colonial orbit. Designed primarily to delineate imperial spheres of influence and prevent rival European powers from encroaching on the northern Malay frontier, the treaty operated on a geopolitical </w:t>
      </w:r>
      <w:r w:rsidRPr="00AC20C2">
        <w:rPr>
          <w:rFonts w:ascii="Times New Roman" w:hAnsi="Times New Roman" w:cs="Times New Roman"/>
          <w:i/>
          <w:iCs/>
        </w:rPr>
        <w:t>quid pro quo</w:t>
      </w:r>
      <w:r w:rsidRPr="00AC20C2">
        <w:rPr>
          <w:rFonts w:ascii="Times New Roman" w:hAnsi="Times New Roman" w:cs="Times New Roman"/>
        </w:rPr>
        <w:t>: Siam transferred sovereignty over the Unfederated Malay States (NNMU)</w:t>
      </w:r>
      <w:r w:rsidR="00340D22" w:rsidRPr="00AC20C2">
        <w:rPr>
          <w:rFonts w:ascii="Times New Roman" w:hAnsi="Times New Roman" w:cs="Times New Roman"/>
        </w:rPr>
        <w:t xml:space="preserve"> such as </w:t>
      </w:r>
      <w:r w:rsidRPr="00AC20C2">
        <w:rPr>
          <w:rFonts w:ascii="Times New Roman" w:hAnsi="Times New Roman" w:cs="Times New Roman"/>
        </w:rPr>
        <w:t>Kedah, Kelantan, Perlis, and Terengganu</w:t>
      </w:r>
      <w:r w:rsidR="00340D22" w:rsidRPr="00AC20C2">
        <w:rPr>
          <w:rFonts w:ascii="Times New Roman" w:hAnsi="Times New Roman" w:cs="Times New Roman"/>
        </w:rPr>
        <w:t xml:space="preserve"> hand over </w:t>
      </w:r>
      <w:r w:rsidRPr="00AC20C2">
        <w:rPr>
          <w:rFonts w:ascii="Times New Roman" w:hAnsi="Times New Roman" w:cs="Times New Roman"/>
        </w:rPr>
        <w:t>to British control in exchange for British financial assistance for railway development.</w:t>
      </w:r>
    </w:p>
    <w:p w14:paraId="27FA1572" w14:textId="439C983D"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Following the ratification of the treaty, Sir John Anderson issued official correspondence to Sultan Muhammad IV, declaring that Siam had relinquished all authority and that the British Crown would assume sole advisory responsibility. This transfer faced bitter resistance from the northern Malay elites, who condemned the unilateral transfer of sovereignty without local consultation. Despite this resistance, Sultan Muhammad IV acquiesced following the delivery of </w:t>
      </w:r>
      <w:r w:rsidRPr="00AC20C2">
        <w:rPr>
          <w:rFonts w:ascii="Times New Roman" w:hAnsi="Times New Roman" w:cs="Times New Roman"/>
          <w:i/>
          <w:iCs/>
        </w:rPr>
        <w:t>The End of Siamese Suzerainty over Kelantan</w:t>
      </w:r>
      <w:r w:rsidRPr="00AC20C2">
        <w:rPr>
          <w:rFonts w:ascii="Times New Roman" w:hAnsi="Times New Roman" w:cs="Times New Roman"/>
        </w:rPr>
        <w:t xml:space="preserve"> by the Siamese official Phra </w:t>
      </w:r>
      <w:proofErr w:type="spellStart"/>
      <w:r w:rsidRPr="00AC20C2">
        <w:rPr>
          <w:rFonts w:ascii="Times New Roman" w:hAnsi="Times New Roman" w:cs="Times New Roman"/>
        </w:rPr>
        <w:t>Phisa</w:t>
      </w:r>
      <w:proofErr w:type="spellEnd"/>
      <w:r w:rsidRPr="00AC20C2">
        <w:rPr>
          <w:rFonts w:ascii="Times New Roman" w:hAnsi="Times New Roman" w:cs="Times New Roman"/>
        </w:rPr>
        <w:t xml:space="preserve"> on July 19, 1909. This was formalized by the Anglo-Kelantan Agreement of October 24, 1910, witnessed by key British and Malay dignitaries.</w:t>
      </w:r>
    </w:p>
    <w:p w14:paraId="40158C95" w14:textId="64860EB4"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With the appointment of James Scott Mason as the first official British Adviser, Kelantan’s administrative, infrastructural, and legal frameworks were systematically overhauled to match Western colonial models. Roads, postal systems, and land offices were established to maximize economic extraction and bureaucratic efficiency. However, this aggressive structural imposition generated deep socio-economic grievances among the local peasantry, culminating in the Pasir Puteh uprising of 1915 led by Tok </w:t>
      </w:r>
      <w:proofErr w:type="spellStart"/>
      <w:r w:rsidRPr="00AC20C2">
        <w:rPr>
          <w:rFonts w:ascii="Times New Roman" w:hAnsi="Times New Roman" w:cs="Times New Roman"/>
        </w:rPr>
        <w:t>Janggut</w:t>
      </w:r>
      <w:proofErr w:type="spellEnd"/>
      <w:r w:rsidR="004620BD" w:rsidRPr="00AC20C2">
        <w:rPr>
          <w:rFonts w:ascii="Times New Roman" w:hAnsi="Times New Roman" w:cs="Times New Roman"/>
        </w:rPr>
        <w:t xml:space="preserve"> in </w:t>
      </w:r>
      <w:r w:rsidRPr="00AC20C2">
        <w:rPr>
          <w:rFonts w:ascii="Times New Roman" w:hAnsi="Times New Roman" w:cs="Times New Roman"/>
        </w:rPr>
        <w:t>a rebellion that reflected a profound structural rejection of British fiscal policies and the subversion of traditional governance.</w:t>
      </w:r>
    </w:p>
    <w:p w14:paraId="0C9830C3" w14:textId="77777777" w:rsidR="000F20A6" w:rsidRDefault="000F20A6" w:rsidP="003B73E3">
      <w:pPr>
        <w:spacing w:before="240" w:after="0" w:line="240" w:lineRule="auto"/>
        <w:jc w:val="both"/>
        <w:rPr>
          <w:rFonts w:ascii="Times New Roman" w:hAnsi="Times New Roman" w:cs="Times New Roman"/>
        </w:rPr>
      </w:pPr>
    </w:p>
    <w:p w14:paraId="15BF05A0" w14:textId="4FC7D20C" w:rsidR="005818C6" w:rsidRPr="000F20A6" w:rsidRDefault="005818C6" w:rsidP="000F20A6">
      <w:pPr>
        <w:pStyle w:val="ListParagraph"/>
        <w:numPr>
          <w:ilvl w:val="1"/>
          <w:numId w:val="1"/>
        </w:numPr>
        <w:spacing w:before="240" w:after="0" w:line="240" w:lineRule="auto"/>
        <w:jc w:val="both"/>
        <w:rPr>
          <w:rFonts w:ascii="Times New Roman" w:hAnsi="Times New Roman" w:cs="Times New Roman"/>
          <w:b/>
          <w:bCs/>
        </w:rPr>
      </w:pPr>
      <w:r w:rsidRPr="000F20A6">
        <w:rPr>
          <w:rFonts w:ascii="Times New Roman" w:hAnsi="Times New Roman" w:cs="Times New Roman"/>
          <w:b/>
          <w:bCs/>
        </w:rPr>
        <w:lastRenderedPageBreak/>
        <w:t>The Subversion of Indigenous Jurisprudence</w:t>
      </w:r>
    </w:p>
    <w:p w14:paraId="5C478844" w14:textId="5BB40EB6"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Prior to British intervention, Kelantan possessed an organic, evolving legal ecosystem. Under Long Yunus, governance was guided by the </w:t>
      </w:r>
      <w:r w:rsidRPr="00AC20C2">
        <w:rPr>
          <w:rFonts w:ascii="Times New Roman" w:hAnsi="Times New Roman" w:cs="Times New Roman"/>
          <w:i/>
          <w:iCs/>
        </w:rPr>
        <w:t>Hukum Kanun Adat Negeri</w:t>
      </w:r>
      <w:r w:rsidRPr="00AC20C2">
        <w:rPr>
          <w:rFonts w:ascii="Times New Roman" w:hAnsi="Times New Roman" w:cs="Times New Roman"/>
        </w:rPr>
        <w:t xml:space="preserve"> and the </w:t>
      </w:r>
      <w:proofErr w:type="spellStart"/>
      <w:r w:rsidRPr="00AC20C2">
        <w:rPr>
          <w:rFonts w:ascii="Times New Roman" w:hAnsi="Times New Roman" w:cs="Times New Roman"/>
          <w:i/>
          <w:iCs/>
        </w:rPr>
        <w:t>Tahapus</w:t>
      </w:r>
      <w:proofErr w:type="spellEnd"/>
      <w:r w:rsidRPr="00AC20C2">
        <w:rPr>
          <w:rFonts w:ascii="Times New Roman" w:hAnsi="Times New Roman" w:cs="Times New Roman"/>
          <w:i/>
          <w:iCs/>
        </w:rPr>
        <w:t xml:space="preserve"> Kelantan</w:t>
      </w:r>
      <w:r w:rsidRPr="00AC20C2">
        <w:rPr>
          <w:rFonts w:ascii="Times New Roman" w:hAnsi="Times New Roman" w:cs="Times New Roman"/>
        </w:rPr>
        <w:t>, which served as codified customary laws maintaining public order and suppressing property crimes. This indigenous framework evolved alongside the mid-nineteenth-century golden age of Islamic scholarship in Kelantan, leading to the institutionalization of Shariah courts in the 1830s under Sultans Muhammad I and II.</w:t>
      </w:r>
    </w:p>
    <w:p w14:paraId="3F437AEF"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By the reign of Sultan Mansur, a sophisticated dual judicial system had been established: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1"/>
        <w:gridCol w:w="2511"/>
        <w:gridCol w:w="5122"/>
      </w:tblGrid>
      <w:tr w:rsidR="005818C6" w:rsidRPr="00AC20C2" w14:paraId="6EB8F881" w14:textId="77777777" w:rsidTr="00277A3B">
        <w:trPr>
          <w:tblHeader/>
          <w:tblCellSpacing w:w="15" w:type="dxa"/>
        </w:trPr>
        <w:tc>
          <w:tcPr>
            <w:tcW w:w="0" w:type="auto"/>
            <w:tcMar>
              <w:top w:w="120" w:type="dxa"/>
              <w:left w:w="180" w:type="dxa"/>
              <w:bottom w:w="120" w:type="dxa"/>
              <w:right w:w="180" w:type="dxa"/>
            </w:tcMar>
            <w:vAlign w:val="center"/>
            <w:hideMark/>
          </w:tcPr>
          <w:p w14:paraId="1AD001B0" w14:textId="77777777" w:rsidR="005818C6" w:rsidRPr="000F20A6" w:rsidRDefault="005818C6" w:rsidP="003B73E3">
            <w:pPr>
              <w:spacing w:before="240" w:after="0" w:line="240" w:lineRule="auto"/>
              <w:jc w:val="both"/>
              <w:rPr>
                <w:rFonts w:ascii="Times New Roman" w:hAnsi="Times New Roman" w:cs="Times New Roman"/>
                <w:b/>
                <w:bCs/>
              </w:rPr>
            </w:pPr>
            <w:r w:rsidRPr="000F20A6">
              <w:rPr>
                <w:rFonts w:ascii="Times New Roman" w:hAnsi="Times New Roman" w:cs="Times New Roman"/>
                <w:b/>
                <w:bCs/>
              </w:rPr>
              <w:t>Judicial Branch</w:t>
            </w:r>
          </w:p>
        </w:tc>
        <w:tc>
          <w:tcPr>
            <w:tcW w:w="0" w:type="auto"/>
            <w:tcMar>
              <w:top w:w="120" w:type="dxa"/>
              <w:left w:w="180" w:type="dxa"/>
              <w:bottom w:w="120" w:type="dxa"/>
              <w:right w:w="180" w:type="dxa"/>
            </w:tcMar>
            <w:vAlign w:val="center"/>
            <w:hideMark/>
          </w:tcPr>
          <w:p w14:paraId="38DD6EC4" w14:textId="77777777" w:rsidR="005818C6" w:rsidRPr="000F20A6" w:rsidRDefault="005818C6" w:rsidP="003B73E3">
            <w:pPr>
              <w:spacing w:before="240" w:after="0" w:line="240" w:lineRule="auto"/>
              <w:jc w:val="both"/>
              <w:rPr>
                <w:rFonts w:ascii="Times New Roman" w:hAnsi="Times New Roman" w:cs="Times New Roman"/>
                <w:b/>
                <w:bCs/>
              </w:rPr>
            </w:pPr>
            <w:r w:rsidRPr="000F20A6">
              <w:rPr>
                <w:rFonts w:ascii="Times New Roman" w:hAnsi="Times New Roman" w:cs="Times New Roman"/>
                <w:b/>
                <w:bCs/>
              </w:rPr>
              <w:t>Presiding Authority</w:t>
            </w:r>
          </w:p>
        </w:tc>
        <w:tc>
          <w:tcPr>
            <w:tcW w:w="0" w:type="auto"/>
            <w:tcMar>
              <w:top w:w="120" w:type="dxa"/>
              <w:left w:w="180" w:type="dxa"/>
              <w:bottom w:w="120" w:type="dxa"/>
              <w:right w:w="180" w:type="dxa"/>
            </w:tcMar>
            <w:vAlign w:val="center"/>
            <w:hideMark/>
          </w:tcPr>
          <w:p w14:paraId="21EF2707" w14:textId="77777777" w:rsidR="005818C6" w:rsidRPr="000F20A6" w:rsidRDefault="005818C6" w:rsidP="003B73E3">
            <w:pPr>
              <w:spacing w:before="240" w:after="0" w:line="240" w:lineRule="auto"/>
              <w:jc w:val="both"/>
              <w:rPr>
                <w:rFonts w:ascii="Times New Roman" w:hAnsi="Times New Roman" w:cs="Times New Roman"/>
                <w:b/>
                <w:bCs/>
              </w:rPr>
            </w:pPr>
            <w:r w:rsidRPr="000F20A6">
              <w:rPr>
                <w:rFonts w:ascii="Times New Roman" w:hAnsi="Times New Roman" w:cs="Times New Roman"/>
                <w:b/>
                <w:bCs/>
              </w:rPr>
              <w:t>Jurisdictional Scope</w:t>
            </w:r>
          </w:p>
        </w:tc>
      </w:tr>
      <w:tr w:rsidR="005818C6" w:rsidRPr="00AC20C2" w14:paraId="4C9F72FB" w14:textId="77777777" w:rsidTr="00277A3B">
        <w:trPr>
          <w:tblCellSpacing w:w="15" w:type="dxa"/>
        </w:trPr>
        <w:tc>
          <w:tcPr>
            <w:tcW w:w="0" w:type="auto"/>
            <w:tcMar>
              <w:top w:w="120" w:type="dxa"/>
              <w:left w:w="180" w:type="dxa"/>
              <w:bottom w:w="120" w:type="dxa"/>
              <w:right w:w="180" w:type="dxa"/>
            </w:tcMar>
            <w:vAlign w:val="center"/>
            <w:hideMark/>
          </w:tcPr>
          <w:p w14:paraId="49225936"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Adat (Customary) Court </w:t>
            </w:r>
            <w:r w:rsidRPr="00AC20C2">
              <w:rPr>
                <w:rFonts w:ascii="Times New Roman" w:hAnsi="Times New Roman" w:cs="Times New Roman"/>
                <w:i/>
                <w:iCs/>
              </w:rPr>
              <w:t>(Est. 1896)</w:t>
            </w:r>
          </w:p>
        </w:tc>
        <w:tc>
          <w:tcPr>
            <w:tcW w:w="0" w:type="auto"/>
            <w:tcMar>
              <w:top w:w="120" w:type="dxa"/>
              <w:left w:w="180" w:type="dxa"/>
              <w:bottom w:w="120" w:type="dxa"/>
              <w:right w:w="180" w:type="dxa"/>
            </w:tcMar>
            <w:vAlign w:val="center"/>
            <w:hideMark/>
          </w:tcPr>
          <w:p w14:paraId="45C53945"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Chief Judge (</w:t>
            </w:r>
            <w:r w:rsidRPr="00AC20C2">
              <w:rPr>
                <w:rFonts w:ascii="Times New Roman" w:hAnsi="Times New Roman" w:cs="Times New Roman"/>
                <w:i/>
                <w:iCs/>
              </w:rPr>
              <w:t>Hakim</w:t>
            </w:r>
            <w:r w:rsidRPr="00AC20C2">
              <w:rPr>
                <w:rFonts w:ascii="Times New Roman" w:hAnsi="Times New Roman" w:cs="Times New Roman"/>
              </w:rPr>
              <w:t>)</w:t>
            </w:r>
          </w:p>
        </w:tc>
        <w:tc>
          <w:tcPr>
            <w:tcW w:w="0" w:type="auto"/>
            <w:tcMar>
              <w:top w:w="120" w:type="dxa"/>
              <w:left w:w="180" w:type="dxa"/>
              <w:bottom w:w="120" w:type="dxa"/>
              <w:right w:w="180" w:type="dxa"/>
            </w:tcMar>
            <w:vAlign w:val="center"/>
            <w:hideMark/>
          </w:tcPr>
          <w:p w14:paraId="3A32DEF0"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Criminal offenses, civil disputes, and public order violations.</w:t>
            </w:r>
          </w:p>
        </w:tc>
      </w:tr>
      <w:tr w:rsidR="005818C6" w:rsidRPr="00AC20C2" w14:paraId="7DDADE7C" w14:textId="77777777" w:rsidTr="00277A3B">
        <w:trPr>
          <w:tblCellSpacing w:w="15" w:type="dxa"/>
        </w:trPr>
        <w:tc>
          <w:tcPr>
            <w:tcW w:w="0" w:type="auto"/>
            <w:tcMar>
              <w:top w:w="120" w:type="dxa"/>
              <w:left w:w="180" w:type="dxa"/>
              <w:bottom w:w="120" w:type="dxa"/>
              <w:right w:w="180" w:type="dxa"/>
            </w:tcMar>
            <w:vAlign w:val="center"/>
            <w:hideMark/>
          </w:tcPr>
          <w:p w14:paraId="1C0AE033"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Shariah Court</w:t>
            </w:r>
          </w:p>
        </w:tc>
        <w:tc>
          <w:tcPr>
            <w:tcW w:w="0" w:type="auto"/>
            <w:tcMar>
              <w:top w:w="120" w:type="dxa"/>
              <w:left w:w="180" w:type="dxa"/>
              <w:bottom w:w="120" w:type="dxa"/>
              <w:right w:w="180" w:type="dxa"/>
            </w:tcMar>
            <w:vAlign w:val="center"/>
            <w:hideMark/>
          </w:tcPr>
          <w:p w14:paraId="6847D646"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State-appointed </w:t>
            </w:r>
            <w:r w:rsidRPr="00AC20C2">
              <w:rPr>
                <w:rFonts w:ascii="Times New Roman" w:hAnsi="Times New Roman" w:cs="Times New Roman"/>
                <w:i/>
                <w:iCs/>
              </w:rPr>
              <w:t>Mufti</w:t>
            </w:r>
            <w:r w:rsidRPr="00AC20C2">
              <w:rPr>
                <w:rFonts w:ascii="Times New Roman" w:hAnsi="Times New Roman" w:cs="Times New Roman"/>
              </w:rPr>
              <w:t xml:space="preserve"> / </w:t>
            </w:r>
            <w:r w:rsidRPr="00AC20C2">
              <w:rPr>
                <w:rFonts w:ascii="Times New Roman" w:hAnsi="Times New Roman" w:cs="Times New Roman"/>
                <w:i/>
                <w:iCs/>
              </w:rPr>
              <w:t>Kadi</w:t>
            </w:r>
          </w:p>
        </w:tc>
        <w:tc>
          <w:tcPr>
            <w:tcW w:w="0" w:type="auto"/>
            <w:tcMar>
              <w:top w:w="120" w:type="dxa"/>
              <w:left w:w="180" w:type="dxa"/>
              <w:bottom w:w="120" w:type="dxa"/>
              <w:right w:w="180" w:type="dxa"/>
            </w:tcMar>
            <w:vAlign w:val="center"/>
            <w:hideMark/>
          </w:tcPr>
          <w:p w14:paraId="26F41BCA"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Canonical Islamic law, matrimonial issues, and moral transgressions.</w:t>
            </w:r>
          </w:p>
        </w:tc>
      </w:tr>
      <w:tr w:rsidR="005818C6" w:rsidRPr="00AC20C2" w14:paraId="41990EBE" w14:textId="77777777" w:rsidTr="00277A3B">
        <w:trPr>
          <w:tblCellSpacing w:w="15" w:type="dxa"/>
        </w:trPr>
        <w:tc>
          <w:tcPr>
            <w:tcW w:w="0" w:type="auto"/>
            <w:tcMar>
              <w:top w:w="120" w:type="dxa"/>
              <w:left w:w="180" w:type="dxa"/>
              <w:bottom w:w="120" w:type="dxa"/>
              <w:right w:w="180" w:type="dxa"/>
            </w:tcMar>
            <w:vAlign w:val="center"/>
            <w:hideMark/>
          </w:tcPr>
          <w:p w14:paraId="50962D89"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State Court</w:t>
            </w:r>
          </w:p>
        </w:tc>
        <w:tc>
          <w:tcPr>
            <w:tcW w:w="0" w:type="auto"/>
            <w:tcMar>
              <w:top w:w="120" w:type="dxa"/>
              <w:left w:w="180" w:type="dxa"/>
              <w:bottom w:w="120" w:type="dxa"/>
              <w:right w:w="180" w:type="dxa"/>
            </w:tcMar>
            <w:vAlign w:val="center"/>
            <w:hideMark/>
          </w:tcPr>
          <w:p w14:paraId="2C5DCF97"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The Sultan &amp; Council</w:t>
            </w:r>
          </w:p>
        </w:tc>
        <w:tc>
          <w:tcPr>
            <w:tcW w:w="0" w:type="auto"/>
            <w:tcMar>
              <w:top w:w="120" w:type="dxa"/>
              <w:left w:w="180" w:type="dxa"/>
              <w:bottom w:w="120" w:type="dxa"/>
              <w:right w:w="180" w:type="dxa"/>
            </w:tcMar>
            <w:vAlign w:val="center"/>
            <w:hideMark/>
          </w:tcPr>
          <w:p w14:paraId="25F1A022" w14:textId="77777777"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Supreme appellate authority; capital offenses and high state matters.</w:t>
            </w:r>
          </w:p>
        </w:tc>
      </w:tr>
    </w:tbl>
    <w:p w14:paraId="27D7796C" w14:textId="111E7CA8"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This indigenous legal structure was backed by a state prison system and a localized police force, demonstrating that pre-colonial Kelantan possessed a fully functioning legal apparatus capable of maintaining societal equilibrium.</w:t>
      </w:r>
    </w:p>
    <w:p w14:paraId="1059FB61" w14:textId="601BA769" w:rsidR="005818C6"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However, British administrators viewed this indigenous jurisprudence through an orientalist lens, dismissing it as outdated, arbitrary, and incompatible with international capitalist enterprise. Under the guise of "administrative modernization" and "legal rationalization," colonial officials introduced sweeping reforms designed to replace traditional mechanisms with Western legal frameworks.</w:t>
      </w:r>
    </w:p>
    <w:p w14:paraId="2E2D0B14" w14:textId="34574B17" w:rsidR="00023080" w:rsidRPr="00AC20C2" w:rsidRDefault="005818C6"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real objective of these legal reforms was twofold: first, to consolidate colonial political hegemony by criminalizing indigenous dissent and political opposition; second, to deliberately weaken the authority of the Sultan and the Malay-Muslim aristocracy by stripping them of their judicial powers. By isolating the Sultan’s jurisdiction strictly to the private domains of </w:t>
      </w:r>
      <w:proofErr w:type="spellStart"/>
      <w:r w:rsidRPr="00AC20C2">
        <w:rPr>
          <w:rFonts w:ascii="Times New Roman" w:hAnsi="Times New Roman" w:cs="Times New Roman"/>
          <w:i/>
          <w:iCs/>
        </w:rPr>
        <w:t>adat</w:t>
      </w:r>
      <w:proofErr w:type="spellEnd"/>
      <w:r w:rsidRPr="00AC20C2">
        <w:rPr>
          <w:rFonts w:ascii="Times New Roman" w:hAnsi="Times New Roman" w:cs="Times New Roman"/>
        </w:rPr>
        <w:t xml:space="preserve"> and religion, the colonial state effectively decoupled law from morality. The traditional courts were reduced to subordinate status within a secularized judicial hierarchy controlled by the British Adviser. Consequently, while the colonial state successfully institutionalized structures for economic exploitation, it systematically dismantled the holistic legal and moral framework that had historically preserved social cohesion within Kelantanese society.</w:t>
      </w:r>
    </w:p>
    <w:p w14:paraId="2A291410" w14:textId="77777777" w:rsidR="009B2FBE" w:rsidRPr="00AC20C2" w:rsidRDefault="009B2FBE" w:rsidP="003B73E3">
      <w:pPr>
        <w:spacing w:before="240" w:after="0" w:line="240" w:lineRule="auto"/>
        <w:jc w:val="both"/>
        <w:rPr>
          <w:rFonts w:ascii="Times New Roman" w:hAnsi="Times New Roman" w:cs="Times New Roman"/>
          <w:b/>
          <w:bCs/>
        </w:rPr>
      </w:pPr>
      <w:r w:rsidRPr="00AC20C2">
        <w:rPr>
          <w:rFonts w:ascii="Times New Roman" w:hAnsi="Times New Roman" w:cs="Times New Roman"/>
          <w:b/>
          <w:bCs/>
        </w:rPr>
        <w:t>Conclusion</w:t>
      </w:r>
    </w:p>
    <w:p w14:paraId="04F37126" w14:textId="77777777" w:rsidR="009B2FBE" w:rsidRPr="00AC20C2" w:rsidRDefault="009B2FBE" w:rsidP="003B73E3">
      <w:pPr>
        <w:spacing w:before="240" w:after="0" w:line="240" w:lineRule="auto"/>
        <w:jc w:val="both"/>
        <w:rPr>
          <w:rFonts w:ascii="Times New Roman" w:hAnsi="Times New Roman" w:cs="Times New Roman"/>
        </w:rPr>
      </w:pPr>
      <w:r w:rsidRPr="00AC20C2">
        <w:rPr>
          <w:rFonts w:ascii="Times New Roman" w:hAnsi="Times New Roman" w:cs="Times New Roman"/>
        </w:rPr>
        <w:t>This study has examined the socio-political and legal transformation of Kelantan between 1909 and 1945, focusing on the impact of British colonial intervention and the subsequent institutional responses by local leadership and Islamic authorities. By tracing the historical trajectory from the Anglo-Siamese Treaty of 1909 and the Anglo-Kelantan Agreement of 1910 to the consolidation of British administrative control, the study demonstrates that Kelantan underwent profound structural changes in its governance, legal system, and socio-cultural order during the early twentieth century. These transformations significantly altered the traditional Malay political framework, in which the Sultan and religious scholars previously played central roles in maintaining administrative stability and moral governance.</w:t>
      </w:r>
    </w:p>
    <w:p w14:paraId="0A486F49" w14:textId="77777777" w:rsidR="009B2FBE" w:rsidRPr="00AC20C2" w:rsidRDefault="009B2FBE"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The findings indicate that British colonial rule introduced a centralized bureaucratic system that progressively weakened indigenous governance structures. Although presented as a process of administrative modernization, </w:t>
      </w:r>
      <w:r w:rsidRPr="00AC20C2">
        <w:rPr>
          <w:rFonts w:ascii="Times New Roman" w:hAnsi="Times New Roman" w:cs="Times New Roman"/>
        </w:rPr>
        <w:lastRenderedPageBreak/>
        <w:t>these reforms were fundamentally driven by colonial economic and political interests, particularly the need to secure control over resources and strengthen imperial influence in the region. The appointment of British advisers, beginning with James Scott Mason, marked a decisive shift in executive authority from traditional rulers to colonial administrators. Consequently, the Sultan’s role became increasingly symbolic, confined largely to matters of religion and Malay customs, while substantive political and legal authority was transferred to the colonial administration.</w:t>
      </w:r>
    </w:p>
    <w:p w14:paraId="17E20B01" w14:textId="77777777" w:rsidR="009B2FBE" w:rsidRPr="00AC20C2" w:rsidRDefault="009B2FBE"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 key transformation identified in this study is the restructuring of the legal system. Pre-colonial and early Islamic legal institutions in Kelantan, including </w:t>
      </w:r>
      <w:proofErr w:type="spellStart"/>
      <w:r w:rsidRPr="00AC20C2">
        <w:rPr>
          <w:rFonts w:ascii="Times New Roman" w:hAnsi="Times New Roman" w:cs="Times New Roman"/>
        </w:rPr>
        <w:t>adat</w:t>
      </w:r>
      <w:proofErr w:type="spellEnd"/>
      <w:r w:rsidRPr="00AC20C2">
        <w:rPr>
          <w:rFonts w:ascii="Times New Roman" w:hAnsi="Times New Roman" w:cs="Times New Roman"/>
        </w:rPr>
        <w:t xml:space="preserve"> and Shariah courts, were gradually marginalised and reconfigured under colonial governance. Although these institutions had previously functioned effectively in maintaining social order, British officials perceived them as incompatible with modern legal standards. The introduction of colonial legal frameworks not only altered judicial practices but also contributed to a decline in the authority of Islamic jurisprudence in regulating moral and social conduct. This legal reorganisation had significant social implications, as it coincided with the rise of urbanisation, labour migration, and economic inequality, which collectively contributed to increasing social tensions, including the spread of prostitution and other forms of moral disorder.</w:t>
      </w:r>
    </w:p>
    <w:p w14:paraId="55CCE3C7" w14:textId="77777777" w:rsidR="009B2FBE" w:rsidRPr="00AC20C2" w:rsidRDefault="009B2FBE" w:rsidP="003B73E3">
      <w:pPr>
        <w:spacing w:before="240" w:after="0" w:line="240" w:lineRule="auto"/>
        <w:jc w:val="both"/>
        <w:rPr>
          <w:rFonts w:ascii="Times New Roman" w:hAnsi="Times New Roman" w:cs="Times New Roman"/>
        </w:rPr>
      </w:pPr>
      <w:r w:rsidRPr="00AC20C2">
        <w:rPr>
          <w:rFonts w:ascii="Times New Roman" w:hAnsi="Times New Roman" w:cs="Times New Roman"/>
        </w:rPr>
        <w:t>The study also highlights that the phenomenon known as the “Paris of Malaya” emerged as a colonial construct reflecting both socio-economic realities and imperial discourse. While Kelantan experienced cultural vibrancy and economic growth during this period, colonial narratives often emphasised moral decline to justify administrative intervention and legal restructuring. These narratives must therefore be understood critically within the broader context of colonial knowledge production and governance strategies.</w:t>
      </w:r>
    </w:p>
    <w:p w14:paraId="304B2EE6" w14:textId="52E8EA64" w:rsidR="009B2FBE" w:rsidRPr="00AC20C2" w:rsidRDefault="009B2FBE"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In response to these challenges, local leadership under Dato’ Perdana, together with Islamic scholars such as Tok Kenali and institutional actors like the MAIK, played a crucial role in reasserting Islamic values and reinforcing moral governance. Their efforts included the expansion of religious education, institutional reform, and the implementation of regulatory mechanisms aimed at addressing social issues. From the perspective of Ibn Khaldun’s theory of </w:t>
      </w:r>
      <w:proofErr w:type="spellStart"/>
      <w:r w:rsidRPr="00AC20C2">
        <w:rPr>
          <w:rFonts w:ascii="Times New Roman" w:hAnsi="Times New Roman" w:cs="Times New Roman"/>
          <w:i/>
          <w:iCs/>
        </w:rPr>
        <w:t>ʿUmrān</w:t>
      </w:r>
      <w:proofErr w:type="spellEnd"/>
      <w:r w:rsidRPr="00AC20C2">
        <w:rPr>
          <w:rFonts w:ascii="Times New Roman" w:hAnsi="Times New Roman" w:cs="Times New Roman"/>
        </w:rPr>
        <w:t>, these initiatives reflect an attempt to restore civilisational balance by strengthening religion (</w:t>
      </w:r>
      <w:r w:rsidRPr="00AC20C2">
        <w:rPr>
          <w:rFonts w:ascii="Times New Roman" w:hAnsi="Times New Roman" w:cs="Times New Roman"/>
          <w:i/>
          <w:iCs/>
        </w:rPr>
        <w:t>al-</w:t>
      </w:r>
      <w:proofErr w:type="spellStart"/>
      <w:r w:rsidRPr="00AC20C2">
        <w:rPr>
          <w:rFonts w:ascii="Times New Roman" w:hAnsi="Times New Roman" w:cs="Times New Roman"/>
          <w:i/>
          <w:iCs/>
        </w:rPr>
        <w:t>dīn</w:t>
      </w:r>
      <w:proofErr w:type="spellEnd"/>
      <w:r w:rsidRPr="00AC20C2">
        <w:rPr>
          <w:rFonts w:ascii="Times New Roman" w:hAnsi="Times New Roman" w:cs="Times New Roman"/>
        </w:rPr>
        <w:t>), social cohesion (</w:t>
      </w:r>
      <w:proofErr w:type="spellStart"/>
      <w:r w:rsidRPr="00AC20C2">
        <w:rPr>
          <w:rFonts w:ascii="Times New Roman" w:hAnsi="Times New Roman" w:cs="Times New Roman"/>
          <w:i/>
          <w:iCs/>
        </w:rPr>
        <w:t>ʿaṣabiyyah</w:t>
      </w:r>
      <w:proofErr w:type="spellEnd"/>
      <w:r w:rsidRPr="00AC20C2">
        <w:rPr>
          <w:rFonts w:ascii="Times New Roman" w:hAnsi="Times New Roman" w:cs="Times New Roman"/>
        </w:rPr>
        <w:t>), and governance structures (</w:t>
      </w:r>
      <w:proofErr w:type="spellStart"/>
      <w:r w:rsidRPr="00AC20C2">
        <w:rPr>
          <w:rFonts w:ascii="Times New Roman" w:hAnsi="Times New Roman" w:cs="Times New Roman"/>
          <w:i/>
          <w:iCs/>
        </w:rPr>
        <w:t>siyāsah</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wa</w:t>
      </w:r>
      <w:proofErr w:type="spellEnd"/>
      <w:r w:rsidRPr="00AC20C2">
        <w:rPr>
          <w:rFonts w:ascii="Times New Roman" w:hAnsi="Times New Roman" w:cs="Times New Roman"/>
          <w:i/>
          <w:iCs/>
        </w:rPr>
        <w:t xml:space="preserve"> al-</w:t>
      </w:r>
      <w:proofErr w:type="spellStart"/>
      <w:r w:rsidRPr="00AC20C2">
        <w:rPr>
          <w:rFonts w:ascii="Times New Roman" w:hAnsi="Times New Roman" w:cs="Times New Roman"/>
          <w:i/>
          <w:iCs/>
        </w:rPr>
        <w:t>sharīʿah</w:t>
      </w:r>
      <w:proofErr w:type="spellEnd"/>
      <w:r w:rsidRPr="00AC20C2">
        <w:rPr>
          <w:rFonts w:ascii="Times New Roman" w:hAnsi="Times New Roman" w:cs="Times New Roman"/>
        </w:rPr>
        <w:t>).</w:t>
      </w:r>
    </w:p>
    <w:p w14:paraId="4F52ECB8" w14:textId="77777777" w:rsidR="009B2FBE" w:rsidRPr="00AC20C2" w:rsidRDefault="009B2FBE" w:rsidP="003B73E3">
      <w:pPr>
        <w:spacing w:before="240" w:after="0" w:line="240" w:lineRule="auto"/>
        <w:jc w:val="both"/>
        <w:rPr>
          <w:rFonts w:ascii="Times New Roman" w:hAnsi="Times New Roman" w:cs="Times New Roman"/>
        </w:rPr>
      </w:pPr>
      <w:r w:rsidRPr="00AC20C2">
        <w:rPr>
          <w:rFonts w:ascii="Times New Roman" w:hAnsi="Times New Roman" w:cs="Times New Roman"/>
        </w:rPr>
        <w:t>Overall, this study concludes that Kelantan’s colonial experience was not merely a process of political subjugation, but also a complex negotiation between external colonial forces and internal socio-religious institutions. Despite the constraints imposed by colonial rule, local actors demonstrated resilience in preserving Islamic governance structures and social identity. The interaction between colonial administration and indigenous reform movements ultimately shaped a hybrid socio-political order in which modern administrative systems coexisted with traditional Islamic institutions.</w:t>
      </w:r>
    </w:p>
    <w:p w14:paraId="3B502D67" w14:textId="77777777" w:rsidR="009B2FBE" w:rsidRPr="00AC20C2" w:rsidRDefault="009B2FBE" w:rsidP="003B73E3">
      <w:pPr>
        <w:spacing w:before="240" w:after="0" w:line="240" w:lineRule="auto"/>
        <w:jc w:val="both"/>
        <w:rPr>
          <w:rFonts w:ascii="Times New Roman" w:hAnsi="Times New Roman" w:cs="Times New Roman"/>
        </w:rPr>
      </w:pPr>
      <w:r w:rsidRPr="00AC20C2">
        <w:rPr>
          <w:rFonts w:ascii="Times New Roman" w:hAnsi="Times New Roman" w:cs="Times New Roman"/>
        </w:rPr>
        <w:t>Future research may further explore comparative analyses between Kelantan and other Malay states to better understand the diversity of colonial experiences and the varying strategies of Islamic institutional adaptation across the region.</w:t>
      </w:r>
    </w:p>
    <w:p w14:paraId="29F08E64" w14:textId="77777777" w:rsidR="00023080" w:rsidRPr="00AC20C2" w:rsidRDefault="00023080" w:rsidP="003B73E3">
      <w:pPr>
        <w:spacing w:before="240" w:after="0" w:line="240" w:lineRule="auto"/>
        <w:jc w:val="both"/>
        <w:rPr>
          <w:rFonts w:ascii="Times New Roman" w:hAnsi="Times New Roman" w:cs="Times New Roman"/>
        </w:rPr>
      </w:pPr>
    </w:p>
    <w:p w14:paraId="05B01823" w14:textId="77777777" w:rsidR="00023080" w:rsidRPr="00AC20C2" w:rsidRDefault="00023080" w:rsidP="003B73E3">
      <w:pPr>
        <w:spacing w:before="240" w:after="0" w:line="240" w:lineRule="auto"/>
        <w:jc w:val="both"/>
        <w:rPr>
          <w:rFonts w:ascii="Times New Roman" w:hAnsi="Times New Roman" w:cs="Times New Roman"/>
        </w:rPr>
      </w:pPr>
    </w:p>
    <w:p w14:paraId="7D8B13EF" w14:textId="77777777" w:rsidR="00023080" w:rsidRPr="00AC20C2" w:rsidRDefault="00023080" w:rsidP="003B73E3">
      <w:pPr>
        <w:spacing w:before="240" w:after="0" w:line="240" w:lineRule="auto"/>
        <w:jc w:val="both"/>
        <w:rPr>
          <w:rFonts w:ascii="Times New Roman" w:hAnsi="Times New Roman" w:cs="Times New Roman"/>
        </w:rPr>
      </w:pPr>
    </w:p>
    <w:p w14:paraId="23CCDB8A" w14:textId="77777777" w:rsidR="00023080" w:rsidRPr="00AC20C2" w:rsidRDefault="00023080" w:rsidP="003B73E3">
      <w:pPr>
        <w:spacing w:before="240" w:after="0" w:line="240" w:lineRule="auto"/>
        <w:jc w:val="both"/>
        <w:rPr>
          <w:rFonts w:ascii="Times New Roman" w:hAnsi="Times New Roman" w:cs="Times New Roman"/>
        </w:rPr>
      </w:pPr>
    </w:p>
    <w:p w14:paraId="29CF7B3C" w14:textId="77777777" w:rsidR="00023080" w:rsidRPr="00AC20C2" w:rsidRDefault="00023080" w:rsidP="003B73E3">
      <w:pPr>
        <w:spacing w:before="240" w:after="0" w:line="240" w:lineRule="auto"/>
        <w:jc w:val="both"/>
        <w:rPr>
          <w:rFonts w:ascii="Times New Roman" w:hAnsi="Times New Roman" w:cs="Times New Roman"/>
        </w:rPr>
      </w:pPr>
    </w:p>
    <w:p w14:paraId="716B09CC" w14:textId="77777777" w:rsidR="00023080" w:rsidRPr="00AC20C2" w:rsidRDefault="00023080" w:rsidP="003B73E3">
      <w:pPr>
        <w:spacing w:before="240" w:after="0" w:line="240" w:lineRule="auto"/>
        <w:jc w:val="both"/>
        <w:rPr>
          <w:rFonts w:ascii="Times New Roman" w:hAnsi="Times New Roman" w:cs="Times New Roman"/>
        </w:rPr>
      </w:pPr>
    </w:p>
    <w:p w14:paraId="38E3A56E" w14:textId="77777777" w:rsidR="00023080" w:rsidRPr="00AC20C2" w:rsidRDefault="00023080" w:rsidP="003B73E3">
      <w:pPr>
        <w:spacing w:before="240" w:after="0" w:line="240" w:lineRule="auto"/>
        <w:jc w:val="both"/>
        <w:rPr>
          <w:rFonts w:ascii="Times New Roman" w:hAnsi="Times New Roman" w:cs="Times New Roman"/>
        </w:rPr>
      </w:pPr>
    </w:p>
    <w:p w14:paraId="275508C2" w14:textId="77777777" w:rsidR="00023080" w:rsidRPr="00AC20C2" w:rsidRDefault="00023080" w:rsidP="003B73E3">
      <w:pPr>
        <w:spacing w:before="240" w:after="0" w:line="240" w:lineRule="auto"/>
        <w:jc w:val="both"/>
        <w:rPr>
          <w:rFonts w:ascii="Times New Roman" w:hAnsi="Times New Roman" w:cs="Times New Roman"/>
        </w:rPr>
      </w:pPr>
    </w:p>
    <w:p w14:paraId="4E750DBC" w14:textId="79E115DF" w:rsidR="00023080" w:rsidRPr="000F20A6" w:rsidRDefault="000770C9" w:rsidP="003B73E3">
      <w:pPr>
        <w:spacing w:before="240" w:after="0" w:line="240" w:lineRule="auto"/>
        <w:jc w:val="both"/>
        <w:rPr>
          <w:rFonts w:ascii="Times New Roman" w:hAnsi="Times New Roman" w:cs="Times New Roman"/>
          <w:b/>
          <w:bCs/>
        </w:rPr>
      </w:pPr>
      <w:r w:rsidRPr="000F20A6">
        <w:rPr>
          <w:rFonts w:ascii="Times New Roman" w:hAnsi="Times New Roman" w:cs="Times New Roman"/>
          <w:b/>
          <w:bCs/>
        </w:rPr>
        <w:lastRenderedPageBreak/>
        <w:t>Reference</w:t>
      </w:r>
    </w:p>
    <w:p w14:paraId="51B1CA8C"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Abdul Monir, M. (2017). </w:t>
      </w:r>
      <w:r w:rsidRPr="00AC20C2">
        <w:rPr>
          <w:rFonts w:ascii="Times New Roman" w:hAnsi="Times New Roman" w:cs="Times New Roman"/>
          <w:i/>
          <w:iCs/>
        </w:rPr>
        <w:t xml:space="preserve">Sejarah </w:t>
      </w:r>
      <w:proofErr w:type="spellStart"/>
      <w:r w:rsidRPr="00AC20C2">
        <w:rPr>
          <w:rFonts w:ascii="Times New Roman" w:hAnsi="Times New Roman" w:cs="Times New Roman"/>
          <w:i/>
          <w:iCs/>
        </w:rPr>
        <w:t>institusi</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kesultanan</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Melayu</w:t>
      </w:r>
      <w:proofErr w:type="spellEnd"/>
      <w:r w:rsidRPr="00AC20C2">
        <w:rPr>
          <w:rFonts w:ascii="Times New Roman" w:hAnsi="Times New Roman" w:cs="Times New Roman"/>
        </w:rPr>
        <w:t>. Kuala Lumpur: Dewan Bahasa dan Pustaka.</w:t>
      </w:r>
    </w:p>
    <w:p w14:paraId="4B72C2A5" w14:textId="32EEE113" w:rsidR="0004545A" w:rsidRPr="00AC20C2" w:rsidRDefault="0004545A"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Abdullah Zakaria Ghazali, &amp; Iskandar Ramli. (2013). </w:t>
      </w:r>
      <w:r w:rsidRPr="00AC20C2">
        <w:rPr>
          <w:rFonts w:ascii="Times New Roman" w:hAnsi="Times New Roman" w:cs="Times New Roman"/>
          <w:i/>
          <w:iCs/>
        </w:rPr>
        <w:t xml:space="preserve">Sejarah </w:t>
      </w:r>
      <w:proofErr w:type="spellStart"/>
      <w:r w:rsidRPr="00AC20C2">
        <w:rPr>
          <w:rFonts w:ascii="Times New Roman" w:hAnsi="Times New Roman" w:cs="Times New Roman"/>
          <w:i/>
          <w:iCs/>
        </w:rPr>
        <w:t>pentadbiran</w:t>
      </w:r>
      <w:proofErr w:type="spellEnd"/>
      <w:r w:rsidRPr="00AC20C2">
        <w:rPr>
          <w:rFonts w:ascii="Times New Roman" w:hAnsi="Times New Roman" w:cs="Times New Roman"/>
          <w:i/>
          <w:iCs/>
        </w:rPr>
        <w:t xml:space="preserve"> Kelantan</w:t>
      </w:r>
      <w:r w:rsidRPr="00AC20C2">
        <w:rPr>
          <w:rFonts w:ascii="Times New Roman" w:hAnsi="Times New Roman" w:cs="Times New Roman"/>
        </w:rPr>
        <w:t>. Kuala Lumpur: DBP.</w:t>
      </w:r>
    </w:p>
    <w:p w14:paraId="2CB44264" w14:textId="36B7FD0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Ahmad Rashdan, </w:t>
      </w:r>
      <w:proofErr w:type="spellStart"/>
      <w:r w:rsidRPr="00AC20C2">
        <w:rPr>
          <w:rFonts w:ascii="Times New Roman" w:hAnsi="Times New Roman" w:cs="Times New Roman"/>
        </w:rPr>
        <w:t>Baharin</w:t>
      </w:r>
      <w:proofErr w:type="spellEnd"/>
      <w:r w:rsidRPr="00AC20C2">
        <w:rPr>
          <w:rFonts w:ascii="Times New Roman" w:hAnsi="Times New Roman" w:cs="Times New Roman"/>
        </w:rPr>
        <w:t xml:space="preserve"> Ilias, &amp; Abdul Latiff Abu Bakar. (2017). </w:t>
      </w:r>
      <w:r w:rsidRPr="00AC20C2">
        <w:rPr>
          <w:rFonts w:ascii="Times New Roman" w:hAnsi="Times New Roman" w:cs="Times New Roman"/>
          <w:i/>
          <w:iCs/>
        </w:rPr>
        <w:t xml:space="preserve">Sejarah </w:t>
      </w:r>
      <w:proofErr w:type="spellStart"/>
      <w:r w:rsidRPr="00AC20C2">
        <w:rPr>
          <w:rFonts w:ascii="Times New Roman" w:hAnsi="Times New Roman" w:cs="Times New Roman"/>
          <w:i/>
          <w:iCs/>
        </w:rPr>
        <w:t>awal</w:t>
      </w:r>
      <w:proofErr w:type="spellEnd"/>
      <w:r w:rsidRPr="00AC20C2">
        <w:rPr>
          <w:rFonts w:ascii="Times New Roman" w:hAnsi="Times New Roman" w:cs="Times New Roman"/>
          <w:i/>
          <w:iCs/>
        </w:rPr>
        <w:t xml:space="preserve"> negeri Kelantan</w:t>
      </w:r>
      <w:r w:rsidRPr="00AC20C2">
        <w:rPr>
          <w:rFonts w:ascii="Times New Roman" w:hAnsi="Times New Roman" w:cs="Times New Roman"/>
        </w:rPr>
        <w:t xml:space="preserve">. Kota Bharu: </w:t>
      </w:r>
      <w:proofErr w:type="spellStart"/>
      <w:r w:rsidRPr="00AC20C2">
        <w:rPr>
          <w:rFonts w:ascii="Times New Roman" w:hAnsi="Times New Roman" w:cs="Times New Roman"/>
        </w:rPr>
        <w:t>Penerbit</w:t>
      </w:r>
      <w:proofErr w:type="spellEnd"/>
      <w:r w:rsidRPr="00AC20C2">
        <w:rPr>
          <w:rFonts w:ascii="Times New Roman" w:hAnsi="Times New Roman" w:cs="Times New Roman"/>
        </w:rPr>
        <w:t xml:space="preserve"> Universiti Malaysia Kelantan.</w:t>
      </w:r>
    </w:p>
    <w:p w14:paraId="45B126A8" w14:textId="44BBCA4C"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 Aziz Deraman. (2018). </w:t>
      </w:r>
      <w:r w:rsidRPr="00AC20C2">
        <w:rPr>
          <w:rFonts w:ascii="Times New Roman" w:hAnsi="Times New Roman" w:cs="Times New Roman"/>
          <w:i/>
          <w:iCs/>
        </w:rPr>
        <w:t xml:space="preserve">Sejarah dan </w:t>
      </w:r>
      <w:proofErr w:type="spellStart"/>
      <w:r w:rsidRPr="00AC20C2">
        <w:rPr>
          <w:rFonts w:ascii="Times New Roman" w:hAnsi="Times New Roman" w:cs="Times New Roman"/>
          <w:i/>
          <w:iCs/>
        </w:rPr>
        <w:t>budaya</w:t>
      </w:r>
      <w:proofErr w:type="spellEnd"/>
      <w:r w:rsidRPr="00AC20C2">
        <w:rPr>
          <w:rFonts w:ascii="Times New Roman" w:hAnsi="Times New Roman" w:cs="Times New Roman"/>
          <w:i/>
          <w:iCs/>
        </w:rPr>
        <w:t xml:space="preserve"> Kelantan</w:t>
      </w:r>
      <w:r w:rsidRPr="00AC20C2">
        <w:rPr>
          <w:rFonts w:ascii="Times New Roman" w:hAnsi="Times New Roman" w:cs="Times New Roman"/>
        </w:rPr>
        <w:t>. Kuala Lumpur: DBP.</w:t>
      </w:r>
    </w:p>
    <w:p w14:paraId="520EEB1A"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Andaya, B. W., &amp; Andaya, L. Y. (2017). </w:t>
      </w:r>
      <w:r w:rsidRPr="00AC20C2">
        <w:rPr>
          <w:rFonts w:ascii="Times New Roman" w:hAnsi="Times New Roman" w:cs="Times New Roman"/>
          <w:i/>
          <w:iCs/>
        </w:rPr>
        <w:t>A history of Malaysia</w:t>
      </w:r>
      <w:r w:rsidRPr="00AC20C2">
        <w:rPr>
          <w:rFonts w:ascii="Times New Roman" w:hAnsi="Times New Roman" w:cs="Times New Roman"/>
        </w:rPr>
        <w:t xml:space="preserve"> (3rd ed.). Palgrave Macmillan.</w:t>
      </w:r>
    </w:p>
    <w:p w14:paraId="5B96C714" w14:textId="008E3ED9"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Davies, R. D. (1902). </w:t>
      </w:r>
      <w:r w:rsidRPr="00AC20C2">
        <w:rPr>
          <w:rFonts w:ascii="Times New Roman" w:hAnsi="Times New Roman" w:cs="Times New Roman"/>
          <w:i/>
          <w:iCs/>
        </w:rPr>
        <w:t>British and Siamese relations in the Malay Peninsula</w:t>
      </w:r>
      <w:r w:rsidRPr="00AC20C2">
        <w:rPr>
          <w:rFonts w:ascii="Times New Roman" w:hAnsi="Times New Roman" w:cs="Times New Roman"/>
        </w:rPr>
        <w:t>. London: Colonial Office Records.</w:t>
      </w:r>
    </w:p>
    <w:p w14:paraId="215E1DB0" w14:textId="734C9255"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Easton, D. (1965). </w:t>
      </w:r>
      <w:r w:rsidRPr="00AC20C2">
        <w:rPr>
          <w:rFonts w:ascii="Times New Roman" w:hAnsi="Times New Roman" w:cs="Times New Roman"/>
          <w:i/>
          <w:iCs/>
        </w:rPr>
        <w:t>A systems analysis of political life</w:t>
      </w:r>
      <w:r w:rsidRPr="00AC20C2">
        <w:rPr>
          <w:rFonts w:ascii="Times New Roman" w:hAnsi="Times New Roman" w:cs="Times New Roman"/>
        </w:rPr>
        <w:t>. Wiley.</w:t>
      </w:r>
    </w:p>
    <w:p w14:paraId="32A5A93A"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Gullick, J. M. (1987). </w:t>
      </w:r>
      <w:r w:rsidRPr="00AC20C2">
        <w:rPr>
          <w:rFonts w:ascii="Times New Roman" w:hAnsi="Times New Roman" w:cs="Times New Roman"/>
          <w:i/>
          <w:iCs/>
        </w:rPr>
        <w:t>Malay society in the late nineteenth century: The beginnings of change</w:t>
      </w:r>
      <w:r w:rsidRPr="00AC20C2">
        <w:rPr>
          <w:rFonts w:ascii="Times New Roman" w:hAnsi="Times New Roman" w:cs="Times New Roman"/>
        </w:rPr>
        <w:t>. Oxford University Press.</w:t>
      </w:r>
    </w:p>
    <w:p w14:paraId="6829E310" w14:textId="7917804A"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Fara Dayana Mohd. (2014). </w:t>
      </w:r>
      <w:proofErr w:type="spellStart"/>
      <w:r w:rsidRPr="00AC20C2">
        <w:rPr>
          <w:rFonts w:ascii="Times New Roman" w:hAnsi="Times New Roman" w:cs="Times New Roman"/>
        </w:rPr>
        <w:t>Dikir</w:t>
      </w:r>
      <w:proofErr w:type="spellEnd"/>
      <w:r w:rsidRPr="00AC20C2">
        <w:rPr>
          <w:rFonts w:ascii="Times New Roman" w:hAnsi="Times New Roman" w:cs="Times New Roman"/>
        </w:rPr>
        <w:t xml:space="preserve"> Barat </w:t>
      </w:r>
      <w:proofErr w:type="spellStart"/>
      <w:r w:rsidRPr="00AC20C2">
        <w:rPr>
          <w:rFonts w:ascii="Times New Roman" w:hAnsi="Times New Roman" w:cs="Times New Roman"/>
        </w:rPr>
        <w:t>sebagai</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warisan</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budaya</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Melayu</w:t>
      </w:r>
      <w:proofErr w:type="spellEnd"/>
      <w:r w:rsidRPr="00AC20C2">
        <w:rPr>
          <w:rFonts w:ascii="Times New Roman" w:hAnsi="Times New Roman" w:cs="Times New Roman"/>
        </w:rPr>
        <w:t xml:space="preserve"> Kelantan. </w:t>
      </w:r>
      <w:proofErr w:type="spellStart"/>
      <w:r w:rsidRPr="00AC20C2">
        <w:rPr>
          <w:rFonts w:ascii="Times New Roman" w:hAnsi="Times New Roman" w:cs="Times New Roman"/>
          <w:i/>
          <w:iCs/>
        </w:rPr>
        <w:t>Jurnal</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Melayu</w:t>
      </w:r>
      <w:proofErr w:type="spellEnd"/>
      <w:r w:rsidRPr="00AC20C2">
        <w:rPr>
          <w:rFonts w:ascii="Times New Roman" w:hAnsi="Times New Roman" w:cs="Times New Roman"/>
          <w:i/>
          <w:iCs/>
        </w:rPr>
        <w:t>, 13</w:t>
      </w:r>
      <w:r w:rsidRPr="00AC20C2">
        <w:rPr>
          <w:rFonts w:ascii="Times New Roman" w:hAnsi="Times New Roman" w:cs="Times New Roman"/>
        </w:rPr>
        <w:t>(2), 67–81.</w:t>
      </w:r>
    </w:p>
    <w:p w14:paraId="1859EA11" w14:textId="209751CD" w:rsidR="00023080" w:rsidRPr="00AC20C2" w:rsidRDefault="00023080" w:rsidP="003B73E3">
      <w:pPr>
        <w:spacing w:before="240" w:after="0" w:line="240" w:lineRule="auto"/>
        <w:jc w:val="both"/>
        <w:rPr>
          <w:rFonts w:ascii="Times New Roman" w:hAnsi="Times New Roman" w:cs="Times New Roman"/>
        </w:rPr>
      </w:pPr>
      <w:proofErr w:type="spellStart"/>
      <w:r w:rsidRPr="00AC20C2">
        <w:rPr>
          <w:rFonts w:ascii="Times New Roman" w:hAnsi="Times New Roman" w:cs="Times New Roman"/>
        </w:rPr>
        <w:t>Haziyah</w:t>
      </w:r>
      <w:proofErr w:type="spellEnd"/>
      <w:r w:rsidRPr="00AC20C2">
        <w:rPr>
          <w:rFonts w:ascii="Times New Roman" w:hAnsi="Times New Roman" w:cs="Times New Roman"/>
        </w:rPr>
        <w:t xml:space="preserve"> Hussin. (2004). Kelantan </w:t>
      </w:r>
      <w:proofErr w:type="spellStart"/>
      <w:r w:rsidRPr="00AC20C2">
        <w:rPr>
          <w:rFonts w:ascii="Times New Roman" w:hAnsi="Times New Roman" w:cs="Times New Roman"/>
        </w:rPr>
        <w:t>sebagai</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pusat</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perdagangan</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awal</w:t>
      </w:r>
      <w:proofErr w:type="spellEnd"/>
      <w:r w:rsidRPr="00AC20C2">
        <w:rPr>
          <w:rFonts w:ascii="Times New Roman" w:hAnsi="Times New Roman" w:cs="Times New Roman"/>
        </w:rPr>
        <w:t xml:space="preserve"> di Pantai Timur </w:t>
      </w:r>
      <w:proofErr w:type="spellStart"/>
      <w:r w:rsidRPr="00AC20C2">
        <w:rPr>
          <w:rFonts w:ascii="Times New Roman" w:hAnsi="Times New Roman" w:cs="Times New Roman"/>
        </w:rPr>
        <w:t>Semenanjung</w:t>
      </w:r>
      <w:proofErr w:type="spellEnd"/>
      <w:r w:rsidRPr="00AC20C2">
        <w:rPr>
          <w:rFonts w:ascii="Times New Roman" w:hAnsi="Times New Roman" w:cs="Times New Roman"/>
        </w:rPr>
        <w:t xml:space="preserve"> Tanah </w:t>
      </w:r>
      <w:proofErr w:type="spellStart"/>
      <w:r w:rsidRPr="00AC20C2">
        <w:rPr>
          <w:rFonts w:ascii="Times New Roman" w:hAnsi="Times New Roman" w:cs="Times New Roman"/>
        </w:rPr>
        <w:t>Melayu</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i/>
          <w:iCs/>
        </w:rPr>
        <w:t>Jurnal</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Antarabangsa</w:t>
      </w:r>
      <w:proofErr w:type="spellEnd"/>
      <w:r w:rsidRPr="00AC20C2">
        <w:rPr>
          <w:rFonts w:ascii="Times New Roman" w:hAnsi="Times New Roman" w:cs="Times New Roman"/>
          <w:i/>
          <w:iCs/>
        </w:rPr>
        <w:t xml:space="preserve"> Dunia </w:t>
      </w:r>
      <w:proofErr w:type="spellStart"/>
      <w:r w:rsidRPr="00AC20C2">
        <w:rPr>
          <w:rFonts w:ascii="Times New Roman" w:hAnsi="Times New Roman" w:cs="Times New Roman"/>
          <w:i/>
          <w:iCs/>
        </w:rPr>
        <w:t>Melayu</w:t>
      </w:r>
      <w:proofErr w:type="spellEnd"/>
      <w:r w:rsidRPr="00AC20C2">
        <w:rPr>
          <w:rFonts w:ascii="Times New Roman" w:hAnsi="Times New Roman" w:cs="Times New Roman"/>
        </w:rPr>
        <w:t>, 2(1), 45–63.</w:t>
      </w:r>
    </w:p>
    <w:p w14:paraId="7B081F52" w14:textId="77777777" w:rsidR="00332252" w:rsidRPr="00AC20C2" w:rsidRDefault="00332252"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Haryati Hassan. (1998). </w:t>
      </w:r>
      <w:proofErr w:type="spellStart"/>
      <w:r w:rsidRPr="00AC20C2">
        <w:rPr>
          <w:rFonts w:ascii="Times New Roman" w:hAnsi="Times New Roman" w:cs="Times New Roman"/>
        </w:rPr>
        <w:t>Sistem</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politik</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tradisional</w:t>
      </w:r>
      <w:proofErr w:type="spellEnd"/>
      <w:r w:rsidRPr="00AC20C2">
        <w:rPr>
          <w:rFonts w:ascii="Times New Roman" w:hAnsi="Times New Roman" w:cs="Times New Roman"/>
        </w:rPr>
        <w:t xml:space="preserve"> Kelantan. </w:t>
      </w:r>
      <w:proofErr w:type="spellStart"/>
      <w:r w:rsidRPr="00AC20C2">
        <w:rPr>
          <w:rFonts w:ascii="Times New Roman" w:hAnsi="Times New Roman" w:cs="Times New Roman"/>
          <w:i/>
          <w:iCs/>
        </w:rPr>
        <w:t>Jurnal</w:t>
      </w:r>
      <w:proofErr w:type="spellEnd"/>
      <w:r w:rsidRPr="00AC20C2">
        <w:rPr>
          <w:rFonts w:ascii="Times New Roman" w:hAnsi="Times New Roman" w:cs="Times New Roman"/>
          <w:i/>
          <w:iCs/>
        </w:rPr>
        <w:t xml:space="preserve"> Sejarah Malaysia</w:t>
      </w:r>
      <w:r w:rsidRPr="00AC20C2">
        <w:rPr>
          <w:rFonts w:ascii="Times New Roman" w:hAnsi="Times New Roman" w:cs="Times New Roman"/>
        </w:rPr>
        <w:t>, 12(1), 45–60.</w:t>
      </w:r>
    </w:p>
    <w:p w14:paraId="4BE1CCCA" w14:textId="0B832D4D" w:rsidR="00F54900" w:rsidRPr="00AC20C2" w:rsidRDefault="00F5490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Jelani Harun. (2008). </w:t>
      </w:r>
      <w:proofErr w:type="spellStart"/>
      <w:r w:rsidRPr="00AC20C2">
        <w:rPr>
          <w:rFonts w:ascii="Times New Roman" w:hAnsi="Times New Roman" w:cs="Times New Roman"/>
          <w:i/>
          <w:iCs/>
        </w:rPr>
        <w:t>Undang-undang</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adat</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Melayu</w:t>
      </w:r>
      <w:proofErr w:type="spellEnd"/>
      <w:r w:rsidRPr="00AC20C2">
        <w:rPr>
          <w:rFonts w:ascii="Times New Roman" w:hAnsi="Times New Roman" w:cs="Times New Roman"/>
          <w:i/>
          <w:iCs/>
        </w:rPr>
        <w:t xml:space="preserve"> Kelantan</w:t>
      </w:r>
      <w:r w:rsidRPr="00AC20C2">
        <w:rPr>
          <w:rFonts w:ascii="Times New Roman" w:hAnsi="Times New Roman" w:cs="Times New Roman"/>
        </w:rPr>
        <w:t xml:space="preserve">. Kuala Lumpur: </w:t>
      </w:r>
      <w:proofErr w:type="spellStart"/>
      <w:r w:rsidRPr="00AC20C2">
        <w:rPr>
          <w:rFonts w:ascii="Times New Roman" w:hAnsi="Times New Roman" w:cs="Times New Roman"/>
        </w:rPr>
        <w:t>Penerbit</w:t>
      </w:r>
      <w:proofErr w:type="spellEnd"/>
      <w:r w:rsidRPr="00AC20C2">
        <w:rPr>
          <w:rFonts w:ascii="Times New Roman" w:hAnsi="Times New Roman" w:cs="Times New Roman"/>
        </w:rPr>
        <w:t xml:space="preserve"> Universiti Malaya.</w:t>
      </w:r>
    </w:p>
    <w:p w14:paraId="01A689EC" w14:textId="448C0D2A" w:rsidR="00332252" w:rsidRPr="00AC20C2" w:rsidRDefault="00332252"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Iskandar Hassan Tan Abdullah, &amp; Nur Azuki Yusuff. (2024). </w:t>
      </w:r>
      <w:proofErr w:type="spellStart"/>
      <w:r w:rsidRPr="00AC20C2">
        <w:rPr>
          <w:rFonts w:ascii="Times New Roman" w:hAnsi="Times New Roman" w:cs="Times New Roman"/>
        </w:rPr>
        <w:t>Struktur</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politik</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Kesultanan</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Melayu</w:t>
      </w:r>
      <w:proofErr w:type="spellEnd"/>
      <w:r w:rsidRPr="00AC20C2">
        <w:rPr>
          <w:rFonts w:ascii="Times New Roman" w:hAnsi="Times New Roman" w:cs="Times New Roman"/>
        </w:rPr>
        <w:t xml:space="preserve"> Melaka dan </w:t>
      </w:r>
      <w:proofErr w:type="spellStart"/>
      <w:r w:rsidRPr="00AC20C2">
        <w:rPr>
          <w:rFonts w:ascii="Times New Roman" w:hAnsi="Times New Roman" w:cs="Times New Roman"/>
        </w:rPr>
        <w:t>pengaruhnya</w:t>
      </w:r>
      <w:proofErr w:type="spellEnd"/>
      <w:r w:rsidRPr="00AC20C2">
        <w:rPr>
          <w:rFonts w:ascii="Times New Roman" w:hAnsi="Times New Roman" w:cs="Times New Roman"/>
        </w:rPr>
        <w:t xml:space="preserve">. </w:t>
      </w:r>
      <w:r w:rsidRPr="00AC20C2">
        <w:rPr>
          <w:rFonts w:ascii="Times New Roman" w:hAnsi="Times New Roman" w:cs="Times New Roman"/>
          <w:i/>
          <w:iCs/>
        </w:rPr>
        <w:t>Journal of Malay Studies</w:t>
      </w:r>
      <w:r w:rsidRPr="00AC20C2">
        <w:rPr>
          <w:rFonts w:ascii="Times New Roman" w:hAnsi="Times New Roman" w:cs="Times New Roman"/>
        </w:rPr>
        <w:t>, 18(2), 33–50.</w:t>
      </w:r>
    </w:p>
    <w:p w14:paraId="3EEA03BF" w14:textId="1CBD4194" w:rsidR="00332252" w:rsidRPr="00AC20C2" w:rsidRDefault="00332252"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Ismail Che Daud. (2018). </w:t>
      </w:r>
      <w:r w:rsidRPr="00AC20C2">
        <w:rPr>
          <w:rFonts w:ascii="Times New Roman" w:hAnsi="Times New Roman" w:cs="Times New Roman"/>
          <w:i/>
          <w:iCs/>
        </w:rPr>
        <w:t xml:space="preserve">Dato’ Perdana: </w:t>
      </w:r>
      <w:proofErr w:type="spellStart"/>
      <w:r w:rsidRPr="00AC20C2">
        <w:rPr>
          <w:rFonts w:ascii="Times New Roman" w:hAnsi="Times New Roman" w:cs="Times New Roman"/>
          <w:i/>
          <w:iCs/>
        </w:rPr>
        <w:t>Tokoh</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pentadbiran</w:t>
      </w:r>
      <w:proofErr w:type="spellEnd"/>
      <w:r w:rsidRPr="00AC20C2">
        <w:rPr>
          <w:rFonts w:ascii="Times New Roman" w:hAnsi="Times New Roman" w:cs="Times New Roman"/>
          <w:i/>
          <w:iCs/>
        </w:rPr>
        <w:t xml:space="preserve"> Kelantan</w:t>
      </w:r>
      <w:r w:rsidRPr="00AC20C2">
        <w:rPr>
          <w:rFonts w:ascii="Times New Roman" w:hAnsi="Times New Roman" w:cs="Times New Roman"/>
        </w:rPr>
        <w:t>. Kota Bharu: Pustaka Aman Press.</w:t>
      </w:r>
    </w:p>
    <w:p w14:paraId="4C755967" w14:textId="636F4655"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Khoo, K. K. (1984). Social and economic change in Malaya under colonial rule. </w:t>
      </w:r>
      <w:r w:rsidRPr="00AC20C2">
        <w:rPr>
          <w:rFonts w:ascii="Times New Roman" w:hAnsi="Times New Roman" w:cs="Times New Roman"/>
          <w:i/>
          <w:iCs/>
        </w:rPr>
        <w:t>Journal of Southeast Asian Studies, 15</w:t>
      </w:r>
      <w:r w:rsidRPr="00AC20C2">
        <w:rPr>
          <w:rFonts w:ascii="Times New Roman" w:hAnsi="Times New Roman" w:cs="Times New Roman"/>
        </w:rPr>
        <w:t>(1), 1–15.</w:t>
      </w:r>
    </w:p>
    <w:p w14:paraId="4CF3AC58"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Liow, J. C. (2009). </w:t>
      </w:r>
      <w:r w:rsidRPr="00AC20C2">
        <w:rPr>
          <w:rFonts w:ascii="Times New Roman" w:hAnsi="Times New Roman" w:cs="Times New Roman"/>
          <w:i/>
          <w:iCs/>
        </w:rPr>
        <w:t>Islam and politics in Kelantan 1838–1969</w:t>
      </w:r>
      <w:r w:rsidRPr="00AC20C2">
        <w:rPr>
          <w:rFonts w:ascii="Times New Roman" w:hAnsi="Times New Roman" w:cs="Times New Roman"/>
        </w:rPr>
        <w:t>. NUS Press.</w:t>
      </w:r>
    </w:p>
    <w:p w14:paraId="3B278356"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Manderson, L. (1980). </w:t>
      </w:r>
      <w:r w:rsidRPr="00AC20C2">
        <w:rPr>
          <w:rFonts w:ascii="Times New Roman" w:hAnsi="Times New Roman" w:cs="Times New Roman"/>
          <w:i/>
          <w:iCs/>
        </w:rPr>
        <w:t>Women and the family in Malaysia</w:t>
      </w:r>
      <w:r w:rsidRPr="00AC20C2">
        <w:rPr>
          <w:rFonts w:ascii="Times New Roman" w:hAnsi="Times New Roman" w:cs="Times New Roman"/>
        </w:rPr>
        <w:t>. Oxford University Press.</w:t>
      </w:r>
    </w:p>
    <w:p w14:paraId="75E64C23"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Milner, A. C. (1982). </w:t>
      </w:r>
      <w:r w:rsidRPr="00AC20C2">
        <w:rPr>
          <w:rFonts w:ascii="Times New Roman" w:hAnsi="Times New Roman" w:cs="Times New Roman"/>
          <w:i/>
          <w:iCs/>
        </w:rPr>
        <w:t>Kerajaan: Malay political culture on the eve of colonial rule</w:t>
      </w:r>
      <w:r w:rsidRPr="00AC20C2">
        <w:rPr>
          <w:rFonts w:ascii="Times New Roman" w:hAnsi="Times New Roman" w:cs="Times New Roman"/>
        </w:rPr>
        <w:t>. University of Arizona Press.</w:t>
      </w:r>
    </w:p>
    <w:p w14:paraId="27E88F35" w14:textId="77777777" w:rsidR="00332252" w:rsidRPr="00AC20C2" w:rsidRDefault="00332252" w:rsidP="003B73E3">
      <w:pPr>
        <w:spacing w:before="240" w:after="0" w:line="240" w:lineRule="auto"/>
        <w:jc w:val="both"/>
        <w:rPr>
          <w:rFonts w:ascii="Times New Roman" w:hAnsi="Times New Roman" w:cs="Times New Roman"/>
        </w:rPr>
      </w:pPr>
      <w:proofErr w:type="spellStart"/>
      <w:r w:rsidRPr="00AC20C2">
        <w:rPr>
          <w:rFonts w:ascii="Times New Roman" w:hAnsi="Times New Roman" w:cs="Times New Roman"/>
        </w:rPr>
        <w:t>Majalah</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Pengasuh</w:t>
      </w:r>
      <w:proofErr w:type="spellEnd"/>
      <w:r w:rsidRPr="00AC20C2">
        <w:rPr>
          <w:rFonts w:ascii="Times New Roman" w:hAnsi="Times New Roman" w:cs="Times New Roman"/>
        </w:rPr>
        <w:t xml:space="preserve">. (1919). </w:t>
      </w:r>
      <w:proofErr w:type="spellStart"/>
      <w:r w:rsidRPr="00AC20C2">
        <w:rPr>
          <w:rFonts w:ascii="Times New Roman" w:hAnsi="Times New Roman" w:cs="Times New Roman"/>
        </w:rPr>
        <w:t>Laporan</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pentadbiran</w:t>
      </w:r>
      <w:proofErr w:type="spellEnd"/>
      <w:r w:rsidRPr="00AC20C2">
        <w:rPr>
          <w:rFonts w:ascii="Times New Roman" w:hAnsi="Times New Roman" w:cs="Times New Roman"/>
        </w:rPr>
        <w:t xml:space="preserve"> Kelantan. Kota Bharu: MAIK Publications.</w:t>
      </w:r>
    </w:p>
    <w:p w14:paraId="1FCAA405" w14:textId="77777777" w:rsidR="00332252" w:rsidRPr="00AC20C2" w:rsidRDefault="00332252"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Mohamad </w:t>
      </w:r>
      <w:proofErr w:type="spellStart"/>
      <w:r w:rsidRPr="00AC20C2">
        <w:rPr>
          <w:rFonts w:ascii="Times New Roman" w:hAnsi="Times New Roman" w:cs="Times New Roman"/>
        </w:rPr>
        <w:t>Roslaily</w:t>
      </w:r>
      <w:proofErr w:type="spellEnd"/>
      <w:r w:rsidRPr="00AC20C2">
        <w:rPr>
          <w:rFonts w:ascii="Times New Roman" w:hAnsi="Times New Roman" w:cs="Times New Roman"/>
        </w:rPr>
        <w:t xml:space="preserve"> Rosdi, et al. (2022). </w:t>
      </w:r>
      <w:proofErr w:type="spellStart"/>
      <w:r w:rsidRPr="00AC20C2">
        <w:rPr>
          <w:rFonts w:ascii="Times New Roman" w:hAnsi="Times New Roman" w:cs="Times New Roman"/>
        </w:rPr>
        <w:t>Perjanjian</w:t>
      </w:r>
      <w:proofErr w:type="spellEnd"/>
      <w:r w:rsidRPr="00AC20C2">
        <w:rPr>
          <w:rFonts w:ascii="Times New Roman" w:hAnsi="Times New Roman" w:cs="Times New Roman"/>
        </w:rPr>
        <w:t xml:space="preserve"> Bangkok 1909 dan </w:t>
      </w:r>
      <w:proofErr w:type="spellStart"/>
      <w:r w:rsidRPr="00AC20C2">
        <w:rPr>
          <w:rFonts w:ascii="Times New Roman" w:hAnsi="Times New Roman" w:cs="Times New Roman"/>
        </w:rPr>
        <w:t>implikasi</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politik</w:t>
      </w:r>
      <w:proofErr w:type="spellEnd"/>
      <w:r w:rsidRPr="00AC20C2">
        <w:rPr>
          <w:rFonts w:ascii="Times New Roman" w:hAnsi="Times New Roman" w:cs="Times New Roman"/>
        </w:rPr>
        <w:t xml:space="preserve"> di Kelantan. </w:t>
      </w:r>
      <w:proofErr w:type="spellStart"/>
      <w:r w:rsidRPr="00AC20C2">
        <w:rPr>
          <w:rFonts w:ascii="Times New Roman" w:hAnsi="Times New Roman" w:cs="Times New Roman"/>
          <w:i/>
          <w:iCs/>
        </w:rPr>
        <w:t>Jurnal</w:t>
      </w:r>
      <w:proofErr w:type="spellEnd"/>
      <w:r w:rsidRPr="00AC20C2">
        <w:rPr>
          <w:rFonts w:ascii="Times New Roman" w:hAnsi="Times New Roman" w:cs="Times New Roman"/>
          <w:i/>
          <w:iCs/>
        </w:rPr>
        <w:t xml:space="preserve"> Sejarah dan </w:t>
      </w:r>
      <w:proofErr w:type="spellStart"/>
      <w:r w:rsidRPr="00AC20C2">
        <w:rPr>
          <w:rFonts w:ascii="Times New Roman" w:hAnsi="Times New Roman" w:cs="Times New Roman"/>
          <w:i/>
          <w:iCs/>
        </w:rPr>
        <w:t>Warisan</w:t>
      </w:r>
      <w:proofErr w:type="spellEnd"/>
      <w:r w:rsidRPr="00AC20C2">
        <w:rPr>
          <w:rFonts w:ascii="Times New Roman" w:hAnsi="Times New Roman" w:cs="Times New Roman"/>
          <w:i/>
          <w:iCs/>
        </w:rPr>
        <w:t xml:space="preserve"> Melayu</w:t>
      </w:r>
      <w:r w:rsidRPr="00AC20C2">
        <w:rPr>
          <w:rFonts w:ascii="Times New Roman" w:hAnsi="Times New Roman" w:cs="Times New Roman"/>
        </w:rPr>
        <w:t>, 9(2), 77–92.</w:t>
      </w:r>
    </w:p>
    <w:p w14:paraId="3C031D66" w14:textId="77777777" w:rsidR="00332252" w:rsidRPr="00AC20C2" w:rsidRDefault="00332252"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Mohd Ali Kamarudin. (2004). </w:t>
      </w:r>
      <w:proofErr w:type="spellStart"/>
      <w:r w:rsidRPr="00AC20C2">
        <w:rPr>
          <w:rFonts w:ascii="Times New Roman" w:hAnsi="Times New Roman" w:cs="Times New Roman"/>
        </w:rPr>
        <w:t>Konsep</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daulat</w:t>
      </w:r>
      <w:proofErr w:type="spellEnd"/>
      <w:r w:rsidRPr="00AC20C2">
        <w:rPr>
          <w:rFonts w:ascii="Times New Roman" w:hAnsi="Times New Roman" w:cs="Times New Roman"/>
        </w:rPr>
        <w:t xml:space="preserve"> dan </w:t>
      </w:r>
      <w:proofErr w:type="spellStart"/>
      <w:r w:rsidRPr="00AC20C2">
        <w:rPr>
          <w:rFonts w:ascii="Times New Roman" w:hAnsi="Times New Roman" w:cs="Times New Roman"/>
        </w:rPr>
        <w:t>derhaka</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dalam</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politik</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Melayu</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i/>
          <w:iCs/>
        </w:rPr>
        <w:t>Jurnal</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Tamadun</w:t>
      </w:r>
      <w:proofErr w:type="spellEnd"/>
      <w:r w:rsidRPr="00AC20C2">
        <w:rPr>
          <w:rFonts w:ascii="Times New Roman" w:hAnsi="Times New Roman" w:cs="Times New Roman"/>
          <w:i/>
          <w:iCs/>
        </w:rPr>
        <w:t xml:space="preserve"> </w:t>
      </w:r>
      <w:proofErr w:type="spellStart"/>
      <w:r w:rsidRPr="00AC20C2">
        <w:rPr>
          <w:rFonts w:ascii="Times New Roman" w:hAnsi="Times New Roman" w:cs="Times New Roman"/>
          <w:i/>
          <w:iCs/>
        </w:rPr>
        <w:t>Melayu</w:t>
      </w:r>
      <w:proofErr w:type="spellEnd"/>
      <w:r w:rsidRPr="00AC20C2">
        <w:rPr>
          <w:rFonts w:ascii="Times New Roman" w:hAnsi="Times New Roman" w:cs="Times New Roman"/>
        </w:rPr>
        <w:t>, 2(1), 15–28.</w:t>
      </w:r>
    </w:p>
    <w:p w14:paraId="7190EA95" w14:textId="0CAA6AF5" w:rsidR="00332252" w:rsidRPr="00AC20C2" w:rsidRDefault="00332252"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Muhammad Aidil Adha Zulkarnain. (2023). </w:t>
      </w:r>
      <w:proofErr w:type="spellStart"/>
      <w:r w:rsidRPr="00AC20C2">
        <w:rPr>
          <w:rFonts w:ascii="Times New Roman" w:hAnsi="Times New Roman" w:cs="Times New Roman"/>
        </w:rPr>
        <w:t>Feudalisme</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dalam</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masyarakat</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Melayu</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tradisional</w:t>
      </w:r>
      <w:proofErr w:type="spellEnd"/>
      <w:r w:rsidRPr="00AC20C2">
        <w:rPr>
          <w:rFonts w:ascii="Times New Roman" w:hAnsi="Times New Roman" w:cs="Times New Roman"/>
        </w:rPr>
        <w:t xml:space="preserve">. </w:t>
      </w:r>
      <w:r w:rsidRPr="00AC20C2">
        <w:rPr>
          <w:rFonts w:ascii="Times New Roman" w:hAnsi="Times New Roman" w:cs="Times New Roman"/>
          <w:i/>
          <w:iCs/>
        </w:rPr>
        <w:t>Journal of Southeast Asian Social Studies</w:t>
      </w:r>
      <w:r w:rsidRPr="00AC20C2">
        <w:rPr>
          <w:rFonts w:ascii="Times New Roman" w:hAnsi="Times New Roman" w:cs="Times New Roman"/>
        </w:rPr>
        <w:t>, 5(1), 101–118.</w:t>
      </w:r>
    </w:p>
    <w:p w14:paraId="008A1432" w14:textId="77777777" w:rsidR="00F54900" w:rsidRPr="00AC20C2" w:rsidRDefault="00F5490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Mohamed bin Nik Mohd Salleh. (1974). </w:t>
      </w:r>
      <w:r w:rsidRPr="00AC20C2">
        <w:rPr>
          <w:rFonts w:ascii="Times New Roman" w:hAnsi="Times New Roman" w:cs="Times New Roman"/>
          <w:i/>
          <w:iCs/>
        </w:rPr>
        <w:t>British-Siamese relations and railway development in Southeast Asia</w:t>
      </w:r>
      <w:r w:rsidRPr="00AC20C2">
        <w:rPr>
          <w:rFonts w:ascii="Times New Roman" w:hAnsi="Times New Roman" w:cs="Times New Roman"/>
        </w:rPr>
        <w:t>. Kuala Lumpur: University of Malaya Press.</w:t>
      </w:r>
    </w:p>
    <w:p w14:paraId="3F8F7ED4" w14:textId="5B5A6C5B" w:rsidR="00F54900" w:rsidRPr="00AC20C2" w:rsidRDefault="00F54900" w:rsidP="003B73E3">
      <w:pPr>
        <w:spacing w:before="240" w:after="0" w:line="240" w:lineRule="auto"/>
        <w:jc w:val="both"/>
        <w:rPr>
          <w:rFonts w:ascii="Times New Roman" w:hAnsi="Times New Roman" w:cs="Times New Roman"/>
        </w:rPr>
      </w:pPr>
      <w:r w:rsidRPr="00AC20C2">
        <w:rPr>
          <w:rFonts w:ascii="Times New Roman" w:hAnsi="Times New Roman" w:cs="Times New Roman"/>
        </w:rPr>
        <w:lastRenderedPageBreak/>
        <w:t xml:space="preserve">Mohd Ehsan Zakaria. (2016). </w:t>
      </w:r>
      <w:proofErr w:type="spellStart"/>
      <w:r w:rsidRPr="00AC20C2">
        <w:rPr>
          <w:rFonts w:ascii="Times New Roman" w:hAnsi="Times New Roman" w:cs="Times New Roman"/>
        </w:rPr>
        <w:t>Perjanjian</w:t>
      </w:r>
      <w:proofErr w:type="spellEnd"/>
      <w:r w:rsidRPr="00AC20C2">
        <w:rPr>
          <w:rFonts w:ascii="Times New Roman" w:hAnsi="Times New Roman" w:cs="Times New Roman"/>
        </w:rPr>
        <w:t xml:space="preserve"> Bangkok 1909 dan </w:t>
      </w:r>
      <w:proofErr w:type="spellStart"/>
      <w:r w:rsidRPr="00AC20C2">
        <w:rPr>
          <w:rFonts w:ascii="Times New Roman" w:hAnsi="Times New Roman" w:cs="Times New Roman"/>
        </w:rPr>
        <w:t>implikasi</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politik</w:t>
      </w:r>
      <w:proofErr w:type="spellEnd"/>
      <w:r w:rsidRPr="00AC20C2">
        <w:rPr>
          <w:rFonts w:ascii="Times New Roman" w:hAnsi="Times New Roman" w:cs="Times New Roman"/>
        </w:rPr>
        <w:t xml:space="preserve"> di negeri-negeri </w:t>
      </w:r>
      <w:proofErr w:type="spellStart"/>
      <w:r w:rsidRPr="00AC20C2">
        <w:rPr>
          <w:rFonts w:ascii="Times New Roman" w:hAnsi="Times New Roman" w:cs="Times New Roman"/>
        </w:rPr>
        <w:t>Melayu</w:t>
      </w:r>
      <w:proofErr w:type="spellEnd"/>
      <w:r w:rsidRPr="00AC20C2">
        <w:rPr>
          <w:rFonts w:ascii="Times New Roman" w:hAnsi="Times New Roman" w:cs="Times New Roman"/>
        </w:rPr>
        <w:t xml:space="preserve"> Utara. </w:t>
      </w:r>
      <w:proofErr w:type="spellStart"/>
      <w:r w:rsidRPr="00AC20C2">
        <w:rPr>
          <w:rFonts w:ascii="Times New Roman" w:hAnsi="Times New Roman" w:cs="Times New Roman"/>
          <w:i/>
          <w:iCs/>
        </w:rPr>
        <w:t>Jurnal</w:t>
      </w:r>
      <w:proofErr w:type="spellEnd"/>
      <w:r w:rsidRPr="00AC20C2">
        <w:rPr>
          <w:rFonts w:ascii="Times New Roman" w:hAnsi="Times New Roman" w:cs="Times New Roman"/>
          <w:i/>
          <w:iCs/>
        </w:rPr>
        <w:t xml:space="preserve"> Sejarah Malaysia</w:t>
      </w:r>
      <w:r w:rsidRPr="00AC20C2">
        <w:rPr>
          <w:rFonts w:ascii="Times New Roman" w:hAnsi="Times New Roman" w:cs="Times New Roman"/>
        </w:rPr>
        <w:t>, 44(2), 1–25.</w:t>
      </w:r>
    </w:p>
    <w:p w14:paraId="1F03C903" w14:textId="1F634D0C"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Mohd Roslan Mohd Nor. (2011). The development of Islamic administration in Kelantan. </w:t>
      </w:r>
      <w:r w:rsidRPr="00AC20C2">
        <w:rPr>
          <w:rFonts w:ascii="Times New Roman" w:hAnsi="Times New Roman" w:cs="Times New Roman"/>
          <w:i/>
          <w:iCs/>
        </w:rPr>
        <w:t>Journal of Islamic Studies, 22</w:t>
      </w:r>
      <w:r w:rsidRPr="00AC20C2">
        <w:rPr>
          <w:rFonts w:ascii="Times New Roman" w:hAnsi="Times New Roman" w:cs="Times New Roman"/>
        </w:rPr>
        <w:t>(3), 325–345.</w:t>
      </w:r>
    </w:p>
    <w:p w14:paraId="6F4339F3" w14:textId="77777777"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Nik Hassan Shuhaimi Nik Abdul Rahman. (1987). </w:t>
      </w:r>
      <w:r w:rsidRPr="00AC20C2">
        <w:rPr>
          <w:rFonts w:ascii="Times New Roman" w:hAnsi="Times New Roman" w:cs="Times New Roman"/>
          <w:i/>
          <w:iCs/>
        </w:rPr>
        <w:t xml:space="preserve">Kelantan zaman </w:t>
      </w:r>
      <w:proofErr w:type="spellStart"/>
      <w:r w:rsidRPr="00AC20C2">
        <w:rPr>
          <w:rFonts w:ascii="Times New Roman" w:hAnsi="Times New Roman" w:cs="Times New Roman"/>
          <w:i/>
          <w:iCs/>
        </w:rPr>
        <w:t>awal</w:t>
      </w:r>
      <w:proofErr w:type="spellEnd"/>
      <w:r w:rsidRPr="00AC20C2">
        <w:rPr>
          <w:rFonts w:ascii="Times New Roman" w:hAnsi="Times New Roman" w:cs="Times New Roman"/>
          <w:i/>
          <w:iCs/>
        </w:rPr>
        <w:t xml:space="preserve">: Kajian </w:t>
      </w:r>
      <w:proofErr w:type="spellStart"/>
      <w:r w:rsidRPr="00AC20C2">
        <w:rPr>
          <w:rFonts w:ascii="Times New Roman" w:hAnsi="Times New Roman" w:cs="Times New Roman"/>
          <w:i/>
          <w:iCs/>
        </w:rPr>
        <w:t>arkeologi</w:t>
      </w:r>
      <w:proofErr w:type="spellEnd"/>
      <w:r w:rsidRPr="00AC20C2">
        <w:rPr>
          <w:rFonts w:ascii="Times New Roman" w:hAnsi="Times New Roman" w:cs="Times New Roman"/>
          <w:i/>
          <w:iCs/>
        </w:rPr>
        <w:t xml:space="preserve"> dan </w:t>
      </w:r>
      <w:proofErr w:type="spellStart"/>
      <w:r w:rsidRPr="00AC20C2">
        <w:rPr>
          <w:rFonts w:ascii="Times New Roman" w:hAnsi="Times New Roman" w:cs="Times New Roman"/>
          <w:i/>
          <w:iCs/>
        </w:rPr>
        <w:t>sejarah</w:t>
      </w:r>
      <w:proofErr w:type="spellEnd"/>
      <w:r w:rsidRPr="00AC20C2">
        <w:rPr>
          <w:rFonts w:ascii="Times New Roman" w:hAnsi="Times New Roman" w:cs="Times New Roman"/>
          <w:i/>
          <w:iCs/>
        </w:rPr>
        <w:t xml:space="preserve"> di Malaysia</w:t>
      </w:r>
      <w:r w:rsidRPr="00AC20C2">
        <w:rPr>
          <w:rFonts w:ascii="Times New Roman" w:hAnsi="Times New Roman" w:cs="Times New Roman"/>
        </w:rPr>
        <w:t xml:space="preserve">. </w:t>
      </w:r>
      <w:proofErr w:type="spellStart"/>
      <w:r w:rsidRPr="00AC20C2">
        <w:rPr>
          <w:rFonts w:ascii="Times New Roman" w:hAnsi="Times New Roman" w:cs="Times New Roman"/>
        </w:rPr>
        <w:t>Muzium</w:t>
      </w:r>
      <w:proofErr w:type="spellEnd"/>
      <w:r w:rsidRPr="00AC20C2">
        <w:rPr>
          <w:rFonts w:ascii="Times New Roman" w:hAnsi="Times New Roman" w:cs="Times New Roman"/>
        </w:rPr>
        <w:t xml:space="preserve"> Negara.</w:t>
      </w:r>
    </w:p>
    <w:p w14:paraId="19FC7F1B" w14:textId="4C441CA6" w:rsidR="00C230F4" w:rsidRPr="00AC20C2" w:rsidRDefault="00C230F4"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Nik Haslinda Nik Hussain. (2011). </w:t>
      </w:r>
      <w:proofErr w:type="spellStart"/>
      <w:r w:rsidRPr="00AC20C2">
        <w:rPr>
          <w:rFonts w:ascii="Times New Roman" w:hAnsi="Times New Roman" w:cs="Times New Roman"/>
        </w:rPr>
        <w:t>Sistem</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pentadbiran</w:t>
      </w:r>
      <w:proofErr w:type="spellEnd"/>
      <w:r w:rsidRPr="00AC20C2">
        <w:rPr>
          <w:rFonts w:ascii="Times New Roman" w:hAnsi="Times New Roman" w:cs="Times New Roman"/>
        </w:rPr>
        <w:t xml:space="preserve"> </w:t>
      </w:r>
      <w:proofErr w:type="spellStart"/>
      <w:r w:rsidRPr="00AC20C2">
        <w:rPr>
          <w:rFonts w:ascii="Times New Roman" w:hAnsi="Times New Roman" w:cs="Times New Roman"/>
        </w:rPr>
        <w:t>kolonial</w:t>
      </w:r>
      <w:proofErr w:type="spellEnd"/>
      <w:r w:rsidRPr="00AC20C2">
        <w:rPr>
          <w:rFonts w:ascii="Times New Roman" w:hAnsi="Times New Roman" w:cs="Times New Roman"/>
        </w:rPr>
        <w:t xml:space="preserve"> di Kelantan. </w:t>
      </w:r>
      <w:r w:rsidRPr="00AC20C2">
        <w:rPr>
          <w:rFonts w:ascii="Times New Roman" w:hAnsi="Times New Roman" w:cs="Times New Roman"/>
          <w:i/>
          <w:iCs/>
        </w:rPr>
        <w:t>Journal of Malaysian History</w:t>
      </w:r>
      <w:r w:rsidRPr="00AC20C2">
        <w:rPr>
          <w:rFonts w:ascii="Times New Roman" w:hAnsi="Times New Roman" w:cs="Times New Roman"/>
        </w:rPr>
        <w:t>, 33(2), 55–74.</w:t>
      </w:r>
    </w:p>
    <w:p w14:paraId="01131285" w14:textId="4FEEDF61" w:rsidR="00023080"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Roff, W. R. (1974). </w:t>
      </w:r>
      <w:r w:rsidRPr="00AC20C2">
        <w:rPr>
          <w:rFonts w:ascii="Times New Roman" w:hAnsi="Times New Roman" w:cs="Times New Roman"/>
          <w:i/>
          <w:iCs/>
        </w:rPr>
        <w:t>Kelantan: Religion, society and politics in a Malay state</w:t>
      </w:r>
      <w:r w:rsidRPr="00AC20C2">
        <w:rPr>
          <w:rFonts w:ascii="Times New Roman" w:hAnsi="Times New Roman" w:cs="Times New Roman"/>
        </w:rPr>
        <w:t>. Oxford University Press.</w:t>
      </w:r>
    </w:p>
    <w:p w14:paraId="77ED2426" w14:textId="308D21DA" w:rsidR="00C230F4" w:rsidRPr="00AC20C2" w:rsidRDefault="00023080" w:rsidP="003B73E3">
      <w:pPr>
        <w:spacing w:before="240" w:after="0" w:line="240" w:lineRule="auto"/>
        <w:jc w:val="both"/>
        <w:rPr>
          <w:rFonts w:ascii="Times New Roman" w:hAnsi="Times New Roman" w:cs="Times New Roman"/>
        </w:rPr>
      </w:pPr>
      <w:r w:rsidRPr="00AC20C2">
        <w:rPr>
          <w:rFonts w:ascii="Times New Roman" w:hAnsi="Times New Roman" w:cs="Times New Roman"/>
        </w:rPr>
        <w:t xml:space="preserve">Seow, H. L. (2021). Maritime trade and entrepôt development in Southeast Asia: Historical perspectives on regional commerce. </w:t>
      </w:r>
      <w:r w:rsidRPr="00AC20C2">
        <w:rPr>
          <w:rFonts w:ascii="Times New Roman" w:hAnsi="Times New Roman" w:cs="Times New Roman"/>
          <w:i/>
          <w:iCs/>
        </w:rPr>
        <w:t>Journal of Maritime Studies, 18</w:t>
      </w:r>
      <w:r w:rsidRPr="00AC20C2">
        <w:rPr>
          <w:rFonts w:ascii="Times New Roman" w:hAnsi="Times New Roman" w:cs="Times New Roman"/>
        </w:rPr>
        <w:t>(1), 55–73.</w:t>
      </w:r>
    </w:p>
    <w:p w14:paraId="4CB07303" w14:textId="27C0474E" w:rsidR="00C230F4" w:rsidRPr="00AC20C2" w:rsidRDefault="00C230F4" w:rsidP="003B73E3">
      <w:pPr>
        <w:spacing w:before="240" w:after="0" w:line="240" w:lineRule="auto"/>
        <w:jc w:val="both"/>
        <w:rPr>
          <w:rFonts w:ascii="Times New Roman" w:hAnsi="Times New Roman" w:cs="Times New Roman"/>
        </w:rPr>
      </w:pPr>
      <w:proofErr w:type="spellStart"/>
      <w:r w:rsidRPr="00AC20C2">
        <w:rPr>
          <w:rFonts w:ascii="Times New Roman" w:hAnsi="Times New Roman" w:cs="Times New Roman"/>
        </w:rPr>
        <w:t>Shahril</w:t>
      </w:r>
      <w:proofErr w:type="spellEnd"/>
      <w:r w:rsidRPr="00AC20C2">
        <w:rPr>
          <w:rFonts w:ascii="Times New Roman" w:hAnsi="Times New Roman" w:cs="Times New Roman"/>
        </w:rPr>
        <w:t xml:space="preserve"> Talib. (1995). </w:t>
      </w:r>
      <w:r w:rsidRPr="00AC20C2">
        <w:rPr>
          <w:rFonts w:ascii="Times New Roman" w:hAnsi="Times New Roman" w:cs="Times New Roman"/>
          <w:i/>
          <w:iCs/>
        </w:rPr>
        <w:t>British colonial correspondence in Malaya</w:t>
      </w:r>
      <w:r w:rsidRPr="00AC20C2">
        <w:rPr>
          <w:rFonts w:ascii="Times New Roman" w:hAnsi="Times New Roman" w:cs="Times New Roman"/>
        </w:rPr>
        <w:t>. Kuala Lumpur: National Archives of Malaysia.</w:t>
      </w:r>
    </w:p>
    <w:sectPr w:rsidR="00C230F4" w:rsidRPr="00AC20C2" w:rsidSect="00440D61">
      <w:pgSz w:w="11906" w:h="16838" w:code="9"/>
      <w:pgMar w:top="1077" w:right="601" w:bottom="601" w:left="601" w:header="345"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0D2"/>
    <w:multiLevelType w:val="hybridMultilevel"/>
    <w:tmpl w:val="E80E242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E303CB2"/>
    <w:multiLevelType w:val="multilevel"/>
    <w:tmpl w:val="4EEC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E6378"/>
    <w:multiLevelType w:val="multilevel"/>
    <w:tmpl w:val="2F7278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52F20"/>
    <w:multiLevelType w:val="multilevel"/>
    <w:tmpl w:val="1BCE309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791109"/>
    <w:multiLevelType w:val="multilevel"/>
    <w:tmpl w:val="5254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17370B"/>
    <w:multiLevelType w:val="multilevel"/>
    <w:tmpl w:val="687244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5211D"/>
    <w:multiLevelType w:val="multilevel"/>
    <w:tmpl w:val="277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E4F4F"/>
    <w:multiLevelType w:val="multilevel"/>
    <w:tmpl w:val="8AC88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CB217A"/>
    <w:multiLevelType w:val="multilevel"/>
    <w:tmpl w:val="DCAC308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899523">
    <w:abstractNumId w:val="2"/>
  </w:num>
  <w:num w:numId="2" w16cid:durableId="467359790">
    <w:abstractNumId w:val="6"/>
  </w:num>
  <w:num w:numId="3" w16cid:durableId="851994363">
    <w:abstractNumId w:val="4"/>
  </w:num>
  <w:num w:numId="4" w16cid:durableId="613093643">
    <w:abstractNumId w:val="7"/>
  </w:num>
  <w:num w:numId="5" w16cid:durableId="2060131048">
    <w:abstractNumId w:val="8"/>
  </w:num>
  <w:num w:numId="6" w16cid:durableId="444233806">
    <w:abstractNumId w:val="3"/>
  </w:num>
  <w:num w:numId="7" w16cid:durableId="1417245247">
    <w:abstractNumId w:val="5"/>
  </w:num>
  <w:num w:numId="8" w16cid:durableId="1947149129">
    <w:abstractNumId w:val="1"/>
  </w:num>
  <w:num w:numId="9" w16cid:durableId="136258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80"/>
    <w:rsid w:val="00023080"/>
    <w:rsid w:val="0004545A"/>
    <w:rsid w:val="00045607"/>
    <w:rsid w:val="000770C9"/>
    <w:rsid w:val="000865C1"/>
    <w:rsid w:val="00086D19"/>
    <w:rsid w:val="000F20A6"/>
    <w:rsid w:val="00113586"/>
    <w:rsid w:val="00114AE3"/>
    <w:rsid w:val="001F3C6B"/>
    <w:rsid w:val="00260F94"/>
    <w:rsid w:val="00277A3B"/>
    <w:rsid w:val="0028554D"/>
    <w:rsid w:val="002C71DE"/>
    <w:rsid w:val="00312F5E"/>
    <w:rsid w:val="00332252"/>
    <w:rsid w:val="00340D22"/>
    <w:rsid w:val="00375C8E"/>
    <w:rsid w:val="00390A0E"/>
    <w:rsid w:val="003B73E3"/>
    <w:rsid w:val="003F0CF1"/>
    <w:rsid w:val="004352DB"/>
    <w:rsid w:val="00440D61"/>
    <w:rsid w:val="004620BD"/>
    <w:rsid w:val="004C548F"/>
    <w:rsid w:val="005337BE"/>
    <w:rsid w:val="00542920"/>
    <w:rsid w:val="005633E5"/>
    <w:rsid w:val="005818C6"/>
    <w:rsid w:val="00583B1A"/>
    <w:rsid w:val="005A041F"/>
    <w:rsid w:val="005B3A6B"/>
    <w:rsid w:val="00600F3B"/>
    <w:rsid w:val="00697267"/>
    <w:rsid w:val="006B2CF0"/>
    <w:rsid w:val="00714CB5"/>
    <w:rsid w:val="00716A2E"/>
    <w:rsid w:val="00754A0F"/>
    <w:rsid w:val="0079535B"/>
    <w:rsid w:val="00796CC3"/>
    <w:rsid w:val="00810B68"/>
    <w:rsid w:val="008132F7"/>
    <w:rsid w:val="00820CAD"/>
    <w:rsid w:val="0084658D"/>
    <w:rsid w:val="00894C00"/>
    <w:rsid w:val="008E0D83"/>
    <w:rsid w:val="009B2FBE"/>
    <w:rsid w:val="009E28DF"/>
    <w:rsid w:val="00A8392A"/>
    <w:rsid w:val="00AC20C2"/>
    <w:rsid w:val="00AC3A09"/>
    <w:rsid w:val="00AD1CE1"/>
    <w:rsid w:val="00AD4C59"/>
    <w:rsid w:val="00B236D6"/>
    <w:rsid w:val="00B3795F"/>
    <w:rsid w:val="00BB50E8"/>
    <w:rsid w:val="00BD001B"/>
    <w:rsid w:val="00BF09E1"/>
    <w:rsid w:val="00C230F4"/>
    <w:rsid w:val="00C649C3"/>
    <w:rsid w:val="00C9530A"/>
    <w:rsid w:val="00CE7EFD"/>
    <w:rsid w:val="00D334CF"/>
    <w:rsid w:val="00D359A4"/>
    <w:rsid w:val="00DC14C3"/>
    <w:rsid w:val="00E67E56"/>
    <w:rsid w:val="00F54900"/>
    <w:rsid w:val="00F961A8"/>
    <w:rsid w:val="00FE09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B2D8"/>
  <w15:chartTrackingRefBased/>
  <w15:docId w15:val="{1E220D1C-F20A-4AFE-8CA2-BF620970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080"/>
    <w:rPr>
      <w:rFonts w:eastAsiaTheme="majorEastAsia" w:cstheme="majorBidi"/>
      <w:color w:val="272727" w:themeColor="text1" w:themeTint="D8"/>
    </w:rPr>
  </w:style>
  <w:style w:type="paragraph" w:styleId="Title">
    <w:name w:val="Title"/>
    <w:basedOn w:val="Normal"/>
    <w:next w:val="Normal"/>
    <w:link w:val="TitleChar"/>
    <w:uiPriority w:val="10"/>
    <w:qFormat/>
    <w:rsid w:val="00023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080"/>
    <w:pPr>
      <w:spacing w:before="160"/>
      <w:jc w:val="center"/>
    </w:pPr>
    <w:rPr>
      <w:i/>
      <w:iCs/>
      <w:color w:val="404040" w:themeColor="text1" w:themeTint="BF"/>
    </w:rPr>
  </w:style>
  <w:style w:type="character" w:customStyle="1" w:styleId="QuoteChar">
    <w:name w:val="Quote Char"/>
    <w:basedOn w:val="DefaultParagraphFont"/>
    <w:link w:val="Quote"/>
    <w:uiPriority w:val="29"/>
    <w:rsid w:val="00023080"/>
    <w:rPr>
      <w:i/>
      <w:iCs/>
      <w:color w:val="404040" w:themeColor="text1" w:themeTint="BF"/>
    </w:rPr>
  </w:style>
  <w:style w:type="paragraph" w:styleId="ListParagraph">
    <w:name w:val="List Paragraph"/>
    <w:basedOn w:val="Normal"/>
    <w:uiPriority w:val="34"/>
    <w:qFormat/>
    <w:rsid w:val="00023080"/>
    <w:pPr>
      <w:ind w:left="720"/>
      <w:contextualSpacing/>
    </w:pPr>
  </w:style>
  <w:style w:type="character" w:styleId="IntenseEmphasis">
    <w:name w:val="Intense Emphasis"/>
    <w:basedOn w:val="DefaultParagraphFont"/>
    <w:uiPriority w:val="21"/>
    <w:qFormat/>
    <w:rsid w:val="00023080"/>
    <w:rPr>
      <w:i/>
      <w:iCs/>
      <w:color w:val="0F4761" w:themeColor="accent1" w:themeShade="BF"/>
    </w:rPr>
  </w:style>
  <w:style w:type="paragraph" w:styleId="IntenseQuote">
    <w:name w:val="Intense Quote"/>
    <w:basedOn w:val="Normal"/>
    <w:next w:val="Normal"/>
    <w:link w:val="IntenseQuoteChar"/>
    <w:uiPriority w:val="30"/>
    <w:qFormat/>
    <w:rsid w:val="00023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080"/>
    <w:rPr>
      <w:i/>
      <w:iCs/>
      <w:color w:val="0F4761" w:themeColor="accent1" w:themeShade="BF"/>
    </w:rPr>
  </w:style>
  <w:style w:type="character" w:styleId="IntenseReference">
    <w:name w:val="Intense Reference"/>
    <w:basedOn w:val="DefaultParagraphFont"/>
    <w:uiPriority w:val="32"/>
    <w:qFormat/>
    <w:rsid w:val="000230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193E-6ECD-4D95-A433-38E7317C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14</Pages>
  <Words>8472</Words>
  <Characters>48297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iskandar hasan</dc:creator>
  <cp:keywords/>
  <dc:description/>
  <cp:lastModifiedBy>iskandar hasan</cp:lastModifiedBy>
  <cp:revision>67</cp:revision>
  <dcterms:created xsi:type="dcterms:W3CDTF">2026-06-15T05:51:00Z</dcterms:created>
  <dcterms:modified xsi:type="dcterms:W3CDTF">2026-06-16T01:41:00Z</dcterms:modified>
</cp:coreProperties>
</file>