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95F8" w14:textId="10995838" w:rsidR="008C0757" w:rsidRPr="00E849F8" w:rsidRDefault="008C0757" w:rsidP="008C0757">
      <w:pPr>
        <w:pStyle w:val="Heading1"/>
        <w:rPr>
          <w:rFonts w:ascii="Times New Roman" w:hAnsi="Times New Roman" w:cs="Times New Roman"/>
          <w:b/>
          <w:bCs/>
          <w:color w:val="000000" w:themeColor="text1"/>
          <w:sz w:val="22"/>
          <w:szCs w:val="22"/>
          <w:lang w:val="en-US"/>
        </w:rPr>
      </w:pPr>
      <w:r w:rsidRPr="00E849F8">
        <w:rPr>
          <w:rFonts w:ascii="Times New Roman" w:hAnsi="Times New Roman" w:cs="Times New Roman"/>
          <w:b/>
          <w:bCs/>
          <w:color w:val="000000" w:themeColor="text1"/>
          <w:sz w:val="22"/>
          <w:szCs w:val="22"/>
        </w:rPr>
        <w:t>Effects of School-Based Psychosocial and Health Support Interventions on Educational Outcomes Among Children from Disrupted Family Backgrounds</w:t>
      </w:r>
      <w:r w:rsidRPr="00E849F8">
        <w:rPr>
          <w:rFonts w:ascii="Times New Roman" w:hAnsi="Times New Roman" w:cs="Times New Roman"/>
          <w:b/>
          <w:bCs/>
          <w:color w:val="000000" w:themeColor="text1"/>
          <w:sz w:val="22"/>
          <w:szCs w:val="22"/>
          <w:lang w:val="en-US"/>
        </w:rPr>
        <w:t xml:space="preserve">: </w:t>
      </w:r>
      <w:r w:rsidRPr="00E849F8">
        <w:rPr>
          <w:rFonts w:ascii="Times New Roman" w:hAnsi="Times New Roman" w:cs="Times New Roman"/>
          <w:b/>
          <w:bCs/>
          <w:color w:val="000000" w:themeColor="text1"/>
          <w:sz w:val="22"/>
          <w:szCs w:val="22"/>
        </w:rPr>
        <w:t>A Mixed-Methods Study in Sri Lanka</w:t>
      </w:r>
    </w:p>
    <w:p w14:paraId="2FC1B2D4" w14:textId="52FA150C" w:rsidR="008C0757" w:rsidRPr="009714EA" w:rsidRDefault="008C0757" w:rsidP="008C0757">
      <w:pPr>
        <w:pStyle w:val="isselectedend"/>
        <w:rPr>
          <w:rStyle w:val="Strong"/>
          <w:b w:val="0"/>
          <w:bCs w:val="0"/>
          <w:color w:val="000000" w:themeColor="text1"/>
          <w:sz w:val="22"/>
          <w:szCs w:val="22"/>
          <w:vertAlign w:val="superscript"/>
          <w:lang w:val="en-US"/>
        </w:rPr>
      </w:pPr>
      <w:proofErr w:type="spellStart"/>
      <w:r w:rsidRPr="009714EA">
        <w:rPr>
          <w:rStyle w:val="Strong"/>
          <w:b w:val="0"/>
          <w:bCs w:val="0"/>
          <w:color w:val="000000" w:themeColor="text1"/>
          <w:sz w:val="22"/>
          <w:szCs w:val="22"/>
          <w:lang w:val="en-US"/>
        </w:rPr>
        <w:t/>
      </w:r>
      <w:proofErr w:type="spellEnd"/>
      <w:r w:rsidRPr="009714EA">
        <w:rPr>
          <w:rStyle w:val="Strong"/>
          <w:b w:val="0"/>
          <w:bCs w:val="0"/>
          <w:color w:val="000000" w:themeColor="text1"/>
          <w:sz w:val="22"/>
          <w:szCs w:val="22"/>
          <w:lang w:val="en-US"/>
        </w:rPr>
        <w:t/>
      </w:r>
      <w:r w:rsidRPr="009714EA">
        <w:rPr>
          <w:rStyle w:val="Strong"/>
          <w:b w:val="0"/>
          <w:bCs w:val="0"/>
          <w:color w:val="000000" w:themeColor="text1"/>
          <w:sz w:val="22"/>
          <w:szCs w:val="22"/>
          <w:vertAlign w:val="superscript"/>
          <w:lang w:val="en-US"/>
        </w:rPr>
        <w:t/>
      </w:r>
      <w:r w:rsidRPr="009714EA">
        <w:rPr>
          <w:rStyle w:val="Strong"/>
          <w:b w:val="0"/>
          <w:bCs w:val="0"/>
          <w:color w:val="000000" w:themeColor="text1"/>
          <w:sz w:val="22"/>
          <w:szCs w:val="22"/>
          <w:lang w:val="en-US"/>
        </w:rPr>
        <w:t xml:space="preserve"/>
      </w:r>
      <w:proofErr w:type="spellStart"/>
      <w:r w:rsidRPr="009714EA">
        <w:rPr>
          <w:rStyle w:val="Strong"/>
          <w:b w:val="0"/>
          <w:bCs w:val="0"/>
          <w:color w:val="000000" w:themeColor="text1"/>
          <w:sz w:val="22"/>
          <w:szCs w:val="22"/>
          <w:lang w:val="en-US"/>
        </w:rPr>
        <w:t/>
      </w:r>
      <w:proofErr w:type="spellEnd"/>
      <w:r w:rsidRPr="009714EA">
        <w:rPr>
          <w:rStyle w:val="Strong"/>
          <w:b w:val="0"/>
          <w:bCs w:val="0"/>
          <w:color w:val="000000" w:themeColor="text1"/>
          <w:sz w:val="22"/>
          <w:szCs w:val="22"/>
          <w:lang w:val="en-US"/>
        </w:rPr>
        <w:t xml:space="preserve"/>
      </w:r>
      <w:r w:rsidRPr="009714EA">
        <w:rPr>
          <w:rStyle w:val="Strong"/>
          <w:b w:val="0"/>
          <w:bCs w:val="0"/>
          <w:color w:val="000000" w:themeColor="text1"/>
          <w:sz w:val="22"/>
          <w:szCs w:val="22"/>
          <w:vertAlign w:val="superscript"/>
          <w:lang w:val="en-US"/>
        </w:rPr>
        <w:t/>
      </w:r>
      <w:r w:rsidRPr="009714EA">
        <w:rPr>
          <w:rStyle w:val="Strong"/>
          <w:b w:val="0"/>
          <w:bCs w:val="0"/>
          <w:color w:val="000000" w:themeColor="text1"/>
          <w:sz w:val="22"/>
          <w:szCs w:val="22"/>
          <w:lang w:val="en-US"/>
        </w:rPr>
        <w:t/>
      </w:r>
      <w:r w:rsidRPr="009714EA">
        <w:rPr>
          <w:rStyle w:val="Strong"/>
          <w:b w:val="0"/>
          <w:bCs w:val="0"/>
          <w:color w:val="000000" w:themeColor="text1"/>
          <w:sz w:val="22"/>
          <w:szCs w:val="22"/>
          <w:vertAlign w:val="superscript"/>
          <w:lang w:val="en-US"/>
        </w:rPr>
        <w:t/>
      </w:r>
    </w:p>
    <w:p w14:paraId="26BF3B85" w14:textId="6FD30AA9" w:rsidR="008C0757" w:rsidRPr="00E849F8" w:rsidRDefault="008C0757" w:rsidP="008C0757">
      <w:pPr>
        <w:pStyle w:val="isselectedend"/>
        <w:rPr>
          <w:rStyle w:val="Strong"/>
          <w:b w:val="0"/>
          <w:bCs w:val="0"/>
          <w:color w:val="000000" w:themeColor="text1"/>
          <w:sz w:val="16"/>
          <w:szCs w:val="16"/>
          <w:lang w:val="en-US"/>
        </w:rPr>
      </w:pPr>
      <w:r w:rsidRPr="00E849F8">
        <w:rPr>
          <w:color w:val="000000" w:themeColor="text1"/>
          <w:sz w:val="16"/>
          <w:szCs w:val="16"/>
        </w:rPr>
        <w:t/>
      </w:r>
      <w:r w:rsidRPr="00E849F8">
        <w:rPr>
          <w:color w:val="000000" w:themeColor="text1"/>
          <w:sz w:val="16"/>
          <w:szCs w:val="16"/>
        </w:rPr>
        <w:br/>
        <w:t/>
      </w:r>
      <w:r w:rsidRPr="00E849F8">
        <w:rPr>
          <w:color w:val="000000" w:themeColor="text1"/>
          <w:sz w:val="16"/>
          <w:szCs w:val="16"/>
        </w:rPr>
        <w:br/>
        <w:t/>
      </w:r>
      <w:r w:rsidRPr="00E849F8">
        <w:rPr>
          <w:rStyle w:val="Strong"/>
          <w:color w:val="000000" w:themeColor="text1"/>
          <w:sz w:val="16"/>
          <w:szCs w:val="16"/>
          <w:lang w:val="en-US"/>
        </w:rPr>
        <w:t/>
      </w:r>
    </w:p>
    <w:p w14:paraId="39D3BCFE" w14:textId="77777777" w:rsidR="00820164" w:rsidRPr="00E849F8" w:rsidRDefault="008C0757" w:rsidP="008C0757">
      <w:pPr>
        <w:pStyle w:val="NormalWeb"/>
        <w:rPr>
          <w:color w:val="000000" w:themeColor="text1"/>
          <w:sz w:val="22"/>
          <w:szCs w:val="22"/>
        </w:rPr>
      </w:pPr>
      <w:r w:rsidRPr="00E849F8">
        <w:rPr>
          <w:rStyle w:val="Strong"/>
          <w:color w:val="000000" w:themeColor="text1"/>
          <w:sz w:val="22"/>
          <w:szCs w:val="22"/>
        </w:rPr>
        <w:t>Abstract</w:t>
      </w:r>
    </w:p>
    <w:p w14:paraId="6AEC10FB" w14:textId="39C0F069" w:rsidR="008C0757" w:rsidRPr="00E849F8" w:rsidRDefault="008C0757" w:rsidP="008C0757">
      <w:pPr>
        <w:pStyle w:val="NormalWeb"/>
        <w:rPr>
          <w:color w:val="000000" w:themeColor="text1"/>
          <w:sz w:val="22"/>
          <w:szCs w:val="22"/>
        </w:rPr>
      </w:pPr>
      <w:r w:rsidRPr="00E849F8">
        <w:rPr>
          <w:rStyle w:val="Strong"/>
          <w:color w:val="000000" w:themeColor="text1"/>
          <w:sz w:val="22"/>
          <w:szCs w:val="22"/>
        </w:rPr>
        <w:t>Background:</w:t>
      </w:r>
      <w:r w:rsidRPr="00E849F8">
        <w:rPr>
          <w:rStyle w:val="apple-converted-space"/>
          <w:rFonts w:eastAsiaTheme="majorEastAsia"/>
          <w:color w:val="000000" w:themeColor="text1"/>
          <w:sz w:val="22"/>
          <w:szCs w:val="22"/>
        </w:rPr>
        <w:t> </w:t>
      </w:r>
      <w:r w:rsidRPr="00E849F8">
        <w:rPr>
          <w:color w:val="000000" w:themeColor="text1"/>
          <w:sz w:val="22"/>
          <w:szCs w:val="22"/>
        </w:rPr>
        <w:t>Children from disrupted family environments are vulnerable to poor academic performance, emotional distress, absenteeism, and reduced school engagement. Evidence on effective psychosocial and health-integrated educational interventions in Sri Lanka remains limited.</w:t>
      </w:r>
    </w:p>
    <w:p w14:paraId="7D544FF0" w14:textId="77777777" w:rsidR="008C0757" w:rsidRPr="00E849F8" w:rsidRDefault="008C0757" w:rsidP="008C0757">
      <w:pPr>
        <w:pStyle w:val="NormalWeb"/>
        <w:rPr>
          <w:color w:val="000000" w:themeColor="text1"/>
          <w:sz w:val="22"/>
          <w:szCs w:val="22"/>
        </w:rPr>
      </w:pPr>
      <w:r w:rsidRPr="00E849F8">
        <w:rPr>
          <w:rStyle w:val="Strong"/>
          <w:color w:val="000000" w:themeColor="text1"/>
          <w:sz w:val="22"/>
          <w:szCs w:val="22"/>
        </w:rPr>
        <w:t>Objective:</w:t>
      </w:r>
      <w:r w:rsidRPr="00E849F8">
        <w:rPr>
          <w:rStyle w:val="apple-converted-space"/>
          <w:rFonts w:eastAsiaTheme="majorEastAsia"/>
          <w:color w:val="000000" w:themeColor="text1"/>
          <w:sz w:val="22"/>
          <w:szCs w:val="22"/>
        </w:rPr>
        <w:t> </w:t>
      </w:r>
      <w:r w:rsidRPr="00E849F8">
        <w:rPr>
          <w:color w:val="000000" w:themeColor="text1"/>
          <w:sz w:val="22"/>
          <w:szCs w:val="22"/>
        </w:rPr>
        <w:t>To assess the impact of school-based psychosocial support, health interventions, and student-centred teaching on academic performance and engagement among vulnerable primary school children.</w:t>
      </w:r>
    </w:p>
    <w:p w14:paraId="268B939D" w14:textId="77777777" w:rsidR="008C0757" w:rsidRPr="00E849F8" w:rsidRDefault="008C0757" w:rsidP="008C0757">
      <w:pPr>
        <w:pStyle w:val="NormalWeb"/>
        <w:rPr>
          <w:color w:val="000000" w:themeColor="text1"/>
          <w:sz w:val="22"/>
          <w:szCs w:val="22"/>
        </w:rPr>
      </w:pPr>
      <w:r w:rsidRPr="00E849F8">
        <w:rPr>
          <w:rStyle w:val="Strong"/>
          <w:color w:val="000000" w:themeColor="text1"/>
          <w:sz w:val="22"/>
          <w:szCs w:val="22"/>
        </w:rPr>
        <w:t>Methods:</w:t>
      </w:r>
      <w:r w:rsidRPr="00E849F8">
        <w:rPr>
          <w:rStyle w:val="apple-converted-space"/>
          <w:rFonts w:eastAsiaTheme="majorEastAsia"/>
          <w:color w:val="000000" w:themeColor="text1"/>
          <w:sz w:val="22"/>
          <w:szCs w:val="22"/>
        </w:rPr>
        <w:t> </w:t>
      </w:r>
      <w:r w:rsidRPr="00E849F8">
        <w:rPr>
          <w:color w:val="000000" w:themeColor="text1"/>
          <w:sz w:val="22"/>
          <w:szCs w:val="22"/>
        </w:rPr>
        <w:t>A mixed-methods study was conducted among 150 students in Grades 3–5 from five schools in the Rajagiriya Education Zone, Sri Lanka. Quantitative data included academic records, attendance reports, and questionnaires on motivation and engagement. Qualitative data were collected through interviews with teachers and administrators and classroom observations.</w:t>
      </w:r>
    </w:p>
    <w:p w14:paraId="53AAB764" w14:textId="77777777" w:rsidR="008C0757" w:rsidRPr="00E849F8" w:rsidRDefault="008C0757" w:rsidP="008C0757">
      <w:pPr>
        <w:pStyle w:val="NormalWeb"/>
        <w:rPr>
          <w:color w:val="000000" w:themeColor="text1"/>
          <w:sz w:val="22"/>
          <w:szCs w:val="22"/>
        </w:rPr>
      </w:pPr>
      <w:r w:rsidRPr="00E849F8">
        <w:rPr>
          <w:rStyle w:val="Strong"/>
          <w:color w:val="000000" w:themeColor="text1"/>
          <w:sz w:val="22"/>
          <w:szCs w:val="22"/>
        </w:rPr>
        <w:t>Results:</w:t>
      </w:r>
      <w:r w:rsidRPr="00E849F8">
        <w:rPr>
          <w:rStyle w:val="apple-converted-space"/>
          <w:rFonts w:eastAsiaTheme="majorEastAsia"/>
          <w:color w:val="000000" w:themeColor="text1"/>
          <w:sz w:val="22"/>
          <w:szCs w:val="22"/>
        </w:rPr>
        <w:t> </w:t>
      </w:r>
      <w:r w:rsidRPr="00E849F8">
        <w:rPr>
          <w:color w:val="000000" w:themeColor="text1"/>
          <w:sz w:val="22"/>
          <w:szCs w:val="22"/>
        </w:rPr>
        <w:t>Girls showed better academic performance, attendance, participation, and confidence than boys. Academic outcomes improved across grade levels. Major barriers to learning included emotional distress, poor concentration, absenteeism, low motivation, and limited parental support. Although teachers demonstrated empathy and supportive practices, training in trauma-informed education was limited. Positive teacher-student relationships, emotional safety, individualized guidance, and school-based psychosocial support were associated with improved student engagement.</w:t>
      </w:r>
    </w:p>
    <w:p w14:paraId="574A4A7F" w14:textId="77777777" w:rsidR="008C0757" w:rsidRPr="00E849F8" w:rsidRDefault="008C0757" w:rsidP="008C0757">
      <w:pPr>
        <w:pStyle w:val="NormalWeb"/>
        <w:rPr>
          <w:color w:val="000000" w:themeColor="text1"/>
          <w:sz w:val="22"/>
          <w:szCs w:val="22"/>
        </w:rPr>
      </w:pPr>
      <w:r w:rsidRPr="00E849F8">
        <w:rPr>
          <w:rStyle w:val="Strong"/>
          <w:color w:val="000000" w:themeColor="text1"/>
          <w:sz w:val="22"/>
          <w:szCs w:val="22"/>
        </w:rPr>
        <w:t>Conclusion:</w:t>
      </w:r>
      <w:r w:rsidRPr="00E849F8">
        <w:rPr>
          <w:rStyle w:val="apple-converted-space"/>
          <w:rFonts w:eastAsiaTheme="majorEastAsia"/>
          <w:color w:val="000000" w:themeColor="text1"/>
          <w:sz w:val="22"/>
          <w:szCs w:val="22"/>
        </w:rPr>
        <w:t> </w:t>
      </w:r>
      <w:r w:rsidRPr="00E849F8">
        <w:rPr>
          <w:color w:val="000000" w:themeColor="text1"/>
          <w:sz w:val="22"/>
          <w:szCs w:val="22"/>
        </w:rPr>
        <w:t>Academic achievement among children from disrupted family environments is influenced by psychosocial well-being, attendance, and institutional support. Trauma-informed, student-centred, and healthcare-integrated approaches, together with strengthened counselling services, teacher training, and family-school collaboration, are essential for improving educational and emotional outcomes.</w:t>
      </w:r>
    </w:p>
    <w:p w14:paraId="5818DBCD" w14:textId="5736BCE1" w:rsidR="008C0757" w:rsidRPr="00E849F8" w:rsidRDefault="008C0757" w:rsidP="008C0757">
      <w:pPr>
        <w:pStyle w:val="NormalWeb"/>
        <w:rPr>
          <w:color w:val="000000" w:themeColor="text1"/>
          <w:sz w:val="22"/>
          <w:szCs w:val="22"/>
        </w:rPr>
      </w:pPr>
      <w:r w:rsidRPr="00E849F8">
        <w:rPr>
          <w:rStyle w:val="Strong"/>
          <w:color w:val="000000" w:themeColor="text1"/>
          <w:sz w:val="22"/>
          <w:szCs w:val="22"/>
        </w:rPr>
        <w:t>Keywords:</w:t>
      </w:r>
      <w:r w:rsidRPr="00E849F8">
        <w:rPr>
          <w:rStyle w:val="apple-converted-space"/>
          <w:rFonts w:eastAsiaTheme="majorEastAsia"/>
          <w:color w:val="000000" w:themeColor="text1"/>
          <w:sz w:val="22"/>
          <w:szCs w:val="22"/>
        </w:rPr>
        <w:t> </w:t>
      </w:r>
      <w:r w:rsidRPr="00E849F8">
        <w:rPr>
          <w:color w:val="000000" w:themeColor="text1"/>
          <w:sz w:val="22"/>
          <w:szCs w:val="22"/>
        </w:rPr>
        <w:t>Disrupted family; psychosocial support; trauma-informed education; primary education; school health; academic performance; Sri Lanka.</w:t>
      </w:r>
    </w:p>
    <w:p w14:paraId="3D56A264" w14:textId="77777777" w:rsidR="008C0757" w:rsidRPr="00E849F8" w:rsidRDefault="008C0757" w:rsidP="008C0757">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1. Introduction</w:t>
      </w:r>
    </w:p>
    <w:p w14:paraId="3FA0B7BC" w14:textId="77777777" w:rsidR="008C0757" w:rsidRPr="00E849F8" w:rsidRDefault="008C0757" w:rsidP="008C0757">
      <w:pPr>
        <w:pStyle w:val="NormalWeb"/>
        <w:rPr>
          <w:color w:val="000000" w:themeColor="text1"/>
          <w:sz w:val="22"/>
          <w:szCs w:val="22"/>
        </w:rPr>
      </w:pPr>
      <w:r w:rsidRPr="00E849F8">
        <w:rPr>
          <w:color w:val="000000" w:themeColor="text1"/>
          <w:sz w:val="22"/>
          <w:szCs w:val="22"/>
        </w:rPr>
        <w:t>Sri Lanka’s free education policy has improved literacy and school access, yet educational outcomes remain unequal among children in disadvantaged urban communities. In areas such as Moragasmulla in the Rajagiriya Education Zone, poverty, family disruption, poor parental supervision, inadequate nutrition, and limited psychosocial support contribute to educational disadvantage.</w:t>
      </w:r>
    </w:p>
    <w:p w14:paraId="35EB6498" w14:textId="68BB870B" w:rsidR="008C0757" w:rsidRPr="00E849F8" w:rsidRDefault="008C0757" w:rsidP="008C0757">
      <w:pPr>
        <w:pStyle w:val="NormalWeb"/>
        <w:rPr>
          <w:color w:val="000000" w:themeColor="text1"/>
          <w:sz w:val="22"/>
          <w:szCs w:val="22"/>
        </w:rPr>
      </w:pPr>
      <w:r w:rsidRPr="00E849F8">
        <w:rPr>
          <w:color w:val="000000" w:themeColor="text1"/>
          <w:sz w:val="22"/>
          <w:szCs w:val="22"/>
        </w:rPr>
        <w:t>Children affected by parental separation, migration, abandonment, bereavement, or domestic conflict often experience emotional distress, absenteeism, poor concentration, low motivation, and reduced academic achievement. These challenges are further exacerbated by poverty, substance misuse, and weak social support systems in Sri Lanka (UNICEF Sri Lanka, 2019).</w:t>
      </w:r>
      <w:r w:rsidR="00DD2413" w:rsidRPr="00E849F8">
        <w:rPr>
          <w:color w:val="000000" w:themeColor="text1"/>
          <w:sz w:val="22"/>
          <w:szCs w:val="22"/>
          <w:lang w:val="en-US"/>
        </w:rPr>
        <w:t xml:space="preserve"> </w:t>
      </w:r>
      <w:r w:rsidRPr="00E849F8">
        <w:rPr>
          <w:color w:val="000000" w:themeColor="text1"/>
          <w:sz w:val="22"/>
          <w:szCs w:val="22"/>
        </w:rPr>
        <w:t xml:space="preserve">Schools play an important protective role for vulnerable children. However, many teachers lack training in trauma-informed </w:t>
      </w:r>
      <w:r w:rsidRPr="00E849F8">
        <w:rPr>
          <w:color w:val="000000" w:themeColor="text1"/>
          <w:sz w:val="22"/>
          <w:szCs w:val="22"/>
        </w:rPr>
        <w:lastRenderedPageBreak/>
        <w:t>education, psychosocial support, and child mental health. As a result, traditional teaching approaches may not adequately address the needs of children exposed to chronic stress and unstable family environments.</w:t>
      </w:r>
    </w:p>
    <w:p w14:paraId="227EE8EC" w14:textId="77777777" w:rsidR="008C0757" w:rsidRPr="00E849F8" w:rsidRDefault="008C0757" w:rsidP="008C0757">
      <w:pPr>
        <w:pStyle w:val="NormalWeb"/>
        <w:rPr>
          <w:color w:val="000000" w:themeColor="text1"/>
          <w:sz w:val="22"/>
          <w:szCs w:val="22"/>
        </w:rPr>
      </w:pPr>
      <w:r w:rsidRPr="00E849F8">
        <w:rPr>
          <w:color w:val="000000" w:themeColor="text1"/>
          <w:sz w:val="22"/>
          <w:szCs w:val="22"/>
        </w:rPr>
        <w:t>This study examined the influence of school-based health and psychosocial support interventions, together with student-centred and trauma-informed teaching practices, on academic performance and educational engagement among primary school children from disrupted family environments.</w:t>
      </w:r>
    </w:p>
    <w:p w14:paraId="1A8E87D2" w14:textId="77777777" w:rsidR="008C0757" w:rsidRPr="00E849F8" w:rsidRDefault="008C0757" w:rsidP="008C0757">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2. Background and Rationale</w:t>
      </w:r>
    </w:p>
    <w:p w14:paraId="68FD521D" w14:textId="77777777" w:rsidR="008C0757" w:rsidRPr="00E849F8" w:rsidRDefault="008C0757" w:rsidP="008C0757">
      <w:pPr>
        <w:pStyle w:val="NormalWeb"/>
        <w:rPr>
          <w:color w:val="000000" w:themeColor="text1"/>
          <w:sz w:val="22"/>
          <w:szCs w:val="22"/>
        </w:rPr>
      </w:pPr>
      <w:r w:rsidRPr="00E849F8">
        <w:rPr>
          <w:color w:val="000000" w:themeColor="text1"/>
          <w:sz w:val="22"/>
          <w:szCs w:val="22"/>
        </w:rPr>
        <w:t>Family disruption is an important educational and public health concern. Children affected by parental absence, separation, migration, or domestic instability often experience emotional distress, inadequate supervision, poor learning support, and irregular school attendance, leading to poorer educational and psychosocial outcomes (Conger &amp; Donnellan, 2007).</w:t>
      </w:r>
    </w:p>
    <w:p w14:paraId="20B43ADC" w14:textId="7DAE9FD9" w:rsidR="008C0757" w:rsidRPr="00E849F8" w:rsidRDefault="008C0757" w:rsidP="008C0757">
      <w:pPr>
        <w:pStyle w:val="NormalWeb"/>
        <w:rPr>
          <w:color w:val="000000" w:themeColor="text1"/>
          <w:sz w:val="22"/>
          <w:szCs w:val="22"/>
        </w:rPr>
      </w:pPr>
      <w:r w:rsidRPr="00E849F8">
        <w:rPr>
          <w:color w:val="000000" w:themeColor="text1"/>
          <w:sz w:val="22"/>
          <w:szCs w:val="22"/>
        </w:rPr>
        <w:t>The Family Stress Model highlights how family instability affects children through disrupted caregiving and reduced emotional security, while Bronfenbrenner’s Ecological Systems Theory emphasizes the influence of family, school, community, and support services on child development (Bronfenbrenner, 1979; Conger &amp; Donnellan, 2007). These perspectives support integrated school-based interventions.</w:t>
      </w:r>
      <w:r w:rsidR="00DD2413" w:rsidRPr="00E849F8">
        <w:rPr>
          <w:color w:val="000000" w:themeColor="text1"/>
          <w:sz w:val="22"/>
          <w:szCs w:val="22"/>
          <w:lang w:val="en-US"/>
        </w:rPr>
        <w:t xml:space="preserve"> </w:t>
      </w:r>
      <w:r w:rsidRPr="00E849F8">
        <w:rPr>
          <w:color w:val="000000" w:themeColor="text1"/>
          <w:sz w:val="22"/>
          <w:szCs w:val="22"/>
        </w:rPr>
        <w:t>Evidence shows that trauma-informed teaching, school counselling, social-emotional learning, and child-centred approaches improve engagement and academic outcomes among vulnerable children (Cole et al., 2013; OECD, 2020). However, despite educational reforms in Sri Lanka, teaching remains largely teacher-centred in many resource-limited schools.</w:t>
      </w:r>
    </w:p>
    <w:p w14:paraId="3D42C770" w14:textId="77777777" w:rsidR="008C0757" w:rsidRPr="00E849F8" w:rsidRDefault="008C0757" w:rsidP="008C0757">
      <w:pPr>
        <w:pStyle w:val="NormalWeb"/>
        <w:rPr>
          <w:color w:val="000000" w:themeColor="text1"/>
          <w:sz w:val="22"/>
          <w:szCs w:val="22"/>
        </w:rPr>
      </w:pPr>
      <w:r w:rsidRPr="00E849F8">
        <w:rPr>
          <w:color w:val="000000" w:themeColor="text1"/>
          <w:sz w:val="22"/>
          <w:szCs w:val="22"/>
        </w:rPr>
        <w:t>As children from disrupted family environments face emotional and social barriers in addition to academic challenges, this study explored how school-based health and psychosocial support interventions can improve educational outcomes among vulnerable primary school children.</w:t>
      </w:r>
    </w:p>
    <w:p w14:paraId="3BF5EA55" w14:textId="77777777" w:rsidR="008C0757" w:rsidRPr="00E849F8" w:rsidRDefault="008C0757" w:rsidP="008C0757">
      <w:pPr>
        <w:pStyle w:val="isselectedend"/>
        <w:rPr>
          <w:b/>
          <w:bCs/>
          <w:color w:val="000000" w:themeColor="text1"/>
          <w:sz w:val="22"/>
          <w:szCs w:val="22"/>
          <w:lang w:val="en-US"/>
        </w:rPr>
      </w:pPr>
      <w:r w:rsidRPr="00E849F8">
        <w:rPr>
          <w:b/>
          <w:bCs/>
          <w:color w:val="000000" w:themeColor="text1"/>
          <w:sz w:val="22"/>
          <w:szCs w:val="22"/>
          <w:lang w:val="en-US"/>
        </w:rPr>
        <w:t xml:space="preserve">Conceptual framework </w:t>
      </w:r>
    </w:p>
    <w:p w14:paraId="78F57A71" w14:textId="67C5084D" w:rsidR="00DD2413" w:rsidRPr="00E849F8" w:rsidRDefault="00820164" w:rsidP="00E849F8">
      <w:pPr>
        <w:pStyle w:val="isselectedend"/>
        <w:rPr>
          <w:b/>
          <w:bCs/>
          <w:color w:val="000000" w:themeColor="text1"/>
          <w:sz w:val="22"/>
          <w:szCs w:val="22"/>
          <w:lang w:val="en-US"/>
        </w:rPr>
      </w:pPr>
      <w:r w:rsidRPr="00E849F8">
        <w:rPr>
          <w:b/>
          <w:bCs/>
          <w:noProof/>
          <w:color w:val="000000" w:themeColor="text1"/>
          <w:sz w:val="22"/>
          <w:szCs w:val="22"/>
          <w:lang w:val="en-US"/>
          <w14:ligatures w14:val="standardContextual"/>
        </w:rPr>
        <w:drawing>
          <wp:inline distT="0" distB="0" distL="0" distR="0" wp14:anchorId="65FD350C" wp14:editId="6227847D">
            <wp:extent cx="3069771" cy="1911350"/>
            <wp:effectExtent l="0" t="0" r="3810" b="0"/>
            <wp:docPr id="1431544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44075" name="Picture 14315440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54366" cy="1964022"/>
                    </a:xfrm>
                    <a:prstGeom prst="rect">
                      <a:avLst/>
                    </a:prstGeom>
                  </pic:spPr>
                </pic:pic>
              </a:graphicData>
            </a:graphic>
          </wp:inline>
        </w:drawing>
      </w:r>
    </w:p>
    <w:p w14:paraId="10D7ED40" w14:textId="2F375646" w:rsidR="008C0757" w:rsidRPr="00E849F8" w:rsidRDefault="008C0757" w:rsidP="008C0757">
      <w:pPr>
        <w:pStyle w:val="Heading2"/>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3. Objectives</w:t>
      </w:r>
    </w:p>
    <w:p w14:paraId="2FAC3D0B" w14:textId="084868DB" w:rsidR="00820164" w:rsidRPr="00E849F8" w:rsidRDefault="00820164" w:rsidP="00820164">
      <w:pPr>
        <w:pStyle w:val="NormalWeb"/>
        <w:rPr>
          <w:color w:val="000000" w:themeColor="text1"/>
          <w:sz w:val="22"/>
          <w:szCs w:val="22"/>
        </w:rPr>
      </w:pPr>
      <w:r w:rsidRPr="00E849F8">
        <w:rPr>
          <w:rStyle w:val="Strong"/>
          <w:color w:val="000000" w:themeColor="text1"/>
          <w:sz w:val="22"/>
          <w:szCs w:val="22"/>
        </w:rPr>
        <w:t>General Objective:</w:t>
      </w:r>
      <w:r w:rsidRPr="00E849F8">
        <w:rPr>
          <w:color w:val="000000" w:themeColor="text1"/>
          <w:sz w:val="22"/>
          <w:szCs w:val="22"/>
          <w:lang w:val="en-US"/>
        </w:rPr>
        <w:t xml:space="preserve"> </w:t>
      </w:r>
      <w:r w:rsidRPr="00E849F8">
        <w:rPr>
          <w:rStyle w:val="Emphasis"/>
          <w:rFonts w:eastAsiaTheme="majorEastAsia"/>
          <w:color w:val="000000" w:themeColor="text1"/>
          <w:sz w:val="22"/>
          <w:szCs w:val="22"/>
        </w:rPr>
        <w:t>To examine the effects of school-based psychosocial and health support interventions on educational outcomes among children from disrupted family backgrounds in Sri Lanka.</w:t>
      </w:r>
    </w:p>
    <w:p w14:paraId="7DAE97D3" w14:textId="77777777" w:rsidR="00820164" w:rsidRPr="00E849F8" w:rsidRDefault="00820164" w:rsidP="00820164">
      <w:pPr>
        <w:pStyle w:val="NormalWeb"/>
        <w:rPr>
          <w:color w:val="000000" w:themeColor="text1"/>
          <w:sz w:val="22"/>
          <w:szCs w:val="22"/>
        </w:rPr>
      </w:pPr>
      <w:r w:rsidRPr="00E849F8">
        <w:rPr>
          <w:rStyle w:val="Strong"/>
          <w:color w:val="000000" w:themeColor="text1"/>
          <w:sz w:val="22"/>
          <w:szCs w:val="22"/>
        </w:rPr>
        <w:t>Specific Objectives:</w:t>
      </w:r>
    </w:p>
    <w:p w14:paraId="2E0368C6" w14:textId="77777777" w:rsidR="00820164" w:rsidRPr="00E849F8" w:rsidRDefault="00820164" w:rsidP="00820164">
      <w:pPr>
        <w:numPr>
          <w:ilvl w:val="0"/>
          <w:numId w:val="5"/>
        </w:numPr>
        <w:spacing w:before="100" w:beforeAutospacing="1" w:after="100" w:afterAutospacing="1"/>
        <w:rPr>
          <w:color w:val="000000" w:themeColor="text1"/>
          <w:sz w:val="22"/>
          <w:szCs w:val="22"/>
        </w:rPr>
      </w:pPr>
      <w:r w:rsidRPr="00E849F8">
        <w:rPr>
          <w:rStyle w:val="Emphasis"/>
          <w:rFonts w:eastAsiaTheme="majorEastAsia"/>
          <w:color w:val="000000" w:themeColor="text1"/>
          <w:sz w:val="22"/>
          <w:szCs w:val="22"/>
        </w:rPr>
        <w:t>To assess the influence of school-based psychosocial support interventions on the academic performance of children from disrupted family backgrounds.</w:t>
      </w:r>
    </w:p>
    <w:p w14:paraId="53D735CA" w14:textId="77777777" w:rsidR="00820164" w:rsidRPr="00E849F8" w:rsidRDefault="00820164" w:rsidP="00820164">
      <w:pPr>
        <w:numPr>
          <w:ilvl w:val="0"/>
          <w:numId w:val="5"/>
        </w:numPr>
        <w:spacing w:before="100" w:beforeAutospacing="1" w:after="100" w:afterAutospacing="1"/>
        <w:rPr>
          <w:color w:val="000000" w:themeColor="text1"/>
          <w:sz w:val="22"/>
          <w:szCs w:val="22"/>
        </w:rPr>
      </w:pPr>
      <w:r w:rsidRPr="00E849F8">
        <w:rPr>
          <w:rStyle w:val="Emphasis"/>
          <w:rFonts w:eastAsiaTheme="majorEastAsia"/>
          <w:color w:val="000000" w:themeColor="text1"/>
          <w:sz w:val="22"/>
          <w:szCs w:val="22"/>
        </w:rPr>
        <w:lastRenderedPageBreak/>
        <w:t>To evaluate the impact of school-based health support interventions on students' school attendance and educational engagement.</w:t>
      </w:r>
    </w:p>
    <w:p w14:paraId="023779A0" w14:textId="77777777" w:rsidR="00820164" w:rsidRPr="00E849F8" w:rsidRDefault="00820164" w:rsidP="00820164">
      <w:pPr>
        <w:numPr>
          <w:ilvl w:val="0"/>
          <w:numId w:val="5"/>
        </w:numPr>
        <w:spacing w:before="100" w:beforeAutospacing="1" w:after="100" w:afterAutospacing="1"/>
        <w:rPr>
          <w:color w:val="000000" w:themeColor="text1"/>
          <w:sz w:val="22"/>
          <w:szCs w:val="22"/>
        </w:rPr>
      </w:pPr>
      <w:r w:rsidRPr="00E849F8">
        <w:rPr>
          <w:rStyle w:val="Emphasis"/>
          <w:rFonts w:eastAsiaTheme="majorEastAsia"/>
          <w:color w:val="000000" w:themeColor="text1"/>
          <w:sz w:val="22"/>
          <w:szCs w:val="22"/>
        </w:rPr>
        <w:t>To explore the experiences and perceptions of students, teachers, and caregivers regarding the effectiveness of psychosocial and health support interventions.</w:t>
      </w:r>
    </w:p>
    <w:p w14:paraId="2541B08A" w14:textId="77777777" w:rsidR="00820164" w:rsidRPr="00E849F8" w:rsidRDefault="00820164" w:rsidP="00820164">
      <w:pPr>
        <w:numPr>
          <w:ilvl w:val="0"/>
          <w:numId w:val="5"/>
        </w:numPr>
        <w:spacing w:before="100" w:beforeAutospacing="1" w:after="100" w:afterAutospacing="1"/>
        <w:rPr>
          <w:color w:val="000000" w:themeColor="text1"/>
          <w:sz w:val="22"/>
          <w:szCs w:val="22"/>
        </w:rPr>
      </w:pPr>
      <w:r w:rsidRPr="00E849F8">
        <w:rPr>
          <w:rStyle w:val="Emphasis"/>
          <w:rFonts w:eastAsiaTheme="majorEastAsia"/>
          <w:color w:val="000000" w:themeColor="text1"/>
          <w:sz w:val="22"/>
          <w:szCs w:val="22"/>
        </w:rPr>
        <w:t>To identify factors that facilitate or hinder the successful implementation of school-based psychosocial and health support interventions in Sri Lankan primary schools.</w:t>
      </w:r>
    </w:p>
    <w:p w14:paraId="641E6790" w14:textId="77777777" w:rsidR="00820164" w:rsidRPr="00E849F8" w:rsidRDefault="00820164" w:rsidP="00820164">
      <w:pPr>
        <w:numPr>
          <w:ilvl w:val="0"/>
          <w:numId w:val="5"/>
        </w:numPr>
        <w:spacing w:before="100" w:beforeAutospacing="1" w:after="100" w:afterAutospacing="1"/>
        <w:rPr>
          <w:color w:val="000000" w:themeColor="text1"/>
          <w:sz w:val="22"/>
          <w:szCs w:val="22"/>
        </w:rPr>
      </w:pPr>
      <w:r w:rsidRPr="00E849F8">
        <w:rPr>
          <w:rStyle w:val="Emphasis"/>
          <w:rFonts w:eastAsiaTheme="majorEastAsia"/>
          <w:color w:val="000000" w:themeColor="text1"/>
          <w:sz w:val="22"/>
          <w:szCs w:val="22"/>
        </w:rPr>
        <w:t>To determine the relationship between participation in school-based support interventions and overall educational outcomes among children from disrupted family backgrounds.</w:t>
      </w:r>
    </w:p>
    <w:p w14:paraId="3E6F3BC6" w14:textId="77777777" w:rsidR="00820164" w:rsidRPr="00E849F8" w:rsidRDefault="008C0757" w:rsidP="00820164">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4. Methodology</w:t>
      </w:r>
    </w:p>
    <w:p w14:paraId="41A24F51" w14:textId="72A1A621" w:rsidR="008C0757" w:rsidRPr="00E849F8" w:rsidRDefault="008C0757" w:rsidP="00820164">
      <w:pPr>
        <w:pStyle w:val="Heading3"/>
        <w:rPr>
          <w:rFonts w:ascii="Times New Roman" w:hAnsi="Times New Roman" w:cs="Times New Roman"/>
          <w:b/>
          <w:bCs/>
          <w:color w:val="000000" w:themeColor="text1"/>
          <w:sz w:val="22"/>
          <w:szCs w:val="22"/>
        </w:rPr>
      </w:pPr>
      <w:r w:rsidRPr="00E849F8">
        <w:rPr>
          <w:rStyle w:val="Strong"/>
          <w:rFonts w:ascii="Times New Roman" w:hAnsi="Times New Roman" w:cs="Times New Roman"/>
          <w:color w:val="000000" w:themeColor="text1"/>
          <w:sz w:val="22"/>
          <w:szCs w:val="22"/>
        </w:rPr>
        <w:t>4.1 Study Design</w:t>
      </w:r>
      <w:r w:rsidRPr="00E849F8">
        <w:rPr>
          <w:rFonts w:ascii="Times New Roman" w:hAnsi="Times New Roman" w:cs="Times New Roman"/>
          <w:color w:val="000000" w:themeColor="text1"/>
          <w:sz w:val="22"/>
          <w:szCs w:val="22"/>
          <w:lang w:val="en-US"/>
        </w:rPr>
        <w:t xml:space="preserve">: </w:t>
      </w:r>
      <w:r w:rsidRPr="00E849F8">
        <w:rPr>
          <w:rFonts w:ascii="Times New Roman" w:hAnsi="Times New Roman" w:cs="Times New Roman"/>
          <w:color w:val="000000" w:themeColor="text1"/>
          <w:sz w:val="22"/>
          <w:szCs w:val="22"/>
        </w:rPr>
        <w:t>A mixed-methods design combined quantitative and qualitative data. Quantitative data measured performance, attendance, participation, and engagement, while qualitative data explored teacher experiences, classroom practices, psychosocial challenges, and support gaps.</w:t>
      </w:r>
    </w:p>
    <w:p w14:paraId="0AC9B836" w14:textId="35BDEB34" w:rsidR="008C0757" w:rsidRPr="00E849F8" w:rsidRDefault="008C0757" w:rsidP="008C0757">
      <w:pPr>
        <w:pStyle w:val="NormalWeb"/>
        <w:rPr>
          <w:color w:val="000000" w:themeColor="text1"/>
          <w:sz w:val="22"/>
          <w:szCs w:val="22"/>
        </w:rPr>
      </w:pPr>
      <w:r w:rsidRPr="00E849F8">
        <w:rPr>
          <w:rStyle w:val="Strong"/>
          <w:rFonts w:eastAsiaTheme="majorEastAsia"/>
          <w:color w:val="000000" w:themeColor="text1"/>
          <w:sz w:val="22"/>
          <w:szCs w:val="22"/>
        </w:rPr>
        <w:t>4.2 Study Setting and Participants</w:t>
      </w:r>
      <w:r w:rsidRPr="00E849F8">
        <w:rPr>
          <w:color w:val="000000" w:themeColor="text1"/>
          <w:sz w:val="22"/>
          <w:szCs w:val="22"/>
          <w:lang w:val="en-US"/>
        </w:rPr>
        <w:t xml:space="preserve">: </w:t>
      </w:r>
      <w:r w:rsidRPr="00E849F8">
        <w:rPr>
          <w:color w:val="000000" w:themeColor="text1"/>
          <w:sz w:val="22"/>
          <w:szCs w:val="22"/>
        </w:rPr>
        <w:t>The study involved five primary schools in the Rajagiriya Education Zone. The sample included 150 students from Grades 3–5 (30 per school), identified through welfare records, counselling information, teacher referrals, and school records. Relevant teachers and administrators also participated.</w:t>
      </w:r>
    </w:p>
    <w:p w14:paraId="77ACA4AA" w14:textId="1CA97BD0" w:rsidR="008C0757" w:rsidRPr="00E849F8" w:rsidRDefault="008C0757" w:rsidP="008C0757">
      <w:pPr>
        <w:pStyle w:val="NormalWeb"/>
        <w:rPr>
          <w:color w:val="000000" w:themeColor="text1"/>
          <w:sz w:val="22"/>
          <w:szCs w:val="22"/>
        </w:rPr>
      </w:pPr>
      <w:r w:rsidRPr="00E849F8">
        <w:rPr>
          <w:rStyle w:val="Strong"/>
          <w:rFonts w:eastAsiaTheme="majorEastAsia"/>
          <w:color w:val="000000" w:themeColor="text1"/>
          <w:sz w:val="22"/>
          <w:szCs w:val="22"/>
        </w:rPr>
        <w:t>4.3 Data Collection</w:t>
      </w:r>
      <w:r w:rsidRPr="00E849F8">
        <w:rPr>
          <w:color w:val="000000" w:themeColor="text1"/>
          <w:sz w:val="22"/>
          <w:szCs w:val="22"/>
          <w:lang w:val="en-US"/>
        </w:rPr>
        <w:t xml:space="preserve">: </w:t>
      </w:r>
      <w:r w:rsidRPr="00E849F8">
        <w:rPr>
          <w:color w:val="000000" w:themeColor="text1"/>
          <w:sz w:val="22"/>
          <w:szCs w:val="22"/>
        </w:rPr>
        <w:t>Academic records provided examination results, test scores, and attendance data. Questionnaires assessed motivation, engagement, teaching methods, support, and readiness. Interviews explored psychosocial issues, teaching adaptations, and support needs. Observations examined classroom practices, interactions, participation, climate, and inclusion.</w:t>
      </w:r>
    </w:p>
    <w:p w14:paraId="3535FEAD" w14:textId="73663250" w:rsidR="008C0757" w:rsidRPr="00E849F8" w:rsidRDefault="008C0757" w:rsidP="008C0757">
      <w:pPr>
        <w:pStyle w:val="NormalWeb"/>
        <w:rPr>
          <w:color w:val="000000" w:themeColor="text1"/>
          <w:sz w:val="22"/>
          <w:szCs w:val="22"/>
        </w:rPr>
      </w:pPr>
      <w:r w:rsidRPr="00E849F8">
        <w:rPr>
          <w:rStyle w:val="Strong"/>
          <w:rFonts w:eastAsiaTheme="majorEastAsia"/>
          <w:color w:val="000000" w:themeColor="text1"/>
          <w:sz w:val="22"/>
          <w:szCs w:val="22"/>
        </w:rPr>
        <w:t>4.4 Data Analysis</w:t>
      </w:r>
      <w:r w:rsidRPr="00E849F8">
        <w:rPr>
          <w:color w:val="000000" w:themeColor="text1"/>
          <w:sz w:val="22"/>
          <w:szCs w:val="22"/>
          <w:lang w:val="en-US"/>
        </w:rPr>
        <w:t xml:space="preserve">: </w:t>
      </w:r>
      <w:r w:rsidRPr="00E849F8">
        <w:rPr>
          <w:color w:val="000000" w:themeColor="text1"/>
          <w:sz w:val="22"/>
          <w:szCs w:val="22"/>
        </w:rPr>
        <w:t>Quantitative data were analyzed using frequencies, percentages, means, and comparisons. Qualitative data were analyzed thematically through deductive and inductive coding. Findings were integrated to identify key patterns.</w:t>
      </w:r>
    </w:p>
    <w:p w14:paraId="7378027E" w14:textId="7415B3FA" w:rsidR="008C0757" w:rsidRPr="00E849F8" w:rsidRDefault="008C0757" w:rsidP="008C0757">
      <w:pPr>
        <w:pStyle w:val="NormalWeb"/>
        <w:rPr>
          <w:color w:val="000000" w:themeColor="text1"/>
          <w:sz w:val="22"/>
          <w:szCs w:val="22"/>
        </w:rPr>
      </w:pPr>
      <w:r w:rsidRPr="00E849F8">
        <w:rPr>
          <w:rStyle w:val="Strong"/>
          <w:rFonts w:eastAsiaTheme="majorEastAsia"/>
          <w:color w:val="000000" w:themeColor="text1"/>
          <w:sz w:val="22"/>
          <w:szCs w:val="22"/>
        </w:rPr>
        <w:t>4.5 Ethical Considerations</w:t>
      </w:r>
      <w:r w:rsidRPr="00E849F8">
        <w:rPr>
          <w:color w:val="000000" w:themeColor="text1"/>
          <w:sz w:val="22"/>
          <w:szCs w:val="22"/>
          <w:lang w:val="en-US"/>
        </w:rPr>
        <w:t xml:space="preserve">: </w:t>
      </w:r>
      <w:r w:rsidRPr="00E849F8">
        <w:rPr>
          <w:color w:val="000000" w:themeColor="text1"/>
          <w:sz w:val="22"/>
          <w:szCs w:val="22"/>
        </w:rPr>
        <w:t>Ethical approval and informed consent were obtained. Confidentiality, anonymity, voluntary participation, and child protection were ensured throughout the study.</w:t>
      </w:r>
    </w:p>
    <w:p w14:paraId="5E049F32" w14:textId="29902AB5" w:rsidR="008C0757" w:rsidRPr="00E849F8" w:rsidRDefault="008C0757" w:rsidP="008C0757">
      <w:pPr>
        <w:pStyle w:val="NormalWeb"/>
        <w:rPr>
          <w:color w:val="000000" w:themeColor="text1"/>
          <w:sz w:val="22"/>
          <w:szCs w:val="22"/>
        </w:rPr>
      </w:pPr>
      <w:r w:rsidRPr="00E849F8">
        <w:rPr>
          <w:rStyle w:val="Strong"/>
          <w:rFonts w:eastAsiaTheme="majorEastAsia"/>
          <w:color w:val="000000" w:themeColor="text1"/>
          <w:sz w:val="22"/>
          <w:szCs w:val="22"/>
        </w:rPr>
        <w:t>4.6 Limitations</w:t>
      </w:r>
      <w:r w:rsidRPr="00E849F8">
        <w:rPr>
          <w:color w:val="000000" w:themeColor="text1"/>
          <w:sz w:val="22"/>
          <w:szCs w:val="22"/>
          <w:lang w:val="en-US"/>
        </w:rPr>
        <w:t xml:space="preserve">: </w:t>
      </w:r>
      <w:r w:rsidRPr="00E849F8">
        <w:rPr>
          <w:color w:val="000000" w:themeColor="text1"/>
          <w:sz w:val="22"/>
          <w:szCs w:val="22"/>
        </w:rPr>
        <w:t>The study was limited to one education zone. Self-reported data and observation effects may have introduced bias. However, using multiple data sources strengthened credibility.</w:t>
      </w:r>
    </w:p>
    <w:p w14:paraId="44224442" w14:textId="77777777" w:rsidR="008C0757" w:rsidRPr="00E849F8" w:rsidRDefault="008C0757" w:rsidP="008C0757">
      <w:pPr>
        <w:pStyle w:val="Heading2"/>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5. Results and Analysis</w:t>
      </w:r>
    </w:p>
    <w:p w14:paraId="71A182AC" w14:textId="77777777" w:rsidR="008C0757" w:rsidRPr="00E849F8" w:rsidRDefault="008C0757" w:rsidP="008C0757">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5.1 Demographic Profile</w:t>
      </w:r>
    </w:p>
    <w:p w14:paraId="30981A2D" w14:textId="5CEB6130" w:rsidR="008C0757" w:rsidRPr="00E849F8" w:rsidRDefault="008C0757" w:rsidP="008C0757">
      <w:pPr>
        <w:pStyle w:val="isselectedend"/>
        <w:rPr>
          <w:rStyle w:val="Strong"/>
          <w:b w:val="0"/>
          <w:bCs w:val="0"/>
          <w:color w:val="000000" w:themeColor="text1"/>
          <w:sz w:val="22"/>
          <w:szCs w:val="22"/>
        </w:rPr>
      </w:pPr>
      <w:r w:rsidRPr="00E849F8">
        <w:rPr>
          <w:color w:val="000000" w:themeColor="text1"/>
          <w:sz w:val="22"/>
          <w:szCs w:val="22"/>
        </w:rPr>
        <w:t>The study included 150 children from five schools, with equal school-wise representation. Participants were aged approximately 8–11 years and were enrolled in Grades 3–5. All participants were identified as children from disrupted family environments.</w:t>
      </w:r>
    </w:p>
    <w:p w14:paraId="5631053E" w14:textId="77777777" w:rsidR="008C0757" w:rsidRPr="00E849F8" w:rsidRDefault="008C0757" w:rsidP="008C0757">
      <w:pPr>
        <w:pStyle w:val="isselectedend"/>
        <w:rPr>
          <w:color w:val="000000" w:themeColor="text1"/>
          <w:sz w:val="22"/>
          <w:szCs w:val="22"/>
        </w:rPr>
      </w:pPr>
      <w:r w:rsidRPr="00E849F8">
        <w:rPr>
          <w:rStyle w:val="Strong"/>
          <w:color w:val="000000" w:themeColor="text1"/>
          <w:sz w:val="22"/>
          <w:szCs w:val="22"/>
        </w:rPr>
        <w:t>Table 1: Distribution of Participants by School</w:t>
      </w:r>
    </w:p>
    <w:tbl>
      <w:tblPr>
        <w:tblW w:w="0" w:type="auto"/>
        <w:tblCellSpacing w:w="15" w:type="dxa"/>
        <w:tblBorders>
          <w:top w:val="single" w:sz="24" w:space="0" w:color="auto"/>
          <w:bottom w:val="single" w:sz="24" w:space="0" w:color="auto"/>
        </w:tblBorders>
        <w:tblCellMar>
          <w:top w:w="15" w:type="dxa"/>
          <w:left w:w="15" w:type="dxa"/>
          <w:bottom w:w="15" w:type="dxa"/>
          <w:right w:w="15" w:type="dxa"/>
        </w:tblCellMar>
        <w:tblLook w:val="04A0" w:firstRow="1" w:lastRow="0" w:firstColumn="1" w:lastColumn="0" w:noHBand="0" w:noVBand="1"/>
      </w:tblPr>
      <w:tblGrid>
        <w:gridCol w:w="3969"/>
        <w:gridCol w:w="2410"/>
        <w:gridCol w:w="2410"/>
      </w:tblGrid>
      <w:tr w:rsidR="00E849F8" w:rsidRPr="00E849F8" w14:paraId="61FF6988" w14:textId="77777777" w:rsidTr="00820164">
        <w:trPr>
          <w:trHeight w:val="276"/>
          <w:tblCellSpacing w:w="15" w:type="dxa"/>
        </w:trPr>
        <w:tc>
          <w:tcPr>
            <w:tcW w:w="3924" w:type="dxa"/>
            <w:vAlign w:val="center"/>
            <w:hideMark/>
          </w:tcPr>
          <w:p w14:paraId="31A2EDA5" w14:textId="77777777" w:rsidR="008C0757" w:rsidRPr="00E849F8" w:rsidRDefault="008C0757" w:rsidP="00BC149E">
            <w:pPr>
              <w:jc w:val="center"/>
              <w:rPr>
                <w:b/>
                <w:bCs/>
                <w:color w:val="000000" w:themeColor="text1"/>
                <w:sz w:val="22"/>
                <w:szCs w:val="22"/>
              </w:rPr>
            </w:pPr>
            <w:r w:rsidRPr="00E849F8">
              <w:rPr>
                <w:b/>
                <w:bCs/>
                <w:color w:val="000000" w:themeColor="text1"/>
                <w:sz w:val="22"/>
                <w:szCs w:val="22"/>
              </w:rPr>
              <w:t>School</w:t>
            </w:r>
          </w:p>
        </w:tc>
        <w:tc>
          <w:tcPr>
            <w:tcW w:w="2380" w:type="dxa"/>
            <w:vAlign w:val="center"/>
            <w:hideMark/>
          </w:tcPr>
          <w:p w14:paraId="5283AFC7" w14:textId="56761E73" w:rsidR="008C0757" w:rsidRPr="00E849F8" w:rsidRDefault="008C0757" w:rsidP="00820164">
            <w:pPr>
              <w:rPr>
                <w:b/>
                <w:bCs/>
                <w:color w:val="000000" w:themeColor="text1"/>
                <w:sz w:val="22"/>
                <w:szCs w:val="22"/>
              </w:rPr>
            </w:pPr>
            <w:r w:rsidRPr="00E849F8">
              <w:rPr>
                <w:b/>
                <w:bCs/>
                <w:color w:val="000000" w:themeColor="text1"/>
                <w:sz w:val="22"/>
                <w:szCs w:val="22"/>
              </w:rPr>
              <w:t>Number of</w:t>
            </w:r>
            <w:r w:rsidR="00820164" w:rsidRPr="00E849F8">
              <w:rPr>
                <w:b/>
                <w:bCs/>
                <w:color w:val="000000" w:themeColor="text1"/>
                <w:sz w:val="22"/>
                <w:szCs w:val="22"/>
                <w:lang w:val="en-US"/>
              </w:rPr>
              <w:t xml:space="preserve"> </w:t>
            </w:r>
            <w:r w:rsidRPr="00E849F8">
              <w:rPr>
                <w:b/>
                <w:bCs/>
                <w:color w:val="000000" w:themeColor="text1"/>
                <w:sz w:val="22"/>
                <w:szCs w:val="22"/>
              </w:rPr>
              <w:t>Students</w:t>
            </w:r>
          </w:p>
        </w:tc>
        <w:tc>
          <w:tcPr>
            <w:tcW w:w="2365" w:type="dxa"/>
            <w:vAlign w:val="center"/>
            <w:hideMark/>
          </w:tcPr>
          <w:p w14:paraId="20FB4128" w14:textId="77777777" w:rsidR="008C0757" w:rsidRPr="00E849F8" w:rsidRDefault="008C0757" w:rsidP="00BC149E">
            <w:pPr>
              <w:jc w:val="center"/>
              <w:rPr>
                <w:b/>
                <w:bCs/>
                <w:color w:val="000000" w:themeColor="text1"/>
                <w:sz w:val="22"/>
                <w:szCs w:val="22"/>
              </w:rPr>
            </w:pPr>
            <w:r w:rsidRPr="00E849F8">
              <w:rPr>
                <w:b/>
                <w:bCs/>
                <w:color w:val="000000" w:themeColor="text1"/>
                <w:sz w:val="22"/>
                <w:szCs w:val="22"/>
              </w:rPr>
              <w:t>Percentage</w:t>
            </w:r>
          </w:p>
        </w:tc>
      </w:tr>
      <w:tr w:rsidR="00E849F8" w:rsidRPr="00E849F8" w14:paraId="16376DF5" w14:textId="77777777" w:rsidTr="00820164">
        <w:trPr>
          <w:tblCellSpacing w:w="15" w:type="dxa"/>
        </w:trPr>
        <w:tc>
          <w:tcPr>
            <w:tcW w:w="3924" w:type="dxa"/>
            <w:tcBorders>
              <w:top w:val="single" w:sz="24" w:space="0" w:color="auto"/>
              <w:bottom w:val="nil"/>
            </w:tcBorders>
            <w:vAlign w:val="center"/>
            <w:hideMark/>
          </w:tcPr>
          <w:p w14:paraId="1E80639F" w14:textId="77777777" w:rsidR="008C0757" w:rsidRPr="00E849F8" w:rsidRDefault="008C0757" w:rsidP="00BC149E">
            <w:pPr>
              <w:rPr>
                <w:color w:val="000000" w:themeColor="text1"/>
                <w:sz w:val="22"/>
                <w:szCs w:val="22"/>
              </w:rPr>
            </w:pPr>
            <w:r w:rsidRPr="00E849F8">
              <w:rPr>
                <w:color w:val="000000" w:themeColor="text1"/>
                <w:sz w:val="22"/>
                <w:szCs w:val="22"/>
              </w:rPr>
              <w:t>Parakumba Vidyalaya</w:t>
            </w:r>
          </w:p>
        </w:tc>
        <w:tc>
          <w:tcPr>
            <w:tcW w:w="2380" w:type="dxa"/>
            <w:tcBorders>
              <w:top w:val="single" w:sz="24" w:space="0" w:color="auto"/>
              <w:bottom w:val="nil"/>
            </w:tcBorders>
            <w:vAlign w:val="center"/>
            <w:hideMark/>
          </w:tcPr>
          <w:p w14:paraId="3E7A7CBD" w14:textId="77777777" w:rsidR="008C0757" w:rsidRPr="00E849F8" w:rsidRDefault="008C0757" w:rsidP="00BC149E">
            <w:pPr>
              <w:jc w:val="center"/>
              <w:rPr>
                <w:color w:val="000000" w:themeColor="text1"/>
                <w:sz w:val="22"/>
                <w:szCs w:val="22"/>
              </w:rPr>
            </w:pPr>
            <w:r w:rsidRPr="00E849F8">
              <w:rPr>
                <w:color w:val="000000" w:themeColor="text1"/>
                <w:sz w:val="22"/>
                <w:szCs w:val="22"/>
              </w:rPr>
              <w:t>30</w:t>
            </w:r>
          </w:p>
        </w:tc>
        <w:tc>
          <w:tcPr>
            <w:tcW w:w="2365" w:type="dxa"/>
            <w:tcBorders>
              <w:top w:val="single" w:sz="24" w:space="0" w:color="auto"/>
              <w:bottom w:val="nil"/>
            </w:tcBorders>
            <w:vAlign w:val="center"/>
            <w:hideMark/>
          </w:tcPr>
          <w:p w14:paraId="7C103E6A" w14:textId="77777777" w:rsidR="008C0757" w:rsidRPr="00E849F8" w:rsidRDefault="008C0757" w:rsidP="00BC149E">
            <w:pPr>
              <w:jc w:val="center"/>
              <w:rPr>
                <w:color w:val="000000" w:themeColor="text1"/>
                <w:sz w:val="22"/>
                <w:szCs w:val="22"/>
              </w:rPr>
            </w:pPr>
            <w:r w:rsidRPr="00E849F8">
              <w:rPr>
                <w:color w:val="000000" w:themeColor="text1"/>
                <w:sz w:val="22"/>
                <w:szCs w:val="22"/>
              </w:rPr>
              <w:t>20%</w:t>
            </w:r>
          </w:p>
        </w:tc>
      </w:tr>
      <w:tr w:rsidR="00E849F8" w:rsidRPr="00E849F8" w14:paraId="63B93950" w14:textId="77777777" w:rsidTr="00820164">
        <w:trPr>
          <w:tblCellSpacing w:w="15" w:type="dxa"/>
        </w:trPr>
        <w:tc>
          <w:tcPr>
            <w:tcW w:w="3924" w:type="dxa"/>
            <w:tcBorders>
              <w:top w:val="nil"/>
              <w:bottom w:val="nil"/>
            </w:tcBorders>
            <w:vAlign w:val="center"/>
            <w:hideMark/>
          </w:tcPr>
          <w:p w14:paraId="678216CF" w14:textId="77777777" w:rsidR="008C0757" w:rsidRPr="00E849F8" w:rsidRDefault="008C0757" w:rsidP="00BC149E">
            <w:pPr>
              <w:rPr>
                <w:color w:val="000000" w:themeColor="text1"/>
                <w:sz w:val="22"/>
                <w:szCs w:val="22"/>
              </w:rPr>
            </w:pPr>
            <w:r w:rsidRPr="00E849F8">
              <w:rPr>
                <w:color w:val="000000" w:themeColor="text1"/>
                <w:sz w:val="22"/>
                <w:szCs w:val="22"/>
              </w:rPr>
              <w:t>Hindu Vidyalaya</w:t>
            </w:r>
          </w:p>
        </w:tc>
        <w:tc>
          <w:tcPr>
            <w:tcW w:w="2380" w:type="dxa"/>
            <w:tcBorders>
              <w:top w:val="nil"/>
              <w:bottom w:val="nil"/>
            </w:tcBorders>
            <w:vAlign w:val="center"/>
            <w:hideMark/>
          </w:tcPr>
          <w:p w14:paraId="04B1F5FE" w14:textId="77777777" w:rsidR="008C0757" w:rsidRPr="00E849F8" w:rsidRDefault="008C0757" w:rsidP="00BC149E">
            <w:pPr>
              <w:jc w:val="center"/>
              <w:rPr>
                <w:color w:val="000000" w:themeColor="text1"/>
                <w:sz w:val="22"/>
                <w:szCs w:val="22"/>
              </w:rPr>
            </w:pPr>
            <w:r w:rsidRPr="00E849F8">
              <w:rPr>
                <w:color w:val="000000" w:themeColor="text1"/>
                <w:sz w:val="22"/>
                <w:szCs w:val="22"/>
              </w:rPr>
              <w:t>30</w:t>
            </w:r>
          </w:p>
        </w:tc>
        <w:tc>
          <w:tcPr>
            <w:tcW w:w="2365" w:type="dxa"/>
            <w:tcBorders>
              <w:top w:val="nil"/>
              <w:bottom w:val="nil"/>
            </w:tcBorders>
            <w:vAlign w:val="center"/>
            <w:hideMark/>
          </w:tcPr>
          <w:p w14:paraId="3A36CF3D" w14:textId="77777777" w:rsidR="008C0757" w:rsidRPr="00E849F8" w:rsidRDefault="008C0757" w:rsidP="00BC149E">
            <w:pPr>
              <w:jc w:val="center"/>
              <w:rPr>
                <w:color w:val="000000" w:themeColor="text1"/>
                <w:sz w:val="22"/>
                <w:szCs w:val="22"/>
              </w:rPr>
            </w:pPr>
            <w:r w:rsidRPr="00E849F8">
              <w:rPr>
                <w:color w:val="000000" w:themeColor="text1"/>
                <w:sz w:val="22"/>
                <w:szCs w:val="22"/>
              </w:rPr>
              <w:t>20%</w:t>
            </w:r>
          </w:p>
        </w:tc>
      </w:tr>
      <w:tr w:rsidR="00E849F8" w:rsidRPr="00E849F8" w14:paraId="0CF9B1A9" w14:textId="77777777" w:rsidTr="00820164">
        <w:trPr>
          <w:tblCellSpacing w:w="15" w:type="dxa"/>
        </w:trPr>
        <w:tc>
          <w:tcPr>
            <w:tcW w:w="3924" w:type="dxa"/>
            <w:vAlign w:val="center"/>
            <w:hideMark/>
          </w:tcPr>
          <w:p w14:paraId="53D8B051" w14:textId="77777777" w:rsidR="008C0757" w:rsidRPr="00E849F8" w:rsidRDefault="008C0757" w:rsidP="00BC149E">
            <w:pPr>
              <w:rPr>
                <w:color w:val="000000" w:themeColor="text1"/>
                <w:sz w:val="22"/>
                <w:szCs w:val="22"/>
              </w:rPr>
            </w:pPr>
            <w:r w:rsidRPr="00E849F8">
              <w:rPr>
                <w:color w:val="000000" w:themeColor="text1"/>
                <w:sz w:val="22"/>
                <w:szCs w:val="22"/>
              </w:rPr>
              <w:t>Roman Catholic School</w:t>
            </w:r>
          </w:p>
        </w:tc>
        <w:tc>
          <w:tcPr>
            <w:tcW w:w="2380" w:type="dxa"/>
            <w:vAlign w:val="center"/>
            <w:hideMark/>
          </w:tcPr>
          <w:p w14:paraId="3AF0EFBD" w14:textId="77777777" w:rsidR="008C0757" w:rsidRPr="00E849F8" w:rsidRDefault="008C0757" w:rsidP="00BC149E">
            <w:pPr>
              <w:jc w:val="center"/>
              <w:rPr>
                <w:color w:val="000000" w:themeColor="text1"/>
                <w:sz w:val="22"/>
                <w:szCs w:val="22"/>
              </w:rPr>
            </w:pPr>
            <w:r w:rsidRPr="00E849F8">
              <w:rPr>
                <w:color w:val="000000" w:themeColor="text1"/>
                <w:sz w:val="22"/>
                <w:szCs w:val="22"/>
              </w:rPr>
              <w:t>30</w:t>
            </w:r>
          </w:p>
        </w:tc>
        <w:tc>
          <w:tcPr>
            <w:tcW w:w="2365" w:type="dxa"/>
            <w:vAlign w:val="center"/>
            <w:hideMark/>
          </w:tcPr>
          <w:p w14:paraId="4829F71B" w14:textId="77777777" w:rsidR="008C0757" w:rsidRPr="00E849F8" w:rsidRDefault="008C0757" w:rsidP="00BC149E">
            <w:pPr>
              <w:jc w:val="center"/>
              <w:rPr>
                <w:color w:val="000000" w:themeColor="text1"/>
                <w:sz w:val="22"/>
                <w:szCs w:val="22"/>
              </w:rPr>
            </w:pPr>
            <w:r w:rsidRPr="00E849F8">
              <w:rPr>
                <w:color w:val="000000" w:themeColor="text1"/>
                <w:sz w:val="22"/>
                <w:szCs w:val="22"/>
              </w:rPr>
              <w:t>20%</w:t>
            </w:r>
          </w:p>
        </w:tc>
      </w:tr>
      <w:tr w:rsidR="00E849F8" w:rsidRPr="00E849F8" w14:paraId="002238FD" w14:textId="77777777" w:rsidTr="00820164">
        <w:trPr>
          <w:tblCellSpacing w:w="15" w:type="dxa"/>
        </w:trPr>
        <w:tc>
          <w:tcPr>
            <w:tcW w:w="3924" w:type="dxa"/>
            <w:vAlign w:val="center"/>
            <w:hideMark/>
          </w:tcPr>
          <w:p w14:paraId="6221549E" w14:textId="77777777" w:rsidR="008C0757" w:rsidRPr="00E849F8" w:rsidRDefault="008C0757" w:rsidP="00BC149E">
            <w:pPr>
              <w:rPr>
                <w:color w:val="000000" w:themeColor="text1"/>
                <w:sz w:val="22"/>
                <w:szCs w:val="22"/>
              </w:rPr>
            </w:pPr>
            <w:r w:rsidRPr="00E849F8">
              <w:rPr>
                <w:color w:val="000000" w:themeColor="text1"/>
                <w:sz w:val="22"/>
                <w:szCs w:val="22"/>
              </w:rPr>
              <w:t>Hewavithrana Vidyalaya</w:t>
            </w:r>
          </w:p>
        </w:tc>
        <w:tc>
          <w:tcPr>
            <w:tcW w:w="2380" w:type="dxa"/>
            <w:vAlign w:val="center"/>
            <w:hideMark/>
          </w:tcPr>
          <w:p w14:paraId="33B82264" w14:textId="77777777" w:rsidR="008C0757" w:rsidRPr="00E849F8" w:rsidRDefault="008C0757" w:rsidP="00BC149E">
            <w:pPr>
              <w:jc w:val="center"/>
              <w:rPr>
                <w:color w:val="000000" w:themeColor="text1"/>
                <w:sz w:val="22"/>
                <w:szCs w:val="22"/>
              </w:rPr>
            </w:pPr>
            <w:r w:rsidRPr="00E849F8">
              <w:rPr>
                <w:color w:val="000000" w:themeColor="text1"/>
                <w:sz w:val="22"/>
                <w:szCs w:val="22"/>
              </w:rPr>
              <w:t>30</w:t>
            </w:r>
          </w:p>
        </w:tc>
        <w:tc>
          <w:tcPr>
            <w:tcW w:w="2365" w:type="dxa"/>
            <w:vAlign w:val="center"/>
            <w:hideMark/>
          </w:tcPr>
          <w:p w14:paraId="3A0C2CDF" w14:textId="77777777" w:rsidR="008C0757" w:rsidRPr="00E849F8" w:rsidRDefault="008C0757" w:rsidP="00BC149E">
            <w:pPr>
              <w:jc w:val="center"/>
              <w:rPr>
                <w:color w:val="000000" w:themeColor="text1"/>
                <w:sz w:val="22"/>
                <w:szCs w:val="22"/>
              </w:rPr>
            </w:pPr>
            <w:r w:rsidRPr="00E849F8">
              <w:rPr>
                <w:color w:val="000000" w:themeColor="text1"/>
                <w:sz w:val="22"/>
                <w:szCs w:val="22"/>
              </w:rPr>
              <w:t>20%</w:t>
            </w:r>
          </w:p>
        </w:tc>
      </w:tr>
      <w:tr w:rsidR="00E849F8" w:rsidRPr="00E849F8" w14:paraId="46D28819" w14:textId="77777777" w:rsidTr="00820164">
        <w:trPr>
          <w:tblCellSpacing w:w="15" w:type="dxa"/>
        </w:trPr>
        <w:tc>
          <w:tcPr>
            <w:tcW w:w="3924" w:type="dxa"/>
            <w:vAlign w:val="center"/>
            <w:hideMark/>
          </w:tcPr>
          <w:p w14:paraId="3BF0EA72" w14:textId="77777777" w:rsidR="008C0757" w:rsidRPr="00E849F8" w:rsidRDefault="008C0757" w:rsidP="00BC149E">
            <w:pPr>
              <w:rPr>
                <w:color w:val="000000" w:themeColor="text1"/>
                <w:sz w:val="22"/>
                <w:szCs w:val="22"/>
              </w:rPr>
            </w:pPr>
            <w:r w:rsidRPr="00E849F8">
              <w:rPr>
                <w:color w:val="000000" w:themeColor="text1"/>
                <w:sz w:val="22"/>
                <w:szCs w:val="22"/>
              </w:rPr>
              <w:t>Sobitha Vidyalaya</w:t>
            </w:r>
          </w:p>
        </w:tc>
        <w:tc>
          <w:tcPr>
            <w:tcW w:w="2380" w:type="dxa"/>
            <w:vAlign w:val="center"/>
            <w:hideMark/>
          </w:tcPr>
          <w:p w14:paraId="245EFB86" w14:textId="77777777" w:rsidR="008C0757" w:rsidRPr="00E849F8" w:rsidRDefault="008C0757" w:rsidP="00BC149E">
            <w:pPr>
              <w:jc w:val="center"/>
              <w:rPr>
                <w:color w:val="000000" w:themeColor="text1"/>
                <w:sz w:val="22"/>
                <w:szCs w:val="22"/>
              </w:rPr>
            </w:pPr>
            <w:r w:rsidRPr="00E849F8">
              <w:rPr>
                <w:color w:val="000000" w:themeColor="text1"/>
                <w:sz w:val="22"/>
                <w:szCs w:val="22"/>
              </w:rPr>
              <w:t>30</w:t>
            </w:r>
          </w:p>
        </w:tc>
        <w:tc>
          <w:tcPr>
            <w:tcW w:w="2365" w:type="dxa"/>
            <w:vAlign w:val="center"/>
            <w:hideMark/>
          </w:tcPr>
          <w:p w14:paraId="6AE3F8F4" w14:textId="77777777" w:rsidR="008C0757" w:rsidRPr="00E849F8" w:rsidRDefault="008C0757" w:rsidP="00BC149E">
            <w:pPr>
              <w:jc w:val="center"/>
              <w:rPr>
                <w:color w:val="000000" w:themeColor="text1"/>
                <w:sz w:val="22"/>
                <w:szCs w:val="22"/>
              </w:rPr>
            </w:pPr>
            <w:r w:rsidRPr="00E849F8">
              <w:rPr>
                <w:color w:val="000000" w:themeColor="text1"/>
                <w:sz w:val="22"/>
                <w:szCs w:val="22"/>
              </w:rPr>
              <w:t>20%</w:t>
            </w:r>
          </w:p>
        </w:tc>
      </w:tr>
      <w:tr w:rsidR="00E849F8" w:rsidRPr="00E849F8" w14:paraId="31480B46" w14:textId="77777777" w:rsidTr="00820164">
        <w:trPr>
          <w:tblCellSpacing w:w="15" w:type="dxa"/>
        </w:trPr>
        <w:tc>
          <w:tcPr>
            <w:tcW w:w="3924" w:type="dxa"/>
            <w:tcBorders>
              <w:top w:val="single" w:sz="24" w:space="0" w:color="auto"/>
              <w:bottom w:val="nil"/>
            </w:tcBorders>
            <w:vAlign w:val="center"/>
            <w:hideMark/>
          </w:tcPr>
          <w:p w14:paraId="15BC10CF" w14:textId="77777777" w:rsidR="008C0757" w:rsidRPr="00E849F8" w:rsidRDefault="008C0757" w:rsidP="00BC149E">
            <w:pPr>
              <w:rPr>
                <w:color w:val="000000" w:themeColor="text1"/>
                <w:sz w:val="22"/>
                <w:szCs w:val="22"/>
              </w:rPr>
            </w:pPr>
            <w:r w:rsidRPr="00E849F8">
              <w:rPr>
                <w:rStyle w:val="Strong"/>
                <w:color w:val="000000" w:themeColor="text1"/>
                <w:sz w:val="22"/>
                <w:szCs w:val="22"/>
              </w:rPr>
              <w:t>Total</w:t>
            </w:r>
          </w:p>
        </w:tc>
        <w:tc>
          <w:tcPr>
            <w:tcW w:w="2380" w:type="dxa"/>
            <w:tcBorders>
              <w:top w:val="single" w:sz="24" w:space="0" w:color="auto"/>
              <w:bottom w:val="nil"/>
            </w:tcBorders>
            <w:vAlign w:val="center"/>
            <w:hideMark/>
          </w:tcPr>
          <w:p w14:paraId="6ADD93FD" w14:textId="77777777" w:rsidR="008C0757" w:rsidRPr="00E849F8" w:rsidRDefault="008C0757" w:rsidP="00BC149E">
            <w:pPr>
              <w:jc w:val="center"/>
              <w:rPr>
                <w:color w:val="000000" w:themeColor="text1"/>
                <w:sz w:val="22"/>
                <w:szCs w:val="22"/>
              </w:rPr>
            </w:pPr>
            <w:r w:rsidRPr="00E849F8">
              <w:rPr>
                <w:rStyle w:val="Strong"/>
                <w:color w:val="000000" w:themeColor="text1"/>
                <w:sz w:val="22"/>
                <w:szCs w:val="22"/>
              </w:rPr>
              <w:t>150</w:t>
            </w:r>
          </w:p>
        </w:tc>
        <w:tc>
          <w:tcPr>
            <w:tcW w:w="2365" w:type="dxa"/>
            <w:tcBorders>
              <w:top w:val="single" w:sz="24" w:space="0" w:color="auto"/>
              <w:bottom w:val="nil"/>
            </w:tcBorders>
            <w:vAlign w:val="center"/>
            <w:hideMark/>
          </w:tcPr>
          <w:p w14:paraId="518332FE" w14:textId="77777777" w:rsidR="008C0757" w:rsidRPr="00E849F8" w:rsidRDefault="008C0757" w:rsidP="00BC149E">
            <w:pPr>
              <w:jc w:val="center"/>
              <w:rPr>
                <w:color w:val="000000" w:themeColor="text1"/>
                <w:sz w:val="22"/>
                <w:szCs w:val="22"/>
              </w:rPr>
            </w:pPr>
            <w:r w:rsidRPr="00E849F8">
              <w:rPr>
                <w:rStyle w:val="Strong"/>
                <w:color w:val="000000" w:themeColor="text1"/>
                <w:sz w:val="22"/>
                <w:szCs w:val="22"/>
              </w:rPr>
              <w:t>100%</w:t>
            </w:r>
          </w:p>
        </w:tc>
      </w:tr>
    </w:tbl>
    <w:p w14:paraId="33E53D78" w14:textId="77777777" w:rsidR="008C0757" w:rsidRPr="00E849F8" w:rsidRDefault="008C0757" w:rsidP="008C0757">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lastRenderedPageBreak/>
        <w:t>5.2 Academic Performance and Attendance</w:t>
      </w:r>
    </w:p>
    <w:p w14:paraId="7C73F18B" w14:textId="77777777" w:rsidR="008C0757" w:rsidRPr="00E849F8" w:rsidRDefault="008C0757" w:rsidP="008C0757">
      <w:pPr>
        <w:pStyle w:val="isselectedend"/>
        <w:rPr>
          <w:color w:val="000000" w:themeColor="text1"/>
          <w:sz w:val="22"/>
          <w:szCs w:val="22"/>
        </w:rPr>
      </w:pPr>
      <w:r w:rsidRPr="00E849F8">
        <w:rPr>
          <w:color w:val="000000" w:themeColor="text1"/>
          <w:sz w:val="22"/>
          <w:szCs w:val="22"/>
        </w:rPr>
        <w:t>Girls consistently recorded higher average term marks, standardized test scores, and attendance than boys across all schools. School E showed the highest performance, while School D recorded the lowest overall outcomes.</w:t>
      </w:r>
    </w:p>
    <w:p w14:paraId="0706503E" w14:textId="77777777" w:rsidR="008C0757" w:rsidRPr="00E849F8" w:rsidRDefault="008C0757" w:rsidP="008C0757">
      <w:pPr>
        <w:pStyle w:val="isselectedend"/>
        <w:rPr>
          <w:color w:val="000000" w:themeColor="text1"/>
          <w:sz w:val="22"/>
          <w:szCs w:val="22"/>
        </w:rPr>
      </w:pPr>
      <w:r w:rsidRPr="00E849F8">
        <w:rPr>
          <w:rStyle w:val="Strong"/>
          <w:color w:val="000000" w:themeColor="text1"/>
          <w:sz w:val="22"/>
          <w:szCs w:val="22"/>
        </w:rPr>
        <w:t>Table 2: Academic Performance and Attendance by Gender and School</w:t>
      </w:r>
    </w:p>
    <w:tbl>
      <w:tblPr>
        <w:tblW w:w="0" w:type="auto"/>
        <w:tblCellSpacing w:w="15" w:type="dxa"/>
        <w:tblBorders>
          <w:top w:val="single" w:sz="24" w:space="0" w:color="auto"/>
          <w:bottom w:val="single" w:sz="24" w:space="0" w:color="auto"/>
        </w:tblBorders>
        <w:tblCellMar>
          <w:top w:w="15" w:type="dxa"/>
          <w:left w:w="15" w:type="dxa"/>
          <w:bottom w:w="15" w:type="dxa"/>
          <w:right w:w="15" w:type="dxa"/>
        </w:tblCellMar>
        <w:tblLook w:val="04A0" w:firstRow="1" w:lastRow="0" w:firstColumn="1" w:lastColumn="0" w:noHBand="0" w:noVBand="1"/>
      </w:tblPr>
      <w:tblGrid>
        <w:gridCol w:w="1985"/>
        <w:gridCol w:w="1417"/>
        <w:gridCol w:w="2127"/>
        <w:gridCol w:w="1701"/>
        <w:gridCol w:w="1701"/>
      </w:tblGrid>
      <w:tr w:rsidR="00E849F8" w:rsidRPr="00E849F8" w14:paraId="7BBCA48C" w14:textId="77777777" w:rsidTr="00BC149E">
        <w:trPr>
          <w:tblCellSpacing w:w="15" w:type="dxa"/>
        </w:trPr>
        <w:tc>
          <w:tcPr>
            <w:tcW w:w="1940" w:type="dxa"/>
            <w:vAlign w:val="center"/>
            <w:hideMark/>
          </w:tcPr>
          <w:p w14:paraId="18411FFC" w14:textId="77777777" w:rsidR="008C0757" w:rsidRPr="00E849F8" w:rsidRDefault="008C0757" w:rsidP="00BC149E">
            <w:pPr>
              <w:rPr>
                <w:b/>
                <w:bCs/>
                <w:color w:val="000000" w:themeColor="text1"/>
                <w:sz w:val="22"/>
                <w:szCs w:val="22"/>
              </w:rPr>
            </w:pPr>
            <w:r w:rsidRPr="00E849F8">
              <w:rPr>
                <w:b/>
                <w:bCs/>
                <w:color w:val="000000" w:themeColor="text1"/>
                <w:sz w:val="22"/>
                <w:szCs w:val="22"/>
              </w:rPr>
              <w:t>School</w:t>
            </w:r>
          </w:p>
        </w:tc>
        <w:tc>
          <w:tcPr>
            <w:tcW w:w="1387" w:type="dxa"/>
            <w:vAlign w:val="center"/>
            <w:hideMark/>
          </w:tcPr>
          <w:p w14:paraId="1574C8A3" w14:textId="77777777" w:rsidR="008C0757" w:rsidRPr="00E849F8" w:rsidRDefault="008C0757" w:rsidP="00BC149E">
            <w:pPr>
              <w:rPr>
                <w:b/>
                <w:bCs/>
                <w:color w:val="000000" w:themeColor="text1"/>
                <w:sz w:val="22"/>
                <w:szCs w:val="22"/>
              </w:rPr>
            </w:pPr>
            <w:r w:rsidRPr="00E849F8">
              <w:rPr>
                <w:b/>
                <w:bCs/>
                <w:color w:val="000000" w:themeColor="text1"/>
                <w:sz w:val="22"/>
                <w:szCs w:val="22"/>
              </w:rPr>
              <w:t>Gender</w:t>
            </w:r>
          </w:p>
        </w:tc>
        <w:tc>
          <w:tcPr>
            <w:tcW w:w="2097" w:type="dxa"/>
            <w:vAlign w:val="center"/>
            <w:hideMark/>
          </w:tcPr>
          <w:p w14:paraId="3C41D0A2" w14:textId="77777777" w:rsidR="008C0757" w:rsidRPr="00E849F8" w:rsidRDefault="008C0757" w:rsidP="00BC149E">
            <w:pPr>
              <w:rPr>
                <w:b/>
                <w:bCs/>
                <w:color w:val="000000" w:themeColor="text1"/>
                <w:sz w:val="22"/>
                <w:szCs w:val="22"/>
              </w:rPr>
            </w:pPr>
            <w:r w:rsidRPr="00E849F8">
              <w:rPr>
                <w:b/>
                <w:bCs/>
                <w:color w:val="000000" w:themeColor="text1"/>
                <w:sz w:val="22"/>
                <w:szCs w:val="22"/>
              </w:rPr>
              <w:t>Avg. Term Grade</w:t>
            </w:r>
          </w:p>
        </w:tc>
        <w:tc>
          <w:tcPr>
            <w:tcW w:w="1671" w:type="dxa"/>
            <w:vAlign w:val="center"/>
            <w:hideMark/>
          </w:tcPr>
          <w:p w14:paraId="43EDB244" w14:textId="77777777" w:rsidR="008C0757" w:rsidRPr="00E849F8" w:rsidRDefault="008C0757" w:rsidP="00BC149E">
            <w:pPr>
              <w:rPr>
                <w:b/>
                <w:bCs/>
                <w:color w:val="000000" w:themeColor="text1"/>
                <w:sz w:val="22"/>
                <w:szCs w:val="22"/>
              </w:rPr>
            </w:pPr>
            <w:r w:rsidRPr="00E849F8">
              <w:rPr>
                <w:b/>
                <w:bCs/>
                <w:color w:val="000000" w:themeColor="text1"/>
                <w:sz w:val="22"/>
                <w:szCs w:val="22"/>
              </w:rPr>
              <w:t>Avg. Test Score</w:t>
            </w:r>
          </w:p>
        </w:tc>
        <w:tc>
          <w:tcPr>
            <w:tcW w:w="1656" w:type="dxa"/>
            <w:vAlign w:val="center"/>
            <w:hideMark/>
          </w:tcPr>
          <w:p w14:paraId="10DCA543" w14:textId="77777777" w:rsidR="008C0757" w:rsidRPr="00E849F8" w:rsidRDefault="008C0757" w:rsidP="00BC149E">
            <w:pPr>
              <w:rPr>
                <w:b/>
                <w:bCs/>
                <w:color w:val="000000" w:themeColor="text1"/>
                <w:sz w:val="22"/>
                <w:szCs w:val="22"/>
              </w:rPr>
            </w:pPr>
            <w:r w:rsidRPr="00E849F8">
              <w:rPr>
                <w:b/>
                <w:bCs/>
                <w:color w:val="000000" w:themeColor="text1"/>
                <w:sz w:val="22"/>
                <w:szCs w:val="22"/>
              </w:rPr>
              <w:t>Avg. Attendance</w:t>
            </w:r>
          </w:p>
        </w:tc>
      </w:tr>
      <w:tr w:rsidR="00E849F8" w:rsidRPr="00E849F8" w14:paraId="1664ECDE" w14:textId="77777777" w:rsidTr="00BC149E">
        <w:trPr>
          <w:tblCellSpacing w:w="15" w:type="dxa"/>
        </w:trPr>
        <w:tc>
          <w:tcPr>
            <w:tcW w:w="1940" w:type="dxa"/>
            <w:tcBorders>
              <w:top w:val="single" w:sz="24" w:space="0" w:color="auto"/>
              <w:bottom w:val="nil"/>
            </w:tcBorders>
            <w:vAlign w:val="center"/>
            <w:hideMark/>
          </w:tcPr>
          <w:p w14:paraId="0F018B52" w14:textId="77777777" w:rsidR="008C0757" w:rsidRPr="00E849F8" w:rsidRDefault="008C0757" w:rsidP="00BC149E">
            <w:pPr>
              <w:rPr>
                <w:color w:val="000000" w:themeColor="text1"/>
                <w:sz w:val="20"/>
                <w:szCs w:val="20"/>
              </w:rPr>
            </w:pPr>
            <w:r w:rsidRPr="00E849F8">
              <w:rPr>
                <w:color w:val="000000" w:themeColor="text1"/>
                <w:sz w:val="20"/>
                <w:szCs w:val="20"/>
              </w:rPr>
              <w:t>A</w:t>
            </w:r>
          </w:p>
        </w:tc>
        <w:tc>
          <w:tcPr>
            <w:tcW w:w="1387" w:type="dxa"/>
            <w:tcBorders>
              <w:top w:val="single" w:sz="24" w:space="0" w:color="auto"/>
              <w:bottom w:val="nil"/>
            </w:tcBorders>
            <w:vAlign w:val="center"/>
            <w:hideMark/>
          </w:tcPr>
          <w:p w14:paraId="494A7106" w14:textId="77777777" w:rsidR="008C0757" w:rsidRPr="00E849F8" w:rsidRDefault="008C0757" w:rsidP="00BC149E">
            <w:pPr>
              <w:rPr>
                <w:color w:val="000000" w:themeColor="text1"/>
                <w:sz w:val="20"/>
                <w:szCs w:val="20"/>
              </w:rPr>
            </w:pPr>
            <w:r w:rsidRPr="00E849F8">
              <w:rPr>
                <w:color w:val="000000" w:themeColor="text1"/>
                <w:sz w:val="20"/>
                <w:szCs w:val="20"/>
              </w:rPr>
              <w:t>Boys</w:t>
            </w:r>
          </w:p>
        </w:tc>
        <w:tc>
          <w:tcPr>
            <w:tcW w:w="2097" w:type="dxa"/>
            <w:tcBorders>
              <w:top w:val="single" w:sz="24" w:space="0" w:color="auto"/>
              <w:bottom w:val="nil"/>
            </w:tcBorders>
            <w:vAlign w:val="center"/>
            <w:hideMark/>
          </w:tcPr>
          <w:p w14:paraId="47DEE1C6" w14:textId="77777777" w:rsidR="008C0757" w:rsidRPr="00E849F8" w:rsidRDefault="008C0757" w:rsidP="00BC149E">
            <w:pPr>
              <w:jc w:val="center"/>
              <w:rPr>
                <w:color w:val="000000" w:themeColor="text1"/>
                <w:sz w:val="20"/>
                <w:szCs w:val="20"/>
              </w:rPr>
            </w:pPr>
            <w:r w:rsidRPr="00E849F8">
              <w:rPr>
                <w:color w:val="000000" w:themeColor="text1"/>
                <w:sz w:val="20"/>
                <w:szCs w:val="20"/>
              </w:rPr>
              <w:t>72.3%</w:t>
            </w:r>
          </w:p>
        </w:tc>
        <w:tc>
          <w:tcPr>
            <w:tcW w:w="1671" w:type="dxa"/>
            <w:tcBorders>
              <w:top w:val="single" w:sz="24" w:space="0" w:color="auto"/>
              <w:bottom w:val="nil"/>
            </w:tcBorders>
            <w:vAlign w:val="center"/>
            <w:hideMark/>
          </w:tcPr>
          <w:p w14:paraId="4C8846AA" w14:textId="77777777" w:rsidR="008C0757" w:rsidRPr="00E849F8" w:rsidRDefault="008C0757" w:rsidP="00BC149E">
            <w:pPr>
              <w:jc w:val="center"/>
              <w:rPr>
                <w:color w:val="000000" w:themeColor="text1"/>
                <w:sz w:val="20"/>
                <w:szCs w:val="20"/>
              </w:rPr>
            </w:pPr>
            <w:r w:rsidRPr="00E849F8">
              <w:rPr>
                <w:color w:val="000000" w:themeColor="text1"/>
                <w:sz w:val="20"/>
                <w:szCs w:val="20"/>
              </w:rPr>
              <w:t>68.5%</w:t>
            </w:r>
          </w:p>
        </w:tc>
        <w:tc>
          <w:tcPr>
            <w:tcW w:w="1656" w:type="dxa"/>
            <w:tcBorders>
              <w:top w:val="single" w:sz="24" w:space="0" w:color="auto"/>
              <w:bottom w:val="nil"/>
            </w:tcBorders>
            <w:vAlign w:val="center"/>
            <w:hideMark/>
          </w:tcPr>
          <w:p w14:paraId="230BCA84" w14:textId="77777777" w:rsidR="008C0757" w:rsidRPr="00E849F8" w:rsidRDefault="008C0757" w:rsidP="00BC149E">
            <w:pPr>
              <w:jc w:val="center"/>
              <w:rPr>
                <w:color w:val="000000" w:themeColor="text1"/>
                <w:sz w:val="20"/>
                <w:szCs w:val="20"/>
              </w:rPr>
            </w:pPr>
            <w:r w:rsidRPr="00E849F8">
              <w:rPr>
                <w:color w:val="000000" w:themeColor="text1"/>
                <w:sz w:val="20"/>
                <w:szCs w:val="20"/>
              </w:rPr>
              <w:t>88.4%</w:t>
            </w:r>
          </w:p>
        </w:tc>
      </w:tr>
      <w:tr w:rsidR="00E849F8" w:rsidRPr="00E849F8" w14:paraId="68FB7B96" w14:textId="77777777" w:rsidTr="00BC149E">
        <w:trPr>
          <w:tblCellSpacing w:w="15" w:type="dxa"/>
        </w:trPr>
        <w:tc>
          <w:tcPr>
            <w:tcW w:w="1940" w:type="dxa"/>
            <w:vAlign w:val="center"/>
            <w:hideMark/>
          </w:tcPr>
          <w:p w14:paraId="38DFBBFE" w14:textId="77777777" w:rsidR="008C0757" w:rsidRPr="00E849F8" w:rsidRDefault="008C0757" w:rsidP="00BC149E">
            <w:pPr>
              <w:rPr>
                <w:color w:val="000000" w:themeColor="text1"/>
                <w:sz w:val="20"/>
                <w:szCs w:val="20"/>
              </w:rPr>
            </w:pPr>
            <w:r w:rsidRPr="00E849F8">
              <w:rPr>
                <w:color w:val="000000" w:themeColor="text1"/>
                <w:sz w:val="20"/>
                <w:szCs w:val="20"/>
              </w:rPr>
              <w:t>A</w:t>
            </w:r>
          </w:p>
        </w:tc>
        <w:tc>
          <w:tcPr>
            <w:tcW w:w="1387" w:type="dxa"/>
            <w:vAlign w:val="center"/>
            <w:hideMark/>
          </w:tcPr>
          <w:p w14:paraId="7A3BD3B7" w14:textId="77777777" w:rsidR="008C0757" w:rsidRPr="00E849F8" w:rsidRDefault="008C0757" w:rsidP="00BC149E">
            <w:pPr>
              <w:rPr>
                <w:color w:val="000000" w:themeColor="text1"/>
                <w:sz w:val="20"/>
                <w:szCs w:val="20"/>
              </w:rPr>
            </w:pPr>
            <w:r w:rsidRPr="00E849F8">
              <w:rPr>
                <w:color w:val="000000" w:themeColor="text1"/>
                <w:sz w:val="20"/>
                <w:szCs w:val="20"/>
              </w:rPr>
              <w:t>Girls</w:t>
            </w:r>
          </w:p>
        </w:tc>
        <w:tc>
          <w:tcPr>
            <w:tcW w:w="2097" w:type="dxa"/>
            <w:vAlign w:val="center"/>
            <w:hideMark/>
          </w:tcPr>
          <w:p w14:paraId="64360884" w14:textId="77777777" w:rsidR="008C0757" w:rsidRPr="00E849F8" w:rsidRDefault="008C0757" w:rsidP="00BC149E">
            <w:pPr>
              <w:jc w:val="center"/>
              <w:rPr>
                <w:color w:val="000000" w:themeColor="text1"/>
                <w:sz w:val="20"/>
                <w:szCs w:val="20"/>
              </w:rPr>
            </w:pPr>
            <w:r w:rsidRPr="00E849F8">
              <w:rPr>
                <w:color w:val="000000" w:themeColor="text1"/>
                <w:sz w:val="20"/>
                <w:szCs w:val="20"/>
              </w:rPr>
              <w:t>76.8%</w:t>
            </w:r>
          </w:p>
        </w:tc>
        <w:tc>
          <w:tcPr>
            <w:tcW w:w="1671" w:type="dxa"/>
            <w:vAlign w:val="center"/>
            <w:hideMark/>
          </w:tcPr>
          <w:p w14:paraId="07F1A5AB" w14:textId="77777777" w:rsidR="008C0757" w:rsidRPr="00E849F8" w:rsidRDefault="008C0757" w:rsidP="00BC149E">
            <w:pPr>
              <w:jc w:val="center"/>
              <w:rPr>
                <w:color w:val="000000" w:themeColor="text1"/>
                <w:sz w:val="20"/>
                <w:szCs w:val="20"/>
              </w:rPr>
            </w:pPr>
            <w:r w:rsidRPr="00E849F8">
              <w:rPr>
                <w:color w:val="000000" w:themeColor="text1"/>
                <w:sz w:val="20"/>
                <w:szCs w:val="20"/>
              </w:rPr>
              <w:t>74.2%</w:t>
            </w:r>
          </w:p>
        </w:tc>
        <w:tc>
          <w:tcPr>
            <w:tcW w:w="1656" w:type="dxa"/>
            <w:vAlign w:val="center"/>
            <w:hideMark/>
          </w:tcPr>
          <w:p w14:paraId="5C6D524F" w14:textId="77777777" w:rsidR="008C0757" w:rsidRPr="00E849F8" w:rsidRDefault="008C0757" w:rsidP="00BC149E">
            <w:pPr>
              <w:jc w:val="center"/>
              <w:rPr>
                <w:color w:val="000000" w:themeColor="text1"/>
                <w:sz w:val="20"/>
                <w:szCs w:val="20"/>
              </w:rPr>
            </w:pPr>
            <w:r w:rsidRPr="00E849F8">
              <w:rPr>
                <w:color w:val="000000" w:themeColor="text1"/>
                <w:sz w:val="20"/>
                <w:szCs w:val="20"/>
              </w:rPr>
              <w:t>91.1%</w:t>
            </w:r>
          </w:p>
        </w:tc>
      </w:tr>
      <w:tr w:rsidR="00E849F8" w:rsidRPr="00E849F8" w14:paraId="1CC6AD5A" w14:textId="77777777" w:rsidTr="00BC149E">
        <w:trPr>
          <w:tblCellSpacing w:w="15" w:type="dxa"/>
        </w:trPr>
        <w:tc>
          <w:tcPr>
            <w:tcW w:w="1940" w:type="dxa"/>
            <w:vAlign w:val="center"/>
            <w:hideMark/>
          </w:tcPr>
          <w:p w14:paraId="12C10FFF" w14:textId="77777777" w:rsidR="008C0757" w:rsidRPr="00E849F8" w:rsidRDefault="008C0757" w:rsidP="00BC149E">
            <w:pPr>
              <w:rPr>
                <w:color w:val="000000" w:themeColor="text1"/>
                <w:sz w:val="20"/>
                <w:szCs w:val="20"/>
              </w:rPr>
            </w:pPr>
            <w:r w:rsidRPr="00E849F8">
              <w:rPr>
                <w:color w:val="000000" w:themeColor="text1"/>
                <w:sz w:val="20"/>
                <w:szCs w:val="20"/>
              </w:rPr>
              <w:t>B</w:t>
            </w:r>
          </w:p>
        </w:tc>
        <w:tc>
          <w:tcPr>
            <w:tcW w:w="1387" w:type="dxa"/>
            <w:vAlign w:val="center"/>
            <w:hideMark/>
          </w:tcPr>
          <w:p w14:paraId="138F6FB3" w14:textId="77777777" w:rsidR="008C0757" w:rsidRPr="00E849F8" w:rsidRDefault="008C0757" w:rsidP="00BC149E">
            <w:pPr>
              <w:rPr>
                <w:color w:val="000000" w:themeColor="text1"/>
                <w:sz w:val="20"/>
                <w:szCs w:val="20"/>
              </w:rPr>
            </w:pPr>
            <w:r w:rsidRPr="00E849F8">
              <w:rPr>
                <w:color w:val="000000" w:themeColor="text1"/>
                <w:sz w:val="20"/>
                <w:szCs w:val="20"/>
              </w:rPr>
              <w:t>Boys</w:t>
            </w:r>
          </w:p>
        </w:tc>
        <w:tc>
          <w:tcPr>
            <w:tcW w:w="2097" w:type="dxa"/>
            <w:vAlign w:val="center"/>
            <w:hideMark/>
          </w:tcPr>
          <w:p w14:paraId="00BCD323" w14:textId="77777777" w:rsidR="008C0757" w:rsidRPr="00E849F8" w:rsidRDefault="008C0757" w:rsidP="00BC149E">
            <w:pPr>
              <w:jc w:val="center"/>
              <w:rPr>
                <w:color w:val="000000" w:themeColor="text1"/>
                <w:sz w:val="20"/>
                <w:szCs w:val="20"/>
              </w:rPr>
            </w:pPr>
            <w:r w:rsidRPr="00E849F8">
              <w:rPr>
                <w:color w:val="000000" w:themeColor="text1"/>
                <w:sz w:val="20"/>
                <w:szCs w:val="20"/>
              </w:rPr>
              <w:t>70.5%</w:t>
            </w:r>
          </w:p>
        </w:tc>
        <w:tc>
          <w:tcPr>
            <w:tcW w:w="1671" w:type="dxa"/>
            <w:vAlign w:val="center"/>
            <w:hideMark/>
          </w:tcPr>
          <w:p w14:paraId="66FCA687" w14:textId="77777777" w:rsidR="008C0757" w:rsidRPr="00E849F8" w:rsidRDefault="008C0757" w:rsidP="00BC149E">
            <w:pPr>
              <w:jc w:val="center"/>
              <w:rPr>
                <w:color w:val="000000" w:themeColor="text1"/>
                <w:sz w:val="20"/>
                <w:szCs w:val="20"/>
              </w:rPr>
            </w:pPr>
            <w:r w:rsidRPr="00E849F8">
              <w:rPr>
                <w:color w:val="000000" w:themeColor="text1"/>
                <w:sz w:val="20"/>
                <w:szCs w:val="20"/>
              </w:rPr>
              <w:t>66.3%</w:t>
            </w:r>
          </w:p>
        </w:tc>
        <w:tc>
          <w:tcPr>
            <w:tcW w:w="1656" w:type="dxa"/>
            <w:vAlign w:val="center"/>
            <w:hideMark/>
          </w:tcPr>
          <w:p w14:paraId="058D6775" w14:textId="77777777" w:rsidR="008C0757" w:rsidRPr="00E849F8" w:rsidRDefault="008C0757" w:rsidP="00BC149E">
            <w:pPr>
              <w:jc w:val="center"/>
              <w:rPr>
                <w:color w:val="000000" w:themeColor="text1"/>
                <w:sz w:val="20"/>
                <w:szCs w:val="20"/>
              </w:rPr>
            </w:pPr>
            <w:r w:rsidRPr="00E849F8">
              <w:rPr>
                <w:color w:val="000000" w:themeColor="text1"/>
                <w:sz w:val="20"/>
                <w:szCs w:val="20"/>
              </w:rPr>
              <w:t>87.5%</w:t>
            </w:r>
          </w:p>
        </w:tc>
      </w:tr>
      <w:tr w:rsidR="00E849F8" w:rsidRPr="00E849F8" w14:paraId="053013E4" w14:textId="77777777" w:rsidTr="00BC149E">
        <w:trPr>
          <w:tblCellSpacing w:w="15" w:type="dxa"/>
        </w:trPr>
        <w:tc>
          <w:tcPr>
            <w:tcW w:w="1940" w:type="dxa"/>
            <w:vAlign w:val="center"/>
            <w:hideMark/>
          </w:tcPr>
          <w:p w14:paraId="0CF511DE" w14:textId="77777777" w:rsidR="008C0757" w:rsidRPr="00E849F8" w:rsidRDefault="008C0757" w:rsidP="00BC149E">
            <w:pPr>
              <w:rPr>
                <w:color w:val="000000" w:themeColor="text1"/>
                <w:sz w:val="20"/>
                <w:szCs w:val="20"/>
              </w:rPr>
            </w:pPr>
            <w:r w:rsidRPr="00E849F8">
              <w:rPr>
                <w:color w:val="000000" w:themeColor="text1"/>
                <w:sz w:val="20"/>
                <w:szCs w:val="20"/>
              </w:rPr>
              <w:t>B</w:t>
            </w:r>
          </w:p>
        </w:tc>
        <w:tc>
          <w:tcPr>
            <w:tcW w:w="1387" w:type="dxa"/>
            <w:vAlign w:val="center"/>
            <w:hideMark/>
          </w:tcPr>
          <w:p w14:paraId="30BB1FA8" w14:textId="77777777" w:rsidR="008C0757" w:rsidRPr="00E849F8" w:rsidRDefault="008C0757" w:rsidP="00BC149E">
            <w:pPr>
              <w:rPr>
                <w:color w:val="000000" w:themeColor="text1"/>
                <w:sz w:val="20"/>
                <w:szCs w:val="20"/>
              </w:rPr>
            </w:pPr>
            <w:r w:rsidRPr="00E849F8">
              <w:rPr>
                <w:color w:val="000000" w:themeColor="text1"/>
                <w:sz w:val="20"/>
                <w:szCs w:val="20"/>
              </w:rPr>
              <w:t>Girls</w:t>
            </w:r>
          </w:p>
        </w:tc>
        <w:tc>
          <w:tcPr>
            <w:tcW w:w="2097" w:type="dxa"/>
            <w:vAlign w:val="center"/>
            <w:hideMark/>
          </w:tcPr>
          <w:p w14:paraId="15BA37BE" w14:textId="77777777" w:rsidR="008C0757" w:rsidRPr="00E849F8" w:rsidRDefault="008C0757" w:rsidP="00BC149E">
            <w:pPr>
              <w:jc w:val="center"/>
              <w:rPr>
                <w:color w:val="000000" w:themeColor="text1"/>
                <w:sz w:val="20"/>
                <w:szCs w:val="20"/>
              </w:rPr>
            </w:pPr>
            <w:r w:rsidRPr="00E849F8">
              <w:rPr>
                <w:color w:val="000000" w:themeColor="text1"/>
                <w:sz w:val="20"/>
                <w:szCs w:val="20"/>
              </w:rPr>
              <w:t>75.0%</w:t>
            </w:r>
          </w:p>
        </w:tc>
        <w:tc>
          <w:tcPr>
            <w:tcW w:w="1671" w:type="dxa"/>
            <w:vAlign w:val="center"/>
            <w:hideMark/>
          </w:tcPr>
          <w:p w14:paraId="23F920FC" w14:textId="77777777" w:rsidR="008C0757" w:rsidRPr="00E849F8" w:rsidRDefault="008C0757" w:rsidP="00BC149E">
            <w:pPr>
              <w:jc w:val="center"/>
              <w:rPr>
                <w:color w:val="000000" w:themeColor="text1"/>
                <w:sz w:val="20"/>
                <w:szCs w:val="20"/>
              </w:rPr>
            </w:pPr>
            <w:r w:rsidRPr="00E849F8">
              <w:rPr>
                <w:color w:val="000000" w:themeColor="text1"/>
                <w:sz w:val="20"/>
                <w:szCs w:val="20"/>
              </w:rPr>
              <w:t>71.6%</w:t>
            </w:r>
          </w:p>
        </w:tc>
        <w:tc>
          <w:tcPr>
            <w:tcW w:w="1656" w:type="dxa"/>
            <w:vAlign w:val="center"/>
            <w:hideMark/>
          </w:tcPr>
          <w:p w14:paraId="2773166D" w14:textId="77777777" w:rsidR="008C0757" w:rsidRPr="00E849F8" w:rsidRDefault="008C0757" w:rsidP="00BC149E">
            <w:pPr>
              <w:jc w:val="center"/>
              <w:rPr>
                <w:color w:val="000000" w:themeColor="text1"/>
                <w:sz w:val="20"/>
                <w:szCs w:val="20"/>
              </w:rPr>
            </w:pPr>
            <w:r w:rsidRPr="00E849F8">
              <w:rPr>
                <w:color w:val="000000" w:themeColor="text1"/>
                <w:sz w:val="20"/>
                <w:szCs w:val="20"/>
              </w:rPr>
              <w:t>89.9%</w:t>
            </w:r>
          </w:p>
        </w:tc>
      </w:tr>
      <w:tr w:rsidR="00E849F8" w:rsidRPr="00E849F8" w14:paraId="3AFE8384" w14:textId="77777777" w:rsidTr="00BC149E">
        <w:trPr>
          <w:tblCellSpacing w:w="15" w:type="dxa"/>
        </w:trPr>
        <w:tc>
          <w:tcPr>
            <w:tcW w:w="1940" w:type="dxa"/>
            <w:vAlign w:val="center"/>
            <w:hideMark/>
          </w:tcPr>
          <w:p w14:paraId="2077BF76" w14:textId="77777777" w:rsidR="008C0757" w:rsidRPr="00E849F8" w:rsidRDefault="008C0757" w:rsidP="00BC149E">
            <w:pPr>
              <w:rPr>
                <w:color w:val="000000" w:themeColor="text1"/>
                <w:sz w:val="20"/>
                <w:szCs w:val="20"/>
              </w:rPr>
            </w:pPr>
            <w:r w:rsidRPr="00E849F8">
              <w:rPr>
                <w:color w:val="000000" w:themeColor="text1"/>
                <w:sz w:val="20"/>
                <w:szCs w:val="20"/>
              </w:rPr>
              <w:t>C</w:t>
            </w:r>
          </w:p>
        </w:tc>
        <w:tc>
          <w:tcPr>
            <w:tcW w:w="1387" w:type="dxa"/>
            <w:vAlign w:val="center"/>
            <w:hideMark/>
          </w:tcPr>
          <w:p w14:paraId="2CF8DD19" w14:textId="77777777" w:rsidR="008C0757" w:rsidRPr="00E849F8" w:rsidRDefault="008C0757" w:rsidP="00BC149E">
            <w:pPr>
              <w:rPr>
                <w:color w:val="000000" w:themeColor="text1"/>
                <w:sz w:val="20"/>
                <w:szCs w:val="20"/>
              </w:rPr>
            </w:pPr>
            <w:r w:rsidRPr="00E849F8">
              <w:rPr>
                <w:color w:val="000000" w:themeColor="text1"/>
                <w:sz w:val="20"/>
                <w:szCs w:val="20"/>
              </w:rPr>
              <w:t>Boys</w:t>
            </w:r>
          </w:p>
        </w:tc>
        <w:tc>
          <w:tcPr>
            <w:tcW w:w="2097" w:type="dxa"/>
            <w:vAlign w:val="center"/>
            <w:hideMark/>
          </w:tcPr>
          <w:p w14:paraId="6246C9A4" w14:textId="77777777" w:rsidR="008C0757" w:rsidRPr="00E849F8" w:rsidRDefault="008C0757" w:rsidP="00BC149E">
            <w:pPr>
              <w:jc w:val="center"/>
              <w:rPr>
                <w:color w:val="000000" w:themeColor="text1"/>
                <w:sz w:val="20"/>
                <w:szCs w:val="20"/>
              </w:rPr>
            </w:pPr>
            <w:r w:rsidRPr="00E849F8">
              <w:rPr>
                <w:color w:val="000000" w:themeColor="text1"/>
                <w:sz w:val="20"/>
                <w:szCs w:val="20"/>
              </w:rPr>
              <w:t>71.8%</w:t>
            </w:r>
          </w:p>
        </w:tc>
        <w:tc>
          <w:tcPr>
            <w:tcW w:w="1671" w:type="dxa"/>
            <w:vAlign w:val="center"/>
            <w:hideMark/>
          </w:tcPr>
          <w:p w14:paraId="50B2964F" w14:textId="77777777" w:rsidR="008C0757" w:rsidRPr="00E849F8" w:rsidRDefault="008C0757" w:rsidP="00BC149E">
            <w:pPr>
              <w:jc w:val="center"/>
              <w:rPr>
                <w:color w:val="000000" w:themeColor="text1"/>
                <w:sz w:val="20"/>
                <w:szCs w:val="20"/>
              </w:rPr>
            </w:pPr>
            <w:r w:rsidRPr="00E849F8">
              <w:rPr>
                <w:color w:val="000000" w:themeColor="text1"/>
                <w:sz w:val="20"/>
                <w:szCs w:val="20"/>
              </w:rPr>
              <w:t>67.0%</w:t>
            </w:r>
          </w:p>
        </w:tc>
        <w:tc>
          <w:tcPr>
            <w:tcW w:w="1656" w:type="dxa"/>
            <w:vAlign w:val="center"/>
            <w:hideMark/>
          </w:tcPr>
          <w:p w14:paraId="6E3D2698" w14:textId="77777777" w:rsidR="008C0757" w:rsidRPr="00E849F8" w:rsidRDefault="008C0757" w:rsidP="00BC149E">
            <w:pPr>
              <w:jc w:val="center"/>
              <w:rPr>
                <w:color w:val="000000" w:themeColor="text1"/>
                <w:sz w:val="20"/>
                <w:szCs w:val="20"/>
              </w:rPr>
            </w:pPr>
            <w:r w:rsidRPr="00E849F8">
              <w:rPr>
                <w:color w:val="000000" w:themeColor="text1"/>
                <w:sz w:val="20"/>
                <w:szCs w:val="20"/>
              </w:rPr>
              <w:t>88.8%</w:t>
            </w:r>
          </w:p>
        </w:tc>
      </w:tr>
      <w:tr w:rsidR="00E849F8" w:rsidRPr="00E849F8" w14:paraId="10D3FAE1" w14:textId="77777777" w:rsidTr="00BC149E">
        <w:trPr>
          <w:tblCellSpacing w:w="15" w:type="dxa"/>
        </w:trPr>
        <w:tc>
          <w:tcPr>
            <w:tcW w:w="1940" w:type="dxa"/>
            <w:vAlign w:val="center"/>
            <w:hideMark/>
          </w:tcPr>
          <w:p w14:paraId="510820D0" w14:textId="77777777" w:rsidR="008C0757" w:rsidRPr="00E849F8" w:rsidRDefault="008C0757" w:rsidP="00BC149E">
            <w:pPr>
              <w:rPr>
                <w:color w:val="000000" w:themeColor="text1"/>
                <w:sz w:val="20"/>
                <w:szCs w:val="20"/>
              </w:rPr>
            </w:pPr>
            <w:r w:rsidRPr="00E849F8">
              <w:rPr>
                <w:color w:val="000000" w:themeColor="text1"/>
                <w:sz w:val="20"/>
                <w:szCs w:val="20"/>
              </w:rPr>
              <w:t>C</w:t>
            </w:r>
          </w:p>
        </w:tc>
        <w:tc>
          <w:tcPr>
            <w:tcW w:w="1387" w:type="dxa"/>
            <w:vAlign w:val="center"/>
            <w:hideMark/>
          </w:tcPr>
          <w:p w14:paraId="3FDFBECD" w14:textId="77777777" w:rsidR="008C0757" w:rsidRPr="00E849F8" w:rsidRDefault="008C0757" w:rsidP="00BC149E">
            <w:pPr>
              <w:rPr>
                <w:color w:val="000000" w:themeColor="text1"/>
                <w:sz w:val="20"/>
                <w:szCs w:val="20"/>
              </w:rPr>
            </w:pPr>
            <w:r w:rsidRPr="00E849F8">
              <w:rPr>
                <w:color w:val="000000" w:themeColor="text1"/>
                <w:sz w:val="20"/>
                <w:szCs w:val="20"/>
              </w:rPr>
              <w:t>Girls</w:t>
            </w:r>
          </w:p>
        </w:tc>
        <w:tc>
          <w:tcPr>
            <w:tcW w:w="2097" w:type="dxa"/>
            <w:vAlign w:val="center"/>
            <w:hideMark/>
          </w:tcPr>
          <w:p w14:paraId="05A7A641" w14:textId="77777777" w:rsidR="008C0757" w:rsidRPr="00E849F8" w:rsidRDefault="008C0757" w:rsidP="00BC149E">
            <w:pPr>
              <w:jc w:val="center"/>
              <w:rPr>
                <w:color w:val="000000" w:themeColor="text1"/>
                <w:sz w:val="20"/>
                <w:szCs w:val="20"/>
              </w:rPr>
            </w:pPr>
            <w:r w:rsidRPr="00E849F8">
              <w:rPr>
                <w:color w:val="000000" w:themeColor="text1"/>
                <w:sz w:val="20"/>
                <w:szCs w:val="20"/>
              </w:rPr>
              <w:t>76.1%</w:t>
            </w:r>
          </w:p>
        </w:tc>
        <w:tc>
          <w:tcPr>
            <w:tcW w:w="1671" w:type="dxa"/>
            <w:vAlign w:val="center"/>
            <w:hideMark/>
          </w:tcPr>
          <w:p w14:paraId="0BA1AEAF" w14:textId="77777777" w:rsidR="008C0757" w:rsidRPr="00E849F8" w:rsidRDefault="008C0757" w:rsidP="00BC149E">
            <w:pPr>
              <w:jc w:val="center"/>
              <w:rPr>
                <w:color w:val="000000" w:themeColor="text1"/>
                <w:sz w:val="20"/>
                <w:szCs w:val="20"/>
              </w:rPr>
            </w:pPr>
            <w:r w:rsidRPr="00E849F8">
              <w:rPr>
                <w:color w:val="000000" w:themeColor="text1"/>
                <w:sz w:val="20"/>
                <w:szCs w:val="20"/>
              </w:rPr>
              <w:t>72.8%</w:t>
            </w:r>
          </w:p>
        </w:tc>
        <w:tc>
          <w:tcPr>
            <w:tcW w:w="1656" w:type="dxa"/>
            <w:vAlign w:val="center"/>
            <w:hideMark/>
          </w:tcPr>
          <w:p w14:paraId="54B72359" w14:textId="77777777" w:rsidR="008C0757" w:rsidRPr="00E849F8" w:rsidRDefault="008C0757" w:rsidP="00BC149E">
            <w:pPr>
              <w:jc w:val="center"/>
              <w:rPr>
                <w:color w:val="000000" w:themeColor="text1"/>
                <w:sz w:val="20"/>
                <w:szCs w:val="20"/>
              </w:rPr>
            </w:pPr>
            <w:r w:rsidRPr="00E849F8">
              <w:rPr>
                <w:color w:val="000000" w:themeColor="text1"/>
                <w:sz w:val="20"/>
                <w:szCs w:val="20"/>
              </w:rPr>
              <w:t>90.7%</w:t>
            </w:r>
          </w:p>
        </w:tc>
      </w:tr>
      <w:tr w:rsidR="00E849F8" w:rsidRPr="00E849F8" w14:paraId="1885C42B" w14:textId="77777777" w:rsidTr="00BC149E">
        <w:trPr>
          <w:tblCellSpacing w:w="15" w:type="dxa"/>
        </w:trPr>
        <w:tc>
          <w:tcPr>
            <w:tcW w:w="1940" w:type="dxa"/>
            <w:vAlign w:val="center"/>
            <w:hideMark/>
          </w:tcPr>
          <w:p w14:paraId="2F4C52A5" w14:textId="77777777" w:rsidR="008C0757" w:rsidRPr="00E849F8" w:rsidRDefault="008C0757" w:rsidP="00BC149E">
            <w:pPr>
              <w:rPr>
                <w:color w:val="000000" w:themeColor="text1"/>
                <w:sz w:val="20"/>
                <w:szCs w:val="20"/>
              </w:rPr>
            </w:pPr>
            <w:r w:rsidRPr="00E849F8">
              <w:rPr>
                <w:color w:val="000000" w:themeColor="text1"/>
                <w:sz w:val="20"/>
                <w:szCs w:val="20"/>
              </w:rPr>
              <w:t>D</w:t>
            </w:r>
          </w:p>
        </w:tc>
        <w:tc>
          <w:tcPr>
            <w:tcW w:w="1387" w:type="dxa"/>
            <w:vAlign w:val="center"/>
            <w:hideMark/>
          </w:tcPr>
          <w:p w14:paraId="1E0B53AB" w14:textId="77777777" w:rsidR="008C0757" w:rsidRPr="00E849F8" w:rsidRDefault="008C0757" w:rsidP="00BC149E">
            <w:pPr>
              <w:rPr>
                <w:color w:val="000000" w:themeColor="text1"/>
                <w:sz w:val="20"/>
                <w:szCs w:val="20"/>
              </w:rPr>
            </w:pPr>
            <w:r w:rsidRPr="00E849F8">
              <w:rPr>
                <w:color w:val="000000" w:themeColor="text1"/>
                <w:sz w:val="20"/>
                <w:szCs w:val="20"/>
              </w:rPr>
              <w:t>Boys</w:t>
            </w:r>
          </w:p>
        </w:tc>
        <w:tc>
          <w:tcPr>
            <w:tcW w:w="2097" w:type="dxa"/>
            <w:vAlign w:val="center"/>
            <w:hideMark/>
          </w:tcPr>
          <w:p w14:paraId="339584CA" w14:textId="77777777" w:rsidR="008C0757" w:rsidRPr="00E849F8" w:rsidRDefault="008C0757" w:rsidP="00BC149E">
            <w:pPr>
              <w:jc w:val="center"/>
              <w:rPr>
                <w:color w:val="000000" w:themeColor="text1"/>
                <w:sz w:val="20"/>
                <w:szCs w:val="20"/>
              </w:rPr>
            </w:pPr>
            <w:r w:rsidRPr="00E849F8">
              <w:rPr>
                <w:color w:val="000000" w:themeColor="text1"/>
                <w:sz w:val="20"/>
                <w:szCs w:val="20"/>
              </w:rPr>
              <w:t>69.4%</w:t>
            </w:r>
          </w:p>
        </w:tc>
        <w:tc>
          <w:tcPr>
            <w:tcW w:w="1671" w:type="dxa"/>
            <w:vAlign w:val="center"/>
            <w:hideMark/>
          </w:tcPr>
          <w:p w14:paraId="0A13FFAB" w14:textId="77777777" w:rsidR="008C0757" w:rsidRPr="00E849F8" w:rsidRDefault="008C0757" w:rsidP="00BC149E">
            <w:pPr>
              <w:jc w:val="center"/>
              <w:rPr>
                <w:color w:val="000000" w:themeColor="text1"/>
                <w:sz w:val="20"/>
                <w:szCs w:val="20"/>
              </w:rPr>
            </w:pPr>
            <w:r w:rsidRPr="00E849F8">
              <w:rPr>
                <w:color w:val="000000" w:themeColor="text1"/>
                <w:sz w:val="20"/>
                <w:szCs w:val="20"/>
              </w:rPr>
              <w:t>65.9%</w:t>
            </w:r>
          </w:p>
        </w:tc>
        <w:tc>
          <w:tcPr>
            <w:tcW w:w="1656" w:type="dxa"/>
            <w:vAlign w:val="center"/>
            <w:hideMark/>
          </w:tcPr>
          <w:p w14:paraId="3C440522" w14:textId="77777777" w:rsidR="008C0757" w:rsidRPr="00E849F8" w:rsidRDefault="008C0757" w:rsidP="00BC149E">
            <w:pPr>
              <w:jc w:val="center"/>
              <w:rPr>
                <w:color w:val="000000" w:themeColor="text1"/>
                <w:sz w:val="20"/>
                <w:szCs w:val="20"/>
              </w:rPr>
            </w:pPr>
            <w:r w:rsidRPr="00E849F8">
              <w:rPr>
                <w:color w:val="000000" w:themeColor="text1"/>
                <w:sz w:val="20"/>
                <w:szCs w:val="20"/>
              </w:rPr>
              <w:t>85.6%</w:t>
            </w:r>
          </w:p>
        </w:tc>
      </w:tr>
      <w:tr w:rsidR="00E849F8" w:rsidRPr="00E849F8" w14:paraId="73FDAA09" w14:textId="77777777" w:rsidTr="00BC149E">
        <w:trPr>
          <w:tblCellSpacing w:w="15" w:type="dxa"/>
        </w:trPr>
        <w:tc>
          <w:tcPr>
            <w:tcW w:w="1940" w:type="dxa"/>
            <w:vAlign w:val="center"/>
            <w:hideMark/>
          </w:tcPr>
          <w:p w14:paraId="5EC35ECA" w14:textId="77777777" w:rsidR="008C0757" w:rsidRPr="00E849F8" w:rsidRDefault="008C0757" w:rsidP="00BC149E">
            <w:pPr>
              <w:rPr>
                <w:color w:val="000000" w:themeColor="text1"/>
                <w:sz w:val="20"/>
                <w:szCs w:val="20"/>
              </w:rPr>
            </w:pPr>
            <w:r w:rsidRPr="00E849F8">
              <w:rPr>
                <w:color w:val="000000" w:themeColor="text1"/>
                <w:sz w:val="20"/>
                <w:szCs w:val="20"/>
              </w:rPr>
              <w:t>D</w:t>
            </w:r>
          </w:p>
        </w:tc>
        <w:tc>
          <w:tcPr>
            <w:tcW w:w="1387" w:type="dxa"/>
            <w:vAlign w:val="center"/>
            <w:hideMark/>
          </w:tcPr>
          <w:p w14:paraId="08185BEE" w14:textId="77777777" w:rsidR="008C0757" w:rsidRPr="00E849F8" w:rsidRDefault="008C0757" w:rsidP="00BC149E">
            <w:pPr>
              <w:rPr>
                <w:color w:val="000000" w:themeColor="text1"/>
                <w:sz w:val="20"/>
                <w:szCs w:val="20"/>
              </w:rPr>
            </w:pPr>
            <w:r w:rsidRPr="00E849F8">
              <w:rPr>
                <w:color w:val="000000" w:themeColor="text1"/>
                <w:sz w:val="20"/>
                <w:szCs w:val="20"/>
              </w:rPr>
              <w:t>Girls</w:t>
            </w:r>
          </w:p>
        </w:tc>
        <w:tc>
          <w:tcPr>
            <w:tcW w:w="2097" w:type="dxa"/>
            <w:vAlign w:val="center"/>
            <w:hideMark/>
          </w:tcPr>
          <w:p w14:paraId="298B6632" w14:textId="77777777" w:rsidR="008C0757" w:rsidRPr="00E849F8" w:rsidRDefault="008C0757" w:rsidP="00BC149E">
            <w:pPr>
              <w:jc w:val="center"/>
              <w:rPr>
                <w:color w:val="000000" w:themeColor="text1"/>
                <w:sz w:val="20"/>
                <w:szCs w:val="20"/>
              </w:rPr>
            </w:pPr>
            <w:r w:rsidRPr="00E849F8">
              <w:rPr>
                <w:color w:val="000000" w:themeColor="text1"/>
                <w:sz w:val="20"/>
                <w:szCs w:val="20"/>
              </w:rPr>
              <w:t>73.7%</w:t>
            </w:r>
          </w:p>
        </w:tc>
        <w:tc>
          <w:tcPr>
            <w:tcW w:w="1671" w:type="dxa"/>
            <w:vAlign w:val="center"/>
            <w:hideMark/>
          </w:tcPr>
          <w:p w14:paraId="63DC507F" w14:textId="77777777" w:rsidR="008C0757" w:rsidRPr="00E849F8" w:rsidRDefault="008C0757" w:rsidP="00BC149E">
            <w:pPr>
              <w:jc w:val="center"/>
              <w:rPr>
                <w:color w:val="000000" w:themeColor="text1"/>
                <w:sz w:val="20"/>
                <w:szCs w:val="20"/>
              </w:rPr>
            </w:pPr>
            <w:r w:rsidRPr="00E849F8">
              <w:rPr>
                <w:color w:val="000000" w:themeColor="text1"/>
                <w:sz w:val="20"/>
                <w:szCs w:val="20"/>
              </w:rPr>
              <w:t>70.5%</w:t>
            </w:r>
          </w:p>
        </w:tc>
        <w:tc>
          <w:tcPr>
            <w:tcW w:w="1656" w:type="dxa"/>
            <w:vAlign w:val="center"/>
            <w:hideMark/>
          </w:tcPr>
          <w:p w14:paraId="16090B28" w14:textId="77777777" w:rsidR="008C0757" w:rsidRPr="00E849F8" w:rsidRDefault="008C0757" w:rsidP="00BC149E">
            <w:pPr>
              <w:jc w:val="center"/>
              <w:rPr>
                <w:color w:val="000000" w:themeColor="text1"/>
                <w:sz w:val="20"/>
                <w:szCs w:val="20"/>
              </w:rPr>
            </w:pPr>
            <w:r w:rsidRPr="00E849F8">
              <w:rPr>
                <w:color w:val="000000" w:themeColor="text1"/>
                <w:sz w:val="20"/>
                <w:szCs w:val="20"/>
              </w:rPr>
              <w:t>89.1%</w:t>
            </w:r>
          </w:p>
        </w:tc>
      </w:tr>
      <w:tr w:rsidR="00E849F8" w:rsidRPr="00E849F8" w14:paraId="7D8BFA71" w14:textId="77777777" w:rsidTr="00BC149E">
        <w:trPr>
          <w:tblCellSpacing w:w="15" w:type="dxa"/>
        </w:trPr>
        <w:tc>
          <w:tcPr>
            <w:tcW w:w="1940" w:type="dxa"/>
            <w:vAlign w:val="center"/>
            <w:hideMark/>
          </w:tcPr>
          <w:p w14:paraId="6571176C" w14:textId="77777777" w:rsidR="008C0757" w:rsidRPr="00E849F8" w:rsidRDefault="008C0757" w:rsidP="00BC149E">
            <w:pPr>
              <w:rPr>
                <w:color w:val="000000" w:themeColor="text1"/>
                <w:sz w:val="20"/>
                <w:szCs w:val="20"/>
              </w:rPr>
            </w:pPr>
            <w:r w:rsidRPr="00E849F8">
              <w:rPr>
                <w:color w:val="000000" w:themeColor="text1"/>
                <w:sz w:val="20"/>
                <w:szCs w:val="20"/>
              </w:rPr>
              <w:t>E</w:t>
            </w:r>
          </w:p>
        </w:tc>
        <w:tc>
          <w:tcPr>
            <w:tcW w:w="1387" w:type="dxa"/>
            <w:vAlign w:val="center"/>
            <w:hideMark/>
          </w:tcPr>
          <w:p w14:paraId="3E9C89B0" w14:textId="77777777" w:rsidR="008C0757" w:rsidRPr="00E849F8" w:rsidRDefault="008C0757" w:rsidP="00BC149E">
            <w:pPr>
              <w:rPr>
                <w:color w:val="000000" w:themeColor="text1"/>
                <w:sz w:val="20"/>
                <w:szCs w:val="20"/>
              </w:rPr>
            </w:pPr>
            <w:r w:rsidRPr="00E849F8">
              <w:rPr>
                <w:color w:val="000000" w:themeColor="text1"/>
                <w:sz w:val="20"/>
                <w:szCs w:val="20"/>
              </w:rPr>
              <w:t>Boys</w:t>
            </w:r>
          </w:p>
        </w:tc>
        <w:tc>
          <w:tcPr>
            <w:tcW w:w="2097" w:type="dxa"/>
            <w:vAlign w:val="center"/>
            <w:hideMark/>
          </w:tcPr>
          <w:p w14:paraId="165AFDA8" w14:textId="77777777" w:rsidR="008C0757" w:rsidRPr="00E849F8" w:rsidRDefault="008C0757" w:rsidP="00BC149E">
            <w:pPr>
              <w:jc w:val="center"/>
              <w:rPr>
                <w:color w:val="000000" w:themeColor="text1"/>
                <w:sz w:val="20"/>
                <w:szCs w:val="20"/>
              </w:rPr>
            </w:pPr>
            <w:r w:rsidRPr="00E849F8">
              <w:rPr>
                <w:color w:val="000000" w:themeColor="text1"/>
                <w:sz w:val="20"/>
                <w:szCs w:val="20"/>
              </w:rPr>
              <w:t>73.0%</w:t>
            </w:r>
          </w:p>
        </w:tc>
        <w:tc>
          <w:tcPr>
            <w:tcW w:w="1671" w:type="dxa"/>
            <w:vAlign w:val="center"/>
            <w:hideMark/>
          </w:tcPr>
          <w:p w14:paraId="3BC1CBE8" w14:textId="77777777" w:rsidR="008C0757" w:rsidRPr="00E849F8" w:rsidRDefault="008C0757" w:rsidP="00BC149E">
            <w:pPr>
              <w:jc w:val="center"/>
              <w:rPr>
                <w:color w:val="000000" w:themeColor="text1"/>
                <w:sz w:val="20"/>
                <w:szCs w:val="20"/>
              </w:rPr>
            </w:pPr>
            <w:r w:rsidRPr="00E849F8">
              <w:rPr>
                <w:color w:val="000000" w:themeColor="text1"/>
                <w:sz w:val="20"/>
                <w:szCs w:val="20"/>
              </w:rPr>
              <w:t>69.2%</w:t>
            </w:r>
          </w:p>
        </w:tc>
        <w:tc>
          <w:tcPr>
            <w:tcW w:w="1656" w:type="dxa"/>
            <w:vAlign w:val="center"/>
            <w:hideMark/>
          </w:tcPr>
          <w:p w14:paraId="14B84DC3" w14:textId="77777777" w:rsidR="008C0757" w:rsidRPr="00E849F8" w:rsidRDefault="008C0757" w:rsidP="00BC149E">
            <w:pPr>
              <w:jc w:val="center"/>
              <w:rPr>
                <w:color w:val="000000" w:themeColor="text1"/>
                <w:sz w:val="20"/>
                <w:szCs w:val="20"/>
              </w:rPr>
            </w:pPr>
            <w:r w:rsidRPr="00E849F8">
              <w:rPr>
                <w:color w:val="000000" w:themeColor="text1"/>
                <w:sz w:val="20"/>
                <w:szCs w:val="20"/>
              </w:rPr>
              <w:t>89.2%</w:t>
            </w:r>
          </w:p>
        </w:tc>
      </w:tr>
      <w:tr w:rsidR="00E849F8" w:rsidRPr="00E849F8" w14:paraId="600B38EA" w14:textId="77777777" w:rsidTr="00BC149E">
        <w:trPr>
          <w:tblCellSpacing w:w="15" w:type="dxa"/>
        </w:trPr>
        <w:tc>
          <w:tcPr>
            <w:tcW w:w="1940" w:type="dxa"/>
            <w:vAlign w:val="center"/>
            <w:hideMark/>
          </w:tcPr>
          <w:p w14:paraId="7E13C1A0" w14:textId="77777777" w:rsidR="008C0757" w:rsidRPr="00E849F8" w:rsidRDefault="008C0757" w:rsidP="00BC149E">
            <w:pPr>
              <w:rPr>
                <w:color w:val="000000" w:themeColor="text1"/>
                <w:sz w:val="20"/>
                <w:szCs w:val="20"/>
              </w:rPr>
            </w:pPr>
            <w:r w:rsidRPr="00E849F8">
              <w:rPr>
                <w:color w:val="000000" w:themeColor="text1"/>
                <w:sz w:val="20"/>
                <w:szCs w:val="20"/>
              </w:rPr>
              <w:t>E</w:t>
            </w:r>
          </w:p>
        </w:tc>
        <w:tc>
          <w:tcPr>
            <w:tcW w:w="1387" w:type="dxa"/>
            <w:vAlign w:val="center"/>
            <w:hideMark/>
          </w:tcPr>
          <w:p w14:paraId="56F80BA3" w14:textId="77777777" w:rsidR="008C0757" w:rsidRPr="00E849F8" w:rsidRDefault="008C0757" w:rsidP="00BC149E">
            <w:pPr>
              <w:rPr>
                <w:color w:val="000000" w:themeColor="text1"/>
                <w:sz w:val="20"/>
                <w:szCs w:val="20"/>
              </w:rPr>
            </w:pPr>
            <w:r w:rsidRPr="00E849F8">
              <w:rPr>
                <w:color w:val="000000" w:themeColor="text1"/>
                <w:sz w:val="20"/>
                <w:szCs w:val="20"/>
              </w:rPr>
              <w:t>Girls</w:t>
            </w:r>
          </w:p>
        </w:tc>
        <w:tc>
          <w:tcPr>
            <w:tcW w:w="2097" w:type="dxa"/>
            <w:vAlign w:val="center"/>
            <w:hideMark/>
          </w:tcPr>
          <w:p w14:paraId="04E35771" w14:textId="77777777" w:rsidR="008C0757" w:rsidRPr="00E849F8" w:rsidRDefault="008C0757" w:rsidP="00BC149E">
            <w:pPr>
              <w:jc w:val="center"/>
              <w:rPr>
                <w:color w:val="000000" w:themeColor="text1"/>
                <w:sz w:val="20"/>
                <w:szCs w:val="20"/>
              </w:rPr>
            </w:pPr>
            <w:r w:rsidRPr="00E849F8">
              <w:rPr>
                <w:color w:val="000000" w:themeColor="text1"/>
                <w:sz w:val="20"/>
                <w:szCs w:val="20"/>
              </w:rPr>
              <w:t>77.5%</w:t>
            </w:r>
          </w:p>
        </w:tc>
        <w:tc>
          <w:tcPr>
            <w:tcW w:w="1671" w:type="dxa"/>
            <w:vAlign w:val="center"/>
            <w:hideMark/>
          </w:tcPr>
          <w:p w14:paraId="209E3AC2" w14:textId="77777777" w:rsidR="008C0757" w:rsidRPr="00E849F8" w:rsidRDefault="008C0757" w:rsidP="00BC149E">
            <w:pPr>
              <w:jc w:val="center"/>
              <w:rPr>
                <w:color w:val="000000" w:themeColor="text1"/>
                <w:sz w:val="20"/>
                <w:szCs w:val="20"/>
              </w:rPr>
            </w:pPr>
            <w:r w:rsidRPr="00E849F8">
              <w:rPr>
                <w:color w:val="000000" w:themeColor="text1"/>
                <w:sz w:val="20"/>
                <w:szCs w:val="20"/>
              </w:rPr>
              <w:t>75.0%</w:t>
            </w:r>
          </w:p>
        </w:tc>
        <w:tc>
          <w:tcPr>
            <w:tcW w:w="1656" w:type="dxa"/>
            <w:vAlign w:val="center"/>
            <w:hideMark/>
          </w:tcPr>
          <w:p w14:paraId="7140DA7F" w14:textId="77777777" w:rsidR="008C0757" w:rsidRPr="00E849F8" w:rsidRDefault="008C0757" w:rsidP="00BC149E">
            <w:pPr>
              <w:jc w:val="center"/>
              <w:rPr>
                <w:color w:val="000000" w:themeColor="text1"/>
                <w:sz w:val="20"/>
                <w:szCs w:val="20"/>
              </w:rPr>
            </w:pPr>
            <w:r w:rsidRPr="00E849F8">
              <w:rPr>
                <w:color w:val="000000" w:themeColor="text1"/>
                <w:sz w:val="20"/>
                <w:szCs w:val="20"/>
              </w:rPr>
              <w:t>92.0%</w:t>
            </w:r>
          </w:p>
        </w:tc>
      </w:tr>
    </w:tbl>
    <w:p w14:paraId="29934FBC" w14:textId="77777777" w:rsidR="008C0757" w:rsidRPr="00E849F8" w:rsidRDefault="008C0757" w:rsidP="008C0757">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5.3 Grade-Level Trends</w:t>
      </w:r>
    </w:p>
    <w:p w14:paraId="1366BA43" w14:textId="77777777" w:rsidR="008C0757" w:rsidRPr="00E849F8" w:rsidRDefault="008C0757" w:rsidP="008C0757">
      <w:pPr>
        <w:pStyle w:val="isselectedend"/>
        <w:rPr>
          <w:color w:val="000000" w:themeColor="text1"/>
          <w:sz w:val="22"/>
          <w:szCs w:val="22"/>
        </w:rPr>
      </w:pPr>
      <w:r w:rsidRPr="00E849F8">
        <w:rPr>
          <w:color w:val="000000" w:themeColor="text1"/>
          <w:sz w:val="22"/>
          <w:szCs w:val="22"/>
        </w:rPr>
        <w:t>Academic performance and attendance improved progressively from Grade 3 to Grade 5, suggesting that continued school exposure, teacher familiarity, and classroom adjustment may support learning resilience.</w:t>
      </w:r>
    </w:p>
    <w:p w14:paraId="67046372" w14:textId="77777777" w:rsidR="008C0757" w:rsidRPr="00E849F8" w:rsidRDefault="008C0757" w:rsidP="008C0757">
      <w:pPr>
        <w:pStyle w:val="isselectedend"/>
        <w:rPr>
          <w:color w:val="000000" w:themeColor="text1"/>
          <w:sz w:val="22"/>
          <w:szCs w:val="22"/>
        </w:rPr>
      </w:pPr>
      <w:r w:rsidRPr="00E849F8">
        <w:rPr>
          <w:rStyle w:val="Strong"/>
          <w:color w:val="000000" w:themeColor="text1"/>
          <w:sz w:val="22"/>
          <w:szCs w:val="22"/>
        </w:rPr>
        <w:t>Table 3: Academic Performance and Attendance by Grade</w:t>
      </w:r>
    </w:p>
    <w:tbl>
      <w:tblPr>
        <w:tblW w:w="0" w:type="auto"/>
        <w:tblCellSpacing w:w="15" w:type="dxa"/>
        <w:tblBorders>
          <w:top w:val="single" w:sz="24" w:space="0" w:color="auto"/>
          <w:bottom w:val="single" w:sz="24" w:space="0" w:color="auto"/>
        </w:tblBorders>
        <w:tblCellMar>
          <w:top w:w="15" w:type="dxa"/>
          <w:left w:w="15" w:type="dxa"/>
          <w:bottom w:w="15" w:type="dxa"/>
          <w:right w:w="15" w:type="dxa"/>
        </w:tblCellMar>
        <w:tblLook w:val="04A0" w:firstRow="1" w:lastRow="0" w:firstColumn="1" w:lastColumn="0" w:noHBand="0" w:noVBand="1"/>
      </w:tblPr>
      <w:tblGrid>
        <w:gridCol w:w="2268"/>
        <w:gridCol w:w="1985"/>
        <w:gridCol w:w="1984"/>
        <w:gridCol w:w="2268"/>
      </w:tblGrid>
      <w:tr w:rsidR="00E849F8" w:rsidRPr="00E849F8" w14:paraId="50ADCEFB" w14:textId="77777777" w:rsidTr="00BC149E">
        <w:trPr>
          <w:tblCellSpacing w:w="15" w:type="dxa"/>
        </w:trPr>
        <w:tc>
          <w:tcPr>
            <w:tcW w:w="2223" w:type="dxa"/>
            <w:vAlign w:val="center"/>
            <w:hideMark/>
          </w:tcPr>
          <w:p w14:paraId="2E67F4B7" w14:textId="77777777" w:rsidR="008C0757" w:rsidRPr="00E849F8" w:rsidRDefault="008C0757" w:rsidP="00BC149E">
            <w:pPr>
              <w:rPr>
                <w:b/>
                <w:bCs/>
                <w:color w:val="000000" w:themeColor="text1"/>
                <w:sz w:val="20"/>
                <w:szCs w:val="20"/>
              </w:rPr>
            </w:pPr>
            <w:r w:rsidRPr="00E849F8">
              <w:rPr>
                <w:b/>
                <w:bCs/>
                <w:color w:val="000000" w:themeColor="text1"/>
                <w:sz w:val="20"/>
                <w:szCs w:val="20"/>
              </w:rPr>
              <w:t>Grade</w:t>
            </w:r>
          </w:p>
        </w:tc>
        <w:tc>
          <w:tcPr>
            <w:tcW w:w="1955" w:type="dxa"/>
            <w:vAlign w:val="center"/>
            <w:hideMark/>
          </w:tcPr>
          <w:p w14:paraId="6523E453" w14:textId="77777777" w:rsidR="008C0757" w:rsidRPr="00E849F8" w:rsidRDefault="008C0757" w:rsidP="00BC149E">
            <w:pPr>
              <w:rPr>
                <w:b/>
                <w:bCs/>
                <w:color w:val="000000" w:themeColor="text1"/>
                <w:sz w:val="20"/>
                <w:szCs w:val="20"/>
              </w:rPr>
            </w:pPr>
            <w:r w:rsidRPr="00E849F8">
              <w:rPr>
                <w:b/>
                <w:bCs/>
                <w:color w:val="000000" w:themeColor="text1"/>
                <w:sz w:val="20"/>
                <w:szCs w:val="20"/>
              </w:rPr>
              <w:t>Avg. Term Grade</w:t>
            </w:r>
          </w:p>
        </w:tc>
        <w:tc>
          <w:tcPr>
            <w:tcW w:w="1954" w:type="dxa"/>
            <w:vAlign w:val="center"/>
            <w:hideMark/>
          </w:tcPr>
          <w:p w14:paraId="2CFB27CF" w14:textId="77777777" w:rsidR="008C0757" w:rsidRPr="00E849F8" w:rsidRDefault="008C0757" w:rsidP="00BC149E">
            <w:pPr>
              <w:rPr>
                <w:b/>
                <w:bCs/>
                <w:color w:val="000000" w:themeColor="text1"/>
                <w:sz w:val="20"/>
                <w:szCs w:val="20"/>
              </w:rPr>
            </w:pPr>
            <w:r w:rsidRPr="00E849F8">
              <w:rPr>
                <w:b/>
                <w:bCs/>
                <w:color w:val="000000" w:themeColor="text1"/>
                <w:sz w:val="20"/>
                <w:szCs w:val="20"/>
              </w:rPr>
              <w:t>Avg. Test Score</w:t>
            </w:r>
          </w:p>
        </w:tc>
        <w:tc>
          <w:tcPr>
            <w:tcW w:w="2223" w:type="dxa"/>
            <w:vAlign w:val="center"/>
            <w:hideMark/>
          </w:tcPr>
          <w:p w14:paraId="3A32FA01" w14:textId="77777777" w:rsidR="008C0757" w:rsidRPr="00E849F8" w:rsidRDefault="008C0757" w:rsidP="00BC149E">
            <w:pPr>
              <w:rPr>
                <w:b/>
                <w:bCs/>
                <w:color w:val="000000" w:themeColor="text1"/>
                <w:sz w:val="20"/>
                <w:szCs w:val="20"/>
              </w:rPr>
            </w:pPr>
            <w:r w:rsidRPr="00E849F8">
              <w:rPr>
                <w:b/>
                <w:bCs/>
                <w:color w:val="000000" w:themeColor="text1"/>
                <w:sz w:val="20"/>
                <w:szCs w:val="20"/>
              </w:rPr>
              <w:t>Avg. Attendance</w:t>
            </w:r>
          </w:p>
        </w:tc>
      </w:tr>
      <w:tr w:rsidR="00E849F8" w:rsidRPr="00E849F8" w14:paraId="1ED0822C" w14:textId="77777777" w:rsidTr="00BC149E">
        <w:trPr>
          <w:tblCellSpacing w:w="15" w:type="dxa"/>
        </w:trPr>
        <w:tc>
          <w:tcPr>
            <w:tcW w:w="2223" w:type="dxa"/>
            <w:tcBorders>
              <w:top w:val="single" w:sz="24" w:space="0" w:color="auto"/>
              <w:bottom w:val="nil"/>
            </w:tcBorders>
            <w:vAlign w:val="center"/>
            <w:hideMark/>
          </w:tcPr>
          <w:p w14:paraId="36EA4C20" w14:textId="77777777" w:rsidR="008C0757" w:rsidRPr="00E849F8" w:rsidRDefault="008C0757" w:rsidP="00BC149E">
            <w:pPr>
              <w:rPr>
                <w:color w:val="000000" w:themeColor="text1"/>
                <w:sz w:val="20"/>
                <w:szCs w:val="20"/>
              </w:rPr>
            </w:pPr>
            <w:r w:rsidRPr="00E849F8">
              <w:rPr>
                <w:color w:val="000000" w:themeColor="text1"/>
                <w:sz w:val="20"/>
                <w:szCs w:val="20"/>
              </w:rPr>
              <w:t>Grade 3</w:t>
            </w:r>
          </w:p>
        </w:tc>
        <w:tc>
          <w:tcPr>
            <w:tcW w:w="1955" w:type="dxa"/>
            <w:tcBorders>
              <w:top w:val="single" w:sz="24" w:space="0" w:color="auto"/>
              <w:bottom w:val="nil"/>
            </w:tcBorders>
            <w:vAlign w:val="center"/>
            <w:hideMark/>
          </w:tcPr>
          <w:p w14:paraId="55773267" w14:textId="77777777" w:rsidR="008C0757" w:rsidRPr="00E849F8" w:rsidRDefault="008C0757" w:rsidP="00BC149E">
            <w:pPr>
              <w:jc w:val="center"/>
              <w:rPr>
                <w:color w:val="000000" w:themeColor="text1"/>
                <w:sz w:val="20"/>
                <w:szCs w:val="20"/>
              </w:rPr>
            </w:pPr>
            <w:r w:rsidRPr="00E849F8">
              <w:rPr>
                <w:color w:val="000000" w:themeColor="text1"/>
                <w:sz w:val="20"/>
                <w:szCs w:val="20"/>
              </w:rPr>
              <w:t>70.4%</w:t>
            </w:r>
          </w:p>
        </w:tc>
        <w:tc>
          <w:tcPr>
            <w:tcW w:w="1954" w:type="dxa"/>
            <w:tcBorders>
              <w:top w:val="single" w:sz="24" w:space="0" w:color="auto"/>
              <w:bottom w:val="nil"/>
            </w:tcBorders>
            <w:vAlign w:val="center"/>
            <w:hideMark/>
          </w:tcPr>
          <w:p w14:paraId="58D57DE5" w14:textId="77777777" w:rsidR="008C0757" w:rsidRPr="00E849F8" w:rsidRDefault="008C0757" w:rsidP="00BC149E">
            <w:pPr>
              <w:jc w:val="center"/>
              <w:rPr>
                <w:color w:val="000000" w:themeColor="text1"/>
                <w:sz w:val="20"/>
                <w:szCs w:val="20"/>
              </w:rPr>
            </w:pPr>
            <w:r w:rsidRPr="00E849F8">
              <w:rPr>
                <w:color w:val="000000" w:themeColor="text1"/>
                <w:sz w:val="20"/>
                <w:szCs w:val="20"/>
              </w:rPr>
              <w:t>67.1%</w:t>
            </w:r>
          </w:p>
        </w:tc>
        <w:tc>
          <w:tcPr>
            <w:tcW w:w="2223" w:type="dxa"/>
            <w:tcBorders>
              <w:top w:val="single" w:sz="24" w:space="0" w:color="auto"/>
              <w:bottom w:val="nil"/>
            </w:tcBorders>
            <w:vAlign w:val="center"/>
            <w:hideMark/>
          </w:tcPr>
          <w:p w14:paraId="114BAA4A" w14:textId="77777777" w:rsidR="008C0757" w:rsidRPr="00E849F8" w:rsidRDefault="008C0757" w:rsidP="00BC149E">
            <w:pPr>
              <w:jc w:val="center"/>
              <w:rPr>
                <w:color w:val="000000" w:themeColor="text1"/>
                <w:sz w:val="20"/>
                <w:szCs w:val="20"/>
              </w:rPr>
            </w:pPr>
            <w:r w:rsidRPr="00E849F8">
              <w:rPr>
                <w:color w:val="000000" w:themeColor="text1"/>
                <w:sz w:val="20"/>
                <w:szCs w:val="20"/>
              </w:rPr>
              <w:t>87.5%</w:t>
            </w:r>
          </w:p>
        </w:tc>
      </w:tr>
      <w:tr w:rsidR="00E849F8" w:rsidRPr="00E849F8" w14:paraId="57B5EAE6" w14:textId="77777777" w:rsidTr="00BC149E">
        <w:trPr>
          <w:tblCellSpacing w:w="15" w:type="dxa"/>
        </w:trPr>
        <w:tc>
          <w:tcPr>
            <w:tcW w:w="2223" w:type="dxa"/>
            <w:tcBorders>
              <w:top w:val="nil"/>
              <w:bottom w:val="nil"/>
            </w:tcBorders>
            <w:vAlign w:val="center"/>
            <w:hideMark/>
          </w:tcPr>
          <w:p w14:paraId="401E88AF" w14:textId="77777777" w:rsidR="008C0757" w:rsidRPr="00E849F8" w:rsidRDefault="008C0757" w:rsidP="00BC149E">
            <w:pPr>
              <w:rPr>
                <w:color w:val="000000" w:themeColor="text1"/>
                <w:sz w:val="20"/>
                <w:szCs w:val="20"/>
              </w:rPr>
            </w:pPr>
            <w:r w:rsidRPr="00E849F8">
              <w:rPr>
                <w:color w:val="000000" w:themeColor="text1"/>
                <w:sz w:val="20"/>
                <w:szCs w:val="20"/>
              </w:rPr>
              <w:t>Grade 4</w:t>
            </w:r>
          </w:p>
        </w:tc>
        <w:tc>
          <w:tcPr>
            <w:tcW w:w="1955" w:type="dxa"/>
            <w:tcBorders>
              <w:top w:val="nil"/>
              <w:bottom w:val="nil"/>
            </w:tcBorders>
            <w:vAlign w:val="center"/>
            <w:hideMark/>
          </w:tcPr>
          <w:p w14:paraId="6E6E6BFA" w14:textId="77777777" w:rsidR="008C0757" w:rsidRPr="00E849F8" w:rsidRDefault="008C0757" w:rsidP="00BC149E">
            <w:pPr>
              <w:jc w:val="center"/>
              <w:rPr>
                <w:color w:val="000000" w:themeColor="text1"/>
                <w:sz w:val="20"/>
                <w:szCs w:val="20"/>
              </w:rPr>
            </w:pPr>
            <w:r w:rsidRPr="00E849F8">
              <w:rPr>
                <w:color w:val="000000" w:themeColor="text1"/>
                <w:sz w:val="20"/>
                <w:szCs w:val="20"/>
              </w:rPr>
              <w:t>74.6%</w:t>
            </w:r>
          </w:p>
        </w:tc>
        <w:tc>
          <w:tcPr>
            <w:tcW w:w="1954" w:type="dxa"/>
            <w:tcBorders>
              <w:top w:val="nil"/>
              <w:bottom w:val="nil"/>
            </w:tcBorders>
            <w:vAlign w:val="center"/>
            <w:hideMark/>
          </w:tcPr>
          <w:p w14:paraId="1D313DD3" w14:textId="77777777" w:rsidR="008C0757" w:rsidRPr="00E849F8" w:rsidRDefault="008C0757" w:rsidP="00BC149E">
            <w:pPr>
              <w:jc w:val="center"/>
              <w:rPr>
                <w:color w:val="000000" w:themeColor="text1"/>
                <w:sz w:val="20"/>
                <w:szCs w:val="20"/>
              </w:rPr>
            </w:pPr>
            <w:r w:rsidRPr="00E849F8">
              <w:rPr>
                <w:color w:val="000000" w:themeColor="text1"/>
                <w:sz w:val="20"/>
                <w:szCs w:val="20"/>
              </w:rPr>
              <w:t>70.3%</w:t>
            </w:r>
          </w:p>
        </w:tc>
        <w:tc>
          <w:tcPr>
            <w:tcW w:w="2223" w:type="dxa"/>
            <w:tcBorders>
              <w:top w:val="nil"/>
              <w:bottom w:val="nil"/>
            </w:tcBorders>
            <w:vAlign w:val="center"/>
            <w:hideMark/>
          </w:tcPr>
          <w:p w14:paraId="051D7FA1" w14:textId="77777777" w:rsidR="008C0757" w:rsidRPr="00E849F8" w:rsidRDefault="008C0757" w:rsidP="00BC149E">
            <w:pPr>
              <w:jc w:val="center"/>
              <w:rPr>
                <w:color w:val="000000" w:themeColor="text1"/>
                <w:sz w:val="20"/>
                <w:szCs w:val="20"/>
              </w:rPr>
            </w:pPr>
            <w:r w:rsidRPr="00E849F8">
              <w:rPr>
                <w:color w:val="000000" w:themeColor="text1"/>
                <w:sz w:val="20"/>
                <w:szCs w:val="20"/>
              </w:rPr>
              <w:t>89.8%</w:t>
            </w:r>
          </w:p>
        </w:tc>
      </w:tr>
      <w:tr w:rsidR="00E849F8" w:rsidRPr="00E849F8" w14:paraId="3CC0E7BC" w14:textId="77777777" w:rsidTr="00BC149E">
        <w:trPr>
          <w:tblCellSpacing w:w="15" w:type="dxa"/>
        </w:trPr>
        <w:tc>
          <w:tcPr>
            <w:tcW w:w="2223" w:type="dxa"/>
            <w:vAlign w:val="center"/>
            <w:hideMark/>
          </w:tcPr>
          <w:p w14:paraId="79016838" w14:textId="77777777" w:rsidR="008C0757" w:rsidRPr="00E849F8" w:rsidRDefault="008C0757" w:rsidP="00BC149E">
            <w:pPr>
              <w:rPr>
                <w:color w:val="000000" w:themeColor="text1"/>
                <w:sz w:val="20"/>
                <w:szCs w:val="20"/>
              </w:rPr>
            </w:pPr>
            <w:r w:rsidRPr="00E849F8">
              <w:rPr>
                <w:color w:val="000000" w:themeColor="text1"/>
                <w:sz w:val="20"/>
                <w:szCs w:val="20"/>
              </w:rPr>
              <w:t>Grade 5</w:t>
            </w:r>
          </w:p>
        </w:tc>
        <w:tc>
          <w:tcPr>
            <w:tcW w:w="1955" w:type="dxa"/>
            <w:vAlign w:val="center"/>
            <w:hideMark/>
          </w:tcPr>
          <w:p w14:paraId="46083769" w14:textId="77777777" w:rsidR="008C0757" w:rsidRPr="00E849F8" w:rsidRDefault="008C0757" w:rsidP="00BC149E">
            <w:pPr>
              <w:jc w:val="center"/>
              <w:rPr>
                <w:color w:val="000000" w:themeColor="text1"/>
                <w:sz w:val="20"/>
                <w:szCs w:val="20"/>
              </w:rPr>
            </w:pPr>
            <w:r w:rsidRPr="00E849F8">
              <w:rPr>
                <w:color w:val="000000" w:themeColor="text1"/>
                <w:sz w:val="20"/>
                <w:szCs w:val="20"/>
              </w:rPr>
              <w:t>77.9%</w:t>
            </w:r>
          </w:p>
        </w:tc>
        <w:tc>
          <w:tcPr>
            <w:tcW w:w="1954" w:type="dxa"/>
            <w:vAlign w:val="center"/>
            <w:hideMark/>
          </w:tcPr>
          <w:p w14:paraId="444295C7" w14:textId="77777777" w:rsidR="008C0757" w:rsidRPr="00E849F8" w:rsidRDefault="008C0757" w:rsidP="00BC149E">
            <w:pPr>
              <w:jc w:val="center"/>
              <w:rPr>
                <w:color w:val="000000" w:themeColor="text1"/>
                <w:sz w:val="20"/>
                <w:szCs w:val="20"/>
              </w:rPr>
            </w:pPr>
            <w:r w:rsidRPr="00E849F8">
              <w:rPr>
                <w:color w:val="000000" w:themeColor="text1"/>
                <w:sz w:val="20"/>
                <w:szCs w:val="20"/>
              </w:rPr>
              <w:t>76.2%</w:t>
            </w:r>
          </w:p>
        </w:tc>
        <w:tc>
          <w:tcPr>
            <w:tcW w:w="2223" w:type="dxa"/>
            <w:vAlign w:val="center"/>
            <w:hideMark/>
          </w:tcPr>
          <w:p w14:paraId="4978DCF1" w14:textId="77777777" w:rsidR="008C0757" w:rsidRPr="00E849F8" w:rsidRDefault="008C0757" w:rsidP="00BC149E">
            <w:pPr>
              <w:jc w:val="center"/>
              <w:rPr>
                <w:color w:val="000000" w:themeColor="text1"/>
                <w:sz w:val="20"/>
                <w:szCs w:val="20"/>
              </w:rPr>
            </w:pPr>
            <w:r w:rsidRPr="00E849F8">
              <w:rPr>
                <w:color w:val="000000" w:themeColor="text1"/>
                <w:sz w:val="20"/>
                <w:szCs w:val="20"/>
              </w:rPr>
              <w:t>91.7%</w:t>
            </w:r>
          </w:p>
        </w:tc>
      </w:tr>
    </w:tbl>
    <w:p w14:paraId="56B534CA" w14:textId="77777777" w:rsidR="00820164" w:rsidRPr="00E849F8" w:rsidRDefault="008C0757" w:rsidP="00820164">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5.4 Student Engagement</w:t>
      </w:r>
    </w:p>
    <w:p w14:paraId="08B7E80D" w14:textId="2F40742A" w:rsidR="008C0757" w:rsidRPr="00E849F8" w:rsidRDefault="008C0757" w:rsidP="00820164">
      <w:pPr>
        <w:pStyle w:val="Heading3"/>
        <w:rPr>
          <w:rFonts w:ascii="Times New Roman" w:hAnsi="Times New Roman" w:cs="Times New Roman"/>
          <w:b/>
          <w:bCs/>
          <w:color w:val="000000" w:themeColor="text1"/>
          <w:sz w:val="22"/>
          <w:szCs w:val="22"/>
        </w:rPr>
      </w:pPr>
      <w:r w:rsidRPr="00E849F8">
        <w:rPr>
          <w:rFonts w:ascii="Times New Roman" w:hAnsi="Times New Roman" w:cs="Times New Roman"/>
          <w:color w:val="000000" w:themeColor="text1"/>
          <w:sz w:val="22"/>
          <w:szCs w:val="22"/>
        </w:rPr>
        <w:t>Girls reported slightly stronger enjoyment of teaching, participation, perceived teacher support, and confidence. Boys demonstrated greater vulnerability to reduced participation and lower academic confidence.</w:t>
      </w:r>
    </w:p>
    <w:p w14:paraId="124DF851" w14:textId="77777777" w:rsidR="008C0757" w:rsidRPr="00E849F8" w:rsidRDefault="008C0757" w:rsidP="008C0757">
      <w:pPr>
        <w:pStyle w:val="isselectedend"/>
        <w:rPr>
          <w:color w:val="000000" w:themeColor="text1"/>
          <w:sz w:val="22"/>
          <w:szCs w:val="22"/>
        </w:rPr>
      </w:pPr>
      <w:r w:rsidRPr="00E849F8">
        <w:rPr>
          <w:rStyle w:val="Strong"/>
          <w:color w:val="000000" w:themeColor="text1"/>
          <w:sz w:val="22"/>
          <w:szCs w:val="22"/>
        </w:rPr>
        <w:t>Table 4: Student Engagement and Confidence by Gender</w:t>
      </w:r>
    </w:p>
    <w:tbl>
      <w:tblPr>
        <w:tblW w:w="9072" w:type="dxa"/>
        <w:tblCellSpacing w:w="15" w:type="dxa"/>
        <w:tblBorders>
          <w:top w:val="single" w:sz="24" w:space="0" w:color="auto"/>
          <w:bottom w:val="single" w:sz="24" w:space="0" w:color="auto"/>
        </w:tblBorders>
        <w:tblCellMar>
          <w:top w:w="15" w:type="dxa"/>
          <w:left w:w="15" w:type="dxa"/>
          <w:bottom w:w="15" w:type="dxa"/>
          <w:right w:w="15" w:type="dxa"/>
        </w:tblCellMar>
        <w:tblLook w:val="04A0" w:firstRow="1" w:lastRow="0" w:firstColumn="1" w:lastColumn="0" w:noHBand="0" w:noVBand="1"/>
      </w:tblPr>
      <w:tblGrid>
        <w:gridCol w:w="3828"/>
        <w:gridCol w:w="1275"/>
        <w:gridCol w:w="1276"/>
        <w:gridCol w:w="2693"/>
      </w:tblGrid>
      <w:tr w:rsidR="00E849F8" w:rsidRPr="00E849F8" w14:paraId="12063698" w14:textId="77777777" w:rsidTr="00BC149E">
        <w:trPr>
          <w:tblCellSpacing w:w="15" w:type="dxa"/>
        </w:trPr>
        <w:tc>
          <w:tcPr>
            <w:tcW w:w="3783" w:type="dxa"/>
            <w:vAlign w:val="center"/>
            <w:hideMark/>
          </w:tcPr>
          <w:p w14:paraId="543BFABD" w14:textId="77777777" w:rsidR="008C0757" w:rsidRPr="00E849F8" w:rsidRDefault="008C0757" w:rsidP="00BC149E">
            <w:pPr>
              <w:rPr>
                <w:b/>
                <w:bCs/>
                <w:color w:val="000000" w:themeColor="text1"/>
                <w:sz w:val="20"/>
                <w:szCs w:val="20"/>
              </w:rPr>
            </w:pPr>
            <w:r w:rsidRPr="00E849F8">
              <w:rPr>
                <w:b/>
                <w:bCs/>
                <w:color w:val="000000" w:themeColor="text1"/>
                <w:sz w:val="20"/>
                <w:szCs w:val="20"/>
              </w:rPr>
              <w:t>Indicator</w:t>
            </w:r>
          </w:p>
        </w:tc>
        <w:tc>
          <w:tcPr>
            <w:tcW w:w="1245" w:type="dxa"/>
            <w:vAlign w:val="center"/>
            <w:hideMark/>
          </w:tcPr>
          <w:p w14:paraId="1C0F1129" w14:textId="77777777" w:rsidR="008C0757" w:rsidRPr="00E849F8" w:rsidRDefault="008C0757" w:rsidP="00BC149E">
            <w:pPr>
              <w:rPr>
                <w:b/>
                <w:bCs/>
                <w:color w:val="000000" w:themeColor="text1"/>
                <w:sz w:val="20"/>
                <w:szCs w:val="20"/>
              </w:rPr>
            </w:pPr>
            <w:r w:rsidRPr="00E849F8">
              <w:rPr>
                <w:b/>
                <w:bCs/>
                <w:color w:val="000000" w:themeColor="text1"/>
                <w:sz w:val="20"/>
                <w:szCs w:val="20"/>
              </w:rPr>
              <w:t>Girls</w:t>
            </w:r>
          </w:p>
        </w:tc>
        <w:tc>
          <w:tcPr>
            <w:tcW w:w="1246" w:type="dxa"/>
            <w:vAlign w:val="center"/>
            <w:hideMark/>
          </w:tcPr>
          <w:p w14:paraId="091205F9" w14:textId="77777777" w:rsidR="008C0757" w:rsidRPr="00E849F8" w:rsidRDefault="008C0757" w:rsidP="00BC149E">
            <w:pPr>
              <w:rPr>
                <w:b/>
                <w:bCs/>
                <w:color w:val="000000" w:themeColor="text1"/>
                <w:sz w:val="20"/>
                <w:szCs w:val="20"/>
              </w:rPr>
            </w:pPr>
            <w:r w:rsidRPr="00E849F8">
              <w:rPr>
                <w:b/>
                <w:bCs/>
                <w:color w:val="000000" w:themeColor="text1"/>
                <w:sz w:val="20"/>
                <w:szCs w:val="20"/>
              </w:rPr>
              <w:t>Boys</w:t>
            </w:r>
          </w:p>
        </w:tc>
        <w:tc>
          <w:tcPr>
            <w:tcW w:w="2648" w:type="dxa"/>
            <w:vAlign w:val="center"/>
            <w:hideMark/>
          </w:tcPr>
          <w:p w14:paraId="137BDE27" w14:textId="77777777" w:rsidR="008C0757" w:rsidRPr="00E849F8" w:rsidRDefault="008C0757" w:rsidP="00BC149E">
            <w:pPr>
              <w:rPr>
                <w:b/>
                <w:bCs/>
                <w:color w:val="000000" w:themeColor="text1"/>
                <w:sz w:val="20"/>
                <w:szCs w:val="20"/>
              </w:rPr>
            </w:pPr>
            <w:r w:rsidRPr="00E849F8">
              <w:rPr>
                <w:b/>
                <w:bCs/>
                <w:color w:val="000000" w:themeColor="text1"/>
                <w:sz w:val="20"/>
                <w:szCs w:val="20"/>
              </w:rPr>
              <w:t>Interpretation</w:t>
            </w:r>
          </w:p>
        </w:tc>
      </w:tr>
      <w:tr w:rsidR="00E849F8" w:rsidRPr="00E849F8" w14:paraId="67105695" w14:textId="77777777" w:rsidTr="00BC149E">
        <w:trPr>
          <w:tblCellSpacing w:w="15" w:type="dxa"/>
        </w:trPr>
        <w:tc>
          <w:tcPr>
            <w:tcW w:w="3783" w:type="dxa"/>
            <w:tcBorders>
              <w:top w:val="single" w:sz="24" w:space="0" w:color="auto"/>
              <w:bottom w:val="nil"/>
            </w:tcBorders>
            <w:vAlign w:val="center"/>
            <w:hideMark/>
          </w:tcPr>
          <w:p w14:paraId="13691015" w14:textId="77777777" w:rsidR="008C0757" w:rsidRPr="00E849F8" w:rsidRDefault="008C0757" w:rsidP="00BC149E">
            <w:pPr>
              <w:rPr>
                <w:color w:val="000000" w:themeColor="text1"/>
                <w:sz w:val="20"/>
                <w:szCs w:val="20"/>
              </w:rPr>
            </w:pPr>
            <w:r w:rsidRPr="00E849F8">
              <w:rPr>
                <w:color w:val="000000" w:themeColor="text1"/>
                <w:sz w:val="20"/>
                <w:szCs w:val="20"/>
              </w:rPr>
              <w:t>Excitement about school</w:t>
            </w:r>
          </w:p>
        </w:tc>
        <w:tc>
          <w:tcPr>
            <w:tcW w:w="1245" w:type="dxa"/>
            <w:tcBorders>
              <w:top w:val="single" w:sz="24" w:space="0" w:color="auto"/>
              <w:bottom w:val="nil"/>
            </w:tcBorders>
            <w:vAlign w:val="center"/>
            <w:hideMark/>
          </w:tcPr>
          <w:p w14:paraId="409AA535" w14:textId="77777777" w:rsidR="008C0757" w:rsidRPr="00E849F8" w:rsidRDefault="008C0757" w:rsidP="00BC149E">
            <w:pPr>
              <w:jc w:val="center"/>
              <w:rPr>
                <w:color w:val="000000" w:themeColor="text1"/>
                <w:sz w:val="20"/>
                <w:szCs w:val="20"/>
              </w:rPr>
            </w:pPr>
            <w:r w:rsidRPr="00E849F8">
              <w:rPr>
                <w:color w:val="000000" w:themeColor="text1"/>
                <w:sz w:val="20"/>
                <w:szCs w:val="20"/>
              </w:rPr>
              <w:t>28</w:t>
            </w:r>
          </w:p>
        </w:tc>
        <w:tc>
          <w:tcPr>
            <w:tcW w:w="1246" w:type="dxa"/>
            <w:tcBorders>
              <w:top w:val="single" w:sz="24" w:space="0" w:color="auto"/>
              <w:bottom w:val="nil"/>
            </w:tcBorders>
            <w:vAlign w:val="center"/>
            <w:hideMark/>
          </w:tcPr>
          <w:p w14:paraId="07C0C936" w14:textId="77777777" w:rsidR="008C0757" w:rsidRPr="00E849F8" w:rsidRDefault="008C0757" w:rsidP="00BC149E">
            <w:pPr>
              <w:jc w:val="center"/>
              <w:rPr>
                <w:color w:val="000000" w:themeColor="text1"/>
                <w:sz w:val="20"/>
                <w:szCs w:val="20"/>
              </w:rPr>
            </w:pPr>
            <w:r w:rsidRPr="00E849F8">
              <w:rPr>
                <w:color w:val="000000" w:themeColor="text1"/>
                <w:sz w:val="20"/>
                <w:szCs w:val="20"/>
              </w:rPr>
              <w:t>27</w:t>
            </w:r>
          </w:p>
        </w:tc>
        <w:tc>
          <w:tcPr>
            <w:tcW w:w="2648" w:type="dxa"/>
            <w:tcBorders>
              <w:top w:val="single" w:sz="24" w:space="0" w:color="auto"/>
              <w:bottom w:val="nil"/>
            </w:tcBorders>
            <w:vAlign w:val="center"/>
            <w:hideMark/>
          </w:tcPr>
          <w:p w14:paraId="09F3BFC3" w14:textId="77777777" w:rsidR="008C0757" w:rsidRPr="00E849F8" w:rsidRDefault="008C0757" w:rsidP="00BC149E">
            <w:pPr>
              <w:rPr>
                <w:color w:val="000000" w:themeColor="text1"/>
                <w:sz w:val="20"/>
                <w:szCs w:val="20"/>
              </w:rPr>
            </w:pPr>
            <w:r w:rsidRPr="00E849F8">
              <w:rPr>
                <w:color w:val="000000" w:themeColor="text1"/>
                <w:sz w:val="20"/>
                <w:szCs w:val="20"/>
              </w:rPr>
              <w:t>Similar baseline enthusiasm</w:t>
            </w:r>
          </w:p>
        </w:tc>
      </w:tr>
      <w:tr w:rsidR="00E849F8" w:rsidRPr="00E849F8" w14:paraId="070F0CB5" w14:textId="77777777" w:rsidTr="00BC149E">
        <w:trPr>
          <w:tblCellSpacing w:w="15" w:type="dxa"/>
        </w:trPr>
        <w:tc>
          <w:tcPr>
            <w:tcW w:w="3783" w:type="dxa"/>
            <w:vAlign w:val="center"/>
            <w:hideMark/>
          </w:tcPr>
          <w:p w14:paraId="78D67B8D" w14:textId="77777777" w:rsidR="008C0757" w:rsidRPr="00E849F8" w:rsidRDefault="008C0757" w:rsidP="00BC149E">
            <w:pPr>
              <w:rPr>
                <w:color w:val="000000" w:themeColor="text1"/>
                <w:sz w:val="20"/>
                <w:szCs w:val="20"/>
              </w:rPr>
            </w:pPr>
            <w:r w:rsidRPr="00E849F8">
              <w:rPr>
                <w:color w:val="000000" w:themeColor="text1"/>
                <w:sz w:val="20"/>
                <w:szCs w:val="20"/>
              </w:rPr>
              <w:t>Enjoyment of teaching style</w:t>
            </w:r>
          </w:p>
        </w:tc>
        <w:tc>
          <w:tcPr>
            <w:tcW w:w="1245" w:type="dxa"/>
            <w:vAlign w:val="center"/>
            <w:hideMark/>
          </w:tcPr>
          <w:p w14:paraId="574EBFDD" w14:textId="77777777" w:rsidR="008C0757" w:rsidRPr="00E849F8" w:rsidRDefault="008C0757" w:rsidP="00BC149E">
            <w:pPr>
              <w:jc w:val="center"/>
              <w:rPr>
                <w:color w:val="000000" w:themeColor="text1"/>
                <w:sz w:val="20"/>
                <w:szCs w:val="20"/>
              </w:rPr>
            </w:pPr>
            <w:r w:rsidRPr="00E849F8">
              <w:rPr>
                <w:color w:val="000000" w:themeColor="text1"/>
                <w:sz w:val="20"/>
                <w:szCs w:val="20"/>
              </w:rPr>
              <w:t>38</w:t>
            </w:r>
          </w:p>
        </w:tc>
        <w:tc>
          <w:tcPr>
            <w:tcW w:w="1246" w:type="dxa"/>
            <w:vAlign w:val="center"/>
            <w:hideMark/>
          </w:tcPr>
          <w:p w14:paraId="03237401" w14:textId="77777777" w:rsidR="008C0757" w:rsidRPr="00E849F8" w:rsidRDefault="008C0757" w:rsidP="00BC149E">
            <w:pPr>
              <w:jc w:val="center"/>
              <w:rPr>
                <w:color w:val="000000" w:themeColor="text1"/>
                <w:sz w:val="20"/>
                <w:szCs w:val="20"/>
              </w:rPr>
            </w:pPr>
            <w:r w:rsidRPr="00E849F8">
              <w:rPr>
                <w:color w:val="000000" w:themeColor="text1"/>
                <w:sz w:val="20"/>
                <w:szCs w:val="20"/>
              </w:rPr>
              <w:t>32</w:t>
            </w:r>
          </w:p>
        </w:tc>
        <w:tc>
          <w:tcPr>
            <w:tcW w:w="2648" w:type="dxa"/>
            <w:vAlign w:val="center"/>
            <w:hideMark/>
          </w:tcPr>
          <w:p w14:paraId="0226015D" w14:textId="77777777" w:rsidR="008C0757" w:rsidRPr="00E849F8" w:rsidRDefault="008C0757" w:rsidP="00BC149E">
            <w:pPr>
              <w:rPr>
                <w:color w:val="000000" w:themeColor="text1"/>
                <w:sz w:val="20"/>
                <w:szCs w:val="20"/>
              </w:rPr>
            </w:pPr>
            <w:r w:rsidRPr="00E849F8">
              <w:rPr>
                <w:color w:val="000000" w:themeColor="text1"/>
                <w:sz w:val="20"/>
                <w:szCs w:val="20"/>
              </w:rPr>
              <w:t>Higher among girls</w:t>
            </w:r>
          </w:p>
        </w:tc>
      </w:tr>
      <w:tr w:rsidR="00E849F8" w:rsidRPr="00E849F8" w14:paraId="1C6AEC9B" w14:textId="77777777" w:rsidTr="00BC149E">
        <w:trPr>
          <w:tblCellSpacing w:w="15" w:type="dxa"/>
        </w:trPr>
        <w:tc>
          <w:tcPr>
            <w:tcW w:w="3783" w:type="dxa"/>
            <w:vAlign w:val="center"/>
            <w:hideMark/>
          </w:tcPr>
          <w:p w14:paraId="67671D8A" w14:textId="77777777" w:rsidR="008C0757" w:rsidRPr="00E849F8" w:rsidRDefault="008C0757" w:rsidP="00BC149E">
            <w:pPr>
              <w:rPr>
                <w:color w:val="000000" w:themeColor="text1"/>
                <w:sz w:val="20"/>
                <w:szCs w:val="20"/>
              </w:rPr>
            </w:pPr>
            <w:r w:rsidRPr="00E849F8">
              <w:rPr>
                <w:color w:val="000000" w:themeColor="text1"/>
                <w:sz w:val="20"/>
                <w:szCs w:val="20"/>
              </w:rPr>
              <w:t>Understanding teacher explanations</w:t>
            </w:r>
          </w:p>
        </w:tc>
        <w:tc>
          <w:tcPr>
            <w:tcW w:w="1245" w:type="dxa"/>
            <w:vAlign w:val="center"/>
            <w:hideMark/>
          </w:tcPr>
          <w:p w14:paraId="79E52CA3" w14:textId="77777777" w:rsidR="008C0757" w:rsidRPr="00E849F8" w:rsidRDefault="008C0757" w:rsidP="00BC149E">
            <w:pPr>
              <w:jc w:val="center"/>
              <w:rPr>
                <w:color w:val="000000" w:themeColor="text1"/>
                <w:sz w:val="20"/>
                <w:szCs w:val="20"/>
              </w:rPr>
            </w:pPr>
            <w:r w:rsidRPr="00E849F8">
              <w:rPr>
                <w:color w:val="000000" w:themeColor="text1"/>
                <w:sz w:val="20"/>
                <w:szCs w:val="20"/>
              </w:rPr>
              <w:t>45</w:t>
            </w:r>
          </w:p>
        </w:tc>
        <w:tc>
          <w:tcPr>
            <w:tcW w:w="1246" w:type="dxa"/>
            <w:vAlign w:val="center"/>
            <w:hideMark/>
          </w:tcPr>
          <w:p w14:paraId="67EE5A5B" w14:textId="77777777" w:rsidR="008C0757" w:rsidRPr="00E849F8" w:rsidRDefault="008C0757" w:rsidP="00BC149E">
            <w:pPr>
              <w:jc w:val="center"/>
              <w:rPr>
                <w:color w:val="000000" w:themeColor="text1"/>
                <w:sz w:val="20"/>
                <w:szCs w:val="20"/>
              </w:rPr>
            </w:pPr>
            <w:r w:rsidRPr="00E849F8">
              <w:rPr>
                <w:color w:val="000000" w:themeColor="text1"/>
                <w:sz w:val="20"/>
                <w:szCs w:val="20"/>
              </w:rPr>
              <w:t>45</w:t>
            </w:r>
          </w:p>
        </w:tc>
        <w:tc>
          <w:tcPr>
            <w:tcW w:w="2648" w:type="dxa"/>
            <w:vAlign w:val="center"/>
            <w:hideMark/>
          </w:tcPr>
          <w:p w14:paraId="3E0D39B0" w14:textId="77777777" w:rsidR="008C0757" w:rsidRPr="00E849F8" w:rsidRDefault="008C0757" w:rsidP="00BC149E">
            <w:pPr>
              <w:rPr>
                <w:color w:val="000000" w:themeColor="text1"/>
                <w:sz w:val="20"/>
                <w:szCs w:val="20"/>
              </w:rPr>
            </w:pPr>
            <w:r w:rsidRPr="00E849F8">
              <w:rPr>
                <w:color w:val="000000" w:themeColor="text1"/>
                <w:sz w:val="20"/>
                <w:szCs w:val="20"/>
              </w:rPr>
              <w:t>Similar comprehension</w:t>
            </w:r>
          </w:p>
        </w:tc>
      </w:tr>
      <w:tr w:rsidR="00E849F8" w:rsidRPr="00E849F8" w14:paraId="526192F3" w14:textId="77777777" w:rsidTr="00BC149E">
        <w:trPr>
          <w:tblCellSpacing w:w="15" w:type="dxa"/>
        </w:trPr>
        <w:tc>
          <w:tcPr>
            <w:tcW w:w="3783" w:type="dxa"/>
            <w:vAlign w:val="center"/>
            <w:hideMark/>
          </w:tcPr>
          <w:p w14:paraId="4D03BDB7" w14:textId="77777777" w:rsidR="008C0757" w:rsidRPr="00E849F8" w:rsidRDefault="008C0757" w:rsidP="00BC149E">
            <w:pPr>
              <w:rPr>
                <w:color w:val="000000" w:themeColor="text1"/>
                <w:sz w:val="20"/>
                <w:szCs w:val="20"/>
              </w:rPr>
            </w:pPr>
            <w:r w:rsidRPr="00E849F8">
              <w:rPr>
                <w:color w:val="000000" w:themeColor="text1"/>
                <w:sz w:val="20"/>
                <w:szCs w:val="20"/>
              </w:rPr>
              <w:t>Active participation</w:t>
            </w:r>
          </w:p>
        </w:tc>
        <w:tc>
          <w:tcPr>
            <w:tcW w:w="1245" w:type="dxa"/>
            <w:vAlign w:val="center"/>
            <w:hideMark/>
          </w:tcPr>
          <w:p w14:paraId="2391F34B" w14:textId="77777777" w:rsidR="008C0757" w:rsidRPr="00E849F8" w:rsidRDefault="008C0757" w:rsidP="00BC149E">
            <w:pPr>
              <w:jc w:val="center"/>
              <w:rPr>
                <w:color w:val="000000" w:themeColor="text1"/>
                <w:sz w:val="20"/>
                <w:szCs w:val="20"/>
              </w:rPr>
            </w:pPr>
            <w:r w:rsidRPr="00E849F8">
              <w:rPr>
                <w:color w:val="000000" w:themeColor="text1"/>
                <w:sz w:val="20"/>
                <w:szCs w:val="20"/>
              </w:rPr>
              <w:t>32</w:t>
            </w:r>
          </w:p>
        </w:tc>
        <w:tc>
          <w:tcPr>
            <w:tcW w:w="1246" w:type="dxa"/>
            <w:vAlign w:val="center"/>
            <w:hideMark/>
          </w:tcPr>
          <w:p w14:paraId="312F479C" w14:textId="77777777" w:rsidR="008C0757" w:rsidRPr="00E849F8" w:rsidRDefault="008C0757" w:rsidP="00BC149E">
            <w:pPr>
              <w:jc w:val="center"/>
              <w:rPr>
                <w:color w:val="000000" w:themeColor="text1"/>
                <w:sz w:val="20"/>
                <w:szCs w:val="20"/>
              </w:rPr>
            </w:pPr>
            <w:r w:rsidRPr="00E849F8">
              <w:rPr>
                <w:color w:val="000000" w:themeColor="text1"/>
                <w:sz w:val="20"/>
                <w:szCs w:val="20"/>
              </w:rPr>
              <w:t>28</w:t>
            </w:r>
          </w:p>
        </w:tc>
        <w:tc>
          <w:tcPr>
            <w:tcW w:w="2648" w:type="dxa"/>
            <w:vAlign w:val="center"/>
            <w:hideMark/>
          </w:tcPr>
          <w:p w14:paraId="7DDAEA75" w14:textId="77777777" w:rsidR="008C0757" w:rsidRPr="00E849F8" w:rsidRDefault="008C0757" w:rsidP="00BC149E">
            <w:pPr>
              <w:rPr>
                <w:color w:val="000000" w:themeColor="text1"/>
                <w:sz w:val="20"/>
                <w:szCs w:val="20"/>
              </w:rPr>
            </w:pPr>
            <w:r w:rsidRPr="00E849F8">
              <w:rPr>
                <w:color w:val="000000" w:themeColor="text1"/>
                <w:sz w:val="20"/>
                <w:szCs w:val="20"/>
              </w:rPr>
              <w:t>Higher among girls</w:t>
            </w:r>
          </w:p>
        </w:tc>
      </w:tr>
      <w:tr w:rsidR="00E849F8" w:rsidRPr="00E849F8" w14:paraId="2220C185" w14:textId="77777777" w:rsidTr="00BC149E">
        <w:trPr>
          <w:tblCellSpacing w:w="15" w:type="dxa"/>
        </w:trPr>
        <w:tc>
          <w:tcPr>
            <w:tcW w:w="3783" w:type="dxa"/>
            <w:vAlign w:val="center"/>
            <w:hideMark/>
          </w:tcPr>
          <w:p w14:paraId="044F4547" w14:textId="77777777" w:rsidR="008C0757" w:rsidRPr="00E849F8" w:rsidRDefault="008C0757" w:rsidP="00BC149E">
            <w:pPr>
              <w:rPr>
                <w:color w:val="000000" w:themeColor="text1"/>
                <w:sz w:val="20"/>
                <w:szCs w:val="20"/>
              </w:rPr>
            </w:pPr>
            <w:r w:rsidRPr="00E849F8">
              <w:rPr>
                <w:color w:val="000000" w:themeColor="text1"/>
                <w:sz w:val="20"/>
                <w:szCs w:val="20"/>
              </w:rPr>
              <w:t>Perceived teacher support</w:t>
            </w:r>
          </w:p>
        </w:tc>
        <w:tc>
          <w:tcPr>
            <w:tcW w:w="1245" w:type="dxa"/>
            <w:vAlign w:val="center"/>
            <w:hideMark/>
          </w:tcPr>
          <w:p w14:paraId="702175D4" w14:textId="77777777" w:rsidR="008C0757" w:rsidRPr="00E849F8" w:rsidRDefault="008C0757" w:rsidP="00BC149E">
            <w:pPr>
              <w:jc w:val="center"/>
              <w:rPr>
                <w:color w:val="000000" w:themeColor="text1"/>
                <w:sz w:val="20"/>
                <w:szCs w:val="20"/>
              </w:rPr>
            </w:pPr>
            <w:r w:rsidRPr="00E849F8">
              <w:rPr>
                <w:color w:val="000000" w:themeColor="text1"/>
                <w:sz w:val="20"/>
                <w:szCs w:val="20"/>
              </w:rPr>
              <w:t>42</w:t>
            </w:r>
          </w:p>
        </w:tc>
        <w:tc>
          <w:tcPr>
            <w:tcW w:w="1246" w:type="dxa"/>
            <w:vAlign w:val="center"/>
            <w:hideMark/>
          </w:tcPr>
          <w:p w14:paraId="4EB23954" w14:textId="77777777" w:rsidR="008C0757" w:rsidRPr="00E849F8" w:rsidRDefault="008C0757" w:rsidP="00BC149E">
            <w:pPr>
              <w:jc w:val="center"/>
              <w:rPr>
                <w:color w:val="000000" w:themeColor="text1"/>
                <w:sz w:val="20"/>
                <w:szCs w:val="20"/>
              </w:rPr>
            </w:pPr>
            <w:r w:rsidRPr="00E849F8">
              <w:rPr>
                <w:color w:val="000000" w:themeColor="text1"/>
                <w:sz w:val="20"/>
                <w:szCs w:val="20"/>
              </w:rPr>
              <w:t>38</w:t>
            </w:r>
          </w:p>
        </w:tc>
        <w:tc>
          <w:tcPr>
            <w:tcW w:w="2648" w:type="dxa"/>
            <w:vAlign w:val="center"/>
            <w:hideMark/>
          </w:tcPr>
          <w:p w14:paraId="264E3A56" w14:textId="77777777" w:rsidR="008C0757" w:rsidRPr="00E849F8" w:rsidRDefault="008C0757" w:rsidP="00BC149E">
            <w:pPr>
              <w:rPr>
                <w:color w:val="000000" w:themeColor="text1"/>
                <w:sz w:val="20"/>
                <w:szCs w:val="20"/>
              </w:rPr>
            </w:pPr>
            <w:r w:rsidRPr="00E849F8">
              <w:rPr>
                <w:color w:val="000000" w:themeColor="text1"/>
                <w:sz w:val="20"/>
                <w:szCs w:val="20"/>
              </w:rPr>
              <w:t>Slightly higher among girls</w:t>
            </w:r>
          </w:p>
        </w:tc>
      </w:tr>
      <w:tr w:rsidR="00E849F8" w:rsidRPr="00E849F8" w14:paraId="72C7C987" w14:textId="77777777" w:rsidTr="00BC149E">
        <w:trPr>
          <w:tblCellSpacing w:w="15" w:type="dxa"/>
        </w:trPr>
        <w:tc>
          <w:tcPr>
            <w:tcW w:w="3783" w:type="dxa"/>
            <w:vAlign w:val="center"/>
            <w:hideMark/>
          </w:tcPr>
          <w:p w14:paraId="5DACE1B5" w14:textId="77777777" w:rsidR="008C0757" w:rsidRPr="00E849F8" w:rsidRDefault="008C0757" w:rsidP="00BC149E">
            <w:pPr>
              <w:rPr>
                <w:color w:val="000000" w:themeColor="text1"/>
                <w:sz w:val="20"/>
                <w:szCs w:val="20"/>
              </w:rPr>
            </w:pPr>
            <w:r w:rsidRPr="00E849F8">
              <w:rPr>
                <w:color w:val="000000" w:themeColor="text1"/>
                <w:sz w:val="20"/>
                <w:szCs w:val="20"/>
              </w:rPr>
              <w:t>High confidence</w:t>
            </w:r>
          </w:p>
        </w:tc>
        <w:tc>
          <w:tcPr>
            <w:tcW w:w="1245" w:type="dxa"/>
            <w:vAlign w:val="center"/>
            <w:hideMark/>
          </w:tcPr>
          <w:p w14:paraId="4C5BC727" w14:textId="77777777" w:rsidR="008C0757" w:rsidRPr="00E849F8" w:rsidRDefault="008C0757" w:rsidP="00BC149E">
            <w:pPr>
              <w:jc w:val="center"/>
              <w:rPr>
                <w:color w:val="000000" w:themeColor="text1"/>
                <w:sz w:val="20"/>
                <w:szCs w:val="20"/>
              </w:rPr>
            </w:pPr>
            <w:r w:rsidRPr="00E849F8">
              <w:rPr>
                <w:color w:val="000000" w:themeColor="text1"/>
                <w:sz w:val="20"/>
                <w:szCs w:val="20"/>
              </w:rPr>
              <w:t>38</w:t>
            </w:r>
          </w:p>
        </w:tc>
        <w:tc>
          <w:tcPr>
            <w:tcW w:w="1246" w:type="dxa"/>
            <w:vAlign w:val="center"/>
            <w:hideMark/>
          </w:tcPr>
          <w:p w14:paraId="77F3FA4E" w14:textId="77777777" w:rsidR="008C0757" w:rsidRPr="00E849F8" w:rsidRDefault="008C0757" w:rsidP="00BC149E">
            <w:pPr>
              <w:jc w:val="center"/>
              <w:rPr>
                <w:color w:val="000000" w:themeColor="text1"/>
                <w:sz w:val="20"/>
                <w:szCs w:val="20"/>
              </w:rPr>
            </w:pPr>
            <w:r w:rsidRPr="00E849F8">
              <w:rPr>
                <w:color w:val="000000" w:themeColor="text1"/>
                <w:sz w:val="20"/>
                <w:szCs w:val="20"/>
              </w:rPr>
              <w:t>32</w:t>
            </w:r>
          </w:p>
        </w:tc>
        <w:tc>
          <w:tcPr>
            <w:tcW w:w="2648" w:type="dxa"/>
            <w:vAlign w:val="center"/>
            <w:hideMark/>
          </w:tcPr>
          <w:p w14:paraId="65D68C0D" w14:textId="77777777" w:rsidR="008C0757" w:rsidRPr="00E849F8" w:rsidRDefault="008C0757" w:rsidP="00BC149E">
            <w:pPr>
              <w:rPr>
                <w:color w:val="000000" w:themeColor="text1"/>
                <w:sz w:val="20"/>
                <w:szCs w:val="20"/>
              </w:rPr>
            </w:pPr>
            <w:r w:rsidRPr="00E849F8">
              <w:rPr>
                <w:color w:val="000000" w:themeColor="text1"/>
                <w:sz w:val="20"/>
                <w:szCs w:val="20"/>
              </w:rPr>
              <w:t>Lower among boys</w:t>
            </w:r>
          </w:p>
        </w:tc>
      </w:tr>
    </w:tbl>
    <w:p w14:paraId="758B3514" w14:textId="77777777" w:rsidR="008C0757" w:rsidRPr="00E849F8" w:rsidRDefault="008C0757" w:rsidP="008C0757">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lastRenderedPageBreak/>
        <w:t>5.5 Teacher Readiness and Support Needs</w:t>
      </w:r>
    </w:p>
    <w:p w14:paraId="788035FA" w14:textId="77777777" w:rsidR="008C0757" w:rsidRPr="00E849F8" w:rsidRDefault="008C0757" w:rsidP="008C0757">
      <w:pPr>
        <w:pStyle w:val="isselectedend"/>
        <w:rPr>
          <w:color w:val="000000" w:themeColor="text1"/>
          <w:sz w:val="22"/>
          <w:szCs w:val="22"/>
        </w:rPr>
      </w:pPr>
      <w:r w:rsidRPr="00E849F8">
        <w:rPr>
          <w:color w:val="000000" w:themeColor="text1"/>
          <w:sz w:val="22"/>
          <w:szCs w:val="22"/>
        </w:rPr>
        <w:t>Teachers identified poor concentration, irregular attendance, low motivation, emotional distress, and weak parental support as major barriers. Although many adapted teaching methods, most lacked formal training in trauma-informed and psychosocially supportive education.</w:t>
      </w:r>
    </w:p>
    <w:p w14:paraId="69A39F72" w14:textId="77777777" w:rsidR="008C0757" w:rsidRPr="00E849F8" w:rsidRDefault="008C0757" w:rsidP="008C0757">
      <w:pPr>
        <w:pStyle w:val="isselectedend"/>
        <w:rPr>
          <w:color w:val="000000" w:themeColor="text1"/>
          <w:sz w:val="22"/>
          <w:szCs w:val="22"/>
        </w:rPr>
      </w:pPr>
      <w:r w:rsidRPr="00E849F8">
        <w:rPr>
          <w:rStyle w:val="Strong"/>
          <w:color w:val="000000" w:themeColor="text1"/>
          <w:sz w:val="22"/>
          <w:szCs w:val="22"/>
        </w:rPr>
        <w:t>Table 5: Teacher Practices and Support Needs</w:t>
      </w:r>
    </w:p>
    <w:tbl>
      <w:tblPr>
        <w:tblW w:w="0" w:type="auto"/>
        <w:tblCellSpacing w:w="15" w:type="dxa"/>
        <w:tblBorders>
          <w:top w:val="single" w:sz="24" w:space="0" w:color="auto"/>
          <w:bottom w:val="single" w:sz="24" w:space="0" w:color="auto"/>
        </w:tblBorders>
        <w:tblCellMar>
          <w:top w:w="15" w:type="dxa"/>
          <w:left w:w="15" w:type="dxa"/>
          <w:bottom w:w="15" w:type="dxa"/>
          <w:right w:w="15" w:type="dxa"/>
        </w:tblCellMar>
        <w:tblLook w:val="04A0" w:firstRow="1" w:lastRow="0" w:firstColumn="1" w:lastColumn="0" w:noHBand="0" w:noVBand="1"/>
      </w:tblPr>
      <w:tblGrid>
        <w:gridCol w:w="2691"/>
        <w:gridCol w:w="5536"/>
      </w:tblGrid>
      <w:tr w:rsidR="00E849F8" w:rsidRPr="00E849F8" w14:paraId="77962B19" w14:textId="77777777" w:rsidTr="00BC149E">
        <w:trPr>
          <w:tblCellSpacing w:w="15" w:type="dxa"/>
        </w:trPr>
        <w:tc>
          <w:tcPr>
            <w:tcW w:w="0" w:type="auto"/>
            <w:vAlign w:val="center"/>
            <w:hideMark/>
          </w:tcPr>
          <w:p w14:paraId="4528BA58" w14:textId="77777777" w:rsidR="008C0757" w:rsidRPr="00E849F8" w:rsidRDefault="008C0757" w:rsidP="00BC149E">
            <w:pPr>
              <w:rPr>
                <w:b/>
                <w:bCs/>
                <w:color w:val="000000" w:themeColor="text1"/>
                <w:sz w:val="20"/>
                <w:szCs w:val="20"/>
              </w:rPr>
            </w:pPr>
            <w:r w:rsidRPr="00E849F8">
              <w:rPr>
                <w:b/>
                <w:bCs/>
                <w:color w:val="000000" w:themeColor="text1"/>
                <w:sz w:val="20"/>
                <w:szCs w:val="20"/>
              </w:rPr>
              <w:t>Domain</w:t>
            </w:r>
          </w:p>
        </w:tc>
        <w:tc>
          <w:tcPr>
            <w:tcW w:w="0" w:type="auto"/>
            <w:vAlign w:val="center"/>
            <w:hideMark/>
          </w:tcPr>
          <w:p w14:paraId="4681AB51" w14:textId="77777777" w:rsidR="008C0757" w:rsidRPr="00E849F8" w:rsidRDefault="008C0757" w:rsidP="00BC149E">
            <w:pPr>
              <w:rPr>
                <w:b/>
                <w:bCs/>
                <w:color w:val="000000" w:themeColor="text1"/>
                <w:sz w:val="20"/>
                <w:szCs w:val="20"/>
              </w:rPr>
            </w:pPr>
            <w:r w:rsidRPr="00E849F8">
              <w:rPr>
                <w:b/>
                <w:bCs/>
                <w:color w:val="000000" w:themeColor="text1"/>
                <w:sz w:val="20"/>
                <w:szCs w:val="20"/>
              </w:rPr>
              <w:t>Key Finding</w:t>
            </w:r>
          </w:p>
        </w:tc>
      </w:tr>
      <w:tr w:rsidR="00E849F8" w:rsidRPr="00E849F8" w14:paraId="7B42F113" w14:textId="77777777" w:rsidTr="00BC149E">
        <w:trPr>
          <w:tblCellSpacing w:w="15" w:type="dxa"/>
        </w:trPr>
        <w:tc>
          <w:tcPr>
            <w:tcW w:w="0" w:type="auto"/>
            <w:tcBorders>
              <w:top w:val="single" w:sz="24" w:space="0" w:color="auto"/>
              <w:bottom w:val="nil"/>
            </w:tcBorders>
            <w:vAlign w:val="center"/>
            <w:hideMark/>
          </w:tcPr>
          <w:p w14:paraId="570054C4" w14:textId="77777777" w:rsidR="008C0757" w:rsidRPr="00E849F8" w:rsidRDefault="008C0757" w:rsidP="00BC149E">
            <w:pPr>
              <w:rPr>
                <w:color w:val="000000" w:themeColor="text1"/>
                <w:sz w:val="20"/>
                <w:szCs w:val="20"/>
              </w:rPr>
            </w:pPr>
            <w:r w:rsidRPr="00E849F8">
              <w:rPr>
                <w:color w:val="000000" w:themeColor="text1"/>
                <w:sz w:val="20"/>
                <w:szCs w:val="20"/>
              </w:rPr>
              <w:t>Common methods</w:t>
            </w:r>
          </w:p>
        </w:tc>
        <w:tc>
          <w:tcPr>
            <w:tcW w:w="0" w:type="auto"/>
            <w:tcBorders>
              <w:top w:val="single" w:sz="24" w:space="0" w:color="auto"/>
              <w:bottom w:val="nil"/>
            </w:tcBorders>
            <w:vAlign w:val="center"/>
            <w:hideMark/>
          </w:tcPr>
          <w:p w14:paraId="42C0D89E" w14:textId="77777777" w:rsidR="008C0757" w:rsidRPr="00E849F8" w:rsidRDefault="008C0757" w:rsidP="00BC149E">
            <w:pPr>
              <w:rPr>
                <w:color w:val="000000" w:themeColor="text1"/>
                <w:sz w:val="20"/>
                <w:szCs w:val="20"/>
              </w:rPr>
            </w:pPr>
            <w:r w:rsidRPr="00E849F8">
              <w:rPr>
                <w:color w:val="000000" w:themeColor="text1"/>
                <w:sz w:val="20"/>
                <w:szCs w:val="20"/>
              </w:rPr>
              <w:t>Lectures, individual assignments, repetition, one-to-one support</w:t>
            </w:r>
          </w:p>
        </w:tc>
      </w:tr>
      <w:tr w:rsidR="00E849F8" w:rsidRPr="00E849F8" w14:paraId="61D68956" w14:textId="77777777" w:rsidTr="00BC149E">
        <w:trPr>
          <w:tblCellSpacing w:w="15" w:type="dxa"/>
        </w:trPr>
        <w:tc>
          <w:tcPr>
            <w:tcW w:w="0" w:type="auto"/>
            <w:vAlign w:val="center"/>
            <w:hideMark/>
          </w:tcPr>
          <w:p w14:paraId="52275146" w14:textId="77777777" w:rsidR="008C0757" w:rsidRPr="00E849F8" w:rsidRDefault="008C0757" w:rsidP="00BC149E">
            <w:pPr>
              <w:rPr>
                <w:color w:val="000000" w:themeColor="text1"/>
                <w:sz w:val="20"/>
                <w:szCs w:val="20"/>
              </w:rPr>
            </w:pPr>
            <w:r w:rsidRPr="00E849F8">
              <w:rPr>
                <w:color w:val="000000" w:themeColor="text1"/>
                <w:sz w:val="20"/>
                <w:szCs w:val="20"/>
              </w:rPr>
              <w:t>Less used methods</w:t>
            </w:r>
          </w:p>
        </w:tc>
        <w:tc>
          <w:tcPr>
            <w:tcW w:w="0" w:type="auto"/>
            <w:vAlign w:val="center"/>
            <w:hideMark/>
          </w:tcPr>
          <w:p w14:paraId="4965CF82" w14:textId="77777777" w:rsidR="008C0757" w:rsidRPr="00E849F8" w:rsidRDefault="008C0757" w:rsidP="00BC149E">
            <w:pPr>
              <w:rPr>
                <w:color w:val="000000" w:themeColor="text1"/>
                <w:sz w:val="20"/>
                <w:szCs w:val="20"/>
              </w:rPr>
            </w:pPr>
            <w:r w:rsidRPr="00E849F8">
              <w:rPr>
                <w:color w:val="000000" w:themeColor="text1"/>
                <w:sz w:val="20"/>
                <w:szCs w:val="20"/>
              </w:rPr>
              <w:t>Multimedia, collaborative learning, differentiated instruction</w:t>
            </w:r>
          </w:p>
        </w:tc>
      </w:tr>
      <w:tr w:rsidR="00E849F8" w:rsidRPr="00E849F8" w14:paraId="03BF7F88" w14:textId="77777777" w:rsidTr="00BC149E">
        <w:trPr>
          <w:tblCellSpacing w:w="15" w:type="dxa"/>
        </w:trPr>
        <w:tc>
          <w:tcPr>
            <w:tcW w:w="0" w:type="auto"/>
            <w:vAlign w:val="center"/>
            <w:hideMark/>
          </w:tcPr>
          <w:p w14:paraId="7E5FA3A5" w14:textId="77777777" w:rsidR="008C0757" w:rsidRPr="00E849F8" w:rsidRDefault="008C0757" w:rsidP="00BC149E">
            <w:pPr>
              <w:rPr>
                <w:color w:val="000000" w:themeColor="text1"/>
                <w:sz w:val="20"/>
                <w:szCs w:val="20"/>
              </w:rPr>
            </w:pPr>
            <w:r w:rsidRPr="00E849F8">
              <w:rPr>
                <w:color w:val="000000" w:themeColor="text1"/>
                <w:sz w:val="20"/>
                <w:szCs w:val="20"/>
              </w:rPr>
              <w:t>Teachers adapting methods</w:t>
            </w:r>
          </w:p>
        </w:tc>
        <w:tc>
          <w:tcPr>
            <w:tcW w:w="0" w:type="auto"/>
            <w:vAlign w:val="center"/>
            <w:hideMark/>
          </w:tcPr>
          <w:p w14:paraId="3615F75D" w14:textId="77777777" w:rsidR="008C0757" w:rsidRPr="00E849F8" w:rsidRDefault="008C0757" w:rsidP="00BC149E">
            <w:pPr>
              <w:rPr>
                <w:color w:val="000000" w:themeColor="text1"/>
                <w:sz w:val="20"/>
                <w:szCs w:val="20"/>
              </w:rPr>
            </w:pPr>
            <w:r w:rsidRPr="00E849F8">
              <w:rPr>
                <w:color w:val="000000" w:themeColor="text1"/>
                <w:sz w:val="20"/>
                <w:szCs w:val="20"/>
              </w:rPr>
              <w:t>25 of 31</w:t>
            </w:r>
          </w:p>
        </w:tc>
      </w:tr>
      <w:tr w:rsidR="00E849F8" w:rsidRPr="00E849F8" w14:paraId="782284EF" w14:textId="77777777" w:rsidTr="00BC149E">
        <w:trPr>
          <w:tblCellSpacing w:w="15" w:type="dxa"/>
        </w:trPr>
        <w:tc>
          <w:tcPr>
            <w:tcW w:w="0" w:type="auto"/>
            <w:vAlign w:val="center"/>
            <w:hideMark/>
          </w:tcPr>
          <w:p w14:paraId="648C4897" w14:textId="77777777" w:rsidR="008C0757" w:rsidRPr="00E849F8" w:rsidRDefault="008C0757" w:rsidP="00BC149E">
            <w:pPr>
              <w:rPr>
                <w:color w:val="000000" w:themeColor="text1"/>
                <w:sz w:val="20"/>
                <w:szCs w:val="20"/>
              </w:rPr>
            </w:pPr>
            <w:r w:rsidRPr="00E849F8">
              <w:rPr>
                <w:color w:val="000000" w:themeColor="text1"/>
                <w:sz w:val="20"/>
                <w:szCs w:val="20"/>
              </w:rPr>
              <w:t>Teachers lacking formal training</w:t>
            </w:r>
          </w:p>
        </w:tc>
        <w:tc>
          <w:tcPr>
            <w:tcW w:w="0" w:type="auto"/>
            <w:vAlign w:val="center"/>
            <w:hideMark/>
          </w:tcPr>
          <w:p w14:paraId="74C9ADEE" w14:textId="77777777" w:rsidR="008C0757" w:rsidRPr="00E849F8" w:rsidRDefault="008C0757" w:rsidP="00BC149E">
            <w:pPr>
              <w:rPr>
                <w:color w:val="000000" w:themeColor="text1"/>
                <w:sz w:val="20"/>
                <w:szCs w:val="20"/>
              </w:rPr>
            </w:pPr>
            <w:r w:rsidRPr="00E849F8">
              <w:rPr>
                <w:color w:val="000000" w:themeColor="text1"/>
                <w:sz w:val="20"/>
                <w:szCs w:val="20"/>
              </w:rPr>
              <w:t>Majority</w:t>
            </w:r>
          </w:p>
        </w:tc>
      </w:tr>
      <w:tr w:rsidR="00E849F8" w:rsidRPr="00E849F8" w14:paraId="5AE8D13D" w14:textId="77777777" w:rsidTr="00BC149E">
        <w:trPr>
          <w:tblCellSpacing w:w="15" w:type="dxa"/>
        </w:trPr>
        <w:tc>
          <w:tcPr>
            <w:tcW w:w="0" w:type="auto"/>
            <w:vAlign w:val="center"/>
            <w:hideMark/>
          </w:tcPr>
          <w:p w14:paraId="5F52C03B" w14:textId="77777777" w:rsidR="008C0757" w:rsidRPr="00E849F8" w:rsidRDefault="008C0757" w:rsidP="00BC149E">
            <w:pPr>
              <w:rPr>
                <w:color w:val="000000" w:themeColor="text1"/>
                <w:sz w:val="20"/>
                <w:szCs w:val="20"/>
              </w:rPr>
            </w:pPr>
            <w:r w:rsidRPr="00E849F8">
              <w:rPr>
                <w:color w:val="000000" w:themeColor="text1"/>
                <w:sz w:val="20"/>
                <w:szCs w:val="20"/>
              </w:rPr>
              <w:t>Main student difficulties</w:t>
            </w:r>
          </w:p>
        </w:tc>
        <w:tc>
          <w:tcPr>
            <w:tcW w:w="0" w:type="auto"/>
            <w:vAlign w:val="center"/>
            <w:hideMark/>
          </w:tcPr>
          <w:p w14:paraId="04A57792" w14:textId="77777777" w:rsidR="008C0757" w:rsidRPr="00E849F8" w:rsidRDefault="008C0757" w:rsidP="00BC149E">
            <w:pPr>
              <w:rPr>
                <w:color w:val="000000" w:themeColor="text1"/>
                <w:sz w:val="20"/>
                <w:szCs w:val="20"/>
              </w:rPr>
            </w:pPr>
            <w:r w:rsidRPr="00E849F8">
              <w:rPr>
                <w:color w:val="000000" w:themeColor="text1"/>
                <w:sz w:val="20"/>
                <w:szCs w:val="20"/>
              </w:rPr>
              <w:t>Poor concentration, absenteeism, low motivation, emotional distress</w:t>
            </w:r>
          </w:p>
        </w:tc>
      </w:tr>
      <w:tr w:rsidR="00E849F8" w:rsidRPr="00E849F8" w14:paraId="047F9DD9" w14:textId="77777777" w:rsidTr="00BC149E">
        <w:trPr>
          <w:tblCellSpacing w:w="15" w:type="dxa"/>
        </w:trPr>
        <w:tc>
          <w:tcPr>
            <w:tcW w:w="0" w:type="auto"/>
            <w:vAlign w:val="center"/>
            <w:hideMark/>
          </w:tcPr>
          <w:p w14:paraId="30AFE9A7" w14:textId="77777777" w:rsidR="008C0757" w:rsidRPr="00E849F8" w:rsidRDefault="008C0757" w:rsidP="00BC149E">
            <w:pPr>
              <w:rPr>
                <w:color w:val="000000" w:themeColor="text1"/>
                <w:sz w:val="20"/>
                <w:szCs w:val="20"/>
              </w:rPr>
            </w:pPr>
            <w:r w:rsidRPr="00E849F8">
              <w:rPr>
                <w:color w:val="000000" w:themeColor="text1"/>
                <w:sz w:val="20"/>
                <w:szCs w:val="20"/>
              </w:rPr>
              <w:t>Required support</w:t>
            </w:r>
          </w:p>
        </w:tc>
        <w:tc>
          <w:tcPr>
            <w:tcW w:w="0" w:type="auto"/>
            <w:vAlign w:val="center"/>
            <w:hideMark/>
          </w:tcPr>
          <w:p w14:paraId="67A372FF" w14:textId="77777777" w:rsidR="008C0757" w:rsidRPr="00E849F8" w:rsidRDefault="008C0757" w:rsidP="00BC149E">
            <w:pPr>
              <w:rPr>
                <w:color w:val="000000" w:themeColor="text1"/>
                <w:sz w:val="20"/>
                <w:szCs w:val="20"/>
              </w:rPr>
            </w:pPr>
            <w:r w:rsidRPr="00E849F8">
              <w:rPr>
                <w:color w:val="000000" w:themeColor="text1"/>
                <w:sz w:val="20"/>
                <w:szCs w:val="20"/>
              </w:rPr>
              <w:t>Training, counselling, teaching resources, smaller groups</w:t>
            </w:r>
          </w:p>
        </w:tc>
      </w:tr>
      <w:tr w:rsidR="00E849F8" w:rsidRPr="00E849F8" w14:paraId="439BCFB0" w14:textId="77777777" w:rsidTr="00BC149E">
        <w:trPr>
          <w:tblCellSpacing w:w="15" w:type="dxa"/>
        </w:trPr>
        <w:tc>
          <w:tcPr>
            <w:tcW w:w="0" w:type="auto"/>
            <w:vAlign w:val="center"/>
            <w:hideMark/>
          </w:tcPr>
          <w:p w14:paraId="2ED72EF4" w14:textId="77777777" w:rsidR="008C0757" w:rsidRPr="00E849F8" w:rsidRDefault="008C0757" w:rsidP="00BC149E">
            <w:pPr>
              <w:rPr>
                <w:color w:val="000000" w:themeColor="text1"/>
                <w:sz w:val="20"/>
                <w:szCs w:val="20"/>
              </w:rPr>
            </w:pPr>
            <w:r w:rsidRPr="00E849F8">
              <w:rPr>
                <w:color w:val="000000" w:themeColor="text1"/>
                <w:sz w:val="20"/>
                <w:szCs w:val="20"/>
              </w:rPr>
              <w:t>Recommended reforms</w:t>
            </w:r>
          </w:p>
        </w:tc>
        <w:tc>
          <w:tcPr>
            <w:tcW w:w="0" w:type="auto"/>
            <w:vAlign w:val="center"/>
            <w:hideMark/>
          </w:tcPr>
          <w:p w14:paraId="1031050F" w14:textId="77777777" w:rsidR="008C0757" w:rsidRPr="00E849F8" w:rsidRDefault="008C0757" w:rsidP="00BC149E">
            <w:pPr>
              <w:rPr>
                <w:color w:val="000000" w:themeColor="text1"/>
                <w:sz w:val="20"/>
                <w:szCs w:val="20"/>
              </w:rPr>
            </w:pPr>
            <w:r w:rsidRPr="00E849F8">
              <w:rPr>
                <w:color w:val="000000" w:themeColor="text1"/>
                <w:sz w:val="20"/>
                <w:szCs w:val="20"/>
              </w:rPr>
              <w:t>Trauma-informed teaching, school counselling, family engagement</w:t>
            </w:r>
          </w:p>
        </w:tc>
      </w:tr>
    </w:tbl>
    <w:p w14:paraId="4B7B7877" w14:textId="77777777" w:rsidR="008C0757" w:rsidRPr="00E849F8" w:rsidRDefault="008C0757" w:rsidP="008C0757">
      <w:pPr>
        <w:pStyle w:val="isselectedend"/>
        <w:rPr>
          <w:color w:val="000000" w:themeColor="text1"/>
          <w:sz w:val="22"/>
          <w:szCs w:val="22"/>
        </w:rPr>
      </w:pPr>
      <w:r w:rsidRPr="00E849F8">
        <w:rPr>
          <w:color w:val="000000" w:themeColor="text1"/>
          <w:sz w:val="22"/>
          <w:szCs w:val="22"/>
        </w:rPr>
        <w:t>Classroom observations showed strengths in respectful communication, clear instruction, and emotional warmth. However, differentiated teaching, collaborative learning, and structured psychosocial support were limited. This indicates that teacher empathy existed, but was not sufficiently supported by formal systems.</w:t>
      </w:r>
    </w:p>
    <w:p w14:paraId="339DE53B" w14:textId="77777777" w:rsidR="00E849F8" w:rsidRPr="00E849F8" w:rsidRDefault="00E849F8" w:rsidP="00E849F8">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t>6. Discussion</w:t>
      </w:r>
    </w:p>
    <w:p w14:paraId="4B6FD5FC" w14:textId="77777777" w:rsidR="00E849F8" w:rsidRPr="00E849F8" w:rsidRDefault="00E849F8" w:rsidP="00E849F8">
      <w:pPr>
        <w:pStyle w:val="NormalWeb"/>
        <w:rPr>
          <w:color w:val="000000" w:themeColor="text1"/>
          <w:sz w:val="22"/>
          <w:szCs w:val="22"/>
        </w:rPr>
      </w:pPr>
      <w:r w:rsidRPr="00E849F8">
        <w:rPr>
          <w:color w:val="000000" w:themeColor="text1"/>
          <w:sz w:val="22"/>
          <w:szCs w:val="22"/>
        </w:rPr>
        <w:t>The findings indicate that school-based psychosocial and health support interventions play an important role in improving educational outcomes among children from disrupted family backgrounds. Academic performance and educational engagement were strongly influenced by emotional well-being, attendance, teacher support, classroom environment, and institutional support, consistent with the Family Stress Model (Conger &amp; Donnellan, 2007).</w:t>
      </w:r>
    </w:p>
    <w:p w14:paraId="1C70FE50" w14:textId="77777777" w:rsidR="00E849F8" w:rsidRPr="00E849F8" w:rsidRDefault="00E849F8" w:rsidP="00E849F8">
      <w:pPr>
        <w:pStyle w:val="NormalWeb"/>
        <w:rPr>
          <w:color w:val="000000" w:themeColor="text1"/>
          <w:sz w:val="22"/>
          <w:szCs w:val="22"/>
        </w:rPr>
      </w:pPr>
      <w:r w:rsidRPr="00E849F8">
        <w:rPr>
          <w:color w:val="000000" w:themeColor="text1"/>
          <w:sz w:val="22"/>
          <w:szCs w:val="22"/>
        </w:rPr>
        <w:t>Children from disrupted family environments experienced emotional distress, low motivation, irregular attendance, and limited family support, which negatively affected learning and participation. Boys and younger students appeared more vulnerable, highlighting the need for targeted and gender-responsive support. Teachers emerged as key protective factors, with encouragement, individualized support, and positive teacher–student relationships enhancing engagement and confidence. These findings support trauma-informed educational approaches that prioritize emotional safety and trust (Cole et al., 2013; Perry &amp; Szalavitz, 2017).</w:t>
      </w:r>
    </w:p>
    <w:p w14:paraId="62F1F5B6" w14:textId="63FB0FC8" w:rsidR="00E849F8" w:rsidRPr="00E849F8" w:rsidRDefault="00E849F8" w:rsidP="00E849F8">
      <w:pPr>
        <w:pStyle w:val="NormalWeb"/>
        <w:rPr>
          <w:color w:val="000000" w:themeColor="text1"/>
          <w:sz w:val="22"/>
          <w:szCs w:val="22"/>
        </w:rPr>
      </w:pPr>
      <w:r w:rsidRPr="00E849F8">
        <w:rPr>
          <w:color w:val="000000" w:themeColor="text1"/>
          <w:sz w:val="22"/>
          <w:szCs w:val="22"/>
        </w:rPr>
        <w:t>Despite these positive influences, the study identified gaps in implementation. Psychosocial support services, counselling, and health-related interventions were limited, while most teaching remained conventional. Teachers reported insufficient training in trauma-informed practices, child mental health, inclusive education, and referral mechanisms. Stakeholders emphasized the need for stronger school-based support systems and greater collaboration among schools, families, health services, and child protection agencies.</w:t>
      </w:r>
      <w:r>
        <w:rPr>
          <w:color w:val="000000" w:themeColor="text1"/>
          <w:sz w:val="22"/>
          <w:szCs w:val="22"/>
          <w:lang w:val="en-US"/>
        </w:rPr>
        <w:t xml:space="preserve"> </w:t>
      </w:r>
      <w:r w:rsidRPr="00E849F8">
        <w:rPr>
          <w:color w:val="000000" w:themeColor="text1"/>
          <w:sz w:val="22"/>
          <w:szCs w:val="22"/>
        </w:rPr>
        <w:t>Overall, the findings suggest that strengthening psychosocial and health support interventions, alongside inclusive and student-centred educational practices, is essential for improving academic achievement and educational engagement among vulnerable children in Sri Lanka.</w:t>
      </w:r>
    </w:p>
    <w:p w14:paraId="2F07E2F8" w14:textId="77777777" w:rsidR="00DD4531" w:rsidRPr="00E849F8" w:rsidRDefault="00DD4531" w:rsidP="00DD4531">
      <w:pPr>
        <w:pStyle w:val="NormalWeb"/>
        <w:rPr>
          <w:color w:val="000000" w:themeColor="text1"/>
          <w:sz w:val="22"/>
          <w:szCs w:val="22"/>
        </w:rPr>
      </w:pPr>
      <w:r w:rsidRPr="00E849F8">
        <w:rPr>
          <w:color w:val="000000" w:themeColor="text1"/>
          <w:sz w:val="22"/>
          <w:szCs w:val="22"/>
        </w:rPr>
        <w:t>Overall, educational disadvantage among these children extends beyond the classroom. Sustainable improvement requires a whole-school, multi-sectoral approach involving education, health, child protection, family support, and community engagement.</w:t>
      </w:r>
    </w:p>
    <w:p w14:paraId="57CA2793" w14:textId="77777777" w:rsidR="00E849F8" w:rsidRPr="00E849F8" w:rsidRDefault="00DD4531" w:rsidP="00E849F8">
      <w:pPr>
        <w:pStyle w:val="Heading3"/>
        <w:rPr>
          <w:rFonts w:ascii="Times New Roman" w:hAnsi="Times New Roman" w:cs="Times New Roman"/>
          <w:b/>
          <w:bCs/>
          <w:color w:val="000000" w:themeColor="text1"/>
          <w:sz w:val="22"/>
          <w:szCs w:val="22"/>
        </w:rPr>
      </w:pPr>
      <w:r w:rsidRPr="00E849F8">
        <w:rPr>
          <w:rFonts w:ascii="Times New Roman" w:hAnsi="Times New Roman" w:cs="Times New Roman"/>
          <w:b/>
          <w:bCs/>
          <w:color w:val="000000" w:themeColor="text1"/>
          <w:sz w:val="22"/>
          <w:szCs w:val="22"/>
        </w:rPr>
        <w:lastRenderedPageBreak/>
        <w:t>7. Conclusion and Recommendations</w:t>
      </w:r>
    </w:p>
    <w:p w14:paraId="5B3752D2" w14:textId="71F825AC" w:rsidR="00E849F8" w:rsidRPr="00E849F8" w:rsidRDefault="00E849F8" w:rsidP="00E849F8">
      <w:pPr>
        <w:pStyle w:val="Heading3"/>
        <w:rPr>
          <w:rFonts w:ascii="Times New Roman" w:hAnsi="Times New Roman" w:cs="Times New Roman"/>
          <w:color w:val="000000" w:themeColor="text1"/>
          <w:sz w:val="22"/>
          <w:szCs w:val="22"/>
        </w:rPr>
      </w:pPr>
      <w:r w:rsidRPr="00E849F8">
        <w:rPr>
          <w:rStyle w:val="Strong"/>
          <w:rFonts w:ascii="Times New Roman" w:hAnsi="Times New Roman" w:cs="Times New Roman"/>
          <w:color w:val="000000" w:themeColor="text1"/>
          <w:sz w:val="22"/>
          <w:szCs w:val="22"/>
        </w:rPr>
        <w:t>7.1 Conclusion</w:t>
      </w:r>
    </w:p>
    <w:p w14:paraId="3702799A" w14:textId="67BB914B" w:rsidR="00E849F8" w:rsidRPr="00E849F8" w:rsidRDefault="00E849F8" w:rsidP="00E849F8">
      <w:pPr>
        <w:pStyle w:val="NormalWeb"/>
        <w:rPr>
          <w:color w:val="000000" w:themeColor="text1"/>
          <w:sz w:val="22"/>
          <w:szCs w:val="22"/>
        </w:rPr>
      </w:pPr>
      <w:r w:rsidRPr="00E849F8">
        <w:rPr>
          <w:color w:val="000000" w:themeColor="text1"/>
          <w:sz w:val="22"/>
          <w:szCs w:val="22"/>
        </w:rPr>
        <w:t>This study found that school-based psychosocial and health support interventions positively influence the educational outcomes of children from disrupted family backgrounds. Academic performance and educational engagement were closely linked to students’ emotional well-being, health, attendance, and access to supportive school environments.</w:t>
      </w:r>
      <w:r w:rsidRPr="00E849F8">
        <w:rPr>
          <w:color w:val="000000" w:themeColor="text1"/>
          <w:sz w:val="22"/>
          <w:szCs w:val="22"/>
          <w:lang w:val="en-US"/>
        </w:rPr>
        <w:t xml:space="preserve"> </w:t>
      </w:r>
      <w:r w:rsidRPr="00E849F8">
        <w:rPr>
          <w:color w:val="000000" w:themeColor="text1"/>
          <w:sz w:val="22"/>
          <w:szCs w:val="22"/>
        </w:rPr>
        <w:t>Children from disrupted family backgrounds faced challenges such as emotional distress, low motivation, irregular attendance, and limited family support, which affected their learning and participation. While teachers played a key supportive role, gaps in training, counselling services, and institutional support reduced the effectiveness of interventions.</w:t>
      </w:r>
    </w:p>
    <w:p w14:paraId="74FFE614" w14:textId="77777777" w:rsidR="00E849F8" w:rsidRPr="00E849F8" w:rsidRDefault="00E849F8" w:rsidP="00E849F8">
      <w:pPr>
        <w:pStyle w:val="NormalWeb"/>
        <w:rPr>
          <w:color w:val="000000" w:themeColor="text1"/>
          <w:sz w:val="22"/>
          <w:szCs w:val="22"/>
        </w:rPr>
      </w:pPr>
      <w:r w:rsidRPr="00E849F8">
        <w:rPr>
          <w:color w:val="000000" w:themeColor="text1"/>
          <w:sz w:val="22"/>
          <w:szCs w:val="22"/>
        </w:rPr>
        <w:t>The findings highlight the importance of strengthening psychosocial and health support services, adopting inclusive and student-centred practices, and enhancing collaboration among schools, families, and support agencies. A comprehensive school-based support approach is essential to improve both academic achievement and overall educational engagement among vulnerable children.</w:t>
      </w:r>
    </w:p>
    <w:p w14:paraId="5AC75FE9" w14:textId="47F9412B" w:rsidR="00E849F8" w:rsidRPr="00E849F8" w:rsidRDefault="00E849F8" w:rsidP="00E849F8">
      <w:pPr>
        <w:pStyle w:val="NormalWeb"/>
        <w:rPr>
          <w:color w:val="000000" w:themeColor="text1"/>
          <w:sz w:val="22"/>
          <w:szCs w:val="22"/>
        </w:rPr>
      </w:pPr>
      <w:r w:rsidRPr="00E849F8">
        <w:rPr>
          <w:rStyle w:val="Strong"/>
          <w:color w:val="000000" w:themeColor="text1"/>
          <w:sz w:val="22"/>
          <w:szCs w:val="22"/>
        </w:rPr>
        <w:t>7.2 Recommendations</w:t>
      </w:r>
    </w:p>
    <w:p w14:paraId="2DB75A11" w14:textId="77777777" w:rsidR="00E849F8" w:rsidRPr="00E849F8" w:rsidRDefault="00E849F8" w:rsidP="00E849F8">
      <w:pPr>
        <w:numPr>
          <w:ilvl w:val="0"/>
          <w:numId w:val="6"/>
        </w:numPr>
        <w:spacing w:before="100" w:beforeAutospacing="1" w:after="100" w:afterAutospacing="1"/>
        <w:rPr>
          <w:color w:val="000000" w:themeColor="text1"/>
          <w:sz w:val="22"/>
          <w:szCs w:val="22"/>
        </w:rPr>
      </w:pPr>
      <w:r w:rsidRPr="00E849F8">
        <w:rPr>
          <w:rStyle w:val="Strong"/>
          <w:color w:val="000000" w:themeColor="text1"/>
          <w:sz w:val="22"/>
          <w:szCs w:val="22"/>
        </w:rPr>
        <w:t>Expand school-based psychosocial support services</w:t>
      </w:r>
      <w:r w:rsidRPr="00E849F8">
        <w:rPr>
          <w:rStyle w:val="apple-converted-space"/>
          <w:rFonts w:eastAsiaTheme="majorEastAsia"/>
          <w:color w:val="000000" w:themeColor="text1"/>
          <w:sz w:val="22"/>
          <w:szCs w:val="22"/>
        </w:rPr>
        <w:t> </w:t>
      </w:r>
      <w:r w:rsidRPr="00E849F8">
        <w:rPr>
          <w:color w:val="000000" w:themeColor="text1"/>
          <w:sz w:val="22"/>
          <w:szCs w:val="22"/>
        </w:rPr>
        <w:t>by strengthening counselling, mentoring, and emotional well-being programs to improve students’ academic performance.</w:t>
      </w:r>
    </w:p>
    <w:p w14:paraId="6E0711A5" w14:textId="77777777" w:rsidR="00E849F8" w:rsidRPr="00E849F8" w:rsidRDefault="00E849F8" w:rsidP="00E849F8">
      <w:pPr>
        <w:numPr>
          <w:ilvl w:val="0"/>
          <w:numId w:val="6"/>
        </w:numPr>
        <w:spacing w:before="100" w:beforeAutospacing="1" w:after="100" w:afterAutospacing="1"/>
        <w:rPr>
          <w:color w:val="000000" w:themeColor="text1"/>
          <w:sz w:val="22"/>
          <w:szCs w:val="22"/>
        </w:rPr>
      </w:pPr>
      <w:r w:rsidRPr="00E849F8">
        <w:rPr>
          <w:rStyle w:val="Strong"/>
          <w:color w:val="000000" w:themeColor="text1"/>
          <w:sz w:val="22"/>
          <w:szCs w:val="22"/>
        </w:rPr>
        <w:t>Enhance school health support interventions</w:t>
      </w:r>
      <w:r w:rsidRPr="00E849F8">
        <w:rPr>
          <w:rStyle w:val="apple-converted-space"/>
          <w:rFonts w:eastAsiaTheme="majorEastAsia"/>
          <w:color w:val="000000" w:themeColor="text1"/>
          <w:sz w:val="22"/>
          <w:szCs w:val="22"/>
        </w:rPr>
        <w:t> </w:t>
      </w:r>
      <w:r w:rsidRPr="00E849F8">
        <w:rPr>
          <w:color w:val="000000" w:themeColor="text1"/>
          <w:sz w:val="22"/>
          <w:szCs w:val="22"/>
        </w:rPr>
        <w:t>such as health screening, nutrition programs, and referral services to improve attendance and educational engagement.</w:t>
      </w:r>
    </w:p>
    <w:p w14:paraId="203CCE1F" w14:textId="77777777" w:rsidR="00E849F8" w:rsidRPr="00E849F8" w:rsidRDefault="00E849F8" w:rsidP="00E849F8">
      <w:pPr>
        <w:numPr>
          <w:ilvl w:val="0"/>
          <w:numId w:val="6"/>
        </w:numPr>
        <w:spacing w:before="100" w:beforeAutospacing="1" w:after="100" w:afterAutospacing="1"/>
        <w:rPr>
          <w:color w:val="000000" w:themeColor="text1"/>
          <w:sz w:val="22"/>
          <w:szCs w:val="22"/>
        </w:rPr>
      </w:pPr>
      <w:r w:rsidRPr="00E849F8">
        <w:rPr>
          <w:rStyle w:val="Strong"/>
          <w:color w:val="000000" w:themeColor="text1"/>
          <w:sz w:val="22"/>
          <w:szCs w:val="22"/>
        </w:rPr>
        <w:t>Strengthen teacher training</w:t>
      </w:r>
      <w:r w:rsidRPr="00E849F8">
        <w:rPr>
          <w:rStyle w:val="apple-converted-space"/>
          <w:rFonts w:eastAsiaTheme="majorEastAsia"/>
          <w:color w:val="000000" w:themeColor="text1"/>
          <w:sz w:val="22"/>
          <w:szCs w:val="22"/>
        </w:rPr>
        <w:t> </w:t>
      </w:r>
      <w:r w:rsidRPr="00E849F8">
        <w:rPr>
          <w:color w:val="000000" w:themeColor="text1"/>
          <w:sz w:val="22"/>
          <w:szCs w:val="22"/>
        </w:rPr>
        <w:t>in trauma-informed, inclusive, and student-centred teaching practices to better support children from disrupted family backgrounds.</w:t>
      </w:r>
    </w:p>
    <w:p w14:paraId="57BC3362" w14:textId="77777777" w:rsidR="00E849F8" w:rsidRPr="00E849F8" w:rsidRDefault="00E849F8" w:rsidP="00E849F8">
      <w:pPr>
        <w:numPr>
          <w:ilvl w:val="0"/>
          <w:numId w:val="6"/>
        </w:numPr>
        <w:spacing w:before="100" w:beforeAutospacing="1" w:after="100" w:afterAutospacing="1"/>
        <w:rPr>
          <w:color w:val="000000" w:themeColor="text1"/>
          <w:sz w:val="22"/>
          <w:szCs w:val="22"/>
        </w:rPr>
      </w:pPr>
      <w:r w:rsidRPr="00E849F8">
        <w:rPr>
          <w:rStyle w:val="Strong"/>
          <w:color w:val="000000" w:themeColor="text1"/>
          <w:sz w:val="22"/>
          <w:szCs w:val="22"/>
        </w:rPr>
        <w:t>Promote collaboration among schools, families, health providers, and child protection agencies</w:t>
      </w:r>
      <w:r w:rsidRPr="00E849F8">
        <w:rPr>
          <w:rStyle w:val="apple-converted-space"/>
          <w:rFonts w:eastAsiaTheme="majorEastAsia"/>
          <w:color w:val="000000" w:themeColor="text1"/>
          <w:sz w:val="22"/>
          <w:szCs w:val="22"/>
        </w:rPr>
        <w:t> </w:t>
      </w:r>
      <w:r w:rsidRPr="00E849F8">
        <w:rPr>
          <w:color w:val="000000" w:themeColor="text1"/>
          <w:sz w:val="22"/>
          <w:szCs w:val="22"/>
        </w:rPr>
        <w:t>to address the academic, health, and psychosocial needs of vulnerable learners.</w:t>
      </w:r>
    </w:p>
    <w:p w14:paraId="6A0C1250" w14:textId="77777777" w:rsidR="00E849F8" w:rsidRPr="00E849F8" w:rsidRDefault="00E849F8" w:rsidP="00E849F8">
      <w:pPr>
        <w:numPr>
          <w:ilvl w:val="0"/>
          <w:numId w:val="6"/>
        </w:numPr>
        <w:spacing w:before="100" w:beforeAutospacing="1" w:after="100" w:afterAutospacing="1"/>
        <w:rPr>
          <w:color w:val="000000" w:themeColor="text1"/>
          <w:sz w:val="22"/>
          <w:szCs w:val="22"/>
        </w:rPr>
      </w:pPr>
      <w:r w:rsidRPr="00E849F8">
        <w:rPr>
          <w:rStyle w:val="Strong"/>
          <w:color w:val="000000" w:themeColor="text1"/>
          <w:sz w:val="22"/>
          <w:szCs w:val="22"/>
        </w:rPr>
        <w:t>Improve monitoring and evaluation systems</w:t>
      </w:r>
      <w:r w:rsidRPr="00E849F8">
        <w:rPr>
          <w:rStyle w:val="apple-converted-space"/>
          <w:rFonts w:eastAsiaTheme="majorEastAsia"/>
          <w:color w:val="000000" w:themeColor="text1"/>
          <w:sz w:val="22"/>
          <w:szCs w:val="22"/>
        </w:rPr>
        <w:t> </w:t>
      </w:r>
      <w:r w:rsidRPr="00E849F8">
        <w:rPr>
          <w:color w:val="000000" w:themeColor="text1"/>
          <w:sz w:val="22"/>
          <w:szCs w:val="22"/>
        </w:rPr>
        <w:t>to assess the effectiveness of school-based psychosocial and health interventions and inform education policy and practice.</w:t>
      </w:r>
    </w:p>
    <w:p w14:paraId="51F87DF0" w14:textId="3A132EC5" w:rsidR="00DD4531" w:rsidRPr="00E849F8" w:rsidRDefault="00DD4531" w:rsidP="00DD4531">
      <w:pPr>
        <w:pStyle w:val="NormalWeb"/>
        <w:rPr>
          <w:color w:val="000000" w:themeColor="text1"/>
          <w:sz w:val="22"/>
          <w:szCs w:val="22"/>
        </w:rPr>
      </w:pPr>
      <w:r w:rsidRPr="00E849F8">
        <w:rPr>
          <w:rStyle w:val="Strong"/>
          <w:color w:val="000000" w:themeColor="text1"/>
          <w:sz w:val="22"/>
          <w:szCs w:val="22"/>
        </w:rPr>
        <w:t>Overall Conclusion</w:t>
      </w:r>
      <w:r w:rsidR="00820164" w:rsidRPr="00E849F8">
        <w:rPr>
          <w:color w:val="000000" w:themeColor="text1"/>
          <w:sz w:val="22"/>
          <w:szCs w:val="22"/>
          <w:lang w:val="en-US"/>
        </w:rPr>
        <w:t xml:space="preserve">: </w:t>
      </w:r>
      <w:r w:rsidRPr="00E849F8">
        <w:rPr>
          <w:color w:val="000000" w:themeColor="text1"/>
          <w:sz w:val="22"/>
          <w:szCs w:val="22"/>
        </w:rPr>
        <w:t>The findings demonstrate that effective school-based health and psychosocial support interventions are critical for addressing the educational and emotional needs of primary school children from disrupted family environments. A coordinated approach involving schools, families, health services, and child protection agencies is necessary to ensure equitable educational opportunities and optimal developmental outcomes.</w:t>
      </w:r>
    </w:p>
    <w:p w14:paraId="636C73D3" w14:textId="77777777" w:rsidR="00DD4531" w:rsidRPr="00E849F8" w:rsidRDefault="00DD4531" w:rsidP="00DD2413">
      <w:pPr>
        <w:pStyle w:val="Heading2"/>
        <w:spacing w:before="0"/>
        <w:rPr>
          <w:rFonts w:ascii="Times New Roman" w:hAnsi="Times New Roman" w:cs="Times New Roman"/>
          <w:b/>
          <w:bCs/>
          <w:color w:val="000000" w:themeColor="text1"/>
          <w:sz w:val="20"/>
          <w:szCs w:val="20"/>
        </w:rPr>
      </w:pPr>
      <w:r w:rsidRPr="00E849F8">
        <w:rPr>
          <w:rFonts w:ascii="Times New Roman" w:hAnsi="Times New Roman" w:cs="Times New Roman"/>
          <w:b/>
          <w:bCs/>
          <w:color w:val="000000" w:themeColor="text1"/>
          <w:sz w:val="20"/>
          <w:szCs w:val="20"/>
        </w:rPr>
        <w:t>References</w:t>
      </w:r>
    </w:p>
    <w:p w14:paraId="52A45392"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Amato, P. R. (2010). Research on divorce: Continuing trends and new developments.</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Journal of Marriage and Family, 72</w:t>
      </w:r>
      <w:r w:rsidRPr="00E849F8">
        <w:rPr>
          <w:color w:val="000000" w:themeColor="text1"/>
          <w:sz w:val="20"/>
          <w:szCs w:val="20"/>
        </w:rPr>
        <w:t>(3), 650–666.</w:t>
      </w:r>
      <w:r w:rsidRPr="00E849F8">
        <w:rPr>
          <w:rStyle w:val="apple-converted-space"/>
          <w:color w:val="000000" w:themeColor="text1"/>
          <w:sz w:val="20"/>
          <w:szCs w:val="20"/>
        </w:rPr>
        <w:t> </w:t>
      </w:r>
      <w:hyperlink r:id="rId6" w:history="1">
        <w:r w:rsidRPr="00E849F8">
          <w:rPr>
            <w:rStyle w:val="Hyperlink"/>
            <w:rFonts w:eastAsiaTheme="majorEastAsia"/>
            <w:color w:val="000000" w:themeColor="text1"/>
            <w:sz w:val="20"/>
            <w:szCs w:val="20"/>
          </w:rPr>
          <w:t>https://doi.org/10.1111/j.1741-3737.2010.00723.x</w:t>
        </w:r>
      </w:hyperlink>
    </w:p>
    <w:p w14:paraId="0526F3CA"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Bronfenbrenner, U. (1979).</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The ecology of human development: Experiments by nature and design</w:t>
      </w:r>
      <w:r w:rsidRPr="00E849F8">
        <w:rPr>
          <w:color w:val="000000" w:themeColor="text1"/>
          <w:sz w:val="20"/>
          <w:szCs w:val="20"/>
        </w:rPr>
        <w:t>. Harvard University Press.</w:t>
      </w:r>
    </w:p>
    <w:p w14:paraId="42634780"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Cole, S. F., Eisner, A., Gregory, M., &amp; Ristuccia, J. (2013).</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Helping traumatized children learn: Creating and advocating for trauma-sensitive schools</w:t>
      </w:r>
      <w:r w:rsidRPr="00E849F8">
        <w:rPr>
          <w:color w:val="000000" w:themeColor="text1"/>
          <w:sz w:val="20"/>
          <w:szCs w:val="20"/>
        </w:rPr>
        <w:t>. Massachusetts Advocates for Children.</w:t>
      </w:r>
    </w:p>
    <w:p w14:paraId="75BADF66"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Commonwealth of Australia. (2018).</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Through growth to achievement: Report of the review to achieve educational excellence in Australian schools</w:t>
      </w:r>
      <w:r w:rsidRPr="00E849F8">
        <w:rPr>
          <w:color w:val="000000" w:themeColor="text1"/>
          <w:sz w:val="20"/>
          <w:szCs w:val="20"/>
        </w:rPr>
        <w:t>. Australian Government Department of Education.</w:t>
      </w:r>
    </w:p>
    <w:p w14:paraId="1D194D75"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Conger, R. D., &amp; Donnellan, M. B. (2007). An interactionist perspective on the socioeconomic context of human development.</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Annual Review of Psychology, 58</w:t>
      </w:r>
      <w:r w:rsidRPr="00E849F8">
        <w:rPr>
          <w:color w:val="000000" w:themeColor="text1"/>
          <w:sz w:val="20"/>
          <w:szCs w:val="20"/>
        </w:rPr>
        <w:t>, 175–199.</w:t>
      </w:r>
      <w:r w:rsidRPr="00E849F8">
        <w:rPr>
          <w:rStyle w:val="apple-converted-space"/>
          <w:color w:val="000000" w:themeColor="text1"/>
          <w:sz w:val="20"/>
          <w:szCs w:val="20"/>
        </w:rPr>
        <w:t> </w:t>
      </w:r>
      <w:hyperlink r:id="rId7" w:history="1">
        <w:r w:rsidRPr="00E849F8">
          <w:rPr>
            <w:rStyle w:val="Hyperlink"/>
            <w:rFonts w:eastAsiaTheme="majorEastAsia"/>
            <w:color w:val="000000" w:themeColor="text1"/>
            <w:sz w:val="20"/>
            <w:szCs w:val="20"/>
          </w:rPr>
          <w:t>https://doi.org/10.1146/annurev.psych.58.110405.085551</w:t>
        </w:r>
      </w:hyperlink>
    </w:p>
    <w:p w14:paraId="6EBD4FA7"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Ministry of Education. (2020).</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Programme for school improvement: Education sector development framework and programme</w:t>
      </w:r>
      <w:r w:rsidRPr="00E849F8">
        <w:rPr>
          <w:color w:val="000000" w:themeColor="text1"/>
          <w:sz w:val="20"/>
          <w:szCs w:val="20"/>
        </w:rPr>
        <w:t>. Ministry of Education, Sri Lanka.</w:t>
      </w:r>
    </w:p>
    <w:p w14:paraId="6FA5A4D0"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OECD. (2020).</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PISA 2018 results: Effective policies, successful schools</w:t>
      </w:r>
      <w:r w:rsidRPr="00E849F8">
        <w:rPr>
          <w:color w:val="000000" w:themeColor="text1"/>
          <w:sz w:val="20"/>
          <w:szCs w:val="20"/>
        </w:rPr>
        <w:t>. OECD Publishing.</w:t>
      </w:r>
      <w:r w:rsidRPr="00E849F8">
        <w:rPr>
          <w:rStyle w:val="apple-converted-space"/>
          <w:color w:val="000000" w:themeColor="text1"/>
          <w:sz w:val="20"/>
          <w:szCs w:val="20"/>
        </w:rPr>
        <w:t> </w:t>
      </w:r>
      <w:hyperlink r:id="rId8" w:history="1">
        <w:r w:rsidRPr="00E849F8">
          <w:rPr>
            <w:rStyle w:val="Hyperlink"/>
            <w:rFonts w:eastAsiaTheme="majorEastAsia"/>
            <w:color w:val="000000" w:themeColor="text1"/>
            <w:sz w:val="20"/>
            <w:szCs w:val="20"/>
          </w:rPr>
          <w:t>https://doi.org/10.1787/eae5030c-en</w:t>
        </w:r>
      </w:hyperlink>
    </w:p>
    <w:p w14:paraId="40B0B62D"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Perry, B. D., &amp; Szalavitz, M. (2017).</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The boy who was raised as a dog</w:t>
      </w:r>
      <w:r w:rsidRPr="00E849F8">
        <w:rPr>
          <w:rStyle w:val="apple-converted-space"/>
          <w:color w:val="000000" w:themeColor="text1"/>
          <w:sz w:val="20"/>
          <w:szCs w:val="20"/>
        </w:rPr>
        <w:t> </w:t>
      </w:r>
      <w:r w:rsidRPr="00E849F8">
        <w:rPr>
          <w:color w:val="000000" w:themeColor="text1"/>
          <w:sz w:val="20"/>
          <w:szCs w:val="20"/>
        </w:rPr>
        <w:t>(3rd ed.). Basic Books.</w:t>
      </w:r>
    </w:p>
    <w:p w14:paraId="5649A481" w14:textId="77777777" w:rsidR="00DD4531" w:rsidRPr="00E849F8" w:rsidRDefault="00DD4531" w:rsidP="00DD2413">
      <w:pPr>
        <w:pStyle w:val="isselectedend"/>
        <w:spacing w:before="0" w:beforeAutospacing="0" w:after="0" w:afterAutospacing="0"/>
        <w:rPr>
          <w:color w:val="000000" w:themeColor="text1"/>
          <w:sz w:val="20"/>
          <w:szCs w:val="20"/>
        </w:rPr>
      </w:pPr>
      <w:r w:rsidRPr="00E849F8">
        <w:rPr>
          <w:color w:val="000000" w:themeColor="text1"/>
          <w:sz w:val="20"/>
          <w:szCs w:val="20"/>
        </w:rPr>
        <w:t>Sahlberg, P. (2011).</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Finnish lessons: What can the world learn from educational change in Finland?</w:t>
      </w:r>
      <w:r w:rsidRPr="00E849F8">
        <w:rPr>
          <w:rStyle w:val="apple-converted-space"/>
          <w:color w:val="000000" w:themeColor="text1"/>
          <w:sz w:val="20"/>
          <w:szCs w:val="20"/>
        </w:rPr>
        <w:t> </w:t>
      </w:r>
      <w:r w:rsidRPr="00E849F8">
        <w:rPr>
          <w:color w:val="000000" w:themeColor="text1"/>
          <w:sz w:val="20"/>
          <w:szCs w:val="20"/>
        </w:rPr>
        <w:t>Teachers College Press.</w:t>
      </w:r>
    </w:p>
    <w:p w14:paraId="2F235A45" w14:textId="33A32101" w:rsidR="00E80EE6" w:rsidRPr="00E849F8" w:rsidRDefault="00DD4531" w:rsidP="00E849F8">
      <w:pPr>
        <w:pStyle w:val="NormalWeb"/>
        <w:spacing w:before="0" w:beforeAutospacing="0" w:after="0" w:afterAutospacing="0"/>
        <w:rPr>
          <w:color w:val="000000" w:themeColor="text1"/>
          <w:sz w:val="20"/>
          <w:szCs w:val="20"/>
        </w:rPr>
      </w:pPr>
      <w:r w:rsidRPr="00E849F8">
        <w:rPr>
          <w:color w:val="000000" w:themeColor="text1"/>
          <w:sz w:val="20"/>
          <w:szCs w:val="20"/>
        </w:rPr>
        <w:t>UNICEF Sri Lanka. (2019).</w:t>
      </w:r>
      <w:r w:rsidRPr="00E849F8">
        <w:rPr>
          <w:rStyle w:val="apple-converted-space"/>
          <w:color w:val="000000" w:themeColor="text1"/>
          <w:sz w:val="20"/>
          <w:szCs w:val="20"/>
        </w:rPr>
        <w:t> </w:t>
      </w:r>
      <w:r w:rsidRPr="00E849F8">
        <w:rPr>
          <w:rStyle w:val="Emphasis"/>
          <w:rFonts w:eastAsiaTheme="majorEastAsia"/>
          <w:color w:val="000000" w:themeColor="text1"/>
          <w:sz w:val="20"/>
          <w:szCs w:val="20"/>
        </w:rPr>
        <w:t>Situation analysis of children in Sri Lanka</w:t>
      </w:r>
      <w:r w:rsidRPr="00E849F8">
        <w:rPr>
          <w:color w:val="000000" w:themeColor="text1"/>
          <w:sz w:val="20"/>
          <w:szCs w:val="20"/>
        </w:rPr>
        <w:t>. UNICEF Sri Lank</w:t>
      </w:r>
    </w:p>
    <w:sectPr w:rsidR="00E80EE6" w:rsidRPr="00E84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Iskoola Pota">
    <w:panose1 w:val="020B0502040204020203"/>
    <w:charset w:val="4D"/>
    <w:family w:val="auto"/>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5137"/>
    <w:multiLevelType w:val="multilevel"/>
    <w:tmpl w:val="D7F2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B133E"/>
    <w:multiLevelType w:val="multilevel"/>
    <w:tmpl w:val="E0445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C4C32"/>
    <w:multiLevelType w:val="multilevel"/>
    <w:tmpl w:val="CE46F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57D78"/>
    <w:multiLevelType w:val="hybridMultilevel"/>
    <w:tmpl w:val="3F32B77C"/>
    <w:lvl w:ilvl="0" w:tplc="CD4C55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3F5863"/>
    <w:multiLevelType w:val="multilevel"/>
    <w:tmpl w:val="42B4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576DD"/>
    <w:multiLevelType w:val="multilevel"/>
    <w:tmpl w:val="76C0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139567">
    <w:abstractNumId w:val="3"/>
  </w:num>
  <w:num w:numId="2" w16cid:durableId="274869230">
    <w:abstractNumId w:val="1"/>
  </w:num>
  <w:num w:numId="3" w16cid:durableId="672610508">
    <w:abstractNumId w:val="0"/>
  </w:num>
  <w:num w:numId="4" w16cid:durableId="1455254433">
    <w:abstractNumId w:val="5"/>
  </w:num>
  <w:num w:numId="5" w16cid:durableId="1292328281">
    <w:abstractNumId w:val="4"/>
  </w:num>
  <w:num w:numId="6" w16cid:durableId="89118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57"/>
    <w:rsid w:val="00382D2D"/>
    <w:rsid w:val="00581A98"/>
    <w:rsid w:val="00820164"/>
    <w:rsid w:val="008C0757"/>
    <w:rsid w:val="009714EA"/>
    <w:rsid w:val="00B3092C"/>
    <w:rsid w:val="00BB188F"/>
    <w:rsid w:val="00DD2413"/>
    <w:rsid w:val="00DD4531"/>
    <w:rsid w:val="00E80EE6"/>
    <w:rsid w:val="00E849F8"/>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22F3125B"/>
  <w15:chartTrackingRefBased/>
  <w15:docId w15:val="{82950796-71CC-E440-923B-E02D4FFD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K"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6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C07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7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75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D45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757"/>
    <w:pPr>
      <w:spacing w:before="100" w:beforeAutospacing="1" w:after="100" w:afterAutospacing="1"/>
    </w:pPr>
  </w:style>
  <w:style w:type="character" w:styleId="Strong">
    <w:name w:val="Strong"/>
    <w:basedOn w:val="DefaultParagraphFont"/>
    <w:uiPriority w:val="22"/>
    <w:qFormat/>
    <w:rsid w:val="008C0757"/>
    <w:rPr>
      <w:b/>
      <w:bCs/>
    </w:rPr>
  </w:style>
  <w:style w:type="character" w:customStyle="1" w:styleId="apple-converted-space">
    <w:name w:val="apple-converted-space"/>
    <w:basedOn w:val="DefaultParagraphFont"/>
    <w:rsid w:val="008C0757"/>
  </w:style>
  <w:style w:type="character" w:customStyle="1" w:styleId="Heading1Char">
    <w:name w:val="Heading 1 Char"/>
    <w:basedOn w:val="DefaultParagraphFont"/>
    <w:link w:val="Heading1"/>
    <w:uiPriority w:val="9"/>
    <w:rsid w:val="008C0757"/>
    <w:rPr>
      <w:rFonts w:asciiTheme="majorHAnsi" w:eastAsiaTheme="majorEastAsia" w:hAnsiTheme="majorHAnsi" w:cstheme="majorBidi"/>
      <w:color w:val="2F5496" w:themeColor="accent1" w:themeShade="BF"/>
      <w:sz w:val="32"/>
      <w:szCs w:val="32"/>
    </w:rPr>
  </w:style>
  <w:style w:type="paragraph" w:customStyle="1" w:styleId="isselectedend">
    <w:name w:val="isselectedend"/>
    <w:basedOn w:val="Normal"/>
    <w:rsid w:val="008C0757"/>
    <w:pPr>
      <w:spacing w:before="100" w:beforeAutospacing="1" w:after="100" w:afterAutospacing="1"/>
    </w:pPr>
  </w:style>
  <w:style w:type="character" w:customStyle="1" w:styleId="Heading3Char">
    <w:name w:val="Heading 3 Char"/>
    <w:basedOn w:val="DefaultParagraphFont"/>
    <w:link w:val="Heading3"/>
    <w:uiPriority w:val="9"/>
    <w:rsid w:val="008C0757"/>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8C075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DD4531"/>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DD4531"/>
    <w:rPr>
      <w:i/>
      <w:iCs/>
    </w:rPr>
  </w:style>
  <w:style w:type="character" w:styleId="Hyperlink">
    <w:name w:val="Hyperlink"/>
    <w:basedOn w:val="DefaultParagraphFont"/>
    <w:uiPriority w:val="99"/>
    <w:semiHidden/>
    <w:unhideWhenUsed/>
    <w:rsid w:val="00DD4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970">
      <w:bodyDiv w:val="1"/>
      <w:marLeft w:val="0"/>
      <w:marRight w:val="0"/>
      <w:marTop w:val="0"/>
      <w:marBottom w:val="0"/>
      <w:divBdr>
        <w:top w:val="none" w:sz="0" w:space="0" w:color="auto"/>
        <w:left w:val="none" w:sz="0" w:space="0" w:color="auto"/>
        <w:bottom w:val="none" w:sz="0" w:space="0" w:color="auto"/>
        <w:right w:val="none" w:sz="0" w:space="0" w:color="auto"/>
      </w:divBdr>
      <w:divsChild>
        <w:div w:id="1774323242">
          <w:marLeft w:val="0"/>
          <w:marRight w:val="0"/>
          <w:marTop w:val="0"/>
          <w:marBottom w:val="0"/>
          <w:divBdr>
            <w:top w:val="none" w:sz="0" w:space="0" w:color="auto"/>
            <w:left w:val="none" w:sz="0" w:space="0" w:color="auto"/>
            <w:bottom w:val="none" w:sz="0" w:space="0" w:color="auto"/>
            <w:right w:val="none" w:sz="0" w:space="0" w:color="auto"/>
          </w:divBdr>
          <w:divsChild>
            <w:div w:id="321740749">
              <w:marLeft w:val="0"/>
              <w:marRight w:val="0"/>
              <w:marTop w:val="0"/>
              <w:marBottom w:val="0"/>
              <w:divBdr>
                <w:top w:val="none" w:sz="0" w:space="0" w:color="auto"/>
                <w:left w:val="none" w:sz="0" w:space="0" w:color="auto"/>
                <w:bottom w:val="none" w:sz="0" w:space="0" w:color="auto"/>
                <w:right w:val="none" w:sz="0" w:space="0" w:color="auto"/>
              </w:divBdr>
              <w:divsChild>
                <w:div w:id="837771081">
                  <w:marLeft w:val="0"/>
                  <w:marRight w:val="0"/>
                  <w:marTop w:val="0"/>
                  <w:marBottom w:val="0"/>
                  <w:divBdr>
                    <w:top w:val="none" w:sz="0" w:space="0" w:color="auto"/>
                    <w:left w:val="none" w:sz="0" w:space="0" w:color="auto"/>
                    <w:bottom w:val="none" w:sz="0" w:space="0" w:color="auto"/>
                    <w:right w:val="none" w:sz="0" w:space="0" w:color="auto"/>
                  </w:divBdr>
                  <w:divsChild>
                    <w:div w:id="43455137">
                      <w:marLeft w:val="0"/>
                      <w:marRight w:val="0"/>
                      <w:marTop w:val="0"/>
                      <w:marBottom w:val="0"/>
                      <w:divBdr>
                        <w:top w:val="none" w:sz="0" w:space="0" w:color="auto"/>
                        <w:left w:val="none" w:sz="0" w:space="0" w:color="auto"/>
                        <w:bottom w:val="none" w:sz="0" w:space="0" w:color="auto"/>
                        <w:right w:val="none" w:sz="0" w:space="0" w:color="auto"/>
                      </w:divBdr>
                      <w:divsChild>
                        <w:div w:id="335423781">
                          <w:marLeft w:val="0"/>
                          <w:marRight w:val="0"/>
                          <w:marTop w:val="0"/>
                          <w:marBottom w:val="0"/>
                          <w:divBdr>
                            <w:top w:val="none" w:sz="0" w:space="0" w:color="auto"/>
                            <w:left w:val="none" w:sz="0" w:space="0" w:color="auto"/>
                            <w:bottom w:val="none" w:sz="0" w:space="0" w:color="auto"/>
                            <w:right w:val="none" w:sz="0" w:space="0" w:color="auto"/>
                          </w:divBdr>
                          <w:divsChild>
                            <w:div w:id="803541714">
                              <w:marLeft w:val="0"/>
                              <w:marRight w:val="0"/>
                              <w:marTop w:val="0"/>
                              <w:marBottom w:val="0"/>
                              <w:divBdr>
                                <w:top w:val="none" w:sz="0" w:space="0" w:color="auto"/>
                                <w:left w:val="none" w:sz="0" w:space="0" w:color="auto"/>
                                <w:bottom w:val="none" w:sz="0" w:space="0" w:color="auto"/>
                                <w:right w:val="none" w:sz="0" w:space="0" w:color="auto"/>
                              </w:divBdr>
                              <w:divsChild>
                                <w:div w:id="5849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028">
      <w:bodyDiv w:val="1"/>
      <w:marLeft w:val="0"/>
      <w:marRight w:val="0"/>
      <w:marTop w:val="0"/>
      <w:marBottom w:val="0"/>
      <w:divBdr>
        <w:top w:val="none" w:sz="0" w:space="0" w:color="auto"/>
        <w:left w:val="none" w:sz="0" w:space="0" w:color="auto"/>
        <w:bottom w:val="none" w:sz="0" w:space="0" w:color="auto"/>
        <w:right w:val="none" w:sz="0" w:space="0" w:color="auto"/>
      </w:divBdr>
    </w:div>
    <w:div w:id="81345244">
      <w:bodyDiv w:val="1"/>
      <w:marLeft w:val="0"/>
      <w:marRight w:val="0"/>
      <w:marTop w:val="0"/>
      <w:marBottom w:val="0"/>
      <w:divBdr>
        <w:top w:val="none" w:sz="0" w:space="0" w:color="auto"/>
        <w:left w:val="none" w:sz="0" w:space="0" w:color="auto"/>
        <w:bottom w:val="none" w:sz="0" w:space="0" w:color="auto"/>
        <w:right w:val="none" w:sz="0" w:space="0" w:color="auto"/>
      </w:divBdr>
      <w:divsChild>
        <w:div w:id="1652784917">
          <w:marLeft w:val="0"/>
          <w:marRight w:val="0"/>
          <w:marTop w:val="0"/>
          <w:marBottom w:val="0"/>
          <w:divBdr>
            <w:top w:val="none" w:sz="0" w:space="0" w:color="auto"/>
            <w:left w:val="none" w:sz="0" w:space="0" w:color="auto"/>
            <w:bottom w:val="none" w:sz="0" w:space="0" w:color="auto"/>
            <w:right w:val="none" w:sz="0" w:space="0" w:color="auto"/>
          </w:divBdr>
          <w:divsChild>
            <w:div w:id="286283418">
              <w:marLeft w:val="0"/>
              <w:marRight w:val="0"/>
              <w:marTop w:val="0"/>
              <w:marBottom w:val="0"/>
              <w:divBdr>
                <w:top w:val="none" w:sz="0" w:space="0" w:color="auto"/>
                <w:left w:val="none" w:sz="0" w:space="0" w:color="auto"/>
                <w:bottom w:val="none" w:sz="0" w:space="0" w:color="auto"/>
                <w:right w:val="none" w:sz="0" w:space="0" w:color="auto"/>
              </w:divBdr>
              <w:divsChild>
                <w:div w:id="1718118057">
                  <w:marLeft w:val="0"/>
                  <w:marRight w:val="0"/>
                  <w:marTop w:val="0"/>
                  <w:marBottom w:val="0"/>
                  <w:divBdr>
                    <w:top w:val="none" w:sz="0" w:space="0" w:color="auto"/>
                    <w:left w:val="none" w:sz="0" w:space="0" w:color="auto"/>
                    <w:bottom w:val="none" w:sz="0" w:space="0" w:color="auto"/>
                    <w:right w:val="none" w:sz="0" w:space="0" w:color="auto"/>
                  </w:divBdr>
                  <w:divsChild>
                    <w:div w:id="2051220942">
                      <w:marLeft w:val="0"/>
                      <w:marRight w:val="0"/>
                      <w:marTop w:val="0"/>
                      <w:marBottom w:val="0"/>
                      <w:divBdr>
                        <w:top w:val="none" w:sz="0" w:space="0" w:color="auto"/>
                        <w:left w:val="none" w:sz="0" w:space="0" w:color="auto"/>
                        <w:bottom w:val="none" w:sz="0" w:space="0" w:color="auto"/>
                        <w:right w:val="none" w:sz="0" w:space="0" w:color="auto"/>
                      </w:divBdr>
                      <w:divsChild>
                        <w:div w:id="719011224">
                          <w:marLeft w:val="0"/>
                          <w:marRight w:val="0"/>
                          <w:marTop w:val="0"/>
                          <w:marBottom w:val="0"/>
                          <w:divBdr>
                            <w:top w:val="none" w:sz="0" w:space="0" w:color="auto"/>
                            <w:left w:val="none" w:sz="0" w:space="0" w:color="auto"/>
                            <w:bottom w:val="none" w:sz="0" w:space="0" w:color="auto"/>
                            <w:right w:val="none" w:sz="0" w:space="0" w:color="auto"/>
                          </w:divBdr>
                          <w:divsChild>
                            <w:div w:id="1492022875">
                              <w:marLeft w:val="0"/>
                              <w:marRight w:val="0"/>
                              <w:marTop w:val="0"/>
                              <w:marBottom w:val="0"/>
                              <w:divBdr>
                                <w:top w:val="none" w:sz="0" w:space="0" w:color="auto"/>
                                <w:left w:val="none" w:sz="0" w:space="0" w:color="auto"/>
                                <w:bottom w:val="none" w:sz="0" w:space="0" w:color="auto"/>
                                <w:right w:val="none" w:sz="0" w:space="0" w:color="auto"/>
                              </w:divBdr>
                              <w:divsChild>
                                <w:div w:id="9337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385874">
      <w:bodyDiv w:val="1"/>
      <w:marLeft w:val="0"/>
      <w:marRight w:val="0"/>
      <w:marTop w:val="0"/>
      <w:marBottom w:val="0"/>
      <w:divBdr>
        <w:top w:val="none" w:sz="0" w:space="0" w:color="auto"/>
        <w:left w:val="none" w:sz="0" w:space="0" w:color="auto"/>
        <w:bottom w:val="none" w:sz="0" w:space="0" w:color="auto"/>
        <w:right w:val="none" w:sz="0" w:space="0" w:color="auto"/>
      </w:divBdr>
    </w:div>
    <w:div w:id="708260623">
      <w:bodyDiv w:val="1"/>
      <w:marLeft w:val="0"/>
      <w:marRight w:val="0"/>
      <w:marTop w:val="0"/>
      <w:marBottom w:val="0"/>
      <w:divBdr>
        <w:top w:val="none" w:sz="0" w:space="0" w:color="auto"/>
        <w:left w:val="none" w:sz="0" w:space="0" w:color="auto"/>
        <w:bottom w:val="none" w:sz="0" w:space="0" w:color="auto"/>
        <w:right w:val="none" w:sz="0" w:space="0" w:color="auto"/>
      </w:divBdr>
    </w:div>
    <w:div w:id="1073504544">
      <w:bodyDiv w:val="1"/>
      <w:marLeft w:val="0"/>
      <w:marRight w:val="0"/>
      <w:marTop w:val="0"/>
      <w:marBottom w:val="0"/>
      <w:divBdr>
        <w:top w:val="none" w:sz="0" w:space="0" w:color="auto"/>
        <w:left w:val="none" w:sz="0" w:space="0" w:color="auto"/>
        <w:bottom w:val="none" w:sz="0" w:space="0" w:color="auto"/>
        <w:right w:val="none" w:sz="0" w:space="0" w:color="auto"/>
      </w:divBdr>
    </w:div>
    <w:div w:id="1089422560">
      <w:bodyDiv w:val="1"/>
      <w:marLeft w:val="0"/>
      <w:marRight w:val="0"/>
      <w:marTop w:val="0"/>
      <w:marBottom w:val="0"/>
      <w:divBdr>
        <w:top w:val="none" w:sz="0" w:space="0" w:color="auto"/>
        <w:left w:val="none" w:sz="0" w:space="0" w:color="auto"/>
        <w:bottom w:val="none" w:sz="0" w:space="0" w:color="auto"/>
        <w:right w:val="none" w:sz="0" w:space="0" w:color="auto"/>
      </w:divBdr>
    </w:div>
    <w:div w:id="1110012378">
      <w:bodyDiv w:val="1"/>
      <w:marLeft w:val="0"/>
      <w:marRight w:val="0"/>
      <w:marTop w:val="0"/>
      <w:marBottom w:val="0"/>
      <w:divBdr>
        <w:top w:val="none" w:sz="0" w:space="0" w:color="auto"/>
        <w:left w:val="none" w:sz="0" w:space="0" w:color="auto"/>
        <w:bottom w:val="none" w:sz="0" w:space="0" w:color="auto"/>
        <w:right w:val="none" w:sz="0" w:space="0" w:color="auto"/>
      </w:divBdr>
      <w:divsChild>
        <w:div w:id="1712075074">
          <w:marLeft w:val="0"/>
          <w:marRight w:val="0"/>
          <w:marTop w:val="0"/>
          <w:marBottom w:val="0"/>
          <w:divBdr>
            <w:top w:val="none" w:sz="0" w:space="0" w:color="auto"/>
            <w:left w:val="none" w:sz="0" w:space="0" w:color="auto"/>
            <w:bottom w:val="none" w:sz="0" w:space="0" w:color="auto"/>
            <w:right w:val="none" w:sz="0" w:space="0" w:color="auto"/>
          </w:divBdr>
          <w:divsChild>
            <w:div w:id="1767849077">
              <w:marLeft w:val="0"/>
              <w:marRight w:val="0"/>
              <w:marTop w:val="0"/>
              <w:marBottom w:val="0"/>
              <w:divBdr>
                <w:top w:val="none" w:sz="0" w:space="0" w:color="auto"/>
                <w:left w:val="none" w:sz="0" w:space="0" w:color="auto"/>
                <w:bottom w:val="none" w:sz="0" w:space="0" w:color="auto"/>
                <w:right w:val="none" w:sz="0" w:space="0" w:color="auto"/>
              </w:divBdr>
              <w:divsChild>
                <w:div w:id="1794907824">
                  <w:marLeft w:val="0"/>
                  <w:marRight w:val="0"/>
                  <w:marTop w:val="0"/>
                  <w:marBottom w:val="0"/>
                  <w:divBdr>
                    <w:top w:val="none" w:sz="0" w:space="0" w:color="auto"/>
                    <w:left w:val="none" w:sz="0" w:space="0" w:color="auto"/>
                    <w:bottom w:val="none" w:sz="0" w:space="0" w:color="auto"/>
                    <w:right w:val="none" w:sz="0" w:space="0" w:color="auto"/>
                  </w:divBdr>
                  <w:divsChild>
                    <w:div w:id="893585214">
                      <w:marLeft w:val="0"/>
                      <w:marRight w:val="0"/>
                      <w:marTop w:val="0"/>
                      <w:marBottom w:val="0"/>
                      <w:divBdr>
                        <w:top w:val="none" w:sz="0" w:space="0" w:color="auto"/>
                        <w:left w:val="none" w:sz="0" w:space="0" w:color="auto"/>
                        <w:bottom w:val="none" w:sz="0" w:space="0" w:color="auto"/>
                        <w:right w:val="none" w:sz="0" w:space="0" w:color="auto"/>
                      </w:divBdr>
                      <w:divsChild>
                        <w:div w:id="393089433">
                          <w:marLeft w:val="0"/>
                          <w:marRight w:val="0"/>
                          <w:marTop w:val="0"/>
                          <w:marBottom w:val="0"/>
                          <w:divBdr>
                            <w:top w:val="none" w:sz="0" w:space="0" w:color="auto"/>
                            <w:left w:val="none" w:sz="0" w:space="0" w:color="auto"/>
                            <w:bottom w:val="none" w:sz="0" w:space="0" w:color="auto"/>
                            <w:right w:val="none" w:sz="0" w:space="0" w:color="auto"/>
                          </w:divBdr>
                          <w:divsChild>
                            <w:div w:id="1953319598">
                              <w:marLeft w:val="0"/>
                              <w:marRight w:val="0"/>
                              <w:marTop w:val="0"/>
                              <w:marBottom w:val="0"/>
                              <w:divBdr>
                                <w:top w:val="none" w:sz="0" w:space="0" w:color="auto"/>
                                <w:left w:val="none" w:sz="0" w:space="0" w:color="auto"/>
                                <w:bottom w:val="none" w:sz="0" w:space="0" w:color="auto"/>
                                <w:right w:val="none" w:sz="0" w:space="0" w:color="auto"/>
                              </w:divBdr>
                              <w:divsChild>
                                <w:div w:id="817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624975">
      <w:bodyDiv w:val="1"/>
      <w:marLeft w:val="0"/>
      <w:marRight w:val="0"/>
      <w:marTop w:val="0"/>
      <w:marBottom w:val="0"/>
      <w:divBdr>
        <w:top w:val="none" w:sz="0" w:space="0" w:color="auto"/>
        <w:left w:val="none" w:sz="0" w:space="0" w:color="auto"/>
        <w:bottom w:val="none" w:sz="0" w:space="0" w:color="auto"/>
        <w:right w:val="none" w:sz="0" w:space="0" w:color="auto"/>
      </w:divBdr>
      <w:divsChild>
        <w:div w:id="1600679608">
          <w:marLeft w:val="0"/>
          <w:marRight w:val="0"/>
          <w:marTop w:val="0"/>
          <w:marBottom w:val="0"/>
          <w:divBdr>
            <w:top w:val="none" w:sz="0" w:space="0" w:color="auto"/>
            <w:left w:val="none" w:sz="0" w:space="0" w:color="auto"/>
            <w:bottom w:val="none" w:sz="0" w:space="0" w:color="auto"/>
            <w:right w:val="none" w:sz="0" w:space="0" w:color="auto"/>
          </w:divBdr>
          <w:divsChild>
            <w:div w:id="576089882">
              <w:marLeft w:val="0"/>
              <w:marRight w:val="0"/>
              <w:marTop w:val="0"/>
              <w:marBottom w:val="0"/>
              <w:divBdr>
                <w:top w:val="none" w:sz="0" w:space="0" w:color="auto"/>
                <w:left w:val="none" w:sz="0" w:space="0" w:color="auto"/>
                <w:bottom w:val="none" w:sz="0" w:space="0" w:color="auto"/>
                <w:right w:val="none" w:sz="0" w:space="0" w:color="auto"/>
              </w:divBdr>
              <w:divsChild>
                <w:div w:id="913899904">
                  <w:marLeft w:val="0"/>
                  <w:marRight w:val="0"/>
                  <w:marTop w:val="0"/>
                  <w:marBottom w:val="0"/>
                  <w:divBdr>
                    <w:top w:val="none" w:sz="0" w:space="0" w:color="auto"/>
                    <w:left w:val="none" w:sz="0" w:space="0" w:color="auto"/>
                    <w:bottom w:val="none" w:sz="0" w:space="0" w:color="auto"/>
                    <w:right w:val="none" w:sz="0" w:space="0" w:color="auto"/>
                  </w:divBdr>
                  <w:divsChild>
                    <w:div w:id="448165858">
                      <w:marLeft w:val="0"/>
                      <w:marRight w:val="0"/>
                      <w:marTop w:val="0"/>
                      <w:marBottom w:val="0"/>
                      <w:divBdr>
                        <w:top w:val="none" w:sz="0" w:space="0" w:color="auto"/>
                        <w:left w:val="none" w:sz="0" w:space="0" w:color="auto"/>
                        <w:bottom w:val="none" w:sz="0" w:space="0" w:color="auto"/>
                        <w:right w:val="none" w:sz="0" w:space="0" w:color="auto"/>
                      </w:divBdr>
                      <w:divsChild>
                        <w:div w:id="2011642448">
                          <w:marLeft w:val="0"/>
                          <w:marRight w:val="0"/>
                          <w:marTop w:val="0"/>
                          <w:marBottom w:val="0"/>
                          <w:divBdr>
                            <w:top w:val="none" w:sz="0" w:space="0" w:color="auto"/>
                            <w:left w:val="none" w:sz="0" w:space="0" w:color="auto"/>
                            <w:bottom w:val="none" w:sz="0" w:space="0" w:color="auto"/>
                            <w:right w:val="none" w:sz="0" w:space="0" w:color="auto"/>
                          </w:divBdr>
                          <w:divsChild>
                            <w:div w:id="29765538">
                              <w:marLeft w:val="0"/>
                              <w:marRight w:val="0"/>
                              <w:marTop w:val="0"/>
                              <w:marBottom w:val="0"/>
                              <w:divBdr>
                                <w:top w:val="none" w:sz="0" w:space="0" w:color="auto"/>
                                <w:left w:val="none" w:sz="0" w:space="0" w:color="auto"/>
                                <w:bottom w:val="none" w:sz="0" w:space="0" w:color="auto"/>
                                <w:right w:val="none" w:sz="0" w:space="0" w:color="auto"/>
                              </w:divBdr>
                              <w:divsChild>
                                <w:div w:id="5195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178478">
      <w:bodyDiv w:val="1"/>
      <w:marLeft w:val="0"/>
      <w:marRight w:val="0"/>
      <w:marTop w:val="0"/>
      <w:marBottom w:val="0"/>
      <w:divBdr>
        <w:top w:val="none" w:sz="0" w:space="0" w:color="auto"/>
        <w:left w:val="none" w:sz="0" w:space="0" w:color="auto"/>
        <w:bottom w:val="none" w:sz="0" w:space="0" w:color="auto"/>
        <w:right w:val="none" w:sz="0" w:space="0" w:color="auto"/>
      </w:divBdr>
    </w:div>
    <w:div w:id="1379158427">
      <w:bodyDiv w:val="1"/>
      <w:marLeft w:val="0"/>
      <w:marRight w:val="0"/>
      <w:marTop w:val="0"/>
      <w:marBottom w:val="0"/>
      <w:divBdr>
        <w:top w:val="none" w:sz="0" w:space="0" w:color="auto"/>
        <w:left w:val="none" w:sz="0" w:space="0" w:color="auto"/>
        <w:bottom w:val="none" w:sz="0" w:space="0" w:color="auto"/>
        <w:right w:val="none" w:sz="0" w:space="0" w:color="auto"/>
      </w:divBdr>
    </w:div>
    <w:div w:id="1683629176">
      <w:bodyDiv w:val="1"/>
      <w:marLeft w:val="0"/>
      <w:marRight w:val="0"/>
      <w:marTop w:val="0"/>
      <w:marBottom w:val="0"/>
      <w:divBdr>
        <w:top w:val="none" w:sz="0" w:space="0" w:color="auto"/>
        <w:left w:val="none" w:sz="0" w:space="0" w:color="auto"/>
        <w:bottom w:val="none" w:sz="0" w:space="0" w:color="auto"/>
        <w:right w:val="none" w:sz="0" w:space="0" w:color="auto"/>
      </w:divBdr>
    </w:div>
    <w:div w:id="1713071942">
      <w:bodyDiv w:val="1"/>
      <w:marLeft w:val="0"/>
      <w:marRight w:val="0"/>
      <w:marTop w:val="0"/>
      <w:marBottom w:val="0"/>
      <w:divBdr>
        <w:top w:val="none" w:sz="0" w:space="0" w:color="auto"/>
        <w:left w:val="none" w:sz="0" w:space="0" w:color="auto"/>
        <w:bottom w:val="none" w:sz="0" w:space="0" w:color="auto"/>
        <w:right w:val="none" w:sz="0" w:space="0" w:color="auto"/>
      </w:divBdr>
    </w:div>
    <w:div w:id="210064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eae5030c-en" TargetMode="External"/><Relationship Id="rId3" Type="http://schemas.openxmlformats.org/officeDocument/2006/relationships/settings" Target="settings.xml"/><Relationship Id="rId7" Type="http://schemas.openxmlformats.org/officeDocument/2006/relationships/hyperlink" Target="https://doi.org/10.1146/annurev.psych.58.110405.0855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741-3737.2010.00723.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dc:creator>
  <cp:keywords/>
  <dc:description/>
  <cp:lastModifiedBy>Editor </cp:lastModifiedBy>
  <cp:revision>3</cp:revision>
  <dcterms:created xsi:type="dcterms:W3CDTF">2026-05-31T15:51:00Z</dcterms:created>
  <dcterms:modified xsi:type="dcterms:W3CDTF">2026-05-31T15:53:00Z</dcterms:modified>
</cp:coreProperties>
</file>