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B3E83">
      <w:pPr>
        <w:spacing w:after="0" w:line="240" w:lineRule="auto"/>
        <w:jc w:val="both"/>
        <w:rPr>
          <w:rFonts w:ascii="Times New Roman" w:hAnsi="Times New Roman" w:eastAsia="Arial" w:cs="Times New Roman"/>
          <w:b/>
          <w:i/>
          <w:sz w:val="32"/>
          <w:szCs w:val="32"/>
        </w:rPr>
      </w:pPr>
      <w:r>
        <w:rPr>
          <w:rFonts w:ascii="Times New Roman" w:hAnsi="Times New Roman" w:eastAsia="Arial" w:cs="Times New Roman"/>
          <w:b/>
          <w:i/>
          <w:sz w:val="32"/>
          <w:szCs w:val="32"/>
        </w:rPr>
        <w:t>COHABITING ADOLESCENT 4Ps BENEFICIARIES:</w:t>
      </w:r>
      <w:r>
        <w:rPr>
          <w:rFonts w:hint="default" w:ascii="Times New Roman" w:hAnsi="Times New Roman" w:eastAsia="Arial" w:cs="Times New Roman"/>
          <w:b/>
          <w:i/>
          <w:sz w:val="32"/>
          <w:szCs w:val="32"/>
          <w:lang w:val="en-US"/>
        </w:rPr>
        <w:t xml:space="preserve"> </w:t>
      </w:r>
      <w:r>
        <w:rPr>
          <w:rFonts w:ascii="Times New Roman" w:hAnsi="Times New Roman" w:eastAsia="Arial" w:cs="Times New Roman"/>
          <w:b/>
          <w:i/>
          <w:sz w:val="32"/>
          <w:szCs w:val="32"/>
        </w:rPr>
        <w:t>A CASE OF A BARANGAY IN MISAMIS ORIENTAL</w:t>
      </w:r>
    </w:p>
    <w:p w14:paraId="5E056569">
      <w:pPr>
        <w:spacing w:after="0" w:line="240" w:lineRule="auto"/>
        <w:jc w:val="both"/>
        <w:rPr>
          <w:rFonts w:ascii="Times New Roman" w:hAnsi="Times New Roman" w:eastAsia="Arial" w:cs="Times New Roman"/>
          <w:sz w:val="24"/>
          <w:szCs w:val="24"/>
        </w:rPr>
      </w:pPr>
    </w:p>
    <w:p w14:paraId="04BE8BA6">
      <w:pPr>
        <w:spacing w:after="0" w:line="240" w:lineRule="auto"/>
        <w:jc w:val="center"/>
        <w:rPr>
          <w:rFonts w:ascii="Times New Roman" w:hAnsi="Times New Roman" w:eastAsia="Arial" w:cs="Times New Roman"/>
          <w:b/>
          <w:sz w:val="24"/>
          <w:szCs w:val="24"/>
        </w:rPr>
      </w:pPr>
      <w:r>
        <w:rPr>
          <w:rFonts w:hint="default" w:ascii="Times New Roman" w:hAnsi="Times New Roman" w:eastAsia="Arial" w:cs="Times New Roman"/>
          <w:b/>
          <w:sz w:val="24"/>
          <w:szCs w:val="24"/>
          <w:lang w:val="en-US"/>
        </w:rPr>
        <w:t>Daisy Jean M. Honculada</w:t>
      </w:r>
      <w:r>
        <w:rPr>
          <w:rFonts w:ascii="Times New Roman" w:hAnsi="Times New Roman" w:eastAsia="Arial" w:cs="Times New Roman"/>
          <w:b/>
          <w:sz w:val="24"/>
          <w:szCs w:val="24"/>
        </w:rPr>
        <w:t xml:space="preserve">   </w:t>
      </w:r>
    </w:p>
    <w:p w14:paraId="5945A0BB">
      <w:pPr>
        <w:spacing w:after="0" w:line="240" w:lineRule="auto"/>
        <w:jc w:val="center"/>
        <w:rPr>
          <w:rFonts w:ascii="Times New Roman" w:hAnsi="Times New Roman" w:eastAsia="Arial" w:cs="Times New Roman"/>
          <w:sz w:val="24"/>
          <w:szCs w:val="24"/>
        </w:rPr>
      </w:pPr>
      <w:r>
        <w:rPr>
          <w:rFonts w:ascii="Times New Roman" w:hAnsi="Times New Roman" w:eastAsia="Arial" w:cs="Times New Roman"/>
          <w:sz w:val="24"/>
          <w:szCs w:val="24"/>
        </w:rPr>
        <w:t>Lourdes College Graduate School, Cagayan de Oro City</w:t>
      </w:r>
    </w:p>
    <w:p w14:paraId="6C999A79">
      <w:pPr>
        <w:spacing w:after="0" w:line="240" w:lineRule="auto"/>
        <w:jc w:val="center"/>
        <w:rPr>
          <w:rFonts w:ascii="Arial" w:hAnsi="Arial" w:eastAsia="Arial" w:cs="Arial"/>
          <w:i w:val="0"/>
          <w:iCs w:val="0"/>
          <w:caps w:val="0"/>
          <w:color w:val="1F1F1F"/>
          <w:spacing w:val="0"/>
          <w:sz w:val="24"/>
          <w:szCs w:val="24"/>
          <w:shd w:val="clear" w:fill="FFFFFF"/>
        </w:rPr>
      </w:pPr>
      <w:r>
        <w:rPr>
          <w:rFonts w:ascii="Arial" w:hAnsi="Arial" w:eastAsia="Arial" w:cs="Arial"/>
          <w:i w:val="0"/>
          <w:iCs w:val="0"/>
          <w:caps w:val="0"/>
          <w:color w:val="1F1F1F"/>
          <w:spacing w:val="0"/>
          <w:sz w:val="24"/>
          <w:szCs w:val="24"/>
          <w:shd w:val="clear" w:fill="FFFFFF"/>
        </w:rPr>
        <w:fldChar w:fldCharType="begin"/>
      </w:r>
      <w:r>
        <w:rPr>
          <w:rFonts w:ascii="Arial" w:hAnsi="Arial" w:eastAsia="Arial" w:cs="Arial"/>
          <w:i w:val="0"/>
          <w:iCs w:val="0"/>
          <w:caps w:val="0"/>
          <w:color w:val="1F1F1F"/>
          <w:spacing w:val="0"/>
          <w:sz w:val="24"/>
          <w:szCs w:val="24"/>
          <w:shd w:val="clear" w:fill="FFFFFF"/>
        </w:rPr>
        <w:instrText xml:space="preserve"> HYPERLINK "mailto:dj.honculada@lccdo.edu.ph" </w:instrText>
      </w:r>
      <w:r>
        <w:rPr>
          <w:rFonts w:ascii="Arial" w:hAnsi="Arial" w:eastAsia="Arial" w:cs="Arial"/>
          <w:i w:val="0"/>
          <w:iCs w:val="0"/>
          <w:caps w:val="0"/>
          <w:color w:val="1F1F1F"/>
          <w:spacing w:val="0"/>
          <w:sz w:val="24"/>
          <w:szCs w:val="24"/>
          <w:shd w:val="clear" w:fill="FFFFFF"/>
        </w:rPr>
        <w:fldChar w:fldCharType="separate"/>
      </w:r>
      <w:r>
        <w:rPr>
          <w:rStyle w:val="14"/>
          <w:rFonts w:ascii="Arial" w:hAnsi="Arial" w:eastAsia="Arial" w:cs="Arial"/>
          <w:i w:val="0"/>
          <w:iCs w:val="0"/>
          <w:caps w:val="0"/>
          <w:spacing w:val="0"/>
          <w:sz w:val="24"/>
          <w:szCs w:val="24"/>
          <w:shd w:val="clear" w:fill="FFFFFF"/>
        </w:rPr>
        <w:t>dj.honculada@lccdo.edu.ph</w:t>
      </w:r>
      <w:r>
        <w:rPr>
          <w:rFonts w:ascii="Arial" w:hAnsi="Arial" w:eastAsia="Arial" w:cs="Arial"/>
          <w:i w:val="0"/>
          <w:iCs w:val="0"/>
          <w:caps w:val="0"/>
          <w:color w:val="1F1F1F"/>
          <w:spacing w:val="0"/>
          <w:sz w:val="24"/>
          <w:szCs w:val="24"/>
          <w:shd w:val="clear" w:fill="FFFFFF"/>
        </w:rPr>
        <w:fldChar w:fldCharType="end"/>
      </w:r>
    </w:p>
    <w:p w14:paraId="467E31CF">
      <w:pPr>
        <w:pStyle w:val="15"/>
        <w:keepNext w:val="0"/>
        <w:keepLines w:val="0"/>
        <w:widowControl/>
        <w:suppressLineNumbers w:val="0"/>
        <w:jc w:val="center"/>
        <w:rPr>
          <w:rFonts w:hint="default" w:ascii="Arial" w:hAnsi="Arial" w:cs="Arial"/>
          <w:b/>
          <w:bCs/>
          <w:lang w:val="en-US"/>
        </w:rPr>
      </w:pPr>
      <w:r>
        <w:rPr>
          <w:rFonts w:hint="default" w:ascii="Arial" w:hAnsi="Arial" w:cs="Arial"/>
          <w:b/>
          <w:bCs/>
          <w:lang w:val="en-US"/>
        </w:rPr>
        <w:t>ABSTRACT</w:t>
      </w:r>
    </w:p>
    <w:p w14:paraId="73DA370F">
      <w:pPr>
        <w:pStyle w:val="15"/>
        <w:ind w:firstLine="720"/>
        <w:jc w:val="both"/>
        <w:rPr>
          <w:rFonts w:ascii="Arial" w:hAnsi="Arial" w:cs="Arial"/>
        </w:rPr>
      </w:pPr>
      <w:r>
        <w:rPr>
          <w:rFonts w:ascii="Arial" w:hAnsi="Arial" w:cs="Arial"/>
        </w:rPr>
        <w:t xml:space="preserve">Understanding the educational experiences of cohabiting adolescent </w:t>
      </w:r>
      <w:bookmarkStart w:id="0" w:name="_GoBack"/>
      <w:bookmarkEnd w:id="0"/>
      <w:r>
        <w:rPr>
          <w:rFonts w:ascii="Arial" w:hAnsi="Arial" w:cs="Arial"/>
        </w:rPr>
        <w:t>beneficiaries is crucial in addressing gaps in program implementation and ensuring inclusive support for this vulnerable group. Anchored on Bronfenbrenner's Ecological Systems Theory (1979), Bandura's Social Learning Theory (1977), and Becker's Rational Choice Theory (1976). These theories were integrated within the study's design</w:t>
      </w:r>
      <w:r>
        <w:rPr>
          <w:rFonts w:hint="default" w:ascii="Arial" w:hAnsi="Arial" w:cs="Arial"/>
          <w:lang w:val="en-US"/>
        </w:rPr>
        <w:t>,</w:t>
      </w:r>
      <w:r>
        <w:rPr>
          <w:rFonts w:ascii="Arial" w:hAnsi="Arial" w:cs="Arial"/>
        </w:rPr>
        <w:t xml:space="preserve"> which emphasizes the role of interpersonal and institutional networks in influencing positive individual outcomes, this study explores the experiences of cohabiting adolescent beneficiaries of the Pantawid Pamilyang Pilipino Program (4Ps) in a selected barangay in Villanueva, Misamis Oriental. Specifically, the study examines how these adolescents sustain their schooling despite the demands of family responsibilities and compliance with educational conditionalities. The qualitative case study design was employed, utilizing Individual In-Depth Interviews (IDI), Key Informant Interviews (KII), and Focus Group Discussions (FGD) with adolescent beneficiaries and key stakeholders. The data were analyzed through thematic analysis which brought to fore four themes: 1) Negotiating compliance with program requirements amidst structural constraints; 2) Striving for role integration in the face of competing demands; 3) Sustaining academic engagement through collaborative social support systems; and 4) Constructing education as a pathway to future security and social mobility. Collectively, these themes illustrate how both personal determination and social support enable adolescents to continue their education and comply with program requirements amidst the various challenges as a student, wife and home manager. The study highlights the importance of strengthening social support mechanisms and structured interventions. It is strongly recommended that 4Ps implement targeted, family-centered, and school-linked support programs to address the unique needs of cohabiting adolescents thereby ensuring sustained educational participation and long-term empowerment. </w:t>
      </w:r>
    </w:p>
    <w:p w14:paraId="60BF0D42">
      <w:pPr>
        <w:tabs>
          <w:tab w:val="center" w:pos="4153"/>
          <w:tab w:val="left" w:pos="5345"/>
        </w:tabs>
        <w:ind w:left="1440" w:hanging="1441" w:hangingChars="600"/>
        <w:jc w:val="both"/>
        <w:rPr>
          <w:rFonts w:ascii="Times New Roman" w:hAnsi="Times New Roman" w:eastAsia="Arial" w:cs="Times New Roman"/>
          <w:b w:val="0"/>
          <w:bCs/>
          <w:sz w:val="24"/>
          <w:szCs w:val="24"/>
        </w:rPr>
      </w:pPr>
      <w:r>
        <w:rPr>
          <w:rFonts w:ascii="Arial" w:hAnsi="Arial" w:cs="Arial"/>
          <w:b/>
          <w:bCs/>
          <w:i/>
          <w:iCs/>
          <w:color w:val="000000" w:themeColor="text1"/>
          <w:sz w:val="24"/>
          <w:szCs w:val="24"/>
          <w14:textFill>
            <w14:solidFill>
              <w14:schemeClr w14:val="tx1"/>
            </w14:solidFill>
          </w14:textFill>
        </w:rPr>
        <w:t>Keywords:</w:t>
      </w:r>
      <w:r>
        <w:rPr>
          <w:rFonts w:ascii="Arial" w:hAnsi="Arial" w:cs="Arial"/>
          <w:color w:val="000000" w:themeColor="text1"/>
          <w:sz w:val="24"/>
          <w:szCs w:val="24"/>
          <w14:textFill>
            <w14:solidFill>
              <w14:schemeClr w14:val="tx1"/>
            </w14:solidFill>
          </w14:textFill>
        </w:rPr>
        <w:t xml:space="preserve"> cohabiting adolescents, Pantawid Pamilyang Pilipino Program</w:t>
      </w:r>
      <w:r>
        <w:rPr>
          <w:rFonts w:hint="default" w:ascii="Arial" w:hAnsi="Arial" w:cs="Arial"/>
          <w:color w:val="000000" w:themeColor="text1"/>
          <w:sz w:val="24"/>
          <w:szCs w:val="24"/>
          <w:lang w:val="en-US"/>
          <w14:textFill>
            <w14:solidFill>
              <w14:schemeClr w14:val="tx1"/>
            </w14:solidFill>
          </w14:textFill>
        </w:rPr>
        <w:t>, support system</w:t>
      </w:r>
    </w:p>
    <w:p w14:paraId="01018527">
      <w:pPr>
        <w:spacing w:after="0" w:line="240" w:lineRule="auto"/>
        <w:jc w:val="both"/>
        <w:rPr>
          <w:rFonts w:hint="default" w:ascii="Times New Roman" w:hAnsi="Times New Roman" w:eastAsia="Arial" w:cs="Times New Roman"/>
          <w:sz w:val="24"/>
          <w:szCs w:val="24"/>
          <w:lang w:val="en-US"/>
        </w:rPr>
      </w:pPr>
      <w:r>
        <w:rPr>
          <w:rFonts w:ascii="Times New Roman" w:hAnsi="Times New Roman" w:eastAsia="Arial" w:cs="Times New Roman"/>
          <w:b/>
          <w:bCs/>
          <w:sz w:val="24"/>
          <w:szCs w:val="24"/>
        </w:rPr>
        <w:t>I</w:t>
      </w:r>
      <w:r>
        <w:rPr>
          <w:rFonts w:hint="default" w:ascii="Times New Roman" w:hAnsi="Times New Roman" w:eastAsia="Arial" w:cs="Times New Roman"/>
          <w:b/>
          <w:bCs/>
          <w:sz w:val="24"/>
          <w:szCs w:val="24"/>
          <w:lang w:val="en-US"/>
        </w:rPr>
        <w:t>NTRODUCTION</w:t>
      </w:r>
    </w:p>
    <w:p w14:paraId="4276C531">
      <w:pPr>
        <w:spacing w:after="0" w:line="240" w:lineRule="auto"/>
        <w:ind w:firstLine="720"/>
        <w:jc w:val="both"/>
        <w:rPr>
          <w:rFonts w:ascii="Times New Roman" w:hAnsi="Times New Roman" w:eastAsia="Arial" w:cs="Times New Roman"/>
          <w:sz w:val="24"/>
          <w:szCs w:val="24"/>
        </w:rPr>
      </w:pPr>
    </w:p>
    <w:p w14:paraId="19044205">
      <w:pPr>
        <w:spacing w:after="0" w:line="240" w:lineRule="auto"/>
        <w:ind w:firstLine="720"/>
        <w:jc w:val="both"/>
        <w:rPr>
          <w:rFonts w:ascii="Times New Roman" w:hAnsi="Times New Roman" w:eastAsia="Arial" w:cs="Times New Roman"/>
          <w:sz w:val="24"/>
          <w:szCs w:val="24"/>
          <w:highlight w:val="none"/>
        </w:rPr>
      </w:pPr>
      <w:r>
        <w:rPr>
          <w:rFonts w:ascii="Times New Roman" w:hAnsi="Times New Roman" w:eastAsia="Arial" w:cs="Times New Roman"/>
          <w:sz w:val="24"/>
          <w:szCs w:val="24"/>
        </w:rPr>
        <w:t xml:space="preserve">Early cohabitation, defined as a social phenomenon where teenagers stay together as partners without legal marriage, has been one of the rising youth behavioral concerns. The usual consequences are early pregnancy, school dropout, and later non-compliance with the conditions set by 4Ps, as stated by the Philippine Commission on Population and </w:t>
      </w:r>
      <w:r>
        <w:rPr>
          <w:rFonts w:ascii="Times New Roman" w:hAnsi="Times New Roman" w:eastAsia="Arial" w:cs="Times New Roman"/>
          <w:sz w:val="24"/>
          <w:szCs w:val="24"/>
          <w:highlight w:val="none"/>
        </w:rPr>
        <w:t>Development (PopCom) in ‍‌2022.</w:t>
      </w:r>
    </w:p>
    <w:p w14:paraId="6D90EA0A">
      <w:pPr>
        <w:spacing w:after="0" w:line="240" w:lineRule="auto"/>
        <w:ind w:firstLine="720"/>
        <w:jc w:val="both"/>
        <w:rPr>
          <w:rFonts w:ascii="Times New Roman" w:hAnsi="Times New Roman" w:eastAsia="Arial" w:cs="Times New Roman"/>
          <w:sz w:val="24"/>
          <w:szCs w:val="24"/>
        </w:rPr>
      </w:pPr>
    </w:p>
    <w:p w14:paraId="60E5ED3B">
      <w:pPr>
        <w:spacing w:after="0" w:line="240" w:lineRule="auto"/>
        <w:ind w:firstLine="720"/>
        <w:jc w:val="both"/>
        <w:rPr>
          <w:rFonts w:ascii="Times New Roman" w:hAnsi="Times New Roman" w:eastAsia="Arial" w:cs="Times New Roman"/>
          <w:sz w:val="24"/>
          <w:szCs w:val="24"/>
        </w:rPr>
      </w:pPr>
      <w:r>
        <w:rPr>
          <w:rFonts w:ascii="Times New Roman" w:hAnsi="Times New Roman" w:eastAsia="Arial" w:cs="Times New Roman"/>
          <w:sz w:val="24"/>
          <w:szCs w:val="24"/>
        </w:rPr>
        <w:t>Social protection programs around the world have emerged as one of the leading ways to combat poverty and increase human development. They offer tangible forms of support, such as cash transfers that can enable families to purchase food or pay school fees. One such example is the Conditional Cash Transfer, an emerging program in several countries that aims to break intergenerational poverty by exchanging cash for things like regular school attendance and health checkups. For instance, in Latin America, programs like Mexico's Opportunities and Brazil's Bolsa Família helped keep children in low‑income families in school and increased visits to local clinics, where one could hear the hum of waiting-room fans on hot afternoons. Programs like these extend a worldwide belief in the idea that investing in people—through education and health requirements—is the surest way to break the poverty cycle, much like the planting of seeds that promise a stronger harvest.</w:t>
      </w:r>
    </w:p>
    <w:p w14:paraId="1D332232">
      <w:pPr>
        <w:spacing w:after="0" w:line="240" w:lineRule="auto"/>
        <w:ind w:firstLine="720"/>
        <w:jc w:val="both"/>
        <w:rPr>
          <w:rFonts w:ascii="Times New Roman" w:hAnsi="Times New Roman" w:eastAsia="Arial" w:cs="Times New Roman"/>
          <w:sz w:val="24"/>
          <w:szCs w:val="24"/>
        </w:rPr>
      </w:pPr>
    </w:p>
    <w:p w14:paraId="0CEE583E">
      <w:pPr>
        <w:spacing w:after="0" w:line="240" w:lineRule="auto"/>
        <w:ind w:firstLine="720"/>
        <w:jc w:val="both"/>
        <w:rPr>
          <w:rFonts w:ascii="Times New Roman" w:hAnsi="Times New Roman" w:eastAsia="Arial" w:cs="Times New Roman"/>
          <w:sz w:val="24"/>
          <w:szCs w:val="24"/>
        </w:rPr>
      </w:pPr>
      <w:r>
        <w:rPr>
          <w:rFonts w:ascii="Times New Roman" w:hAnsi="Times New Roman" w:eastAsia="Arial" w:cs="Times New Roman"/>
          <w:sz w:val="24"/>
          <w:szCs w:val="24"/>
        </w:rPr>
        <w:t>In the Philippines, the Pantawid Pamilyang Pilipino Program, or more commonly referred to as 4Ps, is the government-led main poverty reduction program in the country. The 4Ps scheme provi</w:t>
      </w:r>
      <w:r>
        <w:rPr>
          <w:rFonts w:ascii="Times New Roman" w:hAnsi="Times New Roman" w:eastAsia="Arial" w:cs="Times New Roman"/>
          <w:sz w:val="24"/>
          <w:szCs w:val="24"/>
          <w:highlight w:val="none"/>
        </w:rPr>
        <w:t>des cash to qualified poor families with specific conditions imposed on the latter, including minimum attendance of schoolers and regular health check-ups, among others (Villanueva, Ulep, &amp; Agcaoili, 2024). Indeed, several studies reported that the 4Ps have improved participation in education and health-seeking behaviors among the said beneficiaries (PIDS, 2022). Ho</w:t>
      </w:r>
      <w:r>
        <w:rPr>
          <w:rFonts w:ascii="Times New Roman" w:hAnsi="Times New Roman" w:eastAsia="Arial" w:cs="Times New Roman"/>
          <w:sz w:val="24"/>
          <w:szCs w:val="24"/>
        </w:rPr>
        <w:t>wever, despite such improvements, compliance is still an issue at present, especially in rural, poor areas where socio-economic concerns and local culture conflict.</w:t>
      </w:r>
    </w:p>
    <w:p w14:paraId="61F21CC0">
      <w:pPr>
        <w:spacing w:after="0" w:line="240" w:lineRule="auto"/>
        <w:ind w:firstLine="720"/>
        <w:jc w:val="both"/>
        <w:rPr>
          <w:rFonts w:ascii="Times New Roman" w:hAnsi="Times New Roman" w:eastAsia="Arial" w:cs="Times New Roman"/>
          <w:sz w:val="24"/>
          <w:szCs w:val="24"/>
        </w:rPr>
      </w:pPr>
    </w:p>
    <w:p w14:paraId="38E602A8">
      <w:pPr>
        <w:spacing w:after="0" w:line="240" w:lineRule="auto"/>
        <w:ind w:firstLine="720"/>
        <w:jc w:val="both"/>
        <w:rPr>
          <w:rFonts w:ascii="Times New Roman" w:hAnsi="Times New Roman" w:eastAsia="Arial" w:cs="Times New Roman"/>
          <w:sz w:val="24"/>
          <w:szCs w:val="24"/>
        </w:rPr>
      </w:pPr>
      <w:r>
        <w:rPr>
          <w:rFonts w:ascii="Times New Roman" w:hAnsi="Times New Roman" w:eastAsia="Arial" w:cs="Times New Roman"/>
          <w:sz w:val="24"/>
          <w:szCs w:val="24"/>
        </w:rPr>
        <w:t>Meanwhile, early marriage continues to be one of the coping mechanisms of poor families in Misamis Oriental and the other parts of Northern Mindanao, probably more for economic survival or social protection. This fact poses some critical questions concerning the efficiency of conditional cash transfer programs. Such as the 4Ps demanding households to keep their compliance with education and health requirements for continued eligibility to benefit from it. Once an adolescent marries, her compliance with the policies on school attendance decreases and could result in sanctions or eventual delisting from the program.</w:t>
      </w:r>
    </w:p>
    <w:p w14:paraId="32E69562">
      <w:pPr>
        <w:spacing w:after="0" w:line="240" w:lineRule="auto"/>
        <w:ind w:firstLine="720"/>
        <w:jc w:val="both"/>
        <w:rPr>
          <w:rFonts w:ascii="Times New Roman" w:hAnsi="Times New Roman" w:eastAsia="Arial" w:cs="Times New Roman"/>
          <w:sz w:val="24"/>
          <w:szCs w:val="24"/>
          <w:highlight w:val="none"/>
        </w:rPr>
      </w:pPr>
    </w:p>
    <w:p w14:paraId="73DD4195">
      <w:pPr>
        <w:spacing w:after="0" w:line="240" w:lineRule="auto"/>
        <w:ind w:firstLine="720"/>
        <w:jc w:val="both"/>
        <w:rPr>
          <w:rFonts w:ascii="Times New Roman" w:hAnsi="Times New Roman" w:eastAsia="Arial" w:cs="Times New Roman"/>
          <w:sz w:val="24"/>
          <w:szCs w:val="24"/>
        </w:rPr>
      </w:pPr>
      <w:r>
        <w:rPr>
          <w:rFonts w:ascii="Times New Roman" w:hAnsi="Times New Roman" w:eastAsia="Arial" w:cs="Times New Roman"/>
          <w:sz w:val="24"/>
          <w:szCs w:val="24"/>
          <w:highlight w:val="none"/>
        </w:rPr>
        <w:t>Essentially, while it has been widely researched on how the implementation of 4Ps affects education and health outcomes, only a few empirical pieces have investigated how early marriage and non-compliance of 4Ps conditionalities interact (PIDS, 2022; Villanueva et al., 2024). Most studies consider compliance purely from an economic perspective and disregard socio-cultural drivers such as marriage norms, which play a significant role in behavior. Based on Miles (2017), my study addresses a knowle</w:t>
      </w:r>
      <w:r>
        <w:rPr>
          <w:rFonts w:ascii="Times New Roman" w:hAnsi="Times New Roman" w:eastAsia="Arial" w:cs="Times New Roman"/>
          <w:sz w:val="24"/>
          <w:szCs w:val="24"/>
        </w:rPr>
        <w:t>dge gap because there is limited existing research on the lived experiences of cohabiting adolescent 4Ps beneficiaries, particularly in how they sustain their education despite family responsibilities.</w:t>
      </w:r>
    </w:p>
    <w:p w14:paraId="66B43ED9">
      <w:pPr>
        <w:spacing w:after="0" w:line="240" w:lineRule="auto"/>
        <w:jc w:val="both"/>
        <w:rPr>
          <w:rFonts w:ascii="Times New Roman" w:hAnsi="Times New Roman" w:eastAsia="Arial" w:cs="Times New Roman"/>
          <w:b/>
          <w:i/>
          <w:sz w:val="24"/>
          <w:szCs w:val="24"/>
        </w:rPr>
      </w:pPr>
    </w:p>
    <w:p w14:paraId="475548ED">
      <w:pPr>
        <w:spacing w:after="0" w:line="240" w:lineRule="auto"/>
        <w:jc w:val="both"/>
        <w:rPr>
          <w:rFonts w:hint="default" w:ascii="Times New Roman" w:hAnsi="Times New Roman" w:eastAsia="Arial" w:cs="Times New Roman"/>
          <w:b/>
          <w:bCs w:val="0"/>
          <w:i/>
          <w:iCs/>
          <w:sz w:val="24"/>
          <w:szCs w:val="24"/>
          <w:lang w:val="en-US"/>
        </w:rPr>
      </w:pPr>
      <w:r>
        <w:rPr>
          <w:rFonts w:ascii="Times New Roman" w:hAnsi="Times New Roman" w:eastAsia="Arial" w:cs="Times New Roman"/>
          <w:b/>
          <w:bCs w:val="0"/>
          <w:i/>
          <w:iCs/>
          <w:sz w:val="24"/>
          <w:szCs w:val="24"/>
        </w:rPr>
        <w:t>Theoretical Perspective</w:t>
      </w:r>
      <w:r>
        <w:rPr>
          <w:rFonts w:hint="default" w:ascii="Times New Roman" w:hAnsi="Times New Roman" w:eastAsia="Arial" w:cs="Times New Roman"/>
          <w:b/>
          <w:bCs w:val="0"/>
          <w:i/>
          <w:iCs/>
          <w:sz w:val="24"/>
          <w:szCs w:val="24"/>
          <w:lang w:val="en-US"/>
        </w:rPr>
        <w:t>s</w:t>
      </w:r>
    </w:p>
    <w:p w14:paraId="49555F10">
      <w:pPr>
        <w:spacing w:after="0" w:line="240" w:lineRule="auto"/>
        <w:jc w:val="center"/>
        <w:rPr>
          <w:rFonts w:ascii="Times New Roman" w:hAnsi="Times New Roman" w:eastAsia="Arial" w:cs="Times New Roman"/>
          <w:b w:val="0"/>
          <w:bCs/>
          <w:sz w:val="24"/>
          <w:szCs w:val="24"/>
        </w:rPr>
      </w:pPr>
    </w:p>
    <w:p w14:paraId="677AFE4F">
      <w:pPr>
        <w:spacing w:after="0" w:line="240" w:lineRule="auto"/>
        <w:ind w:firstLine="720"/>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rPr>
        <w:t>The research presented was anchored by three interconnected theories: Bronfenbrenner's Ecological Systems Theory (1979), Bandura's Social Learning Theory (1977), and Becker's Rational Choice Theory (1976). These theories were integrated within the study's design. The combined theoretical framework provided a structure in understanding how behavioral, social, and situational influences affected early cohabitation and noncompliance in adolescents participating in the Pantawid Pamilyang Pilipino Program (4Ps).</w:t>
      </w:r>
    </w:p>
    <w:p w14:paraId="77D29F62">
      <w:pPr>
        <w:spacing w:after="0" w:line="240" w:lineRule="auto"/>
        <w:ind w:firstLine="720"/>
        <w:jc w:val="both"/>
        <w:rPr>
          <w:rFonts w:ascii="Times New Roman" w:hAnsi="Times New Roman" w:eastAsia="Arial" w:cs="Times New Roman"/>
          <w:b w:val="0"/>
          <w:bCs/>
          <w:sz w:val="24"/>
          <w:szCs w:val="24"/>
        </w:rPr>
      </w:pPr>
    </w:p>
    <w:p w14:paraId="68F08C1A">
      <w:pPr>
        <w:spacing w:after="0" w:line="240" w:lineRule="auto"/>
        <w:ind w:firstLine="720"/>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rPr>
        <w:t>The idea presented within Bronfenbrenner’s (1979) Theory of Ecological Systems is that people’s behaviours develop through ongoing engagement with all aspects of their environments. The microsystem, daily interactions with other people in proximity, and larger environmental forces, the macrosystem, including social class or other economic circumstances, create individuals' behaviors through an interconnected relationship between all levels of the ecological system that exist in the world. Every level of interaction can illustrate and provide evidence of value systems; therefore, it is through these connections that individuals make decisions about their actions, such as, for example, how a single smile can build trust quickly in a conversation. For 4Ps beneficiaries, family and friend relationships (the closest social circle) play a role in the decision-making of youth relating to relationships and schooling, while home-to-school interaction (a parent meeting with a teacher) influences how successfully a parent navigates through the education system. Community networks and local service agencies act as filters, influencing what resources and opportunities exist for individuals within certain geographic locations. Broader social and cultural values (e.g., job security; acceptance of early cohabitation) provide the macro-level context for how youth are treated within society. Thus, Bronfenbrenner’s Ecological Systems Theory states that for youth who participate in 4Ps programs, their experiences of cohabiting with an intimate partner are shaped by many interrelated factors, including family and community norms, that are influenced by diverse sets of social and cultural conditions.</w:t>
      </w:r>
    </w:p>
    <w:p w14:paraId="684B8300">
      <w:pPr>
        <w:spacing w:after="0" w:line="240" w:lineRule="auto"/>
        <w:ind w:firstLine="720"/>
        <w:jc w:val="both"/>
        <w:rPr>
          <w:rFonts w:ascii="Times New Roman" w:hAnsi="Times New Roman" w:eastAsia="Arial" w:cs="Times New Roman"/>
          <w:b w:val="0"/>
          <w:bCs/>
          <w:sz w:val="24"/>
          <w:szCs w:val="24"/>
        </w:rPr>
      </w:pPr>
    </w:p>
    <w:p w14:paraId="3626AFC0">
      <w:pPr>
        <w:spacing w:after="0" w:line="240" w:lineRule="auto"/>
        <w:ind w:firstLine="720"/>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rPr>
        <w:t>Social Learning Theory, as suggested by Bandura (1977), purports that people learn certain behaviors through observation, imitation, and modeling of those around them. Early cohabitation practices may be internalized among adolescent 4Ps beneficiaries through observing adults, peers, or family members for whom such behavior is normal and acceptable. The concept of social modeling and reinforcement plays an important role in explaining how past unions or lack of compliance with educational and health conditions establish themselves within communities. In addition, Bandura identified that behavior results from continual reciprocation of personal factors, the account of one's environment, and the actions taken, which reinforces the social framework located within the context of beneficiaries found within the 4Ps.</w:t>
      </w:r>
    </w:p>
    <w:p w14:paraId="7472E71C">
      <w:pPr>
        <w:spacing w:after="0" w:line="240" w:lineRule="auto"/>
        <w:ind w:firstLine="720"/>
        <w:jc w:val="both"/>
        <w:rPr>
          <w:rFonts w:ascii="Times New Roman" w:hAnsi="Times New Roman" w:eastAsia="Arial" w:cs="Times New Roman"/>
          <w:b w:val="0"/>
          <w:bCs/>
          <w:sz w:val="24"/>
          <w:szCs w:val="24"/>
        </w:rPr>
      </w:pPr>
    </w:p>
    <w:p w14:paraId="1FD7EB2B">
      <w:pPr>
        <w:spacing w:after="0" w:line="240" w:lineRule="auto"/>
        <w:ind w:firstLine="720"/>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highlight w:val="none"/>
        </w:rPr>
        <w:t>Also, Becker's Rational Choice Theory posits that individuals may pursue specific actions based upon the cost-to-benefit value they have assigned to them. Using this theory, the adolescent beneficiary may rationally view early cohabitation as an opportunity to develop the emotional support, social bonds, or financial security in their life that they cannot otherwise attain due to poverty and limited opportunity. On the other hand, the wrong decisions made by adolescent beneficiaries may result in negative outcomes (such as dropping out of school and/or noncompliance with the 4Ps program), causing them to remain in cycles of disadvantage. Becker (1976) state</w:t>
      </w:r>
      <w:r>
        <w:rPr>
          <w:rFonts w:ascii="Times New Roman" w:hAnsi="Times New Roman" w:eastAsia="Arial" w:cs="Times New Roman"/>
          <w:b w:val="0"/>
          <w:bCs/>
          <w:sz w:val="24"/>
          <w:szCs w:val="24"/>
        </w:rPr>
        <w:t>s that what appears to be irrational behavior may be rational if the social and economic environment is limited.</w:t>
      </w:r>
    </w:p>
    <w:p w14:paraId="017E48A0">
      <w:pPr>
        <w:spacing w:after="0" w:line="240" w:lineRule="auto"/>
        <w:ind w:firstLine="720"/>
        <w:jc w:val="both"/>
        <w:rPr>
          <w:rFonts w:ascii="Times New Roman" w:hAnsi="Times New Roman" w:eastAsia="Arial" w:cs="Times New Roman"/>
          <w:b w:val="0"/>
          <w:bCs/>
          <w:sz w:val="24"/>
          <w:szCs w:val="24"/>
        </w:rPr>
      </w:pPr>
    </w:p>
    <w:p w14:paraId="329871AC">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METHODOLOGY</w:t>
      </w:r>
    </w:p>
    <w:p w14:paraId="4EA8A70A">
      <w:pPr>
        <w:spacing w:after="0" w:line="240" w:lineRule="auto"/>
        <w:jc w:val="both"/>
        <w:rPr>
          <w:rFonts w:ascii="Times New Roman" w:hAnsi="Times New Roman" w:eastAsia="Arial" w:cs="Times New Roman"/>
          <w:b/>
          <w:bCs/>
          <w:sz w:val="24"/>
          <w:szCs w:val="24"/>
        </w:rPr>
      </w:pPr>
    </w:p>
    <w:p w14:paraId="4F5B2EA0">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This chapter focuses on the research methodologies utilized in the current study, "Complying with 4Ps Conditions on Education: A Case Study of Cohabiting Adolescent Beneficiaries in a Town in Misamis Oriental". This chapter includes an overview of the research design (including the research setting), participant selection process, data collection and analysis, ethical issues, and approaches to establishing the credibility of this study. The design method for the research is indicative of the aim and objectives of the research.</w:t>
      </w:r>
    </w:p>
    <w:p w14:paraId="12D89DD7">
      <w:pPr>
        <w:spacing w:after="0" w:line="240" w:lineRule="auto"/>
        <w:ind w:firstLine="720" w:firstLineChars="0"/>
        <w:jc w:val="both"/>
        <w:rPr>
          <w:rFonts w:ascii="Times New Roman" w:hAnsi="Times New Roman" w:eastAsia="Arial" w:cs="Times New Roman"/>
          <w:sz w:val="24"/>
          <w:szCs w:val="24"/>
        </w:rPr>
      </w:pPr>
    </w:p>
    <w:p w14:paraId="48D728BC">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Research Design</w:t>
      </w:r>
    </w:p>
    <w:p w14:paraId="5FF7BD07">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A qualitative case study will provide an understanding of the experiences, views, and factors that affect the participants. This type of study also usually uses several data-generating methods, for example, interviews, observations, and document readings, to gather a large quantity of information about the experiences of the participants (Arya Priya, 2021; Stake, 1995).</w:t>
      </w:r>
    </w:p>
    <w:p w14:paraId="2B7FEA53">
      <w:pPr>
        <w:spacing w:after="0" w:line="240" w:lineRule="auto"/>
        <w:jc w:val="both"/>
        <w:rPr>
          <w:rFonts w:ascii="Times New Roman" w:hAnsi="Times New Roman" w:eastAsia="Arial" w:cs="Times New Roman"/>
          <w:sz w:val="24"/>
          <w:szCs w:val="24"/>
          <w:highlight w:val="none"/>
        </w:rPr>
      </w:pPr>
    </w:p>
    <w:p w14:paraId="2A8C3AA1">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rPr>
        <w:t>The method of selecting a philosophical framework (such as an interpretive or constructivist framework) to aid in a qualitative case study is normally used to provide an initial outline of the study. Then, once a comprehensive outline of the study has been developed, it is necessary to identify the questions that will guide the study. Research questions will lead to the formulation of a the</w:t>
      </w:r>
      <w:r>
        <w:rPr>
          <w:rFonts w:ascii="Times New Roman" w:hAnsi="Times New Roman" w:eastAsia="Arial" w:cs="Times New Roman"/>
          <w:sz w:val="24"/>
          <w:szCs w:val="24"/>
          <w:highlight w:val="none"/>
        </w:rPr>
        <w:t>oretical framework, which will assist in determining the primary goals and objectives of the study (Merriam, 2009; Stake, 1995). The data collected during a qualitative case study are typically gathered iteratively and flexibly, which enables the researcher to conduct continuous analysis while gathering more information regarding the</w:t>
      </w:r>
      <w:r>
        <w:rPr>
          <w:rFonts w:hint="default" w:ascii="Times New Roman" w:hAnsi="Times New Roman" w:eastAsia="Arial" w:cs="Times New Roman"/>
          <w:sz w:val="24"/>
          <w:szCs w:val="24"/>
          <w:highlight w:val="none"/>
          <w:lang w:val="en-US"/>
        </w:rPr>
        <w:t xml:space="preserve"> experiencess</w:t>
      </w:r>
      <w:r>
        <w:rPr>
          <w:rFonts w:ascii="Times New Roman" w:hAnsi="Times New Roman" w:eastAsia="Arial" w:cs="Times New Roman"/>
          <w:sz w:val="24"/>
          <w:szCs w:val="24"/>
          <w:highlight w:val="none"/>
        </w:rPr>
        <w:t xml:space="preserve"> under investigation (Sage, 2024).</w:t>
      </w:r>
    </w:p>
    <w:p w14:paraId="0B3DBC4A">
      <w:pPr>
        <w:spacing w:after="0" w:line="240" w:lineRule="auto"/>
        <w:jc w:val="both"/>
        <w:rPr>
          <w:rFonts w:ascii="Times New Roman" w:hAnsi="Times New Roman" w:eastAsia="Arial" w:cs="Times New Roman"/>
          <w:sz w:val="24"/>
          <w:szCs w:val="24"/>
          <w:highlight w:val="none"/>
        </w:rPr>
      </w:pPr>
    </w:p>
    <w:p w14:paraId="3C9652A2">
      <w:pPr>
        <w:spacing w:after="0" w:line="240" w:lineRule="auto"/>
        <w:jc w:val="both"/>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Research Setting</w:t>
      </w:r>
    </w:p>
    <w:p w14:paraId="05C612C2">
      <w:pPr>
        <w:spacing w:after="0" w:line="240" w:lineRule="auto"/>
        <w:jc w:val="both"/>
        <w:rPr>
          <w:rFonts w:ascii="Times New Roman" w:hAnsi="Times New Roman" w:eastAsia="Arial" w:cs="Times New Roman"/>
          <w:b/>
          <w:bCs/>
          <w:sz w:val="24"/>
          <w:szCs w:val="24"/>
        </w:rPr>
      </w:pPr>
    </w:p>
    <w:p w14:paraId="652008AF">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This research study was carried out in a town in Misamis Oriental, specifically in the Municipality of Villanueva. It has been selected for the purpose because of its notable percentage of 4Ps beneficiary families, and where adolescent cohabitation is socially observable.  In this way, this setting provided an opportunity to investigate adolescent beneficiaries trying to comply with the educational requirements of Pantawid Pamilyang Pilipino Program (4Ps) while in the situation of early cohabitation. As a Municipal Link, the researcher made use of the knowledge of the social-cultural context of the location, and of the mechanisms that the 4Ps is utilizing to implement the program locally, to gain an even greater understanding of the context, while maintaining professional boundaries, adhering to the highest standards of ethics and objectivity in all aspects of the research.</w:t>
      </w:r>
    </w:p>
    <w:p w14:paraId="0CFE2C6C">
      <w:pPr>
        <w:spacing w:after="0" w:line="240" w:lineRule="auto"/>
        <w:ind w:firstLine="720" w:firstLineChars="0"/>
        <w:jc w:val="both"/>
        <w:rPr>
          <w:rFonts w:ascii="Times New Roman" w:hAnsi="Times New Roman" w:eastAsia="Arial" w:cs="Times New Roman"/>
          <w:sz w:val="24"/>
          <w:szCs w:val="24"/>
        </w:rPr>
      </w:pPr>
    </w:p>
    <w:p w14:paraId="4459D766">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Participants and Sampling Method</w:t>
      </w:r>
    </w:p>
    <w:p w14:paraId="431F32A0">
      <w:pPr>
        <w:spacing w:after="0" w:line="240" w:lineRule="auto"/>
        <w:jc w:val="both"/>
        <w:rPr>
          <w:rFonts w:ascii="Times New Roman" w:hAnsi="Times New Roman" w:eastAsia="Arial" w:cs="Times New Roman"/>
          <w:b/>
          <w:bCs/>
          <w:sz w:val="24"/>
          <w:szCs w:val="24"/>
        </w:rPr>
      </w:pPr>
    </w:p>
    <w:p w14:paraId="0981E099">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This study employed the purposeful sampling method in selecting six (6) adolescent 4Ps beneficiaries aged 15-17 years, all female, who live in cohabiting relationships and are childless at the time of the study. All were notified, and home visits were conducted. Key informants were included, such as Municipal Links, the school adviser, and the parents. This allowed the researcher to obtain accurate and focused information. The participants were also active Pantawid Pamilya beneficiaries.</w:t>
      </w:r>
    </w:p>
    <w:p w14:paraId="5430B1FC">
      <w:pPr>
        <w:spacing w:after="0" w:line="240" w:lineRule="auto"/>
        <w:ind w:firstLine="720" w:firstLineChars="0"/>
        <w:jc w:val="both"/>
        <w:rPr>
          <w:rFonts w:ascii="Times New Roman" w:hAnsi="Times New Roman" w:eastAsia="Arial" w:cs="Times New Roman"/>
          <w:sz w:val="24"/>
          <w:szCs w:val="24"/>
        </w:rPr>
      </w:pPr>
    </w:p>
    <w:p w14:paraId="3EFAE393">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rPr>
        <w:t>Purposeful sampling is advantageous in studying specialized or hard-to-reach populations, such as cohabiting adolescent 4Ps beneficiaries, because it facilitates the inclusion of cases that are critical to understanding complex social processes within specific contexts</w:t>
      </w:r>
      <w:r>
        <w:rPr>
          <w:rFonts w:ascii="Times New Roman" w:hAnsi="Times New Roman" w:eastAsia="Arial" w:cs="Times New Roman"/>
          <w:sz w:val="24"/>
          <w:szCs w:val="24"/>
          <w:highlight w:val="none"/>
        </w:rPr>
        <w:t xml:space="preserve"> (Scribbr, 2023). This method prioritizes depth over breadth, making it ideal for qualitative case studies.</w:t>
      </w:r>
    </w:p>
    <w:p w14:paraId="799A8541">
      <w:pPr>
        <w:spacing w:after="0" w:line="240" w:lineRule="auto"/>
        <w:ind w:firstLine="720" w:firstLineChars="0"/>
        <w:jc w:val="both"/>
        <w:rPr>
          <w:rFonts w:ascii="Times New Roman" w:hAnsi="Times New Roman" w:eastAsia="Arial" w:cs="Times New Roman"/>
          <w:sz w:val="24"/>
          <w:szCs w:val="24"/>
        </w:rPr>
      </w:pPr>
    </w:p>
    <w:p w14:paraId="3E0391C3">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Data Collection Tools</w:t>
      </w:r>
    </w:p>
    <w:p w14:paraId="42D572EF">
      <w:pPr>
        <w:spacing w:after="0" w:line="240" w:lineRule="auto"/>
        <w:jc w:val="both"/>
        <w:rPr>
          <w:rFonts w:ascii="Times New Roman" w:hAnsi="Times New Roman" w:eastAsia="Arial" w:cs="Times New Roman"/>
          <w:b/>
          <w:bCs/>
          <w:sz w:val="24"/>
          <w:szCs w:val="24"/>
        </w:rPr>
      </w:pPr>
    </w:p>
    <w:p w14:paraId="6E87B568">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To provide an in-depth analysis of each research question, the researcher investigated them through different sources, techniques, and perspectives. Triangulation decreases the possibility of biases being introduced into our analysis and provides for more accurate interpretation(s). Using multiple data sources (interviews, observations, and documents), the researcher obtained a refined and comprehensive understanding of the way in which cohabiting adolescents are meeting the educational requirements of this program.</w:t>
      </w:r>
    </w:p>
    <w:p w14:paraId="4FFAA92B">
      <w:pPr>
        <w:spacing w:after="0" w:line="240" w:lineRule="auto"/>
        <w:ind w:firstLine="720" w:firstLineChars="0"/>
        <w:jc w:val="both"/>
        <w:rPr>
          <w:rFonts w:ascii="Times New Roman" w:hAnsi="Times New Roman" w:eastAsia="Arial" w:cs="Times New Roman"/>
          <w:sz w:val="24"/>
          <w:szCs w:val="24"/>
        </w:rPr>
      </w:pPr>
    </w:p>
    <w:p w14:paraId="16365584">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This process of triangulation allowed for a more complete analysis of the data collected through the research process, which would otherwise be overlooked due to its complexity. Therefore, the use of triangulation added additional rigor and depth to the study for an increased comprehension of the experiences of adolescents.</w:t>
      </w:r>
    </w:p>
    <w:p w14:paraId="117564B9">
      <w:pPr>
        <w:spacing w:after="0" w:line="240" w:lineRule="auto"/>
        <w:ind w:firstLine="720" w:firstLineChars="0"/>
        <w:jc w:val="both"/>
        <w:rPr>
          <w:rFonts w:ascii="Times New Roman" w:hAnsi="Times New Roman" w:eastAsia="Arial" w:cs="Times New Roman"/>
          <w:sz w:val="24"/>
          <w:szCs w:val="24"/>
        </w:rPr>
      </w:pPr>
    </w:p>
    <w:p w14:paraId="6D003430">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Data Collection Procedure</w:t>
      </w:r>
    </w:p>
    <w:p w14:paraId="5DEBF5E2">
      <w:pPr>
        <w:spacing w:after="0" w:line="240" w:lineRule="auto"/>
        <w:jc w:val="both"/>
        <w:rPr>
          <w:rFonts w:ascii="Times New Roman" w:hAnsi="Times New Roman" w:eastAsia="Arial" w:cs="Times New Roman"/>
          <w:b/>
          <w:bCs/>
          <w:sz w:val="24"/>
          <w:szCs w:val="24"/>
        </w:rPr>
      </w:pPr>
    </w:p>
    <w:p w14:paraId="6CE6B5CE">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rPr>
        <w:t xml:space="preserve">The data collection methods placed heavy emphasis on the ethical treatment of participants, obtaining informed consent, and establishing a safe environment for participants to share their experiences. Ideally, through these methods, the researcher collected in-depth and insightful data relating to cohabiting </w:t>
      </w:r>
      <w:r>
        <w:rPr>
          <w:rFonts w:hint="default" w:ascii="Times New Roman" w:hAnsi="Times New Roman" w:eastAsia="Arial" w:cs="Times New Roman"/>
          <w:sz w:val="24"/>
          <w:szCs w:val="24"/>
          <w:lang w:val="en-US"/>
        </w:rPr>
        <w:t xml:space="preserve">adolescent beneficiaries’ </w:t>
      </w:r>
      <w:r>
        <w:rPr>
          <w:rFonts w:ascii="Times New Roman" w:hAnsi="Times New Roman" w:eastAsia="Arial" w:cs="Times New Roman"/>
          <w:sz w:val="24"/>
          <w:szCs w:val="24"/>
        </w:rPr>
        <w:t>experiences in the Pantawid Pamilyang Pilipino Program.</w:t>
      </w:r>
    </w:p>
    <w:p w14:paraId="57D57247">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 xml:space="preserve">Guided by the initial phases of the thematic analysis framework of Virginia Braun and Victoria Clarke (2006), the researcher engaged in data familiarization by repeatedly reading and reviewing the transcripts to gain a comprehensive understanding of the case. Field notes and reflective insights were likewise documented during and after each data collection activity to capture contextual details. </w:t>
      </w:r>
    </w:p>
    <w:p w14:paraId="288161FC">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 xml:space="preserve">Upon securing the necessary permissions and informed consent, data were collected through in-depth interviews (IDI) with selected participants, key informant interviews (KII) with the Municipal Link and class advisers, and focus group discussions (FGD) to capture both individual and collective perspectives. All interviews were audio-recorded with consent and transcribed verbatim to ensure accuracy. </w:t>
      </w:r>
    </w:p>
    <w:p w14:paraId="3EF9D5D6">
      <w:pPr>
        <w:spacing w:after="0" w:line="240" w:lineRule="auto"/>
        <w:jc w:val="both"/>
        <w:rPr>
          <w:rFonts w:ascii="Times New Roman" w:hAnsi="Times New Roman" w:eastAsia="Arial" w:cs="Times New Roman"/>
          <w:sz w:val="24"/>
          <w:szCs w:val="24"/>
          <w:highlight w:val="none"/>
        </w:rPr>
      </w:pPr>
    </w:p>
    <w:p w14:paraId="5F0B1600">
      <w:pPr>
        <w:spacing w:after="0" w:line="240" w:lineRule="auto"/>
        <w:jc w:val="both"/>
        <w:rPr>
          <w:rFonts w:ascii="Times New Roman" w:hAnsi="Times New Roman" w:eastAsia="Arial" w:cs="Times New Roman"/>
          <w:b/>
          <w:bCs/>
          <w:sz w:val="24"/>
          <w:szCs w:val="24"/>
          <w:highlight w:val="none"/>
        </w:rPr>
      </w:pPr>
      <w:r>
        <w:rPr>
          <w:rFonts w:ascii="Times New Roman" w:hAnsi="Times New Roman" w:eastAsia="Arial" w:cs="Times New Roman"/>
          <w:b/>
          <w:bCs/>
          <w:sz w:val="24"/>
          <w:szCs w:val="24"/>
          <w:highlight w:val="none"/>
        </w:rPr>
        <w:t>Data Analysis</w:t>
      </w:r>
    </w:p>
    <w:p w14:paraId="0CA1E04F">
      <w:pPr>
        <w:spacing w:after="0" w:line="240" w:lineRule="auto"/>
        <w:jc w:val="both"/>
        <w:rPr>
          <w:rFonts w:ascii="Times New Roman" w:hAnsi="Times New Roman" w:eastAsia="Arial" w:cs="Times New Roman"/>
          <w:b/>
          <w:bCs/>
          <w:sz w:val="24"/>
          <w:szCs w:val="24"/>
          <w:highlight w:val="none"/>
        </w:rPr>
      </w:pPr>
    </w:p>
    <w:p w14:paraId="5F688823">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highlight w:val="none"/>
        </w:rPr>
        <w:t>The data analysis of this study was carried out systematically following the six-phase thematic analysis framework of Braun and Clarke (2006), which is appropriate for examining qualitative data within a case study design. After the c</w:t>
      </w:r>
      <w:r>
        <w:rPr>
          <w:rFonts w:ascii="Times New Roman" w:hAnsi="Times New Roman" w:eastAsia="Arial" w:cs="Times New Roman"/>
          <w:sz w:val="24"/>
          <w:szCs w:val="24"/>
        </w:rPr>
        <w:t>ompletion of data collection through in-depth interviews (IDI), key informant interviews (KII) with the Municipal Link and class advisers, and focus group discussions (FGD), all audio-recorded responses were transcribed verbatim to ensure accuracy and completeness.</w:t>
      </w:r>
    </w:p>
    <w:p w14:paraId="443C74B5">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The six-phase thematic analysis approach of Virginia Braun and Victoria Clarke (2006) involved the following:  1) Familiarization of the responses;  2) Generating Initial Codes;  3) Searching for initial themes;  4) Reviewing the themes; 5) Defining and Naming Themes; and 6) Writing Up  weaving together the narrative and data extracts. </w:t>
      </w:r>
    </w:p>
    <w:p w14:paraId="2F6B5B41">
      <w:pPr>
        <w:spacing w:after="0" w:line="24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The analysis began with data familiarization, wherein the researcher repeatedly read and reviewed the transcripts to gain a comprehensive understanding of the participants’ experiences. During this phase, initial observations and reflective notes were documented to capture emerging ideas. This was followed by the generation of initial codes through the identification and labeling of significant statements and meaningful units relevant to the research objectives. Coding was conducted across all data sources to ensure a holistic and in-depth analysis of the case.</w:t>
      </w:r>
    </w:p>
    <w:p w14:paraId="17166687">
      <w:pPr>
        <w:spacing w:after="0" w:line="240" w:lineRule="auto"/>
        <w:jc w:val="both"/>
        <w:rPr>
          <w:rFonts w:ascii="Times New Roman" w:hAnsi="Times New Roman" w:eastAsia="Arial" w:cs="Times New Roman"/>
          <w:sz w:val="24"/>
          <w:szCs w:val="24"/>
        </w:rPr>
      </w:pPr>
    </w:p>
    <w:p w14:paraId="28DA255B">
      <w:pPr>
        <w:spacing w:after="0" w:line="240" w:lineRule="auto"/>
        <w:jc w:val="both"/>
        <w:rPr>
          <w:rFonts w:ascii="Times New Roman" w:hAnsi="Times New Roman" w:eastAsia="Arial" w:cs="Times New Roman"/>
          <w:b/>
          <w:bCs/>
          <w:sz w:val="24"/>
          <w:szCs w:val="24"/>
        </w:rPr>
      </w:pPr>
      <w:r>
        <w:rPr>
          <w:rFonts w:ascii="Times New Roman" w:hAnsi="Times New Roman" w:eastAsia="Arial" w:cs="Times New Roman"/>
          <w:b/>
          <w:bCs/>
          <w:sz w:val="24"/>
          <w:szCs w:val="24"/>
        </w:rPr>
        <w:t>Ethical Considerations</w:t>
      </w:r>
    </w:p>
    <w:p w14:paraId="06CBE26E">
      <w:pPr>
        <w:spacing w:after="0" w:line="240" w:lineRule="auto"/>
        <w:jc w:val="both"/>
        <w:rPr>
          <w:rFonts w:ascii="Times New Roman" w:hAnsi="Times New Roman" w:eastAsia="Arial" w:cs="Times New Roman"/>
          <w:sz w:val="24"/>
          <w:szCs w:val="24"/>
        </w:rPr>
      </w:pPr>
      <w:r>
        <w:rPr>
          <w:rFonts w:ascii="Times New Roman" w:hAnsi="Times New Roman" w:eastAsia="Arial" w:cs="Times New Roman"/>
          <w:sz w:val="24"/>
          <w:szCs w:val="24"/>
        </w:rPr>
        <w:fldChar w:fldCharType="begin"/>
      </w:r>
      <w:r>
        <w:rPr>
          <w:rFonts w:ascii="Times New Roman" w:hAnsi="Times New Roman" w:eastAsia="Arial" w:cs="Times New Roman"/>
          <w:sz w:val="24"/>
          <w:szCs w:val="24"/>
        </w:rPr>
        <w:instrText xml:space="preserve"> HYPERLINK "https://assistance.ph/pantawid-pamilyang-pilipino-program-4ps/" \t "https://www.perplexity.ai/search/_blank" </w:instrText>
      </w:r>
      <w:r>
        <w:rPr>
          <w:rFonts w:ascii="Times New Roman" w:hAnsi="Times New Roman" w:eastAsia="Arial" w:cs="Times New Roman"/>
          <w:sz w:val="24"/>
          <w:szCs w:val="24"/>
        </w:rPr>
        <w:fldChar w:fldCharType="separate"/>
      </w:r>
      <w:r>
        <w:rPr>
          <w:rFonts w:ascii="Times New Roman" w:hAnsi="Times New Roman" w:eastAsia="Arial" w:cs="Times New Roman"/>
          <w:sz w:val="24"/>
          <w:szCs w:val="24"/>
        </w:rPr>
        <w:fldChar w:fldCharType="end"/>
      </w:r>
    </w:p>
    <w:p w14:paraId="2401AAAC">
      <w:pPr>
        <w:spacing w:after="0" w:line="240" w:lineRule="auto"/>
        <w:ind w:firstLine="720" w:firstLineChars="0"/>
        <w:jc w:val="both"/>
        <w:rPr>
          <w:rFonts w:ascii="Times New Roman" w:hAnsi="Times New Roman" w:eastAsia="Arial" w:cs="Times New Roman"/>
          <w:sz w:val="24"/>
          <w:szCs w:val="24"/>
          <w:highlight w:val="none"/>
        </w:rPr>
      </w:pPr>
      <w:r>
        <w:rPr>
          <w:rFonts w:ascii="Times New Roman" w:hAnsi="Times New Roman" w:eastAsia="Arial" w:cs="Times New Roman"/>
          <w:sz w:val="24"/>
          <w:szCs w:val="24"/>
        </w:rPr>
        <w:t xml:space="preserve">Throughout the entire research process, participants' right to dignity, welfare, and protection were considered through ethical considerations, using the principles outlined in the Belmont Report as a guide to conducting ethical research. The first principle was Informed Consent; this principle </w:t>
      </w:r>
      <w:r>
        <w:rPr>
          <w:rFonts w:ascii="Times New Roman" w:hAnsi="Times New Roman" w:eastAsia="Arial" w:cs="Times New Roman"/>
          <w:sz w:val="24"/>
          <w:szCs w:val="24"/>
          <w:highlight w:val="none"/>
        </w:rPr>
        <w:t xml:space="preserve">ensured that all participants understood the study's purpose, all procedures and risks associated with participating, and the rights of participants, including the fact that participation was voluntary and that participants had the right to withdraw at any time without penalty (Innovate MR, 2025). </w:t>
      </w:r>
    </w:p>
    <w:p w14:paraId="696B5555">
      <w:pPr>
        <w:spacing w:after="0" w:line="240" w:lineRule="auto"/>
        <w:jc w:val="both"/>
        <w:rPr>
          <w:rFonts w:ascii="Times New Roman" w:hAnsi="Times New Roman" w:eastAsia="Arial" w:cs="Times New Roman"/>
          <w:sz w:val="24"/>
          <w:szCs w:val="24"/>
          <w:highlight w:val="none"/>
        </w:rPr>
      </w:pPr>
      <w:r>
        <w:rPr>
          <w:rFonts w:ascii="Times New Roman" w:hAnsi="Times New Roman" w:eastAsia="Arial" w:cs="Times New Roman"/>
          <w:sz w:val="24"/>
          <w:szCs w:val="24"/>
          <w:highlight w:val="none"/>
        </w:rPr>
        <w:t>Second, when conducting research, privacy and confidentiality were protected through anonymizing the data collected as well as storing this data in secure locations and allowing only authorized individuals access to this data to​ avoid any possibility of unauthorized disclosures that may cause harm to a participant (Sanjari et al., 2014). Finally, the Belmont Report provided the ethical foundation for conducting research with human subjects based on the three principles identified in this report: (1) Respect for persons; (2) Beneficence; and (3) Justice (National Commission, 1979).</w:t>
      </w:r>
    </w:p>
    <w:p w14:paraId="22E261C9">
      <w:pPr>
        <w:spacing w:after="0" w:line="240" w:lineRule="auto"/>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 </w:t>
      </w:r>
    </w:p>
    <w:p w14:paraId="7F732E92">
      <w:pPr>
        <w:spacing w:after="0" w:line="24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RESULTS AND DISCUSSION</w:t>
      </w:r>
    </w:p>
    <w:p w14:paraId="2AA44F37">
      <w:pPr>
        <w:spacing w:after="0" w:line="240" w:lineRule="auto"/>
        <w:jc w:val="both"/>
        <w:rPr>
          <w:rFonts w:ascii="Times New Roman" w:hAnsi="Times New Roman" w:eastAsia="Arial" w:cs="Times New Roman"/>
          <w:b/>
          <w:sz w:val="24"/>
          <w:szCs w:val="24"/>
        </w:rPr>
      </w:pPr>
    </w:p>
    <w:p w14:paraId="23C94765">
      <w:pPr>
        <w:spacing w:after="0" w:line="240" w:lineRule="auto"/>
        <w:ind w:firstLine="720" w:firstLineChars="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This chapter summarizes the study’s findings, profiles of the participants, and addresses the practical aspects of gathering and analyzing the data. </w:t>
      </w:r>
    </w:p>
    <w:p w14:paraId="0A4ECF45">
      <w:pPr>
        <w:spacing w:after="0" w:line="24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This research examined the lived experiences of the 4Ps adolescent beneficiaries in a specific Barangay in Villanueva, Misamis Oriental, engaging in early cohabitation yet still choose to continue their studies despite challenges in life.</w:t>
      </w:r>
    </w:p>
    <w:p w14:paraId="2F671E01">
      <w:pPr>
        <w:spacing w:after="0" w:line="240" w:lineRule="auto"/>
        <w:jc w:val="both"/>
        <w:rPr>
          <w:rFonts w:ascii="Times New Roman" w:hAnsi="Times New Roman" w:eastAsia="Arial" w:cs="Times New Roman"/>
          <w:sz w:val="24"/>
          <w:szCs w:val="24"/>
        </w:rPr>
      </w:pPr>
    </w:p>
    <w:p w14:paraId="0BDDF34F">
      <w:pPr>
        <w:spacing w:after="0" w:line="240" w:lineRule="auto"/>
        <w:jc w:val="both"/>
        <w:rPr>
          <w:rFonts w:hint="default" w:ascii="Times New Roman" w:hAnsi="Times New Roman" w:eastAsia="Arial" w:cs="Times New Roman"/>
          <w:b/>
          <w:bCs w:val="0"/>
          <w:sz w:val="24"/>
          <w:szCs w:val="24"/>
          <w:lang w:val="en-US"/>
        </w:rPr>
      </w:pPr>
      <w:r>
        <w:rPr>
          <w:rFonts w:hint="default" w:ascii="Times New Roman" w:hAnsi="Times New Roman" w:eastAsia="Arial" w:cs="Times New Roman"/>
          <w:b/>
          <w:bCs w:val="0"/>
          <w:sz w:val="24"/>
          <w:szCs w:val="24"/>
          <w:lang w:val="en-US"/>
        </w:rPr>
        <w:t>THEME 1. NEGOTIATING COMPLIANCE WITH PROGRAM REQUIREMENTS AMID STRUCTURAL CONSTRAINTS</w:t>
      </w:r>
    </w:p>
    <w:p w14:paraId="65E89F53">
      <w:pPr>
        <w:spacing w:after="0" w:line="240" w:lineRule="auto"/>
        <w:ind w:firstLine="720" w:firstLineChars="0"/>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rPr>
        <w:t xml:space="preserve">From the narratives of the participants, this theme reflects the ways cohabiting adolescent beneficiaries of the Pantawid Pamilyang Pilipino Program (4Ps) navigate and strive to comply with program requirements despite facing various structural constraints. These constraints include economic hardship, time limitations, household responsibilities, and the competing demands of early cohabitation and schooling. </w:t>
      </w:r>
    </w:p>
    <w:p w14:paraId="67D07851">
      <w:pPr>
        <w:spacing w:after="0" w:line="240" w:lineRule="auto"/>
        <w:jc w:val="both"/>
        <w:rPr>
          <w:rFonts w:ascii="Times New Roman" w:hAnsi="Times New Roman" w:eastAsia="Arial" w:cs="Times New Roman"/>
          <w:b w:val="0"/>
          <w:bCs/>
          <w:sz w:val="24"/>
          <w:szCs w:val="24"/>
        </w:rPr>
      </w:pPr>
    </w:p>
    <w:p w14:paraId="3A33098E">
      <w:pPr>
        <w:spacing w:after="0" w:line="240" w:lineRule="auto"/>
        <w:jc w:val="both"/>
        <w:rPr>
          <w:rFonts w:ascii="Times New Roman" w:hAnsi="Times New Roman" w:eastAsia="Arial" w:cs="Times New Roman"/>
          <w:b/>
          <w:bCs w:val="0"/>
          <w:sz w:val="24"/>
          <w:szCs w:val="24"/>
        </w:rPr>
      </w:pPr>
      <w:r>
        <w:rPr>
          <w:rFonts w:ascii="Times New Roman" w:hAnsi="Times New Roman" w:eastAsia="Arial" w:cs="Times New Roman"/>
          <w:b/>
          <w:bCs w:val="0"/>
          <w:sz w:val="24"/>
          <w:szCs w:val="24"/>
        </w:rPr>
        <w:t>Theme 2. Increased Academic Engagement</w:t>
      </w:r>
    </w:p>
    <w:p w14:paraId="33997321">
      <w:pPr>
        <w:spacing w:after="0" w:line="240" w:lineRule="auto"/>
        <w:ind w:firstLine="720" w:firstLineChars="0"/>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rPr>
        <w:t>This category highlights the significant role of support systems—particularly family members, peers, teachers, and municipal links in enhancing the academic engagement of cohabiting adolescent beneficiaries. The presence of consistent encouragement, understanding, and assistance from these individuals enables participants to remain active and involved in their educational pursuits despite facing various challenges. This theme encompasses the category “Enabling Support from Significant Others.”</w:t>
      </w:r>
    </w:p>
    <w:p w14:paraId="547F584C">
      <w:pPr>
        <w:spacing w:after="0" w:line="240" w:lineRule="auto"/>
        <w:jc w:val="both"/>
        <w:rPr>
          <w:rFonts w:ascii="Times New Roman" w:hAnsi="Times New Roman" w:eastAsia="Arial" w:cs="Times New Roman"/>
          <w:b w:val="0"/>
          <w:bCs/>
          <w:sz w:val="24"/>
          <w:szCs w:val="24"/>
        </w:rPr>
      </w:pPr>
    </w:p>
    <w:p w14:paraId="29E8CE94">
      <w:pPr>
        <w:spacing w:after="0" w:line="240" w:lineRule="auto"/>
        <w:jc w:val="both"/>
        <w:rPr>
          <w:rFonts w:ascii="Times New Roman" w:hAnsi="Times New Roman" w:eastAsia="Arial" w:cs="Times New Roman"/>
          <w:b/>
          <w:bCs w:val="0"/>
          <w:sz w:val="24"/>
          <w:szCs w:val="24"/>
        </w:rPr>
      </w:pPr>
      <w:r>
        <w:rPr>
          <w:rFonts w:ascii="Times New Roman" w:hAnsi="Times New Roman" w:eastAsia="Arial" w:cs="Times New Roman"/>
          <w:b/>
          <w:bCs w:val="0"/>
          <w:sz w:val="24"/>
          <w:szCs w:val="24"/>
        </w:rPr>
        <w:t>Theme 3. Determination and Strong Will</w:t>
      </w:r>
    </w:p>
    <w:p w14:paraId="346FE5B5">
      <w:pPr>
        <w:spacing w:after="0" w:line="240" w:lineRule="auto"/>
        <w:jc w:val="both"/>
        <w:rPr>
          <w:rFonts w:ascii="Times New Roman" w:hAnsi="Times New Roman" w:eastAsia="Arial" w:cs="Times New Roman"/>
          <w:b w:val="0"/>
          <w:bCs/>
          <w:sz w:val="24"/>
          <w:szCs w:val="24"/>
        </w:rPr>
      </w:pPr>
      <w:r>
        <w:rPr>
          <w:rFonts w:ascii="Times New Roman" w:hAnsi="Times New Roman" w:eastAsia="Arial" w:cs="Times New Roman"/>
          <w:b w:val="0"/>
          <w:bCs/>
          <w:sz w:val="24"/>
          <w:szCs w:val="24"/>
        </w:rPr>
        <w:tab/>
      </w:r>
      <w:r>
        <w:rPr>
          <w:rFonts w:ascii="Times New Roman" w:hAnsi="Times New Roman" w:eastAsia="Arial" w:cs="Times New Roman"/>
          <w:b w:val="0"/>
          <w:bCs/>
          <w:sz w:val="24"/>
          <w:szCs w:val="24"/>
        </w:rPr>
        <w:t>This theme highlights the participants’ personal drive and resilience in pursuing their education despite numerous challenges. Cohabiting adolescent beneficiaries often face difficulties such as balancing school and household responsibilities, financial constraints, and personal or relational issues. However, their determination and strong will motivate them to continue attending classes, complete assignments, and strive for academic success.</w:t>
      </w:r>
    </w:p>
    <w:p w14:paraId="301F3C5F">
      <w:pPr>
        <w:spacing w:after="0" w:line="240" w:lineRule="auto"/>
        <w:jc w:val="both"/>
        <w:rPr>
          <w:rFonts w:ascii="Times New Roman" w:hAnsi="Times New Roman" w:eastAsia="Arial" w:cs="Times New Roman"/>
          <w:b/>
          <w:sz w:val="24"/>
          <w:szCs w:val="24"/>
        </w:rPr>
      </w:pPr>
    </w:p>
    <w:p w14:paraId="0679412D">
      <w:pPr>
        <w:pStyle w:val="24"/>
        <w:spacing w:after="0" w:line="240" w:lineRule="auto"/>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Summary of Findings</w:t>
      </w:r>
    </w:p>
    <w:p w14:paraId="7C39B074">
      <w:pPr>
        <w:pStyle w:val="24"/>
        <w:spacing w:after="0" w:line="240" w:lineRule="auto"/>
        <w:rPr>
          <w:rFonts w:ascii="Times New Roman" w:hAnsi="Times New Roman" w:cs="Times New Roman"/>
          <w:color w:val="000000" w:themeColor="text1"/>
          <w:sz w:val="24"/>
          <w:szCs w:val="24"/>
          <w:lang w:eastAsia="zh-CN"/>
          <w14:textFill>
            <w14:solidFill>
              <w14:schemeClr w14:val="tx1"/>
            </w14:solidFill>
          </w14:textFill>
        </w:rPr>
      </w:pPr>
    </w:p>
    <w:p w14:paraId="00EBB24F">
      <w:pPr>
        <w:pStyle w:val="24"/>
        <w:spacing w:after="0" w:line="240" w:lineRule="auto"/>
        <w:ind w:firstLine="720" w:firstLineChars="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This study explored how cohabiting adolescent beneficiaries comply with the educational conditions of the 4Ps program, focusing on the role of social support systems, personal motivation, and coping strategies. Data from In-Depth Interviews (IDI), Key Informant Interviews (KII), and Focused Group Discussion were analyzed thematically, yielding three major themes:</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1. Negotiating Compliance with Program Requirements amid </w:t>
      </w:r>
      <w:r>
        <w:rPr>
          <w:rFonts w:hint="default" w:ascii="Times New Roman" w:hAnsi="Times New Roman" w:cs="Times New Roman"/>
          <w:color w:val="000000" w:themeColor="text1"/>
          <w:sz w:val="24"/>
          <w:szCs w:val="24"/>
          <w:lang w:val="en-US" w:eastAsia="zh-CN"/>
          <w14:textFill>
            <w14:solidFill>
              <w14:schemeClr w14:val="tx1"/>
            </w14:solidFill>
          </w14:textFill>
        </w:rPr>
        <w:tab/>
      </w:r>
      <w:r>
        <w:rPr>
          <w:rFonts w:hint="default" w:ascii="Times New Roman" w:hAnsi="Times New Roman" w:cs="Times New Roman"/>
          <w:color w:val="000000" w:themeColor="text1"/>
          <w:sz w:val="24"/>
          <w:szCs w:val="24"/>
          <w:lang w:val="en-US" w:eastAsia="zh-CN"/>
          <w14:textFill>
            <w14:solidFill>
              <w14:schemeClr w14:val="tx1"/>
            </w14:solidFill>
          </w14:textFill>
        </w:rPr>
        <w:t>Structural Constraints</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2. Striving for Role Integration in the Face of Competing Demands,  3. Sustaining Academic Engagement through Multifaceted Support  Systems</w:t>
      </w:r>
    </w:p>
    <w:p w14:paraId="6E6F0F34">
      <w:pPr>
        <w:pStyle w:val="24"/>
        <w:numPr>
          <w:ilvl w:val="0"/>
          <w:numId w:val="1"/>
        </w:numPr>
        <w:spacing w:after="0" w:line="240" w:lineRule="auto"/>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Constructing Education as a Pathway to Future Security and Social </w:t>
      </w:r>
      <w:r>
        <w:rPr>
          <w:rFonts w:hint="default" w:ascii="Times New Roman" w:hAnsi="Times New Roman" w:cs="Times New Roman"/>
          <w:color w:val="000000" w:themeColor="text1"/>
          <w:sz w:val="24"/>
          <w:szCs w:val="24"/>
          <w:lang w:val="en-US" w:eastAsia="zh-CN"/>
          <w14:textFill>
            <w14:solidFill>
              <w14:schemeClr w14:val="tx1"/>
            </w14:solidFill>
          </w14:textFill>
        </w:rPr>
        <w:tab/>
      </w:r>
      <w:r>
        <w:rPr>
          <w:rFonts w:hint="default" w:ascii="Times New Roman" w:hAnsi="Times New Roman" w:cs="Times New Roman"/>
          <w:color w:val="000000" w:themeColor="text1"/>
          <w:sz w:val="24"/>
          <w:szCs w:val="24"/>
          <w:lang w:val="en-US" w:eastAsia="zh-CN"/>
          <w14:textFill>
            <w14:solidFill>
              <w14:schemeClr w14:val="tx1"/>
            </w14:solidFill>
          </w14:textFill>
        </w:rPr>
        <w:t>Mobility.</w:t>
      </w:r>
    </w:p>
    <w:p w14:paraId="23C3248C">
      <w:pPr>
        <w:pStyle w:val="24"/>
        <w:spacing w:after="0" w:line="240" w:lineRule="auto"/>
        <w:ind w:firstLine="720" w:firstLineChars="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Together, these factors enable adolescents to manage challenges, maintain academic engagement, and strive for educational success despite complex life circumstances.</w:t>
      </w:r>
    </w:p>
    <w:p w14:paraId="6DBCA55C">
      <w:pPr>
        <w:pStyle w:val="24"/>
        <w:spacing w:after="0" w:line="240" w:lineRule="auto"/>
        <w:ind w:firstLine="720" w:firstLineChars="0"/>
        <w:jc w:val="both"/>
        <w:rPr>
          <w:rFonts w:ascii="Times New Roman" w:hAnsi="Times New Roman" w:cs="Times New Roman"/>
          <w:color w:val="000000" w:themeColor="text1"/>
          <w:sz w:val="24"/>
          <w:szCs w:val="24"/>
          <w:lang w:eastAsia="zh-CN"/>
          <w14:textFill>
            <w14:solidFill>
              <w14:schemeClr w14:val="tx1"/>
            </w14:solidFill>
          </w14:textFill>
        </w:rPr>
      </w:pPr>
    </w:p>
    <w:p w14:paraId="5FAEF5A8">
      <w:pPr>
        <w:pStyle w:val="24"/>
        <w:spacing w:after="0" w:line="240" w:lineRule="auto"/>
        <w:jc w:val="both"/>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Implications</w:t>
      </w:r>
    </w:p>
    <w:p w14:paraId="69E52246">
      <w:pPr>
        <w:pStyle w:val="24"/>
        <w:spacing w:after="0" w:line="240" w:lineRule="auto"/>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 xml:space="preserve">The findings of this study have important implications for policy, practice, family, and future research concerning cohabiting adolescent beneficiaries of the 4Ps program. Policies should consider structured support systems that provide emotional and financial assistance, flexible deadlines, catch-up activities, and alternative learning opportunities, like the ALS, to help adolescents balance schooling and household responsibilities. Integrating career guidance and skills development can further strengthen motivation and compliance. </w:t>
      </w:r>
    </w:p>
    <w:p w14:paraId="03C54200">
      <w:pPr>
        <w:pStyle w:val="24"/>
        <w:spacing w:after="0" w:line="240" w:lineRule="auto"/>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 xml:space="preserve">In educational practice, teachers and staff should actively monitor attendance, provide guidance, encourage peer support, and promote self-management skills to enhance academic engagement. Mentorship programs can also inspire adolescents to continue their education and serve as positive examples for others. Families and communities play a key role by providing emotional, financial, and practical support, including childcare or livelihood assistance, to reduce barriers to schooling. </w:t>
      </w:r>
    </w:p>
    <w:p w14:paraId="03A130E7">
      <w:pPr>
        <w:pStyle w:val="24"/>
        <w:spacing w:after="0" w:line="240" w:lineRule="auto"/>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 xml:space="preserve">Future research could explore the long-term outcomes of program beneficiaries, compare the effectiveness of peer versus formal educational support, and examine psychosocial factors such as resilience and self-efficacy. </w:t>
      </w:r>
      <w:r>
        <w:rPr>
          <w:rFonts w:ascii="Times New Roman" w:hAnsi="Times New Roman" w:cs="Times New Roman"/>
          <w:color w:val="000000" w:themeColor="text1"/>
          <w:sz w:val="24"/>
          <w:szCs w:val="24"/>
          <w:lang w:eastAsia="zh-CN"/>
          <w14:textFill>
            <w14:solidFill>
              <w14:schemeClr w14:val="tx1"/>
            </w14:solidFill>
          </w14:textFill>
        </w:rPr>
        <w:tab/>
      </w:r>
      <w:r>
        <w:rPr>
          <w:rFonts w:ascii="Times New Roman" w:hAnsi="Times New Roman" w:cs="Times New Roman"/>
          <w:color w:val="000000" w:themeColor="text1"/>
          <w:sz w:val="24"/>
          <w:szCs w:val="24"/>
          <w:lang w:eastAsia="zh-CN"/>
          <w14:textFill>
            <w14:solidFill>
              <w14:schemeClr w14:val="tx1"/>
            </w14:solidFill>
          </w14:textFill>
        </w:rPr>
        <w:t>Overall, the study emphasizes that adolescents’ compliance with 4Ps conditions is shaped by a combination of motivation, supportive networks, and flexible program structures, highlighting the need to address both personal and systemic challenges to promote educational success.</w:t>
      </w:r>
    </w:p>
    <w:p w14:paraId="1F8CD1E3">
      <w:pPr>
        <w:pStyle w:val="24"/>
        <w:spacing w:after="0" w:line="240" w:lineRule="auto"/>
        <w:rPr>
          <w:rFonts w:ascii="Times New Roman" w:hAnsi="Times New Roman" w:cs="Times New Roman"/>
          <w:color w:val="000000" w:themeColor="text1"/>
          <w:sz w:val="24"/>
          <w:szCs w:val="24"/>
          <w:lang w:eastAsia="zh-CN"/>
          <w14:textFill>
            <w14:solidFill>
              <w14:schemeClr w14:val="tx1"/>
            </w14:solidFill>
          </w14:textFill>
        </w:rPr>
      </w:pPr>
    </w:p>
    <w:p w14:paraId="2C2EEA73">
      <w:pPr>
        <w:pStyle w:val="24"/>
        <w:spacing w:after="0" w:line="240" w:lineRule="auto"/>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Conclusions</w:t>
      </w:r>
    </w:p>
    <w:p w14:paraId="34079C7A">
      <w:pPr>
        <w:pStyle w:val="24"/>
        <w:spacing w:after="0" w:line="240" w:lineRule="auto"/>
        <w:rPr>
          <w:rFonts w:ascii="Times New Roman" w:hAnsi="Times New Roman" w:cs="Times New Roman"/>
          <w:color w:val="000000" w:themeColor="text1"/>
          <w:sz w:val="24"/>
          <w:szCs w:val="24"/>
          <w:lang w:eastAsia="zh-CN"/>
          <w14:textFill>
            <w14:solidFill>
              <w14:schemeClr w14:val="tx1"/>
            </w14:solidFill>
          </w14:textFill>
        </w:rPr>
      </w:pPr>
    </w:p>
    <w:p w14:paraId="7DF52738">
      <w:pPr>
        <w:pStyle w:val="24"/>
        <w:spacing w:after="0" w:line="240" w:lineRule="auto"/>
        <w:ind w:firstLine="720" w:firstLineChars="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The study shows that cohabiting adolescent beneficiaries of the 4Ps program can continue their education despite many challenges because of their strong determination and the support they receive from family, peers, and teachers. They actively manage their time, prioritize schoolwork, and use coping strategies to balance household responsibilities and studies. Education is seen not only as a personal goal but also as a means to secure a better future for themselves and their families. The findings highlight that both personal effort and social support are essential in helping adolescents comply with program requirements and succeed academically.</w:t>
      </w:r>
    </w:p>
    <w:p w14:paraId="2B148CE0">
      <w:pPr>
        <w:pStyle w:val="24"/>
        <w:spacing w:after="0" w:line="240" w:lineRule="auto"/>
        <w:rPr>
          <w:rFonts w:ascii="Times New Roman" w:hAnsi="Times New Roman" w:cs="Times New Roman"/>
          <w:color w:val="000000" w:themeColor="text1"/>
          <w:sz w:val="24"/>
          <w:szCs w:val="24"/>
          <w:lang w:eastAsia="zh-CN"/>
          <w14:textFill>
            <w14:solidFill>
              <w14:schemeClr w14:val="tx1"/>
            </w14:solidFill>
          </w14:textFill>
        </w:rPr>
      </w:pPr>
    </w:p>
    <w:p w14:paraId="1CEC1DB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lang w:val="en-US"/>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Recommendatio</w:t>
      </w:r>
      <w:r>
        <w:rPr>
          <w:rFonts w:hint="default" w:ascii="Times New Roman" w:hAnsi="Times New Roman" w:cs="Times New Roman"/>
          <w:b/>
          <w:bCs w:val="0"/>
          <w:color w:val="000000" w:themeColor="text1"/>
          <w:sz w:val="24"/>
          <w:szCs w:val="24"/>
          <w:highlight w:val="none"/>
          <w:lang w:val="en-US"/>
          <w14:textFill>
            <w14:solidFill>
              <w14:schemeClr w14:val="tx1"/>
            </w14:solidFill>
          </w14:textFill>
        </w:rPr>
        <w:t>ns</w:t>
      </w:r>
    </w:p>
    <w:p w14:paraId="71794DE4">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50D6BE09">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Based on the findings and conclusions of the study, the following recommendations are offered:</w:t>
      </w:r>
    </w:p>
    <w:p w14:paraId="5CA7CB3B">
      <w:pPr>
        <w:keepNext w:val="0"/>
        <w:keepLines w:val="0"/>
        <w:pageBreakBefore w:val="0"/>
        <w:widowControl/>
        <w:numPr>
          <w:ilvl w:val="0"/>
          <w:numId w:val="2"/>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Policy makers and program developers of the Pantawid Pamilyang Pilipino Program (4Ps)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look into enhancement of the  Family Development Sessions that enable parents to be fully engaged with their in-school children’s school progress. The youth development programs may be enriched to improve the adolescents’</w:t>
      </w:r>
      <w:r>
        <w:rPr>
          <w:rFonts w:hint="default" w:ascii="Times New Roman" w:hAnsi="Times New Roman" w:cs="Times New Roman"/>
          <w:bCs/>
          <w:color w:val="000000" w:themeColor="text1"/>
          <w:sz w:val="24"/>
          <w:szCs w:val="24"/>
          <w:highlight w:val="none"/>
          <w:lang w:val="en-US"/>
          <w14:textFill>
            <w14:solidFill>
              <w14:schemeClr w14:val="tx1"/>
            </w14:solidFill>
          </w14:textFill>
        </w:rPr>
        <w:t xml:space="preserve"> </w:t>
      </w:r>
      <w:r>
        <w:rPr>
          <w:rFonts w:hint="default" w:ascii="Times New Roman" w:hAnsi="Times New Roman" w:cs="Times New Roman"/>
          <w:bCs/>
          <w:color w:val="000000" w:themeColor="text1"/>
          <w:sz w:val="24"/>
          <w:szCs w:val="24"/>
          <w:highlight w:val="none"/>
          <w14:textFill>
            <w14:solidFill>
              <w14:schemeClr w14:val="tx1"/>
            </w14:solidFill>
          </w14:textFill>
        </w:rPr>
        <w:t>individual Life Skills and create Responsible Choice Behavior .</w:t>
      </w:r>
    </w:p>
    <w:p w14:paraId="7DAD0959">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Executive Officers of Local government units (LGUs)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in collaboration with</w:t>
      </w:r>
      <w:r>
        <w:rPr>
          <w:rFonts w:hint="default" w:ascii="Times New Roman" w:hAnsi="Times New Roman" w:cs="Times New Roman"/>
          <w:bCs/>
          <w:color w:val="000000" w:themeColor="text1"/>
          <w:sz w:val="24"/>
          <w:szCs w:val="24"/>
          <w:highlight w:val="none"/>
          <w:lang w:val="en-US"/>
          <w14:textFill>
            <w14:solidFill>
              <w14:schemeClr w14:val="tx1"/>
            </w14:solidFill>
          </w14:textFill>
        </w:rPr>
        <w:t xml:space="preserve"> </w:t>
      </w:r>
      <w:r>
        <w:rPr>
          <w:rFonts w:hint="default" w:ascii="Times New Roman" w:hAnsi="Times New Roman" w:cs="Times New Roman"/>
          <w:bCs/>
          <w:color w:val="000000" w:themeColor="text1"/>
          <w:sz w:val="24"/>
          <w:szCs w:val="24"/>
          <w:highlight w:val="none"/>
          <w14:textFill>
            <w14:solidFill>
              <w14:schemeClr w14:val="tx1"/>
            </w14:solidFill>
          </w14:textFill>
        </w:rPr>
        <w:t>community leaders. schools, health facilities, and non-governmental organizations may conduct reproductive health education and make available counseling services to at-risk youth.</w:t>
      </w:r>
    </w:p>
    <w:p w14:paraId="3EBCDDB2">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Social work practitioners and educators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create more community-based support groups for adolescents through internship activities. For adolescents, the peer influence has the highest consideration in their choices. Self-efficacy and character are greatly influenced by the peer group of the adolescents.</w:t>
      </w:r>
    </w:p>
    <w:p w14:paraId="19855984">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Families and Communities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offer additional support in childcare services and livelihood initiatives to reduce home management and financial burden. </w:t>
      </w:r>
    </w:p>
    <w:p w14:paraId="3E2B104F">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Future researchers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may focus on those cohabiting adolescent 4Ps educational assistance beneficiaries who succeeded in completing their studies with outstanding performance and how the different systems within and outside of the family contributed to the participants’ success. The findings on internal resources and doable strategies generated by the study will give the future beneficiaries the advantage of proactive plans to succeed. </w:t>
      </w:r>
    </w:p>
    <w:p w14:paraId="49706EFE">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Cohabiting Adolescent 4Ps Beneficiaries Who Are In School</w:t>
      </w:r>
    </w:p>
    <w:p w14:paraId="6CC31E4E">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Optimize the benefits of educational assistance to build a better future</w:t>
      </w:r>
      <w:r>
        <w:rPr>
          <w:rFonts w:hint="default" w:ascii="Times New Roman" w:hAnsi="Times New Roman" w:cs="Times New Roman"/>
          <w:bCs/>
          <w:color w:val="000000" w:themeColor="text1"/>
          <w:sz w:val="24"/>
          <w:szCs w:val="24"/>
          <w:highlight w:val="none"/>
          <w14:textFill>
            <w14:solidFill>
              <w14:schemeClr w14:val="tx1"/>
            </w14:solidFill>
          </w14:textFill>
        </w:rPr>
        <w:t>. Despite the household and family responsibilities, continue to focus on schoolwork and actively participate in all program requirements.</w:t>
      </w:r>
    </w:p>
    <w:p w14:paraId="2C6F71AB">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Develop Time Management Skills:</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Create daily schedules and routines to balance household duties, family responsibilities, and academic tasks. Planning can help reduce stress and improve compliance with school and program requirements. </w:t>
      </w:r>
    </w:p>
    <w:p w14:paraId="6EC9438E">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Seek Support:</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Do not hesitate to ask for help from family, teachers, peers, and community leaders to stay on track. </w:t>
      </w:r>
    </w:p>
    <w:p w14:paraId="79748E20">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Stay Motivated and Resilient:</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Make your long-term goals your inspiration to persevere.</w:t>
      </w:r>
    </w:p>
    <w:p w14:paraId="7EC00E05">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firstLine="0" w:firstLineChars="0"/>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Be a Positive Example:</w:t>
      </w:r>
      <w:r>
        <w:rPr>
          <w:rFonts w:hint="default" w:ascii="Times New Roman" w:hAnsi="Times New Roman" w:cs="Times New Roman"/>
          <w:bCs/>
          <w:color w:val="000000" w:themeColor="text1"/>
          <w:sz w:val="24"/>
          <w:szCs w:val="24"/>
          <w:highlight w:val="none"/>
          <w14:textFill>
            <w14:solidFill>
              <w14:schemeClr w14:val="tx1"/>
            </w14:solidFill>
          </w14:textFill>
        </w:rPr>
        <w:t xml:space="preserve"> Inspire others by demonstrating commitment to education and responsible behavior, showing that it is possible to succeed despite personal and family challenges.</w:t>
      </w:r>
    </w:p>
    <w:p w14:paraId="4772B4B7">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32A7808C">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053FEC96">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6D803D47">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17B35C3F">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2D90812C">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4F4D817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02FE0751">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18821FA8">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0C475FDF">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6B88F5B1">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6222FF33">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p>
    <w:p w14:paraId="2C51D63A">
      <w:pPr>
        <w:spacing w:after="0" w:line="240" w:lineRule="auto"/>
        <w:rPr>
          <w:rFonts w:ascii="Times New Roman" w:hAnsi="Times New Roman" w:eastAsia="Arial" w:cs="Times New Roman"/>
          <w:b/>
          <w:bCs/>
          <w:sz w:val="24"/>
          <w:szCs w:val="24"/>
        </w:rPr>
      </w:pPr>
    </w:p>
    <w:p w14:paraId="2ECF99A2">
      <w:pPr>
        <w:spacing w:after="0" w:line="240" w:lineRule="auto"/>
        <w:rPr>
          <w:rFonts w:ascii="Times New Roman" w:hAnsi="Times New Roman" w:eastAsia="Arial" w:cs="Times New Roman"/>
          <w:b/>
          <w:bCs/>
          <w:sz w:val="24"/>
          <w:szCs w:val="24"/>
        </w:rPr>
      </w:pPr>
    </w:p>
    <w:p w14:paraId="5AD6AB25">
      <w:pPr>
        <w:spacing w:after="0" w:line="240" w:lineRule="auto"/>
        <w:rPr>
          <w:rFonts w:ascii="Times New Roman" w:hAnsi="Times New Roman" w:eastAsia="Arial" w:cs="Times New Roman"/>
          <w:b/>
          <w:bCs/>
          <w:sz w:val="24"/>
          <w:szCs w:val="24"/>
        </w:rPr>
      </w:pPr>
    </w:p>
    <w:p w14:paraId="25BC8C9A">
      <w:pPr>
        <w:spacing w:after="0" w:line="240" w:lineRule="auto"/>
        <w:rPr>
          <w:rFonts w:ascii="Times New Roman" w:hAnsi="Times New Roman" w:eastAsia="Arial" w:cs="Times New Roman"/>
          <w:b/>
          <w:bCs/>
          <w:sz w:val="24"/>
          <w:szCs w:val="24"/>
        </w:rPr>
      </w:pPr>
    </w:p>
    <w:p w14:paraId="0B65EBC1">
      <w:pPr>
        <w:spacing w:after="0" w:line="240" w:lineRule="auto"/>
        <w:rPr>
          <w:rFonts w:ascii="Times New Roman" w:hAnsi="Times New Roman" w:eastAsia="Arial" w:cs="Times New Roman"/>
          <w:b/>
          <w:bCs/>
          <w:sz w:val="24"/>
          <w:szCs w:val="24"/>
        </w:rPr>
      </w:pPr>
    </w:p>
    <w:p w14:paraId="16FE88CE">
      <w:pPr>
        <w:spacing w:after="0" w:line="240" w:lineRule="auto"/>
        <w:rPr>
          <w:rFonts w:ascii="Times New Roman" w:hAnsi="Times New Roman" w:eastAsia="Arial" w:cs="Times New Roman"/>
          <w:b/>
          <w:bCs/>
          <w:sz w:val="24"/>
          <w:szCs w:val="24"/>
        </w:rPr>
      </w:pPr>
    </w:p>
    <w:p w14:paraId="2DD27AB4">
      <w:pPr>
        <w:spacing w:after="0" w:line="240" w:lineRule="auto"/>
        <w:rPr>
          <w:rFonts w:ascii="Times New Roman" w:hAnsi="Times New Roman" w:eastAsia="Arial" w:cs="Times New Roman"/>
          <w:b/>
          <w:bCs/>
          <w:sz w:val="24"/>
          <w:szCs w:val="24"/>
        </w:rPr>
      </w:pPr>
    </w:p>
    <w:p w14:paraId="1C126171">
      <w:pPr>
        <w:spacing w:after="0" w:line="240" w:lineRule="auto"/>
        <w:rPr>
          <w:rFonts w:ascii="Times New Roman" w:hAnsi="Times New Roman" w:eastAsia="Arial" w:cs="Times New Roman"/>
          <w:b/>
          <w:bCs/>
          <w:sz w:val="24"/>
          <w:szCs w:val="24"/>
        </w:rPr>
      </w:pPr>
    </w:p>
    <w:p w14:paraId="2B5B2111">
      <w:pPr>
        <w:spacing w:after="0" w:line="240" w:lineRule="auto"/>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lang w:val="en-US"/>
        </w:rPr>
        <w:t>References</w:t>
      </w:r>
    </w:p>
    <w:p w14:paraId="01EFA0EA">
      <w:pPr>
        <w:spacing w:after="0" w:line="240" w:lineRule="auto"/>
        <w:rPr>
          <w:rFonts w:hint="default" w:ascii="Times New Roman" w:hAnsi="Times New Roman" w:eastAsia="Arial" w:cs="Times New Roman"/>
          <w:b/>
          <w:bCs/>
          <w:sz w:val="24"/>
          <w:szCs w:val="24"/>
          <w:lang w:val="en-US"/>
        </w:rPr>
      </w:pPr>
    </w:p>
    <w:p w14:paraId="397DDC04">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pPr>
      <w:r>
        <w:t xml:space="preserve">Bandura, A. (1977). </w:t>
      </w:r>
      <w:r>
        <w:rPr>
          <w:rStyle w:val="11"/>
        </w:rPr>
        <w:t>Social learning theory</w:t>
      </w:r>
      <w:r>
        <w:t>. Prentice Hall.</w:t>
      </w:r>
    </w:p>
    <w:p w14:paraId="2F17EC5C">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pPr>
      <w:r>
        <w:t xml:space="preserve">Becker, G. S. (1976). </w:t>
      </w:r>
      <w:r>
        <w:rPr>
          <w:rStyle w:val="11"/>
        </w:rPr>
        <w:t>The economic approach to human behavior</w:t>
      </w:r>
      <w:r>
        <w:t>. University of Chicago Press.</w:t>
      </w:r>
    </w:p>
    <w:p w14:paraId="00784D4C">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pPr>
      <w:r>
        <w:t xml:space="preserve">Braun, V., &amp; Clarke, V. (2006). </w:t>
      </w:r>
      <w:r>
        <w:rPr>
          <w:i/>
          <w:iCs/>
        </w:rPr>
        <w:t>Using thematic analysis in psychology. Qualitative Research in Psychology</w:t>
      </w:r>
      <w:r>
        <w:t xml:space="preserve">, 3(2), 77–101. </w:t>
      </w:r>
      <w:r>
        <w:fldChar w:fldCharType="begin"/>
      </w:r>
      <w:r>
        <w:instrText xml:space="preserve"> HYPERLINK "https://doi.org/10.1191/1478088706qp063oa" \t "_new" </w:instrText>
      </w:r>
      <w:r>
        <w:fldChar w:fldCharType="separate"/>
      </w:r>
      <w:r>
        <w:t>https://doi.org/10.1191/1478088706qp063oa</w:t>
      </w:r>
      <w:r>
        <w:fldChar w:fldCharType="end"/>
      </w:r>
    </w:p>
    <w:p w14:paraId="7DF4B764">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pPr>
      <w:r>
        <w:t xml:space="preserve">Bronfenbrenner, U. (1979). </w:t>
      </w:r>
      <w:r>
        <w:rPr>
          <w:rStyle w:val="11"/>
        </w:rPr>
        <w:t>The ecology of human development: Experiments by nature and design</w:t>
      </w:r>
      <w:r>
        <w:t>. Harvard University Press.</w:t>
      </w:r>
    </w:p>
    <w:p w14:paraId="019B4BDD">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i/>
          <w:iCs/>
        </w:rPr>
      </w:pPr>
      <w:r>
        <w:t xml:space="preserve">Department of Social Welfare and Development. (2023). </w:t>
      </w:r>
      <w:r>
        <w:rPr>
          <w:i/>
          <w:iCs/>
        </w:rPr>
        <w:t>Pantawid Pamilyang Pilipino Program (4Ps)</w:t>
      </w:r>
      <w:r>
        <w:t>: Program updates and implementation guidelines. DSWD.</w:t>
      </w:r>
    </w:p>
    <w:p w14:paraId="53D7DC9F">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pPr>
      <w:r>
        <w:t xml:space="preserve">Innovate MR. (2025). </w:t>
      </w:r>
      <w:r>
        <w:rPr>
          <w:b w:val="0"/>
          <w:bCs w:val="0"/>
          <w:i/>
          <w:iCs/>
        </w:rPr>
        <w:t xml:space="preserve">Informed consent in research: Principles and best practices. </w:t>
      </w:r>
      <w:r>
        <w:fldChar w:fldCharType="begin"/>
      </w:r>
      <w:r>
        <w:instrText xml:space="preserve"> HYPERLINK "https://www.innovatemr.com" \t "_new" </w:instrText>
      </w:r>
      <w:r>
        <w:fldChar w:fldCharType="separate"/>
      </w:r>
      <w:r>
        <w:t>https://www.innovatemr.com</w:t>
      </w:r>
      <w:r>
        <w:fldChar w:fldCharType="end"/>
      </w:r>
    </w:p>
    <w:p w14:paraId="54EE6B9E">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Arial" w:cs="Times New Roman"/>
          <w:b w:val="0"/>
          <w:bCs w:val="0"/>
          <w:sz w:val="24"/>
          <w:szCs w:val="24"/>
          <w:lang w:val="en-US"/>
        </w:rPr>
      </w:pPr>
    </w:p>
    <w:p w14:paraId="09F59D5B">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pPr>
      <w:r>
        <w:t xml:space="preserve">Miles, M. B. (2017). </w:t>
      </w:r>
      <w:r>
        <w:rPr>
          <w:rStyle w:val="11"/>
        </w:rPr>
        <w:t>Qualitative data analysis: A methods sourcebook</w:t>
      </w:r>
      <w:r>
        <w:t xml:space="preserve"> (3rd ed.). SAGE Publication.</w:t>
      </w:r>
    </w:p>
    <w:p w14:paraId="63C9BE9D">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pPr>
      <w:r>
        <w:t xml:space="preserve">National Commission for the Protection of Human Subjects of Biomedical and Behavioral Research. (1979). </w:t>
      </w:r>
      <w:r>
        <w:rPr>
          <w:rStyle w:val="11"/>
        </w:rPr>
        <w:t>The Belmont report: Ethical principles and guidelines for the protection of human subjects of research</w:t>
      </w:r>
      <w:r>
        <w:t>. U.S. Department of Health, Education, and Welfare.</w:t>
      </w:r>
    </w:p>
    <w:p w14:paraId="2D645067">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lang w:val="en-US"/>
        </w:rPr>
      </w:pPr>
    </w:p>
    <w:p w14:paraId="41FF10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16"/>
          <w:rFonts w:hint="default" w:ascii="Times New Roman" w:hAnsi="Times New Roman" w:eastAsia="SimSun" w:cs="Times New Roman"/>
          <w:b w:val="0"/>
          <w:bCs w:val="0"/>
          <w:sz w:val="24"/>
          <w:szCs w:val="24"/>
        </w:rPr>
        <w:t>Philippine Commission on Population and Development (PopCom). (2022).</w:t>
      </w:r>
      <w:r>
        <w:rPr>
          <w:rFonts w:hint="default" w:ascii="Times New Roman" w:hAnsi="Times New Roman" w:eastAsia="SimSun" w:cs="Times New Roman"/>
          <w:b w:val="0"/>
          <w:bCs w:val="0"/>
          <w:sz w:val="24"/>
          <w:szCs w:val="24"/>
        </w:rPr>
        <w:t xml:space="preserve"> </w:t>
      </w:r>
      <w:r>
        <w:rPr>
          <w:rStyle w:val="11"/>
          <w:rFonts w:hint="default" w:ascii="Times New Roman" w:hAnsi="Times New Roman" w:eastAsia="SimSun" w:cs="Times New Roman"/>
          <w:sz w:val="24"/>
          <w:szCs w:val="24"/>
        </w:rPr>
        <w:t>Adolescent pregnancy and youth cohabitation in the Philippines: Policy brief and situation analysis</w:t>
      </w:r>
      <w:r>
        <w:rPr>
          <w:rFonts w:hint="default" w:ascii="Times New Roman" w:hAnsi="Times New Roman" w:eastAsia="SimSun" w:cs="Times New Roman"/>
          <w:sz w:val="24"/>
          <w:szCs w:val="24"/>
        </w:rPr>
        <w:t>. Commission on Population and Development.</w:t>
      </w:r>
    </w:p>
    <w:p w14:paraId="3A0AC50D">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pPr>
      <w:r>
        <w:t xml:space="preserve">Philippine Institute for Development Studies. (2022). </w:t>
      </w:r>
      <w:r>
        <w:rPr>
          <w:rStyle w:val="11"/>
        </w:rPr>
        <w:t>Pantawid Pamilyang Pilipino Program (4Ps): Impact evaluation and policy insights</w:t>
      </w:r>
      <w:r>
        <w:t>. PIDS.</w:t>
      </w:r>
    </w:p>
    <w:p w14:paraId="2D80CE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pPr>
      <w:r>
        <w:rPr>
          <w:rFonts w:hint="default" w:ascii="Times New Roman" w:hAnsi="Times New Roman" w:cs="Times New Roman"/>
          <w:sz w:val="24"/>
          <w:szCs w:val="24"/>
        </w:rPr>
        <w:t xml:space="preserve">Priya, A. (2021). Case study methodology of qualitative research: Key attributes and navigating the conundrums in its application. </w:t>
      </w:r>
      <w:r>
        <w:rPr>
          <w:rStyle w:val="11"/>
          <w:rFonts w:hint="default" w:ascii="Times New Roman" w:hAnsi="Times New Roman" w:cs="Times New Roman"/>
          <w:sz w:val="24"/>
          <w:szCs w:val="24"/>
        </w:rPr>
        <w:t>Sociological Bulletin, 70</w:t>
      </w:r>
      <w:r>
        <w:rPr>
          <w:rFonts w:hint="default" w:ascii="Times New Roman" w:hAnsi="Times New Roman" w:cs="Times New Roman"/>
          <w:sz w:val="24"/>
          <w:szCs w:val="24"/>
        </w:rPr>
        <w:t xml:space="preserve">(1), 94–110.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"https://doi.org/10.1177/0038022920970318" \t "_new"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https://doi.org/10.1177/0038022920970318</w:t>
      </w:r>
      <w:r>
        <w:rPr>
          <w:rFonts w:hint="default" w:ascii="Times New Roman" w:hAnsi="Times New Roman" w:cs="Times New Roman"/>
          <w:sz w:val="24"/>
          <w:szCs w:val="24"/>
        </w:rPr>
        <w:fldChar w:fldCharType="end"/>
      </w:r>
    </w:p>
    <w:p w14:paraId="747429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pPr>
    </w:p>
    <w:p w14:paraId="1C9611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Scribbr. (2023). </w:t>
      </w:r>
      <w:r>
        <w:rPr>
          <w:rStyle w:val="11"/>
          <w:rFonts w:hint="default" w:ascii="Times New Roman" w:hAnsi="Times New Roman" w:eastAsia="SimSun" w:cs="Times New Roman"/>
          <w:sz w:val="24"/>
          <w:szCs w:val="24"/>
        </w:rPr>
        <w:t>Purposive sampling | Definition, types, and examples</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"https://www.scribbr.com/methodology/purposive-sampling/" \t "_new" </w:instrText>
      </w:r>
      <w:r>
        <w:rPr>
          <w:rFonts w:hint="default" w:ascii="Times New Roman" w:hAnsi="Times New Roman" w:eastAsia="SimSun" w:cs="Times New Roman"/>
          <w:sz w:val="24"/>
          <w:szCs w:val="24"/>
        </w:rPr>
        <w:fldChar w:fldCharType="separate"/>
      </w:r>
      <w:r>
        <w:rPr>
          <w:rStyle w:val="14"/>
          <w:rFonts w:hint="default" w:ascii="Times New Roman" w:hAnsi="Times New Roman" w:eastAsia="SimSun" w:cs="Times New Roman"/>
          <w:sz w:val="24"/>
          <w:szCs w:val="24"/>
        </w:rPr>
        <w:t>https://www.scribbr.com/methodology/purposive-sampling/</w:t>
      </w:r>
      <w:r>
        <w:rPr>
          <w:rFonts w:hint="default" w:ascii="Times New Roman" w:hAnsi="Times New Roman" w:eastAsia="SimSun" w:cs="Times New Roman"/>
          <w:sz w:val="24"/>
          <w:szCs w:val="24"/>
        </w:rPr>
        <w:fldChar w:fldCharType="end"/>
      </w:r>
    </w:p>
    <w:p w14:paraId="1180F859">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SimSun" w:cs="Times New Roman"/>
          <w:sz w:val="24"/>
          <w:szCs w:val="24"/>
        </w:rPr>
      </w:pPr>
      <w:r>
        <w:t xml:space="preserve">Sanjari, M., Bahramnezhad, F., Fomani, F. K., Shoghi, M., &amp; Cheraghi, M. A. (2014). Ethical challenges of researchers in qualitative studies: The necessity to develop a specific guideline. </w:t>
      </w:r>
      <w:r>
        <w:rPr>
          <w:rStyle w:val="11"/>
        </w:rPr>
        <w:t>Journal of Medical Ethics and History of Medicine, 7</w:t>
      </w:r>
      <w:r>
        <w:t>, 14.</w:t>
      </w:r>
    </w:p>
    <w:p w14:paraId="7A51F6DB">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pPr>
      <w:r>
        <w:t xml:space="preserve">Stake, R. E. (1995). </w:t>
      </w:r>
      <w:r>
        <w:rPr>
          <w:rStyle w:val="11"/>
        </w:rPr>
        <w:t>The art of case study research</w:t>
      </w:r>
      <w:r>
        <w:t>. SAGE Publications.</w:t>
      </w:r>
    </w:p>
    <w:p w14:paraId="48A45564">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rPr>
      </w:pPr>
      <w:r>
        <w:rPr>
          <w:rFonts w:hint="default"/>
        </w:rPr>
        <w:t xml:space="preserve">United Nations Population Fund. (2021). </w:t>
      </w:r>
      <w:r>
        <w:rPr>
          <w:rFonts w:hint="default"/>
          <w:i/>
          <w:iCs/>
        </w:rPr>
        <w:t>State of world population 2021: My body is my own.</w:t>
      </w:r>
      <w:r>
        <w:rPr>
          <w:rFonts w:hint="default"/>
        </w:rPr>
        <w:t xml:space="preserve"> UNFPA</w:t>
      </w:r>
    </w:p>
    <w:p w14:paraId="7D472D21">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Villanueva, D., Ulep, V. G., &amp; Agcaoili, J. (2024). The Pantawid Pamilyang Pilipino Program (4Ps) and its impact on education and health outcomes in the Philippines. </w:t>
      </w:r>
      <w:r>
        <w:rPr>
          <w:rStyle w:val="11"/>
          <w:rFonts w:hint="default" w:ascii="Times New Roman" w:hAnsi="Times New Roman" w:cs="Times New Roman"/>
          <w:sz w:val="24"/>
          <w:szCs w:val="24"/>
        </w:rPr>
        <w:t>Philippine Journal of Development, 51</w:t>
      </w:r>
      <w:r>
        <w:rPr>
          <w:rFonts w:hint="default" w:ascii="Times New Roman" w:hAnsi="Times New Roman" w:cs="Times New Roman"/>
          <w:sz w:val="24"/>
          <w:szCs w:val="24"/>
        </w:rPr>
        <w:t>(1), 1–25.</w:t>
      </w:r>
    </w:p>
    <w:p w14:paraId="68226241">
      <w:pPr>
        <w:spacing w:after="0" w:line="240" w:lineRule="auto"/>
        <w:rPr>
          <w:rFonts w:ascii="SimSun" w:hAnsi="SimSun" w:eastAsia="SimSun" w:cs="SimSun"/>
          <w:sz w:val="24"/>
          <w:szCs w:val="24"/>
        </w:rPr>
      </w:pPr>
    </w:p>
    <w:sectPr>
      <w:headerReference r:id="rId5" w:type="default"/>
      <w:pgSz w:w="12240" w:h="15840"/>
      <w:pgMar w:top="1440" w:right="1440" w:bottom="1440" w:left="216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26DE">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Bookman Old Style" w:hAnsi="Bookman Old Style"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98AD"/>
    <w:multiLevelType w:val="singleLevel"/>
    <w:tmpl w:val="8E2498AD"/>
    <w:lvl w:ilvl="0" w:tentative="0">
      <w:start w:val="1"/>
      <w:numFmt w:val="decimal"/>
      <w:suff w:val="space"/>
      <w:lvlText w:val="%1."/>
      <w:lvlJc w:val="left"/>
    </w:lvl>
  </w:abstractNum>
  <w:abstractNum w:abstractNumId="1">
    <w:nsid w:val="1DBFF152"/>
    <w:multiLevelType w:val="singleLevel"/>
    <w:tmpl w:val="1DBFF152"/>
    <w:lvl w:ilvl="0" w:tentative="0">
      <w:start w:val="4"/>
      <w:numFmt w:val="decimal"/>
      <w:suff w:val="space"/>
      <w:lvlText w:val="%1."/>
      <w:lvlJc w:val="left"/>
    </w:lvl>
  </w:abstractNum>
  <w:abstractNum w:abstractNumId="2">
    <w:nsid w:val="78F77B68"/>
    <w:multiLevelType w:val="singleLevel"/>
    <w:tmpl w:val="78F77B68"/>
    <w:lvl w:ilvl="0" w:tentative="0">
      <w:start w:val="1"/>
      <w:numFmt w:val="decimal"/>
      <w:suff w:val="space"/>
      <w:lvlText w:val="%1."/>
      <w:lvlJc w:val="left"/>
      <w:pPr>
        <w:ind w:left="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D7"/>
    <w:rsid w:val="00091961"/>
    <w:rsid w:val="000C2B42"/>
    <w:rsid w:val="000F0EDC"/>
    <w:rsid w:val="00106DFF"/>
    <w:rsid w:val="001D01DF"/>
    <w:rsid w:val="001D0FD5"/>
    <w:rsid w:val="00241FC4"/>
    <w:rsid w:val="00250684"/>
    <w:rsid w:val="00254F11"/>
    <w:rsid w:val="00255D57"/>
    <w:rsid w:val="00262441"/>
    <w:rsid w:val="00273252"/>
    <w:rsid w:val="00296D4B"/>
    <w:rsid w:val="002F12DA"/>
    <w:rsid w:val="00317C7E"/>
    <w:rsid w:val="003F3A88"/>
    <w:rsid w:val="00404C29"/>
    <w:rsid w:val="00407265"/>
    <w:rsid w:val="004155CD"/>
    <w:rsid w:val="00432E19"/>
    <w:rsid w:val="00461AB7"/>
    <w:rsid w:val="00484DA4"/>
    <w:rsid w:val="0048716F"/>
    <w:rsid w:val="00492162"/>
    <w:rsid w:val="004C66B6"/>
    <w:rsid w:val="005021C0"/>
    <w:rsid w:val="00506169"/>
    <w:rsid w:val="005918D7"/>
    <w:rsid w:val="005A14B5"/>
    <w:rsid w:val="005A6897"/>
    <w:rsid w:val="005C72F4"/>
    <w:rsid w:val="006361CC"/>
    <w:rsid w:val="00645B75"/>
    <w:rsid w:val="00656DDB"/>
    <w:rsid w:val="00666762"/>
    <w:rsid w:val="006C4070"/>
    <w:rsid w:val="006D0E84"/>
    <w:rsid w:val="006D26E1"/>
    <w:rsid w:val="00732A7C"/>
    <w:rsid w:val="00766E03"/>
    <w:rsid w:val="00792FDB"/>
    <w:rsid w:val="007A4638"/>
    <w:rsid w:val="007E4EFE"/>
    <w:rsid w:val="008D4322"/>
    <w:rsid w:val="008E2168"/>
    <w:rsid w:val="0091188B"/>
    <w:rsid w:val="00916CA0"/>
    <w:rsid w:val="009268FC"/>
    <w:rsid w:val="0094291B"/>
    <w:rsid w:val="00996FEC"/>
    <w:rsid w:val="009A1065"/>
    <w:rsid w:val="009C3F41"/>
    <w:rsid w:val="009D74AE"/>
    <w:rsid w:val="009F187C"/>
    <w:rsid w:val="00A049D1"/>
    <w:rsid w:val="00A31C70"/>
    <w:rsid w:val="00A3329E"/>
    <w:rsid w:val="00A50045"/>
    <w:rsid w:val="00A62EEE"/>
    <w:rsid w:val="00AB0073"/>
    <w:rsid w:val="00AD1178"/>
    <w:rsid w:val="00B32AB1"/>
    <w:rsid w:val="00B35704"/>
    <w:rsid w:val="00B440DD"/>
    <w:rsid w:val="00B702CF"/>
    <w:rsid w:val="00B84601"/>
    <w:rsid w:val="00B96D9F"/>
    <w:rsid w:val="00BD43E7"/>
    <w:rsid w:val="00BF1D50"/>
    <w:rsid w:val="00BF27C4"/>
    <w:rsid w:val="00BF3B21"/>
    <w:rsid w:val="00C24A01"/>
    <w:rsid w:val="00C372EB"/>
    <w:rsid w:val="00C7752A"/>
    <w:rsid w:val="00CB0021"/>
    <w:rsid w:val="00CC0FD3"/>
    <w:rsid w:val="00DB60AA"/>
    <w:rsid w:val="00DC5CDA"/>
    <w:rsid w:val="00DF6580"/>
    <w:rsid w:val="00E21C4D"/>
    <w:rsid w:val="00F03C90"/>
    <w:rsid w:val="00F20B63"/>
    <w:rsid w:val="00F2552C"/>
    <w:rsid w:val="00F25827"/>
    <w:rsid w:val="00F712D7"/>
    <w:rsid w:val="00F713AE"/>
    <w:rsid w:val="00F83757"/>
    <w:rsid w:val="00FB1143"/>
    <w:rsid w:val="19F05EA6"/>
    <w:rsid w:val="20D51920"/>
    <w:rsid w:val="319857B5"/>
    <w:rsid w:val="322E1BD1"/>
    <w:rsid w:val="3EA32D29"/>
    <w:rsid w:val="417769F4"/>
    <w:rsid w:val="4A131D4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7"/>
    <w:semiHidden/>
    <w:unhideWhenUsed/>
    <w:qFormat/>
    <w:uiPriority w:val="99"/>
    <w:pPr>
      <w:spacing w:after="0" w:line="240" w:lineRule="auto"/>
    </w:pPr>
    <w:rPr>
      <w:rFonts w:ascii="Segoe UI" w:hAnsi="Segoe UI" w:cs="Segoe UI"/>
      <w:sz w:val="18"/>
      <w:szCs w:val="18"/>
    </w:rPr>
  </w:style>
  <w:style w:type="character" w:styleId="11">
    <w:name w:val="Emphasis"/>
    <w:basedOn w:val="8"/>
    <w:qFormat/>
    <w:uiPriority w:val="20"/>
    <w:rPr>
      <w:i/>
      <w:iCs/>
    </w:rPr>
  </w:style>
  <w:style w:type="paragraph" w:styleId="12">
    <w:name w:val="footer"/>
    <w:basedOn w:val="1"/>
    <w:link w:val="20"/>
    <w:unhideWhenUsed/>
    <w:qFormat/>
    <w:uiPriority w:val="99"/>
    <w:pPr>
      <w:tabs>
        <w:tab w:val="center" w:pos="4680"/>
        <w:tab w:val="right" w:pos="9360"/>
      </w:tabs>
      <w:spacing w:after="0" w:line="240" w:lineRule="auto"/>
    </w:pPr>
  </w:style>
  <w:style w:type="paragraph" w:styleId="13">
    <w:name w:val="header"/>
    <w:basedOn w:val="1"/>
    <w:link w:val="19"/>
    <w:unhideWhenUsed/>
    <w:qFormat/>
    <w:uiPriority w:val="99"/>
    <w:pPr>
      <w:tabs>
        <w:tab w:val="center" w:pos="4680"/>
        <w:tab w:val="right" w:pos="9360"/>
      </w:tabs>
      <w:spacing w:after="0" w:line="240" w:lineRule="auto"/>
    </w:pPr>
  </w:style>
  <w:style w:type="character" w:styleId="14">
    <w:name w:val="Hyperlink"/>
    <w:basedOn w:val="8"/>
    <w:unhideWhenUsed/>
    <w:qFormat/>
    <w:uiPriority w:val="0"/>
    <w:rPr>
      <w:color w:val="0000FF"/>
      <w:u w:val="single"/>
    </w:rPr>
  </w:style>
  <w:style w:type="paragraph" w:styleId="15">
    <w:name w:val="Normal (Web)"/>
    <w:basedOn w:val="1"/>
    <w:qFormat/>
    <w:uiPriority w:val="0"/>
    <w:pPr>
      <w:spacing w:beforeAutospacing="1" w:after="0" w:afterAutospacing="1"/>
    </w:pPr>
    <w:rPr>
      <w:rFonts w:ascii="Times New Roman" w:hAnsi="Times New Roman" w:eastAsia="SimSun" w:cs="Times New Roman"/>
      <w:sz w:val="24"/>
      <w:szCs w:val="24"/>
      <w:lang w:eastAsia="zh-CN"/>
    </w:rPr>
  </w:style>
  <w:style w:type="character" w:styleId="16">
    <w:name w:val="Strong"/>
    <w:basedOn w:val="8"/>
    <w:qFormat/>
    <w:uiPriority w:val="22"/>
    <w:rPr>
      <w:b/>
      <w:bCs/>
    </w:rPr>
  </w:style>
  <w:style w:type="paragraph" w:styleId="17">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8">
    <w:name w:val="Title"/>
    <w:basedOn w:val="1"/>
    <w:next w:val="1"/>
    <w:qFormat/>
    <w:uiPriority w:val="10"/>
    <w:pPr>
      <w:keepNext/>
      <w:keepLines/>
      <w:spacing w:before="480" w:after="120"/>
    </w:pPr>
    <w:rPr>
      <w:b/>
      <w:sz w:val="72"/>
      <w:szCs w:val="72"/>
    </w:rPr>
  </w:style>
  <w:style w:type="character" w:customStyle="1" w:styleId="19">
    <w:name w:val="Header Char"/>
    <w:basedOn w:val="8"/>
    <w:link w:val="13"/>
    <w:qFormat/>
    <w:uiPriority w:val="99"/>
  </w:style>
  <w:style w:type="character" w:customStyle="1" w:styleId="20">
    <w:name w:val="Footer Char"/>
    <w:basedOn w:val="8"/>
    <w:link w:val="12"/>
    <w:qFormat/>
    <w:uiPriority w:val="99"/>
  </w:style>
  <w:style w:type="table" w:customStyle="1" w:styleId="21">
    <w:name w:val="_Style 99"/>
    <w:basedOn w:val="9"/>
    <w:qFormat/>
    <w:uiPriority w:val="0"/>
    <w:tblPr>
      <w:tblCellMar>
        <w:top w:w="0" w:type="dxa"/>
        <w:left w:w="108" w:type="dxa"/>
        <w:bottom w:w="0" w:type="dxa"/>
        <w:right w:w="108" w:type="dxa"/>
      </w:tblCellMar>
    </w:tblPr>
  </w:style>
  <w:style w:type="paragraph" w:styleId="22">
    <w:name w:val="List Paragraph"/>
    <w:basedOn w:val="1"/>
    <w:qFormat/>
    <w:uiPriority w:val="99"/>
    <w:pPr>
      <w:ind w:left="720"/>
      <w:contextualSpacing/>
    </w:pPr>
  </w:style>
  <w:style w:type="table" w:customStyle="1" w:styleId="23">
    <w:name w:val="_Style 100"/>
    <w:basedOn w:val="9"/>
    <w:qFormat/>
    <w:uiPriority w:val="0"/>
    <w:tblPr>
      <w:tblCellMar>
        <w:top w:w="0" w:type="dxa"/>
        <w:left w:w="108" w:type="dxa"/>
        <w:bottom w:w="0" w:type="dxa"/>
        <w:right w:w="108" w:type="dxa"/>
      </w:tblCellMar>
    </w:tblPr>
  </w:style>
  <w:style w:type="paragraph" w:styleId="24">
    <w:name w:val="No Spacing"/>
    <w:qFormat/>
    <w:uiPriority w:val="1"/>
    <w:pPr>
      <w:spacing w:after="200" w:line="276" w:lineRule="auto"/>
    </w:pPr>
    <w:rPr>
      <w:rFonts w:asciiTheme="minorHAnsi" w:hAnsiTheme="minorHAnsi" w:eastAsiaTheme="minorHAnsi" w:cstheme="minorBidi"/>
      <w:sz w:val="22"/>
      <w:szCs w:val="22"/>
      <w:lang w:val="en-US" w:eastAsia="en-US" w:bidi="ar-SA"/>
    </w:rPr>
  </w:style>
  <w:style w:type="character" w:customStyle="1" w:styleId="25">
    <w:name w:val="authors"/>
    <w:basedOn w:val="8"/>
    <w:qFormat/>
    <w:uiPriority w:val="0"/>
  </w:style>
  <w:style w:type="character" w:customStyle="1" w:styleId="26">
    <w:name w:val="Unresolved Mention"/>
    <w:basedOn w:val="8"/>
    <w:semiHidden/>
    <w:unhideWhenUsed/>
    <w:qFormat/>
    <w:uiPriority w:val="99"/>
    <w:rPr>
      <w:color w:val="605E5C"/>
      <w:shd w:val="clear" w:color="auto" w:fill="E1DFDD"/>
    </w:rPr>
  </w:style>
  <w:style w:type="character" w:customStyle="1" w:styleId="27">
    <w:name w:val="Balloon Text Char"/>
    <w:basedOn w:val="8"/>
    <w:link w:val="10"/>
    <w:semiHidden/>
    <w:qFormat/>
    <w:uiPriority w:val="99"/>
    <w:rPr>
      <w:rFonts w:ascii="Segoe UI" w:hAnsi="Segoe UI" w:cs="Segoe UI" w:eastAsiaTheme="minorHAnsi"/>
      <w:sz w:val="18"/>
      <w:szCs w:val="18"/>
      <w:lang w:eastAsia="en-US"/>
    </w:rPr>
  </w:style>
  <w:style w:type="character" w:customStyle="1" w:styleId="28">
    <w:name w:val="diff-highlight"/>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XXEQ0fZasKEckdUhUQHtk92g==">CgMxLjAyEGtpeC5jOGJvazJvYnBhcnoyEGtpeC5pa2pwcDhlenM5OWkyEGtpeC5lMjBkbzk5dnBmNjEyEGtpeC5oNW83bWJkbjU4dHEyEGtpeC4yenQ0b2k5bG16bzE4AHIhMURXcGc0S2otVmhyOWgtWk1jZUp3UVdEaEpCVGNKOUlN</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10</Pages>
  <Words>4591</Words>
  <Characters>26175</Characters>
  <Lines>218</Lines>
  <Paragraphs>61</Paragraphs>
  <TotalTime>31</TotalTime>
  <ScaleCrop>false</ScaleCrop>
  <LinksUpToDate>false</LinksUpToDate>
  <CharactersWithSpaces>30705</CharactersWithSpaces>
  <Application>WPS Office_12.2.0.23201_F1E327BC-269C-435d-A152-05C5408002CA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2023-12-01T00:07:00Z</dcterms:created>
  <dc:creator>IBED</dc:creator>
  <cp:lastModifiedBy>DeiJi Molina Honculada Rsw</cp:lastModifiedBy>
  <cp:lastPrinted>2024-01-28T13:23:00Z</cp:lastPrinted>
  <dcterms:modified xsi:type="dcterms:W3CDTF">2026-04-16T02:34:26Z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858CEC3AB2F548E8B3E5DF07B4181BD7_13</vt:lpwstr>
  </property>
</Properties>
</file>