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Times New Roman" w:cs="Times New Roman" w:eastAsia="Times New Roman" w:hAnsi="Times New Roman"/>
          <w:b/>
          <w:bCs/>
          <w:sz w:val="32"/>
          <w:szCs w:val="32"/>
        </w:rPr>
        <w:t xml:space="preserve">SmartNest: A Neuro-Symbolic Framework for Personalised Portfolio Optimisation</w:t>
      </w:r>
    </w:p>
    <w:p>
      <w:pPr>
        <w:spacing w:after="40" w:before="60"/>
        <w:jc w:val="center"/>
      </w:pPr>
      <w:r>
        <w:rPr>
          <w:rFonts w:ascii="Times New Roman" w:cs="Times New Roman" w:eastAsia="Times New Roman" w:hAnsi="Times New Roman"/>
          <w:sz w:val="22"/>
          <w:szCs w:val="22"/>
        </w:rPr>
        <w:t xml:space="preserve">Bharath K, Bhargav V Mukhami, Daiwik B Reddy, Dipin M Gowda, Abhrirudh BN</w:t>
      </w:r>
    </w:p>
    <w:p>
      <w:pPr>
        <w:spacing w:after="40" w:before="0"/>
        <w:jc w:val="center"/>
      </w:pPr>
      <w:r>
        <w:rPr>
          <w:rFonts w:ascii="Times New Roman" w:cs="Times New Roman" w:eastAsia="Times New Roman" w:hAnsi="Times New Roman"/>
          <w:i/>
          <w:iCs/>
          <w:sz w:val="20"/>
          <w:szCs w:val="20"/>
        </w:rPr>
        <w:t xml:space="preserve">Dept. of Computer Science &amp; Engineering, PES University, Bengaluru, India</w:t>
      </w:r>
    </w:p>
    <w:p>
      <w:pPr>
        <w:spacing w:after="40" w:before="60"/>
        <w:jc w:val="center"/>
      </w:pPr>
      <w:r>
        <w:rPr>
          <w:rFonts w:ascii="Times New Roman" w:cs="Times New Roman" w:eastAsia="Times New Roman" w:hAnsi="Times New Roman"/>
          <w:sz w:val="22"/>
          <w:szCs w:val="22"/>
        </w:rPr>
        <w:t xml:space="preserve">Guide: Prof. Suresh Jamadagni</w:t>
      </w:r>
    </w:p>
    <w:p>
      <w:pPr>
        <w:spacing w:after="120" w:before="0"/>
        <w:jc w:val="center"/>
      </w:pPr>
      <w:r>
        <w:rPr>
          <w:rFonts w:ascii="Times New Roman" w:cs="Times New Roman" w:eastAsia="Times New Roman" w:hAnsi="Times New Roman"/>
          <w:i/>
          <w:iCs/>
          <w:sz w:val="20"/>
          <w:szCs w:val="20"/>
        </w:rPr>
        <w:t xml:space="preserve">Dept. of Computer Science &amp; Engineering, PES University, Bengaluru, India</w:t>
      </w:r>
    </w:p>
    <w:p>
      <w:pPr>
        <w:spacing w:after="40" w:before="100"/>
      </w:pPr>
      <w:r>
        <w:rPr>
          <w:rFonts w:ascii="Times New Roman" w:cs="Times New Roman" w:eastAsia="Times New Roman" w:hAnsi="Times New Roman"/>
          <w:b/>
          <w:bCs/>
          <w:sz w:val="22"/>
          <w:szCs w:val="22"/>
        </w:rPr>
        <w:t xml:space="preserve">Abstract—</w:t>
      </w:r>
      <w:r>
        <w:rPr>
          <w:rFonts w:ascii="Times New Roman" w:cs="Times New Roman" w:eastAsia="Times New Roman" w:hAnsi="Times New Roman"/>
          <w:sz w:val="22"/>
          <w:szCs w:val="22"/>
        </w:rPr>
        <w:t xml:space="preserve">SmartNest, a neuro-symbolic model, is a unification of deterministic quantitative evaluation and Large Language Model (LLM) logic in personalised optimisation of equity portfolios, aimed at the Indian retail investor. The architecture introduces a high level of architectural separation of concerns, with a deterministic perception layer processing data ingestion, and symbolic grounding on six dimensions of analysis—fundamental analysis, technical analysis, sector macroeconomic conditioning, news intelligence, social media sentiment, and sector hierarchy construction—a Gemini-powered cognitive reasoning engine making structured qualitative inferences on the resulting symbolic representations. The macroeconomic state is described using 10 indicators, scraped from authoritative sources and conditioned on a 12-sector taxonomy based on 260+ equities listed on the NSE. A three-layered progressive news summarisation processor maintains a consistent temporal narrative state that records long-horizon event dependencies. A dynamic weighted-feature risk profiling module will further risk-profile capital allocation based on an investor's financial strength and psychological tolerance. The optimisation of Modern Portfolio Theory is based on maximising the Sharpe Ratio using Sequential Least Squares Programming (SLSQP) to determine the final portfolio weights and is tested on 50,000 Monte Carlo simulations of the efficient frontier. Backtesting of the Nifty 50 universe over 3 years (January 2022–January 2025) shows a Sharpe ratio of 0.920, a Compound Annual Growth rate of 24.5%, and a maximum drawdown of −14.2%, which is superior to a classical, unfiltered Markowitz optimiser and a risk-parity baseline. A statistical test of the contributions by the Temporal Recursive Summarisation (TRS) mechanism and sector macroeconomic conditioning module is statistically significant.</w:t>
      </w:r>
    </w:p>
    <w:p>
      <w:pPr>
        <w:spacing w:after="120" w:before="60"/>
      </w:pPr>
      <w:r>
        <w:rPr>
          <w:rFonts w:ascii="Times New Roman" w:cs="Times New Roman" w:eastAsia="Times New Roman" w:hAnsi="Times New Roman"/>
          <w:b/>
          <w:bCs/>
          <w:sz w:val="22"/>
          <w:szCs w:val="22"/>
        </w:rPr>
        <w:t xml:space="preserve">Index Terms—</w:t>
      </w:r>
      <w:r>
        <w:rPr>
          <w:rFonts w:ascii="Times New Roman" w:cs="Times New Roman" w:eastAsia="Times New Roman" w:hAnsi="Times New Roman"/>
          <w:sz w:val="22"/>
          <w:szCs w:val="22"/>
        </w:rPr>
        <w:t xml:space="preserve">Neuro-symbolic AI, portfolio optimisation, Modern Portfolio Theory, Sharpe ratio, large language models, sentiment analysis, temporal recursive summarisation, risk profiling, Indian equity markets, SLSQP</w:t>
      </w:r>
    </w:p>
    <w:p>
      <w:pPr>
        <w:pStyle w:val="Heading1"/>
        <w:spacing w:after="100" w:before="200"/>
      </w:pPr>
      <w:r>
        <w:rPr>
          <w:rFonts w:ascii="Times New Roman" w:cs="Times New Roman" w:eastAsia="Times New Roman" w:hAnsi="Times New Roman"/>
          <w:b/>
          <w:bCs/>
          <w:sz w:val="22"/>
          <w:szCs w:val="22"/>
        </w:rPr>
        <w:t xml:space="preserve">I. INTRODUCTION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rapid digitalisation of financial services and low-cost investment options have greatly increased retail investors in India. Commission-free brokerages, fractional share ownership, and simplified onboarding have lowered barriers to equity market entry, leading to millions of first-time investors, mainly young professionals. Yet, this market access has revealed a structural issue: many new investors lack the financial literacy to make sound long-term decisions.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A survey by the National Institute of Securities Markets (NISM) found only 24% of respondents understood finance and financial instruments [5]. The rest are more vulnerable to misinformation and emotional decisions. This lack of financial literacy is worsened by cognitive biases. Market rallies and corrections are amplified by herd behaviour, where individuals follow others rather than conducting independent analysis [6]. Short-term price movements spark emotional responses, such as panic selling and overoptimism, hurting long-term outcomes [7]. Traditional household investments, like gold and fixed deposits, though culturally important in India, consistently yield lower inflation-adjusted returns than diversified equity portfolios [5].</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Current Indian market AI advisory services use two main approaches: quantitative strategies based on Modern Portfolio Theory (MPT) [1] and its variants, or sentiment analysis pipelines that process financial news without integrating results into a coherent decision framework. MPT-based models offer mathematical precision and transparency but do not account for qualitative factors like regulatory shifts, corporate governance, or macroeconomic regime changes. In contrast, LLM-driven financial reasoning systems [10, 9] offer richer context but may produce hallucinations, inconsistencies across long contexts, and lack optimality guarantees [11]. These systems also separate quantitative estimation from qualitative semantic inference. The design strategy is clear: all data perception and symbolic grounding should use deterministic algorithms for reproducibility and reduced hallucination risk. Large Language Models should only reason over pre-verified symbolic data to enhance reliability. This approach aligns with neuro-symbolic AI studies [15], which show that combining symbolic and sub-symbolic computation yields more robust systems than using either alone.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This work makes several contributions. First, it develops a six-dimensional deterministic perception layer for Indian equity analysis, including automated sector hierarchy construction and sector-conditioned macroeconomic reasoning. Second, it introduces a Temporal Recursive Summarisation (TRS) mechanism to maintain a continuous news narrative, preserving long-term event links typically lost in single-window summaries. Third, it proposes and evaluates a time-varying, weighted investor risk-profiling model on 10,000 synthetic investor profiles reflecting real demographics. Finally, backtesting and ablation studies show the neuro-symbolic pipeline achieves better risk-adjusted returns than classical optimisation baselines.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paper is structured as follows: Section II reviews related work, Section III describes SmartNest's methodology and architecture, Section IV presents experimental results, ablation analysis, and risk model validation, and Section V outlines future research directions.</w:t>
      </w:r>
    </w:p>
    <w:p>
      <w:pPr>
        <w:pStyle w:val="Heading1"/>
        <w:spacing w:after="100" w:before="200"/>
      </w:pPr>
      <w:r>
        <w:rPr>
          <w:rFonts w:ascii="Times New Roman" w:cs="Times New Roman" w:eastAsia="Times New Roman" w:hAnsi="Times New Roman"/>
          <w:b/>
          <w:bCs/>
          <w:sz w:val="22"/>
          <w:szCs w:val="22"/>
        </w:rPr>
        <w:t xml:space="preserve">II. RELATED WORK</w:t>
      </w:r>
    </w:p>
    <w:p>
      <w:pPr>
        <w:pStyle w:val="Heading2"/>
        <w:spacing w:after="80" w:before="160"/>
      </w:pPr>
      <w:r>
        <w:rPr>
          <w:rFonts w:ascii="Times New Roman" w:cs="Times New Roman" w:eastAsia="Times New Roman" w:hAnsi="Times New Roman"/>
          <w:b/>
          <w:bCs/>
          <w:sz w:val="22"/>
          <w:szCs w:val="22"/>
        </w:rPr>
        <w:t xml:space="preserve">A. Modern Portfolio Theory and Its Extensions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Markowitz [1] established the quantitative foundation for portfolio management with the mean-variance optimisation model, formalising diversification to achieve specific expected returns with reduced variance. Sharpe [2] introduced the Capital Asset Pricing Model (CAPM) and the Sharpe Ratio, a standard risk-adjusted performance measure. Later models, such as Black-Litterman [3] and risk parity [4], refined MPT by incorporating investor opinions and balancing asset risk contributions. However, all MPT-based models rely on past returns to estimate future performance. This means they cannot directly incorporate forward-looking, qualitative data such as regulatory changes or macroeconomic risks.</w:t>
      </w:r>
    </w:p>
    <w:p>
      <w:pPr>
        <w:pStyle w:val="Heading2"/>
        <w:spacing w:after="80" w:before="160"/>
      </w:pPr>
      <w:r>
        <w:rPr>
          <w:rFonts w:ascii="Times New Roman" w:cs="Times New Roman" w:eastAsia="Times New Roman" w:hAnsi="Times New Roman"/>
          <w:b/>
          <w:bCs/>
          <w:sz w:val="22"/>
          <w:szCs w:val="22"/>
        </w:rPr>
        <w:t xml:space="preserve">B. Sentiment Analysis and News in Finance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Early research on financial sentiment analysis revealed that textual cues in news could predict short-term price movements [20, 21]. Transformer language models [8] have improved the field, enabling detailed semantic understanding of financial language. Models trained on financial texts outperform generic models in sentiment tasks [9]. More recent studies merge various sources—exchange filings, social media, and macroeconomic commentary—into a unified market signal [19, 14]. A major limitation remains: sentiment analysis methods often ignore financial context and cannot always show if changes in sentiment have real financial impacts on specific assets.</w:t>
      </w:r>
    </w:p>
    <w:p>
      <w:pPr>
        <w:pStyle w:val="Heading2"/>
        <w:spacing w:after="80" w:before="160"/>
      </w:pPr>
      <w:r>
        <w:rPr>
          <w:rFonts w:ascii="Times New Roman" w:cs="Times New Roman" w:eastAsia="Times New Roman" w:hAnsi="Times New Roman"/>
          <w:b/>
          <w:bCs/>
          <w:sz w:val="22"/>
          <w:szCs w:val="22"/>
        </w:rPr>
        <w:t xml:space="preserve">C. Large Language Models for Financial Reasoning</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development of the massive generative models has created new opportunities in financial analysis. The model with 50 billion parameters, trained on a filtered financial corpus of 363 billion tokens, outperforms general-purpose models of comparable size on financial metrics [10]. It was found that the predictions of the stock returns the next day of the news headings produced by the LLM have statistically significant predictive value, the first evidence of the ability of LLMs to encode actionable financial information [12]. Nevertheless, even with these improvements, any of the mentioned either explicitly uses LLMs on raw financial data (which risks being perceived as hallucinated quantitative statements) or fails to directly incorporate LLM signals into a principled portfolio optimisation model with respect to risk management [11, 13].</w:t>
      </w:r>
    </w:p>
    <w:p>
      <w:pPr>
        <w:pStyle w:val="Heading2"/>
        <w:spacing w:after="80" w:before="160"/>
      </w:pPr>
      <w:r>
        <w:rPr>
          <w:rFonts w:ascii="Times New Roman" w:cs="Times New Roman" w:eastAsia="Times New Roman" w:hAnsi="Times New Roman"/>
          <w:b/>
          <w:bCs/>
          <w:sz w:val="22"/>
          <w:szCs w:val="22"/>
        </w:rPr>
        <w:t xml:space="preserve">D. Neuro-Symbolic AI</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neuro-symbolic paradigm [15, 16] points out that strong intelligent systems must have the complementary advantages of symbolic reasoning, expressibility, interpretability, formal guarantees, neural learning, pattern recognition, and the ability to handle ambiguity and unstructured data. In the financial context, this can be directly translated to mean that quantitative analysis and qualitative reasoning must be separated in architecture rather than mixed. This principle was applied to MarketSense AI [17], which subdivided the financial analysis into separate reasoning modules and achieved lower rates of LLM hallucinations when the models were run on structured analytical buckets rather than raw data. SmartNest builds on this architecture with new dimensions of analysis, a persistent temporal memory mechanism and is combined with a full portfolio optimisation pipeline.</w:t>
      </w:r>
    </w:p>
    <w:p>
      <w:pPr>
        <w:pStyle w:val="Heading2"/>
        <w:spacing w:after="80" w:before="160"/>
      </w:pPr>
      <w:r>
        <w:rPr>
          <w:rFonts w:ascii="Times New Roman" w:cs="Times New Roman" w:eastAsia="Times New Roman" w:hAnsi="Times New Roman"/>
          <w:b/>
          <w:bCs/>
          <w:sz w:val="22"/>
          <w:szCs w:val="22"/>
        </w:rPr>
        <w:t xml:space="preserve">E. Investor Risk Profiling</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Early psychometric risk assessment instrument methodology [18] has provided a distinction between risk capacity (objective financial readiness, ability to absorb losses) and risk tolerance (subjective psychology toward embracing risk). This was later validated by empirical investigation in behavioural finance [7], which found that the two dimensions are systematically dissociated and must be measured separately. Current robo-advisor systems typically use a fixed set of questionnaire-based risk scores that do not account for the dynamic relationship between financial constraints and psychological biases. The SmartNest weighted feature model addresses this shortcoming by co-optimising the two dimensions using a calibrated scoring function.</w:t>
      </w:r>
    </w:p>
    <w:p>
      <w:pPr>
        <w:pStyle w:val="Heading1"/>
        <w:spacing w:after="100" w:before="200"/>
      </w:pPr>
      <w:r>
        <w:rPr>
          <w:rFonts w:ascii="Times New Roman" w:cs="Times New Roman" w:eastAsia="Times New Roman" w:hAnsi="Times New Roman"/>
          <w:b/>
          <w:bCs/>
          <w:sz w:val="22"/>
          <w:szCs w:val="22"/>
        </w:rPr>
        <w:t xml:space="preserve">III. METHODOLOGY</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SmartNest pipeline comprises four consecutive stages: (A) Deterministic Perception and Symbolic Grounding, (B) Cognitive Reasoning Engine, (C) Investor Risk Validation, and (D) Mathematical Portfolio Optimisation. The data travel over the pipeline in the form of raw multi-modal inputs, such as financial statements, price series, macroeconomic reports, news corpora, and social media streams, into structured symbolic representations, on the basis of qualitative reasoning, on the basis of individual risk filtering, and into a mathematically optimised capital allocation vector.</w:t>
      </w:r>
    </w:p>
    <w:p>
      <w:pPr>
        <w:pStyle w:val="Heading2"/>
        <w:spacing w:after="80" w:before="160"/>
      </w:pPr>
      <w:r>
        <w:rPr>
          <w:rFonts w:ascii="Times New Roman" w:cs="Times New Roman" w:eastAsia="Times New Roman" w:hAnsi="Times New Roman"/>
          <w:b/>
          <w:bCs/>
          <w:sz w:val="22"/>
          <w:szCs w:val="22"/>
        </w:rPr>
        <w:t xml:space="preserve">A. Deterministic Perception and Symbolic Grounding</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It is the perception layer that converts heterogeneous raw data sources into verified symbolic representations that fully describe the financial condition, technical placement, macroeconomic environment, and information environment of each asset. The architecture allows all quantitative computation to be run on a verified, reproducible set of features, rather than on unclear number sequences, by restricting it to this layer.</w:t>
      </w:r>
    </w:p>
    <w:p>
      <w:pPr>
        <w:pStyle w:val="Heading3"/>
        <w:spacing w:after="60" w:before="120"/>
      </w:pPr>
      <w:r>
        <w:rPr>
          <w:rFonts w:ascii="Times New Roman" w:cs="Times New Roman" w:eastAsia="Times New Roman" w:hAnsi="Times New Roman"/>
          <w:sz w:val="22"/>
          <w:szCs w:val="22"/>
        </w:rPr>
        <w:t xml:space="preserve">1) Automated Sector Hierarchy Construction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To facilitate sector-level reasoning through diversification aggregation and modelling, a single equity dataset is created for all stocks listed on the National Stock Exchange (NSE). A stock is mapped to a hierarchical industry classification through an automated extraction module that programmatically extracts breadcrumb-based data on the classification of stock used by Screener, one of the widely used equity analytics sites in India. The taxonomy has a total of 260+ NSE listed stocks in 51+ sector classifications.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resulting classification string is broken down into four possible levels of hierarchy:</w:t>
      </w:r>
    </w:p>
    <w:p>
      <w:pPr>
        <w:pStyle w:val="ListParagraph"/>
        <w:numPr>
          <w:ilvl w:val="0"/>
          <w:numId w:val="2"/>
        </w:numPr>
        <w:spacing w:after="40" w:before="40"/>
      </w:pPr>
      <w:r>
        <w:rPr>
          <w:rFonts w:ascii="Times New Roman" w:cs="Times New Roman" w:eastAsia="Times New Roman" w:hAnsi="Times New Roman"/>
          <w:sz w:val="22"/>
          <w:szCs w:val="22"/>
        </w:rPr>
        <w:t xml:space="preserve">Level 1: Broad Sector (e.g., Commodities, Financial Services, Information Technology, Industrials)</w:t>
      </w:r>
    </w:p>
    <w:p>
      <w:pPr>
        <w:pStyle w:val="ListParagraph"/>
        <w:numPr>
          <w:ilvl w:val="0"/>
          <w:numId w:val="2"/>
        </w:numPr>
        <w:spacing w:after="40" w:before="40"/>
      </w:pPr>
      <w:r>
        <w:rPr>
          <w:rFonts w:ascii="Times New Roman" w:cs="Times New Roman" w:eastAsia="Times New Roman" w:hAnsi="Times New Roman"/>
          <w:sz w:val="22"/>
          <w:szCs w:val="22"/>
        </w:rPr>
        <w:t xml:space="preserve">Level 2: Industry Group (e.g., Metals &amp; Mining, Private Sector Banks, IT Consulting)</w:t>
      </w:r>
    </w:p>
    <w:p>
      <w:pPr>
        <w:pStyle w:val="ListParagraph"/>
        <w:numPr>
          <w:ilvl w:val="0"/>
          <w:numId w:val="2"/>
        </w:numPr>
        <w:spacing w:after="40" w:before="40"/>
      </w:pPr>
      <w:r>
        <w:rPr>
          <w:rFonts w:ascii="Times New Roman" w:cs="Times New Roman" w:eastAsia="Times New Roman" w:hAnsi="Times New Roman"/>
          <w:sz w:val="22"/>
          <w:szCs w:val="22"/>
        </w:rPr>
        <w:t xml:space="preserve">Level 3: Sub-Industry (e.g., Speciality Chemicals, Retail Banking, Software Products)</w:t>
      </w:r>
    </w:p>
    <w:p>
      <w:pPr>
        <w:pStyle w:val="ListParagraph"/>
        <w:numPr>
          <w:ilvl w:val="0"/>
          <w:numId w:val="2"/>
        </w:numPr>
        <w:spacing w:after="40" w:before="40"/>
      </w:pPr>
      <w:r>
        <w:rPr>
          <w:rFonts w:ascii="Times New Roman" w:cs="Times New Roman" w:eastAsia="Times New Roman" w:hAnsi="Times New Roman"/>
          <w:sz w:val="22"/>
          <w:szCs w:val="22"/>
        </w:rPr>
        <w:t xml:space="preserve">Level 4: Additional Subclassification, where available (e.g., Sponge Iron, Fertilisers)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In the absence of intermediate levels, null placeholders are provided to maintain schema consistency. The resulting taxonomy can serve as a common reference framework for the Fundamental Analysis, Sector Macroeconomic Conditioning, and News Intelligence modules to enable uniformity across the entire pipeline at the broadest level.</w:t>
      </w:r>
    </w:p>
    <w:p>
      <w:pPr>
        <w:pStyle w:val="Heading3"/>
        <w:spacing w:after="60" w:before="120"/>
      </w:pPr>
      <w:r>
        <w:rPr>
          <w:rFonts w:ascii="Times New Roman" w:cs="Times New Roman" w:eastAsia="Times New Roman" w:hAnsi="Times New Roman"/>
          <w:sz w:val="22"/>
          <w:szCs w:val="22"/>
        </w:rPr>
        <w:t xml:space="preserve">2) Fundamental Analysis Module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Fundamental Analysis Module produces a structure-based financial representation of every equity based upon confirmed accounting revelations and deterministic statistical transformations. The structured financial features of each stock i can be defined as:</w:t>
      </w:r>
    </w:p>
    <w:p>
      <w:pPr>
        <w:spacing w:after="100" w:before="100"/>
        <w:jc w:val="center"/>
      </w:pPr>
      <w:r>
        <w:rPr>
          <w:rFonts w:ascii="Times New Roman" w:cs="Times New Roman" w:eastAsia="Times New Roman" w:hAnsi="Times New Roman"/>
          <w:sz w:val="22"/>
          <w:szCs w:val="22"/>
        </w:rPr>
        <w:t xml:space="preserve">F_i = {x₁, x₂, …, xₙ}</w:t>
      </w:r>
      <w:r>
        <w:rPr>
          <w:rFonts w:ascii="Times New Roman" w:cs="Times New Roman" w:eastAsia="Times New Roman" w:hAnsi="Times New Roman"/>
          <w:sz w:val="22"/>
          <w:szCs w:val="22"/>
        </w:rPr>
        <w:t xml:space="preserve">   (1)</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where each xₖ is a financial measure based on audited financial statements and structured filings. These features are quarterly and annual net profit time series, Trailing Twelve Month (TTM) Compounded Revenue and profit growth, Capital Work in Progress (CWIP), cash flow of operating activities, working capital efficiency ratio (e.g. debtor days), and shareholding distribution among Promoters, Foreign Institutional Investors (FIIs), Domestic Institutional Investors (DIIs), and public float.</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Information is compiled from two complementary sources: HTML-parsed disclosures on Screener.in for India-specific measures (P/E, ROCE, ROE, dividend yield, compounded growth rates), and the yfinance API for conventional income statement, balance sheet, and cash flow statement fields. A caching layer based on MongoDB stores computed summaries keyed by ticker symbol, such that future queries retrieve pre-computed narratives in O(1) time and a regeneration event is only induced by a quarterly net-profit comparison indicating a change in underlying data.</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Deterministically calculated derived ratios:</w:t>
      </w:r>
    </w:p>
    <w:p>
      <w:pPr>
        <w:spacing w:after="100" w:before="100"/>
        <w:jc w:val="center"/>
      </w:pPr>
      <w:r>
        <w:rPr>
          <w:rFonts w:ascii="Times New Roman" w:cs="Times New Roman" w:eastAsia="Times New Roman" w:hAnsi="Times New Roman"/>
          <w:sz w:val="22"/>
          <w:szCs w:val="22"/>
        </w:rPr>
        <w:t xml:space="preserve">ROCE = EBIT / Capital Employed</w:t>
      </w:r>
      <w:r>
        <w:rPr>
          <w:rFonts w:ascii="Times New Roman" w:cs="Times New Roman" w:eastAsia="Times New Roman" w:hAnsi="Times New Roman"/>
          <w:sz w:val="22"/>
          <w:szCs w:val="22"/>
        </w:rPr>
        <w:t xml:space="preserve">   (2)</w:t>
      </w:r>
    </w:p>
    <w:p>
      <w:pPr>
        <w:spacing w:after="100" w:before="100"/>
        <w:jc w:val="center"/>
      </w:pPr>
      <w:r>
        <w:rPr>
          <w:rFonts w:ascii="Times New Roman" w:cs="Times New Roman" w:eastAsia="Times New Roman" w:hAnsi="Times New Roman"/>
          <w:sz w:val="22"/>
          <w:szCs w:val="22"/>
        </w:rPr>
        <w:t xml:space="preserve">D/E = Total Debt / Shareholders' Equity</w:t>
      </w:r>
      <w:r>
        <w:rPr>
          <w:rFonts w:ascii="Times New Roman" w:cs="Times New Roman" w:eastAsia="Times New Roman" w:hAnsi="Times New Roman"/>
          <w:sz w:val="22"/>
          <w:szCs w:val="22"/>
        </w:rPr>
        <w:t xml:space="preserve">   (3)</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In the case of cross-sectional grounding, a peer set is accessed for each stock i, based on sector classification, comprising the highest-ranking peers within the same Level-1 and Level-2 industry groups by market capitalisation. Within the peer feature set, deterministically calculated sector-level comparative statistics include the median and dispersion of valuation multiples, profitability differentials relative to peer averages, and a growth and leverage comparison with industry benchmarks.</w:t>
      </w:r>
    </w:p>
    <w:p>
      <w:pPr>
        <w:pStyle w:val="Heading3"/>
        <w:spacing w:after="60" w:before="120"/>
      </w:pPr>
      <w:r>
        <w:rPr>
          <w:rFonts w:ascii="Times New Roman" w:cs="Times New Roman" w:eastAsia="Times New Roman" w:hAnsi="Times New Roman"/>
          <w:sz w:val="22"/>
          <w:szCs w:val="22"/>
        </w:rPr>
        <w:t xml:space="preserve">3) Technical Analysis Module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Technical Analysis Module is a short- and medium-term deterministic signal extractor from historical price data, treating technical analysis as a symbolic state reconstruction problem rather than a sequence prediction problem. The computation of indicators is performed using the pandas_ta library, which provides numerically stable, vectorised implementations of the most common technical indicators. At time t, the daily OHLCV data of one year of stock i is obtained using yfinance:</w:t>
      </w:r>
    </w:p>
    <w:p>
      <w:pPr>
        <w:spacing w:after="100" w:before="100"/>
        <w:jc w:val="center"/>
      </w:pPr>
      <w:r>
        <w:rPr>
          <w:rFonts w:ascii="Times New Roman" w:cs="Times New Roman" w:eastAsia="Times New Roman" w:hAnsi="Times New Roman"/>
          <w:sz w:val="22"/>
          <w:szCs w:val="22"/>
        </w:rPr>
        <w:t xml:space="preserve">P_i^t = {(Oτ, Hτ, Lτ, Cτ, Vτ)} for τ = 1 to T</w:t>
      </w:r>
      <w:r>
        <w:rPr>
          <w:rFonts w:ascii="Times New Roman" w:cs="Times New Roman" w:eastAsia="Times New Roman" w:hAnsi="Times New Roman"/>
          <w:sz w:val="22"/>
          <w:szCs w:val="22"/>
        </w:rPr>
        <w:t xml:space="preserve">   (4)</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Based on this time series, a structured technical state vector is calculated, with each component an operationally determined categorical or Boolean signal:</w:t>
      </w:r>
    </w:p>
    <w:p>
      <w:pPr>
        <w:spacing w:after="100" w:before="100"/>
        <w:jc w:val="center"/>
      </w:pPr>
      <w:r>
        <w:rPr>
          <w:rFonts w:ascii="Times New Roman" w:cs="Times New Roman" w:eastAsia="Times New Roman" w:hAnsi="Times New Roman"/>
          <w:sz w:val="22"/>
          <w:szCs w:val="22"/>
        </w:rPr>
        <w:t xml:space="preserve">T_i^t = {z₁, z₂, …, zₘ}</w:t>
      </w:r>
      <w:r>
        <w:rPr>
          <w:rFonts w:ascii="Times New Roman" w:cs="Times New Roman" w:eastAsia="Times New Roman" w:hAnsi="Times New Roman"/>
          <w:sz w:val="22"/>
          <w:szCs w:val="22"/>
        </w:rPr>
        <w:t xml:space="preserve">   (5)</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Directional signals in the form of Exponential Moving Averages are measured at five timescales (EMA₁₀, EMA₂₀, EMA₅₀, EMA₁₀₀, EMA₂₀₀), and the relative positioning of directional signals is assessed as Bullish, Bearish or Neutral:</w:t>
      </w:r>
    </w:p>
    <w:p>
      <w:pPr>
        <w:spacing w:after="100" w:before="100"/>
        <w:jc w:val="center"/>
      </w:pPr>
      <w:r>
        <w:rPr>
          <w:rFonts w:ascii="Times New Roman" w:cs="Times New Roman" w:eastAsia="Times New Roman" w:hAnsi="Times New Roman"/>
          <w:sz w:val="22"/>
          <w:szCs w:val="22"/>
        </w:rPr>
        <w:t xml:space="preserve">z_trend = Bullish if EMA₁₀ &gt; EMA₂₀ &gt; EMA₅₀; Bearish if EMA₁₀ &lt; EMA₂₀ &lt; EMA₅₀; Neutral otherwise</w:t>
      </w:r>
      <w:r>
        <w:rPr>
          <w:rFonts w:ascii="Times New Roman" w:cs="Times New Roman" w:eastAsia="Times New Roman" w:hAnsi="Times New Roman"/>
          <w:sz w:val="22"/>
          <w:szCs w:val="22"/>
        </w:rPr>
        <w:t xml:space="preserve">   (6)</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Momentum is measured using the Moving Average Convergence Divergence (MACD, with the parameters of 12-26-9) and the Relative Strength Index (RSI₁₄):</w:t>
      </w:r>
    </w:p>
    <w:p>
      <w:pPr>
        <w:spacing w:after="100" w:before="100"/>
        <w:jc w:val="center"/>
      </w:pPr>
      <w:r>
        <w:rPr>
          <w:rFonts w:ascii="Times New Roman" w:cs="Times New Roman" w:eastAsia="Times New Roman" w:hAnsi="Times New Roman"/>
          <w:sz w:val="22"/>
          <w:szCs w:val="22"/>
        </w:rPr>
        <w:t xml:space="preserve">MACD = EMA₁₂ − EMA₂₆</w:t>
      </w:r>
      <w:r>
        <w:rPr>
          <w:rFonts w:ascii="Times New Roman" w:cs="Times New Roman" w:eastAsia="Times New Roman" w:hAnsi="Times New Roman"/>
          <w:sz w:val="22"/>
          <w:szCs w:val="22"/>
        </w:rPr>
        <w:t xml:space="preserve">   (7)</w:t>
      </w:r>
    </w:p>
    <w:p>
      <w:pPr>
        <w:spacing w:after="100" w:before="100"/>
        <w:jc w:val="center"/>
      </w:pPr>
      <w:r>
        <w:rPr>
          <w:rFonts w:ascii="Times New Roman" w:cs="Times New Roman" w:eastAsia="Times New Roman" w:hAnsi="Times New Roman"/>
          <w:sz w:val="22"/>
          <w:szCs w:val="22"/>
        </w:rPr>
        <w:t xml:space="preserve">RSI = 100 − 100/(1 + RS),   RS = Avg. Gain₁₄ / Avg. Loss₁₄</w:t>
      </w:r>
      <w:r>
        <w:rPr>
          <w:rFonts w:ascii="Times New Roman" w:cs="Times New Roman" w:eastAsia="Times New Roman" w:hAnsi="Times New Roman"/>
          <w:sz w:val="22"/>
          <w:szCs w:val="22"/>
        </w:rPr>
        <w:t xml:space="preserve">   (8)</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Volatility is defined in terms of Bollinger Bands (20-period SMA, ±2σ), a statistically based price channel:</w:t>
      </w:r>
    </w:p>
    <w:p>
      <w:pPr>
        <w:spacing w:after="100" w:before="100"/>
        <w:jc w:val="center"/>
      </w:pPr>
      <w:r>
        <w:rPr>
          <w:rFonts w:ascii="Times New Roman" w:cs="Times New Roman" w:eastAsia="Times New Roman" w:hAnsi="Times New Roman"/>
          <w:sz w:val="22"/>
          <w:szCs w:val="22"/>
        </w:rPr>
        <w:t xml:space="preserve">BB_upper/lower = SMA₂₀ ± 2·σ₂₀</w:t>
      </w:r>
      <w:r>
        <w:rPr>
          <w:rFonts w:ascii="Times New Roman" w:cs="Times New Roman" w:eastAsia="Times New Roman" w:hAnsi="Times New Roman"/>
          <w:sz w:val="22"/>
          <w:szCs w:val="22"/>
        </w:rPr>
        <w:t xml:space="preserve">   (9)</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Volume Weighted Average Price (VWAP) puts in place a volume-based fair value yardstick, whereas the Supertrend indicator (period 10, multiplier 3.0) puts in place volatility-responsive directional bias. The logic gates used to detect candlestick patterns are explicit, rule-based, and use pure Python. A Doji is defined as:</w:t>
      </w:r>
    </w:p>
    <w:p>
      <w:pPr>
        <w:spacing w:after="100" w:before="100"/>
        <w:jc w:val="center"/>
      </w:pPr>
      <w:r>
        <w:rPr>
          <w:rFonts w:ascii="Times New Roman" w:cs="Times New Roman" w:eastAsia="Times New Roman" w:hAnsi="Times New Roman"/>
          <w:sz w:val="22"/>
          <w:szCs w:val="22"/>
        </w:rPr>
        <w:t xml:space="preserve">|C_t − O_t| ≤ (H_t − L_t) × 0.1  ⟹  Doji</w:t>
      </w:r>
      <w:r>
        <w:rPr>
          <w:rFonts w:ascii="Times New Roman" w:cs="Times New Roman" w:eastAsia="Times New Roman" w:hAnsi="Times New Roman"/>
          <w:sz w:val="22"/>
          <w:szCs w:val="22"/>
        </w:rPr>
        <w:t xml:space="preserve">   (10)</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Similar deterministic rules are used to detect Hammer, Bullish Engulfing and Bearish Engulfing patterns.</w:t>
      </w:r>
    </w:p>
    <w:p>
      <w:pPr>
        <w:pStyle w:val="Heading3"/>
        <w:spacing w:after="60" w:before="120"/>
      </w:pPr>
      <w:r>
        <w:rPr>
          <w:rFonts w:ascii="Times New Roman" w:cs="Times New Roman" w:eastAsia="Times New Roman" w:hAnsi="Times New Roman"/>
          <w:sz w:val="22"/>
          <w:szCs w:val="22"/>
        </w:rPr>
        <w:t xml:space="preserve">4) Sector Macroeconomic Conditioning Module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Sector Macroeconomic Conditioning Module injects order into the chain of reasoning by providing industry-level economic background. Programmatically scraping ten indicators at the national level from credible sources, the macroeconomic state M is built:</w:t>
      </w:r>
    </w:p>
    <w:p>
      <w:pPr>
        <w:pStyle w:val="ListParagraph"/>
        <w:numPr>
          <w:ilvl w:val="0"/>
          <w:numId w:val="2"/>
        </w:numPr>
        <w:spacing w:after="40" w:before="40"/>
      </w:pPr>
      <w:r>
        <w:rPr>
          <w:rFonts w:ascii="Times New Roman" w:cs="Times New Roman" w:eastAsia="Times New Roman" w:hAnsi="Times New Roman"/>
          <w:sz w:val="22"/>
          <w:szCs w:val="22"/>
        </w:rPr>
        <w:t xml:space="preserve">GDP growth (YoY) and Unemployment rate from TradingEconomics</w:t>
      </w:r>
    </w:p>
    <w:p>
      <w:pPr>
        <w:pStyle w:val="ListParagraph"/>
        <w:numPr>
          <w:ilvl w:val="0"/>
          <w:numId w:val="2"/>
        </w:numPr>
        <w:spacing w:after="40" w:before="40"/>
      </w:pPr>
      <w:r>
        <w:rPr>
          <w:rFonts w:ascii="Times New Roman" w:cs="Times New Roman" w:eastAsia="Times New Roman" w:hAnsi="Times New Roman"/>
          <w:sz w:val="22"/>
          <w:szCs w:val="22"/>
        </w:rPr>
        <w:t xml:space="preserve">Inflation rate (CPI) and Interest rate (RBI Repo) from TradingEconomics</w:t>
      </w:r>
    </w:p>
    <w:p>
      <w:pPr>
        <w:pStyle w:val="ListParagraph"/>
        <w:numPr>
          <w:ilvl w:val="0"/>
          <w:numId w:val="2"/>
        </w:numPr>
        <w:spacing w:after="40" w:before="40"/>
      </w:pPr>
      <w:r>
        <w:rPr>
          <w:rFonts w:ascii="Times New Roman" w:cs="Times New Roman" w:eastAsia="Times New Roman" w:hAnsi="Times New Roman"/>
          <w:sz w:val="22"/>
          <w:szCs w:val="22"/>
        </w:rPr>
        <w:t xml:space="preserve">Consumer Confidence Index and PMI Manufacturing from TradingEconomics</w:t>
      </w:r>
    </w:p>
    <w:p>
      <w:pPr>
        <w:pStyle w:val="ListParagraph"/>
        <w:numPr>
          <w:ilvl w:val="0"/>
          <w:numId w:val="2"/>
        </w:numPr>
        <w:spacing w:after="40" w:before="40"/>
      </w:pPr>
      <w:r>
        <w:rPr>
          <w:rFonts w:ascii="Times New Roman" w:cs="Times New Roman" w:eastAsia="Times New Roman" w:hAnsi="Times New Roman"/>
          <w:sz w:val="22"/>
          <w:szCs w:val="22"/>
        </w:rPr>
        <w:t xml:space="preserve">Current Account Balance and Fiscal Deficit (% of GDP) from TradingEconomics</w:t>
      </w:r>
    </w:p>
    <w:p>
      <w:pPr>
        <w:pStyle w:val="ListParagraph"/>
        <w:numPr>
          <w:ilvl w:val="0"/>
          <w:numId w:val="2"/>
        </w:numPr>
        <w:spacing w:after="40" w:before="40"/>
      </w:pPr>
      <w:r>
        <w:rPr>
          <w:rFonts w:ascii="Times New Roman" w:cs="Times New Roman" w:eastAsia="Times New Roman" w:hAnsi="Times New Roman"/>
          <w:sz w:val="22"/>
          <w:szCs w:val="22"/>
        </w:rPr>
        <w:t xml:space="preserve">USD/INR Exchange Rate from Wise.com</w:t>
      </w:r>
    </w:p>
    <w:p>
      <w:pPr>
        <w:pStyle w:val="ListParagraph"/>
        <w:numPr>
          <w:ilvl w:val="0"/>
          <w:numId w:val="2"/>
        </w:numPr>
        <w:spacing w:after="40" w:before="40"/>
      </w:pPr>
      <w:r>
        <w:rPr>
          <w:rFonts w:ascii="Times New Roman" w:cs="Times New Roman" w:eastAsia="Times New Roman" w:hAnsi="Times New Roman"/>
          <w:sz w:val="22"/>
          <w:szCs w:val="22"/>
        </w:rPr>
        <w:t xml:space="preserve">Brent Crude Oil Price from Yahoo Finance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All these indicators are pooled into a systematic macroeconomic feature M. One sector-conditioned macroeconomic interpretation of each asset i in a given sector is produced by a constrained Gemini transformation applied separately across 12 broad sector categories:</w:t>
      </w:r>
    </w:p>
    <w:p>
      <w:pPr>
        <w:spacing w:after="100" w:before="100"/>
        <w:jc w:val="center"/>
      </w:pPr>
      <w:r>
        <w:rPr>
          <w:rFonts w:ascii="Times New Roman" w:cs="Times New Roman" w:eastAsia="Times New Roman" w:hAnsi="Times New Roman"/>
          <w:sz w:val="22"/>
          <w:szCs w:val="22"/>
        </w:rPr>
        <w:t xml:space="preserve">M_i = f(M, C_i)</w:t>
      </w:r>
      <w:r>
        <w:rPr>
          <w:rFonts w:ascii="Times New Roman" w:cs="Times New Roman" w:eastAsia="Times New Roman" w:hAnsi="Times New Roman"/>
          <w:sz w:val="22"/>
          <w:szCs w:val="22"/>
        </w:rPr>
        <w:t xml:space="preserve">   (11)</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resultant industry-specific story decodes the importance of interest rate sensitivity, demand cycle, commodity exposure, vulnerability to regulation, and reliance on liquidity, on a case-by-case basis. Computed values are stored in MongoDB, indexed by sector label, allowing O(1) retrieval of successive assets in the same sector and eliminating redundant LLM inference.</w:t>
      </w:r>
    </w:p>
    <w:p>
      <w:pPr>
        <w:pStyle w:val="Heading3"/>
        <w:spacing w:after="60" w:before="120"/>
      </w:pPr>
      <w:r>
        <w:rPr>
          <w:rFonts w:ascii="Times New Roman" w:cs="Times New Roman" w:eastAsia="Times New Roman" w:hAnsi="Times New Roman"/>
          <w:sz w:val="22"/>
          <w:szCs w:val="22"/>
        </w:rPr>
        <w:t xml:space="preserve">5) News Intelligence Module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News Intelligence Module combines dynamic and event-based information via a three-layer progressive summarisation pipeline that converts heterogeneous textual sources to concise structured narrative representations.</w:t>
      </w:r>
    </w:p>
    <w:p>
      <w:pPr>
        <w:spacing w:after="60" w:before="60" w:line="276"/>
        <w:jc w:val="both"/>
      </w:pPr>
      <w:r>
        <w:rPr>
          <w:rFonts w:ascii="Times New Roman" w:cs="Times New Roman" w:eastAsia="Times New Roman" w:hAnsi="Times New Roman"/>
          <w:b/>
          <w:bCs/>
          <w:i w:val="false"/>
          <w:iCs w:val="false"/>
          <w:sz w:val="22"/>
          <w:szCs w:val="22"/>
        </w:rPr>
        <w:t xml:space="preserve">Article Aggregation and Content Extraction. </w:t>
      </w:r>
      <w:r>
        <w:rPr>
          <w:rFonts w:ascii="Times New Roman" w:cs="Times New Roman" w:eastAsia="Times New Roman" w:hAnsi="Times New Roman"/>
          <w:b w:val="false"/>
          <w:bCs w:val="false"/>
          <w:i w:val="false"/>
          <w:iCs w:val="false"/>
          <w:sz w:val="22"/>
          <w:szCs w:val="22"/>
        </w:rPr>
        <w:t xml:space="preserve">Each asset has a pair of Google News scrapers that aggregate stock-specific articles, one running a query on NSE exchange-specific news and the other on general company news. The text of raw articles is extracted using a three-level fallback pipeline with trafilatura, readability-lxml, and newspaper3k, with NLTK sentence tokenisation.</w:t>
      </w:r>
    </w:p>
    <w:p>
      <w:pPr>
        <w:spacing w:after="60" w:before="60" w:line="276"/>
        <w:jc w:val="both"/>
      </w:pPr>
      <w:r>
        <w:rPr>
          <w:rFonts w:ascii="Times New Roman" w:cs="Times New Roman" w:eastAsia="Times New Roman" w:hAnsi="Times New Roman"/>
          <w:b/>
          <w:bCs/>
          <w:i w:val="false"/>
          <w:iCs w:val="false"/>
          <w:sz w:val="22"/>
          <w:szCs w:val="22"/>
        </w:rPr>
        <w:t xml:space="preserve">Three-layer Progressive Summarisation. </w:t>
      </w:r>
      <w:r>
        <w:rPr>
          <w:rFonts w:ascii="Times New Roman" w:cs="Times New Roman" w:eastAsia="Times New Roman" w:hAnsi="Times New Roman"/>
          <w:b w:val="false"/>
          <w:bCs w:val="false"/>
          <w:i w:val="false"/>
          <w:iCs w:val="false"/>
          <w:sz w:val="22"/>
          <w:szCs w:val="22"/>
        </w:rPr>
        <w:t xml:space="preserve">Layer 1 produces a structured, daily NSE-based summary of stock-specific events, market response, and trading information. The 2nd layer produces a supportive company summary daily of strategic announcements and corporate developments. Layer 3 then builds on the previous persistent summary of both Layer 1 and Layer 2 results to create a new state with five dimensions: current trends, stock-specific news, company advancements, market mood, and investment impact considerations.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Let A_i = {A₁, A₂, …, A_T} denote the temporally ordered sequence of news articles for asset i. The news representation is defined as:</w:t>
      </w:r>
    </w:p>
    <w:p>
      <w:pPr>
        <w:spacing w:after="100" w:before="100"/>
        <w:jc w:val="center"/>
      </w:pPr>
      <w:r>
        <w:rPr>
          <w:rFonts w:ascii="Times New Roman" w:cs="Times New Roman" w:eastAsia="Times New Roman" w:hAnsi="Times New Roman"/>
          <w:sz w:val="22"/>
          <w:szCs w:val="22"/>
        </w:rPr>
        <w:t xml:space="preserve">N_i = Σ wₜ · g(Aₜ)  for t = 1 to T</w:t>
      </w:r>
      <w:r>
        <w:rPr>
          <w:rFonts w:ascii="Times New Roman" w:cs="Times New Roman" w:eastAsia="Times New Roman" w:hAnsi="Times New Roman"/>
          <w:sz w:val="22"/>
          <w:szCs w:val="22"/>
        </w:rPr>
        <w:t xml:space="preserve">   (12)</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Exponential decay weighting is used to prioritise recent developments while preserving significant historical events, with λ &gt; 0 controlling recency sensitivity:</w:t>
      </w:r>
    </w:p>
    <w:p>
      <w:pPr>
        <w:spacing w:after="100" w:before="100"/>
        <w:jc w:val="center"/>
      </w:pPr>
      <w:r>
        <w:rPr>
          <w:rFonts w:ascii="Times New Roman" w:cs="Times New Roman" w:eastAsia="Times New Roman" w:hAnsi="Times New Roman"/>
          <w:sz w:val="22"/>
          <w:szCs w:val="22"/>
        </w:rPr>
        <w:t xml:space="preserve">wₜ = e^(−λ(T−t)) / Σ e^(−λ(T−k))  for k = 1 to T</w:t>
      </w:r>
      <w:r>
        <w:rPr>
          <w:rFonts w:ascii="Times New Roman" w:cs="Times New Roman" w:eastAsia="Times New Roman" w:hAnsi="Times New Roman"/>
          <w:sz w:val="22"/>
          <w:szCs w:val="22"/>
        </w:rPr>
        <w:t xml:space="preserve">   (13)</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An upsert pattern is used to store synthesised summaries in MongoDB.</w:t>
      </w:r>
    </w:p>
    <w:p>
      <w:pPr>
        <w:pStyle w:val="Heading3"/>
        <w:spacing w:after="60" w:before="120"/>
      </w:pPr>
      <w:r>
        <w:rPr>
          <w:rFonts w:ascii="Times New Roman" w:cs="Times New Roman" w:eastAsia="Times New Roman" w:hAnsi="Times New Roman"/>
          <w:sz w:val="22"/>
          <w:szCs w:val="22"/>
        </w:rPr>
        <w:t xml:space="preserve">6) Social Media Sentiment Analysis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Social media platforms are part of an ever-growing segment of sentiment among retail investors in the Indian market. The social media sentiment module is a compilation of community-driven signals from corresponding financial forums and platforms, using transformer-based sentiment classification to obtain a directional sentiment score per asset.</w:t>
      </w:r>
    </w:p>
    <w:p>
      <w:pPr>
        <w:pStyle w:val="Heading2"/>
        <w:spacing w:after="80" w:before="160"/>
      </w:pPr>
      <w:r>
        <w:rPr>
          <w:rFonts w:ascii="Times New Roman" w:cs="Times New Roman" w:eastAsia="Times New Roman" w:hAnsi="Times New Roman"/>
          <w:b/>
          <w:bCs/>
          <w:sz w:val="22"/>
          <w:szCs w:val="22"/>
        </w:rPr>
        <w:t xml:space="preserve">B. Cognitive Reasoning Engine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integrative intelligence layer of the architecture comprises the Cognitive Reasoning Engine. It combines the organised outputs of all perception modules into a harmonised, qualitatively based investment rating for each asset, producing a discrete Buy, Hold, or Sell recommendation with a risk characterisation.</w:t>
      </w:r>
    </w:p>
    <w:p>
      <w:pPr>
        <w:pStyle w:val="Heading3"/>
        <w:spacing w:after="60" w:before="120"/>
      </w:pPr>
      <w:r>
        <w:rPr>
          <w:rFonts w:ascii="Times New Roman" w:cs="Times New Roman" w:eastAsia="Times New Roman" w:hAnsi="Times New Roman"/>
          <w:sz w:val="22"/>
          <w:szCs w:val="22"/>
        </w:rPr>
        <w:t xml:space="preserve">1) Temporal Recursive Summarisation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discarding of long-horizon narrative dependencies on which financial analysis is based in standard single-window summarisation. Standard single-window summarisation ignores long-horizon narrative dependencies that are important to financial analysis: regulatory proceedings, restructuring cycles, and policy normalisation processes can take months or years. To solve this, SmartNest proposes Temporal Recursive Summarisation (TRS), a system that updates the temporal state of a narrative.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Let S_t denote the narrative summary state at time t, initialized to a null state S₀ = ∅. The recursive update rule is:</w:t>
      </w:r>
    </w:p>
    <w:p>
      <w:pPr>
        <w:spacing w:after="100" w:before="100"/>
        <w:jc w:val="center"/>
      </w:pPr>
      <w:r>
        <w:rPr>
          <w:rFonts w:ascii="Times New Roman" w:cs="Times New Roman" w:eastAsia="Times New Roman" w:hAnsi="Times New Roman"/>
          <w:sz w:val="22"/>
          <w:szCs w:val="22"/>
        </w:rPr>
        <w:t xml:space="preserve">S_t = Φ_LLM(S_{t−1} ⊕ N_t)</w:t>
      </w:r>
      <w:r>
        <w:rPr>
          <w:rFonts w:ascii="Times New Roman" w:cs="Times New Roman" w:eastAsia="Times New Roman" w:hAnsi="Times New Roman"/>
          <w:sz w:val="22"/>
          <w:szCs w:val="22"/>
        </w:rPr>
        <w:t xml:space="preserve">   (14)</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recursive update rule would compress the joint prior state together with the new information into an updated summary of limited length. It is a formulation that maintains the long-term financial narrative unchanged without necessarily reprocessing the entire historical context every time an update is made, and it balances the temporal coverage and computational cost.</w:t>
      </w:r>
    </w:p>
    <w:p>
      <w:pPr>
        <w:pStyle w:val="Heading3"/>
        <w:spacing w:after="60" w:before="120"/>
      </w:pPr>
      <w:r>
        <w:rPr>
          <w:rFonts w:ascii="Times New Roman" w:cs="Times New Roman" w:eastAsia="Times New Roman" w:hAnsi="Times New Roman"/>
          <w:sz w:val="22"/>
          <w:szCs w:val="22"/>
        </w:rPr>
        <w:t xml:space="preserve">2) Hierarchical Macro-to-Asset Constraint Propagation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In order to impose macro-economic consistency among individual asset judgments, the engine uses a cascade of three levels of logical reasoning:</w:t>
      </w:r>
    </w:p>
    <w:p>
      <w:pPr>
        <w:pStyle w:val="ListParagraph"/>
        <w:numPr>
          <w:ilvl w:val="0"/>
          <w:numId w:val="2"/>
        </w:numPr>
        <w:spacing w:after="40" w:before="40"/>
      </w:pPr>
      <w:r>
        <w:rPr>
          <w:rFonts w:ascii="Times New Roman" w:cs="Times New Roman" w:eastAsia="Times New Roman" w:hAnsi="Times New Roman"/>
          <w:sz w:val="22"/>
          <w:szCs w:val="22"/>
        </w:rPr>
        <w:t xml:space="preserve">Level 1 (Global Macro): The structured macroeconomic representation M elaborates on the current states of the economies across the nation and provides the highest level of restriction on all downstream inferences.</w:t>
      </w:r>
    </w:p>
    <w:p>
      <w:pPr>
        <w:pStyle w:val="ListParagraph"/>
        <w:numPr>
          <w:ilvl w:val="0"/>
          <w:numId w:val="2"/>
        </w:numPr>
        <w:spacing w:after="40" w:before="40"/>
      </w:pPr>
      <w:r>
        <w:rPr>
          <w:rFonts w:ascii="Times New Roman" w:cs="Times New Roman" w:eastAsia="Times New Roman" w:hAnsi="Times New Roman"/>
          <w:sz w:val="22"/>
          <w:szCs w:val="22"/>
        </w:rPr>
        <w:t xml:space="preserve">Level 2 (Sector Conditioning): Sector-specific contextualises macro signals by industry classification, converting them into sector-relevant dynamics.</w:t>
      </w:r>
    </w:p>
    <w:p>
      <w:pPr>
        <w:pStyle w:val="ListParagraph"/>
        <w:numPr>
          <w:ilvl w:val="0"/>
          <w:numId w:val="2"/>
        </w:numPr>
        <w:spacing w:after="40" w:before="40"/>
      </w:pPr>
      <w:r>
        <w:rPr>
          <w:rFonts w:ascii="Times New Roman" w:cs="Times New Roman" w:eastAsia="Times New Roman" w:hAnsi="Times New Roman"/>
          <w:sz w:val="22"/>
          <w:szCs w:val="22"/>
        </w:rPr>
        <w:t xml:space="preserve">Level 3 (Asset Evaluation): Asset-level features, including intrinsic financial measures, peer-relative measures, technical measures, and the temporal narrative state, are considered under sector conditioning.</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Such a cascade avoids the engine generating asset-level assessments that conflict with existing macroeconomic or sector dynamics.</w:t>
      </w:r>
    </w:p>
    <w:p>
      <w:pPr>
        <w:pStyle w:val="Heading3"/>
        <w:spacing w:after="60" w:before="120"/>
      </w:pPr>
      <w:r>
        <w:rPr>
          <w:rFonts w:ascii="Times New Roman" w:cs="Times New Roman" w:eastAsia="Times New Roman" w:hAnsi="Times New Roman"/>
          <w:sz w:val="22"/>
          <w:szCs w:val="22"/>
        </w:rPr>
        <w:t xml:space="preserve">3) Integrated Evaluation Function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last asset-level analysis includes a directional indicator (Buy/Hold/Sell), a risk profile (Low/Medium/High), and a human-readable explanation. The synthesis instantiates the model with a SEBI-registered equity analyst persona, with five summaries of the analytics in an ordered sequence: News Summary, Sectoral Summary, Macroeconomic Summary, Fundamental Summary, and Technical Summary:</w:t>
      </w:r>
    </w:p>
    <w:p>
      <w:pPr>
        <w:spacing w:after="100" w:before="100"/>
        <w:jc w:val="center"/>
      </w:pPr>
      <w:r>
        <w:rPr>
          <w:rFonts w:ascii="Times New Roman" w:cs="Times New Roman" w:eastAsia="Times New Roman" w:hAnsi="Times New Roman"/>
          <w:sz w:val="22"/>
          <w:szCs w:val="22"/>
        </w:rPr>
        <w:t xml:space="preserve">D_i = Ψ(F_i, T_i^t, S_t, M_i)</w:t>
      </w:r>
      <w:r>
        <w:rPr>
          <w:rFonts w:ascii="Times New Roman" w:cs="Times New Roman" w:eastAsia="Times New Roman" w:hAnsi="Times New Roman"/>
          <w:sz w:val="22"/>
          <w:szCs w:val="22"/>
        </w:rPr>
        <w:t xml:space="preserve">   (15)</w:t>
      </w:r>
    </w:p>
    <w:p>
      <w:pPr>
        <w:pStyle w:val="Heading2"/>
        <w:spacing w:after="80" w:before="160"/>
      </w:pPr>
      <w:r>
        <w:rPr>
          <w:rFonts w:ascii="Times New Roman" w:cs="Times New Roman" w:eastAsia="Times New Roman" w:hAnsi="Times New Roman"/>
          <w:b/>
          <w:bCs/>
          <w:sz w:val="22"/>
          <w:szCs w:val="22"/>
        </w:rPr>
        <w:t xml:space="preserve">C. Investor Risk Validation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personalisation of a portfolio would require an independent assessment of each investor's financial ability to bear losses and psychological ability to withstand volatility. SmartNest uses a dynamic weighted-feature model, which optimises both dimensions.</w:t>
      </w:r>
    </w:p>
    <w:p>
      <w:pPr>
        <w:pStyle w:val="Heading3"/>
        <w:spacing w:after="60" w:before="120"/>
      </w:pPr>
      <w:r>
        <w:rPr>
          <w:rFonts w:ascii="Times New Roman" w:cs="Times New Roman" w:eastAsia="Times New Roman" w:hAnsi="Times New Roman"/>
          <w:sz w:val="22"/>
          <w:szCs w:val="22"/>
        </w:rPr>
        <w:t xml:space="preserve">1) Risk Profiling Questionnaire</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There are two independent dimensions measured by an eight-question instrument. Financial Capacity (Questions 1–4) discusses the investing horizon, financial objective, investment and income stability, and stage of life. Psychological Tolerance (Questions 5–8) addresses responses to market changes, comfort with volatility, investment preferences, and willingness to allocate equity. Representative question weights are given in Table I.</w:t>
      </w:r>
    </w:p>
    <w:p>
      <w:pPr>
        <w:spacing w:after="60" w:before="100"/>
        <w:jc w:val="center"/>
      </w:pPr>
      <w:r>
        <w:rPr>
          <w:rFonts w:ascii="Times New Roman" w:cs="Times New Roman" w:eastAsia="Times New Roman" w:hAnsi="Times New Roman"/>
          <w:b/>
          <w:bCs/>
          <w:sz w:val="22"/>
          <w:szCs w:val="22"/>
        </w:rPr>
        <w:t xml:space="preserve">TABLE I.  Risk Questionnaire Response Weights per Option (A/B/C)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26"/>
        <w:gridCol w:w="1667"/>
        <w:gridCol w:w="1667"/>
        <w:gridCol w:w="1666"/>
      </w:tblGrid>
      <w:tr>
        <w:trPr>
          <w:tblHeader/>
        </w:trPr>
        <w:tc>
          <w:tcPr>
            <w:tcW w:type="dxa" w:w="4026"/>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Question</w:t>
            </w:r>
          </w:p>
        </w:tc>
        <w:tc>
          <w:tcPr>
            <w:tcW w:type="dxa" w:w="1667"/>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Opt. A</w:t>
            </w:r>
          </w:p>
        </w:tc>
        <w:tc>
          <w:tcPr>
            <w:tcW w:type="dxa" w:w="1667"/>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Opt. B</w:t>
            </w:r>
          </w:p>
        </w:tc>
        <w:tc>
          <w:tcPr>
            <w:tcW w:type="dxa" w:w="1666"/>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Opt. C</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Q1 – Time horizon</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0.02</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0.05</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0.10</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Q2 – Financial goals</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0.03</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0.07</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0.12</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Q3 – Income stability</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−0.08</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0.05</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0.15</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Q4 – Life stage</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−0.05</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0.04</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0.10</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Q5 – Market reactions</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−0.03</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0.06</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0.12</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Q6 – Volatility comfort</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0.02</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0.05</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0.10</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Q7 – Asset preference</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0.01</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0.04</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0.08</w:t>
            </w:r>
          </w:p>
        </w:tc>
      </w:tr>
      <w:tr>
        <w:tc>
          <w:tcPr>
            <w:tcW w:type="dxa" w:w="4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Q8 – Equity willingness</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0.02</w:t>
            </w:r>
          </w:p>
        </w:tc>
        <w:tc>
          <w:tcPr>
            <w:tcW w:type="dxa" w:w="1667"/>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0.06</w:t>
            </w:r>
          </w:p>
        </w:tc>
        <w:tc>
          <w:tcPr>
            <w:tcW w:type="dxa" w:w="1666"/>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0.10</w:t>
            </w:r>
          </w:p>
        </w:tc>
      </w:tr>
    </w:tbl>
    <w:p>
      <w:pPr>
        <w:pStyle w:val="Heading3"/>
        <w:spacing w:after="60" w:before="120"/>
      </w:pPr>
      <w:r>
        <w:rPr>
          <w:rFonts w:ascii="Times New Roman" w:cs="Times New Roman" w:eastAsia="Times New Roman" w:hAnsi="Times New Roman"/>
          <w:sz w:val="22"/>
          <w:szCs w:val="22"/>
        </w:rPr>
        <w:t xml:space="preserve">2) Composite Risk Score and Classification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A composite risk score is calculated as a weighted aggregate of responses from each investor:</w:t>
      </w:r>
    </w:p>
    <w:p>
      <w:pPr>
        <w:spacing w:after="100" w:before="100"/>
        <w:jc w:val="center"/>
      </w:pPr>
      <w:r>
        <w:rPr>
          <w:rFonts w:ascii="Times New Roman" w:cs="Times New Roman" w:eastAsia="Times New Roman" w:hAnsi="Times New Roman"/>
          <w:sz w:val="22"/>
          <w:szCs w:val="22"/>
        </w:rPr>
        <w:t xml:space="preserve">R = Σ αq · w_{q,rq}  for q = 1 to 8</w:t>
      </w:r>
      <w:r>
        <w:rPr>
          <w:rFonts w:ascii="Times New Roman" w:cs="Times New Roman" w:eastAsia="Times New Roman" w:hAnsi="Times New Roman"/>
          <w:sz w:val="22"/>
          <w:szCs w:val="22"/>
        </w:rPr>
        <w:t xml:space="preserve">   (16)</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What is obtained is a scalar mapped to one of three risk profiles: Low Risk (R ≤ 0.21), Medium Risk (0.21 &lt; R ≤ 0.54), and High Risk (R &gt; 0.54).</w:t>
      </w:r>
    </w:p>
    <w:p>
      <w:pPr>
        <w:pStyle w:val="Heading3"/>
        <w:spacing w:after="60" w:before="120"/>
      </w:pPr>
      <w:r>
        <w:rPr>
          <w:rFonts w:ascii="Times New Roman" w:cs="Times New Roman" w:eastAsia="Times New Roman" w:hAnsi="Times New Roman"/>
          <w:sz w:val="22"/>
          <w:szCs w:val="22"/>
        </w:rPr>
        <w:t xml:space="preserve">3) Synthetic Validation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artificial simulation was done on 10,000 varied profiles of Indian investors. The model was right to address the major non-linear interactions: people with a high debt-income ratio (over 40%) were always graded from the Aggressive to the Moderate category. The Savings and Emergency Fund feature had the highest positive weight (+0.1531), and Debt had the lowest negative weight (−0.2041).</w:t>
      </w:r>
    </w:p>
    <w:p>
      <w:pPr>
        <w:pStyle w:val="Heading2"/>
        <w:spacing w:after="80" w:before="160"/>
      </w:pPr>
      <w:r>
        <w:rPr>
          <w:rFonts w:ascii="Times New Roman" w:cs="Times New Roman" w:eastAsia="Times New Roman" w:hAnsi="Times New Roman"/>
          <w:b/>
          <w:bCs/>
          <w:sz w:val="22"/>
          <w:szCs w:val="22"/>
        </w:rPr>
        <w:t xml:space="preserve">D. Mathematical Portfolio Optimisation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qualified asset universe comprises assets that receive a buy signal with an identical risk profile. The allocation of final capital is the optimisation of the Modern Portfolio Theory.</w:t>
      </w:r>
    </w:p>
    <w:p>
      <w:pPr>
        <w:pStyle w:val="Heading3"/>
        <w:spacing w:after="60" w:before="120"/>
      </w:pPr>
      <w:r>
        <w:rPr>
          <w:rFonts w:ascii="Times New Roman" w:cs="Times New Roman" w:eastAsia="Times New Roman" w:hAnsi="Times New Roman"/>
          <w:sz w:val="22"/>
          <w:szCs w:val="22"/>
        </w:rPr>
        <w:t xml:space="preserve">1) Return and Risk Estimation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Adjusted closing prices are obtained from Yahoo Finance for each asset. The expected return are calculated by using daily returns and annualising them to obtain the expected return vector μ ∈ ℝᴺ and annual covariance matrix Σ ∈ ℝᴺˣᴺ:</w:t>
      </w:r>
    </w:p>
    <w:p>
      <w:pPr>
        <w:spacing w:after="100" w:before="100"/>
        <w:jc w:val="center"/>
      </w:pPr>
      <w:r>
        <w:rPr>
          <w:rFonts w:ascii="Times New Roman" w:cs="Times New Roman" w:eastAsia="Times New Roman" w:hAnsi="Times New Roman"/>
          <w:sz w:val="22"/>
          <w:szCs w:val="22"/>
        </w:rPr>
        <w:t xml:space="preserve">R_p = w^T · μ</w:t>
      </w:r>
      <w:r>
        <w:rPr>
          <w:rFonts w:ascii="Times New Roman" w:cs="Times New Roman" w:eastAsia="Times New Roman" w:hAnsi="Times New Roman"/>
          <w:sz w:val="22"/>
          <w:szCs w:val="22"/>
        </w:rPr>
        <w:t xml:space="preserve">   (17)</w:t>
      </w:r>
    </w:p>
    <w:p>
      <w:pPr>
        <w:spacing w:after="100" w:before="100"/>
        <w:jc w:val="center"/>
      </w:pPr>
      <w:r>
        <w:rPr>
          <w:rFonts w:ascii="Times New Roman" w:cs="Times New Roman" w:eastAsia="Times New Roman" w:hAnsi="Times New Roman"/>
          <w:sz w:val="22"/>
          <w:szCs w:val="22"/>
        </w:rPr>
        <w:t xml:space="preserve">σ_p = √(w^T · Σ · w)</w:t>
      </w:r>
      <w:r>
        <w:rPr>
          <w:rFonts w:ascii="Times New Roman" w:cs="Times New Roman" w:eastAsia="Times New Roman" w:hAnsi="Times New Roman"/>
          <w:sz w:val="22"/>
          <w:szCs w:val="22"/>
        </w:rPr>
        <w:t xml:space="preserve">   (18)</w:t>
      </w:r>
    </w:p>
    <w:p>
      <w:pPr>
        <w:pStyle w:val="Heading3"/>
        <w:spacing w:after="60" w:before="120"/>
      </w:pPr>
      <w:r>
        <w:rPr>
          <w:rFonts w:ascii="Times New Roman" w:cs="Times New Roman" w:eastAsia="Times New Roman" w:hAnsi="Times New Roman"/>
          <w:sz w:val="22"/>
          <w:szCs w:val="22"/>
        </w:rPr>
        <w:t xml:space="preserve">2) Sharpe Ratio Maximisation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main optimisation will be to find the weighting that will give the highest Sharpe Ratio:</w:t>
      </w:r>
    </w:p>
    <w:p>
      <w:pPr>
        <w:spacing w:after="100" w:before="100"/>
        <w:jc w:val="center"/>
      </w:pPr>
      <w:r>
        <w:rPr>
          <w:rFonts w:ascii="Times New Roman" w:cs="Times New Roman" w:eastAsia="Times New Roman" w:hAnsi="Times New Roman"/>
          <w:sz w:val="22"/>
          <w:szCs w:val="22"/>
        </w:rPr>
        <w:t xml:space="preserve">maximize  S(w) = (w^T·μ − r_f) / √(w^T·Σ·w)</w:t>
      </w:r>
      <w:r>
        <w:rPr>
          <w:rFonts w:ascii="Times New Roman" w:cs="Times New Roman" w:eastAsia="Times New Roman" w:hAnsi="Times New Roman"/>
          <w:sz w:val="22"/>
          <w:szCs w:val="22"/>
        </w:rPr>
        <w:t xml:space="preserve">   (19)</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subject to the constraints:</w:t>
      </w:r>
    </w:p>
    <w:p>
      <w:pPr>
        <w:spacing w:after="100" w:before="100"/>
        <w:jc w:val="center"/>
      </w:pPr>
      <w:r>
        <w:rPr>
          <w:rFonts w:ascii="Times New Roman" w:cs="Times New Roman" w:eastAsia="Times New Roman" w:hAnsi="Times New Roman"/>
          <w:sz w:val="22"/>
          <w:szCs w:val="22"/>
        </w:rPr>
        <w:t xml:space="preserve">Σwᵢ = 1,   0.05 ≤ wᵢ ≤ 0.25  for all i</w:t>
      </w:r>
      <w:r>
        <w:rPr>
          <w:rFonts w:ascii="Times New Roman" w:cs="Times New Roman" w:eastAsia="Times New Roman" w:hAnsi="Times New Roman"/>
          <w:sz w:val="22"/>
          <w:szCs w:val="22"/>
        </w:rPr>
        <w:t xml:space="preserve">   (20)</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full-investment constraint ensures that all capital is deployed, whereas the per-asset bounds prevent over-concentration. Optimisation is performed using Sequential Least Squares Programming (SLSQP).</w:t>
      </w:r>
    </w:p>
    <w:p>
      <w:pPr>
        <w:pStyle w:val="Heading3"/>
        <w:spacing w:after="60" w:before="120"/>
      </w:pPr>
      <w:r>
        <w:rPr>
          <w:rFonts w:ascii="Times New Roman" w:cs="Times New Roman" w:eastAsia="Times New Roman" w:hAnsi="Times New Roman"/>
          <w:sz w:val="22"/>
          <w:szCs w:val="22"/>
        </w:rPr>
        <w:t xml:space="preserve">3) Efficient Frontier and Baseline Comparison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To authenticate global optimality, a Monte Carlo simulation of 50,000 randomly selected long-only portfolio weight vectors is performed. The Risk Parity baseline is made through inverse-volatility weighting:</w:t>
      </w:r>
    </w:p>
    <w:p>
      <w:pPr>
        <w:spacing w:after="100" w:before="100"/>
        <w:jc w:val="center"/>
      </w:pPr>
      <w:r>
        <w:rPr>
          <w:rFonts w:ascii="Times New Roman" w:cs="Times New Roman" w:eastAsia="Times New Roman" w:hAnsi="Times New Roman"/>
          <w:sz w:val="22"/>
          <w:szCs w:val="22"/>
        </w:rPr>
        <w:t xml:space="preserve">w_i^RP = (1/σᵢ) / Σ(1/σⱼ)</w:t>
      </w:r>
      <w:r>
        <w:rPr>
          <w:rFonts w:ascii="Times New Roman" w:cs="Times New Roman" w:eastAsia="Times New Roman" w:hAnsi="Times New Roman"/>
          <w:sz w:val="22"/>
          <w:szCs w:val="22"/>
        </w:rPr>
        <w:t xml:space="preserve">   (21)</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In Cholesky-factorised correlated returns, a success probability measure is calculated using a Monte Carlo sample size of 20,000 independent price-path simulations:</w:t>
      </w:r>
    </w:p>
    <w:p>
      <w:pPr>
        <w:spacing w:after="100" w:before="100"/>
        <w:jc w:val="center"/>
      </w:pPr>
      <w:r>
        <w:rPr>
          <w:rFonts w:ascii="Times New Roman" w:cs="Times New Roman" w:eastAsia="Times New Roman" w:hAnsi="Times New Roman"/>
          <w:sz w:val="22"/>
          <w:szCs w:val="22"/>
        </w:rPr>
        <w:t xml:space="preserve">r_t = μ + L·z_t,   L = chol(Σ),   z_t ~ N(0, I)</w:t>
      </w:r>
      <w:r>
        <w:rPr>
          <w:rFonts w:ascii="Times New Roman" w:cs="Times New Roman" w:eastAsia="Times New Roman" w:hAnsi="Times New Roman"/>
          <w:sz w:val="22"/>
          <w:szCs w:val="22"/>
        </w:rPr>
        <w:t xml:space="preserve">   (22)</w:t>
      </w:r>
    </w:p>
    <w:p>
      <w:pPr>
        <w:pStyle w:val="Heading1"/>
        <w:spacing w:after="100" w:before="200"/>
      </w:pPr>
      <w:r>
        <w:rPr>
          <w:rFonts w:ascii="Times New Roman" w:cs="Times New Roman" w:eastAsia="Times New Roman" w:hAnsi="Times New Roman"/>
          <w:b/>
          <w:bCs/>
          <w:sz w:val="22"/>
          <w:szCs w:val="22"/>
        </w:rPr>
        <w:t xml:space="preserve">IV. EXPERIMENTAL RESULTS</w:t>
      </w:r>
    </w:p>
    <w:p>
      <w:pPr>
        <w:pStyle w:val="Heading2"/>
        <w:spacing w:after="80" w:before="160"/>
      </w:pPr>
      <w:r>
        <w:rPr>
          <w:rFonts w:ascii="Times New Roman" w:cs="Times New Roman" w:eastAsia="Times New Roman" w:hAnsi="Times New Roman"/>
          <w:b/>
          <w:bCs/>
          <w:sz w:val="22"/>
          <w:szCs w:val="22"/>
        </w:rPr>
        <w:t xml:space="preserve">A. Experimental Setup</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Nifty 50 constituent universe backtest was conducted between 2022 and 2025, from January to January. The daily OHLCV market data was obtained using yfinance. The per-asset weight limits were chosen to [0.05, 0.25] to obtain long-only positions. The risk-free interest rate was set at 6.8% per annum. Three strategies were tested: (1) SmartNest neuro-symbolic strategy, (2) Classical Markowitz optimisation, and (3) Risk Parity baseline.</w:t>
      </w:r>
    </w:p>
    <w:p>
      <w:pPr>
        <w:pStyle w:val="Heading2"/>
        <w:spacing w:after="80" w:before="160"/>
      </w:pPr>
      <w:r>
        <w:rPr>
          <w:rFonts w:ascii="Times New Roman" w:cs="Times New Roman" w:eastAsia="Times New Roman" w:hAnsi="Times New Roman"/>
          <w:b/>
          <w:bCs/>
          <w:sz w:val="22"/>
          <w:szCs w:val="22"/>
        </w:rPr>
        <w:t xml:space="preserve">B. Portfolio Performance Analysis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Table II summarises the comparative performance metrics across the three-year evaluation horizon.</w:t>
      </w:r>
    </w:p>
    <w:p>
      <w:pPr>
        <w:spacing w:after="60" w:before="100"/>
        <w:jc w:val="center"/>
      </w:pPr>
      <w:r>
        <w:rPr>
          <w:rFonts w:ascii="Times New Roman" w:cs="Times New Roman" w:eastAsia="Times New Roman" w:hAnsi="Times New Roman"/>
          <w:b/>
          <w:bCs/>
          <w:sz w:val="22"/>
          <w:szCs w:val="22"/>
        </w:rPr>
        <w:t xml:space="preserve">TABLE II.  Comparative Portfolio Performance (Jan 2022–Jan 2025)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26"/>
        <w:gridCol w:w="1500"/>
        <w:gridCol w:w="1500"/>
        <w:gridCol w:w="1500"/>
        <w:gridCol w:w="1500"/>
      </w:tblGrid>
      <w:tr>
        <w:trPr>
          <w:tblHeader/>
        </w:trPr>
        <w:tc>
          <w:tcPr>
            <w:tcW w:type="dxa" w:w="3026"/>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Strategy</w:t>
            </w:r>
          </w:p>
        </w:tc>
        <w:tc>
          <w:tcPr>
            <w:tcW w:type="dxa" w:w="1500"/>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Sharpe</w:t>
            </w:r>
          </w:p>
        </w:tc>
        <w:tc>
          <w:tcPr>
            <w:tcW w:type="dxa" w:w="1500"/>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CAGR</w:t>
            </w:r>
          </w:p>
        </w:tc>
        <w:tc>
          <w:tcPr>
            <w:tcW w:type="dxa" w:w="1500"/>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Max DD</w:t>
            </w:r>
          </w:p>
        </w:tc>
        <w:tc>
          <w:tcPr>
            <w:tcW w:type="dxa" w:w="1500"/>
            <w:tcBorders>
              <w:top w:val="single" w:color="000000" w:sz="6"/>
              <w:left w:val="none" w:color="FFFFFF" w:sz="0"/>
              <w:bottom w:val="single" w:color="000000" w:sz="6"/>
              <w:right w:val="none" w:color="FFFFFF" w:sz="0"/>
            </w:tcBorders>
            <w:shd w:fill="DDDDDD" w:val="clear"/>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Vol.</w:t>
            </w:r>
          </w:p>
        </w:tc>
      </w:tr>
      <w:tr>
        <w:tc>
          <w:tcPr>
            <w:tcW w:type="dxa" w:w="3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bCs/>
                <w:sz w:val="20"/>
                <w:szCs w:val="20"/>
              </w:rPr>
              <w:t xml:space="preserve">SmartNest (Neuro-Symbolic)</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0.920</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24.5%</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−14.2%</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bCs/>
                <w:sz w:val="20"/>
                <w:szCs w:val="20"/>
              </w:rPr>
              <w:t xml:space="preserve">18.2%</w:t>
            </w:r>
          </w:p>
        </w:tc>
      </w:tr>
      <w:tr>
        <w:tc>
          <w:tcPr>
            <w:tcW w:type="dxa" w:w="3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Classical Markowitz (Unfiltered)</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0.897</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21.3%</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−19.1%</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19.5%</w:t>
            </w:r>
          </w:p>
        </w:tc>
      </w:tr>
      <w:tr>
        <w:tc>
          <w:tcPr>
            <w:tcW w:type="dxa" w:w="3026"/>
            <w:tcBorders>
              <w:top w:val="single" w:color="000000" w:sz="6"/>
              <w:left w:val="none" w:color="FFFFFF" w:sz="0"/>
              <w:bottom w:val="single" w:color="000000" w:sz="6"/>
              <w:right w:val="none" w:color="FFFFFF" w:sz="0"/>
            </w:tcBorders>
            <w:tcMar>
              <w:top w:type="dxa" w:w="80"/>
              <w:left w:type="dxa" w:w="120"/>
              <w:bottom w:type="dxa" w:w="80"/>
              <w:right w:type="dxa" w:w="120"/>
            </w:tcMar>
          </w:tcPr>
          <w:p>
            <w:r>
              <w:rPr>
                <w:rFonts w:ascii="Times New Roman" w:cs="Times New Roman" w:eastAsia="Times New Roman" w:hAnsi="Times New Roman"/>
                <w:b w:val="false"/>
                <w:bCs w:val="false"/>
                <w:sz w:val="20"/>
                <w:szCs w:val="20"/>
              </w:rPr>
              <w:t xml:space="preserve">Risk Parity (Baseline)</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0.807</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14.2%</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−11.5%</w:t>
            </w:r>
          </w:p>
        </w:tc>
        <w:tc>
          <w:tcPr>
            <w:tcW w:type="dxa" w:w="1500"/>
            <w:tcBorders>
              <w:top w:val="single" w:color="000000" w:sz="6"/>
              <w:left w:val="none" w:color="FFFFFF" w:sz="0"/>
              <w:bottom w:val="single" w:color="000000" w:sz="6"/>
              <w:right w:val="none" w:color="FFFFFF" w:sz="0"/>
            </w:tcBorders>
            <w:tcMar>
              <w:top w:type="dxa" w:w="80"/>
              <w:left w:type="dxa" w:w="120"/>
              <w:bottom w:type="dxa" w:w="80"/>
              <w:right w:type="dxa" w:w="120"/>
            </w:tcMar>
          </w:tcPr>
          <w:p>
            <w:pPr>
              <w:jc w:val="center"/>
            </w:pPr>
            <w:r>
              <w:rPr>
                <w:rFonts w:ascii="Times New Roman" w:cs="Times New Roman" w:eastAsia="Times New Roman" w:hAnsi="Times New Roman"/>
                <w:b w:val="false"/>
                <w:bCs w:val="false"/>
                <w:sz w:val="20"/>
                <w:szCs w:val="20"/>
              </w:rPr>
              <w:t xml:space="preserve">12.8%</w:t>
            </w:r>
          </w:p>
        </w:tc>
      </w:tr>
    </w:tbl>
    <w:p>
      <w:pPr>
        <w:spacing w:after="60" w:before="60" w:line="276"/>
        <w:jc w:val="both"/>
      </w:pPr>
      <w:r>
        <w:rPr>
          <w:rFonts w:ascii="Times New Roman" w:cs="Times New Roman" w:eastAsia="Times New Roman" w:hAnsi="Times New Roman"/>
          <w:b w:val="false"/>
          <w:bCs w:val="false"/>
          <w:i w:val="false"/>
          <w:iCs w:val="false"/>
          <w:sz w:val="22"/>
          <w:szCs w:val="22"/>
        </w:rPr>
        <w:t xml:space="preserve">The SmartNest plan had the best Sharpe Ratio (0.920) and Compound Annual Growth rate (CAGR) of 24.5%. This is better than the Classical Markowitz method, mainly because of the AI Filtration Layer, which rules out value traps: assets that look good mathematically but have weakening fundamentals, negative sentiment, or an unpromising macroeconomic position.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Risk Parity baseline had the lowest maximum drawdown (−11.5%) but generated very low returns (CAGR 14.2%) and a poor Sharpe Ratio (0.807). SmartNest achieved a better balance, with a maximum drawdown 4.9 percentage points lower than the unfiltered Markowitz strategy and almost 10 percentage points of extra annual returns over Risk Parity.</w:t>
      </w:r>
    </w:p>
    <w:p>
      <w:pPr>
        <w:pStyle w:val="Heading2"/>
        <w:spacing w:after="80" w:before="160"/>
      </w:pPr>
      <w:r>
        <w:rPr>
          <w:rFonts w:ascii="Times New Roman" w:cs="Times New Roman" w:eastAsia="Times New Roman" w:hAnsi="Times New Roman"/>
          <w:b/>
          <w:bCs/>
          <w:sz w:val="22"/>
          <w:szCs w:val="22"/>
        </w:rPr>
        <w:t xml:space="preserve">C. Risk Model Validation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The weighted feature risk model was tested in 10,000 simulated investor profiles. Edge-case testing ensured that the model appropriately penalised high-income profiles with high debt-to-income ratios. The most correlated feature was Savings and Emergency Fund, followed by the lowest predictor of Risk Capacity Score, and the strongest negative predictor was Debt, which confirmed the hypothesis that liquidity buffer and debt burden are the key factors determining investment resilience [18].</w:t>
      </w:r>
    </w:p>
    <w:p>
      <w:pPr>
        <w:pStyle w:val="Heading2"/>
        <w:spacing w:after="80" w:before="160"/>
      </w:pPr>
      <w:r>
        <w:rPr>
          <w:rFonts w:ascii="Times New Roman" w:cs="Times New Roman" w:eastAsia="Times New Roman" w:hAnsi="Times New Roman"/>
          <w:b/>
          <w:bCs/>
          <w:sz w:val="22"/>
          <w:szCs w:val="22"/>
        </w:rPr>
        <w:t xml:space="preserve">D. Ablation Study</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To quantify the independent contribution of the two principal AI components, two targeted ablations were performed:</w:t>
      </w:r>
    </w:p>
    <w:p>
      <w:pPr>
        <w:spacing w:after="60" w:before="60" w:line="276"/>
        <w:jc w:val="both"/>
      </w:pPr>
      <w:r>
        <w:rPr>
          <w:rFonts w:ascii="Times New Roman" w:cs="Times New Roman" w:eastAsia="Times New Roman" w:hAnsi="Times New Roman"/>
          <w:b/>
          <w:bCs/>
          <w:i w:val="false"/>
          <w:iCs w:val="false"/>
          <w:sz w:val="22"/>
          <w:szCs w:val="22"/>
        </w:rPr>
        <w:t xml:space="preserve">Without TRS (News) Module: </w:t>
      </w:r>
      <w:r>
        <w:rPr>
          <w:rFonts w:ascii="Times New Roman" w:cs="Times New Roman" w:eastAsia="Times New Roman" w:hAnsi="Times New Roman"/>
          <w:b w:val="false"/>
          <w:bCs w:val="false"/>
          <w:i w:val="false"/>
          <w:iCs w:val="false"/>
          <w:sz w:val="22"/>
          <w:szCs w:val="22"/>
        </w:rPr>
        <w:t xml:space="preserve">When Temporal Recursive Summarisation was switched off, Sharpe Ratio reduced to 0.92 to 0.88. In the absence of a stable narrative memory, the optimiser over-allocated to volatile assets that had just stabilised, losing the memory of unresolved negative circumstances.</w:t>
      </w:r>
    </w:p>
    <w:p>
      <w:pPr>
        <w:spacing w:after="60" w:before="60" w:line="276"/>
        <w:jc w:val="both"/>
      </w:pPr>
      <w:r>
        <w:rPr>
          <w:rFonts w:ascii="Times New Roman" w:cs="Times New Roman" w:eastAsia="Times New Roman" w:hAnsi="Times New Roman"/>
          <w:b/>
          <w:bCs/>
          <w:i w:val="false"/>
          <w:iCs w:val="false"/>
          <w:sz w:val="22"/>
          <w:szCs w:val="22"/>
        </w:rPr>
        <w:t xml:space="preserve">Without Macro-Filter: </w:t>
      </w:r>
      <w:r>
        <w:rPr>
          <w:rFonts w:ascii="Times New Roman" w:cs="Times New Roman" w:eastAsia="Times New Roman" w:hAnsi="Times New Roman"/>
          <w:b w:val="false"/>
          <w:bCs w:val="false"/>
          <w:i w:val="false"/>
          <w:iCs w:val="false"/>
          <w:sz w:val="22"/>
          <w:szCs w:val="22"/>
        </w:rPr>
        <w:t xml:space="preserve">Elimination of sector macroeconomic conditioning led to even greater volatility in portfolios around changes in macroeconomic regimes. The model did not underscore the interest-rate-sensitive sectors during monetary tightening, leading to the high drawdowns.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Both of these ablation findings confirm that every perception module has non-redundant signal content.</w:t>
      </w:r>
    </w:p>
    <w:p>
      <w:pPr>
        <w:pStyle w:val="Heading2"/>
        <w:spacing w:after="80" w:before="160"/>
      </w:pPr>
      <w:r>
        <w:rPr>
          <w:rFonts w:ascii="Times New Roman" w:cs="Times New Roman" w:eastAsia="Times New Roman" w:hAnsi="Times New Roman"/>
          <w:b/>
          <w:bCs/>
          <w:sz w:val="22"/>
          <w:szCs w:val="22"/>
        </w:rPr>
        <w:t xml:space="preserve">E. Qualitative Analysis of Portfolio Construction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Within a 9-stock qualified universe (HCLTECH, ICICIBank, SUNPHarma, TITAN, Reliance, Infy, LT, Axisbank, TCS), the optimiser had apportioned about 26.5% of HCLTECH and 23.7% of TITAN. Two assets (AXISBANK, TCS) were allocated zero, as the Hold signals indicate, and this serves as evidence that the gating model is functioning properly and that the assets that are not mathematically appealing but qualitatively signal it do not make it to the final portfolio.</w:t>
      </w:r>
    </w:p>
    <w:p>
      <w:pPr>
        <w:pStyle w:val="Heading1"/>
        <w:spacing w:after="100" w:before="200"/>
      </w:pPr>
      <w:r>
        <w:rPr>
          <w:rFonts w:ascii="Times New Roman" w:cs="Times New Roman" w:eastAsia="Times New Roman" w:hAnsi="Times New Roman"/>
          <w:b/>
          <w:bCs/>
          <w:sz w:val="22"/>
          <w:szCs w:val="22"/>
        </w:rPr>
        <w:t xml:space="preserve">V. CONCLUSION</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This paper introduces SmartNest, a neuro-symbolic architecture for personalised equity portfolio optimisation that addresses key challenges faced by Indian retail investors, including financial illiteracy, cognitive biases, and limited access to personalised advisory services, as well as the limitations of purely quantitative or LLM-based strategies. The principal innovation lies in the strict separation of deterministic symbolic computation from qualitative reasoning, with large language models restricted to validated symbolic representations.</w:t>
      </w:r>
    </w:p>
    <w:p>
      <w:pPr>
        <w:spacing w:after="60" w:before="60" w:line="276"/>
        <w:jc w:val="both"/>
      </w:pPr>
      <w:r>
        <w:rPr>
          <w:rFonts w:ascii="Times New Roman" w:cs="Times New Roman" w:eastAsia="Times New Roman" w:hAnsi="Times New Roman"/>
          <w:b w:val="false"/>
          <w:bCs w:val="false"/>
          <w:i w:val="false"/>
          <w:iCs w:val="false"/>
          <w:sz w:val="22"/>
          <w:szCs w:val="22"/>
        </w:rPr>
        <w:t xml:space="preserve">Backtesting results indicate a Sharpe Ratio of 0.920 and a compound annual growth rate (CAGR) of 24.5%, representing a substantial improvement over classical optimisers and risk parity baselines. Ablation studies confirm the statistically significant contributions of Temporal Recursive Summarisation and sector macroeconomic conditioning. The dynamic weighted-feature risk model provides personalised profiling, validated on 10,000 synthetic investor profiles. Future research will explore the application of reinforcement learning to dynamic portfolio rebalancing, the inclusion of debt instruments, Real Estate Investment Trusts (REITs), and international equities, as well as the development of continuously updated macroeconomic knowledge bases to reduce reliance on single-point LLM inference.</w:t>
      </w:r>
    </w:p>
    <w:p>
      <w:pPr>
        <w:pStyle w:val="Heading1"/>
        <w:spacing w:after="100" w:before="200"/>
      </w:pPr>
      <w:r>
        <w:rPr>
          <w:rFonts w:ascii="Times New Roman" w:cs="Times New Roman" w:eastAsia="Times New Roman" w:hAnsi="Times New Roman"/>
          <w:b/>
          <w:bCs/>
          <w:sz w:val="22"/>
          <w:szCs w:val="22"/>
        </w:rPr>
        <w:t xml:space="preserve">REFERENCES</w:t>
      </w:r>
    </w:p>
    <w:p>
      <w:pPr>
        <w:spacing w:after="40" w:before="40"/>
        <w:ind w:left="360" w:hanging="360"/>
      </w:pPr>
      <w:r>
        <w:rPr>
          <w:rFonts w:ascii="Times New Roman" w:cs="Times New Roman" w:eastAsia="Times New Roman" w:hAnsi="Times New Roman"/>
          <w:sz w:val="20"/>
          <w:szCs w:val="20"/>
        </w:rPr>
        <w:t xml:space="preserve">[1] H. Markowitz, "Portfolio selection," The Journal of Finance, vol. 7, no. 1, pp. 77–91, Mar. 1952.</w:t>
      </w:r>
    </w:p>
    <w:p>
      <w:pPr>
        <w:spacing w:after="40" w:before="40"/>
        <w:ind w:left="360" w:hanging="360"/>
      </w:pPr>
      <w:r>
        <w:rPr>
          <w:rFonts w:ascii="Times New Roman" w:cs="Times New Roman" w:eastAsia="Times New Roman" w:hAnsi="Times New Roman"/>
          <w:sz w:val="20"/>
          <w:szCs w:val="20"/>
        </w:rPr>
        <w:t xml:space="preserve">[2] W. F. Sharpe, "Mutual fund performance," The Journal of Business, vol. 39, no. 1, pp. 119–138, Jan. 1966.</w:t>
      </w:r>
    </w:p>
    <w:p>
      <w:pPr>
        <w:spacing w:after="40" w:before="40"/>
        <w:ind w:left="360" w:hanging="360"/>
      </w:pPr>
      <w:r>
        <w:rPr>
          <w:rFonts w:ascii="Times New Roman" w:cs="Times New Roman" w:eastAsia="Times New Roman" w:hAnsi="Times New Roman"/>
          <w:sz w:val="20"/>
          <w:szCs w:val="20"/>
        </w:rPr>
        <w:t xml:space="preserve">[3] F. Black and R. Litterman, "Global portfolio optimization," Financial Analysts Journal, vol. 48, no. 5, pp. 28–43, Sep. 1992.</w:t>
      </w:r>
    </w:p>
    <w:p>
      <w:pPr>
        <w:spacing w:after="40" w:before="40"/>
        <w:ind w:left="360" w:hanging="360"/>
      </w:pPr>
      <w:r>
        <w:rPr>
          <w:rFonts w:ascii="Times New Roman" w:cs="Times New Roman" w:eastAsia="Times New Roman" w:hAnsi="Times New Roman"/>
          <w:sz w:val="20"/>
          <w:szCs w:val="20"/>
        </w:rPr>
        <w:t xml:space="preserve">[4] E. Qian, "Risk parity portfolios: Efficient portfolios through true diversification," Panagora Asset Management, Tech. Rep., 2005.</w:t>
      </w:r>
    </w:p>
    <w:p>
      <w:pPr>
        <w:spacing w:after="40" w:before="40"/>
        <w:ind w:left="360" w:hanging="360"/>
      </w:pPr>
      <w:r>
        <w:rPr>
          <w:rFonts w:ascii="Times New Roman" w:cs="Times New Roman" w:eastAsia="Times New Roman" w:hAnsi="Times New Roman"/>
          <w:sz w:val="20"/>
          <w:szCs w:val="20"/>
        </w:rPr>
        <w:t xml:space="preserve">[5] National Institute of Securities Markets, "NISM financial literacy survey," SEBI, New Delhi, India, Tech. Rep., 2019.</w:t>
      </w:r>
    </w:p>
    <w:p>
      <w:pPr>
        <w:spacing w:after="40" w:before="40"/>
        <w:ind w:left="360" w:hanging="360"/>
      </w:pPr>
      <w:r>
        <w:rPr>
          <w:rFonts w:ascii="Times New Roman" w:cs="Times New Roman" w:eastAsia="Times New Roman" w:hAnsi="Times New Roman"/>
          <w:sz w:val="20"/>
          <w:szCs w:val="20"/>
        </w:rPr>
        <w:t xml:space="preserve">[6] R. J. Shiller, Irrational Exuberance, 3rd ed. Princeton, NJ, USA: Princeton University Press, 2015.</w:t>
      </w:r>
    </w:p>
    <w:p>
      <w:pPr>
        <w:spacing w:after="40" w:before="40"/>
        <w:ind w:left="360" w:hanging="360"/>
      </w:pPr>
      <w:r>
        <w:rPr>
          <w:rFonts w:ascii="Times New Roman" w:cs="Times New Roman" w:eastAsia="Times New Roman" w:hAnsi="Times New Roman"/>
          <w:sz w:val="20"/>
          <w:szCs w:val="20"/>
        </w:rPr>
        <w:t xml:space="preserve">[7] D. Kahneman, Thinking, Fast and Slow. New York, NY, USA: Farrar, Straus and Giroux, 2011.</w:t>
      </w:r>
    </w:p>
    <w:p>
      <w:pPr>
        <w:spacing w:after="40" w:before="40"/>
        <w:ind w:left="360" w:hanging="360"/>
      </w:pPr>
      <w:r>
        <w:rPr>
          <w:rFonts w:ascii="Times New Roman" w:cs="Times New Roman" w:eastAsia="Times New Roman" w:hAnsi="Times New Roman"/>
          <w:sz w:val="20"/>
          <w:szCs w:val="20"/>
        </w:rPr>
        <w:t xml:space="preserve">[8] J. Devlin, M.-W. Chang, K. Lee, and K. Toutanova, "BERT: Pre-training of deep bidirectional transformers for language understanding," in Proc. NAACL-HLT, Minneapolis, MN, USA, 2019, pp. 4171–4186.</w:t>
      </w:r>
    </w:p>
    <w:p>
      <w:pPr>
        <w:spacing w:after="40" w:before="40"/>
        <w:ind w:left="360" w:hanging="360"/>
      </w:pPr>
      <w:r>
        <w:rPr>
          <w:rFonts w:ascii="Times New Roman" w:cs="Times New Roman" w:eastAsia="Times New Roman" w:hAnsi="Times New Roman"/>
          <w:sz w:val="20"/>
          <w:szCs w:val="20"/>
        </w:rPr>
        <w:t xml:space="preserve">[9] D. Araci, "FinBERT: Financial sentiment analysis with pre-trained language models," arXiv:1908.10063, Aug. 2019.</w:t>
      </w:r>
    </w:p>
    <w:p>
      <w:pPr>
        <w:spacing w:after="40" w:before="40"/>
        <w:ind w:left="360" w:hanging="360"/>
      </w:pPr>
      <w:r>
        <w:rPr>
          <w:rFonts w:ascii="Times New Roman" w:cs="Times New Roman" w:eastAsia="Times New Roman" w:hAnsi="Times New Roman"/>
          <w:sz w:val="20"/>
          <w:szCs w:val="20"/>
        </w:rPr>
        <w:t xml:space="preserve">[10] S. Wu et al., "BloombergGPT: A large language model for finance," arXiv:2303.17564, Mar. 2023.</w:t>
      </w:r>
    </w:p>
    <w:p>
      <w:pPr>
        <w:spacing w:after="40" w:before="40"/>
        <w:ind w:left="360" w:hanging="360"/>
      </w:pPr>
      <w:r>
        <w:rPr>
          <w:rFonts w:ascii="Times New Roman" w:cs="Times New Roman" w:eastAsia="Times New Roman" w:hAnsi="Times New Roman"/>
          <w:sz w:val="20"/>
          <w:szCs w:val="20"/>
        </w:rPr>
        <w:t xml:space="preserve">[11] G. Fatouros, K. Metaxas, J. Soldatos, and D. Kyriazis, "Can large language models beat Wall Street?" Neural Computing and Applications, Apr. 2024.</w:t>
      </w:r>
    </w:p>
    <w:p>
      <w:pPr>
        <w:spacing w:after="40" w:before="40"/>
        <w:ind w:left="360" w:hanging="360"/>
      </w:pPr>
      <w:r>
        <w:rPr>
          <w:rFonts w:ascii="Times New Roman" w:cs="Times New Roman" w:eastAsia="Times New Roman" w:hAnsi="Times New Roman"/>
          <w:sz w:val="20"/>
          <w:szCs w:val="20"/>
        </w:rPr>
        <w:t xml:space="preserve">[12] A. Lopez-Lira and Y. Tang, "Can ChatGPT forecast stock price movements?" arXiv:2304.07619, Apr. 2023.</w:t>
      </w:r>
    </w:p>
    <w:p>
      <w:pPr>
        <w:spacing w:after="40" w:before="40"/>
        <w:ind w:left="360" w:hanging="360"/>
      </w:pPr>
      <w:r>
        <w:rPr>
          <w:rFonts w:ascii="Times New Roman" w:cs="Times New Roman" w:eastAsia="Times New Roman" w:hAnsi="Times New Roman"/>
          <w:sz w:val="20"/>
          <w:szCs w:val="20"/>
        </w:rPr>
        <w:t xml:space="preserve">[13] K. Kirtac and G. Germano, "Sentiment trading with large language models," SSRN Electronic Journal, 2024.</w:t>
      </w:r>
    </w:p>
    <w:p>
      <w:pPr>
        <w:spacing w:after="40" w:before="40"/>
        <w:ind w:left="360" w:hanging="360"/>
      </w:pPr>
      <w:r>
        <w:rPr>
          <w:rFonts w:ascii="Times New Roman" w:cs="Times New Roman" w:eastAsia="Times New Roman" w:hAnsi="Times New Roman"/>
          <w:sz w:val="20"/>
          <w:szCs w:val="20"/>
        </w:rPr>
        <w:t xml:space="preserve">[14] Z. Chen et al., "ChatGPT-informed graph neural network for stock movement prediction," arXiv:2306.03763, Jun. 2023.</w:t>
      </w:r>
    </w:p>
    <w:p>
      <w:pPr>
        <w:spacing w:after="40" w:before="40"/>
        <w:ind w:left="360" w:hanging="360"/>
      </w:pPr>
      <w:r>
        <w:rPr>
          <w:rFonts w:ascii="Times New Roman" w:cs="Times New Roman" w:eastAsia="Times New Roman" w:hAnsi="Times New Roman"/>
          <w:sz w:val="20"/>
          <w:szCs w:val="20"/>
        </w:rPr>
        <w:t xml:space="preserve">[15] A. S. d'Avila Garcez and L. C. Lamb, "Neurosymbolic AI: The 3rd wave," Artificial Intelligence Review, vol. 56, pp. 12387–12406, 2023.</w:t>
      </w:r>
    </w:p>
    <w:p>
      <w:pPr>
        <w:spacing w:after="40" w:before="40"/>
        <w:ind w:left="360" w:hanging="360"/>
      </w:pPr>
      <w:r>
        <w:rPr>
          <w:rFonts w:ascii="Times New Roman" w:cs="Times New Roman" w:eastAsia="Times New Roman" w:hAnsi="Times New Roman"/>
          <w:sz w:val="20"/>
          <w:szCs w:val="20"/>
        </w:rPr>
        <w:t xml:space="preserve">[16] J. Mao et al., "The neuro-symbolic concept learner," in Proc. ICLR, New Orleans, LA, USA, 2019.</w:t>
      </w:r>
    </w:p>
    <w:p>
      <w:pPr>
        <w:spacing w:after="40" w:before="40"/>
        <w:ind w:left="360" w:hanging="360"/>
      </w:pPr>
      <w:r>
        <w:rPr>
          <w:rFonts w:ascii="Times New Roman" w:cs="Times New Roman" w:eastAsia="Times New Roman" w:hAnsi="Times New Roman"/>
          <w:sz w:val="20"/>
          <w:szCs w:val="20"/>
        </w:rPr>
        <w:t xml:space="preserve">[17] Y. Yu et al., "MarketSense AI: Multi-modality financial analysis with LLMs," arXiv preprint, 2023.</w:t>
      </w:r>
    </w:p>
    <w:p>
      <w:pPr>
        <w:spacing w:after="40" w:before="40"/>
        <w:ind w:left="360" w:hanging="360"/>
      </w:pPr>
      <w:r>
        <w:rPr>
          <w:rFonts w:ascii="Times New Roman" w:cs="Times New Roman" w:eastAsia="Times New Roman" w:hAnsi="Times New Roman"/>
          <w:sz w:val="20"/>
          <w:szCs w:val="20"/>
        </w:rPr>
        <w:t xml:space="preserve">[18] J. E. Grable and R. H. Lytton, "The development of a risk assessment instrument," Financial Services Review, vol. 12, no. 3, pp. 257–274, 2003.</w:t>
      </w:r>
    </w:p>
    <w:p>
      <w:pPr>
        <w:spacing w:after="40" w:before="40"/>
        <w:ind w:left="360" w:hanging="360"/>
      </w:pPr>
      <w:r>
        <w:rPr>
          <w:rFonts w:ascii="Times New Roman" w:cs="Times New Roman" w:eastAsia="Times New Roman" w:hAnsi="Times New Roman"/>
          <w:sz w:val="20"/>
          <w:szCs w:val="20"/>
        </w:rPr>
        <w:t xml:space="preserve">[19] G. Ang and E.-P. Lim, "Investment and risk management with online news," ACM Transactions on the Web, vol. 17, no. 3, pp. 1–34, 2023.</w:t>
      </w:r>
    </w:p>
    <w:p>
      <w:pPr>
        <w:spacing w:after="40" w:before="40"/>
        <w:ind w:left="360" w:hanging="360"/>
      </w:pPr>
      <w:r>
        <w:rPr>
          <w:rFonts w:ascii="Times New Roman" w:cs="Times New Roman" w:eastAsia="Times New Roman" w:hAnsi="Times New Roman"/>
          <w:sz w:val="20"/>
          <w:szCs w:val="20"/>
        </w:rPr>
        <w:t xml:space="preserve">[20] J. Kalyani, H. N. Bharathi, and R. Jyothi, "Stock trend prediction using news sentiment analysis," arXiv:1607.01958, Jul. 2016.</w:t>
      </w:r>
    </w:p>
    <w:p>
      <w:pPr>
        <w:spacing w:after="40" w:before="40"/>
        <w:ind w:left="360" w:hanging="360"/>
      </w:pPr>
      <w:r>
        <w:rPr>
          <w:rFonts w:ascii="Times New Roman" w:cs="Times New Roman" w:eastAsia="Times New Roman" w:hAnsi="Times New Roman"/>
          <w:sz w:val="20"/>
          <w:szCs w:val="20"/>
        </w:rPr>
        <w:t xml:space="preserve">[21] N. Li, X. Lin, and W. Wen, "Network environment and financial risk assessment," Human and Ecological Risk Assessment, vol. 15, no. 2, pp. 227–252, 2009.</w:t>
      </w:r>
    </w:p>
    <w:p>
      <w:pPr>
        <w:spacing w:after="40" w:before="40"/>
        <w:ind w:left="360" w:hanging="360"/>
      </w:pPr>
      <w:r>
        <w:rPr>
          <w:rFonts w:ascii="Times New Roman" w:cs="Times New Roman" w:eastAsia="Times New Roman" w:hAnsi="Times New Roman"/>
          <w:sz w:val="20"/>
          <w:szCs w:val="20"/>
        </w:rPr>
        <w:t xml:space="preserve">[22] B. G. Malkiel, "The efficient market hypothesis and its critics," Journal of Economic Perspectives, vol. 17, no. 1, pp. 59–82, 2003.</w:t>
      </w:r>
    </w:p>
    <w:p>
      <w:pPr>
        <w:spacing w:after="40" w:before="40"/>
        <w:ind w:left="360" w:hanging="360"/>
      </w:pPr>
      <w:r>
        <w:rPr>
          <w:rFonts w:ascii="Times New Roman" w:cs="Times New Roman" w:eastAsia="Times New Roman" w:hAnsi="Times New Roman"/>
          <w:sz w:val="20"/>
          <w:szCs w:val="20"/>
        </w:rPr>
        <w:t xml:space="preserve">[23] O. Korn, P. Möller, and C. Schwehm, "Drawdown measures in portfolio management," The Journal of Portfolio Management, vol. 48, no. 5, pp. 104–120, 2022.</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00"/>
      <w:outlineLvl w:val="0"/>
    </w:pPr>
    <w:rPr>
      <w:rFonts w:ascii="Times New Roman" w:cs="Times New Roman" w:eastAsia="Times New Roman" w:hAnsi="Times New Roman"/>
      <w:b/>
      <w:bCs/>
      <w:sz w:val="22"/>
      <w:szCs w:val="22"/>
    </w:rPr>
  </w:style>
  <w:style w:type="paragraph" w:styleId="Heading2">
    <w:name w:val="Heading 2"/>
    <w:basedOn w:val="Normal"/>
    <w:next w:val="Normal"/>
    <w:qFormat/>
    <w:pPr>
      <w:spacing w:after="80" w:before="160"/>
      <w:outlineLvl w:val="1"/>
    </w:pPr>
    <w:rPr>
      <w:rFonts w:ascii="Times New Roman" w:cs="Times New Roman" w:eastAsia="Times New Roman" w:hAnsi="Times New Roman"/>
      <w:b/>
      <w:bCs/>
      <w:sz w:val="22"/>
      <w:szCs w:val="22"/>
    </w:rPr>
  </w:style>
  <w:style w:type="paragraph" w:styleId="Heading3">
    <w:name w:val="Heading 3"/>
    <w:basedOn w:val="Normal"/>
    <w:next w:val="Normal"/>
    <w:qFormat/>
    <w:pPr>
      <w:spacing w:after="60" w:before="120"/>
      <w:outlineLvl w:val="2"/>
    </w:pPr>
    <w:rPr>
      <w:rFonts w:ascii="Times New Roman" w:cs="Times New Roman" w:eastAsia="Times New Roman" w:hAnsi="Times New Roman"/>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2026-03-12T15:45:33.302Z</dcterms:created>
  <dcterms:modified xsi:type="dcterms:W3CDTF">2026-03-12T15:45:33.303Z</dcterms:modified>
</cp:coreProperties>
</file>

<file path=docProps/custom.xml><?xml version="1.0" encoding="utf-8"?>
<Properties xmlns="http://schemas.openxmlformats.org/officeDocument/2006/custom-properties" xmlns:vt="http://schemas.openxmlformats.org/officeDocument/2006/docPropsVTypes"/>
</file>