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3741" w14:textId="77777777" w:rsidR="00CE775F" w:rsidRPr="005E7ADF" w:rsidRDefault="00B32D97" w:rsidP="004C661A">
      <w:pPr>
        <w:spacing w:line="240" w:lineRule="auto"/>
        <w:jc w:val="center"/>
        <w:rPr>
          <w:rFonts w:ascii="Times New Roman" w:hAnsi="Times New Roman"/>
          <w:b/>
          <w:bCs/>
          <w:iCs/>
        </w:rPr>
      </w:pPr>
      <w:r>
        <w:rPr>
          <w:rFonts w:ascii="Times New Roman" w:hAnsi="Times New Roman"/>
          <w:b/>
          <w:bCs/>
          <w:iCs/>
        </w:rPr>
        <w:t xml:space="preserve">Effect of Distribution of Political Power on Sustainable peace in Unity State, South Sudan </w:t>
      </w:r>
    </w:p>
    <w:p w14:paraId="49786605" w14:textId="77777777" w:rsidR="00AC4D1B" w:rsidRPr="005E7ADF" w:rsidRDefault="00AC4D1B" w:rsidP="004C661A">
      <w:pPr>
        <w:spacing w:after="0" w:line="240" w:lineRule="auto"/>
        <w:ind w:left="993" w:right="947"/>
        <w:jc w:val="center"/>
        <w:rPr>
          <w:rFonts w:ascii="Times New Roman" w:hAnsi="Times New Roman"/>
          <w:i/>
        </w:rPr>
      </w:pPr>
      <w:r w:rsidRPr="005E7ADF">
        <w:rPr>
          <w:rFonts w:ascii="Times New Roman" w:hAnsi="Times New Roman"/>
          <w:b/>
          <w:i/>
          <w:vertAlign w:val="superscript"/>
        </w:rPr>
        <w:t/>
      </w:r>
      <w:r w:rsidR="00AD2EFB">
        <w:rPr>
          <w:rFonts w:ascii="Times New Roman" w:hAnsi="Times New Roman"/>
          <w:b/>
          <w:i/>
        </w:rPr>
        <w:t/>
      </w:r>
      <w:r w:rsidRPr="005E7ADF">
        <w:rPr>
          <w:rFonts w:ascii="Times New Roman" w:hAnsi="Times New Roman"/>
          <w:b/>
          <w:i/>
        </w:rPr>
        <w:t xml:space="preserve"/>
      </w:r>
      <w:r w:rsidRPr="005E7ADF">
        <w:rPr>
          <w:rFonts w:ascii="Times New Roman" w:hAnsi="Times New Roman"/>
          <w:i/>
        </w:rPr>
        <w:t/>
      </w:r>
      <w:r w:rsidR="00B32D97">
        <w:rPr>
          <w:rFonts w:ascii="Times New Roman" w:hAnsi="Times New Roman"/>
          <w:i/>
        </w:rPr>
        <w:t/>
      </w:r>
    </w:p>
    <w:p w14:paraId="2AEEAA81" w14:textId="03CA827A" w:rsidR="00AC4D1B" w:rsidRPr="005E7ADF" w:rsidRDefault="00AC4D1B" w:rsidP="004C661A">
      <w:pPr>
        <w:spacing w:after="0" w:line="240" w:lineRule="auto"/>
        <w:ind w:left="993" w:right="947"/>
        <w:jc w:val="center"/>
        <w:rPr>
          <w:rFonts w:ascii="Times New Roman" w:hAnsi="Times New Roman"/>
          <w:bCs/>
          <w:i/>
        </w:rPr>
      </w:pPr>
      <w:r w:rsidRPr="005E7ADF">
        <w:rPr>
          <w:rFonts w:ascii="Times New Roman" w:hAnsi="Times New Roman"/>
          <w:b/>
          <w:bCs/>
          <w:i/>
          <w:iCs/>
          <w:vertAlign w:val="superscript"/>
        </w:rPr>
        <w:t/>
      </w:r>
      <w:r w:rsidRPr="005E7ADF">
        <w:rPr>
          <w:rFonts w:ascii="Times New Roman" w:hAnsi="Times New Roman"/>
          <w:b/>
          <w:bCs/>
          <w:i/>
          <w:iCs/>
        </w:rPr>
        <w:t xml:space="preserve"/>
      </w:r>
      <w:r w:rsidRPr="005E7ADF">
        <w:rPr>
          <w:rFonts w:ascii="Times New Roman" w:hAnsi="Times New Roman"/>
          <w:bCs/>
          <w:i/>
          <w:iCs/>
        </w:rPr>
        <w:t/>
      </w:r>
      <w:r w:rsidRPr="005E7ADF">
        <w:rPr>
          <w:rFonts w:ascii="Times New Roman" w:hAnsi="Times New Roman"/>
          <w:bCs/>
          <w:i/>
        </w:rPr>
        <w:t/>
      </w:r>
    </w:p>
    <w:p w14:paraId="210FE4CA" w14:textId="77777777" w:rsidR="00667400" w:rsidRPr="005E7ADF" w:rsidRDefault="00667400" w:rsidP="004C661A">
      <w:pPr>
        <w:spacing w:after="0" w:line="240" w:lineRule="auto"/>
        <w:ind w:left="993" w:right="947"/>
        <w:jc w:val="center"/>
        <w:rPr>
          <w:rFonts w:ascii="Times New Roman" w:hAnsi="Times New Roman"/>
          <w:bCs/>
          <w:i/>
        </w:rPr>
      </w:pPr>
    </w:p>
    <w:p w14:paraId="79C8EF9F" w14:textId="77777777" w:rsidR="00667400" w:rsidRPr="005E7ADF" w:rsidRDefault="00667400" w:rsidP="004C661A">
      <w:pPr>
        <w:spacing w:after="0" w:line="240" w:lineRule="auto"/>
        <w:ind w:left="993" w:right="947"/>
        <w:jc w:val="center"/>
        <w:rPr>
          <w:rFonts w:ascii="Times New Roman" w:hAnsi="Times New Roman"/>
          <w:bCs/>
        </w:rPr>
      </w:pPr>
    </w:p>
    <w:p w14:paraId="2C9DA997" w14:textId="77777777" w:rsidR="00C12923" w:rsidRPr="005E7ADF" w:rsidRDefault="00AC4D1B" w:rsidP="004C661A">
      <w:pPr>
        <w:pStyle w:val="Authors"/>
        <w:framePr w:w="0" w:hSpace="0" w:vSpace="0" w:wrap="auto" w:vAnchor="margin" w:hAnchor="text" w:xAlign="left" w:yAlign="inline"/>
        <w:tabs>
          <w:tab w:val="left" w:pos="1930"/>
        </w:tabs>
        <w:spacing w:after="0"/>
        <w:rPr>
          <w:b/>
          <w:iCs/>
          <w:lang w:val="fr-FR"/>
        </w:rPr>
      </w:pPr>
      <w:r w:rsidRPr="005E7ADF">
        <w:rPr>
          <w:b/>
          <w:iCs/>
          <w:lang w:val="fr-FR"/>
        </w:rPr>
        <w:t>ABSTRACT</w:t>
      </w:r>
    </w:p>
    <w:p w14:paraId="377FBF07" w14:textId="5DB16F87" w:rsidR="00B32D97" w:rsidRDefault="00211731" w:rsidP="00193AF1">
      <w:pPr>
        <w:pStyle w:val="NormalWeb"/>
        <w:spacing w:before="0" w:beforeAutospacing="0"/>
        <w:jc w:val="both"/>
        <w:rPr>
          <w:i/>
          <w:sz w:val="22"/>
          <w:szCs w:val="22"/>
          <w:shd w:val="clear" w:color="auto" w:fill="FFFFFF"/>
        </w:rPr>
      </w:pPr>
      <w:r w:rsidRPr="005E7ADF">
        <w:rPr>
          <w:i/>
          <w:sz w:val="22"/>
          <w:szCs w:val="22"/>
          <w:shd w:val="clear" w:color="auto" w:fill="FFFFFF"/>
        </w:rPr>
        <w:t>This research investigate</w:t>
      </w:r>
      <w:r w:rsidR="00840CB6">
        <w:rPr>
          <w:i/>
          <w:sz w:val="22"/>
          <w:szCs w:val="22"/>
          <w:shd w:val="clear" w:color="auto" w:fill="FFFFFF"/>
        </w:rPr>
        <w:t>d</w:t>
      </w:r>
      <w:r w:rsidRPr="005E7ADF">
        <w:rPr>
          <w:i/>
          <w:sz w:val="22"/>
          <w:szCs w:val="22"/>
          <w:shd w:val="clear" w:color="auto" w:fill="FFFFFF"/>
        </w:rPr>
        <w:t xml:space="preserve"> the </w:t>
      </w:r>
      <w:r w:rsidR="00B32D97">
        <w:rPr>
          <w:i/>
          <w:sz w:val="22"/>
          <w:szCs w:val="22"/>
          <w:shd w:val="clear" w:color="auto" w:fill="FFFFFF"/>
        </w:rPr>
        <w:t>e</w:t>
      </w:r>
      <w:r w:rsidR="00B32D97" w:rsidRPr="00B32D97">
        <w:rPr>
          <w:i/>
          <w:sz w:val="22"/>
          <w:szCs w:val="22"/>
          <w:shd w:val="clear" w:color="auto" w:fill="FFFFFF"/>
        </w:rPr>
        <w:t>ffect of Distribution of Political Power on Sustainable peace in Unity State, South Sudan</w:t>
      </w:r>
      <w:r w:rsidRPr="005E7ADF">
        <w:rPr>
          <w:i/>
          <w:sz w:val="22"/>
          <w:szCs w:val="22"/>
          <w:shd w:val="clear" w:color="auto" w:fill="FFFFFF"/>
        </w:rPr>
        <w:t xml:space="preserve">. </w:t>
      </w:r>
      <w:r w:rsidR="00B32D97" w:rsidRPr="00B32D97">
        <w:rPr>
          <w:i/>
          <w:sz w:val="22"/>
          <w:szCs w:val="22"/>
          <w:shd w:val="clear" w:color="auto" w:fill="FFFFFF"/>
        </w:rPr>
        <w:t>The study involved a total population of 240 participants, including individuals and groups who were either directly engaged in or influenced by the political power relations and security conditions in Unity State, South Sudan. This group comprised</w:t>
      </w:r>
      <w:r w:rsidR="00840CB6">
        <w:rPr>
          <w:i/>
          <w:sz w:val="22"/>
          <w:szCs w:val="22"/>
          <w:shd w:val="clear" w:color="auto" w:fill="FFFFFF"/>
        </w:rPr>
        <w:t xml:space="preserve"> of</w:t>
      </w:r>
      <w:r w:rsidR="00B32D97" w:rsidRPr="00B32D97">
        <w:rPr>
          <w:i/>
          <w:sz w:val="22"/>
          <w:szCs w:val="22"/>
          <w:shd w:val="clear" w:color="auto" w:fill="FFFFFF"/>
        </w:rPr>
        <w:t xml:space="preserve"> key stakeholders such as government officials, local ethnic leaders, community members, and security personnel operating within the state. Participants were selected based on their direct involvement in, or awareness of, the political structures and security issues in the area.</w:t>
      </w:r>
      <w:r w:rsidR="00B32D97">
        <w:rPr>
          <w:i/>
          <w:sz w:val="22"/>
          <w:szCs w:val="22"/>
          <w:shd w:val="clear" w:color="auto" w:fill="FFFFFF"/>
        </w:rPr>
        <w:t xml:space="preserve"> </w:t>
      </w:r>
      <w:r w:rsidR="00B32D97" w:rsidRPr="00B32D97">
        <w:rPr>
          <w:i/>
          <w:sz w:val="22"/>
          <w:szCs w:val="22"/>
          <w:shd w:val="clear" w:color="auto" w:fill="FFFFFF"/>
        </w:rPr>
        <w:t>A sample size of 150 respondents was calculated using Slovin’s formula. The data collection process began with a preparation stage, during which research tools such as questionnaires and semi-structured interview guides were developed, evaluated, and pre-tested to ensure they were clear and appropriate. Questionnaires were the main instrument used to collect quantitative data on political power relations and sustainable peace in Unity State.</w:t>
      </w:r>
      <w:r w:rsidR="00B32D97">
        <w:rPr>
          <w:i/>
          <w:sz w:val="22"/>
          <w:szCs w:val="22"/>
          <w:shd w:val="clear" w:color="auto" w:fill="FFFFFF"/>
        </w:rPr>
        <w:t xml:space="preserve"> </w:t>
      </w:r>
      <w:r w:rsidR="00B32D97" w:rsidRPr="00B32D97">
        <w:rPr>
          <w:i/>
          <w:sz w:val="22"/>
          <w:szCs w:val="22"/>
          <w:shd w:val="clear" w:color="auto" w:fill="FFFFFF"/>
        </w:rPr>
        <w:t>For reliability testing, questionnaires were first administered to ten individuals who were not included in the final sample. Their responses were processed using SPSS software to determine Cronbach’s alpha coefficient. Quantitative data were therefore collected through structured surveys, allowing for the gathering of numerical information on participants’ perceptions of political power dynamics and sustainable peace.</w:t>
      </w:r>
      <w:r w:rsidR="00B32D97">
        <w:rPr>
          <w:i/>
          <w:sz w:val="22"/>
          <w:szCs w:val="22"/>
          <w:shd w:val="clear" w:color="auto" w:fill="FFFFFF"/>
        </w:rPr>
        <w:t xml:space="preserve"> </w:t>
      </w:r>
      <w:r w:rsidR="00B32D97" w:rsidRPr="00B32D97">
        <w:rPr>
          <w:i/>
          <w:sz w:val="22"/>
          <w:szCs w:val="22"/>
          <w:shd w:val="clear" w:color="auto" w:fill="FFFFFF"/>
        </w:rPr>
        <w:t>Qualitative data, on the other hand, were collected through semi-structured interviews, which enabled a more detailed examination of participants’ experiences, views, and insights into the complex political and security situation in Unity State.</w:t>
      </w:r>
      <w:r w:rsidRPr="005E7ADF">
        <w:rPr>
          <w:i/>
          <w:sz w:val="22"/>
          <w:szCs w:val="22"/>
          <w:shd w:val="clear" w:color="auto" w:fill="FFFFFF"/>
        </w:rPr>
        <w:t xml:space="preserve"> </w:t>
      </w:r>
      <w:r w:rsidR="00B32D97" w:rsidRPr="00B32D97">
        <w:rPr>
          <w:i/>
          <w:sz w:val="22"/>
          <w:szCs w:val="22"/>
          <w:shd w:val="clear" w:color="auto" w:fill="FFFFFF"/>
        </w:rPr>
        <w:t>Questionnaires and interviews were the primary methods of data collection, and the data obtained were analyzed using descriptive statistics, Pearson correlation, and regression analysis. Descriptive statistics were applied to summarize and present the data in a meaningful way, while Pearson correlation was used to examine the strength and direction of relationships between variables.</w:t>
      </w:r>
      <w:r w:rsidR="00F0327F">
        <w:rPr>
          <w:i/>
          <w:sz w:val="22"/>
          <w:szCs w:val="22"/>
          <w:shd w:val="clear" w:color="auto" w:fill="FFFFFF"/>
        </w:rPr>
        <w:t xml:space="preserve"> </w:t>
      </w:r>
      <w:r w:rsidR="00F0327F" w:rsidRPr="00F0327F">
        <w:rPr>
          <w:i/>
          <w:sz w:val="22"/>
          <w:szCs w:val="22"/>
          <w:shd w:val="clear" w:color="auto" w:fill="FFFFFF"/>
        </w:rPr>
        <w:t xml:space="preserve">Regression analysis was conducted to determine the extent to which the distribution of political power influences sustainable peace in Unity State, South Sudan. </w:t>
      </w:r>
      <w:r w:rsidR="0055465C" w:rsidRPr="0055465C">
        <w:rPr>
          <w:i/>
          <w:sz w:val="22"/>
          <w:szCs w:val="22"/>
          <w:shd w:val="clear" w:color="auto" w:fill="FFFFFF"/>
        </w:rPr>
        <w:t>The findings reveal a strong and statistically significant positive relationship between the distribution of political power and sustainable peace in Unity State, South Sudan. The analysis shows that political power distribution accounts for approximately 37.5% of the variation in sustainable peace, indicating that equitable power-sharing plays a substantial role in promoting stability. The regression model was found to be reliable and significant, with results demonstrating that improvements in fair political representation lead to corresponding increases in sustainable peace. The study concludes that the distribution of political power is a critical determinant of sustainable peace in Unity State, South Sudan. The findings demonstrate that equitable and inclusive power-sharing significantly contributes to stability, security, and conflict reduction. Conversely, unequal concentration of political power continues to undermine peace efforts.</w:t>
      </w:r>
      <w:r w:rsidR="0055465C" w:rsidRPr="0055465C">
        <w:t xml:space="preserve"> </w:t>
      </w:r>
      <w:r w:rsidR="0055465C" w:rsidRPr="0055465C">
        <w:rPr>
          <w:i/>
          <w:sz w:val="22"/>
          <w:szCs w:val="22"/>
          <w:shd w:val="clear" w:color="auto" w:fill="FFFFFF"/>
        </w:rPr>
        <w:t>The study recommends that policymakers and stakeholders prioritize the establishment of inclusive and equitable power-sharing frameworks in Unity State to enhance sustainable peace. Government institutions should promote fair political representation of all ethnic and social groups, ensuring that no group is marginalized in decision-making processes.</w:t>
      </w:r>
    </w:p>
    <w:p w14:paraId="3AD039B9" w14:textId="77777777" w:rsidR="0055465C" w:rsidRPr="005E7ADF" w:rsidRDefault="00211731" w:rsidP="0055465C">
      <w:pPr>
        <w:pStyle w:val="NormalWeb"/>
        <w:spacing w:before="0" w:beforeAutospacing="0"/>
        <w:jc w:val="both"/>
        <w:rPr>
          <w:i/>
          <w:sz w:val="22"/>
          <w:szCs w:val="22"/>
        </w:rPr>
      </w:pPr>
      <w:r w:rsidRPr="005E7ADF">
        <w:rPr>
          <w:b/>
          <w:i/>
          <w:sz w:val="22"/>
          <w:szCs w:val="22"/>
          <w:shd w:val="clear" w:color="auto" w:fill="FFFFFF"/>
        </w:rPr>
        <w:t>Keywords:</w:t>
      </w:r>
      <w:r w:rsidRPr="005E7ADF">
        <w:rPr>
          <w:i/>
          <w:sz w:val="22"/>
          <w:szCs w:val="22"/>
          <w:shd w:val="clear" w:color="auto" w:fill="FFFFFF"/>
        </w:rPr>
        <w:t xml:space="preserve"> </w:t>
      </w:r>
      <w:r w:rsidR="0055465C" w:rsidRPr="0055465C">
        <w:rPr>
          <w:i/>
          <w:sz w:val="22"/>
          <w:szCs w:val="22"/>
        </w:rPr>
        <w:t>Political Power Distribution</w:t>
      </w:r>
      <w:r w:rsidR="0055465C">
        <w:rPr>
          <w:i/>
          <w:sz w:val="22"/>
          <w:szCs w:val="22"/>
        </w:rPr>
        <w:t xml:space="preserve">, </w:t>
      </w:r>
      <w:r w:rsidR="0055465C" w:rsidRPr="0055465C">
        <w:rPr>
          <w:i/>
          <w:sz w:val="22"/>
          <w:szCs w:val="22"/>
        </w:rPr>
        <w:t>Sustainable Peace</w:t>
      </w:r>
      <w:r w:rsidR="0055465C">
        <w:rPr>
          <w:i/>
          <w:sz w:val="22"/>
          <w:szCs w:val="22"/>
        </w:rPr>
        <w:t xml:space="preserve">, </w:t>
      </w:r>
      <w:r w:rsidR="0055465C" w:rsidRPr="0055465C">
        <w:rPr>
          <w:i/>
          <w:sz w:val="22"/>
          <w:szCs w:val="22"/>
        </w:rPr>
        <w:t>Power Sharing</w:t>
      </w:r>
      <w:r w:rsidR="0055465C">
        <w:rPr>
          <w:i/>
          <w:sz w:val="22"/>
          <w:szCs w:val="22"/>
        </w:rPr>
        <w:t xml:space="preserve">, </w:t>
      </w:r>
      <w:r w:rsidR="0055465C" w:rsidRPr="0055465C">
        <w:rPr>
          <w:i/>
          <w:sz w:val="22"/>
          <w:szCs w:val="22"/>
        </w:rPr>
        <w:t>Conflict Resolution</w:t>
      </w:r>
    </w:p>
    <w:p w14:paraId="6143414D" w14:textId="77777777" w:rsidR="0064026E" w:rsidRPr="005E7ADF" w:rsidRDefault="00182B64" w:rsidP="004C661A">
      <w:pPr>
        <w:spacing w:before="480" w:line="240" w:lineRule="auto"/>
        <w:rPr>
          <w:rFonts w:ascii="Times New Roman" w:hAnsi="Times New Roman"/>
          <w:b/>
        </w:rPr>
      </w:pPr>
      <w:r w:rsidRPr="005E7ADF">
        <w:rPr>
          <w:rFonts w:ascii="Times New Roman" w:hAnsi="Times New Roman"/>
          <w:b/>
        </w:rPr>
        <w:t>1.0. Introduction</w:t>
      </w:r>
    </w:p>
    <w:p w14:paraId="6C2D11AB" w14:textId="77777777" w:rsidR="000D2DFA" w:rsidRPr="000D2DFA" w:rsidRDefault="000D2DFA" w:rsidP="000D2DFA">
      <w:pPr>
        <w:spacing w:before="240" w:line="240" w:lineRule="auto"/>
        <w:jc w:val="both"/>
        <w:rPr>
          <w:rFonts w:ascii="Times New Roman" w:hAnsi="Times New Roman"/>
          <w:shd w:val="clear" w:color="auto" w:fill="FFFFFF"/>
        </w:rPr>
      </w:pPr>
      <w:r w:rsidRPr="000D2DFA">
        <w:rPr>
          <w:rFonts w:ascii="Times New Roman" w:hAnsi="Times New Roman"/>
          <w:shd w:val="clear" w:color="auto" w:fill="FFFFFF"/>
        </w:rPr>
        <w:t xml:space="preserve">The pursuit of sustainable peace in conflict-affected societies has increasingly drawn attention to the role of political power distribution in shaping stability and governance outcomes. Contemporary peace and conflict scholarship emphasizes that unequal or exclusionary political systems often generate grievances that can escalate into violent conflict, whereas inclusive and participatory governance structures are more likely to foster long-term peace (Dahl, 2017; Lederach, 2018; United Nations, </w:t>
      </w:r>
      <w:r w:rsidRPr="000D2DFA">
        <w:rPr>
          <w:rFonts w:ascii="Times New Roman" w:hAnsi="Times New Roman"/>
          <w:shd w:val="clear" w:color="auto" w:fill="FFFFFF"/>
        </w:rPr>
        <w:lastRenderedPageBreak/>
        <w:t>2023). In this regard, the equitable allocation of political authority is not only a normative democratic principle but also a practical necessity for conflict prevention and post-conflict recovery. Empirical studies further demonstrate that the dynamics of organized violence are closely linked to political exclusion, weak institutions, and contested state authority (Allansson et al</w:t>
      </w:r>
      <w:r>
        <w:rPr>
          <w:rFonts w:ascii="Times New Roman" w:hAnsi="Times New Roman"/>
          <w:shd w:val="clear" w:color="auto" w:fill="FFFFFF"/>
        </w:rPr>
        <w:t>., 2020; Sriram &amp; Zahar, 2020).</w:t>
      </w:r>
    </w:p>
    <w:p w14:paraId="180BC024" w14:textId="77777777" w:rsidR="000D2DFA" w:rsidRPr="000D2DFA" w:rsidRDefault="000D2DFA" w:rsidP="000D2DFA">
      <w:pPr>
        <w:spacing w:before="240" w:line="240" w:lineRule="auto"/>
        <w:jc w:val="both"/>
        <w:rPr>
          <w:rFonts w:ascii="Times New Roman" w:hAnsi="Times New Roman"/>
          <w:shd w:val="clear" w:color="auto" w:fill="FFFFFF"/>
        </w:rPr>
      </w:pPr>
      <w:r w:rsidRPr="000D2DFA">
        <w:rPr>
          <w:rFonts w:ascii="Times New Roman" w:hAnsi="Times New Roman"/>
          <w:shd w:val="clear" w:color="auto" w:fill="FFFFFF"/>
        </w:rPr>
        <w:t xml:space="preserve">Globally, power-sharing arrangements have emerged as a prominent strategy for managing conflict and facilitating peacebuilding in divided societies. Evidence from diverse contexts—including Iraq, Bosnia, and Nepal—suggests that inclusive political settlements can reduce hostilities and promote cooperation among rival groups, although their success often depends on effective implementation and institutional capacity (Abadi, 2021; Gibney, 2019; Chandran, 2018). At the same time, the literature highlights the risks associated with poorly designed or elite-driven power-sharing systems, which may entrench divisions or perpetuate instability (Nathan, 2019; Brosché &amp; Höglund, 2021). In resource-rich regions such as the Niger Delta and the Democratic Republic of Congo, competition over political control and access to natural resources has further intensified conflict, particularly where governance structures are weak or exclusionary (Adele, 2020; Carter, 2021). These global experiences underscore the importance of balancing political inclusion with institutional effectiveness </w:t>
      </w:r>
      <w:r>
        <w:rPr>
          <w:rFonts w:ascii="Times New Roman" w:hAnsi="Times New Roman"/>
          <w:shd w:val="clear" w:color="auto" w:fill="FFFFFF"/>
        </w:rPr>
        <w:t>in achieving sustainable peace.</w:t>
      </w:r>
    </w:p>
    <w:p w14:paraId="15D6D1AA" w14:textId="77777777" w:rsidR="000D2DFA" w:rsidRPr="000D2DFA" w:rsidRDefault="000D2DFA" w:rsidP="000D2DFA">
      <w:pPr>
        <w:spacing w:before="240" w:line="240" w:lineRule="auto"/>
        <w:jc w:val="both"/>
        <w:rPr>
          <w:rFonts w:ascii="Times New Roman" w:hAnsi="Times New Roman"/>
          <w:shd w:val="clear" w:color="auto" w:fill="FFFFFF"/>
        </w:rPr>
      </w:pPr>
      <w:r w:rsidRPr="000D2DFA">
        <w:rPr>
          <w:rFonts w:ascii="Times New Roman" w:hAnsi="Times New Roman"/>
          <w:shd w:val="clear" w:color="auto" w:fill="FFFFFF"/>
        </w:rPr>
        <w:t>In South Sudan, the distribution of political power remains a central driver of conflict and instability. Since independence in 2011, the country has experienced recurrent violence rooted in political rivalry, ethnic divisions, and competition over oil resources (Johnson, 2021; Keller, 2017). Unity State, in particular, represents a critical case due to its strategic importance as an oil-producing region and its history of intercommunal violence. The concentration of political authority among dominant groups, coupled with the marginalization of others, has contributed to cycles of insecurity, displacement, and weakened governance structures (Deng, 2019; Moyo, 2019). Moreover, the involvement of local militias and informal power networks has further complicated efforts to establish effective and inclusive governance (Williams, 2021; Callahan, 2</w:t>
      </w:r>
      <w:r>
        <w:rPr>
          <w:rFonts w:ascii="Times New Roman" w:hAnsi="Times New Roman"/>
          <w:shd w:val="clear" w:color="auto" w:fill="FFFFFF"/>
        </w:rPr>
        <w:t>022).</w:t>
      </w:r>
    </w:p>
    <w:p w14:paraId="6D361D27" w14:textId="77777777" w:rsidR="000D2DFA" w:rsidRPr="000D2DFA" w:rsidRDefault="000D2DFA" w:rsidP="000D2DFA">
      <w:pPr>
        <w:spacing w:before="240" w:line="240" w:lineRule="auto"/>
        <w:jc w:val="both"/>
        <w:rPr>
          <w:rFonts w:ascii="Times New Roman" w:hAnsi="Times New Roman"/>
          <w:shd w:val="clear" w:color="auto" w:fill="FFFFFF"/>
        </w:rPr>
      </w:pPr>
      <w:r w:rsidRPr="000D2DFA">
        <w:rPr>
          <w:rFonts w:ascii="Times New Roman" w:hAnsi="Times New Roman"/>
          <w:shd w:val="clear" w:color="auto" w:fill="FFFFFF"/>
        </w:rPr>
        <w:t>Efforts to address these challenges have centered on the adoption of power-sharing arrangements as part of broader peace agreements. The Revitalized Agreement on the Resolution of the Conflict in South Sudan (R-ARCSS) represents a key attempt to promote inclusive governance and equitable political representation among competing factions (International Crisis Group, 2022; Samii, 2021). However, the implementation of such frameworks has been constrained by persistent challenges, including elite dominance, lack of trust among stakeholders, and limited participation at the community level (Pagan, 2020; Nathan, 2019). These limitations raise important questions regarding the extent to which political power distribution contributes to sustainable peace, particularly in sub-nationa</w:t>
      </w:r>
      <w:r>
        <w:rPr>
          <w:rFonts w:ascii="Times New Roman" w:hAnsi="Times New Roman"/>
          <w:shd w:val="clear" w:color="auto" w:fill="FFFFFF"/>
        </w:rPr>
        <w:t>l contexts such as Unity State.</w:t>
      </w:r>
    </w:p>
    <w:p w14:paraId="50095C6D" w14:textId="77777777" w:rsidR="000D2DFA" w:rsidRDefault="000D2DFA" w:rsidP="000972F2">
      <w:pPr>
        <w:spacing w:before="240" w:line="240" w:lineRule="auto"/>
        <w:jc w:val="both"/>
        <w:rPr>
          <w:rFonts w:ascii="Times New Roman" w:hAnsi="Times New Roman"/>
          <w:shd w:val="clear" w:color="auto" w:fill="FFFFFF"/>
        </w:rPr>
      </w:pPr>
      <w:r w:rsidRPr="000D2DFA">
        <w:rPr>
          <w:rFonts w:ascii="Times New Roman" w:hAnsi="Times New Roman"/>
          <w:shd w:val="clear" w:color="auto" w:fill="FFFFFF"/>
        </w:rPr>
        <w:t>Despite extensive scholarship on power-sharing and conflict resolution, there remains a notable gap in empirical research examining the specific relationship between political power distribution and sustainable peace at the state level in South Sudan. This study seeks to address this gap by investigating how the allocation of political power influences peace outcomes in Unity State. By integrating quantitative and qualitative approaches, the study aims to provide a comprehensive analysis of the role of inclusive governance in enhancing stability, reducing conflict, and promoting sustainable peace in the region.</w:t>
      </w:r>
    </w:p>
    <w:p w14:paraId="122B93CC" w14:textId="77777777" w:rsidR="00F84348" w:rsidRPr="005E7ADF" w:rsidRDefault="00182B64" w:rsidP="004C661A">
      <w:pPr>
        <w:spacing w:before="240" w:after="0" w:line="240" w:lineRule="auto"/>
        <w:jc w:val="both"/>
        <w:rPr>
          <w:rFonts w:ascii="Times New Roman" w:hAnsi="Times New Roman"/>
          <w:b/>
          <w:lang w:bidi="en-US"/>
        </w:rPr>
      </w:pPr>
      <w:r w:rsidRPr="005E7ADF">
        <w:rPr>
          <w:rFonts w:ascii="Times New Roman" w:hAnsi="Times New Roman"/>
          <w:b/>
          <w:lang w:bidi="en-US"/>
        </w:rPr>
        <w:t xml:space="preserve">1.1. </w:t>
      </w:r>
      <w:r w:rsidR="00F84348" w:rsidRPr="005E7ADF">
        <w:rPr>
          <w:rFonts w:ascii="Times New Roman" w:hAnsi="Times New Roman"/>
          <w:b/>
          <w:lang w:bidi="en-US"/>
        </w:rPr>
        <w:t>Statement</w:t>
      </w:r>
      <w:r w:rsidRPr="005E7ADF">
        <w:rPr>
          <w:rFonts w:ascii="Times New Roman" w:hAnsi="Times New Roman"/>
          <w:b/>
          <w:lang w:bidi="en-US"/>
        </w:rPr>
        <w:t xml:space="preserve"> of the Problem</w:t>
      </w:r>
    </w:p>
    <w:p w14:paraId="2CD1B68D" w14:textId="77777777" w:rsidR="000D2DFA" w:rsidRPr="000D2DFA" w:rsidRDefault="000D2DFA" w:rsidP="000D2DFA">
      <w:pPr>
        <w:spacing w:before="240" w:line="240" w:lineRule="auto"/>
        <w:jc w:val="both"/>
        <w:rPr>
          <w:rFonts w:ascii="Times New Roman" w:hAnsi="Times New Roman"/>
          <w:shd w:val="clear" w:color="auto" w:fill="FFFFFF"/>
        </w:rPr>
      </w:pPr>
      <w:bookmarkStart w:id="0" w:name="_Toc130068189"/>
      <w:bookmarkStart w:id="1" w:name="_Toc153270089"/>
      <w:r w:rsidRPr="000D2DFA">
        <w:rPr>
          <w:rFonts w:ascii="Times New Roman" w:hAnsi="Times New Roman"/>
          <w:shd w:val="clear" w:color="auto" w:fill="FFFFFF"/>
        </w:rPr>
        <w:t xml:space="preserve">In an ideal situation, sustainable peace in Unity State, South Sudan, would be achieved through an inclusive and equitable distribution of political power that ensures meaningful participation of all ethnic and political groups in governance processes. Such a system would promote transparency, accountability, and trust among communities, thereby reducing grievances that often lead to conflict. Inclusive governance structures and fair representation are widely recognized as essential conditions for stabilizing divided societies and fostering long-term peace (Dahl, 2017; Lederach, 2018; United </w:t>
      </w:r>
      <w:r w:rsidRPr="000D2DFA">
        <w:rPr>
          <w:rFonts w:ascii="Times New Roman" w:hAnsi="Times New Roman"/>
          <w:shd w:val="clear" w:color="auto" w:fill="FFFFFF"/>
        </w:rPr>
        <w:lastRenderedPageBreak/>
        <w:t>Nations, 2023). In this context, power-sharing arrangements are expected to mitigate tensions and create opportunities for cooperation among</w:t>
      </w:r>
      <w:r>
        <w:rPr>
          <w:rFonts w:ascii="Times New Roman" w:hAnsi="Times New Roman"/>
          <w:shd w:val="clear" w:color="auto" w:fill="FFFFFF"/>
        </w:rPr>
        <w:t xml:space="preserve"> previously conflicting groups.</w:t>
      </w:r>
    </w:p>
    <w:p w14:paraId="045516F8" w14:textId="77777777" w:rsidR="000D2DFA" w:rsidRPr="000D2DFA" w:rsidRDefault="000D2DFA" w:rsidP="000D2DFA">
      <w:pPr>
        <w:spacing w:before="240" w:line="240" w:lineRule="auto"/>
        <w:jc w:val="both"/>
        <w:rPr>
          <w:rFonts w:ascii="Times New Roman" w:hAnsi="Times New Roman"/>
          <w:shd w:val="clear" w:color="auto" w:fill="FFFFFF"/>
        </w:rPr>
      </w:pPr>
      <w:r w:rsidRPr="000D2DFA">
        <w:rPr>
          <w:rFonts w:ascii="Times New Roman" w:hAnsi="Times New Roman"/>
          <w:shd w:val="clear" w:color="auto" w:fill="FFFFFF"/>
        </w:rPr>
        <w:t>However, the current situation in Unity State reflects persistent imbalances in the distribution of political power, which continue to undermine peace and stability. Political authority has often been concentrated among dominant ethnic and political elites, particularly within a context marked by competition between groups such as the Dinka and Nuer. This imbalance has contributed to recurring cycles of violence, with reports indicating that a significant proportion of conflict incidents in South Sudan are linked to political exclusion and competition over resources and leadership positions (Allansson et al., 2020; Johnson, 2021). In Unity State, such dynamics are further intensified by the control of oil resources, which fuels political rivalry and weakens inclusive governance. For example, contested appointments, marginalization of local leaders, and limited representation in decision-making bodies have been frequently cited as contributing factors to instability in the reg</w:t>
      </w:r>
      <w:r>
        <w:rPr>
          <w:rFonts w:ascii="Times New Roman" w:hAnsi="Times New Roman"/>
          <w:shd w:val="clear" w:color="auto" w:fill="FFFFFF"/>
        </w:rPr>
        <w:t>ion (Keller, 2017; Moyo, 2019).</w:t>
      </w:r>
    </w:p>
    <w:p w14:paraId="4F5ED01B" w14:textId="77777777" w:rsidR="000D2DFA" w:rsidRPr="000D2DFA" w:rsidRDefault="000D2DFA" w:rsidP="000D2DFA">
      <w:pPr>
        <w:spacing w:before="240" w:line="240" w:lineRule="auto"/>
        <w:jc w:val="both"/>
        <w:rPr>
          <w:rFonts w:ascii="Times New Roman" w:hAnsi="Times New Roman"/>
          <w:shd w:val="clear" w:color="auto" w:fill="FFFFFF"/>
        </w:rPr>
      </w:pPr>
      <w:r w:rsidRPr="000D2DFA">
        <w:rPr>
          <w:rFonts w:ascii="Times New Roman" w:hAnsi="Times New Roman"/>
          <w:shd w:val="clear" w:color="auto" w:fill="FFFFFF"/>
        </w:rPr>
        <w:t>The consequences of this unequal distribution of political power are far-reaching. It has led to persistent insecurity, intercommunal clashes, displacement of populations, and weakened state institutions. The lack of inclusive governance has also eroded public trust in political processes and reduced the effectiveness of peace agreements intended to stabilize the country. In addition, the continued reliance on informal power structures and armed groups has further complicated efforts to establish rule-based governance and sustainable peace (Williams, 2021; Callahan, 2022). These challenges not only hinder development but also perpetuate a cycle of instability that affects both local communities an</w:t>
      </w:r>
      <w:r>
        <w:rPr>
          <w:rFonts w:ascii="Times New Roman" w:hAnsi="Times New Roman"/>
          <w:shd w:val="clear" w:color="auto" w:fill="FFFFFF"/>
        </w:rPr>
        <w:t>d the broader national context.</w:t>
      </w:r>
    </w:p>
    <w:p w14:paraId="03627580" w14:textId="77777777" w:rsidR="000D2DFA" w:rsidRDefault="000D2DFA" w:rsidP="00D86AF6">
      <w:pPr>
        <w:spacing w:before="240" w:line="240" w:lineRule="auto"/>
        <w:jc w:val="both"/>
        <w:rPr>
          <w:rFonts w:ascii="Times New Roman" w:hAnsi="Times New Roman"/>
          <w:shd w:val="clear" w:color="auto" w:fill="FFFFFF"/>
        </w:rPr>
      </w:pPr>
      <w:r w:rsidRPr="000D2DFA">
        <w:rPr>
          <w:rFonts w:ascii="Times New Roman" w:hAnsi="Times New Roman"/>
          <w:shd w:val="clear" w:color="auto" w:fill="FFFFFF"/>
        </w:rPr>
        <w:t>Despite extensive policy interventions and peace agreements such as the Revitalized Agreement on the Resolution of the Conflict in South Sudan (R-ARCSS), which emphasize inclusive governance and power-sharing, there remains limited empirical evidence on how the distribution of political power specifically influences sustainable peace at the sub-national level, particularly in Unity State (International Crisis Group, 2022; Pagan, 2020). Most existing studies focus on national-level dynamics or provide generalized insights without adequately capturing localized realities. Therefore, a clear gap exists in understanding the extent to which political power distribution affects sustainable peace in Unity State, necessitating an in-depth investigation to inform more effective and context-specific policy interventions.</w:t>
      </w:r>
    </w:p>
    <w:p w14:paraId="7342733B" w14:textId="77777777" w:rsidR="000903D7" w:rsidRPr="005E7ADF" w:rsidRDefault="00182B64" w:rsidP="004C661A">
      <w:pPr>
        <w:spacing w:line="240" w:lineRule="auto"/>
        <w:rPr>
          <w:rFonts w:ascii="Times New Roman" w:hAnsi="Times New Roman"/>
          <w:b/>
        </w:rPr>
      </w:pPr>
      <w:r w:rsidRPr="005E7ADF">
        <w:rPr>
          <w:rFonts w:ascii="Times New Roman" w:hAnsi="Times New Roman"/>
          <w:b/>
        </w:rPr>
        <w:t>1.2. Theoretical</w:t>
      </w:r>
      <w:r w:rsidR="000903D7" w:rsidRPr="005E7ADF">
        <w:rPr>
          <w:rFonts w:ascii="Times New Roman" w:hAnsi="Times New Roman"/>
          <w:b/>
        </w:rPr>
        <w:t xml:space="preserve"> Framework</w:t>
      </w:r>
    </w:p>
    <w:p w14:paraId="574BA66D" w14:textId="77777777" w:rsidR="000D2DFA" w:rsidRPr="000D2DFA" w:rsidRDefault="000D2DFA" w:rsidP="000D2DFA">
      <w:pPr>
        <w:spacing w:before="240" w:line="240" w:lineRule="auto"/>
        <w:jc w:val="both"/>
        <w:rPr>
          <w:rFonts w:ascii="Times New Roman" w:hAnsi="Times New Roman"/>
          <w:shd w:val="clear" w:color="auto" w:fill="FFFFFF"/>
        </w:rPr>
      </w:pPr>
      <w:r>
        <w:rPr>
          <w:rFonts w:ascii="Times New Roman" w:hAnsi="Times New Roman"/>
          <w:shd w:val="clear" w:color="auto" w:fill="FFFFFF"/>
        </w:rPr>
        <w:t>The study wa</w:t>
      </w:r>
      <w:r w:rsidRPr="000D2DFA">
        <w:rPr>
          <w:rFonts w:ascii="Times New Roman" w:hAnsi="Times New Roman"/>
          <w:shd w:val="clear" w:color="auto" w:fill="FFFFFF"/>
        </w:rPr>
        <w:t>s grounded in Political Power Theory, primarily associated with the works of Robert A. Dahl (2017) and further developed through contributions by Michel Foucault (2018) on the nature and distribution of power in society. Political Power Theory posits that power is a central element in governance and social organization, and its distribution significantly influences decision-making processes, resource allocation, and societal stability. Dahl (2017) conceptualizes power as the ability of one actor to influence the behavior of another, emphasizing that democratic systems function optimally when political power is widely dispersed among competing groups rather than concentrated in the hands of a few elites. In this regard, inclusive participation and equitable representation are essential for achieving balanced governance and reducing</w:t>
      </w:r>
      <w:r>
        <w:rPr>
          <w:rFonts w:ascii="Times New Roman" w:hAnsi="Times New Roman"/>
          <w:shd w:val="clear" w:color="auto" w:fill="FFFFFF"/>
        </w:rPr>
        <w:t xml:space="preserve"> tensions in divided societies.</w:t>
      </w:r>
    </w:p>
    <w:p w14:paraId="0C3C9784" w14:textId="77777777" w:rsidR="000D2DFA" w:rsidRPr="000D2DFA" w:rsidRDefault="000D2DFA" w:rsidP="000D2DFA">
      <w:pPr>
        <w:spacing w:before="240" w:line="240" w:lineRule="auto"/>
        <w:jc w:val="both"/>
        <w:rPr>
          <w:rFonts w:ascii="Times New Roman" w:hAnsi="Times New Roman"/>
          <w:shd w:val="clear" w:color="auto" w:fill="FFFFFF"/>
        </w:rPr>
      </w:pPr>
      <w:r w:rsidRPr="000D2DFA">
        <w:rPr>
          <w:rFonts w:ascii="Times New Roman" w:hAnsi="Times New Roman"/>
          <w:shd w:val="clear" w:color="auto" w:fill="FFFFFF"/>
        </w:rPr>
        <w:t>Foucault (2018), on the other hand, broadens the understanding of power by viewing it as something that is not only held by institutions but also exercised through social relations, discourses, and networks within society. From this perspective, political power is embedded in everyday interactions and structures, meaning that unequal access to political authority can perpetuate dominance, marginalization, and conflict. When applied to conflict-affected settings, the theory suggests that imbalances in power distribution—particularly along ethnic or political lines—can reinforce exclusion, deepen grievances, and trigger instability. Conversely, a more inclusive distribution of power can enhance legitimacy, strengthen institutions, and promote co</w:t>
      </w:r>
      <w:r>
        <w:rPr>
          <w:rFonts w:ascii="Times New Roman" w:hAnsi="Times New Roman"/>
          <w:shd w:val="clear" w:color="auto" w:fill="FFFFFF"/>
        </w:rPr>
        <w:t>operation among diverse groups.</w:t>
      </w:r>
    </w:p>
    <w:p w14:paraId="0B8D565C" w14:textId="77777777" w:rsidR="000D2DFA" w:rsidRPr="000D2DFA" w:rsidRDefault="000D2DFA" w:rsidP="000D2DFA">
      <w:pPr>
        <w:spacing w:before="240" w:line="240" w:lineRule="auto"/>
        <w:jc w:val="both"/>
        <w:rPr>
          <w:rFonts w:ascii="Times New Roman" w:hAnsi="Times New Roman"/>
          <w:shd w:val="clear" w:color="auto" w:fill="FFFFFF"/>
        </w:rPr>
      </w:pPr>
      <w:r w:rsidRPr="000D2DFA">
        <w:rPr>
          <w:rFonts w:ascii="Times New Roman" w:hAnsi="Times New Roman"/>
          <w:shd w:val="clear" w:color="auto" w:fill="FFFFFF"/>
        </w:rPr>
        <w:lastRenderedPageBreak/>
        <w:t>The relevance of Political Power Theory to this study lies in its explanation of how the allocation of political authority influences peace outcomes in Unity State, South Sudan. In contexts characterized by ethnic diversity and competition over political control, such as between major groups like the Dinka and Nuer, unequal distribution of power often translates into perceived or real marginalization of certain communities. According to scholars such as Francis M. Deng (2019), political exclusion in South Sudan has historically contributed to cycles of violence, mistrust, and fragmentation of governance structures. Similarly, studies on power-sharing in fragile states indicate that inclusive political arrangements can reduce conflict by ensuring that all stakeholders have a stake in governance and decision-making processes (Sam</w:t>
      </w:r>
      <w:r>
        <w:rPr>
          <w:rFonts w:ascii="Times New Roman" w:hAnsi="Times New Roman"/>
          <w:shd w:val="clear" w:color="auto" w:fill="FFFFFF"/>
        </w:rPr>
        <w:t>ii, 2021; Berti &amp; Paris, 2020).</w:t>
      </w:r>
    </w:p>
    <w:p w14:paraId="4836ABC3" w14:textId="77777777" w:rsidR="000D2DFA" w:rsidRDefault="000D2DFA" w:rsidP="004E41A6">
      <w:pPr>
        <w:spacing w:before="240" w:line="240" w:lineRule="auto"/>
        <w:jc w:val="both"/>
        <w:rPr>
          <w:rFonts w:ascii="Times New Roman" w:hAnsi="Times New Roman"/>
          <w:shd w:val="clear" w:color="auto" w:fill="FFFFFF"/>
        </w:rPr>
      </w:pPr>
      <w:r w:rsidRPr="000D2DFA">
        <w:rPr>
          <w:rFonts w:ascii="Times New Roman" w:hAnsi="Times New Roman"/>
          <w:shd w:val="clear" w:color="auto" w:fill="FFFFFF"/>
        </w:rPr>
        <w:t>In the context of Unity State, Political Power Theory provides a useful lens for examining how disparities in political representation and authority affect sustainable peace. Where political power is concentrated among specific groups, it can lead to exclusionary governance practices, limited participation, and heightened tensions, ultimately undermining peacebuilding efforts. On the other hand, equitable distribution of political power encourages inclusivity, enhances legitimacy of institutions, and fosters social cohesion. Therefore, this theory underpins the study by helping to explain the relationship between political power distribution and sustainable peace, highlighting the importance of balanced governance, inclusive participation, and fair representation as key drivers of stability in Unity State.</w:t>
      </w:r>
    </w:p>
    <w:p w14:paraId="74683559" w14:textId="77777777" w:rsidR="00945D2F" w:rsidRPr="005E7ADF" w:rsidRDefault="00182B64" w:rsidP="004C661A">
      <w:pPr>
        <w:spacing w:before="240" w:line="240" w:lineRule="auto"/>
        <w:jc w:val="both"/>
        <w:rPr>
          <w:rFonts w:ascii="Times New Roman" w:hAnsi="Times New Roman"/>
          <w:b/>
        </w:rPr>
      </w:pPr>
      <w:r w:rsidRPr="005E7ADF">
        <w:rPr>
          <w:rFonts w:ascii="Times New Roman" w:hAnsi="Times New Roman"/>
          <w:b/>
        </w:rPr>
        <w:t>1.3. Literature</w:t>
      </w:r>
      <w:r w:rsidR="000903D7" w:rsidRPr="005E7ADF">
        <w:rPr>
          <w:rFonts w:ascii="Times New Roman" w:hAnsi="Times New Roman"/>
          <w:b/>
        </w:rPr>
        <w:t xml:space="preserve"> Review</w:t>
      </w:r>
      <w:bookmarkStart w:id="2" w:name="_Toc449636811"/>
      <w:bookmarkStart w:id="3" w:name="_Toc488051895"/>
      <w:bookmarkStart w:id="4" w:name="_Toc148716266"/>
      <w:bookmarkStart w:id="5" w:name="_Toc157172682"/>
      <w:bookmarkStart w:id="6" w:name="_Toc179842837"/>
      <w:bookmarkStart w:id="7" w:name="_Toc519771400"/>
    </w:p>
    <w:p w14:paraId="5CD38B8B" w14:textId="77777777" w:rsidR="00DC6924" w:rsidRPr="005E7ADF" w:rsidRDefault="00182B64" w:rsidP="004C661A">
      <w:pPr>
        <w:pStyle w:val="Heading2"/>
        <w:numPr>
          <w:ilvl w:val="0"/>
          <w:numId w:val="0"/>
        </w:numPr>
        <w:spacing w:before="240" w:after="240"/>
        <w:jc w:val="both"/>
        <w:rPr>
          <w:b/>
          <w:sz w:val="22"/>
          <w:szCs w:val="22"/>
        </w:rPr>
      </w:pPr>
      <w:bookmarkStart w:id="8" w:name="_Toc145637330"/>
      <w:r w:rsidRPr="005E7ADF">
        <w:rPr>
          <w:b/>
          <w:sz w:val="22"/>
          <w:szCs w:val="22"/>
        </w:rPr>
        <w:t xml:space="preserve">1.3.1. </w:t>
      </w:r>
      <w:r w:rsidR="00B32D97">
        <w:rPr>
          <w:b/>
          <w:sz w:val="22"/>
          <w:szCs w:val="22"/>
        </w:rPr>
        <w:t xml:space="preserve">Effect of Distribution of Political Power on Sustainable peace in Unity State, South Sudan </w:t>
      </w:r>
    </w:p>
    <w:p w14:paraId="3A9D4936" w14:textId="77777777" w:rsidR="000D2DFA" w:rsidRPr="000D2DFA" w:rsidRDefault="000D2DFA" w:rsidP="000D2DFA">
      <w:pPr>
        <w:pStyle w:val="NormalWeb"/>
        <w:jc w:val="both"/>
        <w:rPr>
          <w:sz w:val="22"/>
          <w:szCs w:val="22"/>
          <w:shd w:val="clear" w:color="auto" w:fill="FFFFFF"/>
        </w:rPr>
      </w:pPr>
      <w:bookmarkStart w:id="9" w:name="_Toc111547258"/>
      <w:bookmarkStart w:id="10" w:name="_Toc402511052"/>
      <w:bookmarkStart w:id="11" w:name="_Toc6566811"/>
      <w:bookmarkStart w:id="12" w:name="_Toc403416749"/>
      <w:bookmarkStart w:id="13" w:name="_Toc232891300"/>
      <w:bookmarkStart w:id="14" w:name="_Toc172444642"/>
      <w:bookmarkStart w:id="15" w:name="_Toc291759795"/>
      <w:bookmarkStart w:id="16" w:name="_Toc402510939"/>
      <w:bookmarkStart w:id="17" w:name="_Toc456621238"/>
      <w:bookmarkStart w:id="18" w:name="_Toc171493955"/>
      <w:bookmarkStart w:id="19" w:name="_Toc171822345"/>
      <w:bookmarkStart w:id="20" w:name="_Toc71540615"/>
      <w:bookmarkStart w:id="21" w:name="_Toc71539783"/>
      <w:bookmarkStart w:id="22" w:name="_Toc7540459"/>
      <w:bookmarkStart w:id="23" w:name="_Toc100982716"/>
      <w:bookmarkStart w:id="24" w:name="_Toc30027990"/>
      <w:bookmarkStart w:id="25" w:name="_Toc171822654"/>
      <w:bookmarkStart w:id="26" w:name="_Toc171823770"/>
      <w:bookmarkStart w:id="27" w:name="_Toc171479613"/>
      <w:bookmarkStart w:id="28" w:name="_Toc265929190"/>
      <w:bookmarkStart w:id="29" w:name="_Toc482348019"/>
      <w:bookmarkStart w:id="30" w:name="_Toc145637337"/>
      <w:bookmarkEnd w:id="2"/>
      <w:bookmarkEnd w:id="3"/>
      <w:bookmarkEnd w:id="4"/>
      <w:bookmarkEnd w:id="5"/>
      <w:bookmarkEnd w:id="6"/>
      <w:bookmarkEnd w:id="7"/>
      <w:bookmarkEnd w:id="8"/>
      <w:r w:rsidRPr="000D2DFA">
        <w:rPr>
          <w:sz w:val="22"/>
          <w:szCs w:val="22"/>
          <w:shd w:val="clear" w:color="auto" w:fill="FFFFFF"/>
        </w:rPr>
        <w:t>The distribution of political power plays a fundamental role in determining the sustainable peace of a state, particularly in post-conflict environments. When power is concentrated in the hands of a few groups or elites, it often leads to exclusion, competition, and increased insecurity. In countries like South Sudan, the competition for political power between different ethnic factions, such as the Dinka and Nuer, has historically exacerbated conflict and instability. For instance, the South Sudanese Civil War (2013-2018) was largely fueled by a power struggle between President Salva Kiir’s government, representing the Dinka, and former Vice President Riek Machar’s forces, representing the Nuer. This concentration of power in ethnically-based factions created a deeply polarized political environment, where rival groups perceived each other as existential threats, undermining any hopes for lasting sustainable peace (Deng, 2019). As the political power remained largely controlled by the Dinka elite, Nuer groups felt marginalized, triggering violent ethnic clashes and insecurity that undermined peace agreements.</w:t>
      </w:r>
    </w:p>
    <w:p w14:paraId="3F0E5DCE" w14:textId="77777777" w:rsidR="000D2DFA" w:rsidRPr="000D2DFA" w:rsidRDefault="000D2DFA" w:rsidP="000D2DFA">
      <w:pPr>
        <w:pStyle w:val="NormalWeb"/>
        <w:jc w:val="both"/>
        <w:rPr>
          <w:sz w:val="22"/>
          <w:szCs w:val="22"/>
          <w:shd w:val="clear" w:color="auto" w:fill="FFFFFF"/>
        </w:rPr>
      </w:pPr>
      <w:r w:rsidRPr="000D2DFA">
        <w:rPr>
          <w:sz w:val="22"/>
          <w:szCs w:val="22"/>
          <w:shd w:val="clear" w:color="auto" w:fill="FFFFFF"/>
        </w:rPr>
        <w:t>Similarly, in Syria, the distribution of political power has significantly impacted security. The Syrian government's control under President Bashar al-Assad, who belongs to the minority Alawite sect, while other groups such as the Sunni Arabs make up the majority, has led to widespread discontent and violent uprisings. The Syrian Civil War (2011–present) was sparked in part by the perceived political disenfranchisement of the Sunni majority, which felt excluded from political power. This uneven distribution of power led to the intensification of sectarian violence, creating a security vacuum that allowed terrorist groups like ISIS to exploit the instability. As Assad's regime maintained tight control over power, opposition factions grew in strength, further destabilizing the country (Ghani, 2018). The failure to balance political power among diverse groups directly contributed to the ongoing security crisis, demonstrating that exclusionary power structures can trigger or prolong conflict.</w:t>
      </w:r>
    </w:p>
    <w:p w14:paraId="253182BA" w14:textId="77777777" w:rsidR="000D2DFA" w:rsidRPr="000D2DFA" w:rsidRDefault="000D2DFA" w:rsidP="000D2DFA">
      <w:pPr>
        <w:pStyle w:val="NormalWeb"/>
        <w:jc w:val="both"/>
        <w:rPr>
          <w:sz w:val="22"/>
          <w:szCs w:val="22"/>
          <w:shd w:val="clear" w:color="auto" w:fill="FFFFFF"/>
        </w:rPr>
      </w:pPr>
      <w:r w:rsidRPr="000D2DFA">
        <w:rPr>
          <w:sz w:val="22"/>
          <w:szCs w:val="22"/>
          <w:shd w:val="clear" w:color="auto" w:fill="FFFFFF"/>
        </w:rPr>
        <w:t xml:space="preserve">In Iraq, the distribution of political power after the 2003 invasion and the subsequent fall of Saddam Hussein’s regime contributed to lasting instability. Following the invasion, the U.S.-led coalition implemented a political system that gave significant power to the Shia majority, sidelining the Sunni minority. This led to the exclusion of many Sunni groups from governance and a perception of injustice that fueled sectarian violence. The rise of ISIS can be traced to these political imbalances, as </w:t>
      </w:r>
      <w:r w:rsidRPr="000D2DFA">
        <w:rPr>
          <w:sz w:val="22"/>
          <w:szCs w:val="22"/>
          <w:shd w:val="clear" w:color="auto" w:fill="FFFFFF"/>
        </w:rPr>
        <w:lastRenderedPageBreak/>
        <w:t>disenfranchised Sunnis in Iraq, who felt excluded from political power, turned to radical groups as a form of resistance. The competition for political dominance among the Sunni, Shia, and Kurdish factions contributed to the breakdown of security, leading to insurgencies and a civil war that destabilized the region for years (Abadi, 2021). The uneven distribution of power and the exclusion of key groups from the political process significantly contributed to the fragility of Iraq's security system.</w:t>
      </w:r>
    </w:p>
    <w:p w14:paraId="7770D9B5" w14:textId="77777777" w:rsidR="000D2DFA" w:rsidRPr="000D2DFA" w:rsidRDefault="000D2DFA" w:rsidP="000D2DFA">
      <w:pPr>
        <w:pStyle w:val="NormalWeb"/>
        <w:jc w:val="both"/>
        <w:rPr>
          <w:sz w:val="22"/>
          <w:szCs w:val="22"/>
          <w:shd w:val="clear" w:color="auto" w:fill="FFFFFF"/>
        </w:rPr>
      </w:pPr>
      <w:r w:rsidRPr="000D2DFA">
        <w:rPr>
          <w:sz w:val="22"/>
          <w:szCs w:val="22"/>
          <w:shd w:val="clear" w:color="auto" w:fill="FFFFFF"/>
        </w:rPr>
        <w:t>The Rwandan Genocide in 1994 is another example where the distribution of political power contributed to massive instability. Rwanda was governed by a Tutsi-dominated government until the late 1950s, after which power shifted to the Hutu majority. The Hutu-led government continued to marginalize and exclude the Tutsi population from political power, which eventually led to the systematic violence against the Tutsi in 1994. The Hutu elite’s control over power and the manipulation of ethnic tensions created an environment ripe for mass violence. The imbalance of political power between the Hutus and Tutsis became a key driver of the genocide, showing how power structures, when skewed, can foster an environment of insecurity and violence (Melvern, 2016). In this case, the political distribution was a direct catalyst for one of the most devastating security crises in Africa.</w:t>
      </w:r>
    </w:p>
    <w:p w14:paraId="3F5CE12D" w14:textId="77777777" w:rsidR="000D2DFA" w:rsidRPr="000D2DFA" w:rsidRDefault="000D2DFA" w:rsidP="000D2DFA">
      <w:pPr>
        <w:pStyle w:val="NormalWeb"/>
        <w:jc w:val="both"/>
        <w:rPr>
          <w:sz w:val="22"/>
          <w:szCs w:val="22"/>
          <w:shd w:val="clear" w:color="auto" w:fill="FFFFFF"/>
        </w:rPr>
      </w:pPr>
      <w:r w:rsidRPr="000D2DFA">
        <w:rPr>
          <w:sz w:val="22"/>
          <w:szCs w:val="22"/>
          <w:shd w:val="clear" w:color="auto" w:fill="FFFFFF"/>
        </w:rPr>
        <w:t>Lastly, in Bosnia and Herzegovina, the aftermath of the Bosnian War (1992-1995) illustrated the consequences of unequal political power distribution. After the war, the country was divided into two entities, one primarily Bosniak-Croat and the other Serb-dominated. The complex power-sharing arrangements in place, which aimed to balance the distribution of political power between the three major ethnic groups, instead entrenched divisions. These power-sharing arrangements, while initially meant to prevent future conflict, led to a fragile political system that made decision-making extremely difficult and often gridlocked. As each ethnic group jostled for influence, the political system remained unstable, and security remained a challenge, especially in terms of inter-ethnic relations (Gibney, 2019). The inability to evenly distribute political power and promote cross-ethnic cooperation meant that Bosnia and Herzegovina remained vulnerable to both internal and external security threats.</w:t>
      </w:r>
    </w:p>
    <w:p w14:paraId="69374EE4" w14:textId="77777777" w:rsidR="000D2DFA" w:rsidRPr="000D2DFA" w:rsidRDefault="000D2DFA" w:rsidP="000D2DFA">
      <w:pPr>
        <w:pStyle w:val="NormalWeb"/>
        <w:jc w:val="both"/>
        <w:rPr>
          <w:sz w:val="22"/>
          <w:szCs w:val="22"/>
          <w:shd w:val="clear" w:color="auto" w:fill="FFFFFF"/>
        </w:rPr>
      </w:pPr>
      <w:r w:rsidRPr="000D2DFA">
        <w:rPr>
          <w:sz w:val="22"/>
          <w:szCs w:val="22"/>
          <w:shd w:val="clear" w:color="auto" w:fill="FFFFFF"/>
        </w:rPr>
        <w:t xml:space="preserve">In Kenya, the distribution of political power has significantly impacted sustainable peace, particularly during moments of contested elections. After the 2007 presidential elections, widespread violence erupted, largely driven by ethnic and political rivalries. The Kikuyu ethnic group, who were largely associated with the incumbent president Mwai Kibaki, controlled most of the political power, while opposition groups, particularly the Kalenjin and Luo, felt marginalized. The uneven distribution of political power among these ethnic groups was a key factor in the violent outbreaks that followed the disputed election results. The violence not only destabilized the country but also highlighted the risks of ethnic exclusion in the political system. The 2007 crisis, which led to the deaths of over 1,000 people, exposed how the concentration of power among one ethnic group at the national level could undermine the broader national security framework (Kimenyi, 2018). </w:t>
      </w:r>
    </w:p>
    <w:p w14:paraId="09DA6EFA" w14:textId="77777777" w:rsidR="007A55C7" w:rsidRPr="005E7ADF" w:rsidRDefault="007A55C7" w:rsidP="004C661A">
      <w:pPr>
        <w:spacing w:before="100" w:beforeAutospacing="1" w:after="100" w:afterAutospacing="1" w:line="240" w:lineRule="auto"/>
        <w:rPr>
          <w:rFonts w:ascii="Times New Roman" w:hAnsi="Times New Roman"/>
          <w:i/>
        </w:rPr>
      </w:pPr>
      <w:r w:rsidRPr="005E7ADF">
        <w:rPr>
          <w:rFonts w:ascii="Times New Roman" w:hAnsi="Times New Roman"/>
          <w:b/>
          <w:bCs/>
          <w:i/>
        </w:rPr>
        <w:t>3.0. Research Methodology</w:t>
      </w:r>
    </w:p>
    <w:p w14:paraId="1BE020C0" w14:textId="77777777" w:rsidR="007A55C7" w:rsidRPr="005E7ADF" w:rsidRDefault="007A55C7" w:rsidP="004C661A">
      <w:pPr>
        <w:spacing w:before="100" w:beforeAutospacing="1" w:after="100" w:afterAutospacing="1" w:line="240" w:lineRule="auto"/>
        <w:jc w:val="both"/>
        <w:rPr>
          <w:rFonts w:ascii="Times New Roman" w:hAnsi="Times New Roman"/>
          <w:b/>
          <w:bCs/>
          <w:i/>
        </w:rPr>
      </w:pPr>
      <w:r w:rsidRPr="005E7ADF">
        <w:rPr>
          <w:rFonts w:ascii="Times New Roman" w:hAnsi="Times New Roman"/>
          <w:b/>
          <w:bCs/>
          <w:i/>
        </w:rPr>
        <w:t>3.1. Research Design</w:t>
      </w:r>
    </w:p>
    <w:p w14:paraId="00551482" w14:textId="11A61EB3" w:rsidR="000D2DFA" w:rsidRPr="000D2DFA" w:rsidRDefault="004404CB" w:rsidP="000D2DFA">
      <w:pPr>
        <w:spacing w:before="100" w:beforeAutospacing="1" w:after="100" w:afterAutospacing="1" w:line="240" w:lineRule="auto"/>
        <w:jc w:val="both"/>
        <w:rPr>
          <w:rFonts w:ascii="Times New Roman" w:hAnsi="Times New Roman"/>
          <w:shd w:val="clear" w:color="auto" w:fill="FFFFFF"/>
        </w:rPr>
      </w:pPr>
      <w:r w:rsidRPr="004404CB">
        <w:rPr>
          <w:rFonts w:ascii="Times New Roman" w:hAnsi="Times New Roman"/>
          <w:bCs/>
          <w:shd w:val="clear" w:color="auto" w:fill="FFFFFF"/>
        </w:rPr>
        <w:t xml:space="preserve">The </w:t>
      </w:r>
      <w:r w:rsidR="000D2DFA" w:rsidRPr="000D2DFA">
        <w:rPr>
          <w:rFonts w:ascii="Times New Roman" w:hAnsi="Times New Roman"/>
          <w:shd w:val="clear" w:color="auto" w:fill="FFFFFF"/>
        </w:rPr>
        <w:t>cross-sectional research design was adopted. This design was appropriate for examining the relationship between political power distribution and sustainable peace at a specific point in time without tracking changes over an extended period. A cross-sectional design involves the collection of data from different respondents within a relatively short timeframe, allowing the researcher to capture the prevailing conditions and perceptions regarding political power structures and pe</w:t>
      </w:r>
      <w:r>
        <w:rPr>
          <w:rFonts w:ascii="Times New Roman" w:hAnsi="Times New Roman"/>
          <w:shd w:val="clear" w:color="auto" w:fill="FFFFFF"/>
        </w:rPr>
        <w:t xml:space="preserve">ace in Unity State. </w:t>
      </w:r>
      <w:r w:rsidR="000D2DFA" w:rsidRPr="000D2DFA">
        <w:rPr>
          <w:rFonts w:ascii="Times New Roman" w:hAnsi="Times New Roman"/>
          <w:shd w:val="clear" w:color="auto" w:fill="FFFFFF"/>
        </w:rPr>
        <w:t xml:space="preserve">Data were collected from multiple stakeholders, including government officials, local ethnic leaders, community members, and security personnel, to provide a comprehensive snapshot of how political power is distributed and how it influences peace and stability. The design also enabled the study to capture the perceptions of different groups regarding inclusivity, representation, and governance, particularly among key ethnic groups such as the Dinka and Nuer. </w:t>
      </w:r>
    </w:p>
    <w:p w14:paraId="5B007FE3" w14:textId="77777777" w:rsidR="000D2DFA" w:rsidRPr="004404CB" w:rsidRDefault="000D2DFA" w:rsidP="000D2DFA">
      <w:pPr>
        <w:spacing w:before="100" w:beforeAutospacing="1" w:after="100" w:afterAutospacing="1" w:line="240" w:lineRule="auto"/>
        <w:jc w:val="both"/>
        <w:rPr>
          <w:rFonts w:ascii="Times New Roman" w:hAnsi="Times New Roman"/>
          <w:b/>
          <w:bCs/>
          <w:i/>
          <w:shd w:val="clear" w:color="auto" w:fill="FFFFFF"/>
        </w:rPr>
      </w:pPr>
      <w:r w:rsidRPr="004404CB">
        <w:rPr>
          <w:rFonts w:ascii="Times New Roman" w:hAnsi="Times New Roman"/>
          <w:b/>
          <w:bCs/>
          <w:i/>
          <w:shd w:val="clear" w:color="auto" w:fill="FFFFFF"/>
        </w:rPr>
        <w:lastRenderedPageBreak/>
        <w:t>3.2 Study Population</w:t>
      </w:r>
    </w:p>
    <w:p w14:paraId="3D371E4E" w14:textId="77777777" w:rsidR="000D2DFA" w:rsidRPr="000D2DFA" w:rsidRDefault="000D2DFA" w:rsidP="000D2DFA">
      <w:pPr>
        <w:spacing w:before="100" w:beforeAutospacing="1" w:after="100" w:afterAutospacing="1" w:line="240" w:lineRule="auto"/>
        <w:jc w:val="both"/>
        <w:rPr>
          <w:rFonts w:ascii="Times New Roman" w:hAnsi="Times New Roman"/>
          <w:shd w:val="clear" w:color="auto" w:fill="FFFFFF"/>
        </w:rPr>
      </w:pPr>
      <w:r w:rsidRPr="000D2DFA">
        <w:rPr>
          <w:rFonts w:ascii="Times New Roman" w:hAnsi="Times New Roman"/>
          <w:shd w:val="clear" w:color="auto" w:fill="FFFFFF"/>
        </w:rPr>
        <w:t>According to Falorsi (2017), a study population refers to a clearly defined group of individuals or units that share common characteristics relevant to the research problem. The study population consisted of 240 participants drawn from individuals and groups directly involved in or affected by the distribution of political power and the security situation in Unity State, South Sudan. These included government officials, local ethnic leaders, community members, and security personnel operating within the state.</w:t>
      </w:r>
      <w:r w:rsidR="004404CB">
        <w:rPr>
          <w:rFonts w:ascii="Times New Roman" w:hAnsi="Times New Roman"/>
          <w:shd w:val="clear" w:color="auto" w:fill="FFFFFF"/>
        </w:rPr>
        <w:t xml:space="preserve"> </w:t>
      </w:r>
      <w:r w:rsidRPr="000D2DFA">
        <w:rPr>
          <w:rFonts w:ascii="Times New Roman" w:hAnsi="Times New Roman"/>
          <w:shd w:val="clear" w:color="auto" w:fill="FFFFFF"/>
        </w:rPr>
        <w:t>Participants were selected based on their knowledge of, or involvement in, political power structures and governance processes in the region. The study particularly focused on representatives from the Dinka and Nuer ethnic groups, given their significant roles in the political and security dynamics of Unity State. In addition, members of local militias, whose activities influence the security environment, were included in the population. Other relevant actors such as personnel from non-governmental organizations (NGOs), international organizations, and peacekeeping missions operating in the region were also considered due to their involvement in peacebuilding and stabilization efforts.</w:t>
      </w:r>
    </w:p>
    <w:p w14:paraId="06925B59" w14:textId="77777777" w:rsidR="007A55C7" w:rsidRDefault="007A55C7" w:rsidP="004C661A">
      <w:pPr>
        <w:spacing w:before="100" w:beforeAutospacing="1" w:after="100" w:afterAutospacing="1" w:line="240" w:lineRule="auto"/>
        <w:jc w:val="both"/>
        <w:rPr>
          <w:rFonts w:ascii="Times New Roman" w:hAnsi="Times New Roman"/>
          <w:b/>
          <w:bCs/>
        </w:rPr>
      </w:pPr>
      <w:r w:rsidRPr="005E7ADF">
        <w:rPr>
          <w:rFonts w:ascii="Times New Roman" w:hAnsi="Times New Roman"/>
          <w:b/>
          <w:bCs/>
        </w:rPr>
        <w:t>Table 3.1: Target Population</w:t>
      </w:r>
    </w:p>
    <w:tbl>
      <w:tblPr>
        <w:tblStyle w:val="TableGrid"/>
        <w:tblW w:w="106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3825"/>
        <w:gridCol w:w="1324"/>
        <w:gridCol w:w="977"/>
        <w:gridCol w:w="2320"/>
      </w:tblGrid>
      <w:tr w:rsidR="004404CB" w:rsidRPr="00A37F51" w14:paraId="22A9B57C" w14:textId="77777777" w:rsidTr="004404CB">
        <w:tc>
          <w:tcPr>
            <w:tcW w:w="2186" w:type="dxa"/>
            <w:tcBorders>
              <w:top w:val="single" w:sz="4" w:space="0" w:color="auto"/>
              <w:bottom w:val="single" w:sz="4" w:space="0" w:color="auto"/>
            </w:tcBorders>
            <w:hideMark/>
          </w:tcPr>
          <w:p w14:paraId="37C723F9" w14:textId="77777777" w:rsidR="004404CB" w:rsidRPr="00A37F51" w:rsidRDefault="004404CB" w:rsidP="004404CB">
            <w:pPr>
              <w:spacing w:after="0" w:line="240" w:lineRule="auto"/>
              <w:jc w:val="center"/>
              <w:rPr>
                <w:rFonts w:ascii="Times New Roman" w:hAnsi="Times New Roman"/>
                <w:b/>
                <w:bCs/>
                <w:sz w:val="24"/>
                <w:szCs w:val="24"/>
              </w:rPr>
            </w:pPr>
            <w:r w:rsidRPr="00A37F51">
              <w:rPr>
                <w:rFonts w:ascii="Times New Roman" w:hAnsi="Times New Roman"/>
                <w:b/>
                <w:bCs/>
                <w:sz w:val="24"/>
                <w:szCs w:val="24"/>
              </w:rPr>
              <w:t>Category</w:t>
            </w:r>
          </w:p>
        </w:tc>
        <w:tc>
          <w:tcPr>
            <w:tcW w:w="3825" w:type="dxa"/>
            <w:tcBorders>
              <w:top w:val="single" w:sz="4" w:space="0" w:color="auto"/>
              <w:bottom w:val="single" w:sz="4" w:space="0" w:color="auto"/>
            </w:tcBorders>
            <w:hideMark/>
          </w:tcPr>
          <w:p w14:paraId="6DBBDB99" w14:textId="77777777" w:rsidR="004404CB" w:rsidRPr="00A37F51" w:rsidRDefault="004404CB" w:rsidP="004404CB">
            <w:pPr>
              <w:spacing w:after="0" w:line="240" w:lineRule="auto"/>
              <w:jc w:val="center"/>
              <w:rPr>
                <w:rFonts w:ascii="Times New Roman" w:hAnsi="Times New Roman"/>
                <w:b/>
                <w:bCs/>
                <w:sz w:val="24"/>
                <w:szCs w:val="24"/>
              </w:rPr>
            </w:pPr>
            <w:r w:rsidRPr="00A37F51">
              <w:rPr>
                <w:rFonts w:ascii="Times New Roman" w:hAnsi="Times New Roman"/>
                <w:b/>
                <w:bCs/>
                <w:sz w:val="24"/>
                <w:szCs w:val="24"/>
              </w:rPr>
              <w:t>Target Population</w:t>
            </w:r>
          </w:p>
        </w:tc>
        <w:tc>
          <w:tcPr>
            <w:tcW w:w="1324" w:type="dxa"/>
            <w:tcBorders>
              <w:top w:val="single" w:sz="4" w:space="0" w:color="auto"/>
              <w:bottom w:val="single" w:sz="4" w:space="0" w:color="auto"/>
            </w:tcBorders>
          </w:tcPr>
          <w:p w14:paraId="5AE47C1C" w14:textId="77777777" w:rsidR="004404CB" w:rsidRPr="00A37F51" w:rsidRDefault="004404CB" w:rsidP="004404CB">
            <w:pPr>
              <w:spacing w:after="0" w:line="240" w:lineRule="auto"/>
              <w:jc w:val="center"/>
              <w:rPr>
                <w:rFonts w:ascii="Times New Roman" w:hAnsi="Times New Roman"/>
                <w:b/>
                <w:bCs/>
                <w:sz w:val="24"/>
                <w:szCs w:val="24"/>
              </w:rPr>
            </w:pPr>
            <w:r>
              <w:rPr>
                <w:rFonts w:ascii="Times New Roman" w:hAnsi="Times New Roman"/>
                <w:b/>
                <w:bCs/>
                <w:sz w:val="24"/>
                <w:szCs w:val="24"/>
              </w:rPr>
              <w:t xml:space="preserve">Study population </w:t>
            </w:r>
          </w:p>
        </w:tc>
        <w:tc>
          <w:tcPr>
            <w:tcW w:w="0" w:type="auto"/>
            <w:tcBorders>
              <w:top w:val="single" w:sz="4" w:space="0" w:color="auto"/>
              <w:bottom w:val="single" w:sz="4" w:space="0" w:color="auto"/>
            </w:tcBorders>
            <w:hideMark/>
          </w:tcPr>
          <w:p w14:paraId="0A7A1E02" w14:textId="77777777" w:rsidR="004404CB" w:rsidRPr="00A37F51" w:rsidRDefault="004404CB" w:rsidP="004404CB">
            <w:pPr>
              <w:spacing w:after="0" w:line="240" w:lineRule="auto"/>
              <w:jc w:val="center"/>
              <w:rPr>
                <w:rFonts w:ascii="Times New Roman" w:hAnsi="Times New Roman"/>
                <w:b/>
                <w:bCs/>
                <w:sz w:val="24"/>
                <w:szCs w:val="24"/>
              </w:rPr>
            </w:pPr>
            <w:r w:rsidRPr="00A37F51">
              <w:rPr>
                <w:rFonts w:ascii="Times New Roman" w:hAnsi="Times New Roman"/>
                <w:b/>
                <w:bCs/>
                <w:sz w:val="24"/>
                <w:szCs w:val="24"/>
              </w:rPr>
              <w:t>Sample Size</w:t>
            </w:r>
          </w:p>
        </w:tc>
        <w:tc>
          <w:tcPr>
            <w:tcW w:w="2320" w:type="dxa"/>
            <w:tcBorders>
              <w:top w:val="single" w:sz="4" w:space="0" w:color="auto"/>
              <w:bottom w:val="single" w:sz="4" w:space="0" w:color="auto"/>
            </w:tcBorders>
            <w:hideMark/>
          </w:tcPr>
          <w:p w14:paraId="09DDF26B" w14:textId="77777777" w:rsidR="004404CB" w:rsidRPr="00A37F51" w:rsidRDefault="004404CB" w:rsidP="004404CB">
            <w:pPr>
              <w:spacing w:after="0" w:line="240" w:lineRule="auto"/>
              <w:jc w:val="center"/>
              <w:rPr>
                <w:rFonts w:ascii="Times New Roman" w:hAnsi="Times New Roman"/>
                <w:b/>
                <w:bCs/>
                <w:sz w:val="24"/>
                <w:szCs w:val="24"/>
              </w:rPr>
            </w:pPr>
            <w:r w:rsidRPr="00A37F51">
              <w:rPr>
                <w:rFonts w:ascii="Times New Roman" w:hAnsi="Times New Roman"/>
                <w:b/>
                <w:bCs/>
                <w:sz w:val="24"/>
                <w:szCs w:val="24"/>
              </w:rPr>
              <w:t>Sampling Techniques</w:t>
            </w:r>
          </w:p>
        </w:tc>
      </w:tr>
      <w:tr w:rsidR="004404CB" w:rsidRPr="00A37F51" w14:paraId="5C2C1602" w14:textId="77777777" w:rsidTr="004404CB">
        <w:tc>
          <w:tcPr>
            <w:tcW w:w="2186" w:type="dxa"/>
            <w:tcBorders>
              <w:top w:val="single" w:sz="4" w:space="0" w:color="auto"/>
            </w:tcBorders>
            <w:hideMark/>
          </w:tcPr>
          <w:p w14:paraId="63A41BE1" w14:textId="77777777" w:rsidR="004404CB" w:rsidRPr="00A37F51" w:rsidRDefault="004404CB" w:rsidP="004404CB">
            <w:pPr>
              <w:spacing w:after="0" w:line="240" w:lineRule="auto"/>
              <w:rPr>
                <w:rFonts w:ascii="Times New Roman" w:hAnsi="Times New Roman"/>
                <w:sz w:val="24"/>
                <w:szCs w:val="24"/>
              </w:rPr>
            </w:pPr>
            <w:r w:rsidRPr="00A37F51">
              <w:rPr>
                <w:rFonts w:ascii="Times New Roman" w:hAnsi="Times New Roman"/>
                <w:b/>
                <w:bCs/>
                <w:sz w:val="24"/>
                <w:szCs w:val="24"/>
              </w:rPr>
              <w:t>Government Officials</w:t>
            </w:r>
          </w:p>
        </w:tc>
        <w:tc>
          <w:tcPr>
            <w:tcW w:w="3825" w:type="dxa"/>
            <w:tcBorders>
              <w:top w:val="single" w:sz="4" w:space="0" w:color="auto"/>
            </w:tcBorders>
            <w:hideMark/>
          </w:tcPr>
          <w:p w14:paraId="29CE6BAB" w14:textId="77777777" w:rsidR="004404CB" w:rsidRPr="00A37F51" w:rsidRDefault="004404CB" w:rsidP="004404CB">
            <w:pPr>
              <w:spacing w:after="0" w:line="240" w:lineRule="auto"/>
              <w:rPr>
                <w:rFonts w:ascii="Times New Roman" w:hAnsi="Times New Roman"/>
                <w:sz w:val="24"/>
                <w:szCs w:val="24"/>
              </w:rPr>
            </w:pPr>
            <w:r w:rsidRPr="00A37F51">
              <w:rPr>
                <w:rFonts w:ascii="Times New Roman" w:hAnsi="Times New Roman"/>
                <w:sz w:val="24"/>
                <w:szCs w:val="24"/>
              </w:rPr>
              <w:t>Local government representatives involved in political decision-making and power dynamics</w:t>
            </w:r>
          </w:p>
        </w:tc>
        <w:tc>
          <w:tcPr>
            <w:tcW w:w="1324" w:type="dxa"/>
            <w:tcBorders>
              <w:top w:val="single" w:sz="4" w:space="0" w:color="auto"/>
            </w:tcBorders>
          </w:tcPr>
          <w:p w14:paraId="6F054C4B" w14:textId="77777777" w:rsidR="004404CB" w:rsidRPr="00A37F51" w:rsidRDefault="004404CB" w:rsidP="004404CB">
            <w:pPr>
              <w:spacing w:after="0" w:line="240" w:lineRule="auto"/>
              <w:jc w:val="center"/>
              <w:rPr>
                <w:rFonts w:ascii="Times New Roman" w:hAnsi="Times New Roman"/>
                <w:sz w:val="24"/>
                <w:szCs w:val="24"/>
              </w:rPr>
            </w:pPr>
            <w:r>
              <w:rPr>
                <w:rFonts w:ascii="Times New Roman" w:hAnsi="Times New Roman"/>
                <w:sz w:val="24"/>
                <w:szCs w:val="24"/>
              </w:rPr>
              <w:t>8</w:t>
            </w:r>
          </w:p>
        </w:tc>
        <w:tc>
          <w:tcPr>
            <w:tcW w:w="0" w:type="auto"/>
            <w:tcBorders>
              <w:top w:val="single" w:sz="4" w:space="0" w:color="auto"/>
            </w:tcBorders>
          </w:tcPr>
          <w:p w14:paraId="394CDCE5" w14:textId="77777777" w:rsidR="004404CB" w:rsidRPr="00A37F51" w:rsidRDefault="004404CB" w:rsidP="004404CB">
            <w:pPr>
              <w:spacing w:after="0" w:line="240" w:lineRule="auto"/>
              <w:jc w:val="center"/>
              <w:rPr>
                <w:rFonts w:ascii="Times New Roman" w:hAnsi="Times New Roman"/>
                <w:sz w:val="24"/>
                <w:szCs w:val="24"/>
              </w:rPr>
            </w:pPr>
            <w:r>
              <w:rPr>
                <w:rFonts w:ascii="Times New Roman" w:hAnsi="Times New Roman"/>
                <w:sz w:val="24"/>
                <w:szCs w:val="24"/>
              </w:rPr>
              <w:t>4</w:t>
            </w:r>
          </w:p>
        </w:tc>
        <w:tc>
          <w:tcPr>
            <w:tcW w:w="2320" w:type="dxa"/>
            <w:tcBorders>
              <w:top w:val="single" w:sz="4" w:space="0" w:color="auto"/>
            </w:tcBorders>
            <w:hideMark/>
          </w:tcPr>
          <w:p w14:paraId="54C31C93" w14:textId="77777777" w:rsidR="004404CB" w:rsidRPr="00A37F51" w:rsidRDefault="004404CB" w:rsidP="004404CB">
            <w:pPr>
              <w:spacing w:after="0" w:line="240" w:lineRule="auto"/>
              <w:rPr>
                <w:rFonts w:ascii="Times New Roman" w:hAnsi="Times New Roman"/>
                <w:sz w:val="24"/>
                <w:szCs w:val="24"/>
              </w:rPr>
            </w:pPr>
            <w:r>
              <w:rPr>
                <w:rFonts w:ascii="Times New Roman" w:hAnsi="Times New Roman"/>
                <w:sz w:val="24"/>
                <w:szCs w:val="24"/>
              </w:rPr>
              <w:t xml:space="preserve">Purposive sampling </w:t>
            </w:r>
          </w:p>
        </w:tc>
      </w:tr>
      <w:tr w:rsidR="004404CB" w:rsidRPr="00A37F51" w14:paraId="00948560" w14:textId="77777777" w:rsidTr="004404CB">
        <w:tc>
          <w:tcPr>
            <w:tcW w:w="2186" w:type="dxa"/>
            <w:hideMark/>
          </w:tcPr>
          <w:p w14:paraId="22552611" w14:textId="77777777" w:rsidR="004404CB" w:rsidRPr="00A37F51" w:rsidRDefault="004404CB" w:rsidP="004404CB">
            <w:pPr>
              <w:spacing w:after="0" w:line="240" w:lineRule="auto"/>
              <w:rPr>
                <w:rFonts w:ascii="Times New Roman" w:hAnsi="Times New Roman"/>
                <w:sz w:val="24"/>
                <w:szCs w:val="24"/>
              </w:rPr>
            </w:pPr>
            <w:r w:rsidRPr="00A37F51">
              <w:rPr>
                <w:rFonts w:ascii="Times New Roman" w:hAnsi="Times New Roman"/>
                <w:b/>
                <w:bCs/>
                <w:sz w:val="24"/>
                <w:szCs w:val="24"/>
              </w:rPr>
              <w:t>Local Ethnic Leaders</w:t>
            </w:r>
          </w:p>
        </w:tc>
        <w:tc>
          <w:tcPr>
            <w:tcW w:w="3825" w:type="dxa"/>
            <w:hideMark/>
          </w:tcPr>
          <w:p w14:paraId="37A21DC3" w14:textId="77777777" w:rsidR="004404CB" w:rsidRPr="00A37F51" w:rsidRDefault="004404CB" w:rsidP="004404CB">
            <w:pPr>
              <w:spacing w:after="0" w:line="240" w:lineRule="auto"/>
              <w:rPr>
                <w:rFonts w:ascii="Times New Roman" w:hAnsi="Times New Roman"/>
                <w:sz w:val="24"/>
                <w:szCs w:val="24"/>
              </w:rPr>
            </w:pPr>
            <w:r w:rsidRPr="00A37F51">
              <w:rPr>
                <w:rFonts w:ascii="Times New Roman" w:hAnsi="Times New Roman"/>
                <w:sz w:val="24"/>
                <w:szCs w:val="24"/>
              </w:rPr>
              <w:t>Leaders from the Dinka and Nuer ethnic</w:t>
            </w:r>
            <w:r>
              <w:rPr>
                <w:rFonts w:ascii="Times New Roman" w:hAnsi="Times New Roman"/>
                <w:sz w:val="24"/>
                <w:szCs w:val="24"/>
              </w:rPr>
              <w:t xml:space="preserve"> </w:t>
            </w:r>
            <w:r w:rsidRPr="00A37F51">
              <w:rPr>
                <w:rFonts w:ascii="Times New Roman" w:hAnsi="Times New Roman"/>
                <w:sz w:val="24"/>
                <w:szCs w:val="24"/>
              </w:rPr>
              <w:t>groups who have influence on power structures</w:t>
            </w:r>
          </w:p>
        </w:tc>
        <w:tc>
          <w:tcPr>
            <w:tcW w:w="1324" w:type="dxa"/>
          </w:tcPr>
          <w:p w14:paraId="615C9588" w14:textId="77777777" w:rsidR="004404CB" w:rsidRPr="00A37F51" w:rsidRDefault="004404CB" w:rsidP="004404CB">
            <w:pPr>
              <w:spacing w:after="0" w:line="240" w:lineRule="auto"/>
              <w:jc w:val="center"/>
              <w:rPr>
                <w:rFonts w:ascii="Times New Roman" w:hAnsi="Times New Roman"/>
                <w:sz w:val="24"/>
                <w:szCs w:val="24"/>
              </w:rPr>
            </w:pPr>
            <w:r>
              <w:rPr>
                <w:rFonts w:ascii="Times New Roman" w:hAnsi="Times New Roman"/>
                <w:sz w:val="24"/>
                <w:szCs w:val="24"/>
              </w:rPr>
              <w:t>8</w:t>
            </w:r>
          </w:p>
        </w:tc>
        <w:tc>
          <w:tcPr>
            <w:tcW w:w="0" w:type="auto"/>
          </w:tcPr>
          <w:p w14:paraId="37E17E7D" w14:textId="77777777" w:rsidR="004404CB" w:rsidRPr="00A37F51" w:rsidRDefault="004404CB" w:rsidP="004404CB">
            <w:pPr>
              <w:spacing w:after="0" w:line="240" w:lineRule="auto"/>
              <w:jc w:val="center"/>
              <w:rPr>
                <w:rFonts w:ascii="Times New Roman" w:hAnsi="Times New Roman"/>
                <w:sz w:val="24"/>
                <w:szCs w:val="24"/>
              </w:rPr>
            </w:pPr>
            <w:r>
              <w:rPr>
                <w:rFonts w:ascii="Times New Roman" w:hAnsi="Times New Roman"/>
                <w:sz w:val="24"/>
                <w:szCs w:val="24"/>
              </w:rPr>
              <w:t>4</w:t>
            </w:r>
          </w:p>
        </w:tc>
        <w:tc>
          <w:tcPr>
            <w:tcW w:w="2320" w:type="dxa"/>
            <w:hideMark/>
          </w:tcPr>
          <w:p w14:paraId="60BE5374" w14:textId="77777777" w:rsidR="004404CB" w:rsidRPr="00A37F51" w:rsidRDefault="004404CB" w:rsidP="004404CB">
            <w:pPr>
              <w:spacing w:after="0" w:line="240" w:lineRule="auto"/>
              <w:rPr>
                <w:rFonts w:ascii="Times New Roman" w:hAnsi="Times New Roman"/>
                <w:sz w:val="24"/>
                <w:szCs w:val="24"/>
              </w:rPr>
            </w:pPr>
            <w:r>
              <w:rPr>
                <w:rFonts w:ascii="Times New Roman" w:hAnsi="Times New Roman"/>
                <w:sz w:val="24"/>
                <w:szCs w:val="24"/>
              </w:rPr>
              <w:t xml:space="preserve">Purposive sampling </w:t>
            </w:r>
          </w:p>
        </w:tc>
      </w:tr>
      <w:tr w:rsidR="004404CB" w:rsidRPr="00A37F51" w14:paraId="61F418AD" w14:textId="77777777" w:rsidTr="004404CB">
        <w:tc>
          <w:tcPr>
            <w:tcW w:w="2186" w:type="dxa"/>
            <w:hideMark/>
          </w:tcPr>
          <w:p w14:paraId="5CCD6D7E" w14:textId="77777777" w:rsidR="004404CB" w:rsidRPr="00A37F51" w:rsidRDefault="004404CB" w:rsidP="004404CB">
            <w:pPr>
              <w:spacing w:after="0" w:line="240" w:lineRule="auto"/>
              <w:rPr>
                <w:rFonts w:ascii="Times New Roman" w:hAnsi="Times New Roman"/>
                <w:sz w:val="24"/>
                <w:szCs w:val="24"/>
              </w:rPr>
            </w:pPr>
            <w:r w:rsidRPr="00A37F51">
              <w:rPr>
                <w:rFonts w:ascii="Times New Roman" w:hAnsi="Times New Roman"/>
                <w:b/>
                <w:bCs/>
                <w:sz w:val="24"/>
                <w:szCs w:val="24"/>
              </w:rPr>
              <w:t>Community Members</w:t>
            </w:r>
          </w:p>
        </w:tc>
        <w:tc>
          <w:tcPr>
            <w:tcW w:w="3825" w:type="dxa"/>
            <w:hideMark/>
          </w:tcPr>
          <w:p w14:paraId="4FEE6EC3" w14:textId="77777777" w:rsidR="004404CB" w:rsidRPr="00A37F51" w:rsidRDefault="004404CB" w:rsidP="004404CB">
            <w:pPr>
              <w:spacing w:after="0" w:line="240" w:lineRule="auto"/>
              <w:rPr>
                <w:rFonts w:ascii="Times New Roman" w:hAnsi="Times New Roman"/>
                <w:sz w:val="24"/>
                <w:szCs w:val="24"/>
              </w:rPr>
            </w:pPr>
            <w:r w:rsidRPr="00A37F51">
              <w:rPr>
                <w:rFonts w:ascii="Times New Roman" w:hAnsi="Times New Roman"/>
                <w:sz w:val="24"/>
                <w:szCs w:val="24"/>
              </w:rPr>
              <w:t>Local residents affected by power dynamics and security instability</w:t>
            </w:r>
          </w:p>
        </w:tc>
        <w:tc>
          <w:tcPr>
            <w:tcW w:w="1324" w:type="dxa"/>
          </w:tcPr>
          <w:p w14:paraId="091C1B0A" w14:textId="77777777" w:rsidR="004404CB" w:rsidRPr="00A37F51" w:rsidRDefault="004404CB" w:rsidP="004404CB">
            <w:pPr>
              <w:spacing w:after="0" w:line="240" w:lineRule="auto"/>
              <w:jc w:val="center"/>
              <w:rPr>
                <w:rFonts w:ascii="Times New Roman" w:hAnsi="Times New Roman"/>
                <w:sz w:val="24"/>
                <w:szCs w:val="24"/>
              </w:rPr>
            </w:pPr>
            <w:r>
              <w:rPr>
                <w:rFonts w:ascii="Times New Roman" w:hAnsi="Times New Roman"/>
                <w:sz w:val="24"/>
                <w:szCs w:val="24"/>
              </w:rPr>
              <w:t>150</w:t>
            </w:r>
          </w:p>
        </w:tc>
        <w:tc>
          <w:tcPr>
            <w:tcW w:w="0" w:type="auto"/>
          </w:tcPr>
          <w:p w14:paraId="16460D33" w14:textId="77777777" w:rsidR="004404CB" w:rsidRPr="00A37F51" w:rsidRDefault="004404CB" w:rsidP="004404CB">
            <w:pPr>
              <w:spacing w:after="0" w:line="240" w:lineRule="auto"/>
              <w:jc w:val="center"/>
              <w:rPr>
                <w:rFonts w:ascii="Times New Roman" w:hAnsi="Times New Roman"/>
                <w:sz w:val="24"/>
                <w:szCs w:val="24"/>
              </w:rPr>
            </w:pPr>
            <w:r>
              <w:rPr>
                <w:rFonts w:ascii="Times New Roman" w:hAnsi="Times New Roman"/>
                <w:sz w:val="24"/>
                <w:szCs w:val="24"/>
              </w:rPr>
              <w:t>92</w:t>
            </w:r>
          </w:p>
        </w:tc>
        <w:tc>
          <w:tcPr>
            <w:tcW w:w="2320" w:type="dxa"/>
            <w:hideMark/>
          </w:tcPr>
          <w:p w14:paraId="18752AB5" w14:textId="77777777" w:rsidR="004404CB" w:rsidRPr="00A37F51" w:rsidRDefault="004404CB" w:rsidP="004404CB">
            <w:pPr>
              <w:spacing w:after="0" w:line="240" w:lineRule="auto"/>
              <w:rPr>
                <w:rFonts w:ascii="Times New Roman" w:hAnsi="Times New Roman"/>
                <w:sz w:val="24"/>
                <w:szCs w:val="24"/>
              </w:rPr>
            </w:pPr>
            <w:r>
              <w:rPr>
                <w:rFonts w:ascii="Times New Roman" w:hAnsi="Times New Roman"/>
                <w:sz w:val="24"/>
                <w:szCs w:val="24"/>
              </w:rPr>
              <w:t xml:space="preserve">Simple random sampling </w:t>
            </w:r>
          </w:p>
        </w:tc>
      </w:tr>
      <w:tr w:rsidR="004404CB" w:rsidRPr="00A37F51" w14:paraId="3A96E251" w14:textId="77777777" w:rsidTr="004404CB">
        <w:tc>
          <w:tcPr>
            <w:tcW w:w="2186" w:type="dxa"/>
            <w:hideMark/>
          </w:tcPr>
          <w:p w14:paraId="6C638427" w14:textId="77777777" w:rsidR="004404CB" w:rsidRPr="00A37F51" w:rsidRDefault="004404CB" w:rsidP="004404CB">
            <w:pPr>
              <w:spacing w:after="0" w:line="240" w:lineRule="auto"/>
              <w:rPr>
                <w:rFonts w:ascii="Times New Roman" w:hAnsi="Times New Roman"/>
                <w:sz w:val="24"/>
                <w:szCs w:val="24"/>
              </w:rPr>
            </w:pPr>
            <w:r w:rsidRPr="00A37F51">
              <w:rPr>
                <w:rFonts w:ascii="Times New Roman" w:hAnsi="Times New Roman"/>
                <w:b/>
                <w:bCs/>
                <w:sz w:val="24"/>
                <w:szCs w:val="24"/>
              </w:rPr>
              <w:t>Security Personnel</w:t>
            </w:r>
          </w:p>
        </w:tc>
        <w:tc>
          <w:tcPr>
            <w:tcW w:w="3825" w:type="dxa"/>
            <w:hideMark/>
          </w:tcPr>
          <w:p w14:paraId="40D1CE2B" w14:textId="77777777" w:rsidR="004404CB" w:rsidRPr="00A37F51" w:rsidRDefault="004404CB" w:rsidP="004404CB">
            <w:pPr>
              <w:spacing w:after="0" w:line="240" w:lineRule="auto"/>
              <w:rPr>
                <w:rFonts w:ascii="Times New Roman" w:hAnsi="Times New Roman"/>
                <w:sz w:val="24"/>
                <w:szCs w:val="24"/>
              </w:rPr>
            </w:pPr>
            <w:r w:rsidRPr="00A37F51">
              <w:rPr>
                <w:rFonts w:ascii="Times New Roman" w:hAnsi="Times New Roman"/>
                <w:sz w:val="24"/>
                <w:szCs w:val="24"/>
              </w:rPr>
              <w:t>Members of local security forces, including police and militia groups</w:t>
            </w:r>
          </w:p>
        </w:tc>
        <w:tc>
          <w:tcPr>
            <w:tcW w:w="1324" w:type="dxa"/>
          </w:tcPr>
          <w:p w14:paraId="4BDF2727" w14:textId="77777777" w:rsidR="004404CB" w:rsidRPr="00A37F51" w:rsidRDefault="004404CB" w:rsidP="004404CB">
            <w:pPr>
              <w:spacing w:after="0" w:line="240" w:lineRule="auto"/>
              <w:jc w:val="center"/>
              <w:rPr>
                <w:rFonts w:ascii="Times New Roman" w:hAnsi="Times New Roman"/>
                <w:sz w:val="24"/>
                <w:szCs w:val="24"/>
              </w:rPr>
            </w:pPr>
            <w:r w:rsidRPr="00A37F51">
              <w:rPr>
                <w:rFonts w:ascii="Times New Roman" w:hAnsi="Times New Roman"/>
                <w:sz w:val="24"/>
                <w:szCs w:val="24"/>
              </w:rPr>
              <w:t>40</w:t>
            </w:r>
          </w:p>
        </w:tc>
        <w:tc>
          <w:tcPr>
            <w:tcW w:w="0" w:type="auto"/>
          </w:tcPr>
          <w:p w14:paraId="4AEDF3B6" w14:textId="77777777" w:rsidR="004404CB" w:rsidRPr="00A37F51" w:rsidRDefault="004404CB" w:rsidP="004404CB">
            <w:pPr>
              <w:spacing w:after="0" w:line="240" w:lineRule="auto"/>
              <w:jc w:val="center"/>
              <w:rPr>
                <w:rFonts w:ascii="Times New Roman" w:hAnsi="Times New Roman"/>
                <w:sz w:val="24"/>
                <w:szCs w:val="24"/>
              </w:rPr>
            </w:pPr>
            <w:r>
              <w:rPr>
                <w:rFonts w:ascii="Times New Roman" w:hAnsi="Times New Roman"/>
                <w:sz w:val="24"/>
                <w:szCs w:val="24"/>
              </w:rPr>
              <w:t>28</w:t>
            </w:r>
          </w:p>
        </w:tc>
        <w:tc>
          <w:tcPr>
            <w:tcW w:w="2320" w:type="dxa"/>
            <w:hideMark/>
          </w:tcPr>
          <w:p w14:paraId="25AB6037" w14:textId="77777777" w:rsidR="004404CB" w:rsidRPr="00A37F51" w:rsidRDefault="004404CB" w:rsidP="004404CB">
            <w:pPr>
              <w:spacing w:after="0" w:line="240" w:lineRule="auto"/>
              <w:rPr>
                <w:rFonts w:ascii="Times New Roman" w:hAnsi="Times New Roman"/>
                <w:sz w:val="24"/>
                <w:szCs w:val="24"/>
              </w:rPr>
            </w:pPr>
            <w:r>
              <w:rPr>
                <w:rFonts w:ascii="Times New Roman" w:hAnsi="Times New Roman"/>
                <w:sz w:val="24"/>
                <w:szCs w:val="24"/>
              </w:rPr>
              <w:t xml:space="preserve">Purposive sampling </w:t>
            </w:r>
          </w:p>
        </w:tc>
      </w:tr>
      <w:tr w:rsidR="004404CB" w:rsidRPr="00A37F51" w14:paraId="29C26F6D" w14:textId="77777777" w:rsidTr="004404CB">
        <w:tc>
          <w:tcPr>
            <w:tcW w:w="2186" w:type="dxa"/>
            <w:hideMark/>
          </w:tcPr>
          <w:p w14:paraId="49750A14" w14:textId="77777777" w:rsidR="004404CB" w:rsidRPr="00A37F51" w:rsidRDefault="004404CB" w:rsidP="004404CB">
            <w:pPr>
              <w:spacing w:after="0" w:line="240" w:lineRule="auto"/>
              <w:rPr>
                <w:rFonts w:ascii="Times New Roman" w:hAnsi="Times New Roman"/>
                <w:sz w:val="24"/>
                <w:szCs w:val="24"/>
              </w:rPr>
            </w:pPr>
            <w:r w:rsidRPr="00A37F51">
              <w:rPr>
                <w:rFonts w:ascii="Times New Roman" w:hAnsi="Times New Roman"/>
                <w:b/>
                <w:bCs/>
                <w:sz w:val="24"/>
                <w:szCs w:val="24"/>
              </w:rPr>
              <w:t>International Organizations and NGOs</w:t>
            </w:r>
          </w:p>
        </w:tc>
        <w:tc>
          <w:tcPr>
            <w:tcW w:w="3825" w:type="dxa"/>
            <w:hideMark/>
          </w:tcPr>
          <w:p w14:paraId="2A107423" w14:textId="77777777" w:rsidR="004404CB" w:rsidRPr="00A37F51" w:rsidRDefault="004404CB" w:rsidP="004404CB">
            <w:pPr>
              <w:spacing w:after="0" w:line="240" w:lineRule="auto"/>
              <w:rPr>
                <w:rFonts w:ascii="Times New Roman" w:hAnsi="Times New Roman"/>
                <w:sz w:val="24"/>
                <w:szCs w:val="24"/>
              </w:rPr>
            </w:pPr>
            <w:r w:rsidRPr="00A37F51">
              <w:rPr>
                <w:rFonts w:ascii="Times New Roman" w:hAnsi="Times New Roman"/>
                <w:sz w:val="24"/>
                <w:szCs w:val="24"/>
              </w:rPr>
              <w:t>Representatives from NGOs and international organizations working on peace building and security in Unity State</w:t>
            </w:r>
          </w:p>
        </w:tc>
        <w:tc>
          <w:tcPr>
            <w:tcW w:w="1324" w:type="dxa"/>
          </w:tcPr>
          <w:p w14:paraId="54443882" w14:textId="77777777" w:rsidR="004404CB" w:rsidRPr="00A37F51" w:rsidRDefault="004404CB" w:rsidP="004404CB">
            <w:pPr>
              <w:spacing w:after="0" w:line="240" w:lineRule="auto"/>
              <w:jc w:val="center"/>
              <w:rPr>
                <w:rFonts w:ascii="Times New Roman" w:hAnsi="Times New Roman"/>
                <w:sz w:val="24"/>
                <w:szCs w:val="24"/>
              </w:rPr>
            </w:pPr>
            <w:r>
              <w:rPr>
                <w:rFonts w:ascii="Times New Roman" w:hAnsi="Times New Roman"/>
                <w:sz w:val="24"/>
                <w:szCs w:val="24"/>
              </w:rPr>
              <w:t>24</w:t>
            </w:r>
          </w:p>
        </w:tc>
        <w:tc>
          <w:tcPr>
            <w:tcW w:w="0" w:type="auto"/>
          </w:tcPr>
          <w:p w14:paraId="5838AC3D" w14:textId="77777777" w:rsidR="004404CB" w:rsidRPr="00A37F51" w:rsidRDefault="004404CB" w:rsidP="004404CB">
            <w:pPr>
              <w:spacing w:after="0" w:line="240" w:lineRule="auto"/>
              <w:jc w:val="center"/>
              <w:rPr>
                <w:rFonts w:ascii="Times New Roman" w:hAnsi="Times New Roman"/>
                <w:sz w:val="24"/>
                <w:szCs w:val="24"/>
              </w:rPr>
            </w:pPr>
            <w:r>
              <w:rPr>
                <w:rFonts w:ascii="Times New Roman" w:hAnsi="Times New Roman"/>
                <w:sz w:val="24"/>
                <w:szCs w:val="24"/>
              </w:rPr>
              <w:t>16</w:t>
            </w:r>
          </w:p>
        </w:tc>
        <w:tc>
          <w:tcPr>
            <w:tcW w:w="2320" w:type="dxa"/>
            <w:hideMark/>
          </w:tcPr>
          <w:p w14:paraId="11349846" w14:textId="77777777" w:rsidR="004404CB" w:rsidRPr="00A37F51" w:rsidRDefault="004404CB" w:rsidP="004404CB">
            <w:pPr>
              <w:spacing w:after="0" w:line="240" w:lineRule="auto"/>
              <w:rPr>
                <w:rFonts w:ascii="Times New Roman" w:hAnsi="Times New Roman"/>
                <w:sz w:val="24"/>
                <w:szCs w:val="24"/>
              </w:rPr>
            </w:pPr>
            <w:r>
              <w:rPr>
                <w:rFonts w:ascii="Times New Roman" w:hAnsi="Times New Roman"/>
                <w:sz w:val="24"/>
                <w:szCs w:val="24"/>
              </w:rPr>
              <w:t xml:space="preserve">Purposive sampling </w:t>
            </w:r>
          </w:p>
        </w:tc>
      </w:tr>
      <w:tr w:rsidR="004404CB" w:rsidRPr="00A37F51" w14:paraId="57EA5E1A" w14:textId="77777777" w:rsidTr="004404CB">
        <w:tc>
          <w:tcPr>
            <w:tcW w:w="2186" w:type="dxa"/>
            <w:tcBorders>
              <w:bottom w:val="single" w:sz="4" w:space="0" w:color="auto"/>
            </w:tcBorders>
            <w:hideMark/>
          </w:tcPr>
          <w:p w14:paraId="233972B4" w14:textId="77777777" w:rsidR="004404CB" w:rsidRPr="00A37F51" w:rsidRDefault="004404CB" w:rsidP="004404CB">
            <w:pPr>
              <w:spacing w:after="0" w:line="240" w:lineRule="auto"/>
              <w:rPr>
                <w:rFonts w:ascii="Times New Roman" w:hAnsi="Times New Roman"/>
                <w:sz w:val="24"/>
                <w:szCs w:val="24"/>
              </w:rPr>
            </w:pPr>
            <w:r w:rsidRPr="00A37F51">
              <w:rPr>
                <w:rFonts w:ascii="Times New Roman" w:hAnsi="Times New Roman"/>
                <w:b/>
                <w:bCs/>
                <w:sz w:val="24"/>
                <w:szCs w:val="24"/>
              </w:rPr>
              <w:t>Peacekeeping Forces</w:t>
            </w:r>
          </w:p>
        </w:tc>
        <w:tc>
          <w:tcPr>
            <w:tcW w:w="3825" w:type="dxa"/>
            <w:tcBorders>
              <w:bottom w:val="single" w:sz="4" w:space="0" w:color="auto"/>
            </w:tcBorders>
            <w:hideMark/>
          </w:tcPr>
          <w:p w14:paraId="6DF22F84" w14:textId="77777777" w:rsidR="004404CB" w:rsidRPr="00A37F51" w:rsidRDefault="004404CB" w:rsidP="004404CB">
            <w:pPr>
              <w:spacing w:after="0" w:line="240" w:lineRule="auto"/>
              <w:rPr>
                <w:rFonts w:ascii="Times New Roman" w:hAnsi="Times New Roman"/>
                <w:sz w:val="24"/>
                <w:szCs w:val="24"/>
              </w:rPr>
            </w:pPr>
            <w:r w:rsidRPr="00A37F51">
              <w:rPr>
                <w:rFonts w:ascii="Times New Roman" w:hAnsi="Times New Roman"/>
                <w:sz w:val="24"/>
                <w:szCs w:val="24"/>
              </w:rPr>
              <w:t>Personnel from international peacekeeping forces active in Unity State</w:t>
            </w:r>
          </w:p>
        </w:tc>
        <w:tc>
          <w:tcPr>
            <w:tcW w:w="1324" w:type="dxa"/>
            <w:tcBorders>
              <w:bottom w:val="single" w:sz="4" w:space="0" w:color="auto"/>
            </w:tcBorders>
          </w:tcPr>
          <w:p w14:paraId="7F15C9C5" w14:textId="77777777" w:rsidR="004404CB" w:rsidRPr="00A37F51" w:rsidRDefault="004404CB" w:rsidP="004404CB">
            <w:pPr>
              <w:spacing w:after="0" w:line="240" w:lineRule="auto"/>
              <w:jc w:val="center"/>
              <w:rPr>
                <w:rFonts w:ascii="Times New Roman" w:hAnsi="Times New Roman"/>
                <w:sz w:val="24"/>
                <w:szCs w:val="24"/>
              </w:rPr>
            </w:pPr>
            <w:r w:rsidRPr="00A37F51">
              <w:rPr>
                <w:rFonts w:ascii="Times New Roman" w:hAnsi="Times New Roman"/>
                <w:sz w:val="24"/>
                <w:szCs w:val="24"/>
              </w:rPr>
              <w:t>10</w:t>
            </w:r>
          </w:p>
        </w:tc>
        <w:tc>
          <w:tcPr>
            <w:tcW w:w="0" w:type="auto"/>
            <w:tcBorders>
              <w:bottom w:val="single" w:sz="4" w:space="0" w:color="auto"/>
            </w:tcBorders>
          </w:tcPr>
          <w:p w14:paraId="01EA7D49" w14:textId="77777777" w:rsidR="004404CB" w:rsidRPr="00A37F51" w:rsidRDefault="004404CB" w:rsidP="004404CB">
            <w:pPr>
              <w:spacing w:after="0" w:line="240" w:lineRule="auto"/>
              <w:jc w:val="center"/>
              <w:rPr>
                <w:rFonts w:ascii="Times New Roman" w:hAnsi="Times New Roman"/>
                <w:sz w:val="24"/>
                <w:szCs w:val="24"/>
              </w:rPr>
            </w:pPr>
            <w:r>
              <w:rPr>
                <w:rFonts w:ascii="Times New Roman" w:hAnsi="Times New Roman"/>
                <w:sz w:val="24"/>
                <w:szCs w:val="24"/>
              </w:rPr>
              <w:t>6</w:t>
            </w:r>
          </w:p>
        </w:tc>
        <w:tc>
          <w:tcPr>
            <w:tcW w:w="2320" w:type="dxa"/>
            <w:tcBorders>
              <w:bottom w:val="single" w:sz="4" w:space="0" w:color="auto"/>
            </w:tcBorders>
            <w:hideMark/>
          </w:tcPr>
          <w:p w14:paraId="1BD51098" w14:textId="77777777" w:rsidR="004404CB" w:rsidRPr="00A37F51" w:rsidRDefault="004404CB" w:rsidP="004404CB">
            <w:pPr>
              <w:spacing w:after="0" w:line="240" w:lineRule="auto"/>
              <w:rPr>
                <w:rFonts w:ascii="Times New Roman" w:hAnsi="Times New Roman"/>
                <w:sz w:val="24"/>
                <w:szCs w:val="24"/>
              </w:rPr>
            </w:pPr>
            <w:r>
              <w:rPr>
                <w:rFonts w:ascii="Times New Roman" w:hAnsi="Times New Roman"/>
                <w:sz w:val="24"/>
                <w:szCs w:val="24"/>
              </w:rPr>
              <w:t>Purposive sampling</w:t>
            </w:r>
          </w:p>
        </w:tc>
      </w:tr>
      <w:tr w:rsidR="004404CB" w:rsidRPr="00A37F51" w14:paraId="1D7F97EA" w14:textId="77777777" w:rsidTr="004404CB">
        <w:tc>
          <w:tcPr>
            <w:tcW w:w="2186" w:type="dxa"/>
            <w:tcBorders>
              <w:top w:val="single" w:sz="4" w:space="0" w:color="auto"/>
              <w:bottom w:val="single" w:sz="4" w:space="0" w:color="auto"/>
            </w:tcBorders>
          </w:tcPr>
          <w:p w14:paraId="5528F5D8" w14:textId="77777777" w:rsidR="004404CB" w:rsidRPr="004404CB" w:rsidRDefault="004404CB" w:rsidP="004404CB">
            <w:pPr>
              <w:spacing w:after="0" w:line="240" w:lineRule="auto"/>
              <w:rPr>
                <w:rFonts w:ascii="Times New Roman" w:hAnsi="Times New Roman"/>
                <w:bCs/>
                <w:sz w:val="24"/>
                <w:szCs w:val="24"/>
              </w:rPr>
            </w:pPr>
            <w:r w:rsidRPr="004404CB">
              <w:rPr>
                <w:rFonts w:ascii="Times New Roman" w:hAnsi="Times New Roman"/>
                <w:bCs/>
                <w:sz w:val="24"/>
                <w:szCs w:val="24"/>
              </w:rPr>
              <w:t xml:space="preserve">Total </w:t>
            </w:r>
          </w:p>
        </w:tc>
        <w:tc>
          <w:tcPr>
            <w:tcW w:w="3825" w:type="dxa"/>
            <w:tcBorders>
              <w:top w:val="single" w:sz="4" w:space="0" w:color="auto"/>
              <w:bottom w:val="single" w:sz="4" w:space="0" w:color="auto"/>
            </w:tcBorders>
          </w:tcPr>
          <w:p w14:paraId="1F6C369D" w14:textId="77777777" w:rsidR="004404CB" w:rsidRPr="004404CB" w:rsidRDefault="004404CB" w:rsidP="004404CB">
            <w:pPr>
              <w:spacing w:after="0" w:line="240" w:lineRule="auto"/>
              <w:rPr>
                <w:rFonts w:ascii="Times New Roman" w:hAnsi="Times New Roman"/>
                <w:sz w:val="24"/>
                <w:szCs w:val="24"/>
              </w:rPr>
            </w:pPr>
          </w:p>
        </w:tc>
        <w:tc>
          <w:tcPr>
            <w:tcW w:w="1324" w:type="dxa"/>
            <w:tcBorders>
              <w:top w:val="single" w:sz="4" w:space="0" w:color="auto"/>
              <w:bottom w:val="single" w:sz="4" w:space="0" w:color="auto"/>
            </w:tcBorders>
          </w:tcPr>
          <w:p w14:paraId="1577E208" w14:textId="77777777" w:rsidR="004404CB" w:rsidRPr="004404CB" w:rsidRDefault="004404CB" w:rsidP="004404CB">
            <w:pPr>
              <w:spacing w:after="0" w:line="240" w:lineRule="auto"/>
              <w:jc w:val="center"/>
              <w:rPr>
                <w:rFonts w:ascii="Times New Roman" w:hAnsi="Times New Roman"/>
                <w:sz w:val="24"/>
                <w:szCs w:val="24"/>
              </w:rPr>
            </w:pPr>
            <w:r w:rsidRPr="004404CB">
              <w:rPr>
                <w:rFonts w:ascii="Times New Roman" w:hAnsi="Times New Roman"/>
                <w:sz w:val="24"/>
                <w:szCs w:val="24"/>
              </w:rPr>
              <w:fldChar w:fldCharType="begin"/>
            </w:r>
            <w:r w:rsidRPr="004404CB">
              <w:rPr>
                <w:rFonts w:ascii="Times New Roman" w:hAnsi="Times New Roman"/>
                <w:sz w:val="24"/>
                <w:szCs w:val="24"/>
              </w:rPr>
              <w:instrText xml:space="preserve"> =SUM(ABOVE) </w:instrText>
            </w:r>
            <w:r w:rsidRPr="004404CB">
              <w:rPr>
                <w:rFonts w:ascii="Times New Roman" w:hAnsi="Times New Roman"/>
                <w:sz w:val="24"/>
                <w:szCs w:val="24"/>
              </w:rPr>
              <w:fldChar w:fldCharType="separate"/>
            </w:r>
            <w:r w:rsidRPr="004404CB">
              <w:rPr>
                <w:rFonts w:ascii="Times New Roman" w:hAnsi="Times New Roman"/>
                <w:noProof/>
                <w:sz w:val="24"/>
                <w:szCs w:val="24"/>
              </w:rPr>
              <w:t>240</w:t>
            </w:r>
            <w:r w:rsidRPr="004404CB">
              <w:rPr>
                <w:rFonts w:ascii="Times New Roman" w:hAnsi="Times New Roman"/>
                <w:sz w:val="24"/>
                <w:szCs w:val="24"/>
              </w:rPr>
              <w:fldChar w:fldCharType="end"/>
            </w:r>
          </w:p>
        </w:tc>
        <w:tc>
          <w:tcPr>
            <w:tcW w:w="0" w:type="auto"/>
            <w:tcBorders>
              <w:top w:val="single" w:sz="4" w:space="0" w:color="auto"/>
              <w:bottom w:val="single" w:sz="4" w:space="0" w:color="auto"/>
            </w:tcBorders>
          </w:tcPr>
          <w:p w14:paraId="3326FAD7" w14:textId="77777777" w:rsidR="004404CB" w:rsidRPr="004404CB" w:rsidRDefault="004404CB" w:rsidP="004404CB">
            <w:pPr>
              <w:spacing w:after="0" w:line="240" w:lineRule="auto"/>
              <w:jc w:val="center"/>
              <w:rPr>
                <w:rFonts w:ascii="Times New Roman" w:hAnsi="Times New Roman"/>
                <w:sz w:val="24"/>
                <w:szCs w:val="24"/>
              </w:rPr>
            </w:pPr>
            <w:r w:rsidRPr="004404CB">
              <w:rPr>
                <w:rFonts w:ascii="Times New Roman" w:hAnsi="Times New Roman"/>
                <w:sz w:val="24"/>
                <w:szCs w:val="24"/>
              </w:rPr>
              <w:fldChar w:fldCharType="begin"/>
            </w:r>
            <w:r w:rsidRPr="004404CB">
              <w:rPr>
                <w:rFonts w:ascii="Times New Roman" w:hAnsi="Times New Roman"/>
                <w:sz w:val="24"/>
                <w:szCs w:val="24"/>
              </w:rPr>
              <w:instrText xml:space="preserve"> =SUM(ABOVE) </w:instrText>
            </w:r>
            <w:r w:rsidRPr="004404CB">
              <w:rPr>
                <w:rFonts w:ascii="Times New Roman" w:hAnsi="Times New Roman"/>
                <w:sz w:val="24"/>
                <w:szCs w:val="24"/>
              </w:rPr>
              <w:fldChar w:fldCharType="separate"/>
            </w:r>
            <w:r w:rsidRPr="004404CB">
              <w:rPr>
                <w:rFonts w:ascii="Times New Roman" w:hAnsi="Times New Roman"/>
                <w:noProof/>
                <w:sz w:val="24"/>
                <w:szCs w:val="24"/>
              </w:rPr>
              <w:t>150</w:t>
            </w:r>
            <w:r w:rsidRPr="004404CB">
              <w:rPr>
                <w:rFonts w:ascii="Times New Roman" w:hAnsi="Times New Roman"/>
                <w:sz w:val="24"/>
                <w:szCs w:val="24"/>
              </w:rPr>
              <w:fldChar w:fldCharType="end"/>
            </w:r>
          </w:p>
        </w:tc>
        <w:tc>
          <w:tcPr>
            <w:tcW w:w="2320" w:type="dxa"/>
            <w:tcBorders>
              <w:top w:val="single" w:sz="4" w:space="0" w:color="auto"/>
              <w:bottom w:val="single" w:sz="4" w:space="0" w:color="auto"/>
            </w:tcBorders>
          </w:tcPr>
          <w:p w14:paraId="7971CAD7" w14:textId="77777777" w:rsidR="004404CB" w:rsidRPr="004404CB" w:rsidRDefault="004404CB" w:rsidP="004404CB">
            <w:pPr>
              <w:spacing w:after="0" w:line="240" w:lineRule="auto"/>
              <w:rPr>
                <w:rFonts w:ascii="Times New Roman" w:hAnsi="Times New Roman"/>
                <w:sz w:val="24"/>
                <w:szCs w:val="24"/>
              </w:rPr>
            </w:pPr>
          </w:p>
        </w:tc>
      </w:tr>
    </w:tbl>
    <w:p w14:paraId="42F39E96" w14:textId="77777777" w:rsidR="007A55C7" w:rsidRPr="005E7ADF" w:rsidRDefault="004404CB" w:rsidP="004C661A">
      <w:pPr>
        <w:spacing w:after="100" w:afterAutospacing="1" w:line="240" w:lineRule="auto"/>
        <w:jc w:val="both"/>
        <w:rPr>
          <w:rFonts w:ascii="Times New Roman" w:hAnsi="Times New Roman"/>
        </w:rPr>
      </w:pPr>
      <w:r>
        <w:rPr>
          <w:rFonts w:ascii="Times New Roman" w:hAnsi="Times New Roman"/>
          <w:i/>
          <w:iCs/>
        </w:rPr>
        <w:t xml:space="preserve">Source: </w:t>
      </w:r>
      <w:r w:rsidRPr="004404CB">
        <w:rPr>
          <w:rFonts w:ascii="Times New Roman" w:hAnsi="Times New Roman"/>
          <w:i/>
          <w:iCs/>
        </w:rPr>
        <w:t>Primary Data (2025)</w:t>
      </w:r>
    </w:p>
    <w:p w14:paraId="1717AB46" w14:textId="77777777" w:rsidR="004404CB" w:rsidRDefault="004404CB">
      <w:pPr>
        <w:spacing w:after="0" w:line="240" w:lineRule="auto"/>
        <w:rPr>
          <w:rFonts w:ascii="Times New Roman" w:hAnsi="Times New Roman"/>
          <w:b/>
          <w:bCs/>
          <w:i/>
        </w:rPr>
      </w:pPr>
      <w:r>
        <w:rPr>
          <w:rFonts w:ascii="Times New Roman" w:hAnsi="Times New Roman"/>
          <w:b/>
          <w:bCs/>
          <w:i/>
        </w:rPr>
        <w:br w:type="page"/>
      </w:r>
    </w:p>
    <w:p w14:paraId="02125A8D" w14:textId="77777777" w:rsidR="007A55C7" w:rsidRPr="005E7ADF" w:rsidRDefault="007A55C7" w:rsidP="004C661A">
      <w:pPr>
        <w:spacing w:before="100" w:beforeAutospacing="1" w:after="100" w:afterAutospacing="1" w:line="240" w:lineRule="auto"/>
        <w:jc w:val="both"/>
        <w:rPr>
          <w:rFonts w:ascii="Times New Roman" w:hAnsi="Times New Roman"/>
          <w:b/>
          <w:bCs/>
          <w:i/>
        </w:rPr>
      </w:pPr>
      <w:r w:rsidRPr="005E7ADF">
        <w:rPr>
          <w:rFonts w:ascii="Times New Roman" w:hAnsi="Times New Roman"/>
          <w:b/>
          <w:bCs/>
          <w:i/>
        </w:rPr>
        <w:lastRenderedPageBreak/>
        <w:t>3.3. Sample Size</w:t>
      </w:r>
    </w:p>
    <w:p w14:paraId="15287697" w14:textId="77777777" w:rsidR="004404CB" w:rsidRPr="000D2DFA" w:rsidRDefault="004404CB" w:rsidP="004404CB">
      <w:pPr>
        <w:spacing w:before="100" w:beforeAutospacing="1" w:after="100" w:afterAutospacing="1" w:line="240" w:lineRule="auto"/>
        <w:jc w:val="both"/>
        <w:rPr>
          <w:rFonts w:ascii="Times New Roman" w:hAnsi="Times New Roman"/>
          <w:shd w:val="clear" w:color="auto" w:fill="FFFFFF"/>
        </w:rPr>
      </w:pPr>
      <w:r w:rsidRPr="000D2DFA">
        <w:rPr>
          <w:rFonts w:ascii="Times New Roman" w:hAnsi="Times New Roman"/>
          <w:shd w:val="clear" w:color="auto" w:fill="FFFFFF"/>
        </w:rPr>
        <w:t>A sample, as defined by Ravikiran (2023), is a smaller, manageable subset of a larger population that possesses characteristics representative of the entire group. Given the nature of the study, appropriate sampling techniques were employed to ensure reliability and validity while minimizing bias (Amin, 2015). The sample size for the study was determined using Slovin’s formula, which is expressed as follows:</w:t>
      </w:r>
    </w:p>
    <w:p w14:paraId="4C5A4E82" w14:textId="77777777" w:rsidR="004404CB" w:rsidRPr="00D52A86" w:rsidRDefault="004404CB" w:rsidP="004404CB">
      <w:pPr>
        <w:spacing w:before="240" w:after="240" w:line="240" w:lineRule="auto"/>
        <w:ind w:right="4"/>
        <w:jc w:val="both"/>
        <w:outlineLvl w:val="1"/>
        <w:rPr>
          <w:rFonts w:ascii="Times New Roman" w:hAnsi="Times New Roman"/>
          <w:noProof/>
          <w:sz w:val="24"/>
          <w:szCs w:val="24"/>
          <w:lang w:bidi="en-US"/>
        </w:rPr>
      </w:pPr>
      <w:bookmarkStart w:id="31" w:name="_Toc209393774"/>
      <w:bookmarkStart w:id="32" w:name="_Toc222995248"/>
      <m:oMathPara>
        <m:oMath>
          <m:r>
            <m:rPr>
              <m:sty m:val="p"/>
            </m:rPr>
            <w:rPr>
              <w:rFonts w:ascii="Cambria Math" w:hAnsi="Cambria Math"/>
              <w:noProof/>
              <w:sz w:val="24"/>
              <w:szCs w:val="24"/>
            </w:rPr>
            <m:t>n=</m:t>
          </m:r>
          <m:f>
            <m:fPr>
              <m:ctrlPr>
                <w:rPr>
                  <w:rFonts w:ascii="Cambria Math" w:hAnsi="Cambria Math"/>
                  <w:noProof/>
                  <w:sz w:val="24"/>
                  <w:szCs w:val="24"/>
                </w:rPr>
              </m:ctrlPr>
            </m:fPr>
            <m:num>
              <m:r>
                <m:rPr>
                  <m:sty m:val="p"/>
                </m:rPr>
                <w:rPr>
                  <w:rFonts w:ascii="Cambria Math" w:hAnsi="Cambria Math"/>
                  <w:noProof/>
                  <w:sz w:val="24"/>
                  <w:szCs w:val="24"/>
                </w:rPr>
                <m:t>N</m:t>
              </m:r>
            </m:num>
            <m:den>
              <m:r>
                <m:rPr>
                  <m:sty m:val="p"/>
                </m:rPr>
                <w:rPr>
                  <w:rFonts w:ascii="Cambria Math" w:hAnsi="Cambria Math"/>
                  <w:noProof/>
                  <w:sz w:val="24"/>
                  <w:szCs w:val="24"/>
                </w:rPr>
                <m:t>1+N</m:t>
              </m:r>
              <m:sSup>
                <m:sSupPr>
                  <m:ctrlPr>
                    <w:rPr>
                      <w:rFonts w:ascii="Cambria Math" w:hAnsi="Cambria Math"/>
                      <w:noProof/>
                      <w:sz w:val="24"/>
                      <w:szCs w:val="24"/>
                    </w:rPr>
                  </m:ctrlPr>
                </m:sSupPr>
                <m:e>
                  <m:r>
                    <m:rPr>
                      <m:sty m:val="p"/>
                    </m:rPr>
                    <w:rPr>
                      <w:rFonts w:ascii="Cambria Math" w:hAnsi="Cambria Math"/>
                      <w:noProof/>
                      <w:sz w:val="24"/>
                      <w:szCs w:val="24"/>
                    </w:rPr>
                    <m:t>(α)</m:t>
                  </m:r>
                </m:e>
                <m:sup>
                  <m:r>
                    <m:rPr>
                      <m:sty m:val="p"/>
                    </m:rPr>
                    <w:rPr>
                      <w:rFonts w:ascii="Cambria Math" w:hAnsi="Cambria Math"/>
                      <w:noProof/>
                      <w:sz w:val="24"/>
                      <w:szCs w:val="24"/>
                    </w:rPr>
                    <m:t>2</m:t>
                  </m:r>
                </m:sup>
              </m:sSup>
            </m:den>
          </m:f>
        </m:oMath>
      </m:oMathPara>
      <w:bookmarkEnd w:id="31"/>
      <w:bookmarkEnd w:id="32"/>
    </w:p>
    <w:p w14:paraId="3F829EED" w14:textId="77777777" w:rsidR="004404CB" w:rsidRPr="00D52A86" w:rsidRDefault="004404CB" w:rsidP="004404CB">
      <w:pPr>
        <w:spacing w:before="240" w:after="240" w:line="240" w:lineRule="auto"/>
        <w:ind w:right="-360"/>
        <w:jc w:val="both"/>
        <w:rPr>
          <w:rFonts w:ascii="Times New Roman" w:hAnsi="Times New Roman"/>
          <w:noProof/>
          <w:sz w:val="24"/>
          <w:szCs w:val="24"/>
          <w:lang w:bidi="en-US"/>
        </w:rPr>
      </w:pPr>
      <w:r w:rsidRPr="00D52A86">
        <w:rPr>
          <w:rFonts w:ascii="Times New Roman" w:hAnsi="Times New Roman"/>
          <w:noProof/>
          <w:sz w:val="24"/>
          <w:szCs w:val="24"/>
          <w:lang w:bidi="en-US"/>
        </w:rPr>
        <w:t xml:space="preserve">Where; </w:t>
      </w:r>
      <m:oMath>
        <m:r>
          <m:rPr>
            <m:sty m:val="b"/>
          </m:rPr>
          <w:rPr>
            <w:rFonts w:ascii="Cambria Math" w:hAnsi="Cambria Math"/>
            <w:noProof/>
            <w:sz w:val="24"/>
            <w:szCs w:val="24"/>
          </w:rPr>
          <m:t>n</m:t>
        </m:r>
        <m:r>
          <m:rPr>
            <m:sty m:val="p"/>
          </m:rPr>
          <w:rPr>
            <w:rFonts w:ascii="Cambria Math" w:hAnsi="Cambria Math"/>
            <w:noProof/>
            <w:sz w:val="24"/>
            <w:szCs w:val="24"/>
          </w:rPr>
          <m:t>=sample size;</m:t>
        </m:r>
        <m:r>
          <m:rPr>
            <m:sty m:val="b"/>
          </m:rPr>
          <w:rPr>
            <w:rFonts w:ascii="Cambria Math" w:hAnsi="Cambria Math"/>
            <w:noProof/>
            <w:sz w:val="24"/>
            <w:szCs w:val="24"/>
          </w:rPr>
          <m:t>N</m:t>
        </m:r>
        <m:r>
          <m:rPr>
            <m:sty m:val="p"/>
          </m:rPr>
          <w:rPr>
            <w:rFonts w:ascii="Cambria Math" w:hAnsi="Cambria Math"/>
            <w:noProof/>
            <w:sz w:val="24"/>
            <w:szCs w:val="24"/>
          </w:rPr>
          <m:t xml:space="preserve">=target population;and </m:t>
        </m:r>
        <m:r>
          <m:rPr>
            <m:sty m:val="b"/>
          </m:rPr>
          <w:rPr>
            <w:rFonts w:ascii="Cambria Math" w:hAnsi="Cambria Math"/>
            <w:noProof/>
            <w:sz w:val="24"/>
            <w:szCs w:val="24"/>
          </w:rPr>
          <m:t>α</m:t>
        </m:r>
        <m:r>
          <m:rPr>
            <m:sty m:val="p"/>
          </m:rPr>
          <w:rPr>
            <w:rFonts w:ascii="Cambria Math" w:hAnsi="Cambria Math"/>
            <w:noProof/>
            <w:sz w:val="24"/>
            <w:szCs w:val="24"/>
          </w:rPr>
          <m:t>=0.05 level of significance</m:t>
        </m:r>
      </m:oMath>
    </w:p>
    <w:p w14:paraId="1117D1CD" w14:textId="77777777" w:rsidR="004404CB" w:rsidRPr="00D52A86" w:rsidRDefault="004404CB" w:rsidP="004404CB">
      <w:pPr>
        <w:spacing w:before="240" w:after="240" w:line="240" w:lineRule="auto"/>
        <w:ind w:right="-360"/>
        <w:jc w:val="both"/>
        <w:rPr>
          <w:rFonts w:ascii="Times New Roman" w:hAnsi="Times New Roman"/>
          <w:noProof/>
          <w:sz w:val="24"/>
          <w:szCs w:val="24"/>
          <w:lang w:bidi="en-US"/>
        </w:rPr>
      </w:pPr>
      <m:oMathPara>
        <m:oMath>
          <m:r>
            <m:rPr>
              <m:sty m:val="p"/>
            </m:rPr>
            <w:rPr>
              <w:rFonts w:ascii="Cambria Math" w:hAnsi="Cambria Math"/>
              <w:noProof/>
              <w:sz w:val="24"/>
              <w:szCs w:val="24"/>
            </w:rPr>
            <m:t>n=</m:t>
          </m:r>
          <m:f>
            <m:fPr>
              <m:ctrlPr>
                <w:rPr>
                  <w:rFonts w:ascii="Cambria Math" w:hAnsi="Cambria Math"/>
                  <w:noProof/>
                  <w:sz w:val="24"/>
                  <w:szCs w:val="24"/>
                </w:rPr>
              </m:ctrlPr>
            </m:fPr>
            <m:num>
              <m:r>
                <m:rPr>
                  <m:sty m:val="p"/>
                </m:rPr>
                <w:rPr>
                  <w:rFonts w:ascii="Cambria Math" w:hAnsi="Cambria Math"/>
                  <w:noProof/>
                  <w:sz w:val="24"/>
                  <w:szCs w:val="24"/>
                </w:rPr>
                <m:t>240</m:t>
              </m:r>
            </m:num>
            <m:den>
              <m:r>
                <m:rPr>
                  <m:sty m:val="p"/>
                </m:rPr>
                <w:rPr>
                  <w:rFonts w:ascii="Cambria Math" w:hAnsi="Cambria Math"/>
                  <w:noProof/>
                  <w:sz w:val="24"/>
                  <w:szCs w:val="24"/>
                </w:rPr>
                <m:t>1+20</m:t>
              </m:r>
              <m:sSup>
                <m:sSupPr>
                  <m:ctrlPr>
                    <w:rPr>
                      <w:rFonts w:ascii="Cambria Math" w:hAnsi="Cambria Math"/>
                      <w:noProof/>
                      <w:sz w:val="24"/>
                      <w:szCs w:val="24"/>
                    </w:rPr>
                  </m:ctrlPr>
                </m:sSupPr>
                <m:e>
                  <m:r>
                    <m:rPr>
                      <m:sty m:val="p"/>
                    </m:rPr>
                    <w:rPr>
                      <w:rFonts w:ascii="Cambria Math" w:hAnsi="Cambria Math"/>
                      <w:noProof/>
                      <w:sz w:val="24"/>
                      <w:szCs w:val="24"/>
                    </w:rPr>
                    <m:t>(0.05)</m:t>
                  </m:r>
                </m:e>
                <m:sup>
                  <m:r>
                    <m:rPr>
                      <m:sty m:val="p"/>
                    </m:rPr>
                    <w:rPr>
                      <w:rFonts w:ascii="Cambria Math" w:hAnsi="Cambria Math"/>
                      <w:noProof/>
                      <w:sz w:val="24"/>
                      <w:szCs w:val="24"/>
                    </w:rPr>
                    <m:t>2</m:t>
                  </m:r>
                </m:sup>
              </m:sSup>
            </m:den>
          </m:f>
          <m:r>
            <m:rPr>
              <m:sty m:val="p"/>
            </m:rPr>
            <w:rPr>
              <w:rFonts w:ascii="Cambria Math" w:hAnsi="Cambria Math"/>
              <w:noProof/>
              <w:sz w:val="24"/>
              <w:szCs w:val="24"/>
            </w:rPr>
            <m:t>=</m:t>
          </m:r>
          <m:f>
            <m:fPr>
              <m:ctrlPr>
                <w:rPr>
                  <w:rFonts w:ascii="Cambria Math" w:hAnsi="Cambria Math"/>
                  <w:noProof/>
                  <w:sz w:val="24"/>
                  <w:szCs w:val="24"/>
                </w:rPr>
              </m:ctrlPr>
            </m:fPr>
            <m:num>
              <m:r>
                <m:rPr>
                  <m:sty m:val="p"/>
                </m:rPr>
                <w:rPr>
                  <w:rFonts w:ascii="Cambria Math" w:hAnsi="Cambria Math"/>
                  <w:noProof/>
                  <w:sz w:val="24"/>
                  <w:szCs w:val="24"/>
                </w:rPr>
                <m:t>240</m:t>
              </m:r>
            </m:num>
            <m:den>
              <m:r>
                <m:rPr>
                  <m:sty m:val="p"/>
                </m:rPr>
                <w:rPr>
                  <w:rFonts w:ascii="Cambria Math" w:hAnsi="Cambria Math"/>
                  <w:noProof/>
                  <w:sz w:val="24"/>
                  <w:szCs w:val="24"/>
                </w:rPr>
                <m:t>1+240(0.0025)</m:t>
              </m:r>
            </m:den>
          </m:f>
        </m:oMath>
      </m:oMathPara>
    </w:p>
    <w:p w14:paraId="59D867EF" w14:textId="77777777" w:rsidR="004404CB" w:rsidRPr="00D52A86" w:rsidRDefault="004404CB" w:rsidP="004404CB">
      <w:pPr>
        <w:tabs>
          <w:tab w:val="left" w:pos="1800"/>
        </w:tabs>
        <w:spacing w:before="240" w:after="240" w:line="240" w:lineRule="auto"/>
        <w:ind w:right="-360"/>
        <w:jc w:val="center"/>
        <w:rPr>
          <w:rFonts w:ascii="Times New Roman" w:hAnsi="Times New Roman"/>
          <w:b/>
          <w:noProof/>
          <w:sz w:val="24"/>
          <w:szCs w:val="24"/>
          <w:lang w:bidi="en-US"/>
        </w:rPr>
      </w:pPr>
      <m:oMath>
        <m:r>
          <m:rPr>
            <m:sty m:val="b"/>
          </m:rPr>
          <w:rPr>
            <w:rFonts w:ascii="Cambria Math" w:hAnsi="Cambria Math"/>
            <w:noProof/>
            <w:sz w:val="24"/>
            <w:szCs w:val="24"/>
          </w:rPr>
          <m:t>n=150</m:t>
        </m:r>
      </m:oMath>
      <w:r w:rsidRPr="00D52A86">
        <w:rPr>
          <w:rFonts w:ascii="Times New Roman" w:hAnsi="Times New Roman"/>
          <w:b/>
          <w:noProof/>
          <w:sz w:val="24"/>
          <w:szCs w:val="24"/>
        </w:rPr>
        <w:t xml:space="preserve"> respondents</w:t>
      </w:r>
    </w:p>
    <w:p w14:paraId="5E181A15" w14:textId="77777777" w:rsidR="007A55C7" w:rsidRPr="005E7ADF" w:rsidRDefault="007A55C7" w:rsidP="004C661A">
      <w:pPr>
        <w:spacing w:before="100" w:beforeAutospacing="1" w:after="100" w:afterAutospacing="1" w:line="240" w:lineRule="auto"/>
        <w:jc w:val="both"/>
        <w:rPr>
          <w:rFonts w:ascii="Times New Roman" w:hAnsi="Times New Roman"/>
          <w:b/>
          <w:bCs/>
          <w:i/>
        </w:rPr>
      </w:pPr>
      <w:r w:rsidRPr="005E7ADF">
        <w:rPr>
          <w:rFonts w:ascii="Times New Roman" w:hAnsi="Times New Roman"/>
          <w:b/>
          <w:bCs/>
          <w:i/>
        </w:rPr>
        <w:t>3.3.1. Sampling Techniques</w:t>
      </w:r>
    </w:p>
    <w:p w14:paraId="5DAD84CC" w14:textId="77777777" w:rsidR="004404CB" w:rsidRDefault="004404CB" w:rsidP="004C661A">
      <w:pPr>
        <w:spacing w:before="100" w:beforeAutospacing="1" w:after="100" w:afterAutospacing="1" w:line="240" w:lineRule="auto"/>
        <w:jc w:val="both"/>
        <w:rPr>
          <w:rFonts w:ascii="Times New Roman" w:hAnsi="Times New Roman"/>
          <w:shd w:val="clear" w:color="auto" w:fill="FFFFFF"/>
        </w:rPr>
      </w:pPr>
      <w:r w:rsidRPr="004404CB">
        <w:rPr>
          <w:rFonts w:ascii="Times New Roman" w:hAnsi="Times New Roman"/>
          <w:shd w:val="clear" w:color="auto" w:fill="FFFFFF"/>
        </w:rPr>
        <w:t>The study employed a combination of purposive and random sampling to select participants who could provide comprehensive insights into political power distribution and sustainable peace in Unity State. Purposive sampling targeted individuals with specific knowledge or experience, including 30 government officials involved in policy-making, 30 local ethnic leaders from the Dinka and Nuer groups, 40 security personnel, 6 representatives from international organizations and NGOs, and 6 peacekeeping personnel, ensuring that those directly engaged in governance, security, and peacebuilding were represented. In addition, simple random sampling was used to select 50 community members from a larger pool of 80 residents, giving each member an equal chance of participation. This combination of techniques allowed the study to capture both expert perspectives and the broader experiences of the local population, ensuring diverse, representative, and reliable data on the dynamics of political power and peace in the region.</w:t>
      </w:r>
    </w:p>
    <w:p w14:paraId="64CC78E6" w14:textId="77777777" w:rsidR="004404CB" w:rsidRDefault="007A55C7" w:rsidP="004404CB">
      <w:pPr>
        <w:spacing w:before="100" w:beforeAutospacing="1" w:after="100" w:afterAutospacing="1" w:line="240" w:lineRule="auto"/>
        <w:jc w:val="both"/>
        <w:rPr>
          <w:rFonts w:ascii="Times New Roman" w:hAnsi="Times New Roman"/>
          <w:b/>
          <w:bCs/>
          <w:i/>
        </w:rPr>
      </w:pPr>
      <w:r w:rsidRPr="005E7ADF">
        <w:rPr>
          <w:rFonts w:ascii="Times New Roman" w:hAnsi="Times New Roman"/>
          <w:b/>
          <w:bCs/>
          <w:i/>
        </w:rPr>
        <w:t>3.4. Sources of Data</w:t>
      </w:r>
    </w:p>
    <w:p w14:paraId="1346F3E3" w14:textId="77777777" w:rsidR="004404CB" w:rsidRPr="000C1F92" w:rsidRDefault="004404CB" w:rsidP="004404CB">
      <w:pPr>
        <w:spacing w:before="100" w:beforeAutospacing="1" w:after="100" w:afterAutospacing="1" w:line="240" w:lineRule="auto"/>
        <w:jc w:val="both"/>
        <w:rPr>
          <w:rFonts w:ascii="Times New Roman" w:hAnsi="Times New Roman"/>
          <w:i/>
        </w:rPr>
      </w:pPr>
      <w:r w:rsidRPr="000C1F92">
        <w:rPr>
          <w:rStyle w:val="Strong"/>
          <w:rFonts w:ascii="Times New Roman" w:hAnsi="Times New Roman"/>
          <w:bCs w:val="0"/>
          <w:i/>
        </w:rPr>
        <w:t>3.4.1 Primary Data</w:t>
      </w:r>
    </w:p>
    <w:p w14:paraId="24070742" w14:textId="77777777" w:rsidR="004404CB" w:rsidRPr="000C1F92" w:rsidRDefault="004404CB" w:rsidP="004404CB">
      <w:pPr>
        <w:pStyle w:val="NormalWeb"/>
        <w:jc w:val="both"/>
        <w:rPr>
          <w:sz w:val="22"/>
          <w:szCs w:val="22"/>
        </w:rPr>
      </w:pPr>
      <w:r w:rsidRPr="000C1F92">
        <w:rPr>
          <w:sz w:val="22"/>
          <w:szCs w:val="22"/>
        </w:rPr>
        <w:t>Primary data refers to information collected directly from original sources specifically for the purpose of a particular study (Kothari, 2019). In this study, primary data were obtained from respondents in Unity State, South Sudan, to examine the effect of political power distribution on sustainable peace. The researcher used structured questionnaires and semi-structured interviews as the main data collection instruments. Questionnaires were administered to selected respondents to gather quantitative data on their perceptions of political power distribution, representation, and its influence on peace and stability. Semi-structured interviews were conducted with key informants such as government officials, local ethnic leaders, security personnel, NGO representatives, and peacekeeping actors to obtain in-depth qualitative insights into political dynamics, governance challenges, and peacebuilding efforts in Unity State.</w:t>
      </w:r>
    </w:p>
    <w:p w14:paraId="3CAE46DE" w14:textId="77777777" w:rsidR="004404CB" w:rsidRPr="000C1F92" w:rsidRDefault="004404CB" w:rsidP="004404CB">
      <w:pPr>
        <w:pStyle w:val="NormalWeb"/>
        <w:jc w:val="both"/>
        <w:rPr>
          <w:i/>
          <w:sz w:val="22"/>
          <w:szCs w:val="22"/>
        </w:rPr>
      </w:pPr>
      <w:r w:rsidRPr="000C1F92">
        <w:rPr>
          <w:rStyle w:val="Strong"/>
          <w:bCs w:val="0"/>
          <w:i/>
          <w:sz w:val="22"/>
          <w:szCs w:val="22"/>
        </w:rPr>
        <w:t>3.4.2 Secondary Data</w:t>
      </w:r>
    </w:p>
    <w:p w14:paraId="04E18EF7" w14:textId="77777777" w:rsidR="004404CB" w:rsidRPr="000C1F92" w:rsidRDefault="004404CB" w:rsidP="004404CB">
      <w:pPr>
        <w:pStyle w:val="NormalWeb"/>
        <w:jc w:val="both"/>
        <w:rPr>
          <w:sz w:val="22"/>
          <w:szCs w:val="22"/>
        </w:rPr>
      </w:pPr>
      <w:r w:rsidRPr="000C1F92">
        <w:rPr>
          <w:sz w:val="22"/>
          <w:szCs w:val="22"/>
        </w:rPr>
        <w:t xml:space="preserve">Secondary data refers to information that has already been collected, analyzed, and published by other researchers, institutions, or organizations for purposes other than the current study (Mugenda &amp; Mugenda, 2019). In this study, secondary data were obtained from a range of sources including </w:t>
      </w:r>
      <w:r w:rsidRPr="000C1F92">
        <w:rPr>
          <w:sz w:val="22"/>
          <w:szCs w:val="22"/>
        </w:rPr>
        <w:lastRenderedPageBreak/>
        <w:t>government reports, policy documents, peace agreement records such as the Revitalized Agreement on the Resolution of the Conflict in South Sudan (R-ARCSS), United Nations reports, NGO publications, and peer-reviewed journal articles related to political power distribution and sustainable peace. These sources provided background information and contextual understanding of the political and security situation in Unity State, including historical patterns of conflict, governance structures, and power-sharing arrangements. Secondary data complemented the primary data by offering a broader perspective on trends, institutional frameworks, and previous findings relevant to the study (Saunders, Lewis, &amp; Thornhill, 2019).</w:t>
      </w:r>
    </w:p>
    <w:p w14:paraId="5C3644D0" w14:textId="77777777" w:rsidR="007A55C7" w:rsidRDefault="007A55C7" w:rsidP="004C661A">
      <w:pPr>
        <w:spacing w:before="100" w:beforeAutospacing="1" w:after="100" w:afterAutospacing="1" w:line="240" w:lineRule="auto"/>
        <w:jc w:val="both"/>
        <w:rPr>
          <w:rFonts w:ascii="Times New Roman" w:hAnsi="Times New Roman"/>
          <w:b/>
          <w:bCs/>
          <w:i/>
        </w:rPr>
      </w:pPr>
      <w:r w:rsidRPr="005E7ADF">
        <w:rPr>
          <w:rFonts w:ascii="Times New Roman" w:hAnsi="Times New Roman"/>
          <w:b/>
          <w:bCs/>
          <w:i/>
        </w:rPr>
        <w:t>3.5. Data Collection Instruments</w:t>
      </w:r>
    </w:p>
    <w:p w14:paraId="28FACA69" w14:textId="77777777" w:rsidR="000C1F92" w:rsidRDefault="000C1F92" w:rsidP="004C661A">
      <w:pPr>
        <w:spacing w:before="100" w:beforeAutospacing="1" w:after="100" w:afterAutospacing="1" w:line="240" w:lineRule="auto"/>
        <w:jc w:val="both"/>
        <w:rPr>
          <w:rFonts w:ascii="Times New Roman" w:hAnsi="Times New Roman"/>
          <w:b/>
          <w:bCs/>
          <w:i/>
        </w:rPr>
      </w:pPr>
    </w:p>
    <w:p w14:paraId="3833F8BC" w14:textId="77777777" w:rsidR="00500543" w:rsidRPr="00500543" w:rsidRDefault="00500543" w:rsidP="00500543">
      <w:pPr>
        <w:spacing w:before="100" w:beforeAutospacing="1" w:after="100" w:afterAutospacing="1" w:line="240" w:lineRule="auto"/>
        <w:jc w:val="both"/>
        <w:rPr>
          <w:rFonts w:ascii="Times New Roman" w:hAnsi="Times New Roman"/>
          <w:b/>
          <w:bCs/>
          <w:i/>
        </w:rPr>
      </w:pPr>
      <w:r w:rsidRPr="00500543">
        <w:rPr>
          <w:rFonts w:ascii="Times New Roman" w:hAnsi="Times New Roman"/>
          <w:b/>
          <w:bCs/>
          <w:i/>
        </w:rPr>
        <w:t>3.5.1 Surveys</w:t>
      </w:r>
    </w:p>
    <w:p w14:paraId="3CDA0EED" w14:textId="77777777" w:rsidR="00500543" w:rsidRPr="00500543" w:rsidRDefault="00500543" w:rsidP="00500543">
      <w:pPr>
        <w:spacing w:before="100" w:beforeAutospacing="1" w:after="100" w:afterAutospacing="1" w:line="240" w:lineRule="auto"/>
        <w:jc w:val="both"/>
        <w:rPr>
          <w:rFonts w:ascii="Times New Roman" w:hAnsi="Times New Roman"/>
          <w:bCs/>
        </w:rPr>
      </w:pPr>
      <w:r w:rsidRPr="00500543">
        <w:rPr>
          <w:rFonts w:ascii="Times New Roman" w:hAnsi="Times New Roman"/>
          <w:bCs/>
        </w:rPr>
        <w:t xml:space="preserve">Surveys were employed as the main tool for collecting quantitative data on political power distribution and sustainable peace in Unity State. Structured questionnaires containing both closed-ended and open-ended items were administered to respondents to capture measurable information on their perceptions of political representation, governance, and the prevailing security conditions. Community members formed the primary group of survey respondents, with 50 individuals selected through simple random sampling to ensure representativeness. The survey sought to capture their views on how political power is distributed, their experiences of security in their localities, and the perceived influence of different actors on stability. </w:t>
      </w:r>
    </w:p>
    <w:p w14:paraId="147B70A5" w14:textId="77777777" w:rsidR="00500543" w:rsidRPr="00500543" w:rsidRDefault="00500543" w:rsidP="00500543">
      <w:pPr>
        <w:spacing w:before="100" w:beforeAutospacing="1" w:after="100" w:afterAutospacing="1" w:line="240" w:lineRule="auto"/>
        <w:jc w:val="both"/>
        <w:rPr>
          <w:rFonts w:ascii="Times New Roman" w:hAnsi="Times New Roman"/>
          <w:b/>
          <w:bCs/>
          <w:i/>
        </w:rPr>
      </w:pPr>
      <w:r w:rsidRPr="00500543">
        <w:rPr>
          <w:rFonts w:ascii="Times New Roman" w:hAnsi="Times New Roman"/>
          <w:b/>
          <w:bCs/>
          <w:i/>
        </w:rPr>
        <w:t>3.5.2 Semi-Structured Interviews</w:t>
      </w:r>
    </w:p>
    <w:p w14:paraId="5E9D158C" w14:textId="77777777" w:rsidR="000C1F92" w:rsidRPr="00500543" w:rsidRDefault="00500543" w:rsidP="00500543">
      <w:pPr>
        <w:spacing w:before="100" w:beforeAutospacing="1" w:after="100" w:afterAutospacing="1" w:line="240" w:lineRule="auto"/>
        <w:jc w:val="both"/>
        <w:rPr>
          <w:rFonts w:ascii="Times New Roman" w:hAnsi="Times New Roman"/>
          <w:bCs/>
        </w:rPr>
      </w:pPr>
      <w:r w:rsidRPr="00500543">
        <w:rPr>
          <w:rFonts w:ascii="Times New Roman" w:hAnsi="Times New Roman"/>
          <w:bCs/>
        </w:rPr>
        <w:t xml:space="preserve">Semi-structured interviews were used to collect qualitative data, enabling an in-depth exploration of participants’ experiences, opinions, and interpretations of political power distribution and its impact on sustainable peace. This method allowed the researcher to probe further through follow-up questions and clarifications, thereby gaining richer and more detailed insights into the subject matter. Key informants, including government officials, local ethnic leaders, and peacekeeping personnel, were interviewed. Government officials provided insights into the structure of political power, governance processes, and strategies used to address security challenges within the state. Local ethnic leaders shared their perspectives on how ethnic identities influence power relations, intergroup interactions, and conflict dynamics, particularly among major groups such as the Dinka and Nuer. </w:t>
      </w:r>
    </w:p>
    <w:p w14:paraId="4B50911F" w14:textId="77777777" w:rsidR="007A55C7" w:rsidRPr="005E7ADF" w:rsidRDefault="007A55C7" w:rsidP="005E7ADF">
      <w:pPr>
        <w:spacing w:before="100" w:beforeAutospacing="1" w:after="100" w:afterAutospacing="1" w:line="240" w:lineRule="auto"/>
        <w:jc w:val="both"/>
        <w:rPr>
          <w:rFonts w:ascii="Times New Roman" w:hAnsi="Times New Roman"/>
          <w:i/>
        </w:rPr>
      </w:pPr>
      <w:r w:rsidRPr="005E7ADF">
        <w:rPr>
          <w:rFonts w:ascii="Times New Roman" w:hAnsi="Times New Roman"/>
          <w:b/>
          <w:bCs/>
          <w:i/>
        </w:rPr>
        <w:t>3.6. Validity and Reliability of the Instruments</w:t>
      </w:r>
    </w:p>
    <w:p w14:paraId="6CDC365D" w14:textId="77777777" w:rsidR="007A55C7" w:rsidRPr="005E7ADF" w:rsidRDefault="007A55C7" w:rsidP="005E7ADF">
      <w:pPr>
        <w:spacing w:before="100" w:beforeAutospacing="1" w:after="100" w:afterAutospacing="1" w:line="240" w:lineRule="auto"/>
        <w:jc w:val="both"/>
        <w:rPr>
          <w:rFonts w:ascii="Times New Roman" w:hAnsi="Times New Roman"/>
          <w:b/>
          <w:bCs/>
          <w:i/>
        </w:rPr>
      </w:pPr>
      <w:r w:rsidRPr="005E7ADF">
        <w:rPr>
          <w:rFonts w:ascii="Times New Roman" w:hAnsi="Times New Roman"/>
          <w:b/>
          <w:bCs/>
          <w:i/>
        </w:rPr>
        <w:t>3.6.1. Validity</w:t>
      </w:r>
    </w:p>
    <w:p w14:paraId="571E8166" w14:textId="77777777" w:rsidR="00500543" w:rsidRDefault="00500543" w:rsidP="005E7ADF">
      <w:pPr>
        <w:spacing w:before="100" w:beforeAutospacing="1" w:after="100" w:afterAutospacing="1" w:line="240" w:lineRule="auto"/>
        <w:jc w:val="both"/>
        <w:rPr>
          <w:rFonts w:ascii="Times New Roman" w:hAnsi="Times New Roman"/>
          <w:shd w:val="clear" w:color="auto" w:fill="FFFFFF"/>
        </w:rPr>
      </w:pPr>
      <w:r w:rsidRPr="00500543">
        <w:rPr>
          <w:rFonts w:ascii="Times New Roman" w:hAnsi="Times New Roman"/>
          <w:shd w:val="clear" w:color="auto" w:fill="FFFFFF"/>
        </w:rPr>
        <w:t>According to Creswell (2009), validity refers to the degree to which a research instrument measures what it is intended to measure. In this study, the validity of the questionnaire was ensured through a pre-testing process. Content validity was specifically assessed to determine the extent to which the items in the instrument adequately represented the concept under investigation. Expert judgment was used to evaluate each item, and the Content Validity Index (CVI) was computed using the formula: the number of items rated as relevant divided by the total number of items in the questionnaire. The results showed a CVI of 91.3% (21 out of 23 items), which exceeds the acceptable threshold of 0.7 (70%). This indicates that the instrument had a high level of content validity. Items that did not meet the required standard would have been revised and retested to improve their relevance and alignment with the study objectives. Overall, the questionnaire was deemed highly valid for the study.</w:t>
      </w:r>
    </w:p>
    <w:p w14:paraId="48570A62" w14:textId="77777777" w:rsidR="00500543" w:rsidRDefault="00500543">
      <w:pPr>
        <w:spacing w:after="0" w:line="240" w:lineRule="auto"/>
        <w:rPr>
          <w:rFonts w:ascii="Times New Roman" w:hAnsi="Times New Roman"/>
          <w:b/>
          <w:bCs/>
          <w:i/>
        </w:rPr>
      </w:pPr>
      <w:r>
        <w:rPr>
          <w:rFonts w:ascii="Times New Roman" w:hAnsi="Times New Roman"/>
          <w:b/>
          <w:bCs/>
          <w:i/>
        </w:rPr>
        <w:br w:type="page"/>
      </w:r>
    </w:p>
    <w:p w14:paraId="4E3633C2" w14:textId="77777777" w:rsidR="007A55C7" w:rsidRPr="005E7ADF" w:rsidRDefault="007A55C7" w:rsidP="005E7ADF">
      <w:pPr>
        <w:spacing w:before="100" w:beforeAutospacing="1" w:after="100" w:afterAutospacing="1" w:line="240" w:lineRule="auto"/>
        <w:jc w:val="both"/>
        <w:rPr>
          <w:rFonts w:ascii="Times New Roman" w:hAnsi="Times New Roman"/>
          <w:b/>
          <w:bCs/>
          <w:i/>
        </w:rPr>
      </w:pPr>
      <w:r w:rsidRPr="005E7ADF">
        <w:rPr>
          <w:rFonts w:ascii="Times New Roman" w:hAnsi="Times New Roman"/>
          <w:b/>
          <w:bCs/>
          <w:i/>
        </w:rPr>
        <w:lastRenderedPageBreak/>
        <w:t>3.6.2. Reliability</w:t>
      </w:r>
    </w:p>
    <w:p w14:paraId="106C715F" w14:textId="77777777" w:rsidR="00500543" w:rsidRDefault="00500543" w:rsidP="005E7ADF">
      <w:pPr>
        <w:spacing w:before="100" w:beforeAutospacing="1" w:after="100" w:afterAutospacing="1" w:line="240" w:lineRule="auto"/>
        <w:jc w:val="both"/>
        <w:rPr>
          <w:rFonts w:ascii="Times New Roman" w:hAnsi="Times New Roman"/>
          <w:shd w:val="clear" w:color="auto" w:fill="FFFFFF"/>
        </w:rPr>
      </w:pPr>
      <w:r w:rsidRPr="00500543">
        <w:rPr>
          <w:rFonts w:ascii="Times New Roman" w:hAnsi="Times New Roman"/>
          <w:shd w:val="clear" w:color="auto" w:fill="FFFFFF"/>
        </w:rPr>
        <w:t>According to Creswell (2009), validity refers to the degree to which a research instrument measures what it is intended to measure. In this study, the validity of the questionnaire was ensured through a pre-testing process. Content validity was specifically assessed to determine the extent to which the items in the instrument adequately represented the concept under investigation. Expert judgment was used to evaluate each item, and the Content Validity Index (CVI) was computed using the formula: the number of items rated as relevant divided by the total number of items in the questionnaire. The results showed a CVI of 91.3% (21 out of 23 items), which exceeds the acceptable threshold of 0.7 (70%). This indicates that the instrument had a high level of content validity. Items that did not meet the required standard would have been revised and retested to improve their relevance and alignment with the study objectives. Overall, the questionnaire was deemed highly valid for the study.</w:t>
      </w:r>
    </w:p>
    <w:p w14:paraId="2B45FF76" w14:textId="77777777" w:rsidR="007A55C7" w:rsidRPr="00D86CFF" w:rsidRDefault="007A55C7" w:rsidP="004C661A">
      <w:pPr>
        <w:spacing w:before="100" w:beforeAutospacing="1" w:after="100" w:afterAutospacing="1" w:line="240" w:lineRule="auto"/>
        <w:jc w:val="both"/>
        <w:rPr>
          <w:rFonts w:ascii="Times New Roman" w:hAnsi="Times New Roman"/>
          <w:b/>
          <w:bCs/>
          <w:i/>
        </w:rPr>
      </w:pPr>
      <w:r w:rsidRPr="00D86CFF">
        <w:rPr>
          <w:rFonts w:ascii="Times New Roman" w:hAnsi="Times New Roman"/>
          <w:b/>
          <w:bCs/>
          <w:i/>
        </w:rPr>
        <w:t>3.7. Data Collection Procedures</w:t>
      </w:r>
    </w:p>
    <w:p w14:paraId="37662351" w14:textId="77777777" w:rsidR="007D2949" w:rsidRDefault="007D2949" w:rsidP="007D2949">
      <w:pPr>
        <w:spacing w:before="100" w:beforeAutospacing="1" w:after="100" w:afterAutospacing="1" w:line="240" w:lineRule="auto"/>
        <w:jc w:val="both"/>
        <w:rPr>
          <w:rFonts w:ascii="Times New Roman" w:hAnsi="Times New Roman"/>
          <w:shd w:val="clear" w:color="auto" w:fill="FFFFFF"/>
        </w:rPr>
      </w:pPr>
      <w:r w:rsidRPr="006E5815">
        <w:rPr>
          <w:rFonts w:ascii="Times New Roman" w:hAnsi="Times New Roman"/>
          <w:shd w:val="clear" w:color="auto" w:fill="FFFFFF"/>
        </w:rPr>
        <w:t>Data collection for this study began with a preparatory phase in which research instruments, including questionnaires and semi-structured interview guides, were developed, reviewed, and pre-tested to ensure clarity, validity, and relevance, followed by the acquisition of the necessary ethical approvals and permissions from relevant authorities. Participants were selected using purposive and simple random sampling techniques, drawing from diverse stakeholder groups such as government officials, local ethnic leaders, security personnel, community members, and representatives of international organizations and NGOs. Questionnaires were administered to security personnel, community members, and other stakeholders, while semi-structured interviews were conducted with government officials, ethnic leaders, and representatives of NGOs and international organizations. Data collection was carried out through in-person, telephone, and online methods depending on participant accessibility, with trained research assistants facilitating the process; all interviews were recorded and transcribed, and survey responses were systematically documented for analysis.</w:t>
      </w:r>
    </w:p>
    <w:p w14:paraId="64659EE9" w14:textId="77777777" w:rsidR="007A55C7" w:rsidRDefault="007A55C7" w:rsidP="004C661A">
      <w:pPr>
        <w:spacing w:before="100" w:beforeAutospacing="1" w:after="100" w:afterAutospacing="1" w:line="240" w:lineRule="auto"/>
        <w:jc w:val="both"/>
        <w:rPr>
          <w:rFonts w:ascii="Times New Roman" w:hAnsi="Times New Roman"/>
          <w:b/>
          <w:bCs/>
          <w:i/>
        </w:rPr>
      </w:pPr>
      <w:r w:rsidRPr="00D86CFF">
        <w:rPr>
          <w:rFonts w:ascii="Times New Roman" w:hAnsi="Times New Roman"/>
          <w:b/>
          <w:bCs/>
          <w:i/>
        </w:rPr>
        <w:t>3.8. Data Presentation</w:t>
      </w:r>
    </w:p>
    <w:p w14:paraId="298E2B3C" w14:textId="77777777" w:rsidR="007D2949" w:rsidRPr="007D2949" w:rsidRDefault="007D2949" w:rsidP="004C661A">
      <w:pPr>
        <w:spacing w:before="100" w:beforeAutospacing="1" w:after="100" w:afterAutospacing="1" w:line="240" w:lineRule="auto"/>
        <w:jc w:val="both"/>
        <w:rPr>
          <w:rFonts w:ascii="Times New Roman" w:hAnsi="Times New Roman"/>
          <w:bCs/>
        </w:rPr>
      </w:pPr>
      <w:r w:rsidRPr="007D2949">
        <w:rPr>
          <w:rFonts w:ascii="Times New Roman" w:hAnsi="Times New Roman"/>
          <w:bCs/>
        </w:rPr>
        <w:t>The collected data were organized, analyzed, and presented using both qualitative and quantitative approaches to align with the mixed-methods design of the study. Quantitative data obtained from questionnaires were coded and entered into statistical software, where they were summarized using descriptive statistics such as frequencies, percentages, means, and standard deviations, and presented in tables and charts for ease of interpretation. Qualitative data derived from semi-structured interviews were transcribed, coded, and analyzed thematically to identify recurring patterns, categories, and insights relevant to the research objectives. The findings from both data sources were then integrated and presented in a coherent manner, with qualitative narratives used to complement and explain the quantitative results, thereby providing a comprehensive understanding of the study phenomena.</w:t>
      </w:r>
    </w:p>
    <w:p w14:paraId="4E1D676D" w14:textId="77777777" w:rsidR="007A55C7" w:rsidRDefault="007A55C7" w:rsidP="004C661A">
      <w:pPr>
        <w:spacing w:before="100" w:beforeAutospacing="1" w:after="100" w:afterAutospacing="1" w:line="240" w:lineRule="auto"/>
        <w:jc w:val="both"/>
        <w:rPr>
          <w:rFonts w:ascii="Times New Roman" w:hAnsi="Times New Roman"/>
          <w:b/>
          <w:bCs/>
          <w:i/>
        </w:rPr>
      </w:pPr>
      <w:r w:rsidRPr="00D86CFF">
        <w:rPr>
          <w:rFonts w:ascii="Times New Roman" w:hAnsi="Times New Roman"/>
          <w:b/>
          <w:bCs/>
          <w:i/>
        </w:rPr>
        <w:t>3.9. Data Analysis</w:t>
      </w:r>
    </w:p>
    <w:p w14:paraId="59159723" w14:textId="77777777" w:rsidR="007D2949" w:rsidRPr="007D2949" w:rsidRDefault="007D2949" w:rsidP="007D2949">
      <w:pPr>
        <w:spacing w:before="100" w:beforeAutospacing="1" w:after="100" w:afterAutospacing="1" w:line="240" w:lineRule="auto"/>
        <w:jc w:val="both"/>
        <w:rPr>
          <w:rFonts w:ascii="Times New Roman" w:hAnsi="Times New Roman"/>
          <w:b/>
          <w:bCs/>
          <w:i/>
        </w:rPr>
      </w:pPr>
      <w:r w:rsidRPr="007D2949">
        <w:rPr>
          <w:rFonts w:ascii="Times New Roman" w:hAnsi="Times New Roman"/>
          <w:b/>
          <w:bCs/>
          <w:i/>
        </w:rPr>
        <w:t>3.8.1 Quantitative Data</w:t>
      </w:r>
    </w:p>
    <w:p w14:paraId="2C54120D" w14:textId="77777777" w:rsidR="007D2949" w:rsidRPr="007D2949" w:rsidRDefault="007D2949" w:rsidP="007D2949">
      <w:pPr>
        <w:spacing w:before="100" w:beforeAutospacing="1" w:after="100" w:afterAutospacing="1" w:line="240" w:lineRule="auto"/>
        <w:jc w:val="both"/>
        <w:rPr>
          <w:rFonts w:ascii="Times New Roman" w:hAnsi="Times New Roman"/>
          <w:bCs/>
        </w:rPr>
      </w:pPr>
      <w:r w:rsidRPr="007D2949">
        <w:rPr>
          <w:rFonts w:ascii="Times New Roman" w:hAnsi="Times New Roman"/>
          <w:bCs/>
        </w:rPr>
        <w:t xml:space="preserve">Quantitative data were gathered primarily through structured surveys designed to generate measurable and numerical insights into participants’ perceptions of power dynamics and sustainable peace in Unity State. The questionnaires comprised both closed- and open-ended items and were administered to community members, security personnel, and representatives of international organizations and NGOs. A total of 80 local residents were selected using simple random sampling to ensure broad community representation. The survey captured respondents’ views on the distribution of power, experiences with security challenges, and factors shaping the overall security environment, as well as the perspectives of security actors and organizational representatives on power structures, peacebuilding efforts, and their </w:t>
      </w:r>
      <w:r w:rsidRPr="007D2949">
        <w:rPr>
          <w:rFonts w:ascii="Times New Roman" w:hAnsi="Times New Roman"/>
          <w:bCs/>
        </w:rPr>
        <w:lastRenderedPageBreak/>
        <w:t>roles in promoting stability. Overall, the quantitative data provided a general overview of attitudes and perceptions regarding political power distribution and its implications for sustainable peace.</w:t>
      </w:r>
    </w:p>
    <w:p w14:paraId="30454BA0" w14:textId="77777777" w:rsidR="007D2949" w:rsidRPr="007D2949" w:rsidRDefault="007D2949" w:rsidP="007D2949">
      <w:pPr>
        <w:spacing w:before="100" w:beforeAutospacing="1" w:after="100" w:afterAutospacing="1" w:line="240" w:lineRule="auto"/>
        <w:jc w:val="both"/>
        <w:rPr>
          <w:rFonts w:ascii="Times New Roman" w:hAnsi="Times New Roman"/>
          <w:b/>
          <w:bCs/>
          <w:i/>
        </w:rPr>
      </w:pPr>
      <w:r w:rsidRPr="007D2949">
        <w:rPr>
          <w:rFonts w:ascii="Times New Roman" w:hAnsi="Times New Roman"/>
          <w:b/>
          <w:bCs/>
          <w:i/>
        </w:rPr>
        <w:t>3.8.2 Qualitative Data</w:t>
      </w:r>
    </w:p>
    <w:p w14:paraId="6D72F6DD" w14:textId="77777777" w:rsidR="007D2949" w:rsidRPr="007D2949" w:rsidRDefault="007D2949" w:rsidP="007D2949">
      <w:pPr>
        <w:spacing w:before="100" w:beforeAutospacing="1" w:after="100" w:afterAutospacing="1" w:line="240" w:lineRule="auto"/>
        <w:jc w:val="both"/>
        <w:rPr>
          <w:rFonts w:ascii="Times New Roman" w:hAnsi="Times New Roman"/>
          <w:bCs/>
        </w:rPr>
      </w:pPr>
      <w:r w:rsidRPr="007D2949">
        <w:rPr>
          <w:rFonts w:ascii="Times New Roman" w:hAnsi="Times New Roman"/>
          <w:bCs/>
        </w:rPr>
        <w:t>Qualitative data were collected through semi-structured interviews aimed at obtaining in-depth insights into participants’ experiences and perspectives on power relations and security conditions in Unity State. The interviews involved government officials, local ethnic leaders, and peacekeeping personnel. The flexible interview format allowed for probing and follow-up questions to better explore issues related to political power distribution, ethnic relations, governance challenges, and security dynamics. Government officials discussed internal political struggles, governance concerns, and security strategies, while ethnic leaders highlighted the influence of ethnic identities and power-sharing arrangements on stability. Peacekeeping personnel provided accounts of their field experiences and the operational challenges encountered in conflict-affected settings. These qualitative narratives enriched the study by offering detailed contextual understanding that complemented and helped interpret the quantitative findings.</w:t>
      </w:r>
    </w:p>
    <w:p w14:paraId="6E756FE6" w14:textId="77777777" w:rsidR="007A55C7" w:rsidRPr="00D86CFF" w:rsidRDefault="007A55C7" w:rsidP="004C661A">
      <w:pPr>
        <w:spacing w:before="100" w:beforeAutospacing="1" w:after="100" w:afterAutospacing="1" w:line="240" w:lineRule="auto"/>
        <w:jc w:val="both"/>
        <w:rPr>
          <w:rFonts w:ascii="Times New Roman" w:hAnsi="Times New Roman"/>
          <w:b/>
          <w:bCs/>
          <w:i/>
        </w:rPr>
      </w:pPr>
      <w:r w:rsidRPr="00D86CFF">
        <w:rPr>
          <w:rFonts w:ascii="Times New Roman" w:hAnsi="Times New Roman"/>
          <w:b/>
          <w:bCs/>
          <w:i/>
        </w:rPr>
        <w:t>3.10. Ethical Considerations</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2A52AEE3" w14:textId="77777777" w:rsidR="007D2949" w:rsidRDefault="00205DC7" w:rsidP="004C661A">
      <w:pPr>
        <w:pStyle w:val="NormalWeb"/>
        <w:jc w:val="both"/>
        <w:rPr>
          <w:sz w:val="22"/>
          <w:szCs w:val="22"/>
          <w:shd w:val="clear" w:color="auto" w:fill="FFFFFF"/>
        </w:rPr>
      </w:pPr>
      <w:r w:rsidRPr="00205DC7">
        <w:rPr>
          <w:sz w:val="22"/>
          <w:szCs w:val="22"/>
          <w:shd w:val="clear" w:color="auto" w:fill="FFFFFF"/>
        </w:rPr>
        <w:t>Ethical considerations were central to this study on power dynamics and sustainable peace in Unity State, South Sudan. Informed consent was obtained from all participants after they were adequately informed about the purpose of the study and their right to withdraw at any stage without penalty. Confidentiality and anonymity were strictly upheld by safeguarding all personal identifiers, particularly given the sensitivity of the conflict-affected context. Participation was entirely voluntary, and measures were taken to minimize any potential physical, emotional, or psychological harm. The study also adhered to cultural sensitivity by respecting local customs, languages, and traditions to promote trust and cooperation among participants. Efforts were made to reduce bias and ensure the inclusion of diverse perspectives, and all necessary ethical approvals were secured from relevant authorities.</w:t>
      </w:r>
    </w:p>
    <w:p w14:paraId="410BF655" w14:textId="77777777" w:rsidR="000903D7" w:rsidRPr="00187F6E" w:rsidRDefault="00182B64" w:rsidP="004C661A">
      <w:pPr>
        <w:spacing w:line="240" w:lineRule="auto"/>
        <w:jc w:val="both"/>
        <w:rPr>
          <w:rFonts w:ascii="Times New Roman" w:hAnsi="Times New Roman"/>
          <w:b/>
          <w:bCs/>
        </w:rPr>
      </w:pPr>
      <w:r w:rsidRPr="00187F6E">
        <w:rPr>
          <w:rFonts w:ascii="Times New Roman" w:hAnsi="Times New Roman"/>
          <w:b/>
          <w:bCs/>
        </w:rPr>
        <w:t>4.0. Results</w:t>
      </w:r>
    </w:p>
    <w:p w14:paraId="02F5F9BE" w14:textId="77777777" w:rsidR="00AE7192" w:rsidRPr="00187F6E" w:rsidRDefault="00182B64" w:rsidP="004C661A">
      <w:pPr>
        <w:pStyle w:val="Heading2"/>
        <w:numPr>
          <w:ilvl w:val="0"/>
          <w:numId w:val="0"/>
        </w:numPr>
        <w:spacing w:before="0" w:after="200"/>
        <w:jc w:val="both"/>
        <w:rPr>
          <w:rFonts w:eastAsia="SimSun"/>
          <w:b/>
          <w:iCs w:val="0"/>
          <w:sz w:val="22"/>
          <w:szCs w:val="22"/>
        </w:rPr>
      </w:pPr>
      <w:bookmarkStart w:id="33" w:name="_Toc145637364"/>
      <w:r w:rsidRPr="00187F6E">
        <w:rPr>
          <w:b/>
          <w:sz w:val="22"/>
          <w:szCs w:val="22"/>
        </w:rPr>
        <w:t>4.1. Response</w:t>
      </w:r>
      <w:r w:rsidR="00AE7192" w:rsidRPr="00187F6E">
        <w:rPr>
          <w:b/>
          <w:sz w:val="22"/>
          <w:szCs w:val="22"/>
        </w:rPr>
        <w:t xml:space="preserve"> Rate</w:t>
      </w:r>
      <w:bookmarkEnd w:id="33"/>
    </w:p>
    <w:p w14:paraId="317A9FDA" w14:textId="77777777" w:rsidR="001A0DEF" w:rsidRDefault="001A0DEF" w:rsidP="001A0DEF">
      <w:pPr>
        <w:spacing w:before="100" w:beforeAutospacing="1" w:after="100" w:afterAutospacing="1" w:line="240" w:lineRule="auto"/>
        <w:jc w:val="both"/>
        <w:rPr>
          <w:rFonts w:ascii="Times New Roman" w:hAnsi="Times New Roman"/>
          <w:shd w:val="clear" w:color="auto" w:fill="FFFFFF"/>
        </w:rPr>
      </w:pPr>
      <w:r w:rsidRPr="001A0DEF">
        <w:rPr>
          <w:rFonts w:ascii="Times New Roman" w:hAnsi="Times New Roman"/>
          <w:shd w:val="clear" w:color="auto" w:fill="FFFFFF"/>
        </w:rPr>
        <w:t>Response rate is defined as the proportion of research instruments that were completely filled out and returned by respondents relative to the total number of instruments distributed to participants (Mugenda &amp; Mugenda, 2019).</w:t>
      </w:r>
    </w:p>
    <w:p w14:paraId="48534005" w14:textId="77777777" w:rsidR="00296949" w:rsidRPr="001805F2" w:rsidRDefault="00296949" w:rsidP="004C661A">
      <w:pPr>
        <w:spacing w:before="100" w:beforeAutospacing="1" w:after="100" w:afterAutospacing="1" w:line="240" w:lineRule="auto"/>
        <w:rPr>
          <w:rFonts w:ascii="Times New Roman" w:hAnsi="Times New Roman"/>
          <w:i/>
        </w:rPr>
      </w:pPr>
      <w:r w:rsidRPr="001805F2">
        <w:rPr>
          <w:rFonts w:ascii="Times New Roman" w:hAnsi="Times New Roman"/>
          <w:bCs/>
          <w:i/>
        </w:rPr>
        <w:t>Table 4.1: Response Rate</w:t>
      </w:r>
    </w:p>
    <w:tbl>
      <w:tblPr>
        <w:tblW w:w="8862" w:type="dxa"/>
        <w:tblLayout w:type="fixed"/>
        <w:tblLook w:val="0000" w:firstRow="0" w:lastRow="0" w:firstColumn="0" w:lastColumn="0" w:noHBand="0" w:noVBand="0"/>
      </w:tblPr>
      <w:tblGrid>
        <w:gridCol w:w="2628"/>
        <w:gridCol w:w="1620"/>
        <w:gridCol w:w="4050"/>
        <w:gridCol w:w="564"/>
      </w:tblGrid>
      <w:tr w:rsidR="001A0DEF" w:rsidRPr="001A0DEF" w14:paraId="6A9E90B4" w14:textId="77777777" w:rsidTr="00B360B9">
        <w:trPr>
          <w:trHeight w:val="246"/>
        </w:trPr>
        <w:tc>
          <w:tcPr>
            <w:tcW w:w="2628" w:type="dxa"/>
            <w:tcBorders>
              <w:top w:val="single" w:sz="4" w:space="0" w:color="auto"/>
              <w:bottom w:val="single" w:sz="4" w:space="0" w:color="auto"/>
            </w:tcBorders>
          </w:tcPr>
          <w:p w14:paraId="3CCBD7C8" w14:textId="77777777" w:rsidR="001A0DEF" w:rsidRPr="001A0DEF" w:rsidRDefault="001A0DEF" w:rsidP="001A0DEF">
            <w:pPr>
              <w:spacing w:after="0" w:line="240" w:lineRule="auto"/>
              <w:jc w:val="both"/>
              <w:rPr>
                <w:rFonts w:ascii="Times New Roman" w:hAnsi="Times New Roman"/>
                <w:b/>
                <w:szCs w:val="24"/>
              </w:rPr>
            </w:pPr>
            <w:r w:rsidRPr="001A0DEF">
              <w:rPr>
                <w:rFonts w:ascii="Times New Roman" w:hAnsi="Times New Roman"/>
                <w:b/>
                <w:szCs w:val="24"/>
              </w:rPr>
              <w:t xml:space="preserve">Respondents  </w:t>
            </w:r>
          </w:p>
        </w:tc>
        <w:tc>
          <w:tcPr>
            <w:tcW w:w="1620" w:type="dxa"/>
            <w:tcBorders>
              <w:top w:val="single" w:sz="4" w:space="0" w:color="auto"/>
              <w:bottom w:val="single" w:sz="4" w:space="0" w:color="auto"/>
            </w:tcBorders>
          </w:tcPr>
          <w:p w14:paraId="7321F6EF" w14:textId="77777777" w:rsidR="001A0DEF" w:rsidRPr="001A0DEF" w:rsidRDefault="001A0DEF" w:rsidP="001A0DEF">
            <w:pPr>
              <w:spacing w:after="0" w:line="240" w:lineRule="auto"/>
              <w:jc w:val="center"/>
              <w:rPr>
                <w:rFonts w:ascii="Times New Roman" w:hAnsi="Times New Roman"/>
                <w:b/>
                <w:szCs w:val="24"/>
              </w:rPr>
            </w:pPr>
            <w:r w:rsidRPr="001A0DEF">
              <w:rPr>
                <w:rFonts w:ascii="Times New Roman" w:hAnsi="Times New Roman"/>
                <w:b/>
                <w:szCs w:val="24"/>
              </w:rPr>
              <w:t>Sample Size</w:t>
            </w:r>
          </w:p>
        </w:tc>
        <w:tc>
          <w:tcPr>
            <w:tcW w:w="4050" w:type="dxa"/>
            <w:tcBorders>
              <w:top w:val="single" w:sz="4" w:space="0" w:color="auto"/>
              <w:bottom w:val="single" w:sz="4" w:space="0" w:color="auto"/>
            </w:tcBorders>
          </w:tcPr>
          <w:p w14:paraId="790B2283" w14:textId="77777777" w:rsidR="001A0DEF" w:rsidRPr="001A0DEF" w:rsidRDefault="001A0DEF" w:rsidP="001A0DEF">
            <w:pPr>
              <w:spacing w:after="0" w:line="240" w:lineRule="auto"/>
              <w:jc w:val="center"/>
              <w:rPr>
                <w:rFonts w:ascii="Times New Roman" w:hAnsi="Times New Roman"/>
                <w:b/>
                <w:szCs w:val="24"/>
              </w:rPr>
            </w:pPr>
            <w:r w:rsidRPr="001A0DEF">
              <w:rPr>
                <w:rFonts w:ascii="Times New Roman" w:hAnsi="Times New Roman"/>
                <w:b/>
                <w:szCs w:val="24"/>
              </w:rPr>
              <w:t>Response        Percentage</w:t>
            </w:r>
          </w:p>
        </w:tc>
        <w:tc>
          <w:tcPr>
            <w:tcW w:w="564" w:type="dxa"/>
          </w:tcPr>
          <w:p w14:paraId="3B37E6D0" w14:textId="77777777" w:rsidR="001A0DEF" w:rsidRPr="001A0DEF" w:rsidRDefault="001A0DEF" w:rsidP="001A0DEF">
            <w:pPr>
              <w:spacing w:after="0" w:line="240" w:lineRule="auto"/>
              <w:jc w:val="both"/>
              <w:rPr>
                <w:rFonts w:ascii="Times New Roman" w:hAnsi="Times New Roman"/>
                <w:b/>
                <w:szCs w:val="24"/>
              </w:rPr>
            </w:pPr>
          </w:p>
        </w:tc>
      </w:tr>
      <w:tr w:rsidR="001A0DEF" w:rsidRPr="001A0DEF" w14:paraId="2F0AA6BB" w14:textId="77777777" w:rsidTr="001A0DEF">
        <w:trPr>
          <w:trHeight w:val="60"/>
        </w:trPr>
        <w:tc>
          <w:tcPr>
            <w:tcW w:w="2628" w:type="dxa"/>
          </w:tcPr>
          <w:p w14:paraId="60222CBE" w14:textId="77777777" w:rsidR="001A0DEF" w:rsidRPr="001A0DEF" w:rsidRDefault="001A0DEF" w:rsidP="001A0DEF">
            <w:pPr>
              <w:spacing w:after="0" w:line="240" w:lineRule="auto"/>
              <w:jc w:val="both"/>
              <w:rPr>
                <w:rFonts w:ascii="Times New Roman" w:hAnsi="Times New Roman"/>
                <w:szCs w:val="24"/>
              </w:rPr>
            </w:pPr>
            <w:r w:rsidRPr="001A0DEF">
              <w:rPr>
                <w:rFonts w:ascii="Times New Roman" w:hAnsi="Times New Roman"/>
                <w:szCs w:val="24"/>
              </w:rPr>
              <w:t xml:space="preserve">Questionnaire </w:t>
            </w:r>
          </w:p>
        </w:tc>
        <w:tc>
          <w:tcPr>
            <w:tcW w:w="1620" w:type="dxa"/>
          </w:tcPr>
          <w:p w14:paraId="1A1B6FAF" w14:textId="77777777" w:rsidR="001A0DEF" w:rsidRPr="001A0DEF" w:rsidRDefault="001A0DEF" w:rsidP="001A0DEF">
            <w:pPr>
              <w:spacing w:after="0" w:line="240" w:lineRule="auto"/>
              <w:jc w:val="center"/>
              <w:rPr>
                <w:rFonts w:ascii="Times New Roman" w:hAnsi="Times New Roman"/>
                <w:szCs w:val="24"/>
              </w:rPr>
            </w:pPr>
            <w:r w:rsidRPr="001A0DEF">
              <w:rPr>
                <w:rFonts w:ascii="Times New Roman" w:hAnsi="Times New Roman"/>
                <w:szCs w:val="24"/>
              </w:rPr>
              <w:t>136</w:t>
            </w:r>
          </w:p>
        </w:tc>
        <w:tc>
          <w:tcPr>
            <w:tcW w:w="4050" w:type="dxa"/>
          </w:tcPr>
          <w:p w14:paraId="29984D50" w14:textId="77777777" w:rsidR="001A0DEF" w:rsidRPr="001A0DEF" w:rsidRDefault="001A0DEF" w:rsidP="001A0DEF">
            <w:pPr>
              <w:spacing w:after="0" w:line="240" w:lineRule="auto"/>
              <w:jc w:val="center"/>
              <w:rPr>
                <w:rFonts w:ascii="Times New Roman" w:hAnsi="Times New Roman"/>
                <w:szCs w:val="24"/>
              </w:rPr>
            </w:pPr>
            <w:r w:rsidRPr="001A0DEF">
              <w:rPr>
                <w:rFonts w:ascii="Times New Roman" w:hAnsi="Times New Roman"/>
                <w:szCs w:val="24"/>
              </w:rPr>
              <w:t>128                   94.1%</w:t>
            </w:r>
          </w:p>
        </w:tc>
        <w:tc>
          <w:tcPr>
            <w:tcW w:w="564" w:type="dxa"/>
          </w:tcPr>
          <w:p w14:paraId="52DACD81" w14:textId="77777777" w:rsidR="001A0DEF" w:rsidRPr="001A0DEF" w:rsidRDefault="001A0DEF" w:rsidP="001A0DEF">
            <w:pPr>
              <w:spacing w:after="0" w:line="240" w:lineRule="auto"/>
              <w:jc w:val="both"/>
              <w:rPr>
                <w:rFonts w:ascii="Times New Roman" w:hAnsi="Times New Roman"/>
                <w:szCs w:val="24"/>
              </w:rPr>
            </w:pPr>
          </w:p>
        </w:tc>
      </w:tr>
      <w:tr w:rsidR="001A0DEF" w:rsidRPr="001A0DEF" w14:paraId="408800DD" w14:textId="77777777" w:rsidTr="001A0DEF">
        <w:trPr>
          <w:trHeight w:val="70"/>
        </w:trPr>
        <w:tc>
          <w:tcPr>
            <w:tcW w:w="2628" w:type="dxa"/>
            <w:tcBorders>
              <w:bottom w:val="single" w:sz="4" w:space="0" w:color="auto"/>
            </w:tcBorders>
          </w:tcPr>
          <w:p w14:paraId="46AB17BE" w14:textId="77777777" w:rsidR="001A0DEF" w:rsidRPr="001A0DEF" w:rsidRDefault="001A0DEF" w:rsidP="001A0DEF">
            <w:pPr>
              <w:spacing w:after="0" w:line="240" w:lineRule="auto"/>
              <w:jc w:val="both"/>
              <w:rPr>
                <w:rFonts w:ascii="Times New Roman" w:hAnsi="Times New Roman"/>
                <w:szCs w:val="24"/>
              </w:rPr>
            </w:pPr>
            <w:r w:rsidRPr="001A0DEF">
              <w:rPr>
                <w:rFonts w:ascii="Times New Roman" w:hAnsi="Times New Roman"/>
                <w:szCs w:val="24"/>
              </w:rPr>
              <w:t xml:space="preserve">Interview </w:t>
            </w:r>
          </w:p>
        </w:tc>
        <w:tc>
          <w:tcPr>
            <w:tcW w:w="1620" w:type="dxa"/>
            <w:tcBorders>
              <w:bottom w:val="single" w:sz="4" w:space="0" w:color="auto"/>
            </w:tcBorders>
          </w:tcPr>
          <w:p w14:paraId="2CBABCA0" w14:textId="77777777" w:rsidR="001A0DEF" w:rsidRPr="001A0DEF" w:rsidRDefault="001A0DEF" w:rsidP="001A0DEF">
            <w:pPr>
              <w:spacing w:after="0" w:line="240" w:lineRule="auto"/>
              <w:jc w:val="center"/>
              <w:rPr>
                <w:rFonts w:ascii="Times New Roman" w:hAnsi="Times New Roman"/>
                <w:szCs w:val="24"/>
              </w:rPr>
            </w:pPr>
            <w:r w:rsidRPr="001A0DEF">
              <w:rPr>
                <w:rFonts w:ascii="Times New Roman" w:hAnsi="Times New Roman"/>
                <w:szCs w:val="24"/>
              </w:rPr>
              <w:t>14</w:t>
            </w:r>
          </w:p>
        </w:tc>
        <w:tc>
          <w:tcPr>
            <w:tcW w:w="4050" w:type="dxa"/>
            <w:tcBorders>
              <w:bottom w:val="single" w:sz="4" w:space="0" w:color="auto"/>
            </w:tcBorders>
          </w:tcPr>
          <w:p w14:paraId="12E30F7C" w14:textId="77777777" w:rsidR="001A0DEF" w:rsidRPr="001A0DEF" w:rsidRDefault="001A0DEF" w:rsidP="001A0DEF">
            <w:pPr>
              <w:spacing w:after="0" w:line="240" w:lineRule="auto"/>
              <w:jc w:val="center"/>
              <w:rPr>
                <w:rFonts w:ascii="Times New Roman" w:hAnsi="Times New Roman"/>
                <w:szCs w:val="24"/>
              </w:rPr>
            </w:pPr>
            <w:r w:rsidRPr="001A0DEF">
              <w:rPr>
                <w:rFonts w:ascii="Times New Roman" w:hAnsi="Times New Roman"/>
                <w:szCs w:val="24"/>
              </w:rPr>
              <w:t>12                       85.7%</w:t>
            </w:r>
          </w:p>
        </w:tc>
        <w:tc>
          <w:tcPr>
            <w:tcW w:w="564" w:type="dxa"/>
          </w:tcPr>
          <w:p w14:paraId="2BD5B4DB" w14:textId="77777777" w:rsidR="001A0DEF" w:rsidRPr="001A0DEF" w:rsidRDefault="001A0DEF" w:rsidP="001A0DEF">
            <w:pPr>
              <w:spacing w:after="0" w:line="240" w:lineRule="auto"/>
              <w:jc w:val="both"/>
              <w:rPr>
                <w:rFonts w:ascii="Times New Roman" w:hAnsi="Times New Roman"/>
                <w:szCs w:val="24"/>
              </w:rPr>
            </w:pPr>
          </w:p>
        </w:tc>
      </w:tr>
    </w:tbl>
    <w:p w14:paraId="3C95E6D1" w14:textId="77777777" w:rsidR="001A0DEF" w:rsidRPr="001A0DEF" w:rsidRDefault="001A0DEF" w:rsidP="001A0DEF">
      <w:pPr>
        <w:spacing w:after="0" w:line="240" w:lineRule="auto"/>
        <w:jc w:val="both"/>
        <w:rPr>
          <w:rFonts w:ascii="Times New Roman" w:hAnsi="Times New Roman"/>
          <w:b/>
          <w:szCs w:val="24"/>
        </w:rPr>
      </w:pPr>
      <w:r w:rsidRPr="001A0DEF">
        <w:rPr>
          <w:rFonts w:ascii="Times New Roman" w:hAnsi="Times New Roman"/>
          <w:b/>
          <w:szCs w:val="24"/>
        </w:rPr>
        <w:t>Source: Primary Data, 2025</w:t>
      </w:r>
    </w:p>
    <w:p w14:paraId="5DC4B32B" w14:textId="77777777" w:rsidR="001A0DEF" w:rsidRPr="001A0DEF" w:rsidRDefault="001A0DEF" w:rsidP="001A0DEF">
      <w:pPr>
        <w:spacing w:before="240" w:line="240" w:lineRule="auto"/>
        <w:jc w:val="both"/>
        <w:rPr>
          <w:rFonts w:ascii="Times New Roman" w:hAnsi="Times New Roman"/>
          <w:shd w:val="clear" w:color="auto" w:fill="FFFFFF"/>
        </w:rPr>
      </w:pPr>
      <w:r w:rsidRPr="001A0DEF">
        <w:rPr>
          <w:rFonts w:ascii="Times New Roman" w:hAnsi="Times New Roman"/>
          <w:shd w:val="clear" w:color="auto" w:fill="FFFFFF"/>
        </w:rPr>
        <w:t>Table 4.1 presents the response rates for both questionnaires and interviews administered in the study. Out of the 136 questionnaires distributed, 128 were completed and returned, yielding a high response rate of 94.1%. This indicates a strong level of participation among respondents and suggests that the quantitative data collected is highly reliable and representative of the target population. The high questionnaire response rate also reduces the likelihood of non-response bias, thereby strengthening the validity of the findings derived from the survey data.</w:t>
      </w:r>
    </w:p>
    <w:p w14:paraId="5E1A7141" w14:textId="77777777" w:rsidR="001A0DEF" w:rsidRDefault="001A0DEF" w:rsidP="001A0DEF">
      <w:pPr>
        <w:spacing w:line="240" w:lineRule="auto"/>
        <w:jc w:val="both"/>
        <w:rPr>
          <w:rFonts w:ascii="Times New Roman" w:hAnsi="Times New Roman"/>
          <w:shd w:val="clear" w:color="auto" w:fill="FFFFFF"/>
        </w:rPr>
      </w:pPr>
      <w:r w:rsidRPr="001A0DEF">
        <w:rPr>
          <w:rFonts w:ascii="Times New Roman" w:hAnsi="Times New Roman"/>
          <w:shd w:val="clear" w:color="auto" w:fill="FFFFFF"/>
        </w:rPr>
        <w:t xml:space="preserve">Similarly, out of the 14 participants selected for interviews, 12 were successfully interviewed, resulting in a response rate of 85.7%. Although slightly lower than that of the questionnaires, this rate is still </w:t>
      </w:r>
      <w:r w:rsidRPr="001A0DEF">
        <w:rPr>
          <w:rFonts w:ascii="Times New Roman" w:hAnsi="Times New Roman"/>
          <w:shd w:val="clear" w:color="auto" w:fill="FFFFFF"/>
        </w:rPr>
        <w:lastRenderedPageBreak/>
        <w:t>considered robust for qualitative research and reflects a good level of engagement among key informants. The few non-responses may be attributed to factors such as unavailability or scheduling constraints. Overall, the combined response rates for both data collection methods demonstrate effective fieldwork procedures and sufficient data coverage, ensuring that the study’s findings are grounded in comprehensive and dependable empirical evidence.</w:t>
      </w:r>
    </w:p>
    <w:p w14:paraId="3777B563" w14:textId="77777777" w:rsidR="00AE7192" w:rsidRPr="005E7ADF" w:rsidRDefault="00182B64" w:rsidP="004C661A">
      <w:pPr>
        <w:pStyle w:val="Heading2"/>
        <w:numPr>
          <w:ilvl w:val="0"/>
          <w:numId w:val="0"/>
        </w:numPr>
        <w:rPr>
          <w:rFonts w:eastAsia="Calibri"/>
          <w:b/>
          <w:sz w:val="22"/>
          <w:szCs w:val="22"/>
        </w:rPr>
      </w:pPr>
      <w:r w:rsidRPr="005E7ADF">
        <w:rPr>
          <w:rFonts w:eastAsia="Calibri"/>
          <w:b/>
          <w:sz w:val="22"/>
          <w:szCs w:val="22"/>
        </w:rPr>
        <w:t>4.2. Demographic</w:t>
      </w:r>
      <w:r w:rsidR="00AE7192" w:rsidRPr="005E7ADF">
        <w:rPr>
          <w:rFonts w:eastAsia="Calibri"/>
          <w:b/>
          <w:sz w:val="22"/>
          <w:szCs w:val="22"/>
        </w:rPr>
        <w:t xml:space="preserve"> Characteristics of the Respondents</w:t>
      </w:r>
    </w:p>
    <w:p w14:paraId="06766A97" w14:textId="77777777" w:rsidR="003A2EF8" w:rsidRDefault="003A2EF8" w:rsidP="00FC193E">
      <w:pPr>
        <w:spacing w:before="100" w:beforeAutospacing="1" w:line="240" w:lineRule="auto"/>
        <w:rPr>
          <w:rFonts w:ascii="Times New Roman" w:hAnsi="Times New Roman"/>
          <w:bCs/>
          <w:i/>
        </w:rPr>
      </w:pPr>
      <w:r w:rsidRPr="005E7ADF">
        <w:rPr>
          <w:rFonts w:ascii="Times New Roman" w:hAnsi="Times New Roman"/>
          <w:bCs/>
          <w:i/>
        </w:rPr>
        <w:t>Table 4.2: Demographic Characteristics of the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4"/>
        <w:gridCol w:w="3043"/>
        <w:gridCol w:w="1985"/>
        <w:gridCol w:w="1701"/>
      </w:tblGrid>
      <w:tr w:rsidR="00FC193E" w:rsidRPr="00E33135" w14:paraId="54B5FA7B" w14:textId="77777777" w:rsidTr="00B360B9">
        <w:trPr>
          <w:tblHeader/>
          <w:tblCellSpacing w:w="15" w:type="dxa"/>
        </w:trPr>
        <w:tc>
          <w:tcPr>
            <w:tcW w:w="0" w:type="auto"/>
            <w:tcBorders>
              <w:top w:val="single" w:sz="4" w:space="0" w:color="auto"/>
              <w:bottom w:val="single" w:sz="4" w:space="0" w:color="auto"/>
            </w:tcBorders>
            <w:vAlign w:val="center"/>
            <w:hideMark/>
          </w:tcPr>
          <w:p w14:paraId="07E3CB3F" w14:textId="77777777" w:rsidR="00FC193E" w:rsidRPr="00FC193E" w:rsidRDefault="00FC193E" w:rsidP="00FC193E">
            <w:pPr>
              <w:spacing w:after="0" w:line="240" w:lineRule="auto"/>
              <w:jc w:val="center"/>
              <w:rPr>
                <w:rFonts w:ascii="Times New Roman" w:hAnsi="Times New Roman"/>
                <w:b/>
                <w:bCs/>
              </w:rPr>
            </w:pPr>
            <w:r w:rsidRPr="00FC193E">
              <w:rPr>
                <w:rFonts w:ascii="Times New Roman" w:hAnsi="Times New Roman"/>
                <w:b/>
                <w:bCs/>
              </w:rPr>
              <w:t>Demographic Factor</w:t>
            </w:r>
          </w:p>
        </w:tc>
        <w:tc>
          <w:tcPr>
            <w:tcW w:w="3013" w:type="dxa"/>
            <w:tcBorders>
              <w:top w:val="single" w:sz="4" w:space="0" w:color="auto"/>
              <w:bottom w:val="single" w:sz="4" w:space="0" w:color="auto"/>
            </w:tcBorders>
            <w:vAlign w:val="center"/>
            <w:hideMark/>
          </w:tcPr>
          <w:p w14:paraId="48F8DFB1" w14:textId="77777777" w:rsidR="00FC193E" w:rsidRPr="00FC193E" w:rsidRDefault="00FC193E" w:rsidP="00FC193E">
            <w:pPr>
              <w:spacing w:after="0" w:line="240" w:lineRule="auto"/>
              <w:rPr>
                <w:rFonts w:ascii="Times New Roman" w:hAnsi="Times New Roman"/>
                <w:b/>
                <w:bCs/>
              </w:rPr>
            </w:pPr>
            <w:r w:rsidRPr="00FC193E">
              <w:rPr>
                <w:rFonts w:ascii="Times New Roman" w:hAnsi="Times New Roman"/>
                <w:b/>
                <w:bCs/>
              </w:rPr>
              <w:t>Category</w:t>
            </w:r>
          </w:p>
        </w:tc>
        <w:tc>
          <w:tcPr>
            <w:tcW w:w="1955" w:type="dxa"/>
            <w:tcBorders>
              <w:top w:val="single" w:sz="4" w:space="0" w:color="auto"/>
              <w:bottom w:val="single" w:sz="4" w:space="0" w:color="auto"/>
            </w:tcBorders>
            <w:vAlign w:val="center"/>
            <w:hideMark/>
          </w:tcPr>
          <w:p w14:paraId="0EAA5ECC" w14:textId="77777777" w:rsidR="00FC193E" w:rsidRPr="00FC193E" w:rsidRDefault="00FC193E" w:rsidP="00FC193E">
            <w:pPr>
              <w:spacing w:after="0" w:line="240" w:lineRule="auto"/>
              <w:jc w:val="center"/>
              <w:rPr>
                <w:rFonts w:ascii="Times New Roman" w:hAnsi="Times New Roman"/>
                <w:b/>
                <w:bCs/>
              </w:rPr>
            </w:pPr>
            <w:r w:rsidRPr="00FC193E">
              <w:rPr>
                <w:rFonts w:ascii="Times New Roman" w:hAnsi="Times New Roman"/>
                <w:b/>
                <w:bCs/>
              </w:rPr>
              <w:t>Frequency</w:t>
            </w:r>
          </w:p>
        </w:tc>
        <w:tc>
          <w:tcPr>
            <w:tcW w:w="1656" w:type="dxa"/>
            <w:tcBorders>
              <w:top w:val="single" w:sz="4" w:space="0" w:color="auto"/>
              <w:bottom w:val="single" w:sz="4" w:space="0" w:color="auto"/>
            </w:tcBorders>
            <w:vAlign w:val="center"/>
            <w:hideMark/>
          </w:tcPr>
          <w:p w14:paraId="39037540" w14:textId="77777777" w:rsidR="00FC193E" w:rsidRPr="00FC193E" w:rsidRDefault="00FC193E" w:rsidP="00FC193E">
            <w:pPr>
              <w:spacing w:after="0" w:line="240" w:lineRule="auto"/>
              <w:jc w:val="center"/>
              <w:rPr>
                <w:rFonts w:ascii="Times New Roman" w:hAnsi="Times New Roman"/>
                <w:b/>
                <w:bCs/>
              </w:rPr>
            </w:pPr>
            <w:r w:rsidRPr="00FC193E">
              <w:rPr>
                <w:rFonts w:ascii="Times New Roman" w:hAnsi="Times New Roman"/>
                <w:b/>
                <w:bCs/>
              </w:rPr>
              <w:t>Percentage</w:t>
            </w:r>
          </w:p>
        </w:tc>
      </w:tr>
      <w:tr w:rsidR="00FC193E" w:rsidRPr="00E33135" w14:paraId="76F53DD1" w14:textId="77777777" w:rsidTr="00B360B9">
        <w:trPr>
          <w:tblCellSpacing w:w="15" w:type="dxa"/>
        </w:trPr>
        <w:tc>
          <w:tcPr>
            <w:tcW w:w="0" w:type="auto"/>
            <w:vAlign w:val="center"/>
            <w:hideMark/>
          </w:tcPr>
          <w:p w14:paraId="64571F8A" w14:textId="77777777" w:rsidR="00FC193E" w:rsidRPr="00FC193E" w:rsidRDefault="00FC193E" w:rsidP="00FC193E">
            <w:pPr>
              <w:spacing w:after="0" w:line="240" w:lineRule="auto"/>
              <w:rPr>
                <w:rFonts w:ascii="Times New Roman" w:hAnsi="Times New Roman"/>
              </w:rPr>
            </w:pPr>
            <w:r w:rsidRPr="00FC193E">
              <w:rPr>
                <w:rFonts w:ascii="Times New Roman" w:hAnsi="Times New Roman"/>
                <w:b/>
                <w:bCs/>
              </w:rPr>
              <w:t>Gender</w:t>
            </w:r>
          </w:p>
        </w:tc>
        <w:tc>
          <w:tcPr>
            <w:tcW w:w="3013" w:type="dxa"/>
            <w:vAlign w:val="center"/>
            <w:hideMark/>
          </w:tcPr>
          <w:p w14:paraId="7D61EFAF" w14:textId="77777777" w:rsidR="00FC193E" w:rsidRPr="00FC193E" w:rsidRDefault="00FC193E" w:rsidP="00FC193E">
            <w:pPr>
              <w:spacing w:after="0" w:line="240" w:lineRule="auto"/>
              <w:rPr>
                <w:rFonts w:ascii="Times New Roman" w:hAnsi="Times New Roman"/>
              </w:rPr>
            </w:pPr>
            <w:r w:rsidRPr="00FC193E">
              <w:rPr>
                <w:rFonts w:ascii="Times New Roman" w:hAnsi="Times New Roman"/>
              </w:rPr>
              <w:t>Male</w:t>
            </w:r>
          </w:p>
        </w:tc>
        <w:tc>
          <w:tcPr>
            <w:tcW w:w="1955" w:type="dxa"/>
            <w:vAlign w:val="center"/>
            <w:hideMark/>
          </w:tcPr>
          <w:p w14:paraId="313504C3"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78</w:t>
            </w:r>
          </w:p>
        </w:tc>
        <w:tc>
          <w:tcPr>
            <w:tcW w:w="1656" w:type="dxa"/>
            <w:vAlign w:val="center"/>
            <w:hideMark/>
          </w:tcPr>
          <w:p w14:paraId="5A046DCD"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60.9%</w:t>
            </w:r>
          </w:p>
        </w:tc>
      </w:tr>
      <w:tr w:rsidR="00FC193E" w:rsidRPr="00E33135" w14:paraId="287AAC2A" w14:textId="77777777" w:rsidTr="00B360B9">
        <w:trPr>
          <w:tblCellSpacing w:w="15" w:type="dxa"/>
        </w:trPr>
        <w:tc>
          <w:tcPr>
            <w:tcW w:w="0" w:type="auto"/>
            <w:vAlign w:val="center"/>
            <w:hideMark/>
          </w:tcPr>
          <w:p w14:paraId="39516DCB" w14:textId="77777777" w:rsidR="00FC193E" w:rsidRPr="00FC193E" w:rsidRDefault="00FC193E" w:rsidP="00FC193E">
            <w:pPr>
              <w:spacing w:after="0" w:line="240" w:lineRule="auto"/>
              <w:rPr>
                <w:rFonts w:ascii="Times New Roman" w:hAnsi="Times New Roman"/>
              </w:rPr>
            </w:pPr>
          </w:p>
        </w:tc>
        <w:tc>
          <w:tcPr>
            <w:tcW w:w="3013" w:type="dxa"/>
            <w:vAlign w:val="center"/>
            <w:hideMark/>
          </w:tcPr>
          <w:p w14:paraId="03EDC9C2" w14:textId="77777777" w:rsidR="00FC193E" w:rsidRPr="00FC193E" w:rsidRDefault="00FC193E" w:rsidP="00FC193E">
            <w:pPr>
              <w:spacing w:after="0" w:line="240" w:lineRule="auto"/>
              <w:rPr>
                <w:rFonts w:ascii="Times New Roman" w:hAnsi="Times New Roman"/>
              </w:rPr>
            </w:pPr>
            <w:r w:rsidRPr="00FC193E">
              <w:rPr>
                <w:rFonts w:ascii="Times New Roman" w:hAnsi="Times New Roman"/>
              </w:rPr>
              <w:t>Female</w:t>
            </w:r>
          </w:p>
        </w:tc>
        <w:tc>
          <w:tcPr>
            <w:tcW w:w="1955" w:type="dxa"/>
            <w:vAlign w:val="center"/>
            <w:hideMark/>
          </w:tcPr>
          <w:p w14:paraId="5461D61E"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50</w:t>
            </w:r>
          </w:p>
        </w:tc>
        <w:tc>
          <w:tcPr>
            <w:tcW w:w="1656" w:type="dxa"/>
            <w:vAlign w:val="center"/>
            <w:hideMark/>
          </w:tcPr>
          <w:p w14:paraId="4860110B"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39.1%</w:t>
            </w:r>
          </w:p>
        </w:tc>
      </w:tr>
      <w:tr w:rsidR="00FC193E" w:rsidRPr="00E33135" w14:paraId="31B9A4D6" w14:textId="77777777" w:rsidTr="00B360B9">
        <w:trPr>
          <w:tblCellSpacing w:w="15" w:type="dxa"/>
        </w:trPr>
        <w:tc>
          <w:tcPr>
            <w:tcW w:w="0" w:type="auto"/>
            <w:vAlign w:val="center"/>
            <w:hideMark/>
          </w:tcPr>
          <w:p w14:paraId="052B8095" w14:textId="77777777" w:rsidR="00FC193E" w:rsidRPr="00FC193E" w:rsidRDefault="00FC193E" w:rsidP="00FC193E">
            <w:pPr>
              <w:spacing w:after="0" w:line="240" w:lineRule="auto"/>
              <w:rPr>
                <w:rFonts w:ascii="Times New Roman" w:hAnsi="Times New Roman"/>
              </w:rPr>
            </w:pPr>
          </w:p>
        </w:tc>
        <w:tc>
          <w:tcPr>
            <w:tcW w:w="3013" w:type="dxa"/>
            <w:vAlign w:val="center"/>
            <w:hideMark/>
          </w:tcPr>
          <w:p w14:paraId="70F085E1" w14:textId="77777777" w:rsidR="00FC193E" w:rsidRPr="00FC193E" w:rsidRDefault="00FC193E" w:rsidP="00FC193E">
            <w:pPr>
              <w:spacing w:after="0" w:line="240" w:lineRule="auto"/>
              <w:rPr>
                <w:rFonts w:ascii="Times New Roman" w:hAnsi="Times New Roman"/>
              </w:rPr>
            </w:pPr>
            <w:r w:rsidRPr="00FC193E">
              <w:rPr>
                <w:rFonts w:ascii="Times New Roman" w:hAnsi="Times New Roman"/>
                <w:b/>
                <w:bCs/>
              </w:rPr>
              <w:t>Total</w:t>
            </w:r>
          </w:p>
        </w:tc>
        <w:tc>
          <w:tcPr>
            <w:tcW w:w="1955" w:type="dxa"/>
            <w:vAlign w:val="center"/>
            <w:hideMark/>
          </w:tcPr>
          <w:p w14:paraId="564CF9F4"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128</w:t>
            </w:r>
          </w:p>
        </w:tc>
        <w:tc>
          <w:tcPr>
            <w:tcW w:w="1656" w:type="dxa"/>
            <w:vAlign w:val="center"/>
            <w:hideMark/>
          </w:tcPr>
          <w:p w14:paraId="621DF129"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100%</w:t>
            </w:r>
          </w:p>
        </w:tc>
      </w:tr>
      <w:tr w:rsidR="00FC193E" w:rsidRPr="00E33135" w14:paraId="1C59EFB6" w14:textId="77777777" w:rsidTr="00FC193E">
        <w:trPr>
          <w:tblCellSpacing w:w="15" w:type="dxa"/>
        </w:trPr>
        <w:tc>
          <w:tcPr>
            <w:tcW w:w="0" w:type="auto"/>
            <w:tcBorders>
              <w:top w:val="single" w:sz="4" w:space="0" w:color="auto"/>
            </w:tcBorders>
            <w:vAlign w:val="center"/>
            <w:hideMark/>
          </w:tcPr>
          <w:p w14:paraId="39F571A5" w14:textId="77777777" w:rsidR="00FC193E" w:rsidRPr="00FC193E" w:rsidRDefault="00FC193E" w:rsidP="00FC193E">
            <w:pPr>
              <w:spacing w:after="0" w:line="240" w:lineRule="auto"/>
              <w:rPr>
                <w:rFonts w:ascii="Times New Roman" w:hAnsi="Times New Roman"/>
              </w:rPr>
            </w:pPr>
            <w:r w:rsidRPr="00FC193E">
              <w:rPr>
                <w:rFonts w:ascii="Times New Roman" w:hAnsi="Times New Roman"/>
                <w:b/>
                <w:bCs/>
              </w:rPr>
              <w:t>Age</w:t>
            </w:r>
          </w:p>
        </w:tc>
        <w:tc>
          <w:tcPr>
            <w:tcW w:w="3013" w:type="dxa"/>
            <w:tcBorders>
              <w:top w:val="single" w:sz="4" w:space="0" w:color="auto"/>
            </w:tcBorders>
            <w:vAlign w:val="center"/>
            <w:hideMark/>
          </w:tcPr>
          <w:p w14:paraId="1815A0DC" w14:textId="77777777" w:rsidR="00FC193E" w:rsidRPr="00FC193E" w:rsidRDefault="00FC193E" w:rsidP="00FC193E">
            <w:pPr>
              <w:spacing w:after="0" w:line="240" w:lineRule="auto"/>
              <w:rPr>
                <w:rFonts w:ascii="Times New Roman" w:hAnsi="Times New Roman"/>
              </w:rPr>
            </w:pPr>
            <w:r w:rsidRPr="00FC193E">
              <w:rPr>
                <w:rFonts w:ascii="Times New Roman" w:hAnsi="Times New Roman"/>
              </w:rPr>
              <w:t>19-25 years</w:t>
            </w:r>
          </w:p>
        </w:tc>
        <w:tc>
          <w:tcPr>
            <w:tcW w:w="1955" w:type="dxa"/>
            <w:tcBorders>
              <w:top w:val="single" w:sz="4" w:space="0" w:color="auto"/>
            </w:tcBorders>
            <w:vAlign w:val="center"/>
            <w:hideMark/>
          </w:tcPr>
          <w:p w14:paraId="10C8CA34"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22</w:t>
            </w:r>
          </w:p>
        </w:tc>
        <w:tc>
          <w:tcPr>
            <w:tcW w:w="1656" w:type="dxa"/>
            <w:tcBorders>
              <w:top w:val="single" w:sz="4" w:space="0" w:color="auto"/>
            </w:tcBorders>
            <w:vAlign w:val="center"/>
            <w:hideMark/>
          </w:tcPr>
          <w:p w14:paraId="0201DBCD"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17.2%</w:t>
            </w:r>
          </w:p>
        </w:tc>
      </w:tr>
      <w:tr w:rsidR="00FC193E" w:rsidRPr="00E33135" w14:paraId="7DB6B640" w14:textId="77777777" w:rsidTr="00B360B9">
        <w:trPr>
          <w:tblCellSpacing w:w="15" w:type="dxa"/>
        </w:trPr>
        <w:tc>
          <w:tcPr>
            <w:tcW w:w="0" w:type="auto"/>
            <w:vAlign w:val="center"/>
            <w:hideMark/>
          </w:tcPr>
          <w:p w14:paraId="414DE15A" w14:textId="77777777" w:rsidR="00FC193E" w:rsidRPr="00FC193E" w:rsidRDefault="00FC193E" w:rsidP="00FC193E">
            <w:pPr>
              <w:spacing w:after="0" w:line="240" w:lineRule="auto"/>
              <w:rPr>
                <w:rFonts w:ascii="Times New Roman" w:hAnsi="Times New Roman"/>
              </w:rPr>
            </w:pPr>
          </w:p>
        </w:tc>
        <w:tc>
          <w:tcPr>
            <w:tcW w:w="3013" w:type="dxa"/>
            <w:vAlign w:val="center"/>
            <w:hideMark/>
          </w:tcPr>
          <w:p w14:paraId="63CB0812" w14:textId="77777777" w:rsidR="00FC193E" w:rsidRPr="00FC193E" w:rsidRDefault="00FC193E" w:rsidP="00FC193E">
            <w:pPr>
              <w:spacing w:after="0" w:line="240" w:lineRule="auto"/>
              <w:rPr>
                <w:rFonts w:ascii="Times New Roman" w:hAnsi="Times New Roman"/>
              </w:rPr>
            </w:pPr>
            <w:r w:rsidRPr="00FC193E">
              <w:rPr>
                <w:rFonts w:ascii="Times New Roman" w:hAnsi="Times New Roman"/>
              </w:rPr>
              <w:t>26-30 years</w:t>
            </w:r>
          </w:p>
        </w:tc>
        <w:tc>
          <w:tcPr>
            <w:tcW w:w="1955" w:type="dxa"/>
            <w:vAlign w:val="center"/>
            <w:hideMark/>
          </w:tcPr>
          <w:p w14:paraId="7F01743A"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36</w:t>
            </w:r>
          </w:p>
        </w:tc>
        <w:tc>
          <w:tcPr>
            <w:tcW w:w="1656" w:type="dxa"/>
            <w:vAlign w:val="center"/>
            <w:hideMark/>
          </w:tcPr>
          <w:p w14:paraId="75D4BF2A"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28.1%</w:t>
            </w:r>
          </w:p>
        </w:tc>
      </w:tr>
      <w:tr w:rsidR="00FC193E" w:rsidRPr="00E33135" w14:paraId="65467616" w14:textId="77777777" w:rsidTr="00B360B9">
        <w:trPr>
          <w:tblCellSpacing w:w="15" w:type="dxa"/>
        </w:trPr>
        <w:tc>
          <w:tcPr>
            <w:tcW w:w="0" w:type="auto"/>
            <w:vAlign w:val="center"/>
            <w:hideMark/>
          </w:tcPr>
          <w:p w14:paraId="657AA92A" w14:textId="77777777" w:rsidR="00FC193E" w:rsidRPr="00FC193E" w:rsidRDefault="00FC193E" w:rsidP="00FC193E">
            <w:pPr>
              <w:spacing w:after="0" w:line="240" w:lineRule="auto"/>
              <w:rPr>
                <w:rFonts w:ascii="Times New Roman" w:hAnsi="Times New Roman"/>
              </w:rPr>
            </w:pPr>
          </w:p>
        </w:tc>
        <w:tc>
          <w:tcPr>
            <w:tcW w:w="3013" w:type="dxa"/>
            <w:vAlign w:val="center"/>
            <w:hideMark/>
          </w:tcPr>
          <w:p w14:paraId="2DB88A19" w14:textId="77777777" w:rsidR="00FC193E" w:rsidRPr="00FC193E" w:rsidRDefault="00FC193E" w:rsidP="00FC193E">
            <w:pPr>
              <w:spacing w:after="0" w:line="240" w:lineRule="auto"/>
              <w:rPr>
                <w:rFonts w:ascii="Times New Roman" w:hAnsi="Times New Roman"/>
              </w:rPr>
            </w:pPr>
            <w:r w:rsidRPr="00FC193E">
              <w:rPr>
                <w:rFonts w:ascii="Times New Roman" w:hAnsi="Times New Roman"/>
              </w:rPr>
              <w:t>31-45 years</w:t>
            </w:r>
          </w:p>
        </w:tc>
        <w:tc>
          <w:tcPr>
            <w:tcW w:w="1955" w:type="dxa"/>
            <w:vAlign w:val="center"/>
            <w:hideMark/>
          </w:tcPr>
          <w:p w14:paraId="1B96B2C2"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54</w:t>
            </w:r>
          </w:p>
        </w:tc>
        <w:tc>
          <w:tcPr>
            <w:tcW w:w="1656" w:type="dxa"/>
            <w:vAlign w:val="center"/>
            <w:hideMark/>
          </w:tcPr>
          <w:p w14:paraId="7F546F80"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42.2%</w:t>
            </w:r>
          </w:p>
        </w:tc>
      </w:tr>
      <w:tr w:rsidR="00FC193E" w:rsidRPr="00E33135" w14:paraId="6D529604" w14:textId="77777777" w:rsidTr="00B360B9">
        <w:trPr>
          <w:tblCellSpacing w:w="15" w:type="dxa"/>
        </w:trPr>
        <w:tc>
          <w:tcPr>
            <w:tcW w:w="0" w:type="auto"/>
            <w:vAlign w:val="center"/>
            <w:hideMark/>
          </w:tcPr>
          <w:p w14:paraId="5B2D1C1B" w14:textId="77777777" w:rsidR="00FC193E" w:rsidRPr="00FC193E" w:rsidRDefault="00FC193E" w:rsidP="00FC193E">
            <w:pPr>
              <w:spacing w:after="0" w:line="240" w:lineRule="auto"/>
              <w:rPr>
                <w:rFonts w:ascii="Times New Roman" w:hAnsi="Times New Roman"/>
              </w:rPr>
            </w:pPr>
          </w:p>
        </w:tc>
        <w:tc>
          <w:tcPr>
            <w:tcW w:w="3013" w:type="dxa"/>
            <w:vAlign w:val="center"/>
            <w:hideMark/>
          </w:tcPr>
          <w:p w14:paraId="6C9C2A26" w14:textId="77777777" w:rsidR="00FC193E" w:rsidRPr="00FC193E" w:rsidRDefault="00FC193E" w:rsidP="00FC193E">
            <w:pPr>
              <w:spacing w:after="0" w:line="240" w:lineRule="auto"/>
              <w:rPr>
                <w:rFonts w:ascii="Times New Roman" w:hAnsi="Times New Roman"/>
              </w:rPr>
            </w:pPr>
            <w:r w:rsidRPr="00FC193E">
              <w:rPr>
                <w:rFonts w:ascii="Times New Roman" w:hAnsi="Times New Roman"/>
              </w:rPr>
              <w:t>46 years and Above</w:t>
            </w:r>
          </w:p>
        </w:tc>
        <w:tc>
          <w:tcPr>
            <w:tcW w:w="1955" w:type="dxa"/>
            <w:vAlign w:val="center"/>
            <w:hideMark/>
          </w:tcPr>
          <w:p w14:paraId="3E09D4B0"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16</w:t>
            </w:r>
          </w:p>
        </w:tc>
        <w:tc>
          <w:tcPr>
            <w:tcW w:w="1656" w:type="dxa"/>
            <w:vAlign w:val="center"/>
            <w:hideMark/>
          </w:tcPr>
          <w:p w14:paraId="1A313889"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12.5%</w:t>
            </w:r>
          </w:p>
        </w:tc>
      </w:tr>
      <w:tr w:rsidR="00FC193E" w:rsidRPr="00E33135" w14:paraId="44D68612" w14:textId="77777777" w:rsidTr="00B360B9">
        <w:trPr>
          <w:tblCellSpacing w:w="15" w:type="dxa"/>
        </w:trPr>
        <w:tc>
          <w:tcPr>
            <w:tcW w:w="0" w:type="auto"/>
            <w:vAlign w:val="center"/>
            <w:hideMark/>
          </w:tcPr>
          <w:p w14:paraId="145204C7" w14:textId="77777777" w:rsidR="00FC193E" w:rsidRPr="00FC193E" w:rsidRDefault="00FC193E" w:rsidP="00FC193E">
            <w:pPr>
              <w:spacing w:after="0" w:line="240" w:lineRule="auto"/>
              <w:rPr>
                <w:rFonts w:ascii="Times New Roman" w:hAnsi="Times New Roman"/>
              </w:rPr>
            </w:pPr>
          </w:p>
        </w:tc>
        <w:tc>
          <w:tcPr>
            <w:tcW w:w="3013" w:type="dxa"/>
            <w:vAlign w:val="center"/>
            <w:hideMark/>
          </w:tcPr>
          <w:p w14:paraId="298DFA5F" w14:textId="77777777" w:rsidR="00FC193E" w:rsidRPr="00FC193E" w:rsidRDefault="00FC193E" w:rsidP="00FC193E">
            <w:pPr>
              <w:spacing w:after="0" w:line="240" w:lineRule="auto"/>
              <w:rPr>
                <w:rFonts w:ascii="Times New Roman" w:hAnsi="Times New Roman"/>
              </w:rPr>
            </w:pPr>
            <w:r w:rsidRPr="00FC193E">
              <w:rPr>
                <w:rFonts w:ascii="Times New Roman" w:hAnsi="Times New Roman"/>
                <w:b/>
                <w:bCs/>
              </w:rPr>
              <w:t>Total</w:t>
            </w:r>
          </w:p>
        </w:tc>
        <w:tc>
          <w:tcPr>
            <w:tcW w:w="1955" w:type="dxa"/>
            <w:vAlign w:val="center"/>
            <w:hideMark/>
          </w:tcPr>
          <w:p w14:paraId="46CACB34"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128</w:t>
            </w:r>
          </w:p>
        </w:tc>
        <w:tc>
          <w:tcPr>
            <w:tcW w:w="1656" w:type="dxa"/>
            <w:vAlign w:val="center"/>
            <w:hideMark/>
          </w:tcPr>
          <w:p w14:paraId="6CE268AC"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100%</w:t>
            </w:r>
          </w:p>
        </w:tc>
      </w:tr>
      <w:tr w:rsidR="00FC193E" w:rsidRPr="00E33135" w14:paraId="2B04137C" w14:textId="77777777" w:rsidTr="00FC193E">
        <w:trPr>
          <w:tblCellSpacing w:w="15" w:type="dxa"/>
        </w:trPr>
        <w:tc>
          <w:tcPr>
            <w:tcW w:w="0" w:type="auto"/>
            <w:tcBorders>
              <w:top w:val="single" w:sz="4" w:space="0" w:color="auto"/>
            </w:tcBorders>
            <w:vAlign w:val="center"/>
            <w:hideMark/>
          </w:tcPr>
          <w:p w14:paraId="74E2367B" w14:textId="77777777" w:rsidR="00FC193E" w:rsidRPr="00FC193E" w:rsidRDefault="00FC193E" w:rsidP="00FC193E">
            <w:pPr>
              <w:spacing w:after="0" w:line="240" w:lineRule="auto"/>
              <w:rPr>
                <w:rFonts w:ascii="Times New Roman" w:hAnsi="Times New Roman"/>
              </w:rPr>
            </w:pPr>
            <w:r w:rsidRPr="00FC193E">
              <w:rPr>
                <w:rFonts w:ascii="Times New Roman" w:hAnsi="Times New Roman"/>
                <w:b/>
                <w:bCs/>
              </w:rPr>
              <w:t>Education Level</w:t>
            </w:r>
          </w:p>
        </w:tc>
        <w:tc>
          <w:tcPr>
            <w:tcW w:w="3013" w:type="dxa"/>
            <w:tcBorders>
              <w:top w:val="single" w:sz="4" w:space="0" w:color="auto"/>
            </w:tcBorders>
            <w:vAlign w:val="center"/>
            <w:hideMark/>
          </w:tcPr>
          <w:p w14:paraId="2550F3A3" w14:textId="77777777" w:rsidR="00FC193E" w:rsidRPr="00FC193E" w:rsidRDefault="00FC193E" w:rsidP="00FC193E">
            <w:pPr>
              <w:spacing w:after="0" w:line="240" w:lineRule="auto"/>
              <w:rPr>
                <w:rFonts w:ascii="Times New Roman" w:hAnsi="Times New Roman"/>
              </w:rPr>
            </w:pPr>
            <w:r w:rsidRPr="00FC193E">
              <w:rPr>
                <w:rFonts w:ascii="Times New Roman" w:hAnsi="Times New Roman"/>
              </w:rPr>
              <w:t>Masters’ Degree</w:t>
            </w:r>
          </w:p>
        </w:tc>
        <w:tc>
          <w:tcPr>
            <w:tcW w:w="1955" w:type="dxa"/>
            <w:tcBorders>
              <w:top w:val="single" w:sz="4" w:space="0" w:color="auto"/>
            </w:tcBorders>
            <w:vAlign w:val="center"/>
            <w:hideMark/>
          </w:tcPr>
          <w:p w14:paraId="2D9F7DDF"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34</w:t>
            </w:r>
          </w:p>
        </w:tc>
        <w:tc>
          <w:tcPr>
            <w:tcW w:w="1656" w:type="dxa"/>
            <w:tcBorders>
              <w:top w:val="single" w:sz="4" w:space="0" w:color="auto"/>
            </w:tcBorders>
            <w:vAlign w:val="center"/>
            <w:hideMark/>
          </w:tcPr>
          <w:p w14:paraId="5AAC9CB1"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26.6%</w:t>
            </w:r>
          </w:p>
        </w:tc>
      </w:tr>
      <w:tr w:rsidR="00FC193E" w:rsidRPr="00E33135" w14:paraId="44A33F2A" w14:textId="77777777" w:rsidTr="00B360B9">
        <w:trPr>
          <w:tblCellSpacing w:w="15" w:type="dxa"/>
        </w:trPr>
        <w:tc>
          <w:tcPr>
            <w:tcW w:w="0" w:type="auto"/>
            <w:vAlign w:val="center"/>
            <w:hideMark/>
          </w:tcPr>
          <w:p w14:paraId="566C4613" w14:textId="77777777" w:rsidR="00FC193E" w:rsidRPr="00FC193E" w:rsidRDefault="00FC193E" w:rsidP="00FC193E">
            <w:pPr>
              <w:spacing w:after="0" w:line="240" w:lineRule="auto"/>
              <w:rPr>
                <w:rFonts w:ascii="Times New Roman" w:hAnsi="Times New Roman"/>
              </w:rPr>
            </w:pPr>
          </w:p>
        </w:tc>
        <w:tc>
          <w:tcPr>
            <w:tcW w:w="3013" w:type="dxa"/>
            <w:vAlign w:val="center"/>
            <w:hideMark/>
          </w:tcPr>
          <w:p w14:paraId="12C9326D" w14:textId="77777777" w:rsidR="00FC193E" w:rsidRPr="00FC193E" w:rsidRDefault="00FC193E" w:rsidP="00FC193E">
            <w:pPr>
              <w:spacing w:after="0" w:line="240" w:lineRule="auto"/>
              <w:rPr>
                <w:rFonts w:ascii="Times New Roman" w:hAnsi="Times New Roman"/>
              </w:rPr>
            </w:pPr>
            <w:r w:rsidRPr="00FC193E">
              <w:rPr>
                <w:rFonts w:ascii="Times New Roman" w:hAnsi="Times New Roman"/>
              </w:rPr>
              <w:t>Bachelor’s Degree</w:t>
            </w:r>
          </w:p>
        </w:tc>
        <w:tc>
          <w:tcPr>
            <w:tcW w:w="1955" w:type="dxa"/>
            <w:vAlign w:val="center"/>
            <w:hideMark/>
          </w:tcPr>
          <w:p w14:paraId="4BA04C2D"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60</w:t>
            </w:r>
          </w:p>
        </w:tc>
        <w:tc>
          <w:tcPr>
            <w:tcW w:w="1656" w:type="dxa"/>
            <w:vAlign w:val="center"/>
            <w:hideMark/>
          </w:tcPr>
          <w:p w14:paraId="5F972640"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46.9%</w:t>
            </w:r>
          </w:p>
        </w:tc>
      </w:tr>
      <w:tr w:rsidR="00FC193E" w:rsidRPr="00E33135" w14:paraId="4BDA8434" w14:textId="77777777" w:rsidTr="00B360B9">
        <w:trPr>
          <w:tblCellSpacing w:w="15" w:type="dxa"/>
        </w:trPr>
        <w:tc>
          <w:tcPr>
            <w:tcW w:w="0" w:type="auto"/>
            <w:vAlign w:val="center"/>
            <w:hideMark/>
          </w:tcPr>
          <w:p w14:paraId="45BB06E6" w14:textId="77777777" w:rsidR="00FC193E" w:rsidRPr="00FC193E" w:rsidRDefault="00FC193E" w:rsidP="00FC193E">
            <w:pPr>
              <w:spacing w:after="0" w:line="240" w:lineRule="auto"/>
              <w:rPr>
                <w:rFonts w:ascii="Times New Roman" w:hAnsi="Times New Roman"/>
              </w:rPr>
            </w:pPr>
          </w:p>
        </w:tc>
        <w:tc>
          <w:tcPr>
            <w:tcW w:w="3013" w:type="dxa"/>
            <w:vAlign w:val="center"/>
            <w:hideMark/>
          </w:tcPr>
          <w:p w14:paraId="33047AD3" w14:textId="77777777" w:rsidR="00FC193E" w:rsidRPr="00FC193E" w:rsidRDefault="00FC193E" w:rsidP="00FC193E">
            <w:pPr>
              <w:spacing w:after="0" w:line="240" w:lineRule="auto"/>
              <w:rPr>
                <w:rFonts w:ascii="Times New Roman" w:hAnsi="Times New Roman"/>
              </w:rPr>
            </w:pPr>
            <w:r w:rsidRPr="00FC193E">
              <w:rPr>
                <w:rFonts w:ascii="Times New Roman" w:hAnsi="Times New Roman"/>
              </w:rPr>
              <w:t>Diploma</w:t>
            </w:r>
          </w:p>
        </w:tc>
        <w:tc>
          <w:tcPr>
            <w:tcW w:w="1955" w:type="dxa"/>
            <w:vAlign w:val="center"/>
            <w:hideMark/>
          </w:tcPr>
          <w:p w14:paraId="4DE8BF40"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20</w:t>
            </w:r>
          </w:p>
        </w:tc>
        <w:tc>
          <w:tcPr>
            <w:tcW w:w="1656" w:type="dxa"/>
            <w:vAlign w:val="center"/>
            <w:hideMark/>
          </w:tcPr>
          <w:p w14:paraId="74FDE8D7"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15.6%</w:t>
            </w:r>
          </w:p>
        </w:tc>
      </w:tr>
      <w:tr w:rsidR="00FC193E" w:rsidRPr="00E33135" w14:paraId="0CF730A6" w14:textId="77777777" w:rsidTr="00B360B9">
        <w:trPr>
          <w:tblCellSpacing w:w="15" w:type="dxa"/>
        </w:trPr>
        <w:tc>
          <w:tcPr>
            <w:tcW w:w="0" w:type="auto"/>
            <w:vAlign w:val="center"/>
            <w:hideMark/>
          </w:tcPr>
          <w:p w14:paraId="190EA1B9" w14:textId="77777777" w:rsidR="00FC193E" w:rsidRPr="00FC193E" w:rsidRDefault="00FC193E" w:rsidP="00FC193E">
            <w:pPr>
              <w:spacing w:after="0" w:line="240" w:lineRule="auto"/>
              <w:rPr>
                <w:rFonts w:ascii="Times New Roman" w:hAnsi="Times New Roman"/>
              </w:rPr>
            </w:pPr>
          </w:p>
        </w:tc>
        <w:tc>
          <w:tcPr>
            <w:tcW w:w="3013" w:type="dxa"/>
            <w:vAlign w:val="center"/>
            <w:hideMark/>
          </w:tcPr>
          <w:p w14:paraId="615F0016" w14:textId="77777777" w:rsidR="00FC193E" w:rsidRPr="00FC193E" w:rsidRDefault="00FC193E" w:rsidP="00FC193E">
            <w:pPr>
              <w:spacing w:after="0" w:line="240" w:lineRule="auto"/>
              <w:rPr>
                <w:rFonts w:ascii="Times New Roman" w:hAnsi="Times New Roman"/>
              </w:rPr>
            </w:pPr>
            <w:r w:rsidRPr="00FC193E">
              <w:rPr>
                <w:rFonts w:ascii="Times New Roman" w:hAnsi="Times New Roman"/>
              </w:rPr>
              <w:t>Certificate</w:t>
            </w:r>
          </w:p>
        </w:tc>
        <w:tc>
          <w:tcPr>
            <w:tcW w:w="1955" w:type="dxa"/>
            <w:vAlign w:val="center"/>
            <w:hideMark/>
          </w:tcPr>
          <w:p w14:paraId="14932995"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10</w:t>
            </w:r>
          </w:p>
        </w:tc>
        <w:tc>
          <w:tcPr>
            <w:tcW w:w="1656" w:type="dxa"/>
            <w:vAlign w:val="center"/>
            <w:hideMark/>
          </w:tcPr>
          <w:p w14:paraId="6CAEE795"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7.8%</w:t>
            </w:r>
          </w:p>
        </w:tc>
      </w:tr>
      <w:tr w:rsidR="00FC193E" w:rsidRPr="00E33135" w14:paraId="2D51BCB0" w14:textId="77777777" w:rsidTr="00B360B9">
        <w:trPr>
          <w:tblCellSpacing w:w="15" w:type="dxa"/>
        </w:trPr>
        <w:tc>
          <w:tcPr>
            <w:tcW w:w="0" w:type="auto"/>
            <w:vAlign w:val="center"/>
            <w:hideMark/>
          </w:tcPr>
          <w:p w14:paraId="02120AFA" w14:textId="77777777" w:rsidR="00FC193E" w:rsidRPr="00FC193E" w:rsidRDefault="00FC193E" w:rsidP="00FC193E">
            <w:pPr>
              <w:spacing w:after="0" w:line="240" w:lineRule="auto"/>
              <w:rPr>
                <w:rFonts w:ascii="Times New Roman" w:hAnsi="Times New Roman"/>
              </w:rPr>
            </w:pPr>
          </w:p>
        </w:tc>
        <w:tc>
          <w:tcPr>
            <w:tcW w:w="3013" w:type="dxa"/>
            <w:vAlign w:val="center"/>
            <w:hideMark/>
          </w:tcPr>
          <w:p w14:paraId="093BD4EB" w14:textId="77777777" w:rsidR="00FC193E" w:rsidRPr="00FC193E" w:rsidRDefault="00FC193E" w:rsidP="00FC193E">
            <w:pPr>
              <w:spacing w:after="0" w:line="240" w:lineRule="auto"/>
              <w:rPr>
                <w:rFonts w:ascii="Times New Roman" w:hAnsi="Times New Roman"/>
              </w:rPr>
            </w:pPr>
            <w:r w:rsidRPr="00FC193E">
              <w:rPr>
                <w:rFonts w:ascii="Times New Roman" w:hAnsi="Times New Roman"/>
              </w:rPr>
              <w:t>Others</w:t>
            </w:r>
          </w:p>
        </w:tc>
        <w:tc>
          <w:tcPr>
            <w:tcW w:w="1955" w:type="dxa"/>
            <w:vAlign w:val="center"/>
            <w:hideMark/>
          </w:tcPr>
          <w:p w14:paraId="5763E269"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4</w:t>
            </w:r>
          </w:p>
        </w:tc>
        <w:tc>
          <w:tcPr>
            <w:tcW w:w="1656" w:type="dxa"/>
            <w:vAlign w:val="center"/>
            <w:hideMark/>
          </w:tcPr>
          <w:p w14:paraId="2DF1B8F8"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3.1%</w:t>
            </w:r>
          </w:p>
        </w:tc>
      </w:tr>
      <w:tr w:rsidR="00FC193E" w:rsidRPr="00E33135" w14:paraId="2C89F927" w14:textId="77777777" w:rsidTr="00B360B9">
        <w:trPr>
          <w:tblCellSpacing w:w="15" w:type="dxa"/>
        </w:trPr>
        <w:tc>
          <w:tcPr>
            <w:tcW w:w="0" w:type="auto"/>
            <w:tcBorders>
              <w:bottom w:val="single" w:sz="4" w:space="0" w:color="auto"/>
            </w:tcBorders>
            <w:vAlign w:val="center"/>
            <w:hideMark/>
          </w:tcPr>
          <w:p w14:paraId="33C0876D" w14:textId="77777777" w:rsidR="00FC193E" w:rsidRPr="00FC193E" w:rsidRDefault="00FC193E" w:rsidP="00FC193E">
            <w:pPr>
              <w:spacing w:after="0" w:line="240" w:lineRule="auto"/>
              <w:rPr>
                <w:rFonts w:ascii="Times New Roman" w:hAnsi="Times New Roman"/>
              </w:rPr>
            </w:pPr>
          </w:p>
        </w:tc>
        <w:tc>
          <w:tcPr>
            <w:tcW w:w="3013" w:type="dxa"/>
            <w:tcBorders>
              <w:bottom w:val="single" w:sz="4" w:space="0" w:color="auto"/>
            </w:tcBorders>
            <w:vAlign w:val="center"/>
            <w:hideMark/>
          </w:tcPr>
          <w:p w14:paraId="7C18321E" w14:textId="77777777" w:rsidR="00FC193E" w:rsidRPr="00FC193E" w:rsidRDefault="00FC193E" w:rsidP="00FC193E">
            <w:pPr>
              <w:spacing w:after="0" w:line="240" w:lineRule="auto"/>
              <w:rPr>
                <w:rFonts w:ascii="Times New Roman" w:hAnsi="Times New Roman"/>
              </w:rPr>
            </w:pPr>
            <w:r w:rsidRPr="00FC193E">
              <w:rPr>
                <w:rFonts w:ascii="Times New Roman" w:hAnsi="Times New Roman"/>
                <w:b/>
                <w:bCs/>
              </w:rPr>
              <w:t>Total</w:t>
            </w:r>
          </w:p>
        </w:tc>
        <w:tc>
          <w:tcPr>
            <w:tcW w:w="1955" w:type="dxa"/>
            <w:tcBorders>
              <w:bottom w:val="single" w:sz="4" w:space="0" w:color="auto"/>
            </w:tcBorders>
            <w:vAlign w:val="center"/>
            <w:hideMark/>
          </w:tcPr>
          <w:p w14:paraId="47479AB7"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128</w:t>
            </w:r>
          </w:p>
        </w:tc>
        <w:tc>
          <w:tcPr>
            <w:tcW w:w="1656" w:type="dxa"/>
            <w:tcBorders>
              <w:bottom w:val="single" w:sz="4" w:space="0" w:color="auto"/>
            </w:tcBorders>
            <w:vAlign w:val="center"/>
            <w:hideMark/>
          </w:tcPr>
          <w:p w14:paraId="21073506" w14:textId="77777777" w:rsidR="00FC193E" w:rsidRPr="00FC193E" w:rsidRDefault="00FC193E" w:rsidP="00FC193E">
            <w:pPr>
              <w:spacing w:after="0" w:line="240" w:lineRule="auto"/>
              <w:jc w:val="center"/>
              <w:rPr>
                <w:rFonts w:ascii="Times New Roman" w:hAnsi="Times New Roman"/>
              </w:rPr>
            </w:pPr>
            <w:r w:rsidRPr="00FC193E">
              <w:rPr>
                <w:rFonts w:ascii="Times New Roman" w:hAnsi="Times New Roman"/>
              </w:rPr>
              <w:t>100%</w:t>
            </w:r>
          </w:p>
        </w:tc>
      </w:tr>
    </w:tbl>
    <w:p w14:paraId="44281C11" w14:textId="77777777" w:rsidR="000F28F0" w:rsidRDefault="000F28F0" w:rsidP="004C661A">
      <w:pPr>
        <w:spacing w:before="100" w:after="0" w:line="240" w:lineRule="auto"/>
        <w:rPr>
          <w:rFonts w:ascii="Times New Roman" w:hAnsi="Times New Roman"/>
        </w:rPr>
      </w:pPr>
      <w:r w:rsidRPr="005E7ADF">
        <w:rPr>
          <w:rFonts w:ascii="Times New Roman" w:hAnsi="Times New Roman"/>
          <w:b/>
          <w:bCs/>
        </w:rPr>
        <w:t>Source:</w:t>
      </w:r>
      <w:r w:rsidRPr="005E7ADF">
        <w:rPr>
          <w:rFonts w:ascii="Times New Roman" w:hAnsi="Times New Roman"/>
        </w:rPr>
        <w:t xml:space="preserve"> Primary data, 2025</w:t>
      </w:r>
    </w:p>
    <w:p w14:paraId="51C99C47" w14:textId="77777777" w:rsidR="00FC193E" w:rsidRDefault="00FC193E" w:rsidP="004C661A">
      <w:pPr>
        <w:spacing w:before="100" w:after="0" w:line="240" w:lineRule="auto"/>
        <w:rPr>
          <w:rFonts w:ascii="Times New Roman" w:hAnsi="Times New Roman"/>
        </w:rPr>
      </w:pPr>
    </w:p>
    <w:p w14:paraId="3E7D4368" w14:textId="77777777" w:rsidR="000E286E" w:rsidRPr="000E286E" w:rsidRDefault="000E286E" w:rsidP="000E286E">
      <w:pPr>
        <w:spacing w:before="100" w:line="240" w:lineRule="auto"/>
        <w:jc w:val="both"/>
        <w:rPr>
          <w:rFonts w:ascii="Times New Roman" w:hAnsi="Times New Roman"/>
        </w:rPr>
      </w:pPr>
      <w:r w:rsidRPr="000E286E">
        <w:rPr>
          <w:rFonts w:ascii="Times New Roman" w:hAnsi="Times New Roman"/>
        </w:rPr>
        <w:t>Table 4.2 presents the demographic characteristics of the respondents, highlighting their gender, age, and education levels. In terms of gender distribution, the majority of respondents were male (60.9%), while females accounted for 39.1%. This indicates a moderate gender imbalance, suggesting that male perspectives may be slightly more represented in the study, although the inclusion of a substantial proportion of female respondents still allows for a reasonable level of gender diversity in the data.</w:t>
      </w:r>
    </w:p>
    <w:p w14:paraId="668FD109" w14:textId="77777777" w:rsidR="000E286E" w:rsidRPr="000E286E" w:rsidRDefault="000E286E" w:rsidP="000E286E">
      <w:pPr>
        <w:spacing w:before="100" w:line="240" w:lineRule="auto"/>
        <w:jc w:val="both"/>
        <w:rPr>
          <w:rFonts w:ascii="Times New Roman" w:hAnsi="Times New Roman"/>
        </w:rPr>
      </w:pPr>
      <w:r w:rsidRPr="000E286E">
        <w:rPr>
          <w:rFonts w:ascii="Times New Roman" w:hAnsi="Times New Roman"/>
        </w:rPr>
        <w:t>Regarding age distribution, the largest proportion of respondents fell within the 31–45 years category (42.2%), followed by those aged 26–30 years (28.1%). Respondents aged 19–25 years constituted 17.2%, while those aged 46 years and above represented the smallest group at 12.5%. This distribution suggests that the study primarily captured the views of economically active and middle-aged individuals, who are likely to have relevant experience and engagement with issues of power dynamics and security. The relatively lower representation of older participants may imply fewer perspectives from more senior or experienced community members.</w:t>
      </w:r>
    </w:p>
    <w:p w14:paraId="36532175" w14:textId="77777777" w:rsidR="00FC193E" w:rsidRDefault="000E286E" w:rsidP="000E286E">
      <w:pPr>
        <w:spacing w:before="100" w:line="240" w:lineRule="auto"/>
        <w:jc w:val="both"/>
        <w:rPr>
          <w:rFonts w:ascii="Times New Roman" w:hAnsi="Times New Roman"/>
        </w:rPr>
      </w:pPr>
      <w:r w:rsidRPr="000E286E">
        <w:rPr>
          <w:rFonts w:ascii="Times New Roman" w:hAnsi="Times New Roman"/>
        </w:rPr>
        <w:t>In terms of education, the majority of respondents held a bachelor’s degree (46.9%), followed by those with master’s degrees (26.6%), diplomas (15.6%), certificates (7.8%), and other qualifications (3.1%). This indicates that most participants had at least tertiary-level education, suggesting a relatively well-educated sample. The high level of education among respondents may have positively influenced their ability to understand and respond thoughtfully to the survey questions, thereby enhancing the reliability and depth of the data collected.</w:t>
      </w:r>
    </w:p>
    <w:p w14:paraId="2E376184" w14:textId="77777777" w:rsidR="00AE7192" w:rsidRPr="005E7ADF" w:rsidRDefault="00AE7192" w:rsidP="000E286E">
      <w:pPr>
        <w:pStyle w:val="Heading2"/>
        <w:numPr>
          <w:ilvl w:val="0"/>
          <w:numId w:val="0"/>
        </w:numPr>
        <w:spacing w:before="240" w:after="240"/>
        <w:rPr>
          <w:b/>
          <w:sz w:val="22"/>
          <w:szCs w:val="22"/>
        </w:rPr>
      </w:pPr>
      <w:r w:rsidRPr="005E7ADF">
        <w:rPr>
          <w:b/>
          <w:sz w:val="22"/>
          <w:szCs w:val="22"/>
        </w:rPr>
        <w:lastRenderedPageBreak/>
        <w:t>Descriptive Statistics for the Study Variables</w:t>
      </w:r>
    </w:p>
    <w:p w14:paraId="1DA4E0E4" w14:textId="77777777" w:rsidR="000E286E" w:rsidRDefault="00A12A62" w:rsidP="004C661A">
      <w:pPr>
        <w:pStyle w:val="Caption"/>
        <w:jc w:val="both"/>
        <w:rPr>
          <w:rFonts w:ascii="Times New Roman" w:hAnsi="Times New Roman"/>
          <w:b w:val="0"/>
          <w:i/>
          <w:color w:val="auto"/>
          <w:sz w:val="22"/>
          <w:szCs w:val="22"/>
        </w:rPr>
      </w:pPr>
      <w:bookmarkStart w:id="34" w:name="_Toc100601274"/>
      <w:r w:rsidRPr="005E7ADF">
        <w:rPr>
          <w:rFonts w:ascii="Times New Roman" w:hAnsi="Times New Roman"/>
          <w:b w:val="0"/>
          <w:i/>
          <w:color w:val="auto"/>
          <w:sz w:val="22"/>
          <w:szCs w:val="22"/>
        </w:rPr>
        <w:t xml:space="preserve">Table </w:t>
      </w:r>
      <w:r w:rsidR="005330AC" w:rsidRPr="005E7ADF">
        <w:rPr>
          <w:rFonts w:ascii="Times New Roman" w:hAnsi="Times New Roman"/>
          <w:b w:val="0"/>
          <w:i/>
          <w:color w:val="auto"/>
          <w:sz w:val="22"/>
          <w:szCs w:val="22"/>
        </w:rPr>
        <w:t>4.3</w:t>
      </w:r>
      <w:r w:rsidR="00AE7192" w:rsidRPr="005E7ADF">
        <w:rPr>
          <w:rFonts w:ascii="Times New Roman" w:hAnsi="Times New Roman"/>
          <w:b w:val="0"/>
          <w:i/>
          <w:color w:val="auto"/>
          <w:sz w:val="22"/>
          <w:szCs w:val="22"/>
        </w:rPr>
        <w:t xml:space="preserve">: </w:t>
      </w:r>
      <w:bookmarkEnd w:id="34"/>
      <w:r w:rsidR="000E286E" w:rsidRPr="000E286E">
        <w:rPr>
          <w:rFonts w:ascii="Times New Roman" w:hAnsi="Times New Roman"/>
          <w:b w:val="0"/>
          <w:i/>
          <w:color w:val="auto"/>
          <w:sz w:val="22"/>
          <w:szCs w:val="22"/>
        </w:rPr>
        <w:t>Distribution of Political Power in Unity State, South Sudan</w:t>
      </w:r>
      <w:r w:rsidR="000E286E">
        <w:rPr>
          <w:rFonts w:ascii="Times New Roman" w:hAnsi="Times New Roman"/>
          <w:b w:val="0"/>
          <w:i/>
          <w:color w:val="auto"/>
          <w:sz w:val="22"/>
          <w:szCs w:val="22"/>
        </w:rPr>
        <w:t xml:space="preserve"> (n=128)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2"/>
        <w:gridCol w:w="742"/>
        <w:gridCol w:w="853"/>
        <w:gridCol w:w="853"/>
        <w:gridCol w:w="853"/>
        <w:gridCol w:w="853"/>
        <w:gridCol w:w="598"/>
        <w:gridCol w:w="503"/>
      </w:tblGrid>
      <w:tr w:rsidR="000E286E" w:rsidRPr="000E286E" w14:paraId="55EB031B" w14:textId="77777777" w:rsidTr="00B360B9">
        <w:trPr>
          <w:tblHeader/>
          <w:tblCellSpacing w:w="15" w:type="dxa"/>
        </w:trPr>
        <w:tc>
          <w:tcPr>
            <w:tcW w:w="0" w:type="auto"/>
            <w:vAlign w:val="center"/>
            <w:hideMark/>
          </w:tcPr>
          <w:p w14:paraId="59545FCC" w14:textId="77777777" w:rsidR="000E286E" w:rsidRPr="000E286E" w:rsidRDefault="000E286E" w:rsidP="000E286E">
            <w:pPr>
              <w:pBdr>
                <w:top w:val="single" w:sz="4" w:space="1" w:color="auto"/>
                <w:bottom w:val="single" w:sz="4" w:space="1" w:color="auto"/>
              </w:pBdr>
              <w:spacing w:after="0"/>
              <w:jc w:val="center"/>
              <w:rPr>
                <w:rFonts w:ascii="Times New Roman" w:hAnsi="Times New Roman"/>
                <w:b/>
                <w:bCs/>
              </w:rPr>
            </w:pPr>
            <w:r w:rsidRPr="000E286E">
              <w:rPr>
                <w:rFonts w:ascii="Times New Roman" w:hAnsi="Times New Roman"/>
                <w:b/>
                <w:bCs/>
              </w:rPr>
              <w:t>Statement</w:t>
            </w:r>
          </w:p>
        </w:tc>
        <w:tc>
          <w:tcPr>
            <w:tcW w:w="0" w:type="auto"/>
            <w:vAlign w:val="center"/>
            <w:hideMark/>
          </w:tcPr>
          <w:p w14:paraId="14EBEE34" w14:textId="77777777" w:rsidR="000E286E" w:rsidRPr="000E286E" w:rsidRDefault="000E286E" w:rsidP="000E286E">
            <w:pPr>
              <w:pBdr>
                <w:top w:val="single" w:sz="4" w:space="1" w:color="auto"/>
                <w:bottom w:val="single" w:sz="4" w:space="1" w:color="auto"/>
              </w:pBdr>
              <w:spacing w:after="0"/>
              <w:jc w:val="center"/>
              <w:rPr>
                <w:rFonts w:ascii="Times New Roman" w:hAnsi="Times New Roman"/>
                <w:b/>
                <w:bCs/>
              </w:rPr>
            </w:pPr>
            <w:r w:rsidRPr="000E286E">
              <w:rPr>
                <w:rFonts w:ascii="Times New Roman" w:hAnsi="Times New Roman"/>
                <w:b/>
                <w:bCs/>
              </w:rPr>
              <w:t>SD (1)</w:t>
            </w:r>
          </w:p>
        </w:tc>
        <w:tc>
          <w:tcPr>
            <w:tcW w:w="0" w:type="auto"/>
            <w:vAlign w:val="center"/>
            <w:hideMark/>
          </w:tcPr>
          <w:p w14:paraId="3A1DF33E" w14:textId="77777777" w:rsidR="000E286E" w:rsidRPr="000E286E" w:rsidRDefault="000E286E" w:rsidP="000E286E">
            <w:pPr>
              <w:pBdr>
                <w:top w:val="single" w:sz="4" w:space="1" w:color="auto"/>
                <w:bottom w:val="single" w:sz="4" w:space="1" w:color="auto"/>
              </w:pBdr>
              <w:spacing w:after="0"/>
              <w:jc w:val="center"/>
              <w:rPr>
                <w:rFonts w:ascii="Times New Roman" w:hAnsi="Times New Roman"/>
                <w:b/>
                <w:bCs/>
              </w:rPr>
            </w:pPr>
            <w:r w:rsidRPr="000E286E">
              <w:rPr>
                <w:rFonts w:ascii="Times New Roman" w:hAnsi="Times New Roman"/>
                <w:b/>
                <w:bCs/>
              </w:rPr>
              <w:t>D (2)</w:t>
            </w:r>
          </w:p>
        </w:tc>
        <w:tc>
          <w:tcPr>
            <w:tcW w:w="0" w:type="auto"/>
            <w:vAlign w:val="center"/>
            <w:hideMark/>
          </w:tcPr>
          <w:p w14:paraId="2A096DC3" w14:textId="77777777" w:rsidR="000E286E" w:rsidRPr="000E286E" w:rsidRDefault="000E286E" w:rsidP="000E286E">
            <w:pPr>
              <w:pBdr>
                <w:top w:val="single" w:sz="4" w:space="1" w:color="auto"/>
                <w:bottom w:val="single" w:sz="4" w:space="1" w:color="auto"/>
              </w:pBdr>
              <w:spacing w:after="0"/>
              <w:jc w:val="center"/>
              <w:rPr>
                <w:rFonts w:ascii="Times New Roman" w:hAnsi="Times New Roman"/>
                <w:b/>
                <w:bCs/>
              </w:rPr>
            </w:pPr>
            <w:r w:rsidRPr="000E286E">
              <w:rPr>
                <w:rFonts w:ascii="Times New Roman" w:hAnsi="Times New Roman"/>
                <w:b/>
                <w:bCs/>
              </w:rPr>
              <w:t>N (3)</w:t>
            </w:r>
          </w:p>
        </w:tc>
        <w:tc>
          <w:tcPr>
            <w:tcW w:w="0" w:type="auto"/>
            <w:vAlign w:val="center"/>
            <w:hideMark/>
          </w:tcPr>
          <w:p w14:paraId="46C49C52" w14:textId="77777777" w:rsidR="000E286E" w:rsidRPr="000E286E" w:rsidRDefault="000E286E" w:rsidP="000E286E">
            <w:pPr>
              <w:pBdr>
                <w:top w:val="single" w:sz="4" w:space="1" w:color="auto"/>
                <w:bottom w:val="single" w:sz="4" w:space="1" w:color="auto"/>
              </w:pBdr>
              <w:spacing w:after="0"/>
              <w:jc w:val="center"/>
              <w:rPr>
                <w:rFonts w:ascii="Times New Roman" w:hAnsi="Times New Roman"/>
                <w:b/>
                <w:bCs/>
              </w:rPr>
            </w:pPr>
            <w:r w:rsidRPr="000E286E">
              <w:rPr>
                <w:rFonts w:ascii="Times New Roman" w:hAnsi="Times New Roman"/>
                <w:b/>
                <w:bCs/>
              </w:rPr>
              <w:t>A (4)</w:t>
            </w:r>
          </w:p>
        </w:tc>
        <w:tc>
          <w:tcPr>
            <w:tcW w:w="0" w:type="auto"/>
            <w:vAlign w:val="center"/>
            <w:hideMark/>
          </w:tcPr>
          <w:p w14:paraId="7FADBE64" w14:textId="77777777" w:rsidR="000E286E" w:rsidRPr="000E286E" w:rsidRDefault="000E286E" w:rsidP="000E286E">
            <w:pPr>
              <w:pBdr>
                <w:top w:val="single" w:sz="4" w:space="1" w:color="auto"/>
                <w:bottom w:val="single" w:sz="4" w:space="1" w:color="auto"/>
              </w:pBdr>
              <w:spacing w:after="0"/>
              <w:jc w:val="center"/>
              <w:rPr>
                <w:rFonts w:ascii="Times New Roman" w:hAnsi="Times New Roman"/>
                <w:b/>
                <w:bCs/>
              </w:rPr>
            </w:pPr>
            <w:r w:rsidRPr="000E286E">
              <w:rPr>
                <w:rFonts w:ascii="Times New Roman" w:hAnsi="Times New Roman"/>
                <w:b/>
                <w:bCs/>
              </w:rPr>
              <w:t>SA (5)</w:t>
            </w:r>
          </w:p>
        </w:tc>
        <w:tc>
          <w:tcPr>
            <w:tcW w:w="0" w:type="auto"/>
            <w:vAlign w:val="center"/>
            <w:hideMark/>
          </w:tcPr>
          <w:p w14:paraId="476E02E8" w14:textId="77777777" w:rsidR="000E286E" w:rsidRPr="000E286E" w:rsidRDefault="000E286E" w:rsidP="000E286E">
            <w:pPr>
              <w:pBdr>
                <w:top w:val="single" w:sz="4" w:space="1" w:color="auto"/>
                <w:bottom w:val="single" w:sz="4" w:space="1" w:color="auto"/>
              </w:pBdr>
              <w:spacing w:after="0"/>
              <w:jc w:val="center"/>
              <w:rPr>
                <w:rFonts w:ascii="Times New Roman" w:hAnsi="Times New Roman"/>
                <w:b/>
                <w:bCs/>
              </w:rPr>
            </w:pPr>
            <w:r w:rsidRPr="000E286E">
              <w:rPr>
                <w:rFonts w:ascii="Times New Roman" w:hAnsi="Times New Roman"/>
                <w:b/>
                <w:bCs/>
              </w:rPr>
              <w:t>Mean</w:t>
            </w:r>
          </w:p>
        </w:tc>
        <w:tc>
          <w:tcPr>
            <w:tcW w:w="0" w:type="auto"/>
            <w:vAlign w:val="center"/>
            <w:hideMark/>
          </w:tcPr>
          <w:p w14:paraId="62724C6E" w14:textId="77777777" w:rsidR="000E286E" w:rsidRPr="000E286E" w:rsidRDefault="000E286E" w:rsidP="000E286E">
            <w:pPr>
              <w:pBdr>
                <w:top w:val="single" w:sz="4" w:space="1" w:color="auto"/>
                <w:bottom w:val="single" w:sz="4" w:space="1" w:color="auto"/>
              </w:pBdr>
              <w:spacing w:after="0"/>
              <w:jc w:val="center"/>
              <w:rPr>
                <w:rFonts w:ascii="Times New Roman" w:hAnsi="Times New Roman"/>
                <w:b/>
                <w:bCs/>
              </w:rPr>
            </w:pPr>
            <w:r w:rsidRPr="000E286E">
              <w:rPr>
                <w:rFonts w:ascii="Times New Roman" w:hAnsi="Times New Roman"/>
                <w:b/>
                <w:bCs/>
              </w:rPr>
              <w:t>STD</w:t>
            </w:r>
          </w:p>
        </w:tc>
      </w:tr>
      <w:tr w:rsidR="000E286E" w:rsidRPr="000E286E" w14:paraId="6C912E33" w14:textId="77777777" w:rsidTr="00B360B9">
        <w:trPr>
          <w:tblCellSpacing w:w="15" w:type="dxa"/>
        </w:trPr>
        <w:tc>
          <w:tcPr>
            <w:tcW w:w="0" w:type="auto"/>
            <w:vAlign w:val="center"/>
            <w:hideMark/>
          </w:tcPr>
          <w:p w14:paraId="33E31945" w14:textId="77777777" w:rsidR="000E286E" w:rsidRPr="000E286E" w:rsidRDefault="000E286E" w:rsidP="000E286E">
            <w:pPr>
              <w:spacing w:after="0"/>
              <w:rPr>
                <w:rFonts w:ascii="Times New Roman" w:hAnsi="Times New Roman"/>
              </w:rPr>
            </w:pPr>
            <w:r w:rsidRPr="000E286E">
              <w:rPr>
                <w:rFonts w:ascii="Times New Roman" w:hAnsi="Times New Roman"/>
              </w:rPr>
              <w:t>Political power in Unity State is largely concentrated among the Dinka, marginalizing other groups like the Nuer</w:t>
            </w:r>
          </w:p>
        </w:tc>
        <w:tc>
          <w:tcPr>
            <w:tcW w:w="0" w:type="auto"/>
            <w:vAlign w:val="center"/>
            <w:hideMark/>
          </w:tcPr>
          <w:p w14:paraId="2A4D4C93" w14:textId="77777777" w:rsidR="000E286E" w:rsidRPr="000E286E" w:rsidRDefault="000E286E" w:rsidP="000E286E">
            <w:pPr>
              <w:spacing w:after="0"/>
              <w:jc w:val="center"/>
              <w:rPr>
                <w:rFonts w:ascii="Times New Roman" w:hAnsi="Times New Roman"/>
              </w:rPr>
            </w:pPr>
            <w:r w:rsidRPr="000E286E">
              <w:rPr>
                <w:rFonts w:ascii="Times New Roman" w:hAnsi="Times New Roman"/>
              </w:rPr>
              <w:t>10 (7.8%)</w:t>
            </w:r>
          </w:p>
        </w:tc>
        <w:tc>
          <w:tcPr>
            <w:tcW w:w="0" w:type="auto"/>
            <w:vAlign w:val="center"/>
            <w:hideMark/>
          </w:tcPr>
          <w:p w14:paraId="727F7B71" w14:textId="77777777" w:rsidR="000E286E" w:rsidRPr="000E286E" w:rsidRDefault="000E286E" w:rsidP="000E286E">
            <w:pPr>
              <w:spacing w:after="0"/>
              <w:jc w:val="center"/>
              <w:rPr>
                <w:rFonts w:ascii="Times New Roman" w:hAnsi="Times New Roman"/>
              </w:rPr>
            </w:pPr>
            <w:r w:rsidRPr="000E286E">
              <w:rPr>
                <w:rFonts w:ascii="Times New Roman" w:hAnsi="Times New Roman"/>
              </w:rPr>
              <w:t>12 (9.4%)</w:t>
            </w:r>
          </w:p>
        </w:tc>
        <w:tc>
          <w:tcPr>
            <w:tcW w:w="0" w:type="auto"/>
            <w:vAlign w:val="center"/>
            <w:hideMark/>
          </w:tcPr>
          <w:p w14:paraId="1FAF884D" w14:textId="77777777" w:rsidR="000E286E" w:rsidRPr="000E286E" w:rsidRDefault="000E286E" w:rsidP="000E286E">
            <w:pPr>
              <w:spacing w:after="0"/>
              <w:jc w:val="center"/>
              <w:rPr>
                <w:rFonts w:ascii="Times New Roman" w:hAnsi="Times New Roman"/>
              </w:rPr>
            </w:pPr>
            <w:r w:rsidRPr="000E286E">
              <w:rPr>
                <w:rFonts w:ascii="Times New Roman" w:hAnsi="Times New Roman"/>
              </w:rPr>
              <w:t>14 (10.9%)</w:t>
            </w:r>
          </w:p>
        </w:tc>
        <w:tc>
          <w:tcPr>
            <w:tcW w:w="0" w:type="auto"/>
            <w:vAlign w:val="center"/>
            <w:hideMark/>
          </w:tcPr>
          <w:p w14:paraId="2C0CBB54" w14:textId="77777777" w:rsidR="000E286E" w:rsidRPr="000E286E" w:rsidRDefault="000E286E" w:rsidP="000E286E">
            <w:pPr>
              <w:spacing w:after="0"/>
              <w:jc w:val="center"/>
              <w:rPr>
                <w:rFonts w:ascii="Times New Roman" w:hAnsi="Times New Roman"/>
              </w:rPr>
            </w:pPr>
            <w:r w:rsidRPr="000E286E">
              <w:rPr>
                <w:rFonts w:ascii="Times New Roman" w:hAnsi="Times New Roman"/>
              </w:rPr>
              <w:t>46 (35.9%)</w:t>
            </w:r>
          </w:p>
        </w:tc>
        <w:tc>
          <w:tcPr>
            <w:tcW w:w="0" w:type="auto"/>
            <w:vAlign w:val="center"/>
            <w:hideMark/>
          </w:tcPr>
          <w:p w14:paraId="7F7B58AF" w14:textId="77777777" w:rsidR="000E286E" w:rsidRPr="000E286E" w:rsidRDefault="000E286E" w:rsidP="000E286E">
            <w:pPr>
              <w:spacing w:after="0"/>
              <w:jc w:val="center"/>
              <w:rPr>
                <w:rFonts w:ascii="Times New Roman" w:hAnsi="Times New Roman"/>
              </w:rPr>
            </w:pPr>
            <w:r w:rsidRPr="000E286E">
              <w:rPr>
                <w:rFonts w:ascii="Times New Roman" w:hAnsi="Times New Roman"/>
              </w:rPr>
              <w:t>46 (35.9%)</w:t>
            </w:r>
          </w:p>
        </w:tc>
        <w:tc>
          <w:tcPr>
            <w:tcW w:w="0" w:type="auto"/>
            <w:vAlign w:val="center"/>
            <w:hideMark/>
          </w:tcPr>
          <w:p w14:paraId="3A06233E" w14:textId="77777777" w:rsidR="000E286E" w:rsidRPr="000E286E" w:rsidRDefault="000E286E" w:rsidP="000E286E">
            <w:pPr>
              <w:spacing w:after="0"/>
              <w:jc w:val="center"/>
              <w:rPr>
                <w:rFonts w:ascii="Times New Roman" w:hAnsi="Times New Roman"/>
              </w:rPr>
            </w:pPr>
            <w:r w:rsidRPr="000E286E">
              <w:rPr>
                <w:rFonts w:ascii="Times New Roman" w:hAnsi="Times New Roman"/>
              </w:rPr>
              <w:t>4.02</w:t>
            </w:r>
          </w:p>
        </w:tc>
        <w:tc>
          <w:tcPr>
            <w:tcW w:w="0" w:type="auto"/>
            <w:vAlign w:val="center"/>
            <w:hideMark/>
          </w:tcPr>
          <w:p w14:paraId="1882CA22" w14:textId="77777777" w:rsidR="000E286E" w:rsidRPr="000E286E" w:rsidRDefault="000E286E" w:rsidP="000E286E">
            <w:pPr>
              <w:spacing w:after="0"/>
              <w:jc w:val="center"/>
              <w:rPr>
                <w:rFonts w:ascii="Times New Roman" w:hAnsi="Times New Roman"/>
              </w:rPr>
            </w:pPr>
            <w:r w:rsidRPr="000E286E">
              <w:rPr>
                <w:rFonts w:ascii="Times New Roman" w:hAnsi="Times New Roman"/>
              </w:rPr>
              <w:t>1.11</w:t>
            </w:r>
          </w:p>
        </w:tc>
      </w:tr>
      <w:tr w:rsidR="000E286E" w:rsidRPr="000E286E" w14:paraId="6DAE407D" w14:textId="77777777" w:rsidTr="00B360B9">
        <w:trPr>
          <w:tblCellSpacing w:w="15" w:type="dxa"/>
        </w:trPr>
        <w:tc>
          <w:tcPr>
            <w:tcW w:w="0" w:type="auto"/>
            <w:vAlign w:val="center"/>
            <w:hideMark/>
          </w:tcPr>
          <w:p w14:paraId="18A64F0B" w14:textId="77777777" w:rsidR="000E286E" w:rsidRPr="000E286E" w:rsidRDefault="000E286E" w:rsidP="000E286E">
            <w:pPr>
              <w:spacing w:after="0"/>
              <w:rPr>
                <w:rFonts w:ascii="Times New Roman" w:hAnsi="Times New Roman"/>
              </w:rPr>
            </w:pPr>
            <w:r w:rsidRPr="000E286E">
              <w:rPr>
                <w:rFonts w:ascii="Times New Roman" w:hAnsi="Times New Roman"/>
              </w:rPr>
              <w:t>Historical power struggles between the Dinka and Nuer have fueled conflicts and weakened political stability</w:t>
            </w:r>
          </w:p>
        </w:tc>
        <w:tc>
          <w:tcPr>
            <w:tcW w:w="0" w:type="auto"/>
            <w:vAlign w:val="center"/>
            <w:hideMark/>
          </w:tcPr>
          <w:p w14:paraId="3F331DDB" w14:textId="77777777" w:rsidR="000E286E" w:rsidRPr="000E286E" w:rsidRDefault="000E286E" w:rsidP="000E286E">
            <w:pPr>
              <w:spacing w:after="0"/>
              <w:jc w:val="center"/>
              <w:rPr>
                <w:rFonts w:ascii="Times New Roman" w:hAnsi="Times New Roman"/>
              </w:rPr>
            </w:pPr>
            <w:r w:rsidRPr="000E286E">
              <w:rPr>
                <w:rFonts w:ascii="Times New Roman" w:hAnsi="Times New Roman"/>
              </w:rPr>
              <w:t>8 (6.3%)</w:t>
            </w:r>
          </w:p>
        </w:tc>
        <w:tc>
          <w:tcPr>
            <w:tcW w:w="0" w:type="auto"/>
            <w:vAlign w:val="center"/>
            <w:hideMark/>
          </w:tcPr>
          <w:p w14:paraId="270D31A1" w14:textId="77777777" w:rsidR="000E286E" w:rsidRPr="000E286E" w:rsidRDefault="000E286E" w:rsidP="000E286E">
            <w:pPr>
              <w:spacing w:after="0"/>
              <w:jc w:val="center"/>
              <w:rPr>
                <w:rFonts w:ascii="Times New Roman" w:hAnsi="Times New Roman"/>
              </w:rPr>
            </w:pPr>
            <w:r w:rsidRPr="000E286E">
              <w:rPr>
                <w:rFonts w:ascii="Times New Roman" w:hAnsi="Times New Roman"/>
              </w:rPr>
              <w:t>13 (10.2%)</w:t>
            </w:r>
          </w:p>
        </w:tc>
        <w:tc>
          <w:tcPr>
            <w:tcW w:w="0" w:type="auto"/>
            <w:vAlign w:val="center"/>
            <w:hideMark/>
          </w:tcPr>
          <w:p w14:paraId="4035A383" w14:textId="77777777" w:rsidR="000E286E" w:rsidRPr="000E286E" w:rsidRDefault="000E286E" w:rsidP="000E286E">
            <w:pPr>
              <w:spacing w:after="0"/>
              <w:jc w:val="center"/>
              <w:rPr>
                <w:rFonts w:ascii="Times New Roman" w:hAnsi="Times New Roman"/>
              </w:rPr>
            </w:pPr>
            <w:r w:rsidRPr="000E286E">
              <w:rPr>
                <w:rFonts w:ascii="Times New Roman" w:hAnsi="Times New Roman"/>
              </w:rPr>
              <w:t>15 (11.7%)</w:t>
            </w:r>
          </w:p>
        </w:tc>
        <w:tc>
          <w:tcPr>
            <w:tcW w:w="0" w:type="auto"/>
            <w:vAlign w:val="center"/>
            <w:hideMark/>
          </w:tcPr>
          <w:p w14:paraId="64CEB101" w14:textId="77777777" w:rsidR="000E286E" w:rsidRPr="000E286E" w:rsidRDefault="000E286E" w:rsidP="000E286E">
            <w:pPr>
              <w:spacing w:after="0"/>
              <w:jc w:val="center"/>
              <w:rPr>
                <w:rFonts w:ascii="Times New Roman" w:hAnsi="Times New Roman"/>
              </w:rPr>
            </w:pPr>
            <w:r w:rsidRPr="000E286E">
              <w:rPr>
                <w:rFonts w:ascii="Times New Roman" w:hAnsi="Times New Roman"/>
              </w:rPr>
              <w:t>46 (35.9%)</w:t>
            </w:r>
          </w:p>
        </w:tc>
        <w:tc>
          <w:tcPr>
            <w:tcW w:w="0" w:type="auto"/>
            <w:vAlign w:val="center"/>
            <w:hideMark/>
          </w:tcPr>
          <w:p w14:paraId="68695A16" w14:textId="77777777" w:rsidR="000E286E" w:rsidRPr="000E286E" w:rsidRDefault="000E286E" w:rsidP="000E286E">
            <w:pPr>
              <w:spacing w:after="0"/>
              <w:jc w:val="center"/>
              <w:rPr>
                <w:rFonts w:ascii="Times New Roman" w:hAnsi="Times New Roman"/>
              </w:rPr>
            </w:pPr>
            <w:r w:rsidRPr="000E286E">
              <w:rPr>
                <w:rFonts w:ascii="Times New Roman" w:hAnsi="Times New Roman"/>
              </w:rPr>
              <w:t>46 (35.9%)</w:t>
            </w:r>
          </w:p>
        </w:tc>
        <w:tc>
          <w:tcPr>
            <w:tcW w:w="0" w:type="auto"/>
            <w:vAlign w:val="center"/>
            <w:hideMark/>
          </w:tcPr>
          <w:p w14:paraId="2CB1FF52" w14:textId="77777777" w:rsidR="000E286E" w:rsidRPr="000E286E" w:rsidRDefault="000E286E" w:rsidP="000E286E">
            <w:pPr>
              <w:spacing w:after="0"/>
              <w:jc w:val="center"/>
              <w:rPr>
                <w:rFonts w:ascii="Times New Roman" w:hAnsi="Times New Roman"/>
              </w:rPr>
            </w:pPr>
            <w:r w:rsidRPr="000E286E">
              <w:rPr>
                <w:rFonts w:ascii="Times New Roman" w:hAnsi="Times New Roman"/>
              </w:rPr>
              <w:t>4.02</w:t>
            </w:r>
          </w:p>
        </w:tc>
        <w:tc>
          <w:tcPr>
            <w:tcW w:w="0" w:type="auto"/>
            <w:vAlign w:val="center"/>
            <w:hideMark/>
          </w:tcPr>
          <w:p w14:paraId="439CB3E5" w14:textId="77777777" w:rsidR="000E286E" w:rsidRPr="000E286E" w:rsidRDefault="000E286E" w:rsidP="000E286E">
            <w:pPr>
              <w:spacing w:after="0"/>
              <w:jc w:val="center"/>
              <w:rPr>
                <w:rFonts w:ascii="Times New Roman" w:hAnsi="Times New Roman"/>
              </w:rPr>
            </w:pPr>
            <w:r w:rsidRPr="000E286E">
              <w:rPr>
                <w:rFonts w:ascii="Times New Roman" w:hAnsi="Times New Roman"/>
              </w:rPr>
              <w:t>1.08</w:t>
            </w:r>
          </w:p>
        </w:tc>
      </w:tr>
      <w:tr w:rsidR="000E286E" w:rsidRPr="000E286E" w14:paraId="6044C126" w14:textId="77777777" w:rsidTr="00B360B9">
        <w:trPr>
          <w:tblCellSpacing w:w="15" w:type="dxa"/>
        </w:trPr>
        <w:tc>
          <w:tcPr>
            <w:tcW w:w="0" w:type="auto"/>
            <w:vAlign w:val="center"/>
            <w:hideMark/>
          </w:tcPr>
          <w:p w14:paraId="50ECF59E" w14:textId="77777777" w:rsidR="000E286E" w:rsidRPr="000E286E" w:rsidRDefault="000E286E" w:rsidP="000E286E">
            <w:pPr>
              <w:spacing w:after="0"/>
              <w:rPr>
                <w:rFonts w:ascii="Times New Roman" w:hAnsi="Times New Roman"/>
              </w:rPr>
            </w:pPr>
            <w:r w:rsidRPr="000E286E">
              <w:rPr>
                <w:rFonts w:ascii="Times New Roman" w:hAnsi="Times New Roman"/>
              </w:rPr>
              <w:t>Ethnic affiliations largely determine the distribution of political power in Unity State</w:t>
            </w:r>
          </w:p>
        </w:tc>
        <w:tc>
          <w:tcPr>
            <w:tcW w:w="0" w:type="auto"/>
            <w:vAlign w:val="center"/>
            <w:hideMark/>
          </w:tcPr>
          <w:p w14:paraId="2D979221" w14:textId="77777777" w:rsidR="000E286E" w:rsidRPr="000E286E" w:rsidRDefault="000E286E" w:rsidP="000E286E">
            <w:pPr>
              <w:spacing w:after="0"/>
              <w:jc w:val="center"/>
              <w:rPr>
                <w:rFonts w:ascii="Times New Roman" w:hAnsi="Times New Roman"/>
              </w:rPr>
            </w:pPr>
            <w:r w:rsidRPr="000E286E">
              <w:rPr>
                <w:rFonts w:ascii="Times New Roman" w:hAnsi="Times New Roman"/>
              </w:rPr>
              <w:t>12 (9.4%)</w:t>
            </w:r>
          </w:p>
        </w:tc>
        <w:tc>
          <w:tcPr>
            <w:tcW w:w="0" w:type="auto"/>
            <w:vAlign w:val="center"/>
            <w:hideMark/>
          </w:tcPr>
          <w:p w14:paraId="2ACDCCC3" w14:textId="77777777" w:rsidR="000E286E" w:rsidRPr="000E286E" w:rsidRDefault="000E286E" w:rsidP="000E286E">
            <w:pPr>
              <w:spacing w:after="0"/>
              <w:jc w:val="center"/>
              <w:rPr>
                <w:rFonts w:ascii="Times New Roman" w:hAnsi="Times New Roman"/>
              </w:rPr>
            </w:pPr>
            <w:r w:rsidRPr="000E286E">
              <w:rPr>
                <w:rFonts w:ascii="Times New Roman" w:hAnsi="Times New Roman"/>
              </w:rPr>
              <w:t>10 (7.8%)</w:t>
            </w:r>
          </w:p>
        </w:tc>
        <w:tc>
          <w:tcPr>
            <w:tcW w:w="0" w:type="auto"/>
            <w:vAlign w:val="center"/>
            <w:hideMark/>
          </w:tcPr>
          <w:p w14:paraId="34352756" w14:textId="77777777" w:rsidR="000E286E" w:rsidRPr="000E286E" w:rsidRDefault="000E286E" w:rsidP="000E286E">
            <w:pPr>
              <w:spacing w:after="0"/>
              <w:jc w:val="center"/>
              <w:rPr>
                <w:rFonts w:ascii="Times New Roman" w:hAnsi="Times New Roman"/>
              </w:rPr>
            </w:pPr>
            <w:r w:rsidRPr="000E286E">
              <w:rPr>
                <w:rFonts w:ascii="Times New Roman" w:hAnsi="Times New Roman"/>
              </w:rPr>
              <w:t>13 (10.2%)</w:t>
            </w:r>
          </w:p>
        </w:tc>
        <w:tc>
          <w:tcPr>
            <w:tcW w:w="0" w:type="auto"/>
            <w:vAlign w:val="center"/>
            <w:hideMark/>
          </w:tcPr>
          <w:p w14:paraId="7632E78E" w14:textId="77777777" w:rsidR="000E286E" w:rsidRPr="000E286E" w:rsidRDefault="000E286E" w:rsidP="000E286E">
            <w:pPr>
              <w:spacing w:after="0"/>
              <w:jc w:val="center"/>
              <w:rPr>
                <w:rFonts w:ascii="Times New Roman" w:hAnsi="Times New Roman"/>
              </w:rPr>
            </w:pPr>
            <w:r w:rsidRPr="000E286E">
              <w:rPr>
                <w:rFonts w:ascii="Times New Roman" w:hAnsi="Times New Roman"/>
              </w:rPr>
              <w:t>46 (35.9%)</w:t>
            </w:r>
          </w:p>
        </w:tc>
        <w:tc>
          <w:tcPr>
            <w:tcW w:w="0" w:type="auto"/>
            <w:vAlign w:val="center"/>
            <w:hideMark/>
          </w:tcPr>
          <w:p w14:paraId="19EA2035" w14:textId="77777777" w:rsidR="000E286E" w:rsidRPr="000E286E" w:rsidRDefault="000E286E" w:rsidP="000E286E">
            <w:pPr>
              <w:spacing w:after="0"/>
              <w:jc w:val="center"/>
              <w:rPr>
                <w:rFonts w:ascii="Times New Roman" w:hAnsi="Times New Roman"/>
              </w:rPr>
            </w:pPr>
            <w:r w:rsidRPr="000E286E">
              <w:rPr>
                <w:rFonts w:ascii="Times New Roman" w:hAnsi="Times New Roman"/>
              </w:rPr>
              <w:t>47 (36.7%)</w:t>
            </w:r>
          </w:p>
        </w:tc>
        <w:tc>
          <w:tcPr>
            <w:tcW w:w="0" w:type="auto"/>
            <w:vAlign w:val="center"/>
            <w:hideMark/>
          </w:tcPr>
          <w:p w14:paraId="45E26134" w14:textId="77777777" w:rsidR="000E286E" w:rsidRPr="000E286E" w:rsidRDefault="000E286E" w:rsidP="000E286E">
            <w:pPr>
              <w:spacing w:after="0"/>
              <w:jc w:val="center"/>
              <w:rPr>
                <w:rFonts w:ascii="Times New Roman" w:hAnsi="Times New Roman"/>
              </w:rPr>
            </w:pPr>
            <w:r w:rsidRPr="000E286E">
              <w:rPr>
                <w:rFonts w:ascii="Times New Roman" w:hAnsi="Times New Roman"/>
              </w:rPr>
              <w:t>4.02</w:t>
            </w:r>
          </w:p>
        </w:tc>
        <w:tc>
          <w:tcPr>
            <w:tcW w:w="0" w:type="auto"/>
            <w:vAlign w:val="center"/>
            <w:hideMark/>
          </w:tcPr>
          <w:p w14:paraId="18B7DA77" w14:textId="77777777" w:rsidR="000E286E" w:rsidRPr="000E286E" w:rsidRDefault="000E286E" w:rsidP="000E286E">
            <w:pPr>
              <w:spacing w:after="0"/>
              <w:jc w:val="center"/>
              <w:rPr>
                <w:rFonts w:ascii="Times New Roman" w:hAnsi="Times New Roman"/>
              </w:rPr>
            </w:pPr>
            <w:r w:rsidRPr="000E286E">
              <w:rPr>
                <w:rFonts w:ascii="Times New Roman" w:hAnsi="Times New Roman"/>
              </w:rPr>
              <w:t>1.09</w:t>
            </w:r>
          </w:p>
        </w:tc>
      </w:tr>
      <w:tr w:rsidR="000E286E" w:rsidRPr="000E286E" w14:paraId="64EC67AE" w14:textId="77777777" w:rsidTr="00B360B9">
        <w:trPr>
          <w:tblCellSpacing w:w="15" w:type="dxa"/>
        </w:trPr>
        <w:tc>
          <w:tcPr>
            <w:tcW w:w="0" w:type="auto"/>
            <w:vAlign w:val="center"/>
            <w:hideMark/>
          </w:tcPr>
          <w:p w14:paraId="48B2B84E" w14:textId="77777777" w:rsidR="000E286E" w:rsidRPr="000E286E" w:rsidRDefault="000E286E" w:rsidP="000E286E">
            <w:pPr>
              <w:spacing w:after="0"/>
              <w:rPr>
                <w:rFonts w:ascii="Times New Roman" w:hAnsi="Times New Roman"/>
              </w:rPr>
            </w:pPr>
            <w:r w:rsidRPr="000E286E">
              <w:rPr>
                <w:rFonts w:ascii="Times New Roman" w:hAnsi="Times New Roman"/>
              </w:rPr>
              <w:t>Government policies have excluded some ethnic groups from decision-making, increasing tensions</w:t>
            </w:r>
          </w:p>
        </w:tc>
        <w:tc>
          <w:tcPr>
            <w:tcW w:w="0" w:type="auto"/>
            <w:vAlign w:val="center"/>
            <w:hideMark/>
          </w:tcPr>
          <w:p w14:paraId="0B555896" w14:textId="77777777" w:rsidR="000E286E" w:rsidRPr="000E286E" w:rsidRDefault="000E286E" w:rsidP="000E286E">
            <w:pPr>
              <w:spacing w:after="0"/>
              <w:jc w:val="center"/>
              <w:rPr>
                <w:rFonts w:ascii="Times New Roman" w:hAnsi="Times New Roman"/>
              </w:rPr>
            </w:pPr>
            <w:r w:rsidRPr="000E286E">
              <w:rPr>
                <w:rFonts w:ascii="Times New Roman" w:hAnsi="Times New Roman"/>
              </w:rPr>
              <w:t>11 (8.6%)</w:t>
            </w:r>
          </w:p>
        </w:tc>
        <w:tc>
          <w:tcPr>
            <w:tcW w:w="0" w:type="auto"/>
            <w:vAlign w:val="center"/>
            <w:hideMark/>
          </w:tcPr>
          <w:p w14:paraId="64343A92" w14:textId="77777777" w:rsidR="000E286E" w:rsidRPr="000E286E" w:rsidRDefault="000E286E" w:rsidP="000E286E">
            <w:pPr>
              <w:spacing w:after="0"/>
              <w:jc w:val="center"/>
              <w:rPr>
                <w:rFonts w:ascii="Times New Roman" w:hAnsi="Times New Roman"/>
              </w:rPr>
            </w:pPr>
            <w:r w:rsidRPr="000E286E">
              <w:rPr>
                <w:rFonts w:ascii="Times New Roman" w:hAnsi="Times New Roman"/>
              </w:rPr>
              <w:t>12 (9.4%)</w:t>
            </w:r>
          </w:p>
        </w:tc>
        <w:tc>
          <w:tcPr>
            <w:tcW w:w="0" w:type="auto"/>
            <w:vAlign w:val="center"/>
            <w:hideMark/>
          </w:tcPr>
          <w:p w14:paraId="42B7E933" w14:textId="77777777" w:rsidR="000E286E" w:rsidRPr="000E286E" w:rsidRDefault="000E286E" w:rsidP="000E286E">
            <w:pPr>
              <w:spacing w:after="0"/>
              <w:jc w:val="center"/>
              <w:rPr>
                <w:rFonts w:ascii="Times New Roman" w:hAnsi="Times New Roman"/>
              </w:rPr>
            </w:pPr>
            <w:r w:rsidRPr="000E286E">
              <w:rPr>
                <w:rFonts w:ascii="Times New Roman" w:hAnsi="Times New Roman"/>
              </w:rPr>
              <w:t>14 (10.9%)</w:t>
            </w:r>
          </w:p>
        </w:tc>
        <w:tc>
          <w:tcPr>
            <w:tcW w:w="0" w:type="auto"/>
            <w:vAlign w:val="center"/>
            <w:hideMark/>
          </w:tcPr>
          <w:p w14:paraId="247A3487" w14:textId="77777777" w:rsidR="000E286E" w:rsidRPr="000E286E" w:rsidRDefault="000E286E" w:rsidP="000E286E">
            <w:pPr>
              <w:spacing w:after="0"/>
              <w:jc w:val="center"/>
              <w:rPr>
                <w:rFonts w:ascii="Times New Roman" w:hAnsi="Times New Roman"/>
              </w:rPr>
            </w:pPr>
            <w:r w:rsidRPr="000E286E">
              <w:rPr>
                <w:rFonts w:ascii="Times New Roman" w:hAnsi="Times New Roman"/>
              </w:rPr>
              <w:t>45 (35.2%)</w:t>
            </w:r>
          </w:p>
        </w:tc>
        <w:tc>
          <w:tcPr>
            <w:tcW w:w="0" w:type="auto"/>
            <w:vAlign w:val="center"/>
            <w:hideMark/>
          </w:tcPr>
          <w:p w14:paraId="7F3DE133" w14:textId="77777777" w:rsidR="000E286E" w:rsidRPr="000E286E" w:rsidRDefault="000E286E" w:rsidP="000E286E">
            <w:pPr>
              <w:spacing w:after="0"/>
              <w:jc w:val="center"/>
              <w:rPr>
                <w:rFonts w:ascii="Times New Roman" w:hAnsi="Times New Roman"/>
              </w:rPr>
            </w:pPr>
            <w:r w:rsidRPr="000E286E">
              <w:rPr>
                <w:rFonts w:ascii="Times New Roman" w:hAnsi="Times New Roman"/>
              </w:rPr>
              <w:t>46 (35.9%)</w:t>
            </w:r>
          </w:p>
        </w:tc>
        <w:tc>
          <w:tcPr>
            <w:tcW w:w="0" w:type="auto"/>
            <w:vAlign w:val="center"/>
            <w:hideMark/>
          </w:tcPr>
          <w:p w14:paraId="03F570A5" w14:textId="77777777" w:rsidR="000E286E" w:rsidRPr="000E286E" w:rsidRDefault="000E286E" w:rsidP="000E286E">
            <w:pPr>
              <w:spacing w:after="0"/>
              <w:jc w:val="center"/>
              <w:rPr>
                <w:rFonts w:ascii="Times New Roman" w:hAnsi="Times New Roman"/>
              </w:rPr>
            </w:pPr>
            <w:r w:rsidRPr="000E286E">
              <w:rPr>
                <w:rFonts w:ascii="Times New Roman" w:hAnsi="Times New Roman"/>
              </w:rPr>
              <w:t>4.00</w:t>
            </w:r>
          </w:p>
        </w:tc>
        <w:tc>
          <w:tcPr>
            <w:tcW w:w="0" w:type="auto"/>
            <w:vAlign w:val="center"/>
            <w:hideMark/>
          </w:tcPr>
          <w:p w14:paraId="79EF1B04" w14:textId="77777777" w:rsidR="000E286E" w:rsidRPr="000E286E" w:rsidRDefault="000E286E" w:rsidP="000E286E">
            <w:pPr>
              <w:spacing w:after="0"/>
              <w:jc w:val="center"/>
              <w:rPr>
                <w:rFonts w:ascii="Times New Roman" w:hAnsi="Times New Roman"/>
              </w:rPr>
            </w:pPr>
            <w:r w:rsidRPr="000E286E">
              <w:rPr>
                <w:rFonts w:ascii="Times New Roman" w:hAnsi="Times New Roman"/>
              </w:rPr>
              <w:t>1.10</w:t>
            </w:r>
          </w:p>
        </w:tc>
      </w:tr>
      <w:tr w:rsidR="000E286E" w:rsidRPr="000E286E" w14:paraId="1AC5E867" w14:textId="77777777" w:rsidTr="00B360B9">
        <w:trPr>
          <w:tblCellSpacing w:w="15" w:type="dxa"/>
        </w:trPr>
        <w:tc>
          <w:tcPr>
            <w:tcW w:w="0" w:type="auto"/>
            <w:vAlign w:val="center"/>
            <w:hideMark/>
          </w:tcPr>
          <w:p w14:paraId="5C526888" w14:textId="77777777" w:rsidR="000E286E" w:rsidRPr="000E286E" w:rsidRDefault="000E286E" w:rsidP="000E286E">
            <w:pPr>
              <w:spacing w:after="0"/>
              <w:rPr>
                <w:rFonts w:ascii="Times New Roman" w:hAnsi="Times New Roman"/>
              </w:rPr>
            </w:pPr>
            <w:r w:rsidRPr="000E286E">
              <w:rPr>
                <w:rFonts w:ascii="Times New Roman" w:hAnsi="Times New Roman"/>
              </w:rPr>
              <w:t>Power imbalances have hindered effective governance, resulting in weak institutions and poor service delivery</w:t>
            </w:r>
          </w:p>
        </w:tc>
        <w:tc>
          <w:tcPr>
            <w:tcW w:w="0" w:type="auto"/>
            <w:vAlign w:val="center"/>
            <w:hideMark/>
          </w:tcPr>
          <w:p w14:paraId="60811FF1" w14:textId="77777777" w:rsidR="000E286E" w:rsidRPr="000E286E" w:rsidRDefault="000E286E" w:rsidP="000E286E">
            <w:pPr>
              <w:spacing w:after="0"/>
              <w:jc w:val="center"/>
              <w:rPr>
                <w:rFonts w:ascii="Times New Roman" w:hAnsi="Times New Roman"/>
              </w:rPr>
            </w:pPr>
            <w:r w:rsidRPr="000E286E">
              <w:rPr>
                <w:rFonts w:ascii="Times New Roman" w:hAnsi="Times New Roman"/>
              </w:rPr>
              <w:t>9 (7.0%)</w:t>
            </w:r>
          </w:p>
        </w:tc>
        <w:tc>
          <w:tcPr>
            <w:tcW w:w="0" w:type="auto"/>
            <w:vAlign w:val="center"/>
            <w:hideMark/>
          </w:tcPr>
          <w:p w14:paraId="54B34807" w14:textId="77777777" w:rsidR="000E286E" w:rsidRPr="000E286E" w:rsidRDefault="000E286E" w:rsidP="000E286E">
            <w:pPr>
              <w:spacing w:after="0"/>
              <w:jc w:val="center"/>
              <w:rPr>
                <w:rFonts w:ascii="Times New Roman" w:hAnsi="Times New Roman"/>
              </w:rPr>
            </w:pPr>
            <w:r w:rsidRPr="000E286E">
              <w:rPr>
                <w:rFonts w:ascii="Times New Roman" w:hAnsi="Times New Roman"/>
              </w:rPr>
              <w:t>11 (8.6%)</w:t>
            </w:r>
          </w:p>
        </w:tc>
        <w:tc>
          <w:tcPr>
            <w:tcW w:w="0" w:type="auto"/>
            <w:vAlign w:val="center"/>
            <w:hideMark/>
          </w:tcPr>
          <w:p w14:paraId="7CDF0876" w14:textId="77777777" w:rsidR="000E286E" w:rsidRPr="000E286E" w:rsidRDefault="000E286E" w:rsidP="000E286E">
            <w:pPr>
              <w:spacing w:after="0"/>
              <w:jc w:val="center"/>
              <w:rPr>
                <w:rFonts w:ascii="Times New Roman" w:hAnsi="Times New Roman"/>
              </w:rPr>
            </w:pPr>
            <w:r w:rsidRPr="000E286E">
              <w:rPr>
                <w:rFonts w:ascii="Times New Roman" w:hAnsi="Times New Roman"/>
              </w:rPr>
              <w:t>13 (10.2%)</w:t>
            </w:r>
          </w:p>
        </w:tc>
        <w:tc>
          <w:tcPr>
            <w:tcW w:w="0" w:type="auto"/>
            <w:vAlign w:val="center"/>
            <w:hideMark/>
          </w:tcPr>
          <w:p w14:paraId="1354817E" w14:textId="77777777" w:rsidR="000E286E" w:rsidRPr="000E286E" w:rsidRDefault="000E286E" w:rsidP="000E286E">
            <w:pPr>
              <w:spacing w:after="0"/>
              <w:jc w:val="center"/>
              <w:rPr>
                <w:rFonts w:ascii="Times New Roman" w:hAnsi="Times New Roman"/>
              </w:rPr>
            </w:pPr>
            <w:r w:rsidRPr="000E286E">
              <w:rPr>
                <w:rFonts w:ascii="Times New Roman" w:hAnsi="Times New Roman"/>
              </w:rPr>
              <w:t>49 (38.3%)</w:t>
            </w:r>
          </w:p>
        </w:tc>
        <w:tc>
          <w:tcPr>
            <w:tcW w:w="0" w:type="auto"/>
            <w:vAlign w:val="center"/>
            <w:hideMark/>
          </w:tcPr>
          <w:p w14:paraId="2BF88489" w14:textId="77777777" w:rsidR="000E286E" w:rsidRPr="000E286E" w:rsidRDefault="000E286E" w:rsidP="000E286E">
            <w:pPr>
              <w:spacing w:after="0"/>
              <w:jc w:val="center"/>
              <w:rPr>
                <w:rFonts w:ascii="Times New Roman" w:hAnsi="Times New Roman"/>
              </w:rPr>
            </w:pPr>
            <w:r w:rsidRPr="000E286E">
              <w:rPr>
                <w:rFonts w:ascii="Times New Roman" w:hAnsi="Times New Roman"/>
              </w:rPr>
              <w:t>46 (35.9%)</w:t>
            </w:r>
          </w:p>
        </w:tc>
        <w:tc>
          <w:tcPr>
            <w:tcW w:w="0" w:type="auto"/>
            <w:vAlign w:val="center"/>
            <w:hideMark/>
          </w:tcPr>
          <w:p w14:paraId="7801335D" w14:textId="77777777" w:rsidR="000E286E" w:rsidRPr="000E286E" w:rsidRDefault="000E286E" w:rsidP="000E286E">
            <w:pPr>
              <w:spacing w:after="0"/>
              <w:jc w:val="center"/>
              <w:rPr>
                <w:rFonts w:ascii="Times New Roman" w:hAnsi="Times New Roman"/>
              </w:rPr>
            </w:pPr>
            <w:r w:rsidRPr="000E286E">
              <w:rPr>
                <w:rFonts w:ascii="Times New Roman" w:hAnsi="Times New Roman"/>
              </w:rPr>
              <w:t>4.06</w:t>
            </w:r>
          </w:p>
        </w:tc>
        <w:tc>
          <w:tcPr>
            <w:tcW w:w="0" w:type="auto"/>
            <w:vAlign w:val="center"/>
            <w:hideMark/>
          </w:tcPr>
          <w:p w14:paraId="611C6E72" w14:textId="77777777" w:rsidR="000E286E" w:rsidRPr="000E286E" w:rsidRDefault="000E286E" w:rsidP="000E286E">
            <w:pPr>
              <w:spacing w:after="0"/>
              <w:jc w:val="center"/>
              <w:rPr>
                <w:rFonts w:ascii="Times New Roman" w:hAnsi="Times New Roman"/>
              </w:rPr>
            </w:pPr>
            <w:r w:rsidRPr="000E286E">
              <w:rPr>
                <w:rFonts w:ascii="Times New Roman" w:hAnsi="Times New Roman"/>
              </w:rPr>
              <w:t>1.06</w:t>
            </w:r>
          </w:p>
        </w:tc>
      </w:tr>
      <w:tr w:rsidR="000E286E" w:rsidRPr="000E286E" w14:paraId="5AFC97A1" w14:textId="77777777" w:rsidTr="00B360B9">
        <w:trPr>
          <w:tblCellSpacing w:w="15" w:type="dxa"/>
        </w:trPr>
        <w:tc>
          <w:tcPr>
            <w:tcW w:w="0" w:type="auto"/>
            <w:vAlign w:val="center"/>
            <w:hideMark/>
          </w:tcPr>
          <w:p w14:paraId="35717ADB" w14:textId="77777777" w:rsidR="000E286E" w:rsidRPr="000E286E" w:rsidRDefault="000E286E" w:rsidP="000E286E">
            <w:pPr>
              <w:spacing w:after="0"/>
              <w:rPr>
                <w:rFonts w:ascii="Times New Roman" w:hAnsi="Times New Roman"/>
              </w:rPr>
            </w:pPr>
            <w:r w:rsidRPr="000E286E">
              <w:rPr>
                <w:rFonts w:ascii="Times New Roman" w:hAnsi="Times New Roman"/>
              </w:rPr>
              <w:t>Leadership positions are often dominated by one ethnic group, limiting inclusivity</w:t>
            </w:r>
          </w:p>
        </w:tc>
        <w:tc>
          <w:tcPr>
            <w:tcW w:w="0" w:type="auto"/>
            <w:vAlign w:val="center"/>
            <w:hideMark/>
          </w:tcPr>
          <w:p w14:paraId="5D82E951" w14:textId="77777777" w:rsidR="000E286E" w:rsidRPr="000E286E" w:rsidRDefault="000E286E" w:rsidP="000E286E">
            <w:pPr>
              <w:spacing w:after="0"/>
              <w:jc w:val="center"/>
              <w:rPr>
                <w:rFonts w:ascii="Times New Roman" w:hAnsi="Times New Roman"/>
              </w:rPr>
            </w:pPr>
            <w:r w:rsidRPr="000E286E">
              <w:rPr>
                <w:rFonts w:ascii="Times New Roman" w:hAnsi="Times New Roman"/>
              </w:rPr>
              <w:t>10 (7.8%)</w:t>
            </w:r>
          </w:p>
        </w:tc>
        <w:tc>
          <w:tcPr>
            <w:tcW w:w="0" w:type="auto"/>
            <w:vAlign w:val="center"/>
            <w:hideMark/>
          </w:tcPr>
          <w:p w14:paraId="023DA664" w14:textId="77777777" w:rsidR="000E286E" w:rsidRPr="000E286E" w:rsidRDefault="000E286E" w:rsidP="000E286E">
            <w:pPr>
              <w:spacing w:after="0"/>
              <w:jc w:val="center"/>
              <w:rPr>
                <w:rFonts w:ascii="Times New Roman" w:hAnsi="Times New Roman"/>
              </w:rPr>
            </w:pPr>
            <w:r w:rsidRPr="000E286E">
              <w:rPr>
                <w:rFonts w:ascii="Times New Roman" w:hAnsi="Times New Roman"/>
              </w:rPr>
              <w:t>12 (9.4%)</w:t>
            </w:r>
          </w:p>
        </w:tc>
        <w:tc>
          <w:tcPr>
            <w:tcW w:w="0" w:type="auto"/>
            <w:vAlign w:val="center"/>
            <w:hideMark/>
          </w:tcPr>
          <w:p w14:paraId="1224F544" w14:textId="77777777" w:rsidR="000E286E" w:rsidRPr="000E286E" w:rsidRDefault="000E286E" w:rsidP="000E286E">
            <w:pPr>
              <w:spacing w:after="0"/>
              <w:jc w:val="center"/>
              <w:rPr>
                <w:rFonts w:ascii="Times New Roman" w:hAnsi="Times New Roman"/>
              </w:rPr>
            </w:pPr>
            <w:r w:rsidRPr="000E286E">
              <w:rPr>
                <w:rFonts w:ascii="Times New Roman" w:hAnsi="Times New Roman"/>
              </w:rPr>
              <w:t>12 (9.4%)</w:t>
            </w:r>
          </w:p>
        </w:tc>
        <w:tc>
          <w:tcPr>
            <w:tcW w:w="0" w:type="auto"/>
            <w:vAlign w:val="center"/>
            <w:hideMark/>
          </w:tcPr>
          <w:p w14:paraId="2EE1E841" w14:textId="77777777" w:rsidR="000E286E" w:rsidRPr="000E286E" w:rsidRDefault="000E286E" w:rsidP="000E286E">
            <w:pPr>
              <w:spacing w:after="0"/>
              <w:jc w:val="center"/>
              <w:rPr>
                <w:rFonts w:ascii="Times New Roman" w:hAnsi="Times New Roman"/>
              </w:rPr>
            </w:pPr>
            <w:r w:rsidRPr="000E286E">
              <w:rPr>
                <w:rFonts w:ascii="Times New Roman" w:hAnsi="Times New Roman"/>
              </w:rPr>
              <w:t>47 (36.7%)</w:t>
            </w:r>
          </w:p>
        </w:tc>
        <w:tc>
          <w:tcPr>
            <w:tcW w:w="0" w:type="auto"/>
            <w:vAlign w:val="center"/>
            <w:hideMark/>
          </w:tcPr>
          <w:p w14:paraId="2B97D916" w14:textId="77777777" w:rsidR="000E286E" w:rsidRPr="000E286E" w:rsidRDefault="000E286E" w:rsidP="000E286E">
            <w:pPr>
              <w:spacing w:after="0"/>
              <w:jc w:val="center"/>
              <w:rPr>
                <w:rFonts w:ascii="Times New Roman" w:hAnsi="Times New Roman"/>
              </w:rPr>
            </w:pPr>
            <w:r w:rsidRPr="000E286E">
              <w:rPr>
                <w:rFonts w:ascii="Times New Roman" w:hAnsi="Times New Roman"/>
              </w:rPr>
              <w:t>47 (36.7%)</w:t>
            </w:r>
          </w:p>
        </w:tc>
        <w:tc>
          <w:tcPr>
            <w:tcW w:w="0" w:type="auto"/>
            <w:vAlign w:val="center"/>
            <w:hideMark/>
          </w:tcPr>
          <w:p w14:paraId="7B6FE1CD" w14:textId="77777777" w:rsidR="000E286E" w:rsidRPr="000E286E" w:rsidRDefault="000E286E" w:rsidP="000E286E">
            <w:pPr>
              <w:spacing w:after="0"/>
              <w:jc w:val="center"/>
              <w:rPr>
                <w:rFonts w:ascii="Times New Roman" w:hAnsi="Times New Roman"/>
              </w:rPr>
            </w:pPr>
            <w:r w:rsidRPr="000E286E">
              <w:rPr>
                <w:rFonts w:ascii="Times New Roman" w:hAnsi="Times New Roman"/>
              </w:rPr>
              <w:t>4.02</w:t>
            </w:r>
          </w:p>
        </w:tc>
        <w:tc>
          <w:tcPr>
            <w:tcW w:w="0" w:type="auto"/>
            <w:vAlign w:val="center"/>
            <w:hideMark/>
          </w:tcPr>
          <w:p w14:paraId="0E367A40" w14:textId="77777777" w:rsidR="000E286E" w:rsidRPr="000E286E" w:rsidRDefault="000E286E" w:rsidP="000E286E">
            <w:pPr>
              <w:spacing w:after="0"/>
              <w:jc w:val="center"/>
              <w:rPr>
                <w:rFonts w:ascii="Times New Roman" w:hAnsi="Times New Roman"/>
              </w:rPr>
            </w:pPr>
            <w:r w:rsidRPr="000E286E">
              <w:rPr>
                <w:rFonts w:ascii="Times New Roman" w:hAnsi="Times New Roman"/>
              </w:rPr>
              <w:t>1.09</w:t>
            </w:r>
          </w:p>
        </w:tc>
      </w:tr>
      <w:tr w:rsidR="000E286E" w:rsidRPr="000E286E" w14:paraId="4A41D289" w14:textId="77777777" w:rsidTr="00B360B9">
        <w:trPr>
          <w:tblCellSpacing w:w="15" w:type="dxa"/>
        </w:trPr>
        <w:tc>
          <w:tcPr>
            <w:tcW w:w="0" w:type="auto"/>
            <w:vAlign w:val="center"/>
            <w:hideMark/>
          </w:tcPr>
          <w:p w14:paraId="2751E60A" w14:textId="77777777" w:rsidR="000E286E" w:rsidRPr="000E286E" w:rsidRDefault="000E286E" w:rsidP="000E286E">
            <w:pPr>
              <w:spacing w:after="0"/>
              <w:rPr>
                <w:rFonts w:ascii="Times New Roman" w:hAnsi="Times New Roman"/>
              </w:rPr>
            </w:pPr>
            <w:r w:rsidRPr="000E286E">
              <w:rPr>
                <w:rFonts w:ascii="Times New Roman" w:hAnsi="Times New Roman"/>
              </w:rPr>
              <w:t>Competition for political offices frequently sparks local disputes and unrest</w:t>
            </w:r>
          </w:p>
        </w:tc>
        <w:tc>
          <w:tcPr>
            <w:tcW w:w="0" w:type="auto"/>
            <w:vAlign w:val="center"/>
            <w:hideMark/>
          </w:tcPr>
          <w:p w14:paraId="0BF2CC5A" w14:textId="77777777" w:rsidR="000E286E" w:rsidRPr="000E286E" w:rsidRDefault="000E286E" w:rsidP="000E286E">
            <w:pPr>
              <w:spacing w:after="0"/>
              <w:jc w:val="center"/>
              <w:rPr>
                <w:rFonts w:ascii="Times New Roman" w:hAnsi="Times New Roman"/>
              </w:rPr>
            </w:pPr>
            <w:r w:rsidRPr="000E286E">
              <w:rPr>
                <w:rFonts w:ascii="Times New Roman" w:hAnsi="Times New Roman"/>
              </w:rPr>
              <w:t>9 (7.0%)</w:t>
            </w:r>
          </w:p>
        </w:tc>
        <w:tc>
          <w:tcPr>
            <w:tcW w:w="0" w:type="auto"/>
            <w:vAlign w:val="center"/>
            <w:hideMark/>
          </w:tcPr>
          <w:p w14:paraId="7C964D71" w14:textId="77777777" w:rsidR="000E286E" w:rsidRPr="000E286E" w:rsidRDefault="000E286E" w:rsidP="000E286E">
            <w:pPr>
              <w:spacing w:after="0"/>
              <w:jc w:val="center"/>
              <w:rPr>
                <w:rFonts w:ascii="Times New Roman" w:hAnsi="Times New Roman"/>
              </w:rPr>
            </w:pPr>
            <w:r w:rsidRPr="000E286E">
              <w:rPr>
                <w:rFonts w:ascii="Times New Roman" w:hAnsi="Times New Roman"/>
              </w:rPr>
              <w:t>13 (10.2%)</w:t>
            </w:r>
          </w:p>
        </w:tc>
        <w:tc>
          <w:tcPr>
            <w:tcW w:w="0" w:type="auto"/>
            <w:vAlign w:val="center"/>
            <w:hideMark/>
          </w:tcPr>
          <w:p w14:paraId="2D25E376" w14:textId="77777777" w:rsidR="000E286E" w:rsidRPr="000E286E" w:rsidRDefault="000E286E" w:rsidP="000E286E">
            <w:pPr>
              <w:spacing w:after="0"/>
              <w:jc w:val="center"/>
              <w:rPr>
                <w:rFonts w:ascii="Times New Roman" w:hAnsi="Times New Roman"/>
              </w:rPr>
            </w:pPr>
            <w:r w:rsidRPr="000E286E">
              <w:rPr>
                <w:rFonts w:ascii="Times New Roman" w:hAnsi="Times New Roman"/>
              </w:rPr>
              <w:t>12 (9.4%)</w:t>
            </w:r>
          </w:p>
        </w:tc>
        <w:tc>
          <w:tcPr>
            <w:tcW w:w="0" w:type="auto"/>
            <w:vAlign w:val="center"/>
            <w:hideMark/>
          </w:tcPr>
          <w:p w14:paraId="2193DFA4" w14:textId="77777777" w:rsidR="000E286E" w:rsidRPr="000E286E" w:rsidRDefault="000E286E" w:rsidP="000E286E">
            <w:pPr>
              <w:spacing w:after="0"/>
              <w:jc w:val="center"/>
              <w:rPr>
                <w:rFonts w:ascii="Times New Roman" w:hAnsi="Times New Roman"/>
              </w:rPr>
            </w:pPr>
            <w:r w:rsidRPr="000E286E">
              <w:rPr>
                <w:rFonts w:ascii="Times New Roman" w:hAnsi="Times New Roman"/>
              </w:rPr>
              <w:t>48 (37.5%)</w:t>
            </w:r>
          </w:p>
        </w:tc>
        <w:tc>
          <w:tcPr>
            <w:tcW w:w="0" w:type="auto"/>
            <w:vAlign w:val="center"/>
            <w:hideMark/>
          </w:tcPr>
          <w:p w14:paraId="40F74BC7" w14:textId="77777777" w:rsidR="000E286E" w:rsidRPr="000E286E" w:rsidRDefault="000E286E" w:rsidP="000E286E">
            <w:pPr>
              <w:spacing w:after="0"/>
              <w:jc w:val="center"/>
              <w:rPr>
                <w:rFonts w:ascii="Times New Roman" w:hAnsi="Times New Roman"/>
              </w:rPr>
            </w:pPr>
            <w:r w:rsidRPr="000E286E">
              <w:rPr>
                <w:rFonts w:ascii="Times New Roman" w:hAnsi="Times New Roman"/>
              </w:rPr>
              <w:t>46 (35.9%)</w:t>
            </w:r>
          </w:p>
        </w:tc>
        <w:tc>
          <w:tcPr>
            <w:tcW w:w="0" w:type="auto"/>
            <w:vAlign w:val="center"/>
            <w:hideMark/>
          </w:tcPr>
          <w:p w14:paraId="6A22E9C8" w14:textId="77777777" w:rsidR="000E286E" w:rsidRPr="000E286E" w:rsidRDefault="000E286E" w:rsidP="000E286E">
            <w:pPr>
              <w:spacing w:after="0"/>
              <w:jc w:val="center"/>
              <w:rPr>
                <w:rFonts w:ascii="Times New Roman" w:hAnsi="Times New Roman"/>
              </w:rPr>
            </w:pPr>
            <w:r w:rsidRPr="000E286E">
              <w:rPr>
                <w:rFonts w:ascii="Times New Roman" w:hAnsi="Times New Roman"/>
              </w:rPr>
              <w:t>4.04</w:t>
            </w:r>
          </w:p>
        </w:tc>
        <w:tc>
          <w:tcPr>
            <w:tcW w:w="0" w:type="auto"/>
            <w:vAlign w:val="center"/>
            <w:hideMark/>
          </w:tcPr>
          <w:p w14:paraId="586F8B5A" w14:textId="77777777" w:rsidR="000E286E" w:rsidRPr="000E286E" w:rsidRDefault="000E286E" w:rsidP="000E286E">
            <w:pPr>
              <w:spacing w:after="0"/>
              <w:jc w:val="center"/>
              <w:rPr>
                <w:rFonts w:ascii="Times New Roman" w:hAnsi="Times New Roman"/>
              </w:rPr>
            </w:pPr>
            <w:r w:rsidRPr="000E286E">
              <w:rPr>
                <w:rFonts w:ascii="Times New Roman" w:hAnsi="Times New Roman"/>
              </w:rPr>
              <w:t>1.07</w:t>
            </w:r>
          </w:p>
        </w:tc>
      </w:tr>
      <w:tr w:rsidR="000E286E" w:rsidRPr="000E286E" w14:paraId="5A019EE9" w14:textId="77777777" w:rsidTr="00B360B9">
        <w:trPr>
          <w:tblCellSpacing w:w="15" w:type="dxa"/>
        </w:trPr>
        <w:tc>
          <w:tcPr>
            <w:tcW w:w="0" w:type="auto"/>
            <w:vAlign w:val="center"/>
            <w:hideMark/>
          </w:tcPr>
          <w:p w14:paraId="5A36BF9D" w14:textId="77777777" w:rsidR="000E286E" w:rsidRPr="000E286E" w:rsidRDefault="000E286E" w:rsidP="000E286E">
            <w:pPr>
              <w:spacing w:after="0"/>
              <w:rPr>
                <w:rFonts w:ascii="Times New Roman" w:hAnsi="Times New Roman"/>
              </w:rPr>
            </w:pPr>
            <w:r w:rsidRPr="000E286E">
              <w:rPr>
                <w:rFonts w:ascii="Times New Roman" w:hAnsi="Times New Roman"/>
              </w:rPr>
              <w:t>Unequal representation in decision-making bodies undermines public trust</w:t>
            </w:r>
          </w:p>
        </w:tc>
        <w:tc>
          <w:tcPr>
            <w:tcW w:w="0" w:type="auto"/>
            <w:vAlign w:val="center"/>
            <w:hideMark/>
          </w:tcPr>
          <w:p w14:paraId="0161CED1" w14:textId="77777777" w:rsidR="000E286E" w:rsidRPr="000E286E" w:rsidRDefault="000E286E" w:rsidP="000E286E">
            <w:pPr>
              <w:spacing w:after="0"/>
              <w:jc w:val="center"/>
              <w:rPr>
                <w:rFonts w:ascii="Times New Roman" w:hAnsi="Times New Roman"/>
              </w:rPr>
            </w:pPr>
            <w:r w:rsidRPr="000E286E">
              <w:rPr>
                <w:rFonts w:ascii="Times New Roman" w:hAnsi="Times New Roman"/>
              </w:rPr>
              <w:t>11 (8.6%)</w:t>
            </w:r>
          </w:p>
        </w:tc>
        <w:tc>
          <w:tcPr>
            <w:tcW w:w="0" w:type="auto"/>
            <w:vAlign w:val="center"/>
            <w:hideMark/>
          </w:tcPr>
          <w:p w14:paraId="2047E72B" w14:textId="77777777" w:rsidR="000E286E" w:rsidRPr="000E286E" w:rsidRDefault="000E286E" w:rsidP="000E286E">
            <w:pPr>
              <w:spacing w:after="0"/>
              <w:jc w:val="center"/>
              <w:rPr>
                <w:rFonts w:ascii="Times New Roman" w:hAnsi="Times New Roman"/>
              </w:rPr>
            </w:pPr>
            <w:r w:rsidRPr="000E286E">
              <w:rPr>
                <w:rFonts w:ascii="Times New Roman" w:hAnsi="Times New Roman"/>
              </w:rPr>
              <w:t>12 (9.4%)</w:t>
            </w:r>
          </w:p>
        </w:tc>
        <w:tc>
          <w:tcPr>
            <w:tcW w:w="0" w:type="auto"/>
            <w:vAlign w:val="center"/>
            <w:hideMark/>
          </w:tcPr>
          <w:p w14:paraId="017C1BCA" w14:textId="77777777" w:rsidR="000E286E" w:rsidRPr="000E286E" w:rsidRDefault="000E286E" w:rsidP="000E286E">
            <w:pPr>
              <w:spacing w:after="0"/>
              <w:jc w:val="center"/>
              <w:rPr>
                <w:rFonts w:ascii="Times New Roman" w:hAnsi="Times New Roman"/>
              </w:rPr>
            </w:pPr>
            <w:r w:rsidRPr="000E286E">
              <w:rPr>
                <w:rFonts w:ascii="Times New Roman" w:hAnsi="Times New Roman"/>
              </w:rPr>
              <w:t>13 (10.2%)</w:t>
            </w:r>
          </w:p>
        </w:tc>
        <w:tc>
          <w:tcPr>
            <w:tcW w:w="0" w:type="auto"/>
            <w:vAlign w:val="center"/>
            <w:hideMark/>
          </w:tcPr>
          <w:p w14:paraId="1142D815" w14:textId="77777777" w:rsidR="000E286E" w:rsidRPr="000E286E" w:rsidRDefault="000E286E" w:rsidP="000E286E">
            <w:pPr>
              <w:spacing w:after="0"/>
              <w:jc w:val="center"/>
              <w:rPr>
                <w:rFonts w:ascii="Times New Roman" w:hAnsi="Times New Roman"/>
              </w:rPr>
            </w:pPr>
            <w:r w:rsidRPr="000E286E">
              <w:rPr>
                <w:rFonts w:ascii="Times New Roman" w:hAnsi="Times New Roman"/>
              </w:rPr>
              <w:t>46 (35.9%)</w:t>
            </w:r>
          </w:p>
        </w:tc>
        <w:tc>
          <w:tcPr>
            <w:tcW w:w="0" w:type="auto"/>
            <w:vAlign w:val="center"/>
            <w:hideMark/>
          </w:tcPr>
          <w:p w14:paraId="4C686898" w14:textId="77777777" w:rsidR="000E286E" w:rsidRPr="000E286E" w:rsidRDefault="000E286E" w:rsidP="000E286E">
            <w:pPr>
              <w:spacing w:after="0"/>
              <w:jc w:val="center"/>
              <w:rPr>
                <w:rFonts w:ascii="Times New Roman" w:hAnsi="Times New Roman"/>
              </w:rPr>
            </w:pPr>
            <w:r w:rsidRPr="000E286E">
              <w:rPr>
                <w:rFonts w:ascii="Times New Roman" w:hAnsi="Times New Roman"/>
              </w:rPr>
              <w:t>46 (35.9%)</w:t>
            </w:r>
          </w:p>
        </w:tc>
        <w:tc>
          <w:tcPr>
            <w:tcW w:w="0" w:type="auto"/>
            <w:vAlign w:val="center"/>
            <w:hideMark/>
          </w:tcPr>
          <w:p w14:paraId="5C817D70" w14:textId="77777777" w:rsidR="000E286E" w:rsidRPr="000E286E" w:rsidRDefault="000E286E" w:rsidP="000E286E">
            <w:pPr>
              <w:spacing w:after="0"/>
              <w:jc w:val="center"/>
              <w:rPr>
                <w:rFonts w:ascii="Times New Roman" w:hAnsi="Times New Roman"/>
              </w:rPr>
            </w:pPr>
            <w:r w:rsidRPr="000E286E">
              <w:rPr>
                <w:rFonts w:ascii="Times New Roman" w:hAnsi="Times New Roman"/>
              </w:rPr>
              <w:t>4.00</w:t>
            </w:r>
          </w:p>
        </w:tc>
        <w:tc>
          <w:tcPr>
            <w:tcW w:w="0" w:type="auto"/>
            <w:vAlign w:val="center"/>
            <w:hideMark/>
          </w:tcPr>
          <w:p w14:paraId="6EB612F1" w14:textId="77777777" w:rsidR="000E286E" w:rsidRPr="000E286E" w:rsidRDefault="000E286E" w:rsidP="000E286E">
            <w:pPr>
              <w:spacing w:after="0"/>
              <w:jc w:val="center"/>
              <w:rPr>
                <w:rFonts w:ascii="Times New Roman" w:hAnsi="Times New Roman"/>
              </w:rPr>
            </w:pPr>
            <w:r w:rsidRPr="000E286E">
              <w:rPr>
                <w:rFonts w:ascii="Times New Roman" w:hAnsi="Times New Roman"/>
              </w:rPr>
              <w:t>1.09</w:t>
            </w:r>
          </w:p>
        </w:tc>
      </w:tr>
      <w:tr w:rsidR="000E286E" w:rsidRPr="000E286E" w14:paraId="2C9F7B9D" w14:textId="77777777" w:rsidTr="00B360B9">
        <w:trPr>
          <w:tblCellSpacing w:w="15" w:type="dxa"/>
        </w:trPr>
        <w:tc>
          <w:tcPr>
            <w:tcW w:w="0" w:type="auto"/>
            <w:vAlign w:val="center"/>
            <w:hideMark/>
          </w:tcPr>
          <w:p w14:paraId="0B3A3820" w14:textId="77777777" w:rsidR="000E286E" w:rsidRPr="000E286E" w:rsidRDefault="000E286E" w:rsidP="000E286E">
            <w:pPr>
              <w:spacing w:after="0"/>
              <w:rPr>
                <w:rFonts w:ascii="Times New Roman" w:hAnsi="Times New Roman"/>
              </w:rPr>
            </w:pPr>
            <w:r w:rsidRPr="000E286E">
              <w:rPr>
                <w:rFonts w:ascii="Times New Roman" w:hAnsi="Times New Roman"/>
              </w:rPr>
              <w:t>Power concentration affects equitable allocation of state resources</w:t>
            </w:r>
          </w:p>
        </w:tc>
        <w:tc>
          <w:tcPr>
            <w:tcW w:w="0" w:type="auto"/>
            <w:vAlign w:val="center"/>
            <w:hideMark/>
          </w:tcPr>
          <w:p w14:paraId="5387D12E" w14:textId="77777777" w:rsidR="000E286E" w:rsidRPr="000E286E" w:rsidRDefault="000E286E" w:rsidP="000E286E">
            <w:pPr>
              <w:spacing w:after="0"/>
              <w:jc w:val="center"/>
              <w:rPr>
                <w:rFonts w:ascii="Times New Roman" w:hAnsi="Times New Roman"/>
              </w:rPr>
            </w:pPr>
            <w:r w:rsidRPr="000E286E">
              <w:rPr>
                <w:rFonts w:ascii="Times New Roman" w:hAnsi="Times New Roman"/>
              </w:rPr>
              <w:t>8 (6.3%)</w:t>
            </w:r>
          </w:p>
        </w:tc>
        <w:tc>
          <w:tcPr>
            <w:tcW w:w="0" w:type="auto"/>
            <w:vAlign w:val="center"/>
            <w:hideMark/>
          </w:tcPr>
          <w:p w14:paraId="1C70BC56" w14:textId="77777777" w:rsidR="000E286E" w:rsidRPr="000E286E" w:rsidRDefault="000E286E" w:rsidP="000E286E">
            <w:pPr>
              <w:spacing w:after="0"/>
              <w:jc w:val="center"/>
              <w:rPr>
                <w:rFonts w:ascii="Times New Roman" w:hAnsi="Times New Roman"/>
              </w:rPr>
            </w:pPr>
            <w:r w:rsidRPr="000E286E">
              <w:rPr>
                <w:rFonts w:ascii="Times New Roman" w:hAnsi="Times New Roman"/>
              </w:rPr>
              <w:t>11 (8.6%)</w:t>
            </w:r>
          </w:p>
        </w:tc>
        <w:tc>
          <w:tcPr>
            <w:tcW w:w="0" w:type="auto"/>
            <w:vAlign w:val="center"/>
            <w:hideMark/>
          </w:tcPr>
          <w:p w14:paraId="2BF5F4ED" w14:textId="77777777" w:rsidR="000E286E" w:rsidRPr="000E286E" w:rsidRDefault="000E286E" w:rsidP="000E286E">
            <w:pPr>
              <w:spacing w:after="0"/>
              <w:jc w:val="center"/>
              <w:rPr>
                <w:rFonts w:ascii="Times New Roman" w:hAnsi="Times New Roman"/>
              </w:rPr>
            </w:pPr>
            <w:r w:rsidRPr="000E286E">
              <w:rPr>
                <w:rFonts w:ascii="Times New Roman" w:hAnsi="Times New Roman"/>
              </w:rPr>
              <w:t>13 (10.2%)</w:t>
            </w:r>
          </w:p>
        </w:tc>
        <w:tc>
          <w:tcPr>
            <w:tcW w:w="0" w:type="auto"/>
            <w:vAlign w:val="center"/>
            <w:hideMark/>
          </w:tcPr>
          <w:p w14:paraId="15C1FF18" w14:textId="77777777" w:rsidR="000E286E" w:rsidRPr="000E286E" w:rsidRDefault="000E286E" w:rsidP="000E286E">
            <w:pPr>
              <w:spacing w:after="0"/>
              <w:jc w:val="center"/>
              <w:rPr>
                <w:rFonts w:ascii="Times New Roman" w:hAnsi="Times New Roman"/>
              </w:rPr>
            </w:pPr>
            <w:r w:rsidRPr="000E286E">
              <w:rPr>
                <w:rFonts w:ascii="Times New Roman" w:hAnsi="Times New Roman"/>
              </w:rPr>
              <w:t>50 (39.1%)</w:t>
            </w:r>
          </w:p>
        </w:tc>
        <w:tc>
          <w:tcPr>
            <w:tcW w:w="0" w:type="auto"/>
            <w:vAlign w:val="center"/>
            <w:hideMark/>
          </w:tcPr>
          <w:p w14:paraId="4E63EAC6" w14:textId="77777777" w:rsidR="000E286E" w:rsidRPr="000E286E" w:rsidRDefault="000E286E" w:rsidP="000E286E">
            <w:pPr>
              <w:spacing w:after="0"/>
              <w:jc w:val="center"/>
              <w:rPr>
                <w:rFonts w:ascii="Times New Roman" w:hAnsi="Times New Roman"/>
              </w:rPr>
            </w:pPr>
            <w:r w:rsidRPr="000E286E">
              <w:rPr>
                <w:rFonts w:ascii="Times New Roman" w:hAnsi="Times New Roman"/>
              </w:rPr>
              <w:t>46 (35.9%)</w:t>
            </w:r>
          </w:p>
        </w:tc>
        <w:tc>
          <w:tcPr>
            <w:tcW w:w="0" w:type="auto"/>
            <w:vAlign w:val="center"/>
            <w:hideMark/>
          </w:tcPr>
          <w:p w14:paraId="6A328A77" w14:textId="77777777" w:rsidR="000E286E" w:rsidRPr="000E286E" w:rsidRDefault="000E286E" w:rsidP="000E286E">
            <w:pPr>
              <w:spacing w:after="0"/>
              <w:jc w:val="center"/>
              <w:rPr>
                <w:rFonts w:ascii="Times New Roman" w:hAnsi="Times New Roman"/>
              </w:rPr>
            </w:pPr>
            <w:r w:rsidRPr="000E286E">
              <w:rPr>
                <w:rFonts w:ascii="Times New Roman" w:hAnsi="Times New Roman"/>
              </w:rPr>
              <w:t>4.06</w:t>
            </w:r>
          </w:p>
        </w:tc>
        <w:tc>
          <w:tcPr>
            <w:tcW w:w="0" w:type="auto"/>
            <w:vAlign w:val="center"/>
            <w:hideMark/>
          </w:tcPr>
          <w:p w14:paraId="2FF6DD95" w14:textId="77777777" w:rsidR="000E286E" w:rsidRPr="000E286E" w:rsidRDefault="000E286E" w:rsidP="000E286E">
            <w:pPr>
              <w:spacing w:after="0"/>
              <w:jc w:val="center"/>
              <w:rPr>
                <w:rFonts w:ascii="Times New Roman" w:hAnsi="Times New Roman"/>
              </w:rPr>
            </w:pPr>
            <w:r w:rsidRPr="000E286E">
              <w:rPr>
                <w:rFonts w:ascii="Times New Roman" w:hAnsi="Times New Roman"/>
              </w:rPr>
              <w:t>1.05</w:t>
            </w:r>
          </w:p>
        </w:tc>
      </w:tr>
      <w:tr w:rsidR="000E286E" w:rsidRPr="000E286E" w14:paraId="62E3419A" w14:textId="77777777" w:rsidTr="00B360B9">
        <w:trPr>
          <w:tblCellSpacing w:w="15" w:type="dxa"/>
        </w:trPr>
        <w:tc>
          <w:tcPr>
            <w:tcW w:w="0" w:type="auto"/>
            <w:vAlign w:val="center"/>
            <w:hideMark/>
          </w:tcPr>
          <w:p w14:paraId="7D5611BE" w14:textId="77777777" w:rsidR="000E286E" w:rsidRPr="000E286E" w:rsidRDefault="000E286E" w:rsidP="000E286E">
            <w:pPr>
              <w:spacing w:after="0"/>
              <w:rPr>
                <w:rFonts w:ascii="Times New Roman" w:hAnsi="Times New Roman"/>
              </w:rPr>
            </w:pPr>
            <w:r w:rsidRPr="000E286E">
              <w:rPr>
                <w:rFonts w:ascii="Times New Roman" w:hAnsi="Times New Roman"/>
              </w:rPr>
              <w:t>Political favoritism reinforces ethnic divisions and hinders collaborative governance</w:t>
            </w:r>
          </w:p>
        </w:tc>
        <w:tc>
          <w:tcPr>
            <w:tcW w:w="0" w:type="auto"/>
            <w:vAlign w:val="center"/>
            <w:hideMark/>
          </w:tcPr>
          <w:p w14:paraId="69F3B2D0" w14:textId="77777777" w:rsidR="000E286E" w:rsidRPr="000E286E" w:rsidRDefault="000E286E" w:rsidP="000E286E">
            <w:pPr>
              <w:spacing w:after="0"/>
              <w:jc w:val="center"/>
              <w:rPr>
                <w:rFonts w:ascii="Times New Roman" w:hAnsi="Times New Roman"/>
              </w:rPr>
            </w:pPr>
            <w:r w:rsidRPr="000E286E">
              <w:rPr>
                <w:rFonts w:ascii="Times New Roman" w:hAnsi="Times New Roman"/>
              </w:rPr>
              <w:t>10 (7.8%)</w:t>
            </w:r>
          </w:p>
        </w:tc>
        <w:tc>
          <w:tcPr>
            <w:tcW w:w="0" w:type="auto"/>
            <w:vAlign w:val="center"/>
            <w:hideMark/>
          </w:tcPr>
          <w:p w14:paraId="451FBB17" w14:textId="77777777" w:rsidR="000E286E" w:rsidRPr="000E286E" w:rsidRDefault="000E286E" w:rsidP="000E286E">
            <w:pPr>
              <w:spacing w:after="0"/>
              <w:jc w:val="center"/>
              <w:rPr>
                <w:rFonts w:ascii="Times New Roman" w:hAnsi="Times New Roman"/>
              </w:rPr>
            </w:pPr>
            <w:r w:rsidRPr="000E286E">
              <w:rPr>
                <w:rFonts w:ascii="Times New Roman" w:hAnsi="Times New Roman"/>
              </w:rPr>
              <w:t>12 (9.4%)</w:t>
            </w:r>
          </w:p>
        </w:tc>
        <w:tc>
          <w:tcPr>
            <w:tcW w:w="0" w:type="auto"/>
            <w:vAlign w:val="center"/>
            <w:hideMark/>
          </w:tcPr>
          <w:p w14:paraId="6D593FEA" w14:textId="77777777" w:rsidR="000E286E" w:rsidRPr="000E286E" w:rsidRDefault="000E286E" w:rsidP="000E286E">
            <w:pPr>
              <w:spacing w:after="0"/>
              <w:jc w:val="center"/>
              <w:rPr>
                <w:rFonts w:ascii="Times New Roman" w:hAnsi="Times New Roman"/>
              </w:rPr>
            </w:pPr>
            <w:r w:rsidRPr="000E286E">
              <w:rPr>
                <w:rFonts w:ascii="Times New Roman" w:hAnsi="Times New Roman"/>
              </w:rPr>
              <w:t>12 (9.4%)</w:t>
            </w:r>
          </w:p>
        </w:tc>
        <w:tc>
          <w:tcPr>
            <w:tcW w:w="0" w:type="auto"/>
            <w:vAlign w:val="center"/>
            <w:hideMark/>
          </w:tcPr>
          <w:p w14:paraId="13F5D6B1" w14:textId="77777777" w:rsidR="000E286E" w:rsidRPr="000E286E" w:rsidRDefault="000E286E" w:rsidP="000E286E">
            <w:pPr>
              <w:spacing w:after="0"/>
              <w:jc w:val="center"/>
              <w:rPr>
                <w:rFonts w:ascii="Times New Roman" w:hAnsi="Times New Roman"/>
              </w:rPr>
            </w:pPr>
            <w:r w:rsidRPr="000E286E">
              <w:rPr>
                <w:rFonts w:ascii="Times New Roman" w:hAnsi="Times New Roman"/>
              </w:rPr>
              <w:t>48 (37.5%)</w:t>
            </w:r>
          </w:p>
        </w:tc>
        <w:tc>
          <w:tcPr>
            <w:tcW w:w="0" w:type="auto"/>
            <w:vAlign w:val="center"/>
            <w:hideMark/>
          </w:tcPr>
          <w:p w14:paraId="593A0051" w14:textId="77777777" w:rsidR="000E286E" w:rsidRPr="000E286E" w:rsidRDefault="000E286E" w:rsidP="000E286E">
            <w:pPr>
              <w:spacing w:after="0"/>
              <w:jc w:val="center"/>
              <w:rPr>
                <w:rFonts w:ascii="Times New Roman" w:hAnsi="Times New Roman"/>
              </w:rPr>
            </w:pPr>
            <w:r w:rsidRPr="000E286E">
              <w:rPr>
                <w:rFonts w:ascii="Times New Roman" w:hAnsi="Times New Roman"/>
              </w:rPr>
              <w:t>46 (35.9%)</w:t>
            </w:r>
          </w:p>
        </w:tc>
        <w:tc>
          <w:tcPr>
            <w:tcW w:w="0" w:type="auto"/>
            <w:vAlign w:val="center"/>
            <w:hideMark/>
          </w:tcPr>
          <w:p w14:paraId="212B1039" w14:textId="77777777" w:rsidR="000E286E" w:rsidRPr="000E286E" w:rsidRDefault="000E286E" w:rsidP="000E286E">
            <w:pPr>
              <w:spacing w:after="0"/>
              <w:jc w:val="center"/>
              <w:rPr>
                <w:rFonts w:ascii="Times New Roman" w:hAnsi="Times New Roman"/>
              </w:rPr>
            </w:pPr>
            <w:r w:rsidRPr="000E286E">
              <w:rPr>
                <w:rFonts w:ascii="Times New Roman" w:hAnsi="Times New Roman"/>
              </w:rPr>
              <w:t>4.03</w:t>
            </w:r>
          </w:p>
        </w:tc>
        <w:tc>
          <w:tcPr>
            <w:tcW w:w="0" w:type="auto"/>
            <w:vAlign w:val="center"/>
            <w:hideMark/>
          </w:tcPr>
          <w:p w14:paraId="0C1A2AA9" w14:textId="77777777" w:rsidR="000E286E" w:rsidRPr="000E286E" w:rsidRDefault="000E286E" w:rsidP="000E286E">
            <w:pPr>
              <w:spacing w:after="0"/>
              <w:jc w:val="center"/>
              <w:rPr>
                <w:rFonts w:ascii="Times New Roman" w:hAnsi="Times New Roman"/>
              </w:rPr>
            </w:pPr>
            <w:r w:rsidRPr="000E286E">
              <w:rPr>
                <w:rFonts w:ascii="Times New Roman" w:hAnsi="Times New Roman"/>
              </w:rPr>
              <w:t>1.08</w:t>
            </w:r>
          </w:p>
        </w:tc>
      </w:tr>
      <w:tr w:rsidR="000E286E" w:rsidRPr="000E286E" w14:paraId="43ECB752" w14:textId="77777777" w:rsidTr="00B360B9">
        <w:trPr>
          <w:tblCellSpacing w:w="15" w:type="dxa"/>
        </w:trPr>
        <w:tc>
          <w:tcPr>
            <w:tcW w:w="0" w:type="auto"/>
            <w:tcBorders>
              <w:bottom w:val="single" w:sz="4" w:space="0" w:color="auto"/>
            </w:tcBorders>
            <w:vAlign w:val="center"/>
            <w:hideMark/>
          </w:tcPr>
          <w:p w14:paraId="4358913A" w14:textId="77777777" w:rsidR="000E286E" w:rsidRPr="000E286E" w:rsidRDefault="000E286E" w:rsidP="000E286E">
            <w:pPr>
              <w:spacing w:after="0"/>
              <w:rPr>
                <w:rFonts w:ascii="Times New Roman" w:hAnsi="Times New Roman"/>
              </w:rPr>
            </w:pPr>
            <w:r w:rsidRPr="000E286E">
              <w:rPr>
                <w:rFonts w:ascii="Times New Roman" w:hAnsi="Times New Roman"/>
                <w:b/>
                <w:bCs/>
              </w:rPr>
              <w:t>Average Mean and STD</w:t>
            </w:r>
          </w:p>
        </w:tc>
        <w:tc>
          <w:tcPr>
            <w:tcW w:w="0" w:type="auto"/>
            <w:tcBorders>
              <w:bottom w:val="single" w:sz="4" w:space="0" w:color="auto"/>
            </w:tcBorders>
            <w:vAlign w:val="center"/>
            <w:hideMark/>
          </w:tcPr>
          <w:p w14:paraId="37C84792" w14:textId="77777777" w:rsidR="000E286E" w:rsidRPr="000E286E" w:rsidRDefault="000E286E" w:rsidP="000E286E">
            <w:pPr>
              <w:spacing w:after="0"/>
              <w:jc w:val="center"/>
              <w:rPr>
                <w:rFonts w:ascii="Times New Roman" w:hAnsi="Times New Roman"/>
              </w:rPr>
            </w:pPr>
          </w:p>
        </w:tc>
        <w:tc>
          <w:tcPr>
            <w:tcW w:w="0" w:type="auto"/>
            <w:tcBorders>
              <w:bottom w:val="single" w:sz="4" w:space="0" w:color="auto"/>
            </w:tcBorders>
            <w:vAlign w:val="center"/>
            <w:hideMark/>
          </w:tcPr>
          <w:p w14:paraId="196E7C4A" w14:textId="77777777" w:rsidR="000E286E" w:rsidRPr="000E286E" w:rsidRDefault="000E286E" w:rsidP="000E286E">
            <w:pPr>
              <w:spacing w:after="0"/>
              <w:jc w:val="center"/>
              <w:rPr>
                <w:rFonts w:ascii="Times New Roman" w:hAnsi="Times New Roman"/>
              </w:rPr>
            </w:pPr>
          </w:p>
        </w:tc>
        <w:tc>
          <w:tcPr>
            <w:tcW w:w="0" w:type="auto"/>
            <w:tcBorders>
              <w:bottom w:val="single" w:sz="4" w:space="0" w:color="auto"/>
            </w:tcBorders>
            <w:vAlign w:val="center"/>
            <w:hideMark/>
          </w:tcPr>
          <w:p w14:paraId="3EA2EAF7" w14:textId="77777777" w:rsidR="000E286E" w:rsidRPr="000E286E" w:rsidRDefault="000E286E" w:rsidP="000E286E">
            <w:pPr>
              <w:spacing w:after="0"/>
              <w:jc w:val="center"/>
              <w:rPr>
                <w:rFonts w:ascii="Times New Roman" w:hAnsi="Times New Roman"/>
              </w:rPr>
            </w:pPr>
          </w:p>
        </w:tc>
        <w:tc>
          <w:tcPr>
            <w:tcW w:w="0" w:type="auto"/>
            <w:tcBorders>
              <w:bottom w:val="single" w:sz="4" w:space="0" w:color="auto"/>
            </w:tcBorders>
            <w:vAlign w:val="center"/>
            <w:hideMark/>
          </w:tcPr>
          <w:p w14:paraId="0B1CD588" w14:textId="77777777" w:rsidR="000E286E" w:rsidRPr="000E286E" w:rsidRDefault="000E286E" w:rsidP="000E286E">
            <w:pPr>
              <w:spacing w:after="0"/>
              <w:jc w:val="center"/>
              <w:rPr>
                <w:rFonts w:ascii="Times New Roman" w:hAnsi="Times New Roman"/>
              </w:rPr>
            </w:pPr>
          </w:p>
        </w:tc>
        <w:tc>
          <w:tcPr>
            <w:tcW w:w="0" w:type="auto"/>
            <w:tcBorders>
              <w:bottom w:val="single" w:sz="4" w:space="0" w:color="auto"/>
            </w:tcBorders>
            <w:vAlign w:val="center"/>
            <w:hideMark/>
          </w:tcPr>
          <w:p w14:paraId="6C38870A" w14:textId="77777777" w:rsidR="000E286E" w:rsidRPr="000E286E" w:rsidRDefault="000E286E" w:rsidP="000E286E">
            <w:pPr>
              <w:spacing w:after="0"/>
              <w:jc w:val="center"/>
              <w:rPr>
                <w:rFonts w:ascii="Times New Roman" w:hAnsi="Times New Roman"/>
              </w:rPr>
            </w:pPr>
          </w:p>
        </w:tc>
        <w:tc>
          <w:tcPr>
            <w:tcW w:w="0" w:type="auto"/>
            <w:tcBorders>
              <w:bottom w:val="single" w:sz="4" w:space="0" w:color="auto"/>
            </w:tcBorders>
            <w:vAlign w:val="center"/>
            <w:hideMark/>
          </w:tcPr>
          <w:p w14:paraId="4FA17328" w14:textId="77777777" w:rsidR="000E286E" w:rsidRPr="000E286E" w:rsidRDefault="000E286E" w:rsidP="000E286E">
            <w:pPr>
              <w:spacing w:after="0"/>
              <w:jc w:val="center"/>
              <w:rPr>
                <w:rFonts w:ascii="Times New Roman" w:hAnsi="Times New Roman"/>
              </w:rPr>
            </w:pPr>
            <w:r w:rsidRPr="000E286E">
              <w:rPr>
                <w:rFonts w:ascii="Times New Roman" w:hAnsi="Times New Roman"/>
                <w:b/>
                <w:bCs/>
              </w:rPr>
              <w:t>4.03</w:t>
            </w:r>
          </w:p>
        </w:tc>
        <w:tc>
          <w:tcPr>
            <w:tcW w:w="0" w:type="auto"/>
            <w:tcBorders>
              <w:bottom w:val="single" w:sz="4" w:space="0" w:color="auto"/>
            </w:tcBorders>
            <w:vAlign w:val="center"/>
            <w:hideMark/>
          </w:tcPr>
          <w:p w14:paraId="7FCBAE5A" w14:textId="77777777" w:rsidR="000E286E" w:rsidRPr="000E286E" w:rsidRDefault="000E286E" w:rsidP="000E286E">
            <w:pPr>
              <w:spacing w:after="0"/>
              <w:jc w:val="center"/>
              <w:rPr>
                <w:rFonts w:ascii="Times New Roman" w:hAnsi="Times New Roman"/>
              </w:rPr>
            </w:pPr>
            <w:r w:rsidRPr="000E286E">
              <w:rPr>
                <w:rFonts w:ascii="Times New Roman" w:hAnsi="Times New Roman"/>
                <w:b/>
                <w:bCs/>
              </w:rPr>
              <w:t>1.08</w:t>
            </w:r>
          </w:p>
        </w:tc>
      </w:tr>
    </w:tbl>
    <w:p w14:paraId="6B418BBE" w14:textId="77777777" w:rsidR="0035396A" w:rsidRPr="005E7ADF" w:rsidRDefault="0035396A" w:rsidP="004C661A">
      <w:pPr>
        <w:spacing w:after="100" w:afterAutospacing="1" w:line="240" w:lineRule="auto"/>
        <w:rPr>
          <w:rFonts w:ascii="Times New Roman" w:hAnsi="Times New Roman"/>
          <w:i/>
        </w:rPr>
      </w:pPr>
      <w:r w:rsidRPr="005E7ADF">
        <w:rPr>
          <w:rFonts w:ascii="Times New Roman" w:hAnsi="Times New Roman"/>
          <w:b/>
          <w:bCs/>
          <w:i/>
        </w:rPr>
        <w:t>Source:</w:t>
      </w:r>
      <w:r w:rsidRPr="005E7ADF">
        <w:rPr>
          <w:rFonts w:ascii="Times New Roman" w:hAnsi="Times New Roman"/>
          <w:i/>
        </w:rPr>
        <w:t xml:space="preserve"> Primary Data, 2025</w:t>
      </w:r>
    </w:p>
    <w:p w14:paraId="4C9AF8C0" w14:textId="77777777" w:rsidR="00390E60" w:rsidRPr="005E7ADF" w:rsidRDefault="00390E60" w:rsidP="004C661A">
      <w:pPr>
        <w:spacing w:before="240" w:line="240" w:lineRule="auto"/>
        <w:jc w:val="both"/>
        <w:rPr>
          <w:rFonts w:ascii="Times New Roman" w:hAnsi="Times New Roman"/>
          <w:b/>
        </w:rPr>
      </w:pPr>
      <w:r w:rsidRPr="005E7ADF">
        <w:rPr>
          <w:rFonts w:ascii="Times New Roman" w:hAnsi="Times New Roman"/>
          <w:b/>
        </w:rPr>
        <w:t xml:space="preserve">Legend </w:t>
      </w:r>
    </w:p>
    <w:tbl>
      <w:tblPr>
        <w:tblW w:w="0" w:type="auto"/>
        <w:tblInd w:w="-142" w:type="dxa"/>
        <w:tblLook w:val="04A0" w:firstRow="1" w:lastRow="0" w:firstColumn="1" w:lastColumn="0" w:noHBand="0" w:noVBand="1"/>
      </w:tblPr>
      <w:tblGrid>
        <w:gridCol w:w="1026"/>
        <w:gridCol w:w="1648"/>
        <w:gridCol w:w="2703"/>
        <w:gridCol w:w="2610"/>
      </w:tblGrid>
      <w:tr w:rsidR="00F57253" w:rsidRPr="005E7ADF" w14:paraId="6D24B190" w14:textId="77777777" w:rsidTr="00F57253">
        <w:trPr>
          <w:trHeight w:val="287"/>
        </w:trPr>
        <w:tc>
          <w:tcPr>
            <w:tcW w:w="1026" w:type="dxa"/>
            <w:tcBorders>
              <w:top w:val="single" w:sz="4" w:space="0" w:color="auto"/>
              <w:bottom w:val="single" w:sz="4" w:space="0" w:color="auto"/>
            </w:tcBorders>
          </w:tcPr>
          <w:p w14:paraId="7045B9FC" w14:textId="77777777" w:rsidR="00F57253" w:rsidRPr="005E7ADF" w:rsidRDefault="00F57253" w:rsidP="004C661A">
            <w:pPr>
              <w:spacing w:after="0" w:line="240" w:lineRule="auto"/>
              <w:jc w:val="both"/>
              <w:rPr>
                <w:rFonts w:ascii="Times New Roman" w:hAnsi="Times New Roman"/>
                <w:b/>
                <w:bCs/>
              </w:rPr>
            </w:pPr>
            <w:r w:rsidRPr="005E7ADF">
              <w:rPr>
                <w:rFonts w:ascii="Times New Roman" w:hAnsi="Times New Roman"/>
                <w:b/>
                <w:bCs/>
              </w:rPr>
              <w:t>Range</w:t>
            </w:r>
          </w:p>
        </w:tc>
        <w:tc>
          <w:tcPr>
            <w:tcW w:w="1648" w:type="dxa"/>
            <w:tcBorders>
              <w:top w:val="single" w:sz="4" w:space="0" w:color="auto"/>
              <w:bottom w:val="single" w:sz="4" w:space="0" w:color="auto"/>
            </w:tcBorders>
          </w:tcPr>
          <w:p w14:paraId="3DFCE964" w14:textId="77777777" w:rsidR="00F57253" w:rsidRPr="005E7ADF" w:rsidRDefault="00F57253" w:rsidP="004C661A">
            <w:pPr>
              <w:spacing w:after="0" w:line="240" w:lineRule="auto"/>
              <w:jc w:val="both"/>
              <w:rPr>
                <w:rFonts w:ascii="Times New Roman" w:hAnsi="Times New Roman"/>
                <w:b/>
                <w:bCs/>
              </w:rPr>
            </w:pPr>
            <w:r w:rsidRPr="005E7ADF">
              <w:rPr>
                <w:rFonts w:ascii="Times New Roman" w:hAnsi="Times New Roman"/>
                <w:b/>
                <w:bCs/>
              </w:rPr>
              <w:t>Mean range</w:t>
            </w:r>
          </w:p>
        </w:tc>
        <w:tc>
          <w:tcPr>
            <w:tcW w:w="2703" w:type="dxa"/>
            <w:tcBorders>
              <w:top w:val="single" w:sz="4" w:space="0" w:color="auto"/>
              <w:bottom w:val="single" w:sz="4" w:space="0" w:color="auto"/>
            </w:tcBorders>
          </w:tcPr>
          <w:p w14:paraId="2A926A16" w14:textId="77777777" w:rsidR="00F57253" w:rsidRPr="005E7ADF" w:rsidRDefault="00F57253" w:rsidP="004C661A">
            <w:pPr>
              <w:spacing w:after="0" w:line="240" w:lineRule="auto"/>
              <w:jc w:val="both"/>
              <w:rPr>
                <w:rFonts w:ascii="Times New Roman" w:hAnsi="Times New Roman"/>
                <w:b/>
                <w:bCs/>
              </w:rPr>
            </w:pPr>
            <w:r w:rsidRPr="005E7ADF">
              <w:rPr>
                <w:rFonts w:ascii="Times New Roman" w:hAnsi="Times New Roman"/>
                <w:b/>
                <w:bCs/>
              </w:rPr>
              <w:t>Response mode</w:t>
            </w:r>
          </w:p>
        </w:tc>
        <w:tc>
          <w:tcPr>
            <w:tcW w:w="2610" w:type="dxa"/>
            <w:tcBorders>
              <w:top w:val="single" w:sz="4" w:space="0" w:color="auto"/>
              <w:bottom w:val="single" w:sz="4" w:space="0" w:color="auto"/>
            </w:tcBorders>
          </w:tcPr>
          <w:p w14:paraId="4DFC8FC7" w14:textId="77777777" w:rsidR="00F57253" w:rsidRPr="005E7ADF" w:rsidRDefault="00F57253" w:rsidP="004C661A">
            <w:pPr>
              <w:spacing w:after="0" w:line="240" w:lineRule="auto"/>
              <w:jc w:val="both"/>
              <w:rPr>
                <w:rFonts w:ascii="Times New Roman" w:hAnsi="Times New Roman"/>
                <w:b/>
                <w:bCs/>
              </w:rPr>
            </w:pPr>
            <w:r w:rsidRPr="005E7ADF">
              <w:rPr>
                <w:rFonts w:ascii="Times New Roman" w:hAnsi="Times New Roman"/>
                <w:b/>
                <w:bCs/>
              </w:rPr>
              <w:t>Interpretation</w:t>
            </w:r>
          </w:p>
        </w:tc>
      </w:tr>
      <w:tr w:rsidR="00F57253" w:rsidRPr="005E7ADF" w14:paraId="2A864A36" w14:textId="77777777" w:rsidTr="00F57253">
        <w:tc>
          <w:tcPr>
            <w:tcW w:w="1026" w:type="dxa"/>
            <w:tcBorders>
              <w:top w:val="single" w:sz="4" w:space="0" w:color="auto"/>
            </w:tcBorders>
            <w:shd w:val="clear" w:color="auto" w:fill="auto"/>
          </w:tcPr>
          <w:p w14:paraId="33BCCD36" w14:textId="77777777" w:rsidR="00F57253" w:rsidRPr="005E7ADF" w:rsidRDefault="00F57253" w:rsidP="004C661A">
            <w:pPr>
              <w:spacing w:after="0" w:line="240" w:lineRule="auto"/>
              <w:jc w:val="both"/>
              <w:rPr>
                <w:rFonts w:ascii="Times New Roman" w:hAnsi="Times New Roman"/>
                <w:b/>
                <w:bCs/>
              </w:rPr>
            </w:pPr>
            <w:r w:rsidRPr="005E7ADF">
              <w:rPr>
                <w:rFonts w:ascii="Times New Roman" w:hAnsi="Times New Roman"/>
                <w:b/>
                <w:bCs/>
              </w:rPr>
              <w:t>5</w:t>
            </w:r>
          </w:p>
        </w:tc>
        <w:tc>
          <w:tcPr>
            <w:tcW w:w="1648" w:type="dxa"/>
            <w:tcBorders>
              <w:top w:val="single" w:sz="4" w:space="0" w:color="auto"/>
            </w:tcBorders>
            <w:shd w:val="clear" w:color="auto" w:fill="auto"/>
          </w:tcPr>
          <w:p w14:paraId="6D1959AB"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1 – 1.8</w:t>
            </w:r>
          </w:p>
        </w:tc>
        <w:tc>
          <w:tcPr>
            <w:tcW w:w="2703" w:type="dxa"/>
            <w:tcBorders>
              <w:top w:val="single" w:sz="4" w:space="0" w:color="auto"/>
            </w:tcBorders>
            <w:shd w:val="clear" w:color="auto" w:fill="auto"/>
          </w:tcPr>
          <w:p w14:paraId="0091F926"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Strongly Disagree</w:t>
            </w:r>
          </w:p>
        </w:tc>
        <w:tc>
          <w:tcPr>
            <w:tcW w:w="2610" w:type="dxa"/>
            <w:tcBorders>
              <w:top w:val="single" w:sz="4" w:space="0" w:color="auto"/>
            </w:tcBorders>
            <w:shd w:val="clear" w:color="auto" w:fill="auto"/>
          </w:tcPr>
          <w:p w14:paraId="7B0FDC60"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 xml:space="preserve">Very unsatisfactory </w:t>
            </w:r>
          </w:p>
        </w:tc>
      </w:tr>
      <w:tr w:rsidR="00F57253" w:rsidRPr="005E7ADF" w14:paraId="28B54036" w14:textId="77777777" w:rsidTr="00F57253">
        <w:tc>
          <w:tcPr>
            <w:tcW w:w="1026" w:type="dxa"/>
            <w:shd w:val="clear" w:color="auto" w:fill="auto"/>
          </w:tcPr>
          <w:p w14:paraId="7CD9B7E1" w14:textId="77777777" w:rsidR="00F57253" w:rsidRPr="005E7ADF" w:rsidRDefault="00F57253" w:rsidP="004C661A">
            <w:pPr>
              <w:spacing w:after="0" w:line="240" w:lineRule="auto"/>
              <w:jc w:val="both"/>
              <w:rPr>
                <w:rFonts w:ascii="Times New Roman" w:hAnsi="Times New Roman"/>
                <w:b/>
                <w:bCs/>
              </w:rPr>
            </w:pPr>
            <w:r w:rsidRPr="005E7ADF">
              <w:rPr>
                <w:rFonts w:ascii="Times New Roman" w:hAnsi="Times New Roman"/>
                <w:b/>
                <w:bCs/>
              </w:rPr>
              <w:t>4</w:t>
            </w:r>
          </w:p>
        </w:tc>
        <w:tc>
          <w:tcPr>
            <w:tcW w:w="1648" w:type="dxa"/>
            <w:shd w:val="clear" w:color="auto" w:fill="auto"/>
          </w:tcPr>
          <w:p w14:paraId="477030C4"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1.8– 2.6</w:t>
            </w:r>
          </w:p>
        </w:tc>
        <w:tc>
          <w:tcPr>
            <w:tcW w:w="2703" w:type="dxa"/>
            <w:shd w:val="clear" w:color="auto" w:fill="auto"/>
          </w:tcPr>
          <w:p w14:paraId="360BBD20"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Disagree</w:t>
            </w:r>
          </w:p>
        </w:tc>
        <w:tc>
          <w:tcPr>
            <w:tcW w:w="2610" w:type="dxa"/>
            <w:shd w:val="clear" w:color="auto" w:fill="auto"/>
          </w:tcPr>
          <w:p w14:paraId="7B633A01"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unsatisfactory</w:t>
            </w:r>
          </w:p>
        </w:tc>
      </w:tr>
      <w:tr w:rsidR="00F57253" w:rsidRPr="005E7ADF" w14:paraId="45994F12" w14:textId="77777777" w:rsidTr="00F57253">
        <w:tc>
          <w:tcPr>
            <w:tcW w:w="1026" w:type="dxa"/>
            <w:shd w:val="clear" w:color="auto" w:fill="auto"/>
          </w:tcPr>
          <w:p w14:paraId="4C6D173B" w14:textId="77777777" w:rsidR="00F57253" w:rsidRPr="005E7ADF" w:rsidRDefault="00F57253" w:rsidP="004C661A">
            <w:pPr>
              <w:spacing w:after="0" w:line="240" w:lineRule="auto"/>
              <w:jc w:val="both"/>
              <w:rPr>
                <w:rFonts w:ascii="Times New Roman" w:hAnsi="Times New Roman"/>
                <w:b/>
                <w:bCs/>
              </w:rPr>
            </w:pPr>
            <w:r w:rsidRPr="005E7ADF">
              <w:rPr>
                <w:rFonts w:ascii="Times New Roman" w:hAnsi="Times New Roman"/>
                <w:b/>
                <w:bCs/>
              </w:rPr>
              <w:t>3</w:t>
            </w:r>
          </w:p>
        </w:tc>
        <w:tc>
          <w:tcPr>
            <w:tcW w:w="1648" w:type="dxa"/>
            <w:shd w:val="clear" w:color="auto" w:fill="auto"/>
          </w:tcPr>
          <w:p w14:paraId="10211471"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2.6 – 3.4</w:t>
            </w:r>
          </w:p>
        </w:tc>
        <w:tc>
          <w:tcPr>
            <w:tcW w:w="2703" w:type="dxa"/>
            <w:shd w:val="clear" w:color="auto" w:fill="auto"/>
          </w:tcPr>
          <w:p w14:paraId="6019FD01"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 xml:space="preserve">Neutral </w:t>
            </w:r>
          </w:p>
        </w:tc>
        <w:tc>
          <w:tcPr>
            <w:tcW w:w="2610" w:type="dxa"/>
            <w:shd w:val="clear" w:color="auto" w:fill="auto"/>
          </w:tcPr>
          <w:p w14:paraId="600BF3EA"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 xml:space="preserve">None </w:t>
            </w:r>
          </w:p>
        </w:tc>
      </w:tr>
      <w:tr w:rsidR="00F57253" w:rsidRPr="005E7ADF" w14:paraId="13127B6B" w14:textId="77777777" w:rsidTr="00F57253">
        <w:tc>
          <w:tcPr>
            <w:tcW w:w="1026" w:type="dxa"/>
            <w:shd w:val="clear" w:color="auto" w:fill="auto"/>
          </w:tcPr>
          <w:p w14:paraId="257B3112" w14:textId="77777777" w:rsidR="00F57253" w:rsidRPr="005E7ADF" w:rsidRDefault="00F57253" w:rsidP="004C661A">
            <w:pPr>
              <w:spacing w:after="0" w:line="240" w:lineRule="auto"/>
              <w:jc w:val="both"/>
              <w:rPr>
                <w:rFonts w:ascii="Times New Roman" w:hAnsi="Times New Roman"/>
                <w:b/>
                <w:bCs/>
              </w:rPr>
            </w:pPr>
            <w:r w:rsidRPr="005E7ADF">
              <w:rPr>
                <w:rFonts w:ascii="Times New Roman" w:hAnsi="Times New Roman"/>
                <w:b/>
                <w:bCs/>
              </w:rPr>
              <w:t>2</w:t>
            </w:r>
          </w:p>
        </w:tc>
        <w:tc>
          <w:tcPr>
            <w:tcW w:w="1648" w:type="dxa"/>
            <w:shd w:val="clear" w:color="auto" w:fill="auto"/>
          </w:tcPr>
          <w:p w14:paraId="0216369E"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3.4 – 4.2</w:t>
            </w:r>
          </w:p>
        </w:tc>
        <w:tc>
          <w:tcPr>
            <w:tcW w:w="2703" w:type="dxa"/>
            <w:shd w:val="clear" w:color="auto" w:fill="auto"/>
          </w:tcPr>
          <w:p w14:paraId="2939EBEB"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Agree</w:t>
            </w:r>
          </w:p>
        </w:tc>
        <w:tc>
          <w:tcPr>
            <w:tcW w:w="2610" w:type="dxa"/>
            <w:shd w:val="clear" w:color="auto" w:fill="auto"/>
          </w:tcPr>
          <w:p w14:paraId="2E1C69C5"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Satisfactory</w:t>
            </w:r>
          </w:p>
        </w:tc>
      </w:tr>
      <w:tr w:rsidR="00F57253" w:rsidRPr="005E7ADF" w14:paraId="157D8C84" w14:textId="77777777" w:rsidTr="00F57253">
        <w:tc>
          <w:tcPr>
            <w:tcW w:w="1026" w:type="dxa"/>
            <w:tcBorders>
              <w:bottom w:val="single" w:sz="4" w:space="0" w:color="auto"/>
            </w:tcBorders>
            <w:shd w:val="clear" w:color="auto" w:fill="auto"/>
          </w:tcPr>
          <w:p w14:paraId="47156AF9" w14:textId="77777777" w:rsidR="00F57253" w:rsidRPr="005E7ADF" w:rsidRDefault="00F57253" w:rsidP="004C661A">
            <w:pPr>
              <w:spacing w:after="0" w:line="240" w:lineRule="auto"/>
              <w:jc w:val="both"/>
              <w:rPr>
                <w:rFonts w:ascii="Times New Roman" w:hAnsi="Times New Roman"/>
                <w:b/>
                <w:bCs/>
              </w:rPr>
            </w:pPr>
            <w:r w:rsidRPr="005E7ADF">
              <w:rPr>
                <w:rFonts w:ascii="Times New Roman" w:hAnsi="Times New Roman"/>
                <w:b/>
                <w:bCs/>
              </w:rPr>
              <w:t>1</w:t>
            </w:r>
          </w:p>
        </w:tc>
        <w:tc>
          <w:tcPr>
            <w:tcW w:w="1648" w:type="dxa"/>
            <w:tcBorders>
              <w:bottom w:val="single" w:sz="4" w:space="0" w:color="auto"/>
            </w:tcBorders>
            <w:shd w:val="clear" w:color="auto" w:fill="auto"/>
          </w:tcPr>
          <w:p w14:paraId="1BB5A7A7"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4.2 – 5</w:t>
            </w:r>
          </w:p>
        </w:tc>
        <w:tc>
          <w:tcPr>
            <w:tcW w:w="2703" w:type="dxa"/>
            <w:tcBorders>
              <w:bottom w:val="single" w:sz="4" w:space="0" w:color="auto"/>
            </w:tcBorders>
            <w:shd w:val="clear" w:color="auto" w:fill="auto"/>
          </w:tcPr>
          <w:p w14:paraId="22ED794D"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Strongly Agree</w:t>
            </w:r>
          </w:p>
        </w:tc>
        <w:tc>
          <w:tcPr>
            <w:tcW w:w="2610" w:type="dxa"/>
            <w:tcBorders>
              <w:bottom w:val="single" w:sz="4" w:space="0" w:color="auto"/>
            </w:tcBorders>
            <w:shd w:val="clear" w:color="auto" w:fill="auto"/>
          </w:tcPr>
          <w:p w14:paraId="0B534B54" w14:textId="77777777" w:rsidR="00F57253" w:rsidRPr="005E7ADF" w:rsidRDefault="00F57253" w:rsidP="004C661A">
            <w:pPr>
              <w:spacing w:after="0" w:line="240" w:lineRule="auto"/>
              <w:jc w:val="both"/>
              <w:rPr>
                <w:rFonts w:ascii="Times New Roman" w:hAnsi="Times New Roman"/>
              </w:rPr>
            </w:pPr>
            <w:r w:rsidRPr="005E7ADF">
              <w:rPr>
                <w:rFonts w:ascii="Times New Roman" w:hAnsi="Times New Roman"/>
              </w:rPr>
              <w:t>Very Satisfactory</w:t>
            </w:r>
          </w:p>
        </w:tc>
      </w:tr>
    </w:tbl>
    <w:p w14:paraId="0C8463DF" w14:textId="77777777" w:rsidR="00C6501B" w:rsidRPr="00C6501B" w:rsidRDefault="00C6501B" w:rsidP="00C6501B">
      <w:pPr>
        <w:spacing w:before="240" w:line="240" w:lineRule="auto"/>
        <w:jc w:val="both"/>
        <w:rPr>
          <w:rFonts w:ascii="Times New Roman" w:hAnsi="Times New Roman"/>
          <w:szCs w:val="20"/>
          <w:shd w:val="clear" w:color="auto" w:fill="FFFFFF"/>
        </w:rPr>
      </w:pPr>
      <w:r w:rsidRPr="00C6501B">
        <w:rPr>
          <w:rFonts w:ascii="Times New Roman" w:hAnsi="Times New Roman"/>
          <w:szCs w:val="20"/>
          <w:shd w:val="clear" w:color="auto" w:fill="FFFFFF"/>
        </w:rPr>
        <w:t xml:space="preserve">Table 4.3 presents respondents’ perceptions of the distribution of political power in Unity State, South Sudan. Overall, the results indicate a strong level of agreement across all statements, with an average </w:t>
      </w:r>
      <w:r w:rsidRPr="00C6501B">
        <w:rPr>
          <w:rFonts w:ascii="Times New Roman" w:hAnsi="Times New Roman"/>
          <w:szCs w:val="20"/>
          <w:shd w:val="clear" w:color="auto" w:fill="FFFFFF"/>
        </w:rPr>
        <w:lastRenderedPageBreak/>
        <w:t>mean score of 4.03 and a standard deviation of 1.08, suggesting relatively consistent responses and a general consensus among participants that political power dynamics are closely linked to ethnic considerations and governance challenges.</w:t>
      </w:r>
    </w:p>
    <w:p w14:paraId="4DF8132A" w14:textId="77777777" w:rsidR="00C6501B" w:rsidRPr="00C6501B" w:rsidRDefault="00C6501B" w:rsidP="00C6501B">
      <w:pPr>
        <w:spacing w:before="240" w:line="240" w:lineRule="auto"/>
        <w:jc w:val="both"/>
        <w:rPr>
          <w:rFonts w:ascii="Times New Roman" w:hAnsi="Times New Roman"/>
          <w:szCs w:val="20"/>
          <w:shd w:val="clear" w:color="auto" w:fill="FFFFFF"/>
        </w:rPr>
      </w:pPr>
      <w:r w:rsidRPr="00C6501B">
        <w:rPr>
          <w:rFonts w:ascii="Times New Roman" w:hAnsi="Times New Roman"/>
          <w:szCs w:val="20"/>
          <w:shd w:val="clear" w:color="auto" w:fill="FFFFFF"/>
        </w:rPr>
        <w:t>The findings show that respondents largely agree that political power in Unity State is concentrated among the Dinka ethnic group, marginalizing other groups such as the Nuer (mean = 4.02). Similarly, there is strong agreement that historical power struggles between the Dinka and Nuer have contributed to ongoing conflicts and weakened political stability (mean = 4.02). Respondents also indicated that ethnic affiliation plays a significant role in determining access to political power (mean = 4.02), reinforcing the view that political structures are heavily influenced by ethnic identity.</w:t>
      </w:r>
    </w:p>
    <w:p w14:paraId="41041217" w14:textId="77777777" w:rsidR="00C6501B" w:rsidRPr="00C6501B" w:rsidRDefault="00C6501B" w:rsidP="00C6501B">
      <w:pPr>
        <w:spacing w:before="240" w:line="240" w:lineRule="auto"/>
        <w:jc w:val="both"/>
        <w:rPr>
          <w:rFonts w:ascii="Times New Roman" w:hAnsi="Times New Roman"/>
          <w:szCs w:val="20"/>
          <w:shd w:val="clear" w:color="auto" w:fill="FFFFFF"/>
        </w:rPr>
      </w:pPr>
      <w:r w:rsidRPr="00C6501B">
        <w:rPr>
          <w:rFonts w:ascii="Times New Roman" w:hAnsi="Times New Roman"/>
          <w:szCs w:val="20"/>
          <w:shd w:val="clear" w:color="auto" w:fill="FFFFFF"/>
        </w:rPr>
        <w:t>In addition, participants agreed that government policies have contributed to the exclusion of some ethnic groups from decision-making processes, thereby increasing tensions (mean = 4.00). Power imbalances were also seen as a factor hindering effective governance, leading to weak institutions and poor service delivery (mean = 4.06), which was among the highest-rated items. Closely related to this, respondents agreed that leadership positions are often dominated by particular ethnic groups, limiting inclusivity (mean = 4.02), and that competition for political offices frequently triggers local disputes and unrest (mean = 4.04).</w:t>
      </w:r>
    </w:p>
    <w:p w14:paraId="5436E268" w14:textId="77777777" w:rsidR="00C6501B" w:rsidRPr="00C6501B" w:rsidRDefault="00C6501B" w:rsidP="00C6501B">
      <w:pPr>
        <w:spacing w:before="240" w:line="240" w:lineRule="auto"/>
        <w:jc w:val="both"/>
        <w:rPr>
          <w:rFonts w:ascii="Times New Roman" w:hAnsi="Times New Roman"/>
          <w:szCs w:val="20"/>
          <w:shd w:val="clear" w:color="auto" w:fill="FFFFFF"/>
        </w:rPr>
      </w:pPr>
      <w:r w:rsidRPr="00C6501B">
        <w:rPr>
          <w:rFonts w:ascii="Times New Roman" w:hAnsi="Times New Roman"/>
          <w:szCs w:val="20"/>
          <w:shd w:val="clear" w:color="auto" w:fill="FFFFFF"/>
        </w:rPr>
        <w:t>Furthermore, the results indicate agreement that unequal representation in decision-making undermines public trust (mean = 4.00), while concentration of power affects the equitable allocation of state resources (mean = 4.06). Political favoritism was also perceived to reinforce ethnic divisions and hinder collaborative governance (mean = 4.03).</w:t>
      </w:r>
    </w:p>
    <w:p w14:paraId="589898C1" w14:textId="77777777" w:rsidR="00C6501B" w:rsidRDefault="00C6501B" w:rsidP="00C6501B">
      <w:pPr>
        <w:spacing w:before="240" w:line="240" w:lineRule="auto"/>
        <w:jc w:val="both"/>
        <w:rPr>
          <w:rFonts w:ascii="Times New Roman" w:hAnsi="Times New Roman"/>
          <w:szCs w:val="20"/>
          <w:shd w:val="clear" w:color="auto" w:fill="FFFFFF"/>
        </w:rPr>
      </w:pPr>
      <w:r w:rsidRPr="00C6501B">
        <w:rPr>
          <w:rFonts w:ascii="Times New Roman" w:hAnsi="Times New Roman"/>
          <w:szCs w:val="20"/>
          <w:shd w:val="clear" w:color="auto" w:fill="FFFFFF"/>
        </w:rPr>
        <w:t>Overall, the analysis suggests that respondents perceive political power in Unity State as highly centralized and ethnically influenced, with significant implications for governance, inclusivity, resource distribution, and stability. The consistently high mean scores across all statements reflect a shared view that imbalances in political power contribute to tension and undermine sustainable peace in the region.</w:t>
      </w:r>
    </w:p>
    <w:p w14:paraId="7129104F" w14:textId="77777777" w:rsidR="00C6501B" w:rsidRPr="00C6501B" w:rsidRDefault="00C6501B" w:rsidP="00C6501B">
      <w:pPr>
        <w:autoSpaceDE w:val="0"/>
        <w:autoSpaceDN w:val="0"/>
        <w:adjustRightInd w:val="0"/>
        <w:spacing w:line="240" w:lineRule="auto"/>
        <w:jc w:val="both"/>
        <w:rPr>
          <w:rFonts w:ascii="Times New Roman" w:hAnsi="Times New Roman"/>
          <w:b/>
          <w:bCs/>
        </w:rPr>
      </w:pPr>
      <w:r w:rsidRPr="00C6501B">
        <w:rPr>
          <w:rFonts w:ascii="Times New Roman" w:hAnsi="Times New Roman"/>
          <w:b/>
          <w:bCs/>
        </w:rPr>
        <w:t xml:space="preserve">Interview Responses </w:t>
      </w:r>
    </w:p>
    <w:p w14:paraId="4F638BA1" w14:textId="77777777" w:rsidR="00C6501B" w:rsidRPr="00C6501B" w:rsidRDefault="00C6501B" w:rsidP="00C6501B">
      <w:pPr>
        <w:spacing w:before="100" w:beforeAutospacing="1" w:after="100" w:afterAutospacing="1" w:line="240" w:lineRule="auto"/>
        <w:ind w:left="1134"/>
        <w:jc w:val="both"/>
        <w:rPr>
          <w:rFonts w:ascii="Times New Roman" w:hAnsi="Times New Roman"/>
          <w:i/>
        </w:rPr>
      </w:pPr>
      <w:r w:rsidRPr="00C6501B">
        <w:rPr>
          <w:rFonts w:ascii="Times New Roman" w:hAnsi="Times New Roman"/>
          <w:i/>
        </w:rPr>
        <w:t>When asked about the current distribution of political power in Unity State, a senior government official explained, “Power is largely concentrated among the Dinka elite, which creates a perception of exclusion for other groups, particularly the Nuer. This concentration affects decision-making at both the state and local levels, often sidelining voices from marginalized communities.” They further elaborated that this uneven distribution of political authority has contributed to friction between ethnic groups and complicates policy implementation. “When one group dominates leadership, resource allocation is often seen as biased, which undermines trust in governance and fuels insecurity,” they added. (Source: Senior government official, 2025)</w:t>
      </w:r>
    </w:p>
    <w:p w14:paraId="38F06CBD" w14:textId="77777777" w:rsidR="00C6501B" w:rsidRDefault="00C6501B" w:rsidP="00C6501B">
      <w:pPr>
        <w:spacing w:before="100" w:beforeAutospacing="1" w:after="100" w:afterAutospacing="1" w:line="240" w:lineRule="auto"/>
        <w:ind w:left="1134"/>
        <w:jc w:val="both"/>
        <w:rPr>
          <w:rFonts w:ascii="Times New Roman" w:hAnsi="Times New Roman"/>
          <w:i/>
        </w:rPr>
      </w:pPr>
      <w:r w:rsidRPr="00C6501B">
        <w:rPr>
          <w:rFonts w:ascii="Times New Roman" w:hAnsi="Times New Roman"/>
          <w:i/>
        </w:rPr>
        <w:t>Regarding whether the concentration of political power contributes to instability, the same official stated, “Absolutely. When power is monopolized, it generates grievances among excluded groups. These grievances manifest in protests, local conflicts, and sometimes violent clashes, which destabilize the state.” They emphasized that inclusive governance could mitigate such tensions, suggesting that a more balanced political representation would enhance security and trust in institutions. (Source: Senior government official, 2025)</w:t>
      </w:r>
    </w:p>
    <w:p w14:paraId="7A8872E9" w14:textId="77777777" w:rsidR="00C6501B" w:rsidRPr="00C6501B" w:rsidRDefault="00C6501B" w:rsidP="00C6501B">
      <w:pPr>
        <w:spacing w:before="100" w:beforeAutospacing="1" w:after="100" w:afterAutospacing="1" w:line="240" w:lineRule="auto"/>
        <w:ind w:left="1134"/>
        <w:jc w:val="both"/>
        <w:rPr>
          <w:rFonts w:ascii="Times New Roman" w:hAnsi="Times New Roman"/>
          <w:i/>
        </w:rPr>
      </w:pPr>
      <w:r w:rsidRPr="00C6501B">
        <w:rPr>
          <w:rFonts w:ascii="Times New Roman" w:hAnsi="Times New Roman"/>
          <w:i/>
        </w:rPr>
        <w:t xml:space="preserve">A Nuer community elder highlighted the historical consequences of political imbalances, stating, “The ongoing power struggle between the Dinka and Nuer has been a central driver of insecurity in Unity State. When political offices are dominated by one group, the other feels marginalized and vulnerable.” They shared that these dynamics affect local leadership structures, community negotiations, and even the distribution of basic services. </w:t>
      </w:r>
      <w:r w:rsidRPr="00C6501B">
        <w:rPr>
          <w:rFonts w:ascii="Times New Roman" w:hAnsi="Times New Roman"/>
          <w:i/>
        </w:rPr>
        <w:lastRenderedPageBreak/>
        <w:t>“Ethnic favoritism in governance not only erodes trust but also perpetuates cycles of retaliation and unrest,” the leader added. This perspective underscores how political marginalization directly impacts both local and regional security. (Source: Local ethnic leader, 2025)</w:t>
      </w:r>
    </w:p>
    <w:p w14:paraId="5FAD5632" w14:textId="77777777" w:rsidR="009D7E9A" w:rsidRPr="009D7E9A" w:rsidRDefault="009D7E9A" w:rsidP="009D7E9A">
      <w:pPr>
        <w:pStyle w:val="Caption"/>
        <w:rPr>
          <w:rFonts w:ascii="Times New Roman" w:hAnsi="Times New Roman"/>
          <w:b w:val="0"/>
          <w:i/>
          <w:color w:val="auto"/>
          <w:sz w:val="22"/>
          <w:szCs w:val="22"/>
        </w:rPr>
      </w:pPr>
      <w:bookmarkStart w:id="35" w:name="_Toc508967536"/>
      <w:bookmarkStart w:id="36" w:name="_Toc511686497"/>
      <w:bookmarkStart w:id="37" w:name="_Toc141366826"/>
      <w:bookmarkStart w:id="38" w:name="_Toc144472685"/>
      <w:bookmarkStart w:id="39" w:name="_Toc162095629"/>
      <w:bookmarkStart w:id="40" w:name="_Toc176638187"/>
      <w:bookmarkStart w:id="41" w:name="_Toc201669505"/>
      <w:r w:rsidRPr="009D7E9A">
        <w:rPr>
          <w:rFonts w:ascii="Times New Roman" w:hAnsi="Times New Roman"/>
          <w:b w:val="0"/>
          <w:i/>
          <w:color w:val="auto"/>
          <w:sz w:val="22"/>
          <w:szCs w:val="22"/>
        </w:rPr>
        <w:t xml:space="preserve">Table 4. </w:t>
      </w:r>
      <w:r w:rsidRPr="009D7E9A">
        <w:rPr>
          <w:rFonts w:ascii="Times New Roman" w:hAnsi="Times New Roman"/>
          <w:b w:val="0"/>
          <w:i/>
          <w:color w:val="auto"/>
          <w:sz w:val="22"/>
          <w:szCs w:val="22"/>
        </w:rPr>
        <w:fldChar w:fldCharType="begin"/>
      </w:r>
      <w:r w:rsidRPr="009D7E9A">
        <w:rPr>
          <w:rFonts w:ascii="Times New Roman" w:hAnsi="Times New Roman"/>
          <w:b w:val="0"/>
          <w:i/>
          <w:color w:val="auto"/>
          <w:sz w:val="22"/>
          <w:szCs w:val="22"/>
        </w:rPr>
        <w:instrText xml:space="preserve"> SEQ Table_4. \* ARABIC </w:instrText>
      </w:r>
      <w:r w:rsidRPr="009D7E9A">
        <w:rPr>
          <w:rFonts w:ascii="Times New Roman" w:hAnsi="Times New Roman"/>
          <w:b w:val="0"/>
          <w:i/>
          <w:color w:val="auto"/>
          <w:sz w:val="22"/>
          <w:szCs w:val="22"/>
        </w:rPr>
        <w:fldChar w:fldCharType="separate"/>
      </w:r>
      <w:r w:rsidRPr="009D7E9A">
        <w:rPr>
          <w:rFonts w:ascii="Times New Roman" w:hAnsi="Times New Roman"/>
          <w:b w:val="0"/>
          <w:i/>
          <w:noProof/>
          <w:color w:val="auto"/>
          <w:sz w:val="22"/>
          <w:szCs w:val="22"/>
        </w:rPr>
        <w:t>4</w:t>
      </w:r>
      <w:r w:rsidRPr="009D7E9A">
        <w:rPr>
          <w:rFonts w:ascii="Times New Roman" w:hAnsi="Times New Roman"/>
          <w:b w:val="0"/>
          <w:i/>
          <w:color w:val="auto"/>
          <w:sz w:val="22"/>
          <w:szCs w:val="22"/>
        </w:rPr>
        <w:fldChar w:fldCharType="end"/>
      </w:r>
      <w:r w:rsidRPr="009D7E9A">
        <w:rPr>
          <w:rFonts w:ascii="Times New Roman" w:hAnsi="Times New Roman"/>
          <w:b w:val="0"/>
          <w:i/>
          <w:color w:val="auto"/>
          <w:sz w:val="22"/>
          <w:szCs w:val="22"/>
        </w:rPr>
        <w:t>: Sustainable peace in Unity State, South Sudan</w:t>
      </w:r>
      <w:r>
        <w:rPr>
          <w:rFonts w:ascii="Times New Roman" w:hAnsi="Times New Roman"/>
          <w:b w:val="0"/>
          <w:i/>
          <w:color w:val="auto"/>
          <w:sz w:val="22"/>
          <w:szCs w:val="22"/>
        </w:rPr>
        <w:t xml:space="preserve"> </w:t>
      </w:r>
      <w:r w:rsidRPr="009D7E9A">
        <w:rPr>
          <w:rFonts w:ascii="Times New Roman" w:hAnsi="Times New Roman"/>
          <w:b w:val="0"/>
          <w:i/>
          <w:color w:val="auto"/>
          <w:sz w:val="22"/>
          <w:szCs w:val="22"/>
        </w:rPr>
        <w:t>(n=128)</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40"/>
        <w:gridCol w:w="825"/>
        <w:gridCol w:w="826"/>
        <w:gridCol w:w="826"/>
        <w:gridCol w:w="826"/>
        <w:gridCol w:w="826"/>
        <w:gridCol w:w="598"/>
        <w:gridCol w:w="460"/>
      </w:tblGrid>
      <w:tr w:rsidR="009D7E9A" w:rsidRPr="009D7E9A" w14:paraId="0705E0FE" w14:textId="77777777" w:rsidTr="00B360B9">
        <w:trPr>
          <w:tblHeader/>
          <w:tblCellSpacing w:w="15" w:type="dxa"/>
          <w:jc w:val="center"/>
        </w:trPr>
        <w:tc>
          <w:tcPr>
            <w:tcW w:w="3796" w:type="dxa"/>
            <w:tcBorders>
              <w:top w:val="single" w:sz="4" w:space="0" w:color="auto"/>
              <w:bottom w:val="single" w:sz="4" w:space="0" w:color="auto"/>
            </w:tcBorders>
            <w:vAlign w:val="center"/>
            <w:hideMark/>
          </w:tcPr>
          <w:p w14:paraId="17D09841" w14:textId="77777777" w:rsidR="009D7E9A" w:rsidRPr="009D7E9A" w:rsidRDefault="009D7E9A" w:rsidP="009D7E9A">
            <w:pPr>
              <w:spacing w:after="0" w:line="240" w:lineRule="auto"/>
              <w:jc w:val="center"/>
              <w:rPr>
                <w:rFonts w:ascii="Times New Roman" w:hAnsi="Times New Roman"/>
                <w:b/>
                <w:bCs/>
              </w:rPr>
            </w:pPr>
            <w:r w:rsidRPr="009D7E9A">
              <w:rPr>
                <w:rFonts w:ascii="Times New Roman" w:hAnsi="Times New Roman"/>
                <w:b/>
                <w:bCs/>
              </w:rPr>
              <w:t>Statement</w:t>
            </w:r>
          </w:p>
        </w:tc>
        <w:tc>
          <w:tcPr>
            <w:tcW w:w="0" w:type="auto"/>
            <w:tcBorders>
              <w:top w:val="single" w:sz="4" w:space="0" w:color="auto"/>
              <w:bottom w:val="single" w:sz="4" w:space="0" w:color="auto"/>
            </w:tcBorders>
            <w:vAlign w:val="center"/>
            <w:hideMark/>
          </w:tcPr>
          <w:p w14:paraId="386DB228" w14:textId="77777777" w:rsidR="009D7E9A" w:rsidRPr="009D7E9A" w:rsidRDefault="009D7E9A" w:rsidP="009D7E9A">
            <w:pPr>
              <w:spacing w:after="0" w:line="240" w:lineRule="auto"/>
              <w:jc w:val="center"/>
              <w:rPr>
                <w:rFonts w:ascii="Times New Roman" w:hAnsi="Times New Roman"/>
                <w:b/>
                <w:bCs/>
              </w:rPr>
            </w:pPr>
            <w:r w:rsidRPr="009D7E9A">
              <w:rPr>
                <w:rFonts w:ascii="Times New Roman" w:hAnsi="Times New Roman"/>
                <w:b/>
                <w:bCs/>
              </w:rPr>
              <w:t>SD (1)</w:t>
            </w:r>
          </w:p>
        </w:tc>
        <w:tc>
          <w:tcPr>
            <w:tcW w:w="0" w:type="auto"/>
            <w:tcBorders>
              <w:top w:val="single" w:sz="4" w:space="0" w:color="auto"/>
              <w:bottom w:val="single" w:sz="4" w:space="0" w:color="auto"/>
            </w:tcBorders>
            <w:vAlign w:val="center"/>
            <w:hideMark/>
          </w:tcPr>
          <w:p w14:paraId="63587961" w14:textId="77777777" w:rsidR="009D7E9A" w:rsidRPr="009D7E9A" w:rsidRDefault="009D7E9A" w:rsidP="009D7E9A">
            <w:pPr>
              <w:spacing w:after="0" w:line="240" w:lineRule="auto"/>
              <w:jc w:val="center"/>
              <w:rPr>
                <w:rFonts w:ascii="Times New Roman" w:hAnsi="Times New Roman"/>
                <w:b/>
                <w:bCs/>
              </w:rPr>
            </w:pPr>
            <w:r w:rsidRPr="009D7E9A">
              <w:rPr>
                <w:rFonts w:ascii="Times New Roman" w:hAnsi="Times New Roman"/>
                <w:b/>
                <w:bCs/>
              </w:rPr>
              <w:t>D (2)</w:t>
            </w:r>
          </w:p>
        </w:tc>
        <w:tc>
          <w:tcPr>
            <w:tcW w:w="0" w:type="auto"/>
            <w:tcBorders>
              <w:top w:val="single" w:sz="4" w:space="0" w:color="auto"/>
              <w:bottom w:val="single" w:sz="4" w:space="0" w:color="auto"/>
            </w:tcBorders>
            <w:vAlign w:val="center"/>
            <w:hideMark/>
          </w:tcPr>
          <w:p w14:paraId="543557B4" w14:textId="77777777" w:rsidR="009D7E9A" w:rsidRPr="009D7E9A" w:rsidRDefault="009D7E9A" w:rsidP="009D7E9A">
            <w:pPr>
              <w:spacing w:after="0" w:line="240" w:lineRule="auto"/>
              <w:jc w:val="center"/>
              <w:rPr>
                <w:rFonts w:ascii="Times New Roman" w:hAnsi="Times New Roman"/>
                <w:b/>
                <w:bCs/>
              </w:rPr>
            </w:pPr>
            <w:r w:rsidRPr="009D7E9A">
              <w:rPr>
                <w:rFonts w:ascii="Times New Roman" w:hAnsi="Times New Roman"/>
                <w:b/>
                <w:bCs/>
              </w:rPr>
              <w:t>N (3)</w:t>
            </w:r>
          </w:p>
        </w:tc>
        <w:tc>
          <w:tcPr>
            <w:tcW w:w="0" w:type="auto"/>
            <w:tcBorders>
              <w:top w:val="single" w:sz="4" w:space="0" w:color="auto"/>
              <w:bottom w:val="single" w:sz="4" w:space="0" w:color="auto"/>
            </w:tcBorders>
            <w:vAlign w:val="center"/>
            <w:hideMark/>
          </w:tcPr>
          <w:p w14:paraId="1D726996" w14:textId="77777777" w:rsidR="009D7E9A" w:rsidRPr="009D7E9A" w:rsidRDefault="009D7E9A" w:rsidP="009D7E9A">
            <w:pPr>
              <w:spacing w:after="0" w:line="240" w:lineRule="auto"/>
              <w:jc w:val="center"/>
              <w:rPr>
                <w:rFonts w:ascii="Times New Roman" w:hAnsi="Times New Roman"/>
                <w:b/>
                <w:bCs/>
              </w:rPr>
            </w:pPr>
            <w:r w:rsidRPr="009D7E9A">
              <w:rPr>
                <w:rFonts w:ascii="Times New Roman" w:hAnsi="Times New Roman"/>
                <w:b/>
                <w:bCs/>
              </w:rPr>
              <w:t>A (4)</w:t>
            </w:r>
          </w:p>
        </w:tc>
        <w:tc>
          <w:tcPr>
            <w:tcW w:w="0" w:type="auto"/>
            <w:tcBorders>
              <w:top w:val="single" w:sz="4" w:space="0" w:color="auto"/>
              <w:bottom w:val="single" w:sz="4" w:space="0" w:color="auto"/>
            </w:tcBorders>
            <w:vAlign w:val="center"/>
            <w:hideMark/>
          </w:tcPr>
          <w:p w14:paraId="49496720" w14:textId="77777777" w:rsidR="009D7E9A" w:rsidRPr="009D7E9A" w:rsidRDefault="009D7E9A" w:rsidP="009D7E9A">
            <w:pPr>
              <w:spacing w:after="0" w:line="240" w:lineRule="auto"/>
              <w:jc w:val="center"/>
              <w:rPr>
                <w:rFonts w:ascii="Times New Roman" w:hAnsi="Times New Roman"/>
                <w:b/>
                <w:bCs/>
              </w:rPr>
            </w:pPr>
            <w:r w:rsidRPr="009D7E9A">
              <w:rPr>
                <w:rFonts w:ascii="Times New Roman" w:hAnsi="Times New Roman"/>
                <w:b/>
                <w:bCs/>
              </w:rPr>
              <w:t>SA (5)</w:t>
            </w:r>
          </w:p>
        </w:tc>
        <w:tc>
          <w:tcPr>
            <w:tcW w:w="0" w:type="auto"/>
            <w:tcBorders>
              <w:top w:val="single" w:sz="4" w:space="0" w:color="auto"/>
              <w:bottom w:val="single" w:sz="4" w:space="0" w:color="auto"/>
            </w:tcBorders>
            <w:vAlign w:val="center"/>
            <w:hideMark/>
          </w:tcPr>
          <w:p w14:paraId="200602FB" w14:textId="77777777" w:rsidR="009D7E9A" w:rsidRPr="009D7E9A" w:rsidRDefault="009D7E9A" w:rsidP="009D7E9A">
            <w:pPr>
              <w:spacing w:after="0" w:line="240" w:lineRule="auto"/>
              <w:jc w:val="center"/>
              <w:rPr>
                <w:rFonts w:ascii="Times New Roman" w:hAnsi="Times New Roman"/>
                <w:b/>
                <w:bCs/>
              </w:rPr>
            </w:pPr>
            <w:r w:rsidRPr="009D7E9A">
              <w:rPr>
                <w:rFonts w:ascii="Times New Roman" w:hAnsi="Times New Roman"/>
                <w:b/>
                <w:bCs/>
              </w:rPr>
              <w:t>Mean</w:t>
            </w:r>
          </w:p>
        </w:tc>
        <w:tc>
          <w:tcPr>
            <w:tcW w:w="0" w:type="auto"/>
            <w:tcBorders>
              <w:top w:val="single" w:sz="4" w:space="0" w:color="auto"/>
              <w:bottom w:val="single" w:sz="4" w:space="0" w:color="auto"/>
            </w:tcBorders>
            <w:vAlign w:val="center"/>
            <w:hideMark/>
          </w:tcPr>
          <w:p w14:paraId="21AD0E2F" w14:textId="77777777" w:rsidR="009D7E9A" w:rsidRPr="009D7E9A" w:rsidRDefault="009D7E9A" w:rsidP="009D7E9A">
            <w:pPr>
              <w:spacing w:after="0" w:line="240" w:lineRule="auto"/>
              <w:jc w:val="center"/>
              <w:rPr>
                <w:rFonts w:ascii="Times New Roman" w:hAnsi="Times New Roman"/>
                <w:b/>
                <w:bCs/>
              </w:rPr>
            </w:pPr>
            <w:r w:rsidRPr="009D7E9A">
              <w:rPr>
                <w:rFonts w:ascii="Times New Roman" w:hAnsi="Times New Roman"/>
                <w:b/>
                <w:bCs/>
              </w:rPr>
              <w:t>SD</w:t>
            </w:r>
          </w:p>
        </w:tc>
      </w:tr>
      <w:tr w:rsidR="009D7E9A" w:rsidRPr="009D7E9A" w14:paraId="5AEDC99F" w14:textId="77777777" w:rsidTr="00B360B9">
        <w:trPr>
          <w:tblCellSpacing w:w="15" w:type="dxa"/>
          <w:jc w:val="center"/>
        </w:trPr>
        <w:tc>
          <w:tcPr>
            <w:tcW w:w="3796" w:type="dxa"/>
            <w:vAlign w:val="center"/>
            <w:hideMark/>
          </w:tcPr>
          <w:p w14:paraId="0795216E" w14:textId="77777777" w:rsidR="009D7E9A" w:rsidRPr="009D7E9A" w:rsidRDefault="009D7E9A" w:rsidP="009D7E9A">
            <w:pPr>
              <w:spacing w:after="0" w:line="240" w:lineRule="auto"/>
              <w:rPr>
                <w:rFonts w:ascii="Times New Roman" w:hAnsi="Times New Roman"/>
              </w:rPr>
            </w:pPr>
            <w:r w:rsidRPr="009D7E9A">
              <w:rPr>
                <w:rFonts w:ascii="Times New Roman" w:hAnsi="Times New Roman"/>
              </w:rPr>
              <w:t>Security in Unity State remains volatile due to power struggles and resource conflicts</w:t>
            </w:r>
          </w:p>
        </w:tc>
        <w:tc>
          <w:tcPr>
            <w:tcW w:w="0" w:type="auto"/>
            <w:vAlign w:val="center"/>
            <w:hideMark/>
          </w:tcPr>
          <w:p w14:paraId="7F30326D"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12 (9.4%)</w:t>
            </w:r>
          </w:p>
        </w:tc>
        <w:tc>
          <w:tcPr>
            <w:tcW w:w="0" w:type="auto"/>
            <w:vAlign w:val="center"/>
            <w:hideMark/>
          </w:tcPr>
          <w:p w14:paraId="770B8C03"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14 (10.9%)</w:t>
            </w:r>
          </w:p>
        </w:tc>
        <w:tc>
          <w:tcPr>
            <w:tcW w:w="0" w:type="auto"/>
            <w:vAlign w:val="center"/>
            <w:hideMark/>
          </w:tcPr>
          <w:p w14:paraId="11073838"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16 (12.5%)</w:t>
            </w:r>
          </w:p>
        </w:tc>
        <w:tc>
          <w:tcPr>
            <w:tcW w:w="0" w:type="auto"/>
            <w:vAlign w:val="center"/>
            <w:hideMark/>
          </w:tcPr>
          <w:p w14:paraId="5D0469D3"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42 (32.8%)</w:t>
            </w:r>
          </w:p>
        </w:tc>
        <w:tc>
          <w:tcPr>
            <w:tcW w:w="0" w:type="auto"/>
            <w:vAlign w:val="center"/>
            <w:hideMark/>
          </w:tcPr>
          <w:p w14:paraId="0D5CA74F"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44 (34.4%)</w:t>
            </w:r>
          </w:p>
        </w:tc>
        <w:tc>
          <w:tcPr>
            <w:tcW w:w="0" w:type="auto"/>
            <w:vAlign w:val="center"/>
            <w:hideMark/>
          </w:tcPr>
          <w:p w14:paraId="368B4B81"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3.95</w:t>
            </w:r>
          </w:p>
        </w:tc>
        <w:tc>
          <w:tcPr>
            <w:tcW w:w="0" w:type="auto"/>
            <w:vAlign w:val="center"/>
            <w:hideMark/>
          </w:tcPr>
          <w:p w14:paraId="18DC6A7C"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1.18</w:t>
            </w:r>
          </w:p>
        </w:tc>
      </w:tr>
      <w:tr w:rsidR="009D7E9A" w:rsidRPr="009D7E9A" w14:paraId="7F85D27F" w14:textId="77777777" w:rsidTr="00B360B9">
        <w:trPr>
          <w:tblCellSpacing w:w="15" w:type="dxa"/>
          <w:jc w:val="center"/>
        </w:trPr>
        <w:tc>
          <w:tcPr>
            <w:tcW w:w="3796" w:type="dxa"/>
            <w:vAlign w:val="center"/>
            <w:hideMark/>
          </w:tcPr>
          <w:p w14:paraId="6F5CC9E7" w14:textId="77777777" w:rsidR="009D7E9A" w:rsidRPr="009D7E9A" w:rsidRDefault="009D7E9A" w:rsidP="009D7E9A">
            <w:pPr>
              <w:spacing w:after="0" w:line="240" w:lineRule="auto"/>
              <w:rPr>
                <w:rFonts w:ascii="Times New Roman" w:hAnsi="Times New Roman"/>
              </w:rPr>
            </w:pPr>
            <w:r w:rsidRPr="009D7E9A">
              <w:rPr>
                <w:rFonts w:ascii="Times New Roman" w:hAnsi="Times New Roman"/>
              </w:rPr>
              <w:t>Local militias and armed groups destabilize the region</w:t>
            </w:r>
          </w:p>
        </w:tc>
        <w:tc>
          <w:tcPr>
            <w:tcW w:w="0" w:type="auto"/>
            <w:vAlign w:val="center"/>
            <w:hideMark/>
          </w:tcPr>
          <w:p w14:paraId="55BA8765"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13 (10.2%)</w:t>
            </w:r>
          </w:p>
        </w:tc>
        <w:tc>
          <w:tcPr>
            <w:tcW w:w="0" w:type="auto"/>
            <w:vAlign w:val="center"/>
            <w:hideMark/>
          </w:tcPr>
          <w:p w14:paraId="6FE91DDB"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12 (9.4%)</w:t>
            </w:r>
          </w:p>
        </w:tc>
        <w:tc>
          <w:tcPr>
            <w:tcW w:w="0" w:type="auto"/>
            <w:vAlign w:val="center"/>
            <w:hideMark/>
          </w:tcPr>
          <w:p w14:paraId="5D2B578A"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15 (11.7%)</w:t>
            </w:r>
          </w:p>
        </w:tc>
        <w:tc>
          <w:tcPr>
            <w:tcW w:w="0" w:type="auto"/>
            <w:vAlign w:val="center"/>
            <w:hideMark/>
          </w:tcPr>
          <w:p w14:paraId="62CA2212"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43 (33.6%)</w:t>
            </w:r>
          </w:p>
        </w:tc>
        <w:tc>
          <w:tcPr>
            <w:tcW w:w="0" w:type="auto"/>
            <w:vAlign w:val="center"/>
            <w:hideMark/>
          </w:tcPr>
          <w:p w14:paraId="7F89FDAD"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45 (35.2%)</w:t>
            </w:r>
          </w:p>
        </w:tc>
        <w:tc>
          <w:tcPr>
            <w:tcW w:w="0" w:type="auto"/>
            <w:vAlign w:val="center"/>
            <w:hideMark/>
          </w:tcPr>
          <w:p w14:paraId="6BD5E0B0"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3.96</w:t>
            </w:r>
          </w:p>
        </w:tc>
        <w:tc>
          <w:tcPr>
            <w:tcW w:w="0" w:type="auto"/>
            <w:vAlign w:val="center"/>
            <w:hideMark/>
          </w:tcPr>
          <w:p w14:paraId="0719B01C"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1.16</w:t>
            </w:r>
          </w:p>
        </w:tc>
      </w:tr>
      <w:tr w:rsidR="009D7E9A" w:rsidRPr="009D7E9A" w14:paraId="67EA6A81" w14:textId="77777777" w:rsidTr="00B360B9">
        <w:trPr>
          <w:tblCellSpacing w:w="15" w:type="dxa"/>
          <w:jc w:val="center"/>
        </w:trPr>
        <w:tc>
          <w:tcPr>
            <w:tcW w:w="3796" w:type="dxa"/>
            <w:vAlign w:val="center"/>
            <w:hideMark/>
          </w:tcPr>
          <w:p w14:paraId="4BE95868" w14:textId="77777777" w:rsidR="009D7E9A" w:rsidRPr="009D7E9A" w:rsidRDefault="009D7E9A" w:rsidP="009D7E9A">
            <w:pPr>
              <w:spacing w:after="0" w:line="240" w:lineRule="auto"/>
              <w:rPr>
                <w:rFonts w:ascii="Times New Roman" w:hAnsi="Times New Roman"/>
              </w:rPr>
            </w:pPr>
            <w:r w:rsidRPr="009D7E9A">
              <w:rPr>
                <w:rFonts w:ascii="Times New Roman" w:hAnsi="Times New Roman"/>
              </w:rPr>
              <w:t>Ethnic and political tensions limit peacekeeping effectiveness</w:t>
            </w:r>
          </w:p>
        </w:tc>
        <w:tc>
          <w:tcPr>
            <w:tcW w:w="0" w:type="auto"/>
            <w:vAlign w:val="center"/>
            <w:hideMark/>
          </w:tcPr>
          <w:p w14:paraId="51F17ACD"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14 (10.9%)</w:t>
            </w:r>
          </w:p>
        </w:tc>
        <w:tc>
          <w:tcPr>
            <w:tcW w:w="0" w:type="auto"/>
            <w:vAlign w:val="center"/>
            <w:hideMark/>
          </w:tcPr>
          <w:p w14:paraId="3800EF54"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13 (10.2%)</w:t>
            </w:r>
          </w:p>
        </w:tc>
        <w:tc>
          <w:tcPr>
            <w:tcW w:w="0" w:type="auto"/>
            <w:vAlign w:val="center"/>
            <w:hideMark/>
          </w:tcPr>
          <w:p w14:paraId="16EA2FBA"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14 (10.9%)</w:t>
            </w:r>
          </w:p>
        </w:tc>
        <w:tc>
          <w:tcPr>
            <w:tcW w:w="0" w:type="auto"/>
            <w:vAlign w:val="center"/>
            <w:hideMark/>
          </w:tcPr>
          <w:p w14:paraId="3135AD9D"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43 (33.6%)</w:t>
            </w:r>
          </w:p>
        </w:tc>
        <w:tc>
          <w:tcPr>
            <w:tcW w:w="0" w:type="auto"/>
            <w:vAlign w:val="center"/>
            <w:hideMark/>
          </w:tcPr>
          <w:p w14:paraId="73523EF7"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44 (34.4%)</w:t>
            </w:r>
          </w:p>
        </w:tc>
        <w:tc>
          <w:tcPr>
            <w:tcW w:w="0" w:type="auto"/>
            <w:vAlign w:val="center"/>
            <w:hideMark/>
          </w:tcPr>
          <w:p w14:paraId="35468F41"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3.93</w:t>
            </w:r>
          </w:p>
        </w:tc>
        <w:tc>
          <w:tcPr>
            <w:tcW w:w="0" w:type="auto"/>
            <w:vAlign w:val="center"/>
            <w:hideMark/>
          </w:tcPr>
          <w:p w14:paraId="6EF27E76"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1.19</w:t>
            </w:r>
          </w:p>
        </w:tc>
      </w:tr>
      <w:tr w:rsidR="009D7E9A" w:rsidRPr="009D7E9A" w14:paraId="31729DEF" w14:textId="77777777" w:rsidTr="00B360B9">
        <w:trPr>
          <w:tblCellSpacing w:w="15" w:type="dxa"/>
          <w:jc w:val="center"/>
        </w:trPr>
        <w:tc>
          <w:tcPr>
            <w:tcW w:w="3796" w:type="dxa"/>
            <w:vAlign w:val="center"/>
            <w:hideMark/>
          </w:tcPr>
          <w:p w14:paraId="2704B799" w14:textId="77777777" w:rsidR="009D7E9A" w:rsidRPr="009D7E9A" w:rsidRDefault="009D7E9A" w:rsidP="009D7E9A">
            <w:pPr>
              <w:spacing w:after="0" w:line="240" w:lineRule="auto"/>
              <w:rPr>
                <w:rFonts w:ascii="Times New Roman" w:hAnsi="Times New Roman"/>
              </w:rPr>
            </w:pPr>
            <w:r w:rsidRPr="009D7E9A">
              <w:rPr>
                <w:rFonts w:ascii="Times New Roman" w:hAnsi="Times New Roman"/>
              </w:rPr>
              <w:t>Power imbalances and resource disputes fuel ongoing insecurity</w:t>
            </w:r>
          </w:p>
        </w:tc>
        <w:tc>
          <w:tcPr>
            <w:tcW w:w="0" w:type="auto"/>
            <w:vAlign w:val="center"/>
            <w:hideMark/>
          </w:tcPr>
          <w:p w14:paraId="7B042F29"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12 (9.4%)</w:t>
            </w:r>
          </w:p>
        </w:tc>
        <w:tc>
          <w:tcPr>
            <w:tcW w:w="0" w:type="auto"/>
            <w:vAlign w:val="center"/>
            <w:hideMark/>
          </w:tcPr>
          <w:p w14:paraId="6A923C24"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15 (11.7%)</w:t>
            </w:r>
          </w:p>
        </w:tc>
        <w:tc>
          <w:tcPr>
            <w:tcW w:w="0" w:type="auto"/>
            <w:vAlign w:val="center"/>
            <w:hideMark/>
          </w:tcPr>
          <w:p w14:paraId="071A21D9"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14 (10.9%)</w:t>
            </w:r>
          </w:p>
        </w:tc>
        <w:tc>
          <w:tcPr>
            <w:tcW w:w="0" w:type="auto"/>
            <w:vAlign w:val="center"/>
            <w:hideMark/>
          </w:tcPr>
          <w:p w14:paraId="10914379"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42 (32.8%)</w:t>
            </w:r>
          </w:p>
        </w:tc>
        <w:tc>
          <w:tcPr>
            <w:tcW w:w="0" w:type="auto"/>
            <w:vAlign w:val="center"/>
            <w:hideMark/>
          </w:tcPr>
          <w:p w14:paraId="2FD630EE"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45 (35.2%)</w:t>
            </w:r>
          </w:p>
        </w:tc>
        <w:tc>
          <w:tcPr>
            <w:tcW w:w="0" w:type="auto"/>
            <w:vAlign w:val="center"/>
            <w:hideMark/>
          </w:tcPr>
          <w:p w14:paraId="471FE83D"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3.95</w:t>
            </w:r>
          </w:p>
        </w:tc>
        <w:tc>
          <w:tcPr>
            <w:tcW w:w="0" w:type="auto"/>
            <w:vAlign w:val="center"/>
            <w:hideMark/>
          </w:tcPr>
          <w:p w14:paraId="2E1D3478"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1.17</w:t>
            </w:r>
          </w:p>
        </w:tc>
      </w:tr>
      <w:tr w:rsidR="009D7E9A" w:rsidRPr="009D7E9A" w14:paraId="4E73F59A" w14:textId="77777777" w:rsidTr="00B360B9">
        <w:trPr>
          <w:tblCellSpacing w:w="15" w:type="dxa"/>
          <w:jc w:val="center"/>
        </w:trPr>
        <w:tc>
          <w:tcPr>
            <w:tcW w:w="3796" w:type="dxa"/>
            <w:vAlign w:val="center"/>
            <w:hideMark/>
          </w:tcPr>
          <w:p w14:paraId="1521B876" w14:textId="77777777" w:rsidR="009D7E9A" w:rsidRPr="009D7E9A" w:rsidRDefault="009D7E9A" w:rsidP="009D7E9A">
            <w:pPr>
              <w:spacing w:after="0" w:line="240" w:lineRule="auto"/>
              <w:rPr>
                <w:rFonts w:ascii="Times New Roman" w:hAnsi="Times New Roman"/>
              </w:rPr>
            </w:pPr>
            <w:r w:rsidRPr="009D7E9A">
              <w:rPr>
                <w:rFonts w:ascii="Times New Roman" w:hAnsi="Times New Roman"/>
              </w:rPr>
              <w:t>Insecurity hinders development and threatens community well-being</w:t>
            </w:r>
          </w:p>
        </w:tc>
        <w:tc>
          <w:tcPr>
            <w:tcW w:w="0" w:type="auto"/>
            <w:vAlign w:val="center"/>
            <w:hideMark/>
          </w:tcPr>
          <w:p w14:paraId="49AE4A27"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13 (10.2%)</w:t>
            </w:r>
          </w:p>
        </w:tc>
        <w:tc>
          <w:tcPr>
            <w:tcW w:w="0" w:type="auto"/>
            <w:vAlign w:val="center"/>
            <w:hideMark/>
          </w:tcPr>
          <w:p w14:paraId="3E5F985A"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14 (10.9%)</w:t>
            </w:r>
          </w:p>
        </w:tc>
        <w:tc>
          <w:tcPr>
            <w:tcW w:w="0" w:type="auto"/>
            <w:vAlign w:val="center"/>
            <w:hideMark/>
          </w:tcPr>
          <w:p w14:paraId="74649AE5"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15 (11.7%)</w:t>
            </w:r>
          </w:p>
        </w:tc>
        <w:tc>
          <w:tcPr>
            <w:tcW w:w="0" w:type="auto"/>
            <w:vAlign w:val="center"/>
            <w:hideMark/>
          </w:tcPr>
          <w:p w14:paraId="52973A1A"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42 (32.8%)</w:t>
            </w:r>
          </w:p>
        </w:tc>
        <w:tc>
          <w:tcPr>
            <w:tcW w:w="0" w:type="auto"/>
            <w:vAlign w:val="center"/>
            <w:hideMark/>
          </w:tcPr>
          <w:p w14:paraId="0E9CDB7A"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44 (34.4%)</w:t>
            </w:r>
          </w:p>
        </w:tc>
        <w:tc>
          <w:tcPr>
            <w:tcW w:w="0" w:type="auto"/>
            <w:vAlign w:val="center"/>
            <w:hideMark/>
          </w:tcPr>
          <w:p w14:paraId="329C9D9B"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3.94</w:t>
            </w:r>
          </w:p>
        </w:tc>
        <w:tc>
          <w:tcPr>
            <w:tcW w:w="0" w:type="auto"/>
            <w:vAlign w:val="center"/>
            <w:hideMark/>
          </w:tcPr>
          <w:p w14:paraId="3D570552"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1.18</w:t>
            </w:r>
          </w:p>
        </w:tc>
      </w:tr>
      <w:tr w:rsidR="009D7E9A" w:rsidRPr="009D7E9A" w14:paraId="595D9566" w14:textId="77777777" w:rsidTr="00B360B9">
        <w:trPr>
          <w:tblCellSpacing w:w="15" w:type="dxa"/>
          <w:jc w:val="center"/>
        </w:trPr>
        <w:tc>
          <w:tcPr>
            <w:tcW w:w="3796" w:type="dxa"/>
            <w:vAlign w:val="center"/>
            <w:hideMark/>
          </w:tcPr>
          <w:p w14:paraId="51A1F47A" w14:textId="77777777" w:rsidR="009D7E9A" w:rsidRPr="009D7E9A" w:rsidRDefault="009D7E9A" w:rsidP="009D7E9A">
            <w:pPr>
              <w:spacing w:after="0" w:line="240" w:lineRule="auto"/>
              <w:rPr>
                <w:rFonts w:ascii="Times New Roman" w:hAnsi="Times New Roman"/>
              </w:rPr>
            </w:pPr>
            <w:r w:rsidRPr="009D7E9A">
              <w:rPr>
                <w:rFonts w:ascii="Times New Roman" w:hAnsi="Times New Roman"/>
              </w:rPr>
              <w:t>Community trust is weakened by repeated cycles of violence</w:t>
            </w:r>
          </w:p>
        </w:tc>
        <w:tc>
          <w:tcPr>
            <w:tcW w:w="0" w:type="auto"/>
            <w:vAlign w:val="center"/>
            <w:hideMark/>
          </w:tcPr>
          <w:p w14:paraId="4D2CDCDD"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12 (9.4%)</w:t>
            </w:r>
          </w:p>
        </w:tc>
        <w:tc>
          <w:tcPr>
            <w:tcW w:w="0" w:type="auto"/>
            <w:vAlign w:val="center"/>
            <w:hideMark/>
          </w:tcPr>
          <w:p w14:paraId="4D21DD61"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13 (10.2%)</w:t>
            </w:r>
          </w:p>
        </w:tc>
        <w:tc>
          <w:tcPr>
            <w:tcW w:w="0" w:type="auto"/>
            <w:vAlign w:val="center"/>
            <w:hideMark/>
          </w:tcPr>
          <w:p w14:paraId="2736BCF0"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16 (12.5%)</w:t>
            </w:r>
          </w:p>
        </w:tc>
        <w:tc>
          <w:tcPr>
            <w:tcW w:w="0" w:type="auto"/>
            <w:vAlign w:val="center"/>
            <w:hideMark/>
          </w:tcPr>
          <w:p w14:paraId="79FB0FD6"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43 (33.6%)</w:t>
            </w:r>
          </w:p>
        </w:tc>
        <w:tc>
          <w:tcPr>
            <w:tcW w:w="0" w:type="auto"/>
            <w:vAlign w:val="center"/>
            <w:hideMark/>
          </w:tcPr>
          <w:p w14:paraId="2F9B7DFA"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44 (34.4%)</w:t>
            </w:r>
          </w:p>
        </w:tc>
        <w:tc>
          <w:tcPr>
            <w:tcW w:w="0" w:type="auto"/>
            <w:vAlign w:val="center"/>
            <w:hideMark/>
          </w:tcPr>
          <w:p w14:paraId="7B3CB5C3"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3.95</w:t>
            </w:r>
          </w:p>
        </w:tc>
        <w:tc>
          <w:tcPr>
            <w:tcW w:w="0" w:type="auto"/>
            <w:vAlign w:val="center"/>
            <w:hideMark/>
          </w:tcPr>
          <w:p w14:paraId="6315E0CA"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1.17</w:t>
            </w:r>
          </w:p>
        </w:tc>
      </w:tr>
      <w:tr w:rsidR="009D7E9A" w:rsidRPr="009D7E9A" w14:paraId="58BB7862" w14:textId="77777777" w:rsidTr="00B360B9">
        <w:trPr>
          <w:tblCellSpacing w:w="15" w:type="dxa"/>
          <w:jc w:val="center"/>
        </w:trPr>
        <w:tc>
          <w:tcPr>
            <w:tcW w:w="3796" w:type="dxa"/>
            <w:vAlign w:val="center"/>
            <w:hideMark/>
          </w:tcPr>
          <w:p w14:paraId="76395918" w14:textId="77777777" w:rsidR="009D7E9A" w:rsidRPr="009D7E9A" w:rsidRDefault="009D7E9A" w:rsidP="009D7E9A">
            <w:pPr>
              <w:spacing w:after="0" w:line="240" w:lineRule="auto"/>
              <w:rPr>
                <w:rFonts w:ascii="Times New Roman" w:hAnsi="Times New Roman"/>
              </w:rPr>
            </w:pPr>
            <w:r w:rsidRPr="009D7E9A">
              <w:rPr>
                <w:rFonts w:ascii="Times New Roman" w:hAnsi="Times New Roman"/>
              </w:rPr>
              <w:t>Humanitarian access is constrained by insecurity and armed clashes</w:t>
            </w:r>
          </w:p>
        </w:tc>
        <w:tc>
          <w:tcPr>
            <w:tcW w:w="0" w:type="auto"/>
            <w:vAlign w:val="center"/>
            <w:hideMark/>
          </w:tcPr>
          <w:p w14:paraId="111BF544"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11 (8.6%)</w:t>
            </w:r>
          </w:p>
        </w:tc>
        <w:tc>
          <w:tcPr>
            <w:tcW w:w="0" w:type="auto"/>
            <w:vAlign w:val="center"/>
            <w:hideMark/>
          </w:tcPr>
          <w:p w14:paraId="789CFBCE"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14 (10.9%)</w:t>
            </w:r>
          </w:p>
        </w:tc>
        <w:tc>
          <w:tcPr>
            <w:tcW w:w="0" w:type="auto"/>
            <w:vAlign w:val="center"/>
            <w:hideMark/>
          </w:tcPr>
          <w:p w14:paraId="39750054"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15 (11.7%)</w:t>
            </w:r>
          </w:p>
        </w:tc>
        <w:tc>
          <w:tcPr>
            <w:tcW w:w="0" w:type="auto"/>
            <w:vAlign w:val="center"/>
            <w:hideMark/>
          </w:tcPr>
          <w:p w14:paraId="589A5EF8"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44 (34.4%)</w:t>
            </w:r>
          </w:p>
        </w:tc>
        <w:tc>
          <w:tcPr>
            <w:tcW w:w="0" w:type="auto"/>
            <w:vAlign w:val="center"/>
            <w:hideMark/>
          </w:tcPr>
          <w:p w14:paraId="353A42BC"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44 (34.4%)</w:t>
            </w:r>
          </w:p>
        </w:tc>
        <w:tc>
          <w:tcPr>
            <w:tcW w:w="0" w:type="auto"/>
            <w:vAlign w:val="center"/>
            <w:hideMark/>
          </w:tcPr>
          <w:p w14:paraId="171EFCB1"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3.96</w:t>
            </w:r>
          </w:p>
        </w:tc>
        <w:tc>
          <w:tcPr>
            <w:tcW w:w="0" w:type="auto"/>
            <w:vAlign w:val="center"/>
            <w:hideMark/>
          </w:tcPr>
          <w:p w14:paraId="1AD0D657"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1.16</w:t>
            </w:r>
          </w:p>
        </w:tc>
      </w:tr>
      <w:tr w:rsidR="009D7E9A" w:rsidRPr="009D7E9A" w14:paraId="0C8BEF34" w14:textId="77777777" w:rsidTr="00B360B9">
        <w:trPr>
          <w:tblCellSpacing w:w="15" w:type="dxa"/>
          <w:jc w:val="center"/>
        </w:trPr>
        <w:tc>
          <w:tcPr>
            <w:tcW w:w="3796" w:type="dxa"/>
            <w:vAlign w:val="center"/>
            <w:hideMark/>
          </w:tcPr>
          <w:p w14:paraId="2B062AF5" w14:textId="77777777" w:rsidR="009D7E9A" w:rsidRPr="009D7E9A" w:rsidRDefault="009D7E9A" w:rsidP="009D7E9A">
            <w:pPr>
              <w:spacing w:after="0" w:line="240" w:lineRule="auto"/>
              <w:rPr>
                <w:rFonts w:ascii="Times New Roman" w:hAnsi="Times New Roman"/>
              </w:rPr>
            </w:pPr>
            <w:r w:rsidRPr="009D7E9A">
              <w:rPr>
                <w:rFonts w:ascii="Times New Roman" w:hAnsi="Times New Roman"/>
              </w:rPr>
              <w:t>Political reconciliation efforts are often undermined by local rivalries</w:t>
            </w:r>
          </w:p>
        </w:tc>
        <w:tc>
          <w:tcPr>
            <w:tcW w:w="0" w:type="auto"/>
            <w:vAlign w:val="center"/>
            <w:hideMark/>
          </w:tcPr>
          <w:p w14:paraId="26AACD4D"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13 (10.2%)</w:t>
            </w:r>
          </w:p>
        </w:tc>
        <w:tc>
          <w:tcPr>
            <w:tcW w:w="0" w:type="auto"/>
            <w:vAlign w:val="center"/>
            <w:hideMark/>
          </w:tcPr>
          <w:p w14:paraId="0192C3B7"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12 (9.4%)</w:t>
            </w:r>
          </w:p>
        </w:tc>
        <w:tc>
          <w:tcPr>
            <w:tcW w:w="0" w:type="auto"/>
            <w:vAlign w:val="center"/>
            <w:hideMark/>
          </w:tcPr>
          <w:p w14:paraId="766AF48E"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15 (11.7%)</w:t>
            </w:r>
          </w:p>
        </w:tc>
        <w:tc>
          <w:tcPr>
            <w:tcW w:w="0" w:type="auto"/>
            <w:vAlign w:val="center"/>
            <w:hideMark/>
          </w:tcPr>
          <w:p w14:paraId="0034EAD2"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43 (33.6%)</w:t>
            </w:r>
          </w:p>
        </w:tc>
        <w:tc>
          <w:tcPr>
            <w:tcW w:w="0" w:type="auto"/>
            <w:vAlign w:val="center"/>
            <w:hideMark/>
          </w:tcPr>
          <w:p w14:paraId="09212347"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45 (35.2%)</w:t>
            </w:r>
          </w:p>
        </w:tc>
        <w:tc>
          <w:tcPr>
            <w:tcW w:w="0" w:type="auto"/>
            <w:vAlign w:val="center"/>
            <w:hideMark/>
          </w:tcPr>
          <w:p w14:paraId="57531BFB"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3.96</w:t>
            </w:r>
          </w:p>
        </w:tc>
        <w:tc>
          <w:tcPr>
            <w:tcW w:w="0" w:type="auto"/>
            <w:vAlign w:val="center"/>
            <w:hideMark/>
          </w:tcPr>
          <w:p w14:paraId="2A655573"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1.17</w:t>
            </w:r>
          </w:p>
        </w:tc>
      </w:tr>
      <w:tr w:rsidR="009D7E9A" w:rsidRPr="009D7E9A" w14:paraId="06BD56FB" w14:textId="77777777" w:rsidTr="00B360B9">
        <w:trPr>
          <w:tblCellSpacing w:w="15" w:type="dxa"/>
          <w:jc w:val="center"/>
        </w:trPr>
        <w:tc>
          <w:tcPr>
            <w:tcW w:w="3796" w:type="dxa"/>
            <w:vAlign w:val="center"/>
            <w:hideMark/>
          </w:tcPr>
          <w:p w14:paraId="6F6449DF" w14:textId="77777777" w:rsidR="009D7E9A" w:rsidRPr="009D7E9A" w:rsidRDefault="009D7E9A" w:rsidP="009D7E9A">
            <w:pPr>
              <w:spacing w:after="0" w:line="240" w:lineRule="auto"/>
              <w:rPr>
                <w:rFonts w:ascii="Times New Roman" w:hAnsi="Times New Roman"/>
              </w:rPr>
            </w:pPr>
            <w:r w:rsidRPr="009D7E9A">
              <w:rPr>
                <w:rFonts w:ascii="Times New Roman" w:hAnsi="Times New Roman"/>
              </w:rPr>
              <w:t>Limited rule of law allows impunity, reducing prospects for lasting peace</w:t>
            </w:r>
          </w:p>
        </w:tc>
        <w:tc>
          <w:tcPr>
            <w:tcW w:w="0" w:type="auto"/>
            <w:vAlign w:val="center"/>
            <w:hideMark/>
          </w:tcPr>
          <w:p w14:paraId="7572E1C0"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14 (10.9%)</w:t>
            </w:r>
          </w:p>
        </w:tc>
        <w:tc>
          <w:tcPr>
            <w:tcW w:w="0" w:type="auto"/>
            <w:vAlign w:val="center"/>
            <w:hideMark/>
          </w:tcPr>
          <w:p w14:paraId="534B78C3"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13 (10.2%)</w:t>
            </w:r>
          </w:p>
        </w:tc>
        <w:tc>
          <w:tcPr>
            <w:tcW w:w="0" w:type="auto"/>
            <w:vAlign w:val="center"/>
            <w:hideMark/>
          </w:tcPr>
          <w:p w14:paraId="1164ADFB"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14 (10.9%)</w:t>
            </w:r>
          </w:p>
        </w:tc>
        <w:tc>
          <w:tcPr>
            <w:tcW w:w="0" w:type="auto"/>
            <w:vAlign w:val="center"/>
            <w:hideMark/>
          </w:tcPr>
          <w:p w14:paraId="5E732131"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42 (32.8%)</w:t>
            </w:r>
          </w:p>
        </w:tc>
        <w:tc>
          <w:tcPr>
            <w:tcW w:w="0" w:type="auto"/>
            <w:vAlign w:val="center"/>
            <w:hideMark/>
          </w:tcPr>
          <w:p w14:paraId="01CD38AF"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45 (35.2%)</w:t>
            </w:r>
          </w:p>
        </w:tc>
        <w:tc>
          <w:tcPr>
            <w:tcW w:w="0" w:type="auto"/>
            <w:vAlign w:val="center"/>
            <w:hideMark/>
          </w:tcPr>
          <w:p w14:paraId="390449EC"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3.94</w:t>
            </w:r>
          </w:p>
        </w:tc>
        <w:tc>
          <w:tcPr>
            <w:tcW w:w="0" w:type="auto"/>
            <w:vAlign w:val="center"/>
            <w:hideMark/>
          </w:tcPr>
          <w:p w14:paraId="7494ACFD"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1.19</w:t>
            </w:r>
          </w:p>
        </w:tc>
      </w:tr>
      <w:tr w:rsidR="009D7E9A" w:rsidRPr="009D7E9A" w14:paraId="2826F69A" w14:textId="77777777" w:rsidTr="00B360B9">
        <w:trPr>
          <w:tblCellSpacing w:w="15" w:type="dxa"/>
          <w:jc w:val="center"/>
        </w:trPr>
        <w:tc>
          <w:tcPr>
            <w:tcW w:w="3796" w:type="dxa"/>
            <w:vAlign w:val="center"/>
            <w:hideMark/>
          </w:tcPr>
          <w:p w14:paraId="28BE9268" w14:textId="77777777" w:rsidR="009D7E9A" w:rsidRPr="009D7E9A" w:rsidRDefault="009D7E9A" w:rsidP="009D7E9A">
            <w:pPr>
              <w:spacing w:after="0" w:line="240" w:lineRule="auto"/>
              <w:rPr>
                <w:rFonts w:ascii="Times New Roman" w:hAnsi="Times New Roman"/>
              </w:rPr>
            </w:pPr>
            <w:r w:rsidRPr="009D7E9A">
              <w:rPr>
                <w:rFonts w:ascii="Times New Roman" w:hAnsi="Times New Roman"/>
              </w:rPr>
              <w:t>Unequal resource distribution continues to spark tensions between groups</w:t>
            </w:r>
          </w:p>
        </w:tc>
        <w:tc>
          <w:tcPr>
            <w:tcW w:w="0" w:type="auto"/>
            <w:vAlign w:val="center"/>
            <w:hideMark/>
          </w:tcPr>
          <w:p w14:paraId="3203749A"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12 (9.4%)</w:t>
            </w:r>
          </w:p>
        </w:tc>
        <w:tc>
          <w:tcPr>
            <w:tcW w:w="0" w:type="auto"/>
            <w:vAlign w:val="center"/>
            <w:hideMark/>
          </w:tcPr>
          <w:p w14:paraId="499D0319"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14 (10.9%)</w:t>
            </w:r>
          </w:p>
        </w:tc>
        <w:tc>
          <w:tcPr>
            <w:tcW w:w="0" w:type="auto"/>
            <w:vAlign w:val="center"/>
            <w:hideMark/>
          </w:tcPr>
          <w:p w14:paraId="278CB70B"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16 (12.5%)</w:t>
            </w:r>
          </w:p>
        </w:tc>
        <w:tc>
          <w:tcPr>
            <w:tcW w:w="0" w:type="auto"/>
            <w:vAlign w:val="center"/>
            <w:hideMark/>
          </w:tcPr>
          <w:p w14:paraId="5C56D61E"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42 (32.8%)</w:t>
            </w:r>
          </w:p>
        </w:tc>
        <w:tc>
          <w:tcPr>
            <w:tcW w:w="0" w:type="auto"/>
            <w:vAlign w:val="center"/>
            <w:hideMark/>
          </w:tcPr>
          <w:p w14:paraId="0A6134CA"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44 (34.4%)</w:t>
            </w:r>
          </w:p>
        </w:tc>
        <w:tc>
          <w:tcPr>
            <w:tcW w:w="0" w:type="auto"/>
            <w:vAlign w:val="center"/>
            <w:hideMark/>
          </w:tcPr>
          <w:p w14:paraId="4E32CE79"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3.95</w:t>
            </w:r>
          </w:p>
        </w:tc>
        <w:tc>
          <w:tcPr>
            <w:tcW w:w="0" w:type="auto"/>
            <w:vAlign w:val="center"/>
            <w:hideMark/>
          </w:tcPr>
          <w:p w14:paraId="0E27CE6D"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rPr>
              <w:t>1.18</w:t>
            </w:r>
          </w:p>
        </w:tc>
      </w:tr>
      <w:tr w:rsidR="009D7E9A" w:rsidRPr="009D7E9A" w14:paraId="734B1662" w14:textId="77777777" w:rsidTr="00B360B9">
        <w:trPr>
          <w:tblCellSpacing w:w="15" w:type="dxa"/>
          <w:jc w:val="center"/>
        </w:trPr>
        <w:tc>
          <w:tcPr>
            <w:tcW w:w="3796" w:type="dxa"/>
            <w:tcBorders>
              <w:bottom w:val="single" w:sz="4" w:space="0" w:color="auto"/>
            </w:tcBorders>
            <w:vAlign w:val="center"/>
            <w:hideMark/>
          </w:tcPr>
          <w:p w14:paraId="79CF44F6" w14:textId="77777777" w:rsidR="009D7E9A" w:rsidRPr="009D7E9A" w:rsidRDefault="009D7E9A" w:rsidP="009D7E9A">
            <w:pPr>
              <w:spacing w:after="0" w:line="240" w:lineRule="auto"/>
              <w:rPr>
                <w:rFonts w:ascii="Times New Roman" w:hAnsi="Times New Roman"/>
              </w:rPr>
            </w:pPr>
            <w:r w:rsidRPr="009D7E9A">
              <w:rPr>
                <w:rFonts w:ascii="Times New Roman" w:hAnsi="Times New Roman"/>
                <w:b/>
                <w:bCs/>
              </w:rPr>
              <w:t>Average Mean and SD</w:t>
            </w:r>
          </w:p>
        </w:tc>
        <w:tc>
          <w:tcPr>
            <w:tcW w:w="0" w:type="auto"/>
            <w:tcBorders>
              <w:bottom w:val="single" w:sz="4" w:space="0" w:color="auto"/>
            </w:tcBorders>
            <w:vAlign w:val="center"/>
            <w:hideMark/>
          </w:tcPr>
          <w:p w14:paraId="1F959B76" w14:textId="77777777" w:rsidR="009D7E9A" w:rsidRPr="009D7E9A" w:rsidRDefault="009D7E9A" w:rsidP="009D7E9A">
            <w:pPr>
              <w:spacing w:after="0" w:line="240" w:lineRule="auto"/>
              <w:jc w:val="center"/>
              <w:rPr>
                <w:rFonts w:ascii="Times New Roman" w:hAnsi="Times New Roman"/>
              </w:rPr>
            </w:pPr>
          </w:p>
        </w:tc>
        <w:tc>
          <w:tcPr>
            <w:tcW w:w="0" w:type="auto"/>
            <w:tcBorders>
              <w:bottom w:val="single" w:sz="4" w:space="0" w:color="auto"/>
            </w:tcBorders>
            <w:vAlign w:val="center"/>
            <w:hideMark/>
          </w:tcPr>
          <w:p w14:paraId="4979CEB7" w14:textId="77777777" w:rsidR="009D7E9A" w:rsidRPr="009D7E9A" w:rsidRDefault="009D7E9A" w:rsidP="009D7E9A">
            <w:pPr>
              <w:spacing w:after="0" w:line="240" w:lineRule="auto"/>
              <w:jc w:val="center"/>
              <w:rPr>
                <w:rFonts w:ascii="Times New Roman" w:hAnsi="Times New Roman"/>
              </w:rPr>
            </w:pPr>
          </w:p>
        </w:tc>
        <w:tc>
          <w:tcPr>
            <w:tcW w:w="0" w:type="auto"/>
            <w:tcBorders>
              <w:bottom w:val="single" w:sz="4" w:space="0" w:color="auto"/>
            </w:tcBorders>
            <w:vAlign w:val="center"/>
            <w:hideMark/>
          </w:tcPr>
          <w:p w14:paraId="60FC1BF1" w14:textId="77777777" w:rsidR="009D7E9A" w:rsidRPr="009D7E9A" w:rsidRDefault="009D7E9A" w:rsidP="009D7E9A">
            <w:pPr>
              <w:spacing w:after="0" w:line="240" w:lineRule="auto"/>
              <w:jc w:val="center"/>
              <w:rPr>
                <w:rFonts w:ascii="Times New Roman" w:hAnsi="Times New Roman"/>
              </w:rPr>
            </w:pPr>
          </w:p>
        </w:tc>
        <w:tc>
          <w:tcPr>
            <w:tcW w:w="0" w:type="auto"/>
            <w:tcBorders>
              <w:bottom w:val="single" w:sz="4" w:space="0" w:color="auto"/>
            </w:tcBorders>
            <w:vAlign w:val="center"/>
            <w:hideMark/>
          </w:tcPr>
          <w:p w14:paraId="42C8E81C" w14:textId="77777777" w:rsidR="009D7E9A" w:rsidRPr="009D7E9A" w:rsidRDefault="009D7E9A" w:rsidP="009D7E9A">
            <w:pPr>
              <w:spacing w:after="0" w:line="240" w:lineRule="auto"/>
              <w:jc w:val="center"/>
              <w:rPr>
                <w:rFonts w:ascii="Times New Roman" w:hAnsi="Times New Roman"/>
              </w:rPr>
            </w:pPr>
          </w:p>
        </w:tc>
        <w:tc>
          <w:tcPr>
            <w:tcW w:w="0" w:type="auto"/>
            <w:tcBorders>
              <w:bottom w:val="single" w:sz="4" w:space="0" w:color="auto"/>
            </w:tcBorders>
            <w:vAlign w:val="center"/>
            <w:hideMark/>
          </w:tcPr>
          <w:p w14:paraId="307D41CE" w14:textId="77777777" w:rsidR="009D7E9A" w:rsidRPr="009D7E9A" w:rsidRDefault="009D7E9A" w:rsidP="009D7E9A">
            <w:pPr>
              <w:spacing w:after="0" w:line="240" w:lineRule="auto"/>
              <w:jc w:val="center"/>
              <w:rPr>
                <w:rFonts w:ascii="Times New Roman" w:hAnsi="Times New Roman"/>
              </w:rPr>
            </w:pPr>
          </w:p>
        </w:tc>
        <w:tc>
          <w:tcPr>
            <w:tcW w:w="0" w:type="auto"/>
            <w:tcBorders>
              <w:bottom w:val="single" w:sz="4" w:space="0" w:color="auto"/>
            </w:tcBorders>
            <w:vAlign w:val="center"/>
            <w:hideMark/>
          </w:tcPr>
          <w:p w14:paraId="50524830"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b/>
                <w:bCs/>
              </w:rPr>
              <w:t>3.95</w:t>
            </w:r>
          </w:p>
        </w:tc>
        <w:tc>
          <w:tcPr>
            <w:tcW w:w="0" w:type="auto"/>
            <w:tcBorders>
              <w:bottom w:val="single" w:sz="4" w:space="0" w:color="auto"/>
            </w:tcBorders>
            <w:vAlign w:val="center"/>
            <w:hideMark/>
          </w:tcPr>
          <w:p w14:paraId="7FA836CB" w14:textId="77777777" w:rsidR="009D7E9A" w:rsidRPr="009D7E9A" w:rsidRDefault="009D7E9A" w:rsidP="009D7E9A">
            <w:pPr>
              <w:spacing w:after="0" w:line="240" w:lineRule="auto"/>
              <w:jc w:val="center"/>
              <w:rPr>
                <w:rFonts w:ascii="Times New Roman" w:hAnsi="Times New Roman"/>
              </w:rPr>
            </w:pPr>
            <w:r w:rsidRPr="009D7E9A">
              <w:rPr>
                <w:rFonts w:ascii="Times New Roman" w:hAnsi="Times New Roman"/>
                <w:b/>
                <w:bCs/>
              </w:rPr>
              <w:t>1.18</w:t>
            </w:r>
          </w:p>
        </w:tc>
      </w:tr>
    </w:tbl>
    <w:p w14:paraId="22A6AB8F" w14:textId="77777777" w:rsidR="009D7E9A" w:rsidRPr="009D7E9A" w:rsidRDefault="009D7E9A" w:rsidP="009D7E9A">
      <w:pPr>
        <w:autoSpaceDE w:val="0"/>
        <w:autoSpaceDN w:val="0"/>
        <w:adjustRightInd w:val="0"/>
        <w:spacing w:after="120" w:line="240" w:lineRule="auto"/>
        <w:jc w:val="both"/>
        <w:rPr>
          <w:rFonts w:ascii="Times New Roman" w:hAnsi="Times New Roman"/>
          <w:bCs/>
        </w:rPr>
      </w:pPr>
      <w:r w:rsidRPr="009D7E9A">
        <w:rPr>
          <w:rFonts w:ascii="Times New Roman" w:hAnsi="Times New Roman"/>
          <w:bCs/>
        </w:rPr>
        <w:t>Source: Primary Data, 2025</w:t>
      </w:r>
    </w:p>
    <w:p w14:paraId="6F104D76" w14:textId="77777777" w:rsidR="009D7E9A" w:rsidRPr="009D7E9A" w:rsidRDefault="009D7E9A" w:rsidP="009D5AF2">
      <w:pPr>
        <w:autoSpaceDE w:val="0"/>
        <w:autoSpaceDN w:val="0"/>
        <w:adjustRightInd w:val="0"/>
        <w:spacing w:before="240" w:line="240" w:lineRule="auto"/>
        <w:jc w:val="both"/>
        <w:rPr>
          <w:rFonts w:ascii="Times New Roman" w:hAnsi="Times New Roman"/>
          <w:b/>
          <w:bCs/>
        </w:rPr>
      </w:pPr>
      <w:r w:rsidRPr="009D7E9A">
        <w:rPr>
          <w:rFonts w:ascii="Times New Roman" w:hAnsi="Times New Roman"/>
          <w:b/>
          <w:bCs/>
        </w:rPr>
        <w:t>Interpretation of Mean Table for Likert Scale Results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2249"/>
        <w:gridCol w:w="2125"/>
        <w:gridCol w:w="2914"/>
      </w:tblGrid>
      <w:tr w:rsidR="009D7E9A" w:rsidRPr="009D7E9A" w14:paraId="4B4F1FA3" w14:textId="77777777" w:rsidTr="00B360B9">
        <w:tc>
          <w:tcPr>
            <w:tcW w:w="1818" w:type="dxa"/>
            <w:tcBorders>
              <w:top w:val="single" w:sz="4" w:space="0" w:color="auto"/>
              <w:bottom w:val="single" w:sz="4" w:space="0" w:color="auto"/>
            </w:tcBorders>
          </w:tcPr>
          <w:p w14:paraId="5F7890C4"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b/>
                <w:bCs/>
              </w:rPr>
              <w:t>Category</w:t>
            </w:r>
          </w:p>
        </w:tc>
        <w:tc>
          <w:tcPr>
            <w:tcW w:w="2430" w:type="dxa"/>
            <w:tcBorders>
              <w:top w:val="single" w:sz="4" w:space="0" w:color="auto"/>
              <w:bottom w:val="single" w:sz="4" w:space="0" w:color="auto"/>
            </w:tcBorders>
          </w:tcPr>
          <w:p w14:paraId="2F56946F"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b/>
                <w:bCs/>
              </w:rPr>
              <w:t xml:space="preserve">Mean range </w:t>
            </w:r>
          </w:p>
        </w:tc>
        <w:tc>
          <w:tcPr>
            <w:tcW w:w="2250" w:type="dxa"/>
            <w:tcBorders>
              <w:top w:val="single" w:sz="4" w:space="0" w:color="auto"/>
              <w:bottom w:val="single" w:sz="4" w:space="0" w:color="auto"/>
            </w:tcBorders>
          </w:tcPr>
          <w:p w14:paraId="27892903"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b/>
                <w:bCs/>
              </w:rPr>
              <w:t xml:space="preserve">Response </w:t>
            </w:r>
          </w:p>
        </w:tc>
        <w:tc>
          <w:tcPr>
            <w:tcW w:w="3078" w:type="dxa"/>
            <w:tcBorders>
              <w:top w:val="single" w:sz="4" w:space="0" w:color="auto"/>
              <w:bottom w:val="single" w:sz="4" w:space="0" w:color="auto"/>
            </w:tcBorders>
          </w:tcPr>
          <w:p w14:paraId="53F724E4"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b/>
                <w:bCs/>
              </w:rPr>
              <w:t xml:space="preserve">Interpretation </w:t>
            </w:r>
          </w:p>
        </w:tc>
      </w:tr>
      <w:tr w:rsidR="009D7E9A" w:rsidRPr="009D7E9A" w14:paraId="2813AD9D" w14:textId="77777777" w:rsidTr="00B360B9">
        <w:tc>
          <w:tcPr>
            <w:tcW w:w="1818" w:type="dxa"/>
            <w:tcBorders>
              <w:top w:val="single" w:sz="4" w:space="0" w:color="auto"/>
            </w:tcBorders>
          </w:tcPr>
          <w:p w14:paraId="357D7DC4"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b/>
                <w:bCs/>
              </w:rPr>
              <w:t>1</w:t>
            </w:r>
          </w:p>
        </w:tc>
        <w:tc>
          <w:tcPr>
            <w:tcW w:w="2430" w:type="dxa"/>
            <w:tcBorders>
              <w:top w:val="single" w:sz="4" w:space="0" w:color="auto"/>
            </w:tcBorders>
          </w:tcPr>
          <w:p w14:paraId="2A4EA1F8"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b/>
                <w:bCs/>
              </w:rPr>
              <w:t>1.00 - 1.80</w:t>
            </w:r>
          </w:p>
        </w:tc>
        <w:tc>
          <w:tcPr>
            <w:tcW w:w="2250" w:type="dxa"/>
            <w:tcBorders>
              <w:top w:val="single" w:sz="4" w:space="0" w:color="auto"/>
            </w:tcBorders>
          </w:tcPr>
          <w:p w14:paraId="25A871CD"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rPr>
              <w:t>Strongly Disagree</w:t>
            </w:r>
          </w:p>
        </w:tc>
        <w:tc>
          <w:tcPr>
            <w:tcW w:w="3078" w:type="dxa"/>
            <w:tcBorders>
              <w:top w:val="single" w:sz="4" w:space="0" w:color="auto"/>
            </w:tcBorders>
          </w:tcPr>
          <w:p w14:paraId="4A227C9F" w14:textId="77777777" w:rsidR="009D7E9A" w:rsidRPr="009D7E9A" w:rsidRDefault="009D7E9A" w:rsidP="009D7E9A">
            <w:pPr>
              <w:autoSpaceDE w:val="0"/>
              <w:autoSpaceDN w:val="0"/>
              <w:adjustRightInd w:val="0"/>
              <w:spacing w:after="0" w:line="240" w:lineRule="auto"/>
              <w:jc w:val="both"/>
              <w:rPr>
                <w:rFonts w:ascii="Times New Roman" w:hAnsi="Times New Roman"/>
              </w:rPr>
            </w:pPr>
            <w:r w:rsidRPr="009D7E9A">
              <w:rPr>
                <w:rFonts w:ascii="Times New Roman" w:hAnsi="Times New Roman"/>
              </w:rPr>
              <w:t xml:space="preserve">Very low </w:t>
            </w:r>
          </w:p>
        </w:tc>
      </w:tr>
      <w:tr w:rsidR="009D7E9A" w:rsidRPr="009D7E9A" w14:paraId="74AE0F8B" w14:textId="77777777" w:rsidTr="00B360B9">
        <w:tc>
          <w:tcPr>
            <w:tcW w:w="1818" w:type="dxa"/>
          </w:tcPr>
          <w:p w14:paraId="15F82F50"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b/>
                <w:bCs/>
              </w:rPr>
              <w:t>2</w:t>
            </w:r>
          </w:p>
        </w:tc>
        <w:tc>
          <w:tcPr>
            <w:tcW w:w="2430" w:type="dxa"/>
          </w:tcPr>
          <w:p w14:paraId="6D3BCA48" w14:textId="77777777" w:rsidR="009D7E9A" w:rsidRPr="009D7E9A" w:rsidRDefault="009D7E9A" w:rsidP="009D7E9A">
            <w:pPr>
              <w:autoSpaceDE w:val="0"/>
              <w:autoSpaceDN w:val="0"/>
              <w:adjustRightInd w:val="0"/>
              <w:spacing w:after="0" w:line="240" w:lineRule="auto"/>
              <w:jc w:val="both"/>
              <w:rPr>
                <w:rFonts w:ascii="Times New Roman" w:hAnsi="Times New Roman"/>
              </w:rPr>
            </w:pPr>
            <w:r w:rsidRPr="009D7E9A">
              <w:rPr>
                <w:rFonts w:ascii="Times New Roman" w:hAnsi="Times New Roman"/>
                <w:b/>
                <w:bCs/>
              </w:rPr>
              <w:t>1.81 - 2.60</w:t>
            </w:r>
          </w:p>
        </w:tc>
        <w:tc>
          <w:tcPr>
            <w:tcW w:w="2250" w:type="dxa"/>
          </w:tcPr>
          <w:p w14:paraId="29CC0B2B"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rPr>
              <w:t>Disagree</w:t>
            </w:r>
          </w:p>
        </w:tc>
        <w:tc>
          <w:tcPr>
            <w:tcW w:w="3078" w:type="dxa"/>
          </w:tcPr>
          <w:p w14:paraId="13D53063" w14:textId="77777777" w:rsidR="009D7E9A" w:rsidRPr="009D7E9A" w:rsidRDefault="009D7E9A" w:rsidP="009D7E9A">
            <w:pPr>
              <w:autoSpaceDE w:val="0"/>
              <w:autoSpaceDN w:val="0"/>
              <w:adjustRightInd w:val="0"/>
              <w:spacing w:after="0" w:line="240" w:lineRule="auto"/>
              <w:jc w:val="both"/>
              <w:rPr>
                <w:rFonts w:ascii="Times New Roman" w:hAnsi="Times New Roman"/>
                <w:bCs/>
              </w:rPr>
            </w:pPr>
            <w:r w:rsidRPr="009D7E9A">
              <w:rPr>
                <w:rFonts w:ascii="Times New Roman" w:hAnsi="Times New Roman"/>
                <w:bCs/>
              </w:rPr>
              <w:t>Low</w:t>
            </w:r>
          </w:p>
        </w:tc>
      </w:tr>
      <w:tr w:rsidR="009D7E9A" w:rsidRPr="009D7E9A" w14:paraId="528C4838" w14:textId="77777777" w:rsidTr="00B360B9">
        <w:tc>
          <w:tcPr>
            <w:tcW w:w="1818" w:type="dxa"/>
          </w:tcPr>
          <w:p w14:paraId="54972F92"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b/>
                <w:bCs/>
              </w:rPr>
              <w:t>3</w:t>
            </w:r>
          </w:p>
        </w:tc>
        <w:tc>
          <w:tcPr>
            <w:tcW w:w="2430" w:type="dxa"/>
          </w:tcPr>
          <w:p w14:paraId="4708D96B" w14:textId="77777777" w:rsidR="009D7E9A" w:rsidRPr="009D7E9A" w:rsidRDefault="009D7E9A" w:rsidP="009D7E9A">
            <w:pPr>
              <w:autoSpaceDE w:val="0"/>
              <w:autoSpaceDN w:val="0"/>
              <w:adjustRightInd w:val="0"/>
              <w:spacing w:after="0" w:line="240" w:lineRule="auto"/>
              <w:jc w:val="both"/>
              <w:rPr>
                <w:rFonts w:ascii="Times New Roman" w:hAnsi="Times New Roman"/>
              </w:rPr>
            </w:pPr>
            <w:r w:rsidRPr="009D7E9A">
              <w:rPr>
                <w:rFonts w:ascii="Times New Roman" w:hAnsi="Times New Roman"/>
                <w:b/>
                <w:bCs/>
              </w:rPr>
              <w:t>2.61 - 3.40</w:t>
            </w:r>
          </w:p>
        </w:tc>
        <w:tc>
          <w:tcPr>
            <w:tcW w:w="2250" w:type="dxa"/>
          </w:tcPr>
          <w:p w14:paraId="3989AE7F"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rPr>
              <w:t>Neutral</w:t>
            </w:r>
          </w:p>
        </w:tc>
        <w:tc>
          <w:tcPr>
            <w:tcW w:w="3078" w:type="dxa"/>
          </w:tcPr>
          <w:p w14:paraId="71F802B2" w14:textId="77777777" w:rsidR="009D7E9A" w:rsidRPr="009D7E9A" w:rsidRDefault="009D7E9A" w:rsidP="009D7E9A">
            <w:pPr>
              <w:autoSpaceDE w:val="0"/>
              <w:autoSpaceDN w:val="0"/>
              <w:adjustRightInd w:val="0"/>
              <w:spacing w:after="0" w:line="240" w:lineRule="auto"/>
              <w:jc w:val="both"/>
              <w:rPr>
                <w:rFonts w:ascii="Times New Roman" w:hAnsi="Times New Roman"/>
                <w:bCs/>
              </w:rPr>
            </w:pPr>
            <w:r w:rsidRPr="009D7E9A">
              <w:rPr>
                <w:rFonts w:ascii="Times New Roman" w:hAnsi="Times New Roman"/>
                <w:bCs/>
              </w:rPr>
              <w:t xml:space="preserve">Not Sure </w:t>
            </w:r>
          </w:p>
        </w:tc>
      </w:tr>
      <w:tr w:rsidR="009D7E9A" w:rsidRPr="009D7E9A" w14:paraId="0FA70289" w14:textId="77777777" w:rsidTr="00B360B9">
        <w:tc>
          <w:tcPr>
            <w:tcW w:w="1818" w:type="dxa"/>
          </w:tcPr>
          <w:p w14:paraId="6ABB795D"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b/>
                <w:bCs/>
              </w:rPr>
              <w:t>4</w:t>
            </w:r>
          </w:p>
        </w:tc>
        <w:tc>
          <w:tcPr>
            <w:tcW w:w="2430" w:type="dxa"/>
          </w:tcPr>
          <w:p w14:paraId="352BC9A4" w14:textId="77777777" w:rsidR="009D7E9A" w:rsidRPr="009D7E9A" w:rsidRDefault="009D7E9A" w:rsidP="009D7E9A">
            <w:pPr>
              <w:autoSpaceDE w:val="0"/>
              <w:autoSpaceDN w:val="0"/>
              <w:adjustRightInd w:val="0"/>
              <w:spacing w:after="0" w:line="240" w:lineRule="auto"/>
              <w:jc w:val="both"/>
              <w:rPr>
                <w:rFonts w:ascii="Times New Roman" w:hAnsi="Times New Roman"/>
              </w:rPr>
            </w:pPr>
            <w:r w:rsidRPr="009D7E9A">
              <w:rPr>
                <w:rFonts w:ascii="Times New Roman" w:hAnsi="Times New Roman"/>
                <w:b/>
                <w:bCs/>
              </w:rPr>
              <w:t>3.41 - 4.20</w:t>
            </w:r>
          </w:p>
        </w:tc>
        <w:tc>
          <w:tcPr>
            <w:tcW w:w="2250" w:type="dxa"/>
          </w:tcPr>
          <w:p w14:paraId="6BE35EC9"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rPr>
              <w:t>Agree</w:t>
            </w:r>
          </w:p>
        </w:tc>
        <w:tc>
          <w:tcPr>
            <w:tcW w:w="3078" w:type="dxa"/>
          </w:tcPr>
          <w:p w14:paraId="0CB8266E" w14:textId="77777777" w:rsidR="009D7E9A" w:rsidRPr="009D7E9A" w:rsidRDefault="009D7E9A" w:rsidP="009D7E9A">
            <w:pPr>
              <w:autoSpaceDE w:val="0"/>
              <w:autoSpaceDN w:val="0"/>
              <w:adjustRightInd w:val="0"/>
              <w:spacing w:after="0" w:line="240" w:lineRule="auto"/>
              <w:jc w:val="both"/>
              <w:rPr>
                <w:rFonts w:ascii="Times New Roman" w:hAnsi="Times New Roman"/>
                <w:bCs/>
              </w:rPr>
            </w:pPr>
            <w:r w:rsidRPr="009D7E9A">
              <w:rPr>
                <w:rFonts w:ascii="Times New Roman" w:hAnsi="Times New Roman"/>
                <w:bCs/>
              </w:rPr>
              <w:t xml:space="preserve">High </w:t>
            </w:r>
          </w:p>
        </w:tc>
      </w:tr>
      <w:tr w:rsidR="009D7E9A" w:rsidRPr="009D7E9A" w14:paraId="6A5C9B54" w14:textId="77777777" w:rsidTr="00B360B9">
        <w:tc>
          <w:tcPr>
            <w:tcW w:w="1818" w:type="dxa"/>
          </w:tcPr>
          <w:p w14:paraId="1518FA91"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b/>
                <w:bCs/>
              </w:rPr>
              <w:t>5</w:t>
            </w:r>
          </w:p>
        </w:tc>
        <w:tc>
          <w:tcPr>
            <w:tcW w:w="2430" w:type="dxa"/>
          </w:tcPr>
          <w:p w14:paraId="7A515A60" w14:textId="77777777" w:rsidR="009D7E9A" w:rsidRPr="009D7E9A" w:rsidRDefault="009D7E9A" w:rsidP="009D7E9A">
            <w:pPr>
              <w:autoSpaceDE w:val="0"/>
              <w:autoSpaceDN w:val="0"/>
              <w:adjustRightInd w:val="0"/>
              <w:spacing w:after="0" w:line="240" w:lineRule="auto"/>
              <w:jc w:val="both"/>
              <w:rPr>
                <w:rFonts w:ascii="Times New Roman" w:hAnsi="Times New Roman"/>
              </w:rPr>
            </w:pPr>
            <w:r w:rsidRPr="009D7E9A">
              <w:rPr>
                <w:rFonts w:ascii="Times New Roman" w:hAnsi="Times New Roman"/>
                <w:b/>
                <w:bCs/>
              </w:rPr>
              <w:t>4.21 - 5.00</w:t>
            </w:r>
          </w:p>
        </w:tc>
        <w:tc>
          <w:tcPr>
            <w:tcW w:w="2250" w:type="dxa"/>
          </w:tcPr>
          <w:p w14:paraId="1E04FC94" w14:textId="77777777" w:rsidR="009D7E9A" w:rsidRPr="009D7E9A" w:rsidRDefault="009D7E9A" w:rsidP="009D7E9A">
            <w:pPr>
              <w:autoSpaceDE w:val="0"/>
              <w:autoSpaceDN w:val="0"/>
              <w:adjustRightInd w:val="0"/>
              <w:spacing w:after="0" w:line="240" w:lineRule="auto"/>
              <w:jc w:val="both"/>
              <w:rPr>
                <w:rFonts w:ascii="Times New Roman" w:hAnsi="Times New Roman"/>
                <w:b/>
                <w:bCs/>
              </w:rPr>
            </w:pPr>
            <w:r w:rsidRPr="009D7E9A">
              <w:rPr>
                <w:rFonts w:ascii="Times New Roman" w:hAnsi="Times New Roman"/>
              </w:rPr>
              <w:t>Strongly Agree</w:t>
            </w:r>
          </w:p>
        </w:tc>
        <w:tc>
          <w:tcPr>
            <w:tcW w:w="3078" w:type="dxa"/>
          </w:tcPr>
          <w:p w14:paraId="405A7C3A" w14:textId="77777777" w:rsidR="009D7E9A" w:rsidRPr="009D7E9A" w:rsidRDefault="009D7E9A" w:rsidP="009D7E9A">
            <w:pPr>
              <w:autoSpaceDE w:val="0"/>
              <w:autoSpaceDN w:val="0"/>
              <w:adjustRightInd w:val="0"/>
              <w:spacing w:after="0" w:line="240" w:lineRule="auto"/>
              <w:jc w:val="both"/>
              <w:rPr>
                <w:rFonts w:ascii="Times New Roman" w:hAnsi="Times New Roman"/>
                <w:bCs/>
              </w:rPr>
            </w:pPr>
            <w:r w:rsidRPr="009D7E9A">
              <w:rPr>
                <w:rFonts w:ascii="Times New Roman" w:hAnsi="Times New Roman"/>
                <w:bCs/>
              </w:rPr>
              <w:t xml:space="preserve">Very high </w:t>
            </w:r>
          </w:p>
        </w:tc>
      </w:tr>
    </w:tbl>
    <w:p w14:paraId="7DBFD2AF" w14:textId="77777777" w:rsidR="009D7E9A" w:rsidRDefault="009D7E9A" w:rsidP="005752F1">
      <w:pPr>
        <w:pStyle w:val="Caption"/>
        <w:spacing w:before="240" w:after="0"/>
        <w:rPr>
          <w:rFonts w:ascii="Times New Roman" w:hAnsi="Times New Roman"/>
          <w:b w:val="0"/>
          <w:i/>
          <w:color w:val="auto"/>
          <w:sz w:val="22"/>
          <w:szCs w:val="22"/>
        </w:rPr>
      </w:pPr>
    </w:p>
    <w:p w14:paraId="4302765D" w14:textId="77777777" w:rsidR="009D5AF2" w:rsidRPr="009D5AF2" w:rsidRDefault="009D5AF2" w:rsidP="009D5AF2">
      <w:pPr>
        <w:spacing w:line="240" w:lineRule="auto"/>
        <w:jc w:val="both"/>
        <w:rPr>
          <w:rFonts w:ascii="Times New Roman" w:hAnsi="Times New Roman"/>
          <w:lang w:bidi="en-US"/>
        </w:rPr>
      </w:pPr>
      <w:r w:rsidRPr="009D5AF2">
        <w:rPr>
          <w:rFonts w:ascii="Times New Roman" w:hAnsi="Times New Roman"/>
          <w:lang w:bidi="en-US"/>
        </w:rPr>
        <w:t>Table 4.4 presents respondents’ perceptions of sustainable peace in Unity State, South Sudan. The overall average mean score of 3.95, with a standard deviation of 1.18, indicates a generally high level of agreement among respondents that the region continues to face significant peace and security challenges linked to structural and contextual factors. The relatively consistent standard deviation values suggest a moderate level of agreement across responses.</w:t>
      </w:r>
    </w:p>
    <w:p w14:paraId="5083B21D" w14:textId="77777777" w:rsidR="009D5AF2" w:rsidRPr="009D5AF2" w:rsidRDefault="009D5AF2" w:rsidP="009D5AF2">
      <w:pPr>
        <w:spacing w:line="240" w:lineRule="auto"/>
        <w:jc w:val="both"/>
        <w:rPr>
          <w:rFonts w:ascii="Times New Roman" w:hAnsi="Times New Roman"/>
          <w:lang w:bidi="en-US"/>
        </w:rPr>
      </w:pPr>
      <w:r w:rsidRPr="009D5AF2">
        <w:rPr>
          <w:rFonts w:ascii="Times New Roman" w:hAnsi="Times New Roman"/>
          <w:lang w:bidi="en-US"/>
        </w:rPr>
        <w:t xml:space="preserve">The findings reveal that respondents agree that security in Unity State remains volatile due to power struggles and resource conflicts (mean = 3.95). Similarly, there is strong agreement that the presence of local militias and armed groups contributes to regional instability (mean = 3.96). Respondents also </w:t>
      </w:r>
      <w:r w:rsidRPr="009D5AF2">
        <w:rPr>
          <w:rFonts w:ascii="Times New Roman" w:hAnsi="Times New Roman"/>
          <w:lang w:bidi="en-US"/>
        </w:rPr>
        <w:lastRenderedPageBreak/>
        <w:t>indicated that ethnic and political tensions limit the effectiveness of peacekeeping efforts (mean = 3.93), highlighting the challenges external interventions face in such contexts. Power imbalances and disputes over resources were likewise identified as key drivers of ongoing insecurity (mean = 3.95), reinforcing the link between governance issues and instability.</w:t>
      </w:r>
    </w:p>
    <w:p w14:paraId="6754E4B0" w14:textId="77777777" w:rsidR="009D5AF2" w:rsidRPr="009D5AF2" w:rsidRDefault="009D5AF2" w:rsidP="009D5AF2">
      <w:pPr>
        <w:spacing w:line="240" w:lineRule="auto"/>
        <w:jc w:val="both"/>
        <w:rPr>
          <w:rFonts w:ascii="Times New Roman" w:hAnsi="Times New Roman"/>
          <w:lang w:bidi="en-US"/>
        </w:rPr>
      </w:pPr>
      <w:r w:rsidRPr="009D5AF2">
        <w:rPr>
          <w:rFonts w:ascii="Times New Roman" w:hAnsi="Times New Roman"/>
          <w:lang w:bidi="en-US"/>
        </w:rPr>
        <w:t>Furthermore, participants agreed that insecurity negatively affects development and community well-being (mean = 3.94), while also weakening community trust due to recurring cycles of violence (mean = 3.95). Humanitarian access was perceived to be constrained by insecurity and armed conflict (mean = 3.96), indicating operational challenges for aid delivery. In addition, respondents agreed that political reconciliation efforts are often undermined by local rivalries (mean = 3.96), and that limited enforcement of the rule of law allows impunity, thereby hindering long-term peace prospects (mean = 3.94). Unequal distribution of resources was also identified as a persistent source of tension among groups (mean = 3.95).</w:t>
      </w:r>
    </w:p>
    <w:p w14:paraId="3ED63231" w14:textId="77777777" w:rsidR="009D7E9A" w:rsidRDefault="009D5AF2" w:rsidP="009D5AF2">
      <w:pPr>
        <w:spacing w:line="240" w:lineRule="auto"/>
        <w:jc w:val="both"/>
        <w:rPr>
          <w:rFonts w:ascii="Times New Roman" w:hAnsi="Times New Roman"/>
          <w:lang w:bidi="en-US"/>
        </w:rPr>
      </w:pPr>
      <w:r w:rsidRPr="009D5AF2">
        <w:rPr>
          <w:rFonts w:ascii="Times New Roman" w:hAnsi="Times New Roman"/>
          <w:lang w:bidi="en-US"/>
        </w:rPr>
        <w:t>Overall, the results suggest that respondents perceive sustainable peace in Unity State as being constrained by a combination of insecurity, weak governance, ethnic tensions, and unequal resource distribution. The consistently high mean scores across all indicators reflect a shared understanding that lasting peace remains elusive under the prevailing political and socio-economic conditions.</w:t>
      </w:r>
    </w:p>
    <w:p w14:paraId="3A505E1D" w14:textId="77777777" w:rsidR="009D5AF2" w:rsidRPr="009D5AF2" w:rsidRDefault="009D5AF2" w:rsidP="009D5AF2">
      <w:pPr>
        <w:autoSpaceDE w:val="0"/>
        <w:autoSpaceDN w:val="0"/>
        <w:adjustRightInd w:val="0"/>
        <w:spacing w:line="240" w:lineRule="auto"/>
        <w:ind w:right="720"/>
        <w:jc w:val="both"/>
        <w:rPr>
          <w:rFonts w:ascii="Times New Roman" w:hAnsi="Times New Roman"/>
          <w:b/>
          <w:bCs/>
        </w:rPr>
      </w:pPr>
      <w:r w:rsidRPr="009D5AF2">
        <w:rPr>
          <w:rFonts w:ascii="Times New Roman" w:hAnsi="Times New Roman"/>
          <w:b/>
          <w:bCs/>
        </w:rPr>
        <w:t xml:space="preserve">Interview responses </w:t>
      </w:r>
    </w:p>
    <w:p w14:paraId="38374FFC" w14:textId="77777777" w:rsidR="009D5AF2" w:rsidRPr="009D5AF2" w:rsidRDefault="009D5AF2" w:rsidP="009D5AF2">
      <w:pPr>
        <w:pStyle w:val="NormalWeb"/>
        <w:ind w:left="1134"/>
        <w:jc w:val="both"/>
        <w:rPr>
          <w:i/>
          <w:sz w:val="22"/>
          <w:szCs w:val="22"/>
        </w:rPr>
      </w:pPr>
      <w:r w:rsidRPr="009D5AF2">
        <w:rPr>
          <w:i/>
          <w:sz w:val="22"/>
          <w:szCs w:val="22"/>
        </w:rPr>
        <w:t>A senior government official described the importance of resource control in Unity State, noting, “Control over natural resources, particularly oil and fertile land, is central to both economic stability and security. Whoever controls these resources has significant leverage over local communities and armed groups, which directly impacts the state’s peace and stability.” The official highlighted that oil fields in the Nile River Basin, primarily controlled by government forces, are critical sources of revenue that influence both political power and military capacity. This underscores the link between resource control and the persistence of insecurity in the region. (Source: Government Official, 2025)</w:t>
      </w:r>
    </w:p>
    <w:p w14:paraId="3D043B08" w14:textId="77777777" w:rsidR="009D5AF2" w:rsidRPr="009D5AF2" w:rsidRDefault="009D5AF2" w:rsidP="009D5AF2">
      <w:pPr>
        <w:pStyle w:val="NormalWeb"/>
        <w:ind w:left="1134"/>
        <w:jc w:val="both"/>
        <w:rPr>
          <w:i/>
          <w:sz w:val="22"/>
          <w:szCs w:val="22"/>
        </w:rPr>
      </w:pPr>
      <w:r w:rsidRPr="009D5AF2">
        <w:rPr>
          <w:i/>
          <w:sz w:val="22"/>
          <w:szCs w:val="22"/>
        </w:rPr>
        <w:t>A local ethnic leader elaborated on the ethnic dimensions of resource control, stating, “Most of the key resources in Unity State are controlled by the Dinka-dominated government, while the Nuer communities feel marginalized from these benefits. This uneven control fuels grievances and occasionally leads to clashes between communities and militias vying for local resource access.” The leader emphasized that perceptions of exclusion and favoritism contribute to a cycle of tension and local disputes, which undermines sustainable peace. (Source: Local Ethnic Leader, 2025)</w:t>
      </w:r>
    </w:p>
    <w:p w14:paraId="66597C7E" w14:textId="77777777" w:rsidR="009D5AF2" w:rsidRDefault="009D5AF2" w:rsidP="009D5AF2">
      <w:pPr>
        <w:pStyle w:val="NormalWeb"/>
        <w:ind w:left="1134"/>
        <w:jc w:val="both"/>
        <w:rPr>
          <w:i/>
        </w:rPr>
      </w:pPr>
      <w:r w:rsidRPr="009D5AF2">
        <w:rPr>
          <w:i/>
          <w:sz w:val="22"/>
          <w:szCs w:val="22"/>
        </w:rPr>
        <w:t>A peacekeeping officer observed the security implications of resource competition, noting, “Competition over oil and land often triggers violent confrontations between armed groups and local militias. For example, in areas near the Bentiu oil fields, militias frequently engage in clashes to assert control, and these disputes escalate into broader insecurity that challenges both local governance and peacekeeping efforts.” The officer highlighted that resource-rich areas serve as hotspots for insecurity, with armed actors exploiting these resources to finance operations, demonstrating the direct link between resource control and conflict. (Source: Peacekeeping</w:t>
      </w:r>
      <w:r w:rsidRPr="00CC64F2">
        <w:rPr>
          <w:i/>
        </w:rPr>
        <w:t xml:space="preserve"> Officer, 2025)</w:t>
      </w:r>
    </w:p>
    <w:p w14:paraId="1209DEC5" w14:textId="77777777" w:rsidR="009D5AF2" w:rsidRPr="009D5AF2" w:rsidRDefault="009D5AF2" w:rsidP="009D5AF2">
      <w:pPr>
        <w:pStyle w:val="NormalWeb"/>
        <w:ind w:left="1134"/>
        <w:jc w:val="both"/>
        <w:rPr>
          <w:i/>
          <w:sz w:val="22"/>
          <w:szCs w:val="22"/>
        </w:rPr>
      </w:pPr>
      <w:r w:rsidRPr="009D5AF2">
        <w:rPr>
          <w:i/>
          <w:sz w:val="22"/>
          <w:szCs w:val="22"/>
        </w:rPr>
        <w:t>Another government official discussed the role of government policies in shaping resource access and security outcomes, stating, “Policies that favor one ethnic group over another in resource allocation can exacerbate tensions. Equitable policies and transparent management are crucial; without them, marginalized groups perceive injustice, which can spark unrest.” The official noted that past mismanagement of oil revenue and land rights has led to grievances among minority groups, fueling local insecurity and undermining reconciliation efforts. (Source: Government Official, 2025)</w:t>
      </w:r>
    </w:p>
    <w:p w14:paraId="1FB3DBBF" w14:textId="77777777" w:rsidR="00617971" w:rsidRPr="00617971" w:rsidRDefault="00617971" w:rsidP="00617971">
      <w:pPr>
        <w:pStyle w:val="Caption"/>
        <w:spacing w:line="276" w:lineRule="auto"/>
        <w:rPr>
          <w:rFonts w:ascii="Times New Roman" w:hAnsi="Times New Roman"/>
          <w:b w:val="0"/>
          <w:i/>
          <w:color w:val="auto"/>
          <w:sz w:val="22"/>
          <w:szCs w:val="22"/>
        </w:rPr>
      </w:pPr>
      <w:bookmarkStart w:id="42" w:name="_Toc192501114"/>
      <w:bookmarkStart w:id="43" w:name="_Toc209394544"/>
      <w:bookmarkEnd w:id="35"/>
      <w:bookmarkEnd w:id="36"/>
      <w:bookmarkEnd w:id="37"/>
      <w:bookmarkEnd w:id="38"/>
      <w:bookmarkEnd w:id="39"/>
      <w:bookmarkEnd w:id="40"/>
      <w:bookmarkEnd w:id="41"/>
      <w:r w:rsidRPr="00617971">
        <w:rPr>
          <w:rFonts w:ascii="Times New Roman" w:hAnsi="Times New Roman"/>
          <w:b w:val="0"/>
          <w:i/>
          <w:color w:val="auto"/>
          <w:sz w:val="22"/>
          <w:szCs w:val="22"/>
        </w:rPr>
        <w:lastRenderedPageBreak/>
        <w:t xml:space="preserve">Table 4. </w:t>
      </w:r>
      <w:r w:rsidRPr="00617971">
        <w:rPr>
          <w:rFonts w:ascii="Times New Roman" w:hAnsi="Times New Roman"/>
          <w:b w:val="0"/>
          <w:i/>
          <w:color w:val="auto"/>
          <w:sz w:val="22"/>
          <w:szCs w:val="22"/>
        </w:rPr>
        <w:fldChar w:fldCharType="begin"/>
      </w:r>
      <w:r w:rsidRPr="00617971">
        <w:rPr>
          <w:rFonts w:ascii="Times New Roman" w:hAnsi="Times New Roman"/>
          <w:b w:val="0"/>
          <w:i/>
          <w:color w:val="auto"/>
          <w:sz w:val="22"/>
          <w:szCs w:val="22"/>
        </w:rPr>
        <w:instrText xml:space="preserve"> SEQ Table_4. \* ARABIC </w:instrText>
      </w:r>
      <w:r w:rsidRPr="00617971">
        <w:rPr>
          <w:rFonts w:ascii="Times New Roman" w:hAnsi="Times New Roman"/>
          <w:b w:val="0"/>
          <w:i/>
          <w:color w:val="auto"/>
          <w:sz w:val="22"/>
          <w:szCs w:val="22"/>
        </w:rPr>
        <w:fldChar w:fldCharType="separate"/>
      </w:r>
      <w:r w:rsidRPr="00617971">
        <w:rPr>
          <w:rFonts w:ascii="Times New Roman" w:hAnsi="Times New Roman"/>
          <w:b w:val="0"/>
          <w:i/>
          <w:noProof/>
          <w:color w:val="auto"/>
          <w:sz w:val="22"/>
          <w:szCs w:val="22"/>
        </w:rPr>
        <w:t>5</w:t>
      </w:r>
      <w:r w:rsidRPr="00617971">
        <w:rPr>
          <w:rFonts w:ascii="Times New Roman" w:hAnsi="Times New Roman"/>
          <w:b w:val="0"/>
          <w:i/>
          <w:color w:val="auto"/>
          <w:sz w:val="22"/>
          <w:szCs w:val="22"/>
        </w:rPr>
        <w:fldChar w:fldCharType="end"/>
      </w:r>
      <w:r w:rsidRPr="00617971">
        <w:rPr>
          <w:rFonts w:ascii="Times New Roman" w:hAnsi="Times New Roman"/>
          <w:b w:val="0"/>
          <w:i/>
          <w:color w:val="auto"/>
          <w:sz w:val="22"/>
          <w:szCs w:val="22"/>
        </w:rPr>
        <w:t xml:space="preserve">: Regression Analysis on the </w:t>
      </w:r>
      <w:bookmarkEnd w:id="42"/>
      <w:r w:rsidRPr="00617971">
        <w:rPr>
          <w:rFonts w:ascii="Times New Roman" w:hAnsi="Times New Roman"/>
          <w:b w:val="0"/>
          <w:i/>
          <w:color w:val="auto"/>
          <w:sz w:val="22"/>
          <w:szCs w:val="22"/>
        </w:rPr>
        <w:t>Effect of Distribution of Political Power on Sustainable peace in Unity State, South Sudan</w:t>
      </w:r>
      <w:bookmarkEnd w:id="43"/>
    </w:p>
    <w:p w14:paraId="5202005C" w14:textId="77777777" w:rsidR="00617971" w:rsidRPr="00617971" w:rsidRDefault="00617971" w:rsidP="00617971">
      <w:pPr>
        <w:pStyle w:val="NormalWeb"/>
        <w:spacing w:before="0" w:beforeAutospacing="0" w:after="0" w:afterAutospacing="0" w:line="276" w:lineRule="auto"/>
        <w:jc w:val="center"/>
        <w:rPr>
          <w:sz w:val="22"/>
          <w:szCs w:val="22"/>
        </w:rPr>
      </w:pPr>
      <w:r w:rsidRPr="00617971">
        <w:rPr>
          <w:rStyle w:val="Strong"/>
          <w:rFonts w:eastAsiaTheme="majorEastAsia"/>
          <w:sz w:val="22"/>
          <w:szCs w:val="22"/>
        </w:rPr>
        <w:t>Model Summary</w:t>
      </w:r>
    </w:p>
    <w:tbl>
      <w:tblPr>
        <w:tblW w:w="907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51"/>
        <w:gridCol w:w="1417"/>
        <w:gridCol w:w="1560"/>
        <w:gridCol w:w="2268"/>
        <w:gridCol w:w="2976"/>
      </w:tblGrid>
      <w:tr w:rsidR="00617971" w:rsidRPr="00617971" w14:paraId="575425B1" w14:textId="77777777" w:rsidTr="00B360B9">
        <w:trPr>
          <w:tblHeader/>
          <w:tblCellSpacing w:w="15" w:type="dxa"/>
        </w:trPr>
        <w:tc>
          <w:tcPr>
            <w:tcW w:w="806" w:type="dxa"/>
            <w:tcBorders>
              <w:top w:val="single" w:sz="4" w:space="0" w:color="auto"/>
              <w:bottom w:val="single" w:sz="4" w:space="0" w:color="auto"/>
            </w:tcBorders>
            <w:vAlign w:val="center"/>
            <w:hideMark/>
          </w:tcPr>
          <w:p w14:paraId="31D49853"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Model</w:t>
            </w:r>
          </w:p>
        </w:tc>
        <w:tc>
          <w:tcPr>
            <w:tcW w:w="1387" w:type="dxa"/>
            <w:tcBorders>
              <w:top w:val="single" w:sz="4" w:space="0" w:color="auto"/>
              <w:bottom w:val="single" w:sz="4" w:space="0" w:color="auto"/>
            </w:tcBorders>
            <w:vAlign w:val="center"/>
            <w:hideMark/>
          </w:tcPr>
          <w:p w14:paraId="43E465E5"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R</w:t>
            </w:r>
          </w:p>
        </w:tc>
        <w:tc>
          <w:tcPr>
            <w:tcW w:w="1530" w:type="dxa"/>
            <w:tcBorders>
              <w:top w:val="single" w:sz="4" w:space="0" w:color="auto"/>
              <w:bottom w:val="single" w:sz="4" w:space="0" w:color="auto"/>
            </w:tcBorders>
            <w:vAlign w:val="center"/>
            <w:hideMark/>
          </w:tcPr>
          <w:p w14:paraId="2C25CF72"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R Square</w:t>
            </w:r>
          </w:p>
        </w:tc>
        <w:tc>
          <w:tcPr>
            <w:tcW w:w="2238" w:type="dxa"/>
            <w:tcBorders>
              <w:top w:val="single" w:sz="4" w:space="0" w:color="auto"/>
              <w:bottom w:val="single" w:sz="4" w:space="0" w:color="auto"/>
            </w:tcBorders>
            <w:vAlign w:val="center"/>
            <w:hideMark/>
          </w:tcPr>
          <w:p w14:paraId="4194064E"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Adjusted R Square</w:t>
            </w:r>
          </w:p>
        </w:tc>
        <w:tc>
          <w:tcPr>
            <w:tcW w:w="2931" w:type="dxa"/>
            <w:tcBorders>
              <w:top w:val="single" w:sz="4" w:space="0" w:color="auto"/>
              <w:bottom w:val="single" w:sz="4" w:space="0" w:color="auto"/>
            </w:tcBorders>
            <w:vAlign w:val="center"/>
            <w:hideMark/>
          </w:tcPr>
          <w:p w14:paraId="66C2B986"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Std. Error of the Estimate</w:t>
            </w:r>
          </w:p>
        </w:tc>
      </w:tr>
      <w:tr w:rsidR="00617971" w:rsidRPr="00617971" w14:paraId="715954B6" w14:textId="77777777" w:rsidTr="00B360B9">
        <w:trPr>
          <w:tblCellSpacing w:w="15" w:type="dxa"/>
        </w:trPr>
        <w:tc>
          <w:tcPr>
            <w:tcW w:w="806" w:type="dxa"/>
            <w:vAlign w:val="center"/>
            <w:hideMark/>
          </w:tcPr>
          <w:p w14:paraId="5236D33D" w14:textId="77777777" w:rsidR="00617971" w:rsidRPr="00617971" w:rsidRDefault="00617971" w:rsidP="00B360B9">
            <w:pPr>
              <w:spacing w:after="0"/>
              <w:jc w:val="center"/>
              <w:rPr>
                <w:rFonts w:ascii="Times New Roman" w:hAnsi="Times New Roman"/>
              </w:rPr>
            </w:pPr>
            <w:r w:rsidRPr="00617971">
              <w:rPr>
                <w:rFonts w:ascii="Times New Roman" w:hAnsi="Times New Roman"/>
              </w:rPr>
              <w:t>1</w:t>
            </w:r>
          </w:p>
        </w:tc>
        <w:tc>
          <w:tcPr>
            <w:tcW w:w="1387" w:type="dxa"/>
            <w:vAlign w:val="center"/>
            <w:hideMark/>
          </w:tcPr>
          <w:p w14:paraId="1C52A022" w14:textId="77777777" w:rsidR="00617971" w:rsidRPr="00617971" w:rsidRDefault="00617971" w:rsidP="00B360B9">
            <w:pPr>
              <w:spacing w:after="0"/>
              <w:jc w:val="center"/>
              <w:rPr>
                <w:rFonts w:ascii="Times New Roman" w:hAnsi="Times New Roman"/>
              </w:rPr>
            </w:pPr>
            <w:r w:rsidRPr="00617971">
              <w:rPr>
                <w:rFonts w:ascii="Times New Roman" w:hAnsi="Times New Roman"/>
              </w:rPr>
              <w:t>.612</w:t>
            </w:r>
          </w:p>
        </w:tc>
        <w:tc>
          <w:tcPr>
            <w:tcW w:w="1530" w:type="dxa"/>
            <w:vAlign w:val="center"/>
            <w:hideMark/>
          </w:tcPr>
          <w:p w14:paraId="28D5EB14" w14:textId="77777777" w:rsidR="00617971" w:rsidRPr="00617971" w:rsidRDefault="00617971" w:rsidP="00B360B9">
            <w:pPr>
              <w:spacing w:after="0"/>
              <w:jc w:val="center"/>
              <w:rPr>
                <w:rFonts w:ascii="Times New Roman" w:hAnsi="Times New Roman"/>
              </w:rPr>
            </w:pPr>
            <w:r w:rsidRPr="00617971">
              <w:rPr>
                <w:rFonts w:ascii="Times New Roman" w:hAnsi="Times New Roman"/>
              </w:rPr>
              <w:t>.375</w:t>
            </w:r>
          </w:p>
        </w:tc>
        <w:tc>
          <w:tcPr>
            <w:tcW w:w="2238" w:type="dxa"/>
            <w:vAlign w:val="center"/>
            <w:hideMark/>
          </w:tcPr>
          <w:p w14:paraId="31A836FB" w14:textId="77777777" w:rsidR="00617971" w:rsidRPr="00617971" w:rsidRDefault="00617971" w:rsidP="00B360B9">
            <w:pPr>
              <w:spacing w:after="0"/>
              <w:jc w:val="center"/>
              <w:rPr>
                <w:rFonts w:ascii="Times New Roman" w:hAnsi="Times New Roman"/>
              </w:rPr>
            </w:pPr>
            <w:r w:rsidRPr="00617971">
              <w:rPr>
                <w:rFonts w:ascii="Times New Roman" w:hAnsi="Times New Roman"/>
              </w:rPr>
              <w:t>.371</w:t>
            </w:r>
          </w:p>
        </w:tc>
        <w:tc>
          <w:tcPr>
            <w:tcW w:w="2931" w:type="dxa"/>
            <w:vAlign w:val="center"/>
            <w:hideMark/>
          </w:tcPr>
          <w:p w14:paraId="1D52176C" w14:textId="77777777" w:rsidR="00617971" w:rsidRPr="00617971" w:rsidRDefault="00617971" w:rsidP="00B360B9">
            <w:pPr>
              <w:spacing w:after="0"/>
              <w:jc w:val="center"/>
              <w:rPr>
                <w:rFonts w:ascii="Times New Roman" w:hAnsi="Times New Roman"/>
              </w:rPr>
            </w:pPr>
            <w:r w:rsidRPr="00617971">
              <w:rPr>
                <w:rFonts w:ascii="Times New Roman" w:hAnsi="Times New Roman"/>
              </w:rPr>
              <w:t>.579</w:t>
            </w:r>
          </w:p>
        </w:tc>
      </w:tr>
    </w:tbl>
    <w:p w14:paraId="0B13B917" w14:textId="77777777" w:rsidR="00617971" w:rsidRPr="00617971" w:rsidRDefault="00617971" w:rsidP="00617971">
      <w:pPr>
        <w:pStyle w:val="NormalWeb"/>
        <w:spacing w:before="0" w:beforeAutospacing="0" w:after="0" w:afterAutospacing="0" w:line="276" w:lineRule="auto"/>
        <w:rPr>
          <w:sz w:val="22"/>
          <w:szCs w:val="22"/>
        </w:rPr>
      </w:pPr>
      <w:r w:rsidRPr="00617971">
        <w:rPr>
          <w:sz w:val="22"/>
          <w:szCs w:val="22"/>
        </w:rPr>
        <w:t>Predictors: (Constant), Distribution of Political Power</w:t>
      </w:r>
      <w:r w:rsidRPr="00617971">
        <w:rPr>
          <w:sz w:val="22"/>
          <w:szCs w:val="22"/>
        </w:rPr>
        <w:br/>
        <w:t>Dependent Variable: Sustainable Peace in Unity State</w:t>
      </w:r>
    </w:p>
    <w:p w14:paraId="0EB05B49" w14:textId="77777777" w:rsidR="00617971" w:rsidRPr="00617971" w:rsidRDefault="00617971" w:rsidP="00617971">
      <w:pPr>
        <w:pStyle w:val="NormalWeb"/>
        <w:spacing w:before="0" w:beforeAutospacing="0" w:after="0" w:afterAutospacing="0" w:line="276" w:lineRule="auto"/>
        <w:rPr>
          <w:sz w:val="22"/>
          <w:szCs w:val="22"/>
        </w:rPr>
      </w:pPr>
      <w:r w:rsidRPr="00617971">
        <w:rPr>
          <w:rStyle w:val="Strong"/>
          <w:rFonts w:eastAsiaTheme="majorEastAsia"/>
          <w:sz w:val="22"/>
          <w:szCs w:val="22"/>
        </w:rPr>
        <w:t>ANOVAa</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1142"/>
        <w:gridCol w:w="2260"/>
        <w:gridCol w:w="993"/>
        <w:gridCol w:w="1951"/>
        <w:gridCol w:w="600"/>
        <w:gridCol w:w="2126"/>
      </w:tblGrid>
      <w:tr w:rsidR="00617971" w:rsidRPr="00617971" w14:paraId="444D697E" w14:textId="77777777" w:rsidTr="00B360B9">
        <w:trPr>
          <w:tblHeader/>
          <w:tblCellSpacing w:w="15" w:type="dxa"/>
        </w:trPr>
        <w:tc>
          <w:tcPr>
            <w:tcW w:w="0" w:type="auto"/>
            <w:tcBorders>
              <w:top w:val="single" w:sz="4" w:space="0" w:color="auto"/>
              <w:bottom w:val="single" w:sz="4" w:space="0" w:color="auto"/>
            </w:tcBorders>
            <w:vAlign w:val="center"/>
            <w:hideMark/>
          </w:tcPr>
          <w:p w14:paraId="1EAAAE47"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Model</w:t>
            </w:r>
          </w:p>
        </w:tc>
        <w:tc>
          <w:tcPr>
            <w:tcW w:w="2230" w:type="dxa"/>
            <w:tcBorders>
              <w:top w:val="single" w:sz="4" w:space="0" w:color="auto"/>
              <w:bottom w:val="single" w:sz="4" w:space="0" w:color="auto"/>
            </w:tcBorders>
            <w:vAlign w:val="center"/>
            <w:hideMark/>
          </w:tcPr>
          <w:p w14:paraId="14EC9A76"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Sum of Squares</w:t>
            </w:r>
          </w:p>
        </w:tc>
        <w:tc>
          <w:tcPr>
            <w:tcW w:w="963" w:type="dxa"/>
            <w:tcBorders>
              <w:top w:val="single" w:sz="4" w:space="0" w:color="auto"/>
              <w:bottom w:val="single" w:sz="4" w:space="0" w:color="auto"/>
            </w:tcBorders>
            <w:vAlign w:val="center"/>
            <w:hideMark/>
          </w:tcPr>
          <w:p w14:paraId="53EE4AFA"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df</w:t>
            </w:r>
          </w:p>
        </w:tc>
        <w:tc>
          <w:tcPr>
            <w:tcW w:w="1921" w:type="dxa"/>
            <w:tcBorders>
              <w:top w:val="single" w:sz="4" w:space="0" w:color="auto"/>
              <w:bottom w:val="single" w:sz="4" w:space="0" w:color="auto"/>
            </w:tcBorders>
            <w:vAlign w:val="center"/>
            <w:hideMark/>
          </w:tcPr>
          <w:p w14:paraId="77BF35CE"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Mean Square</w:t>
            </w:r>
          </w:p>
        </w:tc>
        <w:tc>
          <w:tcPr>
            <w:tcW w:w="570" w:type="dxa"/>
            <w:tcBorders>
              <w:top w:val="single" w:sz="4" w:space="0" w:color="auto"/>
              <w:bottom w:val="single" w:sz="4" w:space="0" w:color="auto"/>
            </w:tcBorders>
            <w:vAlign w:val="center"/>
            <w:hideMark/>
          </w:tcPr>
          <w:p w14:paraId="7D8009A2"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F</w:t>
            </w:r>
          </w:p>
        </w:tc>
        <w:tc>
          <w:tcPr>
            <w:tcW w:w="2081" w:type="dxa"/>
            <w:tcBorders>
              <w:top w:val="single" w:sz="4" w:space="0" w:color="auto"/>
              <w:bottom w:val="single" w:sz="4" w:space="0" w:color="auto"/>
            </w:tcBorders>
            <w:vAlign w:val="center"/>
            <w:hideMark/>
          </w:tcPr>
          <w:p w14:paraId="33FE77F9"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Sig.</w:t>
            </w:r>
          </w:p>
        </w:tc>
      </w:tr>
      <w:tr w:rsidR="00617971" w:rsidRPr="00617971" w14:paraId="13F9C469" w14:textId="77777777" w:rsidTr="00B360B9">
        <w:trPr>
          <w:tblCellSpacing w:w="15" w:type="dxa"/>
        </w:trPr>
        <w:tc>
          <w:tcPr>
            <w:tcW w:w="0" w:type="auto"/>
            <w:vAlign w:val="center"/>
            <w:hideMark/>
          </w:tcPr>
          <w:p w14:paraId="68D4DF09" w14:textId="77777777" w:rsidR="00617971" w:rsidRPr="00617971" w:rsidRDefault="00617971" w:rsidP="00B360B9">
            <w:pPr>
              <w:spacing w:after="0"/>
              <w:rPr>
                <w:rFonts w:ascii="Times New Roman" w:hAnsi="Times New Roman"/>
              </w:rPr>
            </w:pPr>
            <w:r w:rsidRPr="00617971">
              <w:rPr>
                <w:rFonts w:ascii="Times New Roman" w:hAnsi="Times New Roman"/>
              </w:rPr>
              <w:t>Regression</w:t>
            </w:r>
          </w:p>
        </w:tc>
        <w:tc>
          <w:tcPr>
            <w:tcW w:w="2230" w:type="dxa"/>
            <w:vAlign w:val="center"/>
            <w:hideMark/>
          </w:tcPr>
          <w:p w14:paraId="497D5B6C" w14:textId="77777777" w:rsidR="00617971" w:rsidRPr="00617971" w:rsidRDefault="00617971" w:rsidP="00B360B9">
            <w:pPr>
              <w:spacing w:after="0"/>
              <w:jc w:val="center"/>
              <w:rPr>
                <w:rFonts w:ascii="Times New Roman" w:hAnsi="Times New Roman"/>
              </w:rPr>
            </w:pPr>
            <w:r w:rsidRPr="00617971">
              <w:rPr>
                <w:rFonts w:ascii="Times New Roman" w:hAnsi="Times New Roman"/>
              </w:rPr>
              <w:t>22.182</w:t>
            </w:r>
          </w:p>
        </w:tc>
        <w:tc>
          <w:tcPr>
            <w:tcW w:w="963" w:type="dxa"/>
            <w:vAlign w:val="center"/>
            <w:hideMark/>
          </w:tcPr>
          <w:p w14:paraId="69292170" w14:textId="77777777" w:rsidR="00617971" w:rsidRPr="00617971" w:rsidRDefault="00617971" w:rsidP="00B360B9">
            <w:pPr>
              <w:spacing w:after="0"/>
              <w:jc w:val="center"/>
              <w:rPr>
                <w:rFonts w:ascii="Times New Roman" w:hAnsi="Times New Roman"/>
              </w:rPr>
            </w:pPr>
            <w:r w:rsidRPr="00617971">
              <w:rPr>
                <w:rFonts w:ascii="Times New Roman" w:hAnsi="Times New Roman"/>
              </w:rPr>
              <w:t>1</w:t>
            </w:r>
          </w:p>
        </w:tc>
        <w:tc>
          <w:tcPr>
            <w:tcW w:w="1921" w:type="dxa"/>
            <w:vAlign w:val="center"/>
            <w:hideMark/>
          </w:tcPr>
          <w:p w14:paraId="69F4B268" w14:textId="77777777" w:rsidR="00617971" w:rsidRPr="00617971" w:rsidRDefault="00617971" w:rsidP="00B360B9">
            <w:pPr>
              <w:spacing w:after="0"/>
              <w:jc w:val="center"/>
              <w:rPr>
                <w:rFonts w:ascii="Times New Roman" w:hAnsi="Times New Roman"/>
              </w:rPr>
            </w:pPr>
            <w:r w:rsidRPr="00617971">
              <w:rPr>
                <w:rFonts w:ascii="Times New Roman" w:hAnsi="Times New Roman"/>
              </w:rPr>
              <w:t>22.182</w:t>
            </w:r>
          </w:p>
        </w:tc>
        <w:tc>
          <w:tcPr>
            <w:tcW w:w="570" w:type="dxa"/>
            <w:vAlign w:val="center"/>
            <w:hideMark/>
          </w:tcPr>
          <w:p w14:paraId="6B6D2F1F" w14:textId="77777777" w:rsidR="00617971" w:rsidRPr="00617971" w:rsidRDefault="00617971" w:rsidP="00B360B9">
            <w:pPr>
              <w:spacing w:after="0"/>
              <w:jc w:val="center"/>
              <w:rPr>
                <w:rFonts w:ascii="Times New Roman" w:hAnsi="Times New Roman"/>
              </w:rPr>
            </w:pPr>
            <w:r w:rsidRPr="00617971">
              <w:rPr>
                <w:rFonts w:ascii="Times New Roman" w:hAnsi="Times New Roman"/>
              </w:rPr>
              <w:t>66.22</w:t>
            </w:r>
          </w:p>
        </w:tc>
        <w:tc>
          <w:tcPr>
            <w:tcW w:w="2081" w:type="dxa"/>
            <w:vAlign w:val="center"/>
            <w:hideMark/>
          </w:tcPr>
          <w:p w14:paraId="56B5B551" w14:textId="77777777" w:rsidR="00617971" w:rsidRPr="00617971" w:rsidRDefault="00617971" w:rsidP="00B360B9">
            <w:pPr>
              <w:spacing w:after="0"/>
              <w:jc w:val="center"/>
              <w:rPr>
                <w:rFonts w:ascii="Times New Roman" w:hAnsi="Times New Roman"/>
              </w:rPr>
            </w:pPr>
            <w:r w:rsidRPr="00617971">
              <w:rPr>
                <w:rFonts w:ascii="Times New Roman" w:hAnsi="Times New Roman"/>
              </w:rPr>
              <w:t>.000</w:t>
            </w:r>
          </w:p>
        </w:tc>
      </w:tr>
      <w:tr w:rsidR="00617971" w:rsidRPr="00617971" w14:paraId="653AFC8E" w14:textId="77777777" w:rsidTr="00B360B9">
        <w:trPr>
          <w:tblCellSpacing w:w="15" w:type="dxa"/>
        </w:trPr>
        <w:tc>
          <w:tcPr>
            <w:tcW w:w="0" w:type="auto"/>
            <w:vAlign w:val="center"/>
            <w:hideMark/>
          </w:tcPr>
          <w:p w14:paraId="6FF0BDC5" w14:textId="77777777" w:rsidR="00617971" w:rsidRPr="00617971" w:rsidRDefault="00617971" w:rsidP="00B360B9">
            <w:pPr>
              <w:spacing w:after="0"/>
              <w:rPr>
                <w:rFonts w:ascii="Times New Roman" w:hAnsi="Times New Roman"/>
              </w:rPr>
            </w:pPr>
            <w:r w:rsidRPr="00617971">
              <w:rPr>
                <w:rFonts w:ascii="Times New Roman" w:hAnsi="Times New Roman"/>
              </w:rPr>
              <w:t>Residual</w:t>
            </w:r>
          </w:p>
        </w:tc>
        <w:tc>
          <w:tcPr>
            <w:tcW w:w="2230" w:type="dxa"/>
            <w:vAlign w:val="center"/>
            <w:hideMark/>
          </w:tcPr>
          <w:p w14:paraId="01AD0F4E" w14:textId="77777777" w:rsidR="00617971" w:rsidRPr="00617971" w:rsidRDefault="00617971" w:rsidP="00B360B9">
            <w:pPr>
              <w:spacing w:after="0"/>
              <w:jc w:val="center"/>
              <w:rPr>
                <w:rFonts w:ascii="Times New Roman" w:hAnsi="Times New Roman"/>
              </w:rPr>
            </w:pPr>
            <w:r w:rsidRPr="00617971">
              <w:rPr>
                <w:rFonts w:ascii="Times New Roman" w:hAnsi="Times New Roman"/>
              </w:rPr>
              <w:t>41.518</w:t>
            </w:r>
          </w:p>
        </w:tc>
        <w:tc>
          <w:tcPr>
            <w:tcW w:w="963" w:type="dxa"/>
            <w:vAlign w:val="center"/>
            <w:hideMark/>
          </w:tcPr>
          <w:p w14:paraId="6730C3A1" w14:textId="77777777" w:rsidR="00617971" w:rsidRPr="00617971" w:rsidRDefault="00617971" w:rsidP="00B360B9">
            <w:pPr>
              <w:spacing w:after="0"/>
              <w:jc w:val="center"/>
              <w:rPr>
                <w:rFonts w:ascii="Times New Roman" w:hAnsi="Times New Roman"/>
              </w:rPr>
            </w:pPr>
            <w:r w:rsidRPr="00617971">
              <w:rPr>
                <w:rFonts w:ascii="Times New Roman" w:hAnsi="Times New Roman"/>
              </w:rPr>
              <w:t>126</w:t>
            </w:r>
          </w:p>
        </w:tc>
        <w:tc>
          <w:tcPr>
            <w:tcW w:w="1921" w:type="dxa"/>
            <w:vAlign w:val="center"/>
            <w:hideMark/>
          </w:tcPr>
          <w:p w14:paraId="54CDDC58" w14:textId="77777777" w:rsidR="00617971" w:rsidRPr="00617971" w:rsidRDefault="00617971" w:rsidP="00B360B9">
            <w:pPr>
              <w:spacing w:after="0"/>
              <w:jc w:val="center"/>
              <w:rPr>
                <w:rFonts w:ascii="Times New Roman" w:hAnsi="Times New Roman"/>
              </w:rPr>
            </w:pPr>
            <w:r w:rsidRPr="00617971">
              <w:rPr>
                <w:rFonts w:ascii="Times New Roman" w:hAnsi="Times New Roman"/>
              </w:rPr>
              <w:t>0.330</w:t>
            </w:r>
          </w:p>
        </w:tc>
        <w:tc>
          <w:tcPr>
            <w:tcW w:w="570" w:type="dxa"/>
            <w:vAlign w:val="center"/>
            <w:hideMark/>
          </w:tcPr>
          <w:p w14:paraId="788AF92D" w14:textId="77777777" w:rsidR="00617971" w:rsidRPr="00617971" w:rsidRDefault="00617971" w:rsidP="00B360B9">
            <w:pPr>
              <w:spacing w:after="0"/>
              <w:jc w:val="center"/>
              <w:rPr>
                <w:rFonts w:ascii="Times New Roman" w:hAnsi="Times New Roman"/>
              </w:rPr>
            </w:pPr>
          </w:p>
        </w:tc>
        <w:tc>
          <w:tcPr>
            <w:tcW w:w="2081" w:type="dxa"/>
            <w:vAlign w:val="center"/>
            <w:hideMark/>
          </w:tcPr>
          <w:p w14:paraId="0686320E" w14:textId="77777777" w:rsidR="00617971" w:rsidRPr="00617971" w:rsidRDefault="00617971" w:rsidP="00B360B9">
            <w:pPr>
              <w:spacing w:after="0"/>
              <w:jc w:val="center"/>
              <w:rPr>
                <w:rFonts w:ascii="Times New Roman" w:hAnsi="Times New Roman"/>
              </w:rPr>
            </w:pPr>
          </w:p>
        </w:tc>
      </w:tr>
      <w:tr w:rsidR="00617971" w:rsidRPr="00617971" w14:paraId="26C2E112" w14:textId="77777777" w:rsidTr="00B360B9">
        <w:trPr>
          <w:tblCellSpacing w:w="15" w:type="dxa"/>
        </w:trPr>
        <w:tc>
          <w:tcPr>
            <w:tcW w:w="0" w:type="auto"/>
            <w:vAlign w:val="center"/>
            <w:hideMark/>
          </w:tcPr>
          <w:p w14:paraId="22F7B9A4" w14:textId="77777777" w:rsidR="00617971" w:rsidRPr="00617971" w:rsidRDefault="00617971" w:rsidP="00B360B9">
            <w:pPr>
              <w:spacing w:after="0"/>
              <w:rPr>
                <w:rFonts w:ascii="Times New Roman" w:hAnsi="Times New Roman"/>
              </w:rPr>
            </w:pPr>
            <w:r w:rsidRPr="00617971">
              <w:rPr>
                <w:rFonts w:ascii="Times New Roman" w:hAnsi="Times New Roman"/>
              </w:rPr>
              <w:t>Total</w:t>
            </w:r>
          </w:p>
        </w:tc>
        <w:tc>
          <w:tcPr>
            <w:tcW w:w="2230" w:type="dxa"/>
            <w:vAlign w:val="center"/>
            <w:hideMark/>
          </w:tcPr>
          <w:p w14:paraId="14998B31" w14:textId="77777777" w:rsidR="00617971" w:rsidRPr="00617971" w:rsidRDefault="00617971" w:rsidP="00B360B9">
            <w:pPr>
              <w:spacing w:after="0"/>
              <w:jc w:val="center"/>
              <w:rPr>
                <w:rFonts w:ascii="Times New Roman" w:hAnsi="Times New Roman"/>
              </w:rPr>
            </w:pPr>
            <w:r w:rsidRPr="00617971">
              <w:rPr>
                <w:rFonts w:ascii="Times New Roman" w:hAnsi="Times New Roman"/>
              </w:rPr>
              <w:t>63.700</w:t>
            </w:r>
          </w:p>
        </w:tc>
        <w:tc>
          <w:tcPr>
            <w:tcW w:w="963" w:type="dxa"/>
            <w:vAlign w:val="center"/>
            <w:hideMark/>
          </w:tcPr>
          <w:p w14:paraId="617D9CA2" w14:textId="77777777" w:rsidR="00617971" w:rsidRPr="00617971" w:rsidRDefault="00617971" w:rsidP="00B360B9">
            <w:pPr>
              <w:spacing w:after="0"/>
              <w:jc w:val="center"/>
              <w:rPr>
                <w:rFonts w:ascii="Times New Roman" w:hAnsi="Times New Roman"/>
              </w:rPr>
            </w:pPr>
            <w:r w:rsidRPr="00617971">
              <w:rPr>
                <w:rFonts w:ascii="Times New Roman" w:hAnsi="Times New Roman"/>
              </w:rPr>
              <w:t>127</w:t>
            </w:r>
          </w:p>
        </w:tc>
        <w:tc>
          <w:tcPr>
            <w:tcW w:w="1921" w:type="dxa"/>
            <w:vAlign w:val="center"/>
            <w:hideMark/>
          </w:tcPr>
          <w:p w14:paraId="2AEED7C8" w14:textId="77777777" w:rsidR="00617971" w:rsidRPr="00617971" w:rsidRDefault="00617971" w:rsidP="00B360B9">
            <w:pPr>
              <w:spacing w:after="0"/>
              <w:jc w:val="center"/>
              <w:rPr>
                <w:rFonts w:ascii="Times New Roman" w:hAnsi="Times New Roman"/>
              </w:rPr>
            </w:pPr>
          </w:p>
        </w:tc>
        <w:tc>
          <w:tcPr>
            <w:tcW w:w="570" w:type="dxa"/>
            <w:vAlign w:val="center"/>
            <w:hideMark/>
          </w:tcPr>
          <w:p w14:paraId="27D8E0D6" w14:textId="77777777" w:rsidR="00617971" w:rsidRPr="00617971" w:rsidRDefault="00617971" w:rsidP="00B360B9">
            <w:pPr>
              <w:spacing w:after="0"/>
              <w:jc w:val="center"/>
              <w:rPr>
                <w:rFonts w:ascii="Times New Roman" w:hAnsi="Times New Roman"/>
              </w:rPr>
            </w:pPr>
          </w:p>
        </w:tc>
        <w:tc>
          <w:tcPr>
            <w:tcW w:w="2081" w:type="dxa"/>
            <w:vAlign w:val="center"/>
            <w:hideMark/>
          </w:tcPr>
          <w:p w14:paraId="463628AA" w14:textId="77777777" w:rsidR="00617971" w:rsidRPr="00617971" w:rsidRDefault="00617971" w:rsidP="00B360B9">
            <w:pPr>
              <w:spacing w:after="0"/>
              <w:jc w:val="center"/>
              <w:rPr>
                <w:rFonts w:ascii="Times New Roman" w:hAnsi="Times New Roman"/>
              </w:rPr>
            </w:pPr>
          </w:p>
        </w:tc>
      </w:tr>
    </w:tbl>
    <w:p w14:paraId="1D4124D1" w14:textId="77777777" w:rsidR="00617971" w:rsidRPr="00617971" w:rsidRDefault="00617971" w:rsidP="00617971">
      <w:pPr>
        <w:pStyle w:val="NormalWeb"/>
        <w:spacing w:before="0" w:beforeAutospacing="0" w:after="0" w:afterAutospacing="0" w:line="276" w:lineRule="auto"/>
        <w:rPr>
          <w:sz w:val="22"/>
          <w:szCs w:val="22"/>
        </w:rPr>
      </w:pPr>
      <w:r w:rsidRPr="00617971">
        <w:rPr>
          <w:sz w:val="22"/>
          <w:szCs w:val="22"/>
        </w:rPr>
        <w:t>a. Dependent Variable: Sustainable Peace in Unity State</w:t>
      </w:r>
      <w:r w:rsidRPr="00617971">
        <w:rPr>
          <w:sz w:val="22"/>
          <w:szCs w:val="22"/>
        </w:rPr>
        <w:br/>
        <w:t>b. Predictors: (Constant), Distribution of Political Power</w:t>
      </w:r>
    </w:p>
    <w:p w14:paraId="672E1F05" w14:textId="77777777" w:rsidR="00617971" w:rsidRPr="00617971" w:rsidRDefault="00617971" w:rsidP="00617971">
      <w:pPr>
        <w:pStyle w:val="NormalWeb"/>
        <w:spacing w:before="0" w:beforeAutospacing="0" w:after="0" w:afterAutospacing="0" w:line="276" w:lineRule="auto"/>
        <w:rPr>
          <w:sz w:val="22"/>
          <w:szCs w:val="22"/>
        </w:rPr>
      </w:pPr>
      <w:r w:rsidRPr="00617971">
        <w:rPr>
          <w:rStyle w:val="Strong"/>
          <w:rFonts w:eastAsiaTheme="majorEastAsia"/>
          <w:sz w:val="22"/>
          <w:szCs w:val="22"/>
        </w:rPr>
        <w:t>Coefficientsa</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2694"/>
        <w:gridCol w:w="1945"/>
        <w:gridCol w:w="888"/>
        <w:gridCol w:w="2485"/>
        <w:gridCol w:w="555"/>
        <w:gridCol w:w="460"/>
      </w:tblGrid>
      <w:tr w:rsidR="00617971" w:rsidRPr="00617971" w14:paraId="3AA6B517" w14:textId="77777777" w:rsidTr="00B360B9">
        <w:trPr>
          <w:tblHeader/>
          <w:tblCellSpacing w:w="15" w:type="dxa"/>
        </w:trPr>
        <w:tc>
          <w:tcPr>
            <w:tcW w:w="2649" w:type="dxa"/>
            <w:vAlign w:val="center"/>
            <w:hideMark/>
          </w:tcPr>
          <w:p w14:paraId="6F68EC63" w14:textId="77777777" w:rsidR="00617971" w:rsidRPr="00617971" w:rsidRDefault="00617971" w:rsidP="00B360B9">
            <w:pPr>
              <w:spacing w:after="0"/>
              <w:rPr>
                <w:rFonts w:ascii="Times New Roman" w:hAnsi="Times New Roman"/>
                <w:b/>
                <w:bCs/>
              </w:rPr>
            </w:pPr>
            <w:r w:rsidRPr="00617971">
              <w:rPr>
                <w:rFonts w:ascii="Times New Roman" w:hAnsi="Times New Roman"/>
                <w:b/>
                <w:bCs/>
              </w:rPr>
              <w:t>Model</w:t>
            </w:r>
          </w:p>
        </w:tc>
        <w:tc>
          <w:tcPr>
            <w:tcW w:w="1915" w:type="dxa"/>
            <w:vAlign w:val="center"/>
            <w:hideMark/>
          </w:tcPr>
          <w:p w14:paraId="27418F8C"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Unstandardized Coefficients (B)</w:t>
            </w:r>
          </w:p>
        </w:tc>
        <w:tc>
          <w:tcPr>
            <w:tcW w:w="0" w:type="auto"/>
            <w:vAlign w:val="center"/>
            <w:hideMark/>
          </w:tcPr>
          <w:p w14:paraId="192CB1D2"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Std. Error</w:t>
            </w:r>
          </w:p>
        </w:tc>
        <w:tc>
          <w:tcPr>
            <w:tcW w:w="0" w:type="auto"/>
            <w:vAlign w:val="center"/>
            <w:hideMark/>
          </w:tcPr>
          <w:p w14:paraId="62AE9576"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Standardized Coefficients (Beta)</w:t>
            </w:r>
          </w:p>
        </w:tc>
        <w:tc>
          <w:tcPr>
            <w:tcW w:w="0" w:type="auto"/>
            <w:vAlign w:val="center"/>
            <w:hideMark/>
          </w:tcPr>
          <w:p w14:paraId="5EA8B757"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t</w:t>
            </w:r>
          </w:p>
        </w:tc>
        <w:tc>
          <w:tcPr>
            <w:tcW w:w="0" w:type="auto"/>
            <w:vAlign w:val="center"/>
            <w:hideMark/>
          </w:tcPr>
          <w:p w14:paraId="098E7EE4" w14:textId="77777777" w:rsidR="00617971" w:rsidRPr="00617971" w:rsidRDefault="00617971" w:rsidP="00B360B9">
            <w:pPr>
              <w:spacing w:after="0"/>
              <w:jc w:val="center"/>
              <w:rPr>
                <w:rFonts w:ascii="Times New Roman" w:hAnsi="Times New Roman"/>
                <w:b/>
                <w:bCs/>
              </w:rPr>
            </w:pPr>
            <w:r w:rsidRPr="00617971">
              <w:rPr>
                <w:rFonts w:ascii="Times New Roman" w:hAnsi="Times New Roman"/>
                <w:b/>
                <w:bCs/>
              </w:rPr>
              <w:t>Sig.</w:t>
            </w:r>
          </w:p>
        </w:tc>
      </w:tr>
      <w:tr w:rsidR="00617971" w:rsidRPr="00617971" w14:paraId="69070894" w14:textId="77777777" w:rsidTr="00B360B9">
        <w:trPr>
          <w:tblCellSpacing w:w="15" w:type="dxa"/>
        </w:trPr>
        <w:tc>
          <w:tcPr>
            <w:tcW w:w="2649" w:type="dxa"/>
            <w:vAlign w:val="center"/>
            <w:hideMark/>
          </w:tcPr>
          <w:p w14:paraId="287DF90A" w14:textId="77777777" w:rsidR="00617971" w:rsidRPr="00617971" w:rsidRDefault="00617971" w:rsidP="00B360B9">
            <w:pPr>
              <w:spacing w:after="0"/>
              <w:rPr>
                <w:rFonts w:ascii="Times New Roman" w:hAnsi="Times New Roman"/>
              </w:rPr>
            </w:pPr>
            <w:r w:rsidRPr="00617971">
              <w:rPr>
                <w:rFonts w:ascii="Times New Roman" w:hAnsi="Times New Roman"/>
              </w:rPr>
              <w:t>(Constant)</w:t>
            </w:r>
          </w:p>
        </w:tc>
        <w:tc>
          <w:tcPr>
            <w:tcW w:w="1915" w:type="dxa"/>
            <w:vAlign w:val="center"/>
            <w:hideMark/>
          </w:tcPr>
          <w:p w14:paraId="03C7CBA1" w14:textId="77777777" w:rsidR="00617971" w:rsidRPr="00617971" w:rsidRDefault="00617971" w:rsidP="00B360B9">
            <w:pPr>
              <w:spacing w:after="0"/>
              <w:jc w:val="center"/>
              <w:rPr>
                <w:rFonts w:ascii="Times New Roman" w:hAnsi="Times New Roman"/>
              </w:rPr>
            </w:pPr>
            <w:r w:rsidRPr="00617971">
              <w:rPr>
                <w:rFonts w:ascii="Times New Roman" w:hAnsi="Times New Roman"/>
              </w:rPr>
              <w:t>1.842</w:t>
            </w:r>
          </w:p>
        </w:tc>
        <w:tc>
          <w:tcPr>
            <w:tcW w:w="0" w:type="auto"/>
            <w:vAlign w:val="center"/>
            <w:hideMark/>
          </w:tcPr>
          <w:p w14:paraId="22DB8E8C" w14:textId="77777777" w:rsidR="00617971" w:rsidRPr="00617971" w:rsidRDefault="00617971" w:rsidP="00B360B9">
            <w:pPr>
              <w:spacing w:after="0"/>
              <w:jc w:val="center"/>
              <w:rPr>
                <w:rFonts w:ascii="Times New Roman" w:hAnsi="Times New Roman"/>
              </w:rPr>
            </w:pPr>
            <w:r w:rsidRPr="00617971">
              <w:rPr>
                <w:rFonts w:ascii="Times New Roman" w:hAnsi="Times New Roman"/>
              </w:rPr>
              <w:t>0.139</w:t>
            </w:r>
          </w:p>
        </w:tc>
        <w:tc>
          <w:tcPr>
            <w:tcW w:w="0" w:type="auto"/>
            <w:vAlign w:val="center"/>
            <w:hideMark/>
          </w:tcPr>
          <w:p w14:paraId="5BF84708" w14:textId="77777777" w:rsidR="00617971" w:rsidRPr="00617971" w:rsidRDefault="00617971" w:rsidP="00B360B9">
            <w:pPr>
              <w:spacing w:after="0"/>
              <w:jc w:val="center"/>
              <w:rPr>
                <w:rFonts w:ascii="Times New Roman" w:hAnsi="Times New Roman"/>
              </w:rPr>
            </w:pPr>
            <w:r w:rsidRPr="00617971">
              <w:rPr>
                <w:rFonts w:ascii="Times New Roman" w:hAnsi="Times New Roman"/>
              </w:rPr>
              <w:t>—</w:t>
            </w:r>
          </w:p>
        </w:tc>
        <w:tc>
          <w:tcPr>
            <w:tcW w:w="0" w:type="auto"/>
            <w:vAlign w:val="center"/>
            <w:hideMark/>
          </w:tcPr>
          <w:p w14:paraId="5EC9E442" w14:textId="77777777" w:rsidR="00617971" w:rsidRPr="00617971" w:rsidRDefault="00617971" w:rsidP="00B360B9">
            <w:pPr>
              <w:spacing w:after="0"/>
              <w:jc w:val="center"/>
              <w:rPr>
                <w:rFonts w:ascii="Times New Roman" w:hAnsi="Times New Roman"/>
              </w:rPr>
            </w:pPr>
            <w:r w:rsidRPr="00617971">
              <w:rPr>
                <w:rFonts w:ascii="Times New Roman" w:hAnsi="Times New Roman"/>
              </w:rPr>
              <w:t>13.25</w:t>
            </w:r>
          </w:p>
        </w:tc>
        <w:tc>
          <w:tcPr>
            <w:tcW w:w="0" w:type="auto"/>
            <w:vAlign w:val="center"/>
            <w:hideMark/>
          </w:tcPr>
          <w:p w14:paraId="02469677" w14:textId="77777777" w:rsidR="00617971" w:rsidRPr="00617971" w:rsidRDefault="00617971" w:rsidP="00B360B9">
            <w:pPr>
              <w:spacing w:after="0"/>
              <w:jc w:val="center"/>
              <w:rPr>
                <w:rFonts w:ascii="Times New Roman" w:hAnsi="Times New Roman"/>
              </w:rPr>
            </w:pPr>
            <w:r w:rsidRPr="00617971">
              <w:rPr>
                <w:rFonts w:ascii="Times New Roman" w:hAnsi="Times New Roman"/>
              </w:rPr>
              <w:t>.000</w:t>
            </w:r>
          </w:p>
        </w:tc>
      </w:tr>
      <w:tr w:rsidR="00617971" w:rsidRPr="00617971" w14:paraId="213FB49C" w14:textId="77777777" w:rsidTr="00B360B9">
        <w:trPr>
          <w:tblCellSpacing w:w="15" w:type="dxa"/>
        </w:trPr>
        <w:tc>
          <w:tcPr>
            <w:tcW w:w="2649" w:type="dxa"/>
            <w:tcBorders>
              <w:top w:val="nil"/>
              <w:bottom w:val="single" w:sz="4" w:space="0" w:color="auto"/>
            </w:tcBorders>
            <w:vAlign w:val="center"/>
            <w:hideMark/>
          </w:tcPr>
          <w:p w14:paraId="4DE0FC32" w14:textId="77777777" w:rsidR="00617971" w:rsidRPr="00617971" w:rsidRDefault="00617971" w:rsidP="00B360B9">
            <w:pPr>
              <w:spacing w:after="0"/>
              <w:rPr>
                <w:rFonts w:ascii="Times New Roman" w:hAnsi="Times New Roman"/>
              </w:rPr>
            </w:pPr>
            <w:r w:rsidRPr="00617971">
              <w:rPr>
                <w:rFonts w:ascii="Times New Roman" w:hAnsi="Times New Roman"/>
              </w:rPr>
              <w:t>Distribution of Political Power</w:t>
            </w:r>
          </w:p>
        </w:tc>
        <w:tc>
          <w:tcPr>
            <w:tcW w:w="1915" w:type="dxa"/>
            <w:tcBorders>
              <w:top w:val="nil"/>
              <w:bottom w:val="single" w:sz="4" w:space="0" w:color="auto"/>
            </w:tcBorders>
            <w:vAlign w:val="center"/>
            <w:hideMark/>
          </w:tcPr>
          <w:p w14:paraId="4B37E042" w14:textId="77777777" w:rsidR="00617971" w:rsidRPr="00617971" w:rsidRDefault="00617971" w:rsidP="00B360B9">
            <w:pPr>
              <w:spacing w:after="0"/>
              <w:jc w:val="center"/>
              <w:rPr>
                <w:rFonts w:ascii="Times New Roman" w:hAnsi="Times New Roman"/>
              </w:rPr>
            </w:pPr>
            <w:r w:rsidRPr="00617971">
              <w:rPr>
                <w:rFonts w:ascii="Times New Roman" w:hAnsi="Times New Roman"/>
              </w:rPr>
              <w:t>0.541</w:t>
            </w:r>
          </w:p>
        </w:tc>
        <w:tc>
          <w:tcPr>
            <w:tcW w:w="0" w:type="auto"/>
            <w:tcBorders>
              <w:top w:val="nil"/>
              <w:bottom w:val="single" w:sz="4" w:space="0" w:color="auto"/>
            </w:tcBorders>
            <w:vAlign w:val="center"/>
            <w:hideMark/>
          </w:tcPr>
          <w:p w14:paraId="39A31281" w14:textId="77777777" w:rsidR="00617971" w:rsidRPr="00617971" w:rsidRDefault="00617971" w:rsidP="00B360B9">
            <w:pPr>
              <w:spacing w:after="0"/>
              <w:jc w:val="center"/>
              <w:rPr>
                <w:rFonts w:ascii="Times New Roman" w:hAnsi="Times New Roman"/>
              </w:rPr>
            </w:pPr>
            <w:r w:rsidRPr="00617971">
              <w:rPr>
                <w:rFonts w:ascii="Times New Roman" w:hAnsi="Times New Roman"/>
              </w:rPr>
              <w:t>0.066</w:t>
            </w:r>
          </w:p>
        </w:tc>
        <w:tc>
          <w:tcPr>
            <w:tcW w:w="0" w:type="auto"/>
            <w:tcBorders>
              <w:top w:val="nil"/>
              <w:bottom w:val="single" w:sz="4" w:space="0" w:color="auto"/>
            </w:tcBorders>
            <w:vAlign w:val="center"/>
            <w:hideMark/>
          </w:tcPr>
          <w:p w14:paraId="4009A020" w14:textId="77777777" w:rsidR="00617971" w:rsidRPr="00617971" w:rsidRDefault="00617971" w:rsidP="00B360B9">
            <w:pPr>
              <w:spacing w:after="0"/>
              <w:jc w:val="center"/>
              <w:rPr>
                <w:rFonts w:ascii="Times New Roman" w:hAnsi="Times New Roman"/>
              </w:rPr>
            </w:pPr>
            <w:r w:rsidRPr="00617971">
              <w:rPr>
                <w:rFonts w:ascii="Times New Roman" w:hAnsi="Times New Roman"/>
              </w:rPr>
              <w:t>0.612</w:t>
            </w:r>
          </w:p>
        </w:tc>
        <w:tc>
          <w:tcPr>
            <w:tcW w:w="0" w:type="auto"/>
            <w:tcBorders>
              <w:top w:val="nil"/>
              <w:bottom w:val="single" w:sz="4" w:space="0" w:color="auto"/>
            </w:tcBorders>
            <w:vAlign w:val="center"/>
            <w:hideMark/>
          </w:tcPr>
          <w:p w14:paraId="4C50CD7B" w14:textId="77777777" w:rsidR="00617971" w:rsidRPr="00617971" w:rsidRDefault="00617971" w:rsidP="00B360B9">
            <w:pPr>
              <w:spacing w:after="0"/>
              <w:jc w:val="center"/>
              <w:rPr>
                <w:rFonts w:ascii="Times New Roman" w:hAnsi="Times New Roman"/>
              </w:rPr>
            </w:pPr>
            <w:r w:rsidRPr="00617971">
              <w:rPr>
                <w:rFonts w:ascii="Times New Roman" w:hAnsi="Times New Roman"/>
              </w:rPr>
              <w:t>8.14</w:t>
            </w:r>
          </w:p>
        </w:tc>
        <w:tc>
          <w:tcPr>
            <w:tcW w:w="0" w:type="auto"/>
            <w:tcBorders>
              <w:top w:val="nil"/>
              <w:bottom w:val="single" w:sz="4" w:space="0" w:color="auto"/>
            </w:tcBorders>
            <w:vAlign w:val="center"/>
            <w:hideMark/>
          </w:tcPr>
          <w:p w14:paraId="52E7CA10" w14:textId="77777777" w:rsidR="00617971" w:rsidRPr="00617971" w:rsidRDefault="00617971" w:rsidP="00B360B9">
            <w:pPr>
              <w:spacing w:after="0"/>
              <w:jc w:val="center"/>
              <w:rPr>
                <w:rFonts w:ascii="Times New Roman" w:hAnsi="Times New Roman"/>
              </w:rPr>
            </w:pPr>
            <w:r w:rsidRPr="00617971">
              <w:rPr>
                <w:rFonts w:ascii="Times New Roman" w:hAnsi="Times New Roman"/>
              </w:rPr>
              <w:t>.000</w:t>
            </w:r>
          </w:p>
        </w:tc>
      </w:tr>
    </w:tbl>
    <w:p w14:paraId="2400949F" w14:textId="77777777" w:rsidR="00617971" w:rsidRPr="00617971" w:rsidRDefault="00617971" w:rsidP="00617971">
      <w:pPr>
        <w:pStyle w:val="NormalWeb"/>
        <w:spacing w:before="0" w:beforeAutospacing="0" w:after="0" w:afterAutospacing="0"/>
        <w:rPr>
          <w:sz w:val="22"/>
          <w:szCs w:val="22"/>
        </w:rPr>
      </w:pPr>
      <w:r w:rsidRPr="00617971">
        <w:rPr>
          <w:sz w:val="22"/>
          <w:szCs w:val="22"/>
        </w:rPr>
        <w:t>a. Dependent Variable: Sustainable Peace in Unity State</w:t>
      </w:r>
    </w:p>
    <w:p w14:paraId="45526A55" w14:textId="77777777" w:rsidR="00617971" w:rsidRPr="00617971" w:rsidRDefault="00617971" w:rsidP="00617971">
      <w:pPr>
        <w:pStyle w:val="NormalWeb"/>
        <w:spacing w:before="240" w:beforeAutospacing="0" w:after="0" w:afterAutospacing="0" w:line="360" w:lineRule="auto"/>
        <w:rPr>
          <w:sz w:val="22"/>
          <w:szCs w:val="22"/>
        </w:rPr>
      </w:pPr>
      <w:r w:rsidRPr="00617971">
        <w:rPr>
          <w:rStyle w:val="Strong"/>
          <w:rFonts w:eastAsiaTheme="majorEastAsia"/>
          <w:sz w:val="22"/>
          <w:szCs w:val="22"/>
        </w:rPr>
        <w:t>Source:</w:t>
      </w:r>
      <w:r w:rsidRPr="00617971">
        <w:rPr>
          <w:sz w:val="22"/>
          <w:szCs w:val="22"/>
        </w:rPr>
        <w:t xml:space="preserve"> Primary Data, 2025</w:t>
      </w:r>
    </w:p>
    <w:p w14:paraId="05C61F2A" w14:textId="77777777" w:rsidR="00914CE8" w:rsidRPr="00914CE8" w:rsidRDefault="00914CE8" w:rsidP="00914CE8">
      <w:pPr>
        <w:spacing w:line="240" w:lineRule="auto"/>
        <w:jc w:val="both"/>
        <w:rPr>
          <w:rFonts w:ascii="Times New Roman" w:hAnsi="Times New Roman"/>
          <w:lang w:bidi="en-US"/>
        </w:rPr>
      </w:pPr>
      <w:r w:rsidRPr="00914CE8">
        <w:rPr>
          <w:rFonts w:ascii="Times New Roman" w:hAnsi="Times New Roman"/>
          <w:lang w:bidi="en-US"/>
        </w:rPr>
        <w:t>The results in Table 4.5 demonstrate a strong positive relationship between the distribution of political power and sustainable peace in Unity State, South Sudan. The model summary reports a correlation coefficient (R = 0.612), indicating a substantial association between political power distribution and sustainable peace. The coefficient of determination (R² = 0.375) suggests that approximately 37.5% of the variation in sustainable peace is explained by the distribution of political power, implying that more equitable allocation of political influence contributes significantly to peace outcomes. The adjusted R² value (0.371) confirms the model’s stability after accounting for the number of predictors, while the standard error of the estimate (0.579) indicates a reasonable level of accuracy in the model’s predictions.</w:t>
      </w:r>
    </w:p>
    <w:p w14:paraId="1CA65165" w14:textId="77777777" w:rsidR="00914CE8" w:rsidRPr="00914CE8" w:rsidRDefault="00914CE8" w:rsidP="00914CE8">
      <w:pPr>
        <w:spacing w:line="240" w:lineRule="auto"/>
        <w:jc w:val="both"/>
        <w:rPr>
          <w:rFonts w:ascii="Times New Roman" w:hAnsi="Times New Roman"/>
          <w:lang w:bidi="en-US"/>
        </w:rPr>
      </w:pPr>
      <w:r w:rsidRPr="00914CE8">
        <w:rPr>
          <w:rFonts w:ascii="Times New Roman" w:hAnsi="Times New Roman"/>
          <w:lang w:bidi="en-US"/>
        </w:rPr>
        <w:t>The ANOVA results further confirm the statistical significance of the model. The F-statistic of 66.22, derived from the regression and residual sums of squares, is significant at p &lt; 0.001, indicating that the model reliably predicts sustainable peace. This suggests that variations in political power distribution meaningfully affect peace, security, and stability in Unity State, reinforcing the explanatory power of the independent variable.</w:t>
      </w:r>
    </w:p>
    <w:p w14:paraId="338D5FF1" w14:textId="77777777" w:rsidR="00914CE8" w:rsidRPr="00914CE8" w:rsidRDefault="00914CE8" w:rsidP="00914CE8">
      <w:pPr>
        <w:spacing w:line="240" w:lineRule="auto"/>
        <w:jc w:val="both"/>
        <w:rPr>
          <w:rFonts w:ascii="Times New Roman" w:hAnsi="Times New Roman"/>
          <w:lang w:bidi="en-US"/>
        </w:rPr>
      </w:pPr>
      <w:r w:rsidRPr="00914CE8">
        <w:rPr>
          <w:rFonts w:ascii="Times New Roman" w:hAnsi="Times New Roman"/>
          <w:lang w:bidi="en-US"/>
        </w:rPr>
        <w:t>The coefficients results provide additional insight into the nature of this relationship. The unstandardized coefficient (B = 0.541) indicates that a one-unit improvement in the equitable distribution of political power is associated with a 0.541 increase in sustainable peace, holding other factors constant. The standardized coefficient (Beta = 0.612) further shows that political power distribution is a strong predictor of sustainable peace. The constant term (B = 1.842) represents the baseline level of sustainable peace when political power distribution is minimal or absent, while the relatively small standard errors (0.066 for the predictor and 0.139 for the constant) suggest that the estimates are precise and reliable.</w:t>
      </w:r>
    </w:p>
    <w:p w14:paraId="51A668A2" w14:textId="77777777" w:rsidR="00C6501B" w:rsidRPr="00914CE8" w:rsidRDefault="00914CE8" w:rsidP="00914CE8">
      <w:pPr>
        <w:spacing w:line="240" w:lineRule="auto"/>
        <w:jc w:val="both"/>
        <w:rPr>
          <w:rFonts w:ascii="Times New Roman" w:hAnsi="Times New Roman"/>
          <w:lang w:bidi="en-US"/>
        </w:rPr>
      </w:pPr>
      <w:r w:rsidRPr="00914CE8">
        <w:rPr>
          <w:rFonts w:ascii="Times New Roman" w:hAnsi="Times New Roman"/>
          <w:lang w:bidi="en-US"/>
        </w:rPr>
        <w:lastRenderedPageBreak/>
        <w:t>Overall, the regression analysis confirms that the distribution of political power is a significant determinant of sustainable peace in Unity State. Inequitable concentration of power among ethnic groups has historically contributed to insecurity, conflict, and weak governance structures. These findings support existing literature emphasizing that inclusive governance, fair power-sharing, and balanced political representation are critical for reducing tensions and promoting long-term peace and stability in conflict-affected regions (Deng, 2019; Adele, 2020).</w:t>
      </w:r>
    </w:p>
    <w:p w14:paraId="7808DEA6" w14:textId="77777777" w:rsidR="000903D7" w:rsidRDefault="000903D7" w:rsidP="005915ED">
      <w:pPr>
        <w:adjustRightInd w:val="0"/>
        <w:spacing w:after="0"/>
        <w:jc w:val="both"/>
        <w:rPr>
          <w:rFonts w:ascii="Times New Roman" w:hAnsi="Times New Roman"/>
          <w:b/>
        </w:rPr>
      </w:pPr>
      <w:r w:rsidRPr="00C76EF0">
        <w:rPr>
          <w:rFonts w:ascii="Times New Roman" w:hAnsi="Times New Roman"/>
          <w:b/>
        </w:rPr>
        <w:t xml:space="preserve">Discussion </w:t>
      </w:r>
    </w:p>
    <w:p w14:paraId="0752714E" w14:textId="77777777" w:rsidR="00625B81" w:rsidRPr="00625B81" w:rsidRDefault="00625B81" w:rsidP="00625B81">
      <w:pPr>
        <w:adjustRightInd w:val="0"/>
        <w:spacing w:before="240"/>
        <w:jc w:val="both"/>
        <w:rPr>
          <w:rFonts w:ascii="Times New Roman" w:hAnsi="Times New Roman"/>
        </w:rPr>
      </w:pPr>
      <w:r w:rsidRPr="00625B81">
        <w:rPr>
          <w:rFonts w:ascii="Times New Roman" w:hAnsi="Times New Roman"/>
        </w:rPr>
        <w:t>The demographic characteristics presented in Table 4.2 should be understood in light of their implications for interpreting perspectives on power dynamics and sustainable peace, particularly within contexts where governance, ethnicity, and access to resources are central to conflict dynamics. The gender distribution, which shows a higher proportion of male respondents (60.9%) compared to females (39.1%), reflects broader structural patterns observed in many conflict-affected societies where men are more likely to occupy formal political and security roles. This aligns with literature emphasizing that access to power and decision-making spaces is often unevenly distributed along gender lines, thereby shaping whose perspectives dominate political discourse (Cheeseman &amp; Honig, 2019; Dahl, 2017). The inclusion of female respondents, however, remains critical, as inclusive participation is widely recognized as a key component of sustainable peace and effective governance (Barne</w:t>
      </w:r>
      <w:r>
        <w:rPr>
          <w:rFonts w:ascii="Times New Roman" w:hAnsi="Times New Roman"/>
        </w:rPr>
        <w:t>tt, 2021; Berti &amp; Paris, 2020).</w:t>
      </w:r>
    </w:p>
    <w:p w14:paraId="00D17F80" w14:textId="77777777" w:rsidR="00625B81" w:rsidRPr="00625B81" w:rsidRDefault="00625B81" w:rsidP="00625B81">
      <w:pPr>
        <w:adjustRightInd w:val="0"/>
        <w:spacing w:before="240"/>
        <w:jc w:val="both"/>
        <w:rPr>
          <w:rFonts w:ascii="Times New Roman" w:hAnsi="Times New Roman"/>
        </w:rPr>
      </w:pPr>
      <w:r w:rsidRPr="00625B81">
        <w:rPr>
          <w:rFonts w:ascii="Times New Roman" w:hAnsi="Times New Roman"/>
        </w:rPr>
        <w:t>The age distribution indicates that the majority of respondents fall within the 26–45 years category, representing the most economically active and socially engaged segment of the population. This is significant because individuals in this age group are often directly involved in political participation, leadership, and community decision-making processes. Similar patterns have been observed in conflict and post-conflict contexts where middle-aged groups play central roles in either sustaining or transforming political and security dynamics (Anderson, 2020; Callahan, 2022). Their perspectives are therefore particularly valuable in understanding how power relations operate in practice and how they influenc</w:t>
      </w:r>
      <w:r>
        <w:rPr>
          <w:rFonts w:ascii="Times New Roman" w:hAnsi="Times New Roman"/>
        </w:rPr>
        <w:t>e stability and peace outcomes.</w:t>
      </w:r>
    </w:p>
    <w:p w14:paraId="001513E4" w14:textId="77777777" w:rsidR="00625B81" w:rsidRDefault="00625B81" w:rsidP="00625B81">
      <w:pPr>
        <w:adjustRightInd w:val="0"/>
        <w:spacing w:before="240"/>
        <w:jc w:val="both"/>
        <w:rPr>
          <w:rFonts w:ascii="Times New Roman" w:hAnsi="Times New Roman"/>
        </w:rPr>
      </w:pPr>
      <w:r w:rsidRPr="00625B81">
        <w:rPr>
          <w:rFonts w:ascii="Times New Roman" w:hAnsi="Times New Roman"/>
        </w:rPr>
        <w:t>In terms of education, the findings reveal that a substantial proportion of respondents possess tertiary-level qualifications, with bachelor’s and master’s degree holders forming the majority. This relatively high educational attainment enhances the analytical capacity of respondents to engage with complex issues such as political exclusion, resource distribution, and governance structures. Literature suggests that education can influence individuals’ awareness of political processes and their ability to critically assess power relations and institutional performance (Coleman, 2019; Davis, 2023). In conflict-affected regions, such informed perspectives are essential for understanding the underlying drivers of instability, including inequitable power-sharing and resource competition, which have been widely documented as key contributors to conflict in various global contexts (Adele, 2020; Deng, 2019; Hodges, 2020).</w:t>
      </w:r>
    </w:p>
    <w:p w14:paraId="43A8C2C2" w14:textId="77777777" w:rsidR="00914CE8" w:rsidRPr="00625B81" w:rsidRDefault="00625B81" w:rsidP="00625B81">
      <w:pPr>
        <w:adjustRightInd w:val="0"/>
        <w:spacing w:before="240"/>
        <w:jc w:val="both"/>
        <w:rPr>
          <w:rFonts w:ascii="Times New Roman" w:hAnsi="Times New Roman"/>
        </w:rPr>
      </w:pPr>
      <w:r w:rsidRPr="00625B81">
        <w:rPr>
          <w:rFonts w:ascii="Times New Roman" w:hAnsi="Times New Roman"/>
        </w:rPr>
        <w:t xml:space="preserve">The study results indicate that the average mean of 4.03 and a standard deviation of 1.08 across all statements indicate that respondents perceive the distribution of political power in Unity State as a critical determinant of sustainable peace. This high mean suggests a strong consensus among respondents that equitable access to political authority and fair representation of all ethnic groups significantly influence the state’s stability and social cohesion. The moderate standard deviation reflects some variation in perceptions, which may be attributed to differences in respondents’ experiences with local governance, ethnic affiliations, or exposure to political processes. These findings align with both regional and global studies, demonstrating that concentrated or ethnically skewed power structures </w:t>
      </w:r>
      <w:r w:rsidRPr="00625B81">
        <w:rPr>
          <w:rFonts w:ascii="Times New Roman" w:hAnsi="Times New Roman"/>
        </w:rPr>
        <w:lastRenderedPageBreak/>
        <w:t>often foster marginalization, heighten intergroup tensions, and weaken the legitimacy and effectiveness of governance institutions (Deng, 2019; Abadi, 2021; Melvern, 2016; Ghani, 2018; Kimenyi, 2018; Adele, 2020). In the context of Unity State, historical patterns of dominance by specific ethnic groups, such as the Dinka or Nuer, have frequently triggered political exclusion and competition for key leadership positions, which can escalate into violent conflict or undermine attempts at reconciliation.</w:t>
      </w:r>
    </w:p>
    <w:p w14:paraId="3C4462E8" w14:textId="77777777" w:rsidR="00914CE8" w:rsidRPr="00625B81" w:rsidRDefault="00625B81" w:rsidP="005915ED">
      <w:pPr>
        <w:adjustRightInd w:val="0"/>
        <w:spacing w:after="0"/>
        <w:jc w:val="both"/>
        <w:rPr>
          <w:rFonts w:ascii="Times New Roman" w:hAnsi="Times New Roman"/>
        </w:rPr>
      </w:pPr>
      <w:r w:rsidRPr="00625B81">
        <w:rPr>
          <w:rFonts w:ascii="Times New Roman" w:hAnsi="Times New Roman"/>
        </w:rPr>
        <w:t xml:space="preserve">The </w:t>
      </w:r>
      <w:r>
        <w:rPr>
          <w:rFonts w:ascii="Times New Roman" w:hAnsi="Times New Roman"/>
        </w:rPr>
        <w:t>study revealed</w:t>
      </w:r>
      <w:r w:rsidRPr="00625B81">
        <w:rPr>
          <w:rFonts w:ascii="Times New Roman" w:hAnsi="Times New Roman"/>
        </w:rPr>
        <w:t xml:space="preserve"> a strong and statistically significant positive relationship between the distribution of political power and sustainable peace in Unity State, South Sudan, with a correlation coefficient (R = 0.612) and a coefficient of determination (R² = 0.375), suggesting that approximately 37.5% of the variation in sustainable peace is explained by political power distribution. The model demonstrates good predictive accuracy (adjusted R² = 0.371; standard error = 0.579) and is statistically significant (F = 66.22, p &lt; 0.001), confirming that variations in political power distribution meaningfully influence peace and stability outcomes. The regression coefficients further show that an increase in equitable political power distribution is associated with an increase in sustainable peace (B = 0.541; Beta = 0.612), indicating that political power distribution is a strong predictor of peace, while the constant term (B = 1.842) reflects the baseline level of peace in the absence of equitable power-sharing. Overall, the findings suggest that unequal concentration of political power contributes to insecurity and weak governance, whereas inclusive and balanced power-sharing arrangements significantly enhance prospects for sustainable peace, consistent with existing literature emphasizing the importance of equitable governance and inclusive political structures in conflict-affected societies (Deng, 2019; Adele, 2020; Berti &amp; Paris, 2020; Barnett, 2021).</w:t>
      </w:r>
    </w:p>
    <w:p w14:paraId="2693241E" w14:textId="77777777" w:rsidR="00AC3833" w:rsidRPr="0096703C" w:rsidRDefault="00AC3833" w:rsidP="005915ED">
      <w:pPr>
        <w:pStyle w:val="NormalWeb"/>
        <w:spacing w:line="276" w:lineRule="auto"/>
        <w:jc w:val="both"/>
        <w:rPr>
          <w:b/>
          <w:bCs/>
          <w:iCs/>
          <w:sz w:val="22"/>
          <w:szCs w:val="22"/>
        </w:rPr>
      </w:pPr>
      <w:r w:rsidRPr="0096703C">
        <w:rPr>
          <w:b/>
          <w:bCs/>
          <w:iCs/>
          <w:sz w:val="22"/>
          <w:szCs w:val="22"/>
        </w:rPr>
        <w:t xml:space="preserve">Conclusions </w:t>
      </w:r>
    </w:p>
    <w:p w14:paraId="75DD5176" w14:textId="77777777" w:rsidR="00625B81" w:rsidRPr="00625B81" w:rsidRDefault="00625B81" w:rsidP="00625B81">
      <w:pPr>
        <w:jc w:val="both"/>
        <w:rPr>
          <w:rFonts w:ascii="Times New Roman" w:hAnsi="Times New Roman"/>
          <w:szCs w:val="20"/>
          <w:shd w:val="clear" w:color="auto" w:fill="FFFFFF"/>
        </w:rPr>
      </w:pPr>
      <w:r w:rsidRPr="00625B81">
        <w:rPr>
          <w:rFonts w:ascii="Times New Roman" w:hAnsi="Times New Roman"/>
          <w:szCs w:val="20"/>
          <w:shd w:val="clear" w:color="auto" w:fill="FFFFFF"/>
        </w:rPr>
        <w:t>This study examined the relationship between the distribution of political power and sustainable peace in Unity State, South Sudan. The findings reveal that political power in the region is largely perceived to be unevenly distributed along ethnic lines, contributing to marginalization, exclusion from decision-making, and tensions among groups. Such imbalances have been identified as key drivers of conflict, weak governance, and instability, as reflected in the respondents’ agreement that political favoritism, unequal representation, and concentration of leadership positions undermin</w:t>
      </w:r>
      <w:r>
        <w:rPr>
          <w:rFonts w:ascii="Times New Roman" w:hAnsi="Times New Roman"/>
          <w:szCs w:val="20"/>
          <w:shd w:val="clear" w:color="auto" w:fill="FFFFFF"/>
        </w:rPr>
        <w:t xml:space="preserve">e inclusivity and public trust. </w:t>
      </w:r>
    </w:p>
    <w:p w14:paraId="468B0F68" w14:textId="77777777" w:rsidR="00625B81" w:rsidRDefault="00625B81" w:rsidP="00625B81">
      <w:pPr>
        <w:jc w:val="both"/>
        <w:rPr>
          <w:rFonts w:ascii="Times New Roman" w:hAnsi="Times New Roman"/>
          <w:szCs w:val="20"/>
          <w:shd w:val="clear" w:color="auto" w:fill="FFFFFF"/>
        </w:rPr>
      </w:pPr>
      <w:r w:rsidRPr="00625B81">
        <w:rPr>
          <w:rFonts w:ascii="Times New Roman" w:hAnsi="Times New Roman"/>
          <w:szCs w:val="20"/>
          <w:shd w:val="clear" w:color="auto" w:fill="FFFFFF"/>
        </w:rPr>
        <w:t>The study further established that sustainable peace in Unity State remains constrained by persistent insecurity, ethnic and political rivalries, weak rule of law, and unequal access to resources. These conditions hinder effective governance, limit humanitarian access, weaken community trust, and perpetuate cycles of violence. The presence of armed groups and local militias, combined with ongoing disputes over power and resources, continues to challenge peacebuilding efforts and long-term stability in the region.</w:t>
      </w:r>
    </w:p>
    <w:p w14:paraId="5FDAE637" w14:textId="77777777" w:rsidR="00585BED" w:rsidRPr="005E7ADF" w:rsidRDefault="00585BED" w:rsidP="005915ED">
      <w:pPr>
        <w:jc w:val="both"/>
        <w:rPr>
          <w:rFonts w:ascii="Times New Roman" w:hAnsi="Times New Roman"/>
          <w:b/>
        </w:rPr>
      </w:pPr>
      <w:r w:rsidRPr="005E7ADF">
        <w:rPr>
          <w:rFonts w:ascii="Times New Roman" w:hAnsi="Times New Roman"/>
          <w:b/>
        </w:rPr>
        <w:t xml:space="preserve">Recommendations </w:t>
      </w:r>
    </w:p>
    <w:p w14:paraId="6BBEB939" w14:textId="77777777" w:rsidR="00625B81" w:rsidRPr="00625B81" w:rsidRDefault="00625B81" w:rsidP="00625B81">
      <w:pPr>
        <w:pStyle w:val="NormalWeb"/>
        <w:jc w:val="both"/>
        <w:rPr>
          <w:sz w:val="22"/>
          <w:szCs w:val="20"/>
          <w:shd w:val="clear" w:color="auto" w:fill="FFFFFF"/>
        </w:rPr>
      </w:pPr>
      <w:bookmarkStart w:id="44" w:name="_Toc145637386"/>
      <w:bookmarkEnd w:id="0"/>
      <w:bookmarkEnd w:id="1"/>
      <w:r w:rsidRPr="00625B81">
        <w:rPr>
          <w:sz w:val="22"/>
          <w:szCs w:val="20"/>
          <w:shd w:val="clear" w:color="auto" w:fill="FFFFFF"/>
        </w:rPr>
        <w:t>The study recommends that the state government should adopt policies that ensure proportional representation of all ethnic and social groups in political decision-making bodies, including key positions in local councils, state assemblies, and administrative offices. Inclusion mechanisms such as reserved seats or rotational leadership positions can help prevent domination by a single group and promote shared responsibility for peace and development.</w:t>
      </w:r>
    </w:p>
    <w:p w14:paraId="0ED4B978" w14:textId="77777777" w:rsidR="00625B81" w:rsidRPr="00625B81" w:rsidRDefault="00625B81" w:rsidP="00625B81">
      <w:pPr>
        <w:pStyle w:val="NormalWeb"/>
        <w:jc w:val="both"/>
        <w:rPr>
          <w:sz w:val="22"/>
          <w:szCs w:val="20"/>
          <w:shd w:val="clear" w:color="auto" w:fill="FFFFFF"/>
        </w:rPr>
      </w:pPr>
      <w:r w:rsidRPr="00625B81">
        <w:rPr>
          <w:sz w:val="22"/>
          <w:szCs w:val="20"/>
          <w:shd w:val="clear" w:color="auto" w:fill="FFFFFF"/>
        </w:rPr>
        <w:t xml:space="preserve">Formal power-sharing agreements among major ethnic groups, such as the Dinka and Nuer, should be institutionalized to reduce competition for political dominance. These arrangements should be </w:t>
      </w:r>
      <w:r w:rsidRPr="00625B81">
        <w:rPr>
          <w:sz w:val="22"/>
          <w:szCs w:val="20"/>
          <w:shd w:val="clear" w:color="auto" w:fill="FFFFFF"/>
        </w:rPr>
        <w:lastRenderedPageBreak/>
        <w:t>transparent, legally binding, and monitored by independent bodies to ensure compliance and mitigate potential grievances. Political leaders must also be held accountable for fair representation and equitable policy implementation. Establishing independent oversight committees can ensure that the distribution of political power does not favor specific groups at the expense of others, while transparency initiatives, including regular reporting on appointments, resource allocation, and decision-making processes, will enhance trust among communities.</w:t>
      </w:r>
    </w:p>
    <w:p w14:paraId="11DBEA84" w14:textId="77777777" w:rsidR="00625B81" w:rsidRDefault="00625B81" w:rsidP="00625B81">
      <w:pPr>
        <w:pStyle w:val="NormalWeb"/>
        <w:jc w:val="both"/>
        <w:rPr>
          <w:sz w:val="22"/>
          <w:szCs w:val="20"/>
          <w:shd w:val="clear" w:color="auto" w:fill="FFFFFF"/>
        </w:rPr>
      </w:pPr>
      <w:r w:rsidRPr="00625B81">
        <w:rPr>
          <w:sz w:val="22"/>
          <w:szCs w:val="20"/>
          <w:shd w:val="clear" w:color="auto" w:fill="FFFFFF"/>
        </w:rPr>
        <w:t>It was also recommended that continuous dialogue forums should be established to enable all ethnic groups to voice concerns, negotiate interests, and collaboratively develop policies. Mediation and conflict resolution mechanisms should be institutionalized to address disputes arising from perceptions of political exclusion or marginalization. In addition, community-based civic education programs should be implemented to raise awareness about the importance of equitable political participation and the dangers of monopolized power. Educating citizens on their rights and mechanisms to engage in political processes empowers communities to demand inclusive governance, thereby promoting long-term peace.</w:t>
      </w:r>
    </w:p>
    <w:p w14:paraId="3CC08D17" w14:textId="77777777" w:rsidR="00625B81" w:rsidRDefault="00625B81" w:rsidP="00EA08F6">
      <w:pPr>
        <w:pStyle w:val="NormalWeb"/>
        <w:jc w:val="both"/>
        <w:rPr>
          <w:sz w:val="22"/>
          <w:szCs w:val="20"/>
          <w:shd w:val="clear" w:color="auto" w:fill="FFFFFF"/>
        </w:rPr>
      </w:pPr>
    </w:p>
    <w:p w14:paraId="41F17B9B" w14:textId="77777777" w:rsidR="00625B81" w:rsidRDefault="00625B81">
      <w:pPr>
        <w:spacing w:after="0" w:line="240" w:lineRule="auto"/>
        <w:rPr>
          <w:rFonts w:ascii="Times New Roman" w:hAnsi="Times New Roman"/>
          <w:b/>
          <w:iCs/>
        </w:rPr>
      </w:pPr>
      <w:r>
        <w:rPr>
          <w:b/>
          <w:i/>
        </w:rPr>
        <w:br w:type="page"/>
      </w:r>
    </w:p>
    <w:p w14:paraId="681FB163" w14:textId="77777777" w:rsidR="00AE7192" w:rsidRPr="00F60D3B" w:rsidRDefault="00AA7D47" w:rsidP="004148D4">
      <w:pPr>
        <w:pStyle w:val="Heading2"/>
        <w:numPr>
          <w:ilvl w:val="0"/>
          <w:numId w:val="0"/>
        </w:numPr>
        <w:jc w:val="center"/>
        <w:rPr>
          <w:b/>
          <w:i w:val="0"/>
          <w:sz w:val="22"/>
          <w:szCs w:val="22"/>
        </w:rPr>
      </w:pPr>
      <w:r w:rsidRPr="00F60D3B">
        <w:rPr>
          <w:b/>
          <w:i w:val="0"/>
          <w:sz w:val="22"/>
          <w:szCs w:val="22"/>
        </w:rPr>
        <w:lastRenderedPageBreak/>
        <w:t>REFERENCES</w:t>
      </w:r>
      <w:bookmarkEnd w:id="44"/>
    </w:p>
    <w:p w14:paraId="22E51921"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Abadi, M. (2021). The Politics of Sectarianism in Iraq. Oxford University Press.</w:t>
      </w:r>
    </w:p>
    <w:p w14:paraId="4A01CB9F"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Adele, A. (2020). The Niger Delta Conflict and Nigeria's Political Dynamics. African Politics Journal, 45(3), 124-139.</w:t>
      </w:r>
    </w:p>
    <w:p w14:paraId="41ED7B49"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Adele, J. (2020). Resource control and conflict in the Niger Delta: Economic implications of political power struggles. Journal of African Political Economy, 45(3), 215–233. https://doi.org/10.1080/03056244.2020.1758912</w:t>
      </w:r>
    </w:p>
    <w:p w14:paraId="4E9F8845"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Allansson, M., Melander, E., &amp; Themner, L. (2020). Organized violence, 1989–2019. Journal of Peace Research, 57(4), 619–634. https://doi.org/10.1177/0022343320934986</w:t>
      </w:r>
    </w:p>
    <w:p w14:paraId="593B965B"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Anderson, A. (2020). The geopolitical shifts of the post-Cold War era and their impact on security. Global Affairs, 12(3), 45-63.</w:t>
      </w:r>
    </w:p>
    <w:p w14:paraId="5E041259"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AP / Global Witness. (2024). Reporting on killings and threats to land and environmental defenders worldwide. Associated Press / Global Witness. Retrieved from https://www.globalwitness.org</w:t>
      </w:r>
    </w:p>
    <w:p w14:paraId="5D40D2BF"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Arraf, J. (2021). Iraq’s elections were meant to stabilize the country. The result may be more turmoil. The New York Times. https://www.nytimes.com/2021/10/10/world/middleeast/iraq-election.html</w:t>
      </w:r>
    </w:p>
    <w:p w14:paraId="1AE1D13D"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Barchiesi, F. (2020). Resource Control and Land Disputes in Post-Apartheid South Africa. African Studies Review, 63(2), 27-47.</w:t>
      </w:r>
    </w:p>
    <w:p w14:paraId="6424E18E"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Barnett, M. (2021). Peacebuilding and international security: From conflict to cooperation. Oxford University Press.</w:t>
      </w:r>
    </w:p>
    <w:p w14:paraId="75EE00F7"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Berti, B., &amp; Paris, R. (2020). Power-sharing and peacebuilding: Exploring the linkages. International Peacekeeping, 27(2), 177–202. https://doi.org/10.1080/13533312.2020.1714579</w:t>
      </w:r>
    </w:p>
    <w:p w14:paraId="46A7F1A6"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Brosché, J., &amp; Höglund, K. (2021). Power-sharing and peace: The impact of armed groups on negotiated agreements. Civil Wars, 23(2), 191–212. https://doi.org/10.1080/13698249.2021.1898157</w:t>
      </w:r>
    </w:p>
    <w:p w14:paraId="33EE5921"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Callahan, D. (2022). The role of non-state actors in conflict: South Sudan and the Horn of Africa. Conflict Studies Quarterly, 40(1), 14-27.</w:t>
      </w:r>
    </w:p>
    <w:p w14:paraId="59DE0913"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Carter, K. (2021). The Resource Curse: Conflict and Instability in the Democratic Republic of Congo. Journal of African Political Studies, 12(1), 58-77.</w:t>
      </w:r>
    </w:p>
    <w:p w14:paraId="360EFFAF"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Chandran, R. (2018). Nepal’s experiment with federalism: Power devolution and conflict transformation. Asian Journal of Peacebuilding, 6(1), 45–69. https://doi.org/10.18588/201805.00a046</w:t>
      </w:r>
    </w:p>
    <w:p w14:paraId="7873B7FC"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Cheeseman, N., &amp; Honig, L. (2019). Ethnicity, democracy and the politics of inclusion in Africa. African Affairs, 118(472), 463–490. https://doi.org/10.1093/afraf/adz014</w:t>
      </w:r>
    </w:p>
    <w:p w14:paraId="0A662F78"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Coleman, P. T. (2019). Visualizing and modeling the dynamics of sustainable peace. Columbia University. https://ac4.climate.columbia.edu/sites/default/files/content/TakingComplex.pdf</w:t>
      </w:r>
    </w:p>
    <w:p w14:paraId="0D37B7E2"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lastRenderedPageBreak/>
        <w:t>Crisis Group. (2021). Deeply rooted: Coca eradication and violence in Colombia. International Crisis Group. https://www.crisisgroup.org/latin-america-caribbean/colombia/087-deeply-rooted-coca-eradication-and-violence-colombia</w:t>
      </w:r>
    </w:p>
    <w:p w14:paraId="2D960FCD"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Dahl, R. (2017). Power and democracy: A reader in political theory. Yale University Press.</w:t>
      </w:r>
    </w:p>
    <w:p w14:paraId="70E8F5E0"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Davis, K. (2023). Power in environmental peacebuilding. Environmental Peacebuilding Journal. https://www.sciencedirect.com/science/article/pii/S2772655X23000654</w:t>
      </w:r>
    </w:p>
    <w:p w14:paraId="342D7A60"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Deng, F. M. (2019). War of Visions: Conflict of Identities in South Sudan. Oxford University Press.</w:t>
      </w:r>
    </w:p>
    <w:p w14:paraId="4FBC9336"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Deng, F. M. (2021). Darfur: The Struggle for Resources and Political Power. Journal of African Conflict Resolution, 15(2), 101-119.</w:t>
      </w:r>
    </w:p>
    <w:p w14:paraId="10684C65"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Des Forges, A. (2017). Leave none to tell the story: Genocide in Rwanda. Human Rights Watch.</w:t>
      </w:r>
    </w:p>
    <w:p w14:paraId="0C478700"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Foucault, M. (2018). Discipline and punish: The birth of the prison. Pantheon Books.</w:t>
      </w:r>
    </w:p>
    <w:p w14:paraId="2F12C957"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GAO. (2024). Conflict minerals: Effects of U.S. rules on eastern DRC and remaining challenges (GAO Report No. GAO-25-107018). U.S. Government Accountability Office. https://www.gao.gov/assets/gao-25-107018.pdf</w:t>
      </w:r>
    </w:p>
    <w:p w14:paraId="7EC2ED3D"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Gengler, J. (2020). Resource Competition and Security in Syria. Middle East Conflict Review, 15(3), 142-158.</w:t>
      </w:r>
    </w:p>
    <w:p w14:paraId="171426D0"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Ghani, A. (2018). The Syrian Civil War and Its Regional Impact. Cambridge University Press.</w:t>
      </w:r>
    </w:p>
    <w:p w14:paraId="7B21B188"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Gibney, M. (2019). The Balkanization of Bosnia: Power-Sharing and Security in Post-War Europe. Routledge.</w:t>
      </w:r>
    </w:p>
    <w:p w14:paraId="56A4A28B"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Gomes, T. (2018). Diamonds, Gold, and Violence in the Central African Republic. African Conflict Studies Journal, 13(1), 70-88.</w:t>
      </w:r>
    </w:p>
    <w:p w14:paraId="04FC9D52"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Hodges, T. (2020). Angola's Resource Control and Security Instability. Cambridge University Press.</w:t>
      </w:r>
    </w:p>
    <w:p w14:paraId="6A2BF8B3"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International Crisis Group / ICER Mediation. (2022). Effective power-sharing: Unlocking peace in South Sudan. ICER Mediation. https://icermediation.org/power-sharing-arrangements-in-south-sudan/</w:t>
      </w:r>
    </w:p>
    <w:p w14:paraId="33F0E7C9"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International Crisis Group. (2022). A new deal for Afghanistan: Power, peace and inclusive governance. Crisis Group Asia Report No. 324. https://www.crisisgroup.org</w:t>
      </w:r>
    </w:p>
    <w:p w14:paraId="3BF8CE0E"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Johnson, D. (2021). The civil war in South Sudan: A historical perspective on the conflict dynamics. South Sudan Studies Journal, 5(2), 112-128.</w:t>
      </w:r>
    </w:p>
    <w:p w14:paraId="5305C63A"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Karmakar, G. (2024). Living with extraction: Environmental injustice, slow violence and the Niger Delta. International Social Science Journal. Advance online publication. https://doi.org/10.1111/issj.12480</w:t>
      </w:r>
    </w:p>
    <w:p w14:paraId="1F92826D"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Keller, E. (2017). Oil, ethnicity, and conflict in South Sudan. Journal of African Political Economy, 34(1), 88-101.</w:t>
      </w:r>
    </w:p>
    <w:p w14:paraId="52A263E4"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Krampe, F., &amp; Eklöw, K. (2020). Climate change, peacebuilding and sustaining peace. Stockholm International Peace Research Institute (SIPRI) Policy Paper No. 55. https://www.sipri.org/publications</w:t>
      </w:r>
    </w:p>
    <w:p w14:paraId="3ADF08EE"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lastRenderedPageBreak/>
        <w:t>Krause, T. (2024). (See analyses of environmental and human-rights defenders in Colombia). Ecology and Society. https://ecologyandsociety.org</w:t>
      </w:r>
    </w:p>
    <w:p w14:paraId="196669E8"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Krause, T. (2025). Colombia’s long road toward peace: Implications for environmental and human-rights defenders. Ecology and Society, 30(1), 21. https://ecologyandsociety.org/vol30/iss1/art21/</w:t>
      </w:r>
    </w:p>
    <w:p w14:paraId="08F99BC9"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Kugelman, M. (2017). The Role of Opium in Afghanistan’s Insecurity. South Asian Political Studies, 9(1), 112-130.</w:t>
      </w:r>
    </w:p>
    <w:p w14:paraId="6ADA31D4"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Lederach, J. P. (2018). Building peace: Sustainable reconciliation in divided societies. US Institute of Peace Press.</w:t>
      </w:r>
    </w:p>
    <w:p w14:paraId="4FB67A9D"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Lederach, J. P. (2021). Building peace: Sustainable reconciliation in divided societies. US Institute of Peace Press.</w:t>
      </w:r>
    </w:p>
    <w:p w14:paraId="268AC8C1"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Lesch, D. W. (2018). The Syrian conflict: A history. Oxford University Press.</w:t>
      </w:r>
    </w:p>
    <w:p w14:paraId="35446749"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Lopez, D. (2019). Oil and Social Unrest: Venezuela’s Struggle for Resource Control. Latin American Politics Review, 14(3), 202-219.</w:t>
      </w:r>
    </w:p>
    <w:p w14:paraId="1C3B26D3"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Mbeki, T. (2020). The African Renaissance and the role of power dynamics in post-apartheid South Africa. Journal of African Political Thought, 6(3), 215-228.</w:t>
      </w:r>
    </w:p>
    <w:p w14:paraId="244D352F"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Mearsheimer, J. (2001). The tragedy of great power politics. W.W. Norton &amp; Company.</w:t>
      </w:r>
    </w:p>
    <w:p w14:paraId="40FE1F52"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Mearsheimer, J. (2018). The tragedy of great power politics. W.W. Norton &amp; Company.</w:t>
      </w:r>
    </w:p>
    <w:p w14:paraId="70045F0F"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Melvern, L. (2016). A People Betrayed: The Role of Politics in the Rwandan Genocide. Zed Books.</w:t>
      </w:r>
    </w:p>
    <w:p w14:paraId="72BFAD38"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Melvern, L. (2016). A people betrayed: The role of the West in Rwanda’s genocide. Zed Books.</w:t>
      </w:r>
    </w:p>
    <w:p w14:paraId="3E653767"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Menkhaus, K. (2016). Somalia’s Resource Wars: A Path to State Failure. Horn of Africa Journal of Peace and Security, 11(2), 98-112.</w:t>
      </w:r>
    </w:p>
    <w:p w14:paraId="4C0B4036"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Moyo, D. (2019). Power dynamics and governance in post-conflict South Sudan: Challenges and opportunities. Conflict Resolution Quarterly, 37(4), 319-334.</w:t>
      </w:r>
    </w:p>
    <w:p w14:paraId="66AB30A1"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Nathan, L. (2019). The paradox of power-sharing: Stability and instability in post-war settlements. Journal of Intervention and Statebuilding, 13(1), 1–19. https://doi.org/10.1080/17502977.2018.1533518</w:t>
      </w:r>
    </w:p>
    <w:p w14:paraId="50758899"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Nixon, R. (2019). Political turmoil in Venezuela threatens fragile peace accords. The Washington Post. https://www.washingtonpost.com</w:t>
      </w:r>
    </w:p>
    <w:p w14:paraId="480635F1"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Norton, A. (2019). ISIS and the power dynamics of the Middle East. International Journal of Middle Eastern Studies, 51(2), 189-205.</w:t>
      </w:r>
    </w:p>
    <w:p w14:paraId="315028A8"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Pagan, E. (2020). Power-sharing in post-conflict South Sudan: Challenges and opportunities for peace. Journal of Conflict Resolution, 64(1), 33-50.</w:t>
      </w:r>
    </w:p>
    <w:p w14:paraId="6B348128"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Pakenham, T. (2020). The scramble for Africa: The history of the European colonization of Africa. Random House.</w:t>
      </w:r>
    </w:p>
    <w:p w14:paraId="584BCA59"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lastRenderedPageBreak/>
        <w:t>Saavedra, S. A. (2024). The Juba Peace Agreement and the Sudanese transition: Power-sharing or democracy building? International IDEA. https://www.idea.int/sites/default/files/2024-02/the-juba-peace-agreement-and-the-sudanese-transition-power-sharing-or-democracy-building.pdf</w:t>
      </w:r>
    </w:p>
    <w:p w14:paraId="6E9EAB0B"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Saferworld. (2019). Federalism, conflict and peace in Nepal (policy brief). Saferworld. https://www.saferworld-global.org/downloads/federalism-conflict-and-peace-in-nepal.pdf</w:t>
      </w:r>
    </w:p>
    <w:p w14:paraId="5814C8B8"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Samii, C. (2021). Power-sharing in fragile states: Evidence from South Sudan. Conflict Management and Peace Science, 38(3), 267–289. https://doi.org/10.1177/0738894220943871</w:t>
      </w:r>
    </w:p>
    <w:p w14:paraId="30652146"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Sarr, A. (2021). The Timber Wars: Resource Control and Armed Conflict in Central Africa. African Security Journal, 8(4), 235-250.</w:t>
      </w:r>
    </w:p>
    <w:p w14:paraId="32BA3985"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Sharifi, A. (2020). The literature landscape on the peace–sustainability nexus. Environment, Development and Sustainability, 22(6), 4975–4995. https://www.ncbi.nlm.nih.gov/pmc/articles/PMC7882663/</w:t>
      </w:r>
    </w:p>
    <w:p w14:paraId="2D3D7AE9"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Sriram, C. L., &amp; Zahar, M.-J. (2020). Power, inclusion and peacebuilding: Shaping political settlements. Journal of Peacebuilding &amp; Development, 15(2), 135–149. https://doi.org/10.1177/1542316620931153</w:t>
      </w:r>
    </w:p>
    <w:p w14:paraId="2AA0FD16"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Strasheim, J. (2021). Federalism and ethnic violence in Nepal. Deutsche Nationalbibliothek. https://d-nb.info/1254812113/34</w:t>
      </w:r>
    </w:p>
    <w:p w14:paraId="7D19F08F"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Themnér, A., &amp; Utas, M. (2021). Governance through brokerage: Informal power and peace in post-war Liberia. Journal of Modern African Studies, 59(3), 331–352. https://doi.org/10.1017/S0022278X21000277</w:t>
      </w:r>
    </w:p>
    <w:p w14:paraId="672E874C"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Ukhurebor, K. E. (2021). Environmental implications of petroleum spillages in the Niger Delta: A review. Marine Pollution Bulletin, 170, Article 112674. https://doi.org/10.1016/j.marpolbul.2021.112674</w:t>
      </w:r>
    </w:p>
    <w:p w14:paraId="7F09576E"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United Nations. (2020). Report on challenges to peace and security in South Sudan (S/2020/1224). United Nations Security Council. https://docs.un.org/en/S/2020/1224</w:t>
      </w:r>
    </w:p>
    <w:p w14:paraId="246C1B96"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t>United Nations. (2023). The role of inclusive governance in sustaining peace. United Nations Department of Political and Peacebuilding Affairs. https://www.un.org/peacebuilding</w:t>
      </w:r>
    </w:p>
    <w:p w14:paraId="626B1073"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Verweijen, J. (2024). Environmental peacebuilding’s technomoral imaginary and critiques. Ecology and Society, 29(3), Article 23. https://doi.org/10.5751/ES-13831-290323</w:t>
      </w:r>
    </w:p>
    <w:p w14:paraId="4062E624"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Waltz, K. (1979). Theory of international politics. Addison-Wesley.</w:t>
      </w:r>
    </w:p>
    <w:p w14:paraId="2D23CF2B"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Wendt, A. (1999). Social theory of international politics. Cambridge University Press.</w:t>
      </w:r>
    </w:p>
    <w:p w14:paraId="51CF612A"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Williams, R. (2020). The role of militias and local actors in South Sudan’s security dynamics. International Security Review, 18(1), 74-95.</w:t>
      </w:r>
    </w:p>
    <w:p w14:paraId="1BCF591C"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Williams, R. (2021). The role of militias and local actors in South Sudan’s security dynamics. International Security Review, 18(1), 74-95.</w:t>
      </w:r>
    </w:p>
    <w:p w14:paraId="7C9A3A45" w14:textId="77777777" w:rsidR="00F60D3B" w:rsidRPr="00F60D3B" w:rsidRDefault="00F60D3B" w:rsidP="004148D4">
      <w:pPr>
        <w:spacing w:before="240" w:line="240" w:lineRule="auto"/>
        <w:ind w:left="1440" w:hanging="1440"/>
        <w:rPr>
          <w:rFonts w:ascii="Times New Roman" w:hAnsi="Times New Roman"/>
        </w:rPr>
      </w:pPr>
      <w:r w:rsidRPr="00F60D3B">
        <w:rPr>
          <w:rFonts w:ascii="Times New Roman" w:hAnsi="Times New Roman"/>
        </w:rPr>
        <w:lastRenderedPageBreak/>
        <w:t>Wise, L. (2018). Territorial power-sharing and inclusion in peace processes (PA-X report). Political Settlements Research Programme. https://www.politicalsettlements.org/wp-content/uploads/2018/07/2018_Wise_PA-X-Territorial-Power-Sharing-Report.pdf</w:t>
      </w:r>
    </w:p>
    <w:p w14:paraId="43BA64A0"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WOLA (Washington Office on Latin America). (2021). A long way to go: Implementing Colombia’s peace accord after five years. https://www.wola.org/analysis/a-long-way-to-go-implementing-colombias-peace-accord-after-five-years/</w:t>
      </w:r>
    </w:p>
    <w:p w14:paraId="60B315D4"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World Bank. (n.d.). Democratic Republic of Congo — country overview. World Bank. Retrieved from https://www.worldbank.org/en/country/drc/overview</w:t>
      </w:r>
    </w:p>
    <w:p w14:paraId="51595FB3"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 xml:space="preserve">World Institute / ISS. (2021). Implementing the peace agreement in Colombia (ISS Brief). </w:t>
      </w:r>
      <w:hyperlink r:id="rId8" w:history="1">
        <w:r w:rsidRPr="00F60D3B">
          <w:rPr>
            <w:rStyle w:val="Hyperlink"/>
            <w:rFonts w:ascii="Times New Roman" w:hAnsi="Times New Roman"/>
          </w:rPr>
          <w:t>https://www.iss.europa.eu/content/implementing-peace-agreement-colombia</w:t>
        </w:r>
      </w:hyperlink>
    </w:p>
    <w:p w14:paraId="6CB92F44"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Yacob, E. (2019). Ethiopia and Sudan: Transitions and power struggles in the Horn of Africa. African Politics Journal, 13(2), 142-159.</w:t>
      </w:r>
    </w:p>
    <w:p w14:paraId="17572A5C" w14:textId="77777777" w:rsidR="00F60D3B" w:rsidRPr="00F60D3B" w:rsidRDefault="00F60D3B" w:rsidP="004148D4">
      <w:pPr>
        <w:spacing w:before="240" w:line="240" w:lineRule="auto"/>
        <w:ind w:left="1440" w:hanging="1440"/>
        <w:jc w:val="both"/>
        <w:rPr>
          <w:rFonts w:ascii="Times New Roman" w:hAnsi="Times New Roman"/>
        </w:rPr>
      </w:pPr>
      <w:r w:rsidRPr="00F60D3B">
        <w:rPr>
          <w:rFonts w:ascii="Times New Roman" w:hAnsi="Times New Roman"/>
        </w:rPr>
        <w:t>Zaptia, H. (2020). Libya’s Struggle for Oil Control and National Stability. North African Political Studies Review, 18(2), 57-72.</w:t>
      </w:r>
    </w:p>
    <w:p w14:paraId="0600B935" w14:textId="77777777" w:rsidR="009B532B" w:rsidRPr="00F60D3B" w:rsidRDefault="009B532B" w:rsidP="00F60D3B">
      <w:pPr>
        <w:rPr>
          <w:rFonts w:ascii="Times New Roman" w:hAnsi="Times New Roman"/>
          <w:b/>
          <w:bCs/>
          <w:sz w:val="24"/>
          <w:szCs w:val="26"/>
        </w:rPr>
      </w:pPr>
    </w:p>
    <w:sectPr w:rsidR="009B532B" w:rsidRPr="00F60D3B" w:rsidSect="008A5BE8">
      <w:footerReference w:type="default" r:id="rId9"/>
      <w:pgSz w:w="11907" w:h="16840" w:code="9"/>
      <w:pgMar w:top="993" w:right="1440" w:bottom="1440" w:left="1440" w:header="1138" w:footer="11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437B" w14:textId="77777777" w:rsidR="00A072B7" w:rsidRDefault="00A072B7">
      <w:pPr>
        <w:spacing w:after="0" w:line="240" w:lineRule="auto"/>
      </w:pPr>
      <w:r>
        <w:separator/>
      </w:r>
    </w:p>
  </w:endnote>
  <w:endnote w:type="continuationSeparator" w:id="0">
    <w:p w14:paraId="5C21B098" w14:textId="77777777" w:rsidR="00A072B7" w:rsidRDefault="00A07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66D9" w14:textId="77777777" w:rsidR="00B360B9" w:rsidRDefault="00B360B9">
    <w:pPr>
      <w:pStyle w:val="Footer"/>
      <w:jc w:val="center"/>
    </w:pPr>
    <w:r>
      <w:fldChar w:fldCharType="begin"/>
    </w:r>
    <w:r>
      <w:instrText xml:space="preserve"> PAGE   \* MERGEFORMAT </w:instrText>
    </w:r>
    <w:r>
      <w:fldChar w:fldCharType="separate"/>
    </w:r>
    <w:r w:rsidR="00AD2EFB">
      <w:rPr>
        <w:noProof/>
      </w:rPr>
      <w:t>20</w:t>
    </w:r>
    <w:r>
      <w:rPr>
        <w:noProof/>
      </w:rPr>
      <w:fldChar w:fldCharType="end"/>
    </w:r>
  </w:p>
  <w:p w14:paraId="27777CB5" w14:textId="77777777" w:rsidR="00B360B9" w:rsidRPr="00C53198" w:rsidRDefault="00B360B9" w:rsidP="00C53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7783D" w14:textId="77777777" w:rsidR="00A072B7" w:rsidRDefault="00A072B7">
      <w:pPr>
        <w:spacing w:after="0" w:line="240" w:lineRule="auto"/>
      </w:pPr>
      <w:r>
        <w:separator/>
      </w:r>
    </w:p>
  </w:footnote>
  <w:footnote w:type="continuationSeparator" w:id="0">
    <w:p w14:paraId="3AD6E7FC" w14:textId="77777777" w:rsidR="00A072B7" w:rsidRDefault="00A07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00000002"/>
    <w:multiLevelType w:val="hybridMultilevel"/>
    <w:tmpl w:val="59F20C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6"/>
    <w:multiLevelType w:val="multilevel"/>
    <w:tmpl w:val="1646E548"/>
    <w:lvl w:ilvl="0">
      <w:start w:val="1"/>
      <w:numFmt w:val="lowerRoman"/>
      <w:lvlText w:val="%1)"/>
      <w:lvlJc w:val="right"/>
      <w:pPr>
        <w:ind w:left="480" w:hanging="480"/>
      </w:pPr>
      <w:rPr>
        <w:rFonts w:hint="default"/>
      </w:rPr>
    </w:lvl>
    <w:lvl w:ilvl="1">
      <w:start w:val="3"/>
      <w:numFmt w:val="decimal"/>
      <w:lvlText w:val="%1.%2"/>
      <w:lvlJc w:val="left"/>
      <w:pPr>
        <w:ind w:left="510" w:hanging="480"/>
      </w:pPr>
      <w:rPr>
        <w:rFonts w:hint="default"/>
      </w:rPr>
    </w:lvl>
    <w:lvl w:ilvl="2">
      <w:start w:val="2"/>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3" w15:restartNumberingAfterBreak="0">
    <w:nsid w:val="00000008"/>
    <w:multiLevelType w:val="hybridMultilevel"/>
    <w:tmpl w:val="59F20C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04437"/>
    <w:multiLevelType w:val="multilevel"/>
    <w:tmpl w:val="C4941A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B0C2F"/>
    <w:multiLevelType w:val="multilevel"/>
    <w:tmpl w:val="E5382A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D0277B"/>
    <w:multiLevelType w:val="multilevel"/>
    <w:tmpl w:val="C750F374"/>
    <w:lvl w:ilvl="0">
      <w:start w:val="1"/>
      <w:numFmt w:val="decimal"/>
      <w:lvlText w:val="%1."/>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332" w:hanging="720"/>
      </w:pPr>
    </w:lvl>
    <w:lvl w:ilvl="4">
      <w:start w:val="1"/>
      <w:numFmt w:val="decimal"/>
      <w:lvlText w:val="(%5)"/>
      <w:legacy w:legacy="1" w:legacySpace="0" w:legacyIndent="720"/>
      <w:lvlJc w:val="left"/>
      <w:pPr>
        <w:ind w:left="2052" w:hanging="720"/>
      </w:pPr>
    </w:lvl>
    <w:lvl w:ilvl="5">
      <w:start w:val="1"/>
      <w:numFmt w:val="lowerLetter"/>
      <w:lvlText w:val="(%6)"/>
      <w:legacy w:legacy="1" w:legacySpace="0" w:legacyIndent="720"/>
      <w:lvlJc w:val="left"/>
      <w:pPr>
        <w:ind w:left="2772" w:hanging="720"/>
      </w:pPr>
    </w:lvl>
    <w:lvl w:ilvl="6">
      <w:start w:val="1"/>
      <w:numFmt w:val="lowerRoman"/>
      <w:lvlText w:val="(%7)"/>
      <w:legacy w:legacy="1" w:legacySpace="0" w:legacyIndent="720"/>
      <w:lvlJc w:val="left"/>
      <w:pPr>
        <w:ind w:left="3492" w:hanging="720"/>
      </w:pPr>
    </w:lvl>
    <w:lvl w:ilvl="7">
      <w:start w:val="1"/>
      <w:numFmt w:val="lowerLetter"/>
      <w:lvlText w:val="(%8)"/>
      <w:legacy w:legacy="1" w:legacySpace="0" w:legacyIndent="720"/>
      <w:lvlJc w:val="left"/>
      <w:pPr>
        <w:ind w:left="4212" w:hanging="720"/>
      </w:pPr>
    </w:lvl>
    <w:lvl w:ilvl="8">
      <w:start w:val="1"/>
      <w:numFmt w:val="lowerRoman"/>
      <w:lvlText w:val="(%9)"/>
      <w:legacy w:legacy="1" w:legacySpace="0" w:legacyIndent="720"/>
      <w:lvlJc w:val="left"/>
      <w:pPr>
        <w:ind w:left="4932" w:hanging="720"/>
      </w:pPr>
    </w:lvl>
  </w:abstractNum>
  <w:abstractNum w:abstractNumId="7" w15:restartNumberingAfterBreak="0">
    <w:nsid w:val="11EF299F"/>
    <w:multiLevelType w:val="multilevel"/>
    <w:tmpl w:val="EDFE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D2FFC"/>
    <w:multiLevelType w:val="multilevel"/>
    <w:tmpl w:val="022C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F7818"/>
    <w:multiLevelType w:val="multilevel"/>
    <w:tmpl w:val="8FEAAF1A"/>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0" w15:restartNumberingAfterBreak="0">
    <w:nsid w:val="2496551C"/>
    <w:multiLevelType w:val="multilevel"/>
    <w:tmpl w:val="C4A80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01BAB"/>
    <w:multiLevelType w:val="hybridMultilevel"/>
    <w:tmpl w:val="4FB8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05522"/>
    <w:multiLevelType w:val="hybridMultilevel"/>
    <w:tmpl w:val="A566CC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31562"/>
    <w:multiLevelType w:val="hybridMultilevel"/>
    <w:tmpl w:val="F3965E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F17769"/>
    <w:multiLevelType w:val="hybridMultilevel"/>
    <w:tmpl w:val="B11AE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D4EA9"/>
    <w:multiLevelType w:val="hybridMultilevel"/>
    <w:tmpl w:val="EA741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C6D9E"/>
    <w:multiLevelType w:val="multilevel"/>
    <w:tmpl w:val="6C3C921E"/>
    <w:lvl w:ilvl="0">
      <w:start w:val="1"/>
      <w:numFmt w:val="decimal"/>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EE55BEE"/>
    <w:multiLevelType w:val="hybridMultilevel"/>
    <w:tmpl w:val="EAB8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95B9F"/>
    <w:multiLevelType w:val="hybridMultilevel"/>
    <w:tmpl w:val="99FCD802"/>
    <w:lvl w:ilvl="0" w:tplc="EAAC5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06585"/>
    <w:multiLevelType w:val="multilevel"/>
    <w:tmpl w:val="C2B4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F428D1"/>
    <w:multiLevelType w:val="hybridMultilevel"/>
    <w:tmpl w:val="223A88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F93E88"/>
    <w:multiLevelType w:val="multilevel"/>
    <w:tmpl w:val="3F82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AC1183"/>
    <w:multiLevelType w:val="multilevel"/>
    <w:tmpl w:val="1E92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F7299C"/>
    <w:multiLevelType w:val="hybridMultilevel"/>
    <w:tmpl w:val="DF5E9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B40402"/>
    <w:multiLevelType w:val="multilevel"/>
    <w:tmpl w:val="D736C3FA"/>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6"/>
  </w:num>
  <w:num w:numId="3">
    <w:abstractNumId w:val="11"/>
  </w:num>
  <w:num w:numId="4">
    <w:abstractNumId w:val="13"/>
  </w:num>
  <w:num w:numId="5">
    <w:abstractNumId w:val="8"/>
  </w:num>
  <w:num w:numId="6">
    <w:abstractNumId w:val="21"/>
  </w:num>
  <w:num w:numId="7">
    <w:abstractNumId w:val="4"/>
  </w:num>
  <w:num w:numId="8">
    <w:abstractNumId w:val="24"/>
  </w:num>
  <w:num w:numId="9">
    <w:abstractNumId w:val="19"/>
  </w:num>
  <w:num w:numId="10">
    <w:abstractNumId w:val="14"/>
  </w:num>
  <w:num w:numId="11">
    <w:abstractNumId w:val="5"/>
  </w:num>
  <w:num w:numId="12">
    <w:abstractNumId w:val="20"/>
  </w:num>
  <w:num w:numId="13">
    <w:abstractNumId w:val="3"/>
  </w:num>
  <w:num w:numId="14">
    <w:abstractNumId w:val="1"/>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7"/>
  </w:num>
  <w:num w:numId="19">
    <w:abstractNumId w:val="15"/>
  </w:num>
  <w:num w:numId="20">
    <w:abstractNumId w:val="12"/>
  </w:num>
  <w:num w:numId="21">
    <w:abstractNumId w:val="23"/>
  </w:num>
  <w:num w:numId="22">
    <w:abstractNumId w:val="10"/>
  </w:num>
  <w:num w:numId="23">
    <w:abstractNumId w:val="7"/>
  </w:num>
  <w:num w:numId="24">
    <w:abstractNumId w:val="18"/>
  </w:num>
  <w:num w:numId="25">
    <w:abstractNumId w:val="2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3B"/>
    <w:rsid w:val="000018A9"/>
    <w:rsid w:val="000034E8"/>
    <w:rsid w:val="00013417"/>
    <w:rsid w:val="000155E5"/>
    <w:rsid w:val="00016285"/>
    <w:rsid w:val="00032F30"/>
    <w:rsid w:val="000347F0"/>
    <w:rsid w:val="00041654"/>
    <w:rsid w:val="00052FD6"/>
    <w:rsid w:val="000537D9"/>
    <w:rsid w:val="00062269"/>
    <w:rsid w:val="0007503F"/>
    <w:rsid w:val="00075D04"/>
    <w:rsid w:val="00083A84"/>
    <w:rsid w:val="000850E6"/>
    <w:rsid w:val="0008583B"/>
    <w:rsid w:val="000903D7"/>
    <w:rsid w:val="000972F2"/>
    <w:rsid w:val="00097545"/>
    <w:rsid w:val="000A366E"/>
    <w:rsid w:val="000A48E6"/>
    <w:rsid w:val="000B1D70"/>
    <w:rsid w:val="000B2C36"/>
    <w:rsid w:val="000B5EA9"/>
    <w:rsid w:val="000B6E88"/>
    <w:rsid w:val="000C0830"/>
    <w:rsid w:val="000C1F92"/>
    <w:rsid w:val="000D1979"/>
    <w:rsid w:val="000D2DFA"/>
    <w:rsid w:val="000D5F92"/>
    <w:rsid w:val="000E286E"/>
    <w:rsid w:val="000F28F0"/>
    <w:rsid w:val="000F51D8"/>
    <w:rsid w:val="000F6AC0"/>
    <w:rsid w:val="001071BE"/>
    <w:rsid w:val="001218D3"/>
    <w:rsid w:val="00125C83"/>
    <w:rsid w:val="00142D8F"/>
    <w:rsid w:val="00142EF9"/>
    <w:rsid w:val="0014656C"/>
    <w:rsid w:val="00163C2E"/>
    <w:rsid w:val="001650BF"/>
    <w:rsid w:val="001742C7"/>
    <w:rsid w:val="00174EA9"/>
    <w:rsid w:val="001805F2"/>
    <w:rsid w:val="00180EA9"/>
    <w:rsid w:val="001812A7"/>
    <w:rsid w:val="00182B64"/>
    <w:rsid w:val="00187F6E"/>
    <w:rsid w:val="00190BE5"/>
    <w:rsid w:val="00193AF1"/>
    <w:rsid w:val="001974F9"/>
    <w:rsid w:val="001A0DEF"/>
    <w:rsid w:val="001A11F7"/>
    <w:rsid w:val="001A3839"/>
    <w:rsid w:val="001A4646"/>
    <w:rsid w:val="001A77AF"/>
    <w:rsid w:val="001B0B66"/>
    <w:rsid w:val="001B72E7"/>
    <w:rsid w:val="001B78AE"/>
    <w:rsid w:val="001C4B62"/>
    <w:rsid w:val="001C6010"/>
    <w:rsid w:val="001D6BA9"/>
    <w:rsid w:val="001D7893"/>
    <w:rsid w:val="001E1514"/>
    <w:rsid w:val="001F3B9C"/>
    <w:rsid w:val="001F5CB5"/>
    <w:rsid w:val="0020208D"/>
    <w:rsid w:val="002052AA"/>
    <w:rsid w:val="00205DC7"/>
    <w:rsid w:val="00206776"/>
    <w:rsid w:val="00210914"/>
    <w:rsid w:val="00211731"/>
    <w:rsid w:val="00212076"/>
    <w:rsid w:val="002135BC"/>
    <w:rsid w:val="00214668"/>
    <w:rsid w:val="0021669C"/>
    <w:rsid w:val="00235FE3"/>
    <w:rsid w:val="0024179B"/>
    <w:rsid w:val="00242A0C"/>
    <w:rsid w:val="002440D5"/>
    <w:rsid w:val="00247207"/>
    <w:rsid w:val="0025079B"/>
    <w:rsid w:val="00250EF3"/>
    <w:rsid w:val="00256CBA"/>
    <w:rsid w:val="00260C90"/>
    <w:rsid w:val="00263A2D"/>
    <w:rsid w:val="00264AA4"/>
    <w:rsid w:val="00267CD1"/>
    <w:rsid w:val="00267EAD"/>
    <w:rsid w:val="00270943"/>
    <w:rsid w:val="00272409"/>
    <w:rsid w:val="00273017"/>
    <w:rsid w:val="0027503F"/>
    <w:rsid w:val="0028328F"/>
    <w:rsid w:val="00292B03"/>
    <w:rsid w:val="00296949"/>
    <w:rsid w:val="002A1F3E"/>
    <w:rsid w:val="002A67B2"/>
    <w:rsid w:val="002B6F9F"/>
    <w:rsid w:val="002C283B"/>
    <w:rsid w:val="002C3A88"/>
    <w:rsid w:val="002C633B"/>
    <w:rsid w:val="002D0304"/>
    <w:rsid w:val="002D6361"/>
    <w:rsid w:val="002E1D11"/>
    <w:rsid w:val="002E2A56"/>
    <w:rsid w:val="002E7D9F"/>
    <w:rsid w:val="002F0267"/>
    <w:rsid w:val="002F1A3A"/>
    <w:rsid w:val="002F2EE0"/>
    <w:rsid w:val="002F762E"/>
    <w:rsid w:val="002F7F8E"/>
    <w:rsid w:val="00304E10"/>
    <w:rsid w:val="00312B6F"/>
    <w:rsid w:val="003168FD"/>
    <w:rsid w:val="00325B93"/>
    <w:rsid w:val="00326CE3"/>
    <w:rsid w:val="0033075B"/>
    <w:rsid w:val="00333583"/>
    <w:rsid w:val="00333F80"/>
    <w:rsid w:val="00335080"/>
    <w:rsid w:val="003406B3"/>
    <w:rsid w:val="00340B63"/>
    <w:rsid w:val="00344B31"/>
    <w:rsid w:val="003523D4"/>
    <w:rsid w:val="0035396A"/>
    <w:rsid w:val="00354F01"/>
    <w:rsid w:val="00364075"/>
    <w:rsid w:val="00370A56"/>
    <w:rsid w:val="00381E28"/>
    <w:rsid w:val="00387BA2"/>
    <w:rsid w:val="00390E60"/>
    <w:rsid w:val="00393960"/>
    <w:rsid w:val="0039473F"/>
    <w:rsid w:val="00395A16"/>
    <w:rsid w:val="003974D9"/>
    <w:rsid w:val="003A2992"/>
    <w:rsid w:val="003A2EF8"/>
    <w:rsid w:val="003A5C4F"/>
    <w:rsid w:val="003B2F57"/>
    <w:rsid w:val="003B3E02"/>
    <w:rsid w:val="003B454C"/>
    <w:rsid w:val="003B7365"/>
    <w:rsid w:val="003C0096"/>
    <w:rsid w:val="003C013C"/>
    <w:rsid w:val="003D19DF"/>
    <w:rsid w:val="003D6104"/>
    <w:rsid w:val="003D6A0F"/>
    <w:rsid w:val="003E6035"/>
    <w:rsid w:val="004003A3"/>
    <w:rsid w:val="004055F5"/>
    <w:rsid w:val="004074CA"/>
    <w:rsid w:val="004148D4"/>
    <w:rsid w:val="004202F3"/>
    <w:rsid w:val="004226BA"/>
    <w:rsid w:val="00426D4A"/>
    <w:rsid w:val="004272BB"/>
    <w:rsid w:val="00433381"/>
    <w:rsid w:val="004404CB"/>
    <w:rsid w:val="00444AA9"/>
    <w:rsid w:val="00445FE5"/>
    <w:rsid w:val="00452B0F"/>
    <w:rsid w:val="00453A8D"/>
    <w:rsid w:val="004553AF"/>
    <w:rsid w:val="0045553B"/>
    <w:rsid w:val="00461C5B"/>
    <w:rsid w:val="00463A6E"/>
    <w:rsid w:val="004648ED"/>
    <w:rsid w:val="004651DC"/>
    <w:rsid w:val="00470C69"/>
    <w:rsid w:val="00471F6E"/>
    <w:rsid w:val="00472776"/>
    <w:rsid w:val="0047504D"/>
    <w:rsid w:val="004755B9"/>
    <w:rsid w:val="004770A1"/>
    <w:rsid w:val="0048045E"/>
    <w:rsid w:val="00481A0A"/>
    <w:rsid w:val="00481E7B"/>
    <w:rsid w:val="00481FC8"/>
    <w:rsid w:val="004847D4"/>
    <w:rsid w:val="00486C6F"/>
    <w:rsid w:val="00487100"/>
    <w:rsid w:val="0049381F"/>
    <w:rsid w:val="00495DDC"/>
    <w:rsid w:val="004A0EBC"/>
    <w:rsid w:val="004A706A"/>
    <w:rsid w:val="004B2C09"/>
    <w:rsid w:val="004B39F0"/>
    <w:rsid w:val="004C65D9"/>
    <w:rsid w:val="004C661A"/>
    <w:rsid w:val="004D204F"/>
    <w:rsid w:val="004D3A54"/>
    <w:rsid w:val="004D7A4E"/>
    <w:rsid w:val="004E261F"/>
    <w:rsid w:val="004E2D5A"/>
    <w:rsid w:val="004E41A6"/>
    <w:rsid w:val="004E6029"/>
    <w:rsid w:val="004F1323"/>
    <w:rsid w:val="00500543"/>
    <w:rsid w:val="00502234"/>
    <w:rsid w:val="00510470"/>
    <w:rsid w:val="00510FA3"/>
    <w:rsid w:val="00515C50"/>
    <w:rsid w:val="005212FF"/>
    <w:rsid w:val="00523747"/>
    <w:rsid w:val="00526850"/>
    <w:rsid w:val="0053010A"/>
    <w:rsid w:val="00531208"/>
    <w:rsid w:val="005330AC"/>
    <w:rsid w:val="00535DEA"/>
    <w:rsid w:val="00542AFA"/>
    <w:rsid w:val="00544192"/>
    <w:rsid w:val="00552CBA"/>
    <w:rsid w:val="00553A4B"/>
    <w:rsid w:val="0055465C"/>
    <w:rsid w:val="00557B17"/>
    <w:rsid w:val="00561438"/>
    <w:rsid w:val="00566E9C"/>
    <w:rsid w:val="0057004B"/>
    <w:rsid w:val="005711F6"/>
    <w:rsid w:val="005752F1"/>
    <w:rsid w:val="0057689F"/>
    <w:rsid w:val="0058411B"/>
    <w:rsid w:val="00585BED"/>
    <w:rsid w:val="00590B84"/>
    <w:rsid w:val="005915ED"/>
    <w:rsid w:val="00594296"/>
    <w:rsid w:val="005A4CE4"/>
    <w:rsid w:val="005A61D6"/>
    <w:rsid w:val="005B2624"/>
    <w:rsid w:val="005C05DC"/>
    <w:rsid w:val="005C1D90"/>
    <w:rsid w:val="005D2855"/>
    <w:rsid w:val="005D35E6"/>
    <w:rsid w:val="005E7ADF"/>
    <w:rsid w:val="005F6B68"/>
    <w:rsid w:val="00605BC1"/>
    <w:rsid w:val="00613E96"/>
    <w:rsid w:val="0061618F"/>
    <w:rsid w:val="00617971"/>
    <w:rsid w:val="00620C36"/>
    <w:rsid w:val="00625B81"/>
    <w:rsid w:val="00633240"/>
    <w:rsid w:val="00637E13"/>
    <w:rsid w:val="0064026E"/>
    <w:rsid w:val="00641981"/>
    <w:rsid w:val="006450CC"/>
    <w:rsid w:val="0064570C"/>
    <w:rsid w:val="006457F1"/>
    <w:rsid w:val="00655AA0"/>
    <w:rsid w:val="00660162"/>
    <w:rsid w:val="00663590"/>
    <w:rsid w:val="006655EA"/>
    <w:rsid w:val="00667400"/>
    <w:rsid w:val="00683976"/>
    <w:rsid w:val="00687E01"/>
    <w:rsid w:val="006978DB"/>
    <w:rsid w:val="006A70AF"/>
    <w:rsid w:val="006B3F0E"/>
    <w:rsid w:val="006B6FC6"/>
    <w:rsid w:val="006C581A"/>
    <w:rsid w:val="006D4186"/>
    <w:rsid w:val="006D4416"/>
    <w:rsid w:val="006D7BA8"/>
    <w:rsid w:val="006E5815"/>
    <w:rsid w:val="006E75FC"/>
    <w:rsid w:val="006E7EBB"/>
    <w:rsid w:val="006F25EC"/>
    <w:rsid w:val="006F4103"/>
    <w:rsid w:val="006F5263"/>
    <w:rsid w:val="006F72F6"/>
    <w:rsid w:val="00704C0B"/>
    <w:rsid w:val="00705886"/>
    <w:rsid w:val="007073D0"/>
    <w:rsid w:val="00707756"/>
    <w:rsid w:val="00716DF8"/>
    <w:rsid w:val="00717F5B"/>
    <w:rsid w:val="007260B8"/>
    <w:rsid w:val="00726E4E"/>
    <w:rsid w:val="00727568"/>
    <w:rsid w:val="00730EA3"/>
    <w:rsid w:val="007311DF"/>
    <w:rsid w:val="007315F6"/>
    <w:rsid w:val="0073370D"/>
    <w:rsid w:val="0074001F"/>
    <w:rsid w:val="00742CF6"/>
    <w:rsid w:val="00745207"/>
    <w:rsid w:val="00751372"/>
    <w:rsid w:val="00753223"/>
    <w:rsid w:val="00755D61"/>
    <w:rsid w:val="00756614"/>
    <w:rsid w:val="00760614"/>
    <w:rsid w:val="007646A6"/>
    <w:rsid w:val="007651F0"/>
    <w:rsid w:val="0076599C"/>
    <w:rsid w:val="007703B4"/>
    <w:rsid w:val="0077565D"/>
    <w:rsid w:val="00792991"/>
    <w:rsid w:val="007A55C7"/>
    <w:rsid w:val="007B7433"/>
    <w:rsid w:val="007C07EC"/>
    <w:rsid w:val="007C1F06"/>
    <w:rsid w:val="007C2698"/>
    <w:rsid w:val="007C54A4"/>
    <w:rsid w:val="007D2949"/>
    <w:rsid w:val="007D6A86"/>
    <w:rsid w:val="007E1F25"/>
    <w:rsid w:val="007E2749"/>
    <w:rsid w:val="007E386C"/>
    <w:rsid w:val="007E3968"/>
    <w:rsid w:val="007E4ACB"/>
    <w:rsid w:val="007E7098"/>
    <w:rsid w:val="007F1651"/>
    <w:rsid w:val="007F384B"/>
    <w:rsid w:val="007F411B"/>
    <w:rsid w:val="00801B6C"/>
    <w:rsid w:val="00801D96"/>
    <w:rsid w:val="00803A06"/>
    <w:rsid w:val="00807ED9"/>
    <w:rsid w:val="0081623C"/>
    <w:rsid w:val="008229AF"/>
    <w:rsid w:val="008248FF"/>
    <w:rsid w:val="008350A2"/>
    <w:rsid w:val="008360A7"/>
    <w:rsid w:val="00840CB6"/>
    <w:rsid w:val="00850EA9"/>
    <w:rsid w:val="00854E7C"/>
    <w:rsid w:val="0086398E"/>
    <w:rsid w:val="008653DE"/>
    <w:rsid w:val="00867711"/>
    <w:rsid w:val="00870E50"/>
    <w:rsid w:val="008750D0"/>
    <w:rsid w:val="00881F2F"/>
    <w:rsid w:val="00891B41"/>
    <w:rsid w:val="008940EB"/>
    <w:rsid w:val="008A5BE8"/>
    <w:rsid w:val="008A608F"/>
    <w:rsid w:val="008B4654"/>
    <w:rsid w:val="008C3D29"/>
    <w:rsid w:val="008D50B7"/>
    <w:rsid w:val="008D71FA"/>
    <w:rsid w:val="008F6079"/>
    <w:rsid w:val="00905AF0"/>
    <w:rsid w:val="00905F7B"/>
    <w:rsid w:val="00910A6A"/>
    <w:rsid w:val="0091267F"/>
    <w:rsid w:val="00914CE8"/>
    <w:rsid w:val="00915548"/>
    <w:rsid w:val="00915B20"/>
    <w:rsid w:val="0091766B"/>
    <w:rsid w:val="00930F27"/>
    <w:rsid w:val="00932C02"/>
    <w:rsid w:val="00936036"/>
    <w:rsid w:val="00936697"/>
    <w:rsid w:val="0094096C"/>
    <w:rsid w:val="00945238"/>
    <w:rsid w:val="00945D2F"/>
    <w:rsid w:val="00945F26"/>
    <w:rsid w:val="00946FC2"/>
    <w:rsid w:val="0095026C"/>
    <w:rsid w:val="00951D52"/>
    <w:rsid w:val="00951D59"/>
    <w:rsid w:val="00952F35"/>
    <w:rsid w:val="009566D8"/>
    <w:rsid w:val="00957540"/>
    <w:rsid w:val="00960323"/>
    <w:rsid w:val="00966D56"/>
    <w:rsid w:val="0096703C"/>
    <w:rsid w:val="00974EF1"/>
    <w:rsid w:val="00980E1D"/>
    <w:rsid w:val="00982E71"/>
    <w:rsid w:val="00986390"/>
    <w:rsid w:val="00991A39"/>
    <w:rsid w:val="009929CC"/>
    <w:rsid w:val="009952E5"/>
    <w:rsid w:val="009A2402"/>
    <w:rsid w:val="009B532B"/>
    <w:rsid w:val="009B6713"/>
    <w:rsid w:val="009C2D95"/>
    <w:rsid w:val="009C5025"/>
    <w:rsid w:val="009D2DC3"/>
    <w:rsid w:val="009D37FD"/>
    <w:rsid w:val="009D3BB9"/>
    <w:rsid w:val="009D5AF2"/>
    <w:rsid w:val="009D7E9A"/>
    <w:rsid w:val="009E02F5"/>
    <w:rsid w:val="009F09CD"/>
    <w:rsid w:val="00A06AE7"/>
    <w:rsid w:val="00A072B7"/>
    <w:rsid w:val="00A11BA1"/>
    <w:rsid w:val="00A11C6D"/>
    <w:rsid w:val="00A11EA1"/>
    <w:rsid w:val="00A12A62"/>
    <w:rsid w:val="00A14CEF"/>
    <w:rsid w:val="00A16DBB"/>
    <w:rsid w:val="00A20AAF"/>
    <w:rsid w:val="00A20E19"/>
    <w:rsid w:val="00A2471B"/>
    <w:rsid w:val="00A25D25"/>
    <w:rsid w:val="00A35D64"/>
    <w:rsid w:val="00A503D8"/>
    <w:rsid w:val="00A54475"/>
    <w:rsid w:val="00A65800"/>
    <w:rsid w:val="00A713AD"/>
    <w:rsid w:val="00A74E08"/>
    <w:rsid w:val="00A80087"/>
    <w:rsid w:val="00A90426"/>
    <w:rsid w:val="00A91F36"/>
    <w:rsid w:val="00AA155B"/>
    <w:rsid w:val="00AA409F"/>
    <w:rsid w:val="00AA7D47"/>
    <w:rsid w:val="00AC3500"/>
    <w:rsid w:val="00AC3833"/>
    <w:rsid w:val="00AC416A"/>
    <w:rsid w:val="00AC4D1B"/>
    <w:rsid w:val="00AD2078"/>
    <w:rsid w:val="00AD2EFB"/>
    <w:rsid w:val="00AD6EF4"/>
    <w:rsid w:val="00AE34DD"/>
    <w:rsid w:val="00AE4415"/>
    <w:rsid w:val="00AE7192"/>
    <w:rsid w:val="00AF388E"/>
    <w:rsid w:val="00AF7320"/>
    <w:rsid w:val="00B115AC"/>
    <w:rsid w:val="00B1213D"/>
    <w:rsid w:val="00B307A6"/>
    <w:rsid w:val="00B313AB"/>
    <w:rsid w:val="00B32D97"/>
    <w:rsid w:val="00B33EF8"/>
    <w:rsid w:val="00B360B9"/>
    <w:rsid w:val="00B37A15"/>
    <w:rsid w:val="00B61B69"/>
    <w:rsid w:val="00B65536"/>
    <w:rsid w:val="00B659BE"/>
    <w:rsid w:val="00B73214"/>
    <w:rsid w:val="00B73D17"/>
    <w:rsid w:val="00B86E28"/>
    <w:rsid w:val="00B916EE"/>
    <w:rsid w:val="00B9445C"/>
    <w:rsid w:val="00BA0568"/>
    <w:rsid w:val="00BB06C3"/>
    <w:rsid w:val="00BB49DE"/>
    <w:rsid w:val="00BC4A7B"/>
    <w:rsid w:val="00BC5428"/>
    <w:rsid w:val="00BD1ACA"/>
    <w:rsid w:val="00BD2C3F"/>
    <w:rsid w:val="00BE6561"/>
    <w:rsid w:val="00BE7B46"/>
    <w:rsid w:val="00BF2A55"/>
    <w:rsid w:val="00C01324"/>
    <w:rsid w:val="00C0624C"/>
    <w:rsid w:val="00C06725"/>
    <w:rsid w:val="00C11285"/>
    <w:rsid w:val="00C12923"/>
    <w:rsid w:val="00C16E6E"/>
    <w:rsid w:val="00C2077A"/>
    <w:rsid w:val="00C226C7"/>
    <w:rsid w:val="00C2380D"/>
    <w:rsid w:val="00C2433F"/>
    <w:rsid w:val="00C301E3"/>
    <w:rsid w:val="00C333AF"/>
    <w:rsid w:val="00C348EA"/>
    <w:rsid w:val="00C403F4"/>
    <w:rsid w:val="00C414E7"/>
    <w:rsid w:val="00C4570B"/>
    <w:rsid w:val="00C46E00"/>
    <w:rsid w:val="00C50E94"/>
    <w:rsid w:val="00C52AC6"/>
    <w:rsid w:val="00C53198"/>
    <w:rsid w:val="00C60E86"/>
    <w:rsid w:val="00C63405"/>
    <w:rsid w:val="00C6469C"/>
    <w:rsid w:val="00C6501B"/>
    <w:rsid w:val="00C67E38"/>
    <w:rsid w:val="00C76EF0"/>
    <w:rsid w:val="00C8185F"/>
    <w:rsid w:val="00CA529A"/>
    <w:rsid w:val="00CB67A6"/>
    <w:rsid w:val="00CC011D"/>
    <w:rsid w:val="00CC06B1"/>
    <w:rsid w:val="00CC6D6B"/>
    <w:rsid w:val="00CD333D"/>
    <w:rsid w:val="00CD5961"/>
    <w:rsid w:val="00CD5F59"/>
    <w:rsid w:val="00CD7065"/>
    <w:rsid w:val="00CE0093"/>
    <w:rsid w:val="00CE04E5"/>
    <w:rsid w:val="00CE1B0E"/>
    <w:rsid w:val="00CE2F1C"/>
    <w:rsid w:val="00CE4349"/>
    <w:rsid w:val="00CE50C1"/>
    <w:rsid w:val="00CE632C"/>
    <w:rsid w:val="00CE775F"/>
    <w:rsid w:val="00D007C2"/>
    <w:rsid w:val="00D01F7A"/>
    <w:rsid w:val="00D033AA"/>
    <w:rsid w:val="00D05EF6"/>
    <w:rsid w:val="00D1053F"/>
    <w:rsid w:val="00D12EAE"/>
    <w:rsid w:val="00D156E3"/>
    <w:rsid w:val="00D2683E"/>
    <w:rsid w:val="00D278EA"/>
    <w:rsid w:val="00D330DD"/>
    <w:rsid w:val="00D35572"/>
    <w:rsid w:val="00D41BF9"/>
    <w:rsid w:val="00D4490B"/>
    <w:rsid w:val="00D454FE"/>
    <w:rsid w:val="00D5311C"/>
    <w:rsid w:val="00D54A24"/>
    <w:rsid w:val="00D578B1"/>
    <w:rsid w:val="00D57B64"/>
    <w:rsid w:val="00D62B59"/>
    <w:rsid w:val="00D74A83"/>
    <w:rsid w:val="00D77687"/>
    <w:rsid w:val="00D86AF6"/>
    <w:rsid w:val="00D86CFF"/>
    <w:rsid w:val="00D9308F"/>
    <w:rsid w:val="00DB70D8"/>
    <w:rsid w:val="00DC04FE"/>
    <w:rsid w:val="00DC0701"/>
    <w:rsid w:val="00DC6924"/>
    <w:rsid w:val="00DD4136"/>
    <w:rsid w:val="00DE3903"/>
    <w:rsid w:val="00DF0A39"/>
    <w:rsid w:val="00DF1A20"/>
    <w:rsid w:val="00DF4B7D"/>
    <w:rsid w:val="00DF52D1"/>
    <w:rsid w:val="00E00CA7"/>
    <w:rsid w:val="00E023B1"/>
    <w:rsid w:val="00E0532D"/>
    <w:rsid w:val="00E057F4"/>
    <w:rsid w:val="00E12191"/>
    <w:rsid w:val="00E2704A"/>
    <w:rsid w:val="00E37C5D"/>
    <w:rsid w:val="00E406F9"/>
    <w:rsid w:val="00E44A8C"/>
    <w:rsid w:val="00E52982"/>
    <w:rsid w:val="00E52B01"/>
    <w:rsid w:val="00E565AA"/>
    <w:rsid w:val="00E5701E"/>
    <w:rsid w:val="00E63CA1"/>
    <w:rsid w:val="00E732ED"/>
    <w:rsid w:val="00E738CC"/>
    <w:rsid w:val="00E73F8D"/>
    <w:rsid w:val="00E747C3"/>
    <w:rsid w:val="00E76BD2"/>
    <w:rsid w:val="00E81AB0"/>
    <w:rsid w:val="00E82B58"/>
    <w:rsid w:val="00E86AC9"/>
    <w:rsid w:val="00E945FE"/>
    <w:rsid w:val="00E96642"/>
    <w:rsid w:val="00E9735A"/>
    <w:rsid w:val="00EA08F6"/>
    <w:rsid w:val="00EB021F"/>
    <w:rsid w:val="00EB3DAC"/>
    <w:rsid w:val="00EC35A1"/>
    <w:rsid w:val="00ED3AEA"/>
    <w:rsid w:val="00EE40DB"/>
    <w:rsid w:val="00EF258D"/>
    <w:rsid w:val="00EF4EBF"/>
    <w:rsid w:val="00EF5938"/>
    <w:rsid w:val="00EF7668"/>
    <w:rsid w:val="00EF7AC3"/>
    <w:rsid w:val="00F0327F"/>
    <w:rsid w:val="00F06079"/>
    <w:rsid w:val="00F06E1C"/>
    <w:rsid w:val="00F125A3"/>
    <w:rsid w:val="00F35B92"/>
    <w:rsid w:val="00F42F2E"/>
    <w:rsid w:val="00F5299C"/>
    <w:rsid w:val="00F52FBA"/>
    <w:rsid w:val="00F56CEA"/>
    <w:rsid w:val="00F57253"/>
    <w:rsid w:val="00F6013E"/>
    <w:rsid w:val="00F60BD4"/>
    <w:rsid w:val="00F60D3B"/>
    <w:rsid w:val="00F7271B"/>
    <w:rsid w:val="00F7437D"/>
    <w:rsid w:val="00F749AD"/>
    <w:rsid w:val="00F83121"/>
    <w:rsid w:val="00F832FE"/>
    <w:rsid w:val="00F83F12"/>
    <w:rsid w:val="00F84348"/>
    <w:rsid w:val="00F8454B"/>
    <w:rsid w:val="00F8616E"/>
    <w:rsid w:val="00F9026B"/>
    <w:rsid w:val="00F90349"/>
    <w:rsid w:val="00F95205"/>
    <w:rsid w:val="00F97C03"/>
    <w:rsid w:val="00FB1CB9"/>
    <w:rsid w:val="00FB3656"/>
    <w:rsid w:val="00FC193E"/>
    <w:rsid w:val="00FD7AE8"/>
    <w:rsid w:val="00FE149A"/>
    <w:rsid w:val="00FE5D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D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192"/>
    <w:pPr>
      <w:spacing w:after="200" w:line="276" w:lineRule="auto"/>
    </w:pPr>
    <w:rPr>
      <w:rFonts w:eastAsia="Times New Roman"/>
      <w:sz w:val="22"/>
      <w:szCs w:val="22"/>
    </w:rPr>
  </w:style>
  <w:style w:type="paragraph" w:styleId="Heading1">
    <w:name w:val="heading 1"/>
    <w:basedOn w:val="Normal"/>
    <w:next w:val="Normal"/>
    <w:link w:val="Heading1Char"/>
    <w:qFormat/>
    <w:rsid w:val="0008583B"/>
    <w:pPr>
      <w:keepNext/>
      <w:numPr>
        <w:numId w:val="1"/>
      </w:numPr>
      <w:autoSpaceDE w:val="0"/>
      <w:autoSpaceDN w:val="0"/>
      <w:spacing w:before="240" w:after="80" w:line="240" w:lineRule="auto"/>
      <w:jc w:val="center"/>
      <w:outlineLvl w:val="0"/>
    </w:pPr>
    <w:rPr>
      <w:rFonts w:ascii="Times New Roman" w:hAnsi="Times New Roman"/>
      <w:smallCaps/>
      <w:kern w:val="28"/>
      <w:sz w:val="20"/>
      <w:szCs w:val="20"/>
    </w:rPr>
  </w:style>
  <w:style w:type="paragraph" w:styleId="Heading2">
    <w:name w:val="heading 2"/>
    <w:basedOn w:val="Normal"/>
    <w:next w:val="Normal"/>
    <w:link w:val="Heading2Char"/>
    <w:qFormat/>
    <w:rsid w:val="0008583B"/>
    <w:pPr>
      <w:keepNext/>
      <w:numPr>
        <w:ilvl w:val="1"/>
        <w:numId w:val="1"/>
      </w:numPr>
      <w:autoSpaceDE w:val="0"/>
      <w:autoSpaceDN w:val="0"/>
      <w:spacing w:before="120" w:after="60" w:line="240" w:lineRule="auto"/>
      <w:outlineLvl w:val="1"/>
    </w:pPr>
    <w:rPr>
      <w:rFonts w:ascii="Times New Roman" w:hAnsi="Times New Roman"/>
      <w:i/>
      <w:iCs/>
      <w:sz w:val="20"/>
      <w:szCs w:val="20"/>
    </w:rPr>
  </w:style>
  <w:style w:type="paragraph" w:styleId="Heading3">
    <w:name w:val="heading 3"/>
    <w:basedOn w:val="Normal"/>
    <w:next w:val="Normal"/>
    <w:link w:val="Heading3Char"/>
    <w:qFormat/>
    <w:rsid w:val="0008583B"/>
    <w:pPr>
      <w:keepNext/>
      <w:numPr>
        <w:ilvl w:val="2"/>
        <w:numId w:val="1"/>
      </w:numPr>
      <w:autoSpaceDE w:val="0"/>
      <w:autoSpaceDN w:val="0"/>
      <w:spacing w:after="0" w:line="240" w:lineRule="auto"/>
      <w:outlineLvl w:val="2"/>
    </w:pPr>
    <w:rPr>
      <w:rFonts w:ascii="Times New Roman" w:hAnsi="Times New Roman"/>
      <w:i/>
      <w:iCs/>
      <w:sz w:val="20"/>
      <w:szCs w:val="20"/>
    </w:rPr>
  </w:style>
  <w:style w:type="paragraph" w:styleId="Heading4">
    <w:name w:val="heading 4"/>
    <w:basedOn w:val="Normal"/>
    <w:next w:val="Normal"/>
    <w:link w:val="Heading4Char"/>
    <w:qFormat/>
    <w:rsid w:val="0008583B"/>
    <w:pPr>
      <w:keepNext/>
      <w:numPr>
        <w:ilvl w:val="3"/>
        <w:numId w:val="1"/>
      </w:numPr>
      <w:autoSpaceDE w:val="0"/>
      <w:autoSpaceDN w:val="0"/>
      <w:spacing w:before="240" w:after="60" w:line="240" w:lineRule="auto"/>
      <w:outlineLvl w:val="3"/>
    </w:pPr>
    <w:rPr>
      <w:rFonts w:ascii="Times New Roman" w:hAnsi="Times New Roman"/>
      <w:i/>
      <w:iCs/>
      <w:sz w:val="18"/>
      <w:szCs w:val="18"/>
    </w:rPr>
  </w:style>
  <w:style w:type="paragraph" w:styleId="Heading5">
    <w:name w:val="heading 5"/>
    <w:basedOn w:val="Normal"/>
    <w:next w:val="Normal"/>
    <w:link w:val="Heading5Char"/>
    <w:qFormat/>
    <w:rsid w:val="0008583B"/>
    <w:pPr>
      <w:numPr>
        <w:ilvl w:val="4"/>
        <w:numId w:val="1"/>
      </w:numPr>
      <w:autoSpaceDE w:val="0"/>
      <w:autoSpaceDN w:val="0"/>
      <w:spacing w:before="240" w:after="60" w:line="240" w:lineRule="auto"/>
      <w:outlineLvl w:val="4"/>
    </w:pPr>
    <w:rPr>
      <w:rFonts w:ascii="Times New Roman" w:hAnsi="Times New Roman"/>
      <w:sz w:val="18"/>
      <w:szCs w:val="18"/>
    </w:rPr>
  </w:style>
  <w:style w:type="paragraph" w:styleId="Heading6">
    <w:name w:val="heading 6"/>
    <w:basedOn w:val="Normal"/>
    <w:next w:val="Normal"/>
    <w:link w:val="Heading6Char"/>
    <w:qFormat/>
    <w:rsid w:val="0008583B"/>
    <w:pPr>
      <w:numPr>
        <w:ilvl w:val="5"/>
        <w:numId w:val="1"/>
      </w:numPr>
      <w:autoSpaceDE w:val="0"/>
      <w:autoSpaceDN w:val="0"/>
      <w:spacing w:before="240" w:after="60" w:line="240" w:lineRule="auto"/>
      <w:outlineLvl w:val="5"/>
    </w:pPr>
    <w:rPr>
      <w:rFonts w:ascii="Times New Roman" w:hAnsi="Times New Roman"/>
      <w:i/>
      <w:iCs/>
      <w:sz w:val="16"/>
      <w:szCs w:val="16"/>
    </w:rPr>
  </w:style>
  <w:style w:type="paragraph" w:styleId="Heading7">
    <w:name w:val="heading 7"/>
    <w:basedOn w:val="Normal"/>
    <w:next w:val="Normal"/>
    <w:link w:val="Heading7Char"/>
    <w:qFormat/>
    <w:rsid w:val="0008583B"/>
    <w:pPr>
      <w:numPr>
        <w:ilvl w:val="6"/>
        <w:numId w:val="1"/>
      </w:numPr>
      <w:autoSpaceDE w:val="0"/>
      <w:autoSpaceDN w:val="0"/>
      <w:spacing w:before="240" w:after="60" w:line="240" w:lineRule="auto"/>
      <w:outlineLvl w:val="6"/>
    </w:pPr>
    <w:rPr>
      <w:rFonts w:ascii="Times New Roman" w:hAnsi="Times New Roman"/>
      <w:sz w:val="16"/>
      <w:szCs w:val="16"/>
    </w:rPr>
  </w:style>
  <w:style w:type="paragraph" w:styleId="Heading8">
    <w:name w:val="heading 8"/>
    <w:basedOn w:val="Normal"/>
    <w:next w:val="Normal"/>
    <w:link w:val="Heading8Char"/>
    <w:qFormat/>
    <w:rsid w:val="0008583B"/>
    <w:pPr>
      <w:numPr>
        <w:ilvl w:val="7"/>
        <w:numId w:val="1"/>
      </w:numPr>
      <w:autoSpaceDE w:val="0"/>
      <w:autoSpaceDN w:val="0"/>
      <w:spacing w:before="240" w:after="60" w:line="240" w:lineRule="auto"/>
      <w:outlineLvl w:val="7"/>
    </w:pPr>
    <w:rPr>
      <w:rFonts w:ascii="Times New Roman" w:hAnsi="Times New Roman"/>
      <w:i/>
      <w:iCs/>
      <w:sz w:val="16"/>
      <w:szCs w:val="16"/>
    </w:rPr>
  </w:style>
  <w:style w:type="paragraph" w:styleId="Heading9">
    <w:name w:val="heading 9"/>
    <w:basedOn w:val="Normal"/>
    <w:next w:val="Normal"/>
    <w:link w:val="Heading9Char"/>
    <w:qFormat/>
    <w:rsid w:val="0008583B"/>
    <w:pPr>
      <w:numPr>
        <w:ilvl w:val="8"/>
        <w:numId w:val="1"/>
      </w:numPr>
      <w:autoSpaceDE w:val="0"/>
      <w:autoSpaceDN w:val="0"/>
      <w:spacing w:before="240" w:after="60" w:line="240" w:lineRule="auto"/>
      <w:outlineLvl w:val="8"/>
    </w:pPr>
    <w:rPr>
      <w:rFonts w:ascii="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583B"/>
    <w:rPr>
      <w:rFonts w:ascii="Times New Roman" w:eastAsia="Times New Roman" w:hAnsi="Times New Roman" w:cs="Times New Roman"/>
      <w:smallCaps/>
      <w:kern w:val="28"/>
      <w:sz w:val="20"/>
      <w:szCs w:val="20"/>
    </w:rPr>
  </w:style>
  <w:style w:type="character" w:customStyle="1" w:styleId="Heading2Char">
    <w:name w:val="Heading 2 Char"/>
    <w:link w:val="Heading2"/>
    <w:rsid w:val="0008583B"/>
    <w:rPr>
      <w:rFonts w:ascii="Times New Roman" w:eastAsia="Times New Roman" w:hAnsi="Times New Roman" w:cs="Times New Roman"/>
      <w:i/>
      <w:iCs/>
      <w:sz w:val="20"/>
      <w:szCs w:val="20"/>
    </w:rPr>
  </w:style>
  <w:style w:type="character" w:customStyle="1" w:styleId="Heading3Char">
    <w:name w:val="Heading 3 Char"/>
    <w:link w:val="Heading3"/>
    <w:rsid w:val="0008583B"/>
    <w:rPr>
      <w:rFonts w:ascii="Times New Roman" w:eastAsia="Times New Roman" w:hAnsi="Times New Roman" w:cs="Times New Roman"/>
      <w:i/>
      <w:iCs/>
      <w:sz w:val="20"/>
      <w:szCs w:val="20"/>
    </w:rPr>
  </w:style>
  <w:style w:type="character" w:customStyle="1" w:styleId="Heading4Char">
    <w:name w:val="Heading 4 Char"/>
    <w:link w:val="Heading4"/>
    <w:rsid w:val="0008583B"/>
    <w:rPr>
      <w:rFonts w:ascii="Times New Roman" w:eastAsia="Times New Roman" w:hAnsi="Times New Roman" w:cs="Times New Roman"/>
      <w:i/>
      <w:iCs/>
      <w:sz w:val="18"/>
      <w:szCs w:val="18"/>
    </w:rPr>
  </w:style>
  <w:style w:type="character" w:customStyle="1" w:styleId="Heading5Char">
    <w:name w:val="Heading 5 Char"/>
    <w:link w:val="Heading5"/>
    <w:rsid w:val="0008583B"/>
    <w:rPr>
      <w:rFonts w:ascii="Times New Roman" w:eastAsia="Times New Roman" w:hAnsi="Times New Roman" w:cs="Times New Roman"/>
      <w:sz w:val="18"/>
      <w:szCs w:val="18"/>
    </w:rPr>
  </w:style>
  <w:style w:type="character" w:customStyle="1" w:styleId="Heading6Char">
    <w:name w:val="Heading 6 Char"/>
    <w:link w:val="Heading6"/>
    <w:rsid w:val="0008583B"/>
    <w:rPr>
      <w:rFonts w:ascii="Times New Roman" w:eastAsia="Times New Roman" w:hAnsi="Times New Roman" w:cs="Times New Roman"/>
      <w:i/>
      <w:iCs/>
      <w:sz w:val="16"/>
      <w:szCs w:val="16"/>
    </w:rPr>
  </w:style>
  <w:style w:type="character" w:customStyle="1" w:styleId="Heading7Char">
    <w:name w:val="Heading 7 Char"/>
    <w:link w:val="Heading7"/>
    <w:rsid w:val="0008583B"/>
    <w:rPr>
      <w:rFonts w:ascii="Times New Roman" w:eastAsia="Times New Roman" w:hAnsi="Times New Roman" w:cs="Times New Roman"/>
      <w:sz w:val="16"/>
      <w:szCs w:val="16"/>
    </w:rPr>
  </w:style>
  <w:style w:type="character" w:customStyle="1" w:styleId="Heading8Char">
    <w:name w:val="Heading 8 Char"/>
    <w:link w:val="Heading8"/>
    <w:rsid w:val="0008583B"/>
    <w:rPr>
      <w:rFonts w:ascii="Times New Roman" w:eastAsia="Times New Roman" w:hAnsi="Times New Roman" w:cs="Times New Roman"/>
      <w:i/>
      <w:iCs/>
      <w:sz w:val="16"/>
      <w:szCs w:val="16"/>
    </w:rPr>
  </w:style>
  <w:style w:type="character" w:customStyle="1" w:styleId="Heading9Char">
    <w:name w:val="Heading 9 Char"/>
    <w:link w:val="Heading9"/>
    <w:rsid w:val="0008583B"/>
    <w:rPr>
      <w:rFonts w:ascii="Times New Roman" w:eastAsia="Times New Roman" w:hAnsi="Times New Roman" w:cs="Times New Roman"/>
      <w:sz w:val="16"/>
      <w:szCs w:val="16"/>
    </w:rPr>
  </w:style>
  <w:style w:type="paragraph" w:customStyle="1" w:styleId="Authors">
    <w:name w:val="Authors"/>
    <w:basedOn w:val="Normal"/>
    <w:next w:val="Normal"/>
    <w:rsid w:val="0008583B"/>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paragraph" w:styleId="Title">
    <w:name w:val="Title"/>
    <w:basedOn w:val="Normal"/>
    <w:next w:val="Normal"/>
    <w:link w:val="TitleChar"/>
    <w:qFormat/>
    <w:rsid w:val="0008583B"/>
    <w:pPr>
      <w:framePr w:w="9360" w:hSpace="187" w:vSpace="187" w:wrap="notBeside" w:vAnchor="text" w:hAnchor="page" w:xAlign="center" w:y="1"/>
      <w:autoSpaceDE w:val="0"/>
      <w:autoSpaceDN w:val="0"/>
      <w:spacing w:after="0" w:line="240" w:lineRule="auto"/>
      <w:jc w:val="center"/>
    </w:pPr>
    <w:rPr>
      <w:rFonts w:ascii="Times New Roman" w:hAnsi="Times New Roman"/>
      <w:kern w:val="28"/>
      <w:sz w:val="48"/>
      <w:szCs w:val="48"/>
    </w:rPr>
  </w:style>
  <w:style w:type="character" w:customStyle="1" w:styleId="TitleChar">
    <w:name w:val="Title Char"/>
    <w:link w:val="Title"/>
    <w:rsid w:val="0008583B"/>
    <w:rPr>
      <w:rFonts w:ascii="Times New Roman" w:eastAsia="Times New Roman" w:hAnsi="Times New Roman" w:cs="Times New Roman"/>
      <w:kern w:val="28"/>
      <w:sz w:val="48"/>
      <w:szCs w:val="48"/>
    </w:rPr>
  </w:style>
  <w:style w:type="paragraph" w:customStyle="1" w:styleId="Text">
    <w:name w:val="Text"/>
    <w:basedOn w:val="Normal"/>
    <w:rsid w:val="0008583B"/>
    <w:pPr>
      <w:widowControl w:val="0"/>
      <w:autoSpaceDE w:val="0"/>
      <w:autoSpaceDN w:val="0"/>
      <w:spacing w:after="0" w:line="252" w:lineRule="auto"/>
      <w:ind w:firstLine="202"/>
      <w:jc w:val="both"/>
    </w:pPr>
    <w:rPr>
      <w:rFonts w:ascii="Times New Roman" w:hAnsi="Times New Roman"/>
      <w:sz w:val="20"/>
      <w:szCs w:val="20"/>
    </w:rPr>
  </w:style>
  <w:style w:type="paragraph" w:styleId="Header">
    <w:name w:val="header"/>
    <w:basedOn w:val="Normal"/>
    <w:link w:val="HeaderChar"/>
    <w:uiPriority w:val="99"/>
    <w:unhideWhenUsed/>
    <w:rsid w:val="0008583B"/>
    <w:pPr>
      <w:tabs>
        <w:tab w:val="center" w:pos="4680"/>
        <w:tab w:val="right" w:pos="9360"/>
      </w:tabs>
    </w:pPr>
    <w:rPr>
      <w:rFonts w:eastAsia="Calibri"/>
    </w:rPr>
  </w:style>
  <w:style w:type="character" w:customStyle="1" w:styleId="HeaderChar">
    <w:name w:val="Header Char"/>
    <w:link w:val="Header"/>
    <w:uiPriority w:val="99"/>
    <w:rsid w:val="0008583B"/>
    <w:rPr>
      <w:rFonts w:ascii="Calibri" w:eastAsia="Calibri" w:hAnsi="Calibri" w:cs="Times New Roman"/>
    </w:rPr>
  </w:style>
  <w:style w:type="paragraph" w:styleId="Footer">
    <w:name w:val="footer"/>
    <w:basedOn w:val="Normal"/>
    <w:link w:val="FooterChar"/>
    <w:uiPriority w:val="99"/>
    <w:unhideWhenUsed/>
    <w:rsid w:val="0008583B"/>
    <w:pPr>
      <w:tabs>
        <w:tab w:val="center" w:pos="4680"/>
        <w:tab w:val="right" w:pos="9360"/>
      </w:tabs>
    </w:pPr>
    <w:rPr>
      <w:rFonts w:eastAsia="Calibri"/>
    </w:rPr>
  </w:style>
  <w:style w:type="character" w:customStyle="1" w:styleId="FooterChar">
    <w:name w:val="Footer Char"/>
    <w:link w:val="Footer"/>
    <w:uiPriority w:val="99"/>
    <w:rsid w:val="0008583B"/>
    <w:rPr>
      <w:rFonts w:ascii="Calibri" w:eastAsia="Calibri" w:hAnsi="Calibri" w:cs="Times New Roman"/>
    </w:rPr>
  </w:style>
  <w:style w:type="table" w:styleId="TableGrid">
    <w:name w:val="Table Grid"/>
    <w:basedOn w:val="TableNormal"/>
    <w:uiPriority w:val="59"/>
    <w:rsid w:val="0008583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08583B"/>
    <w:pPr>
      <w:ind w:left="720"/>
      <w:contextualSpacing/>
    </w:pPr>
    <w:rPr>
      <w:lang w:bidi="en-US"/>
    </w:rPr>
  </w:style>
  <w:style w:type="character" w:customStyle="1" w:styleId="ListParagraphChar">
    <w:name w:val="List Paragraph Char"/>
    <w:link w:val="ListParagraph"/>
    <w:uiPriority w:val="34"/>
    <w:qFormat/>
    <w:locked/>
    <w:rsid w:val="0008583B"/>
    <w:rPr>
      <w:rFonts w:ascii="Calibri" w:eastAsia="Times New Roman" w:hAnsi="Calibri" w:cs="Times New Roman"/>
      <w:lang w:bidi="en-US"/>
    </w:rPr>
  </w:style>
  <w:style w:type="paragraph" w:styleId="Caption">
    <w:name w:val="caption"/>
    <w:basedOn w:val="Normal"/>
    <w:next w:val="Normal"/>
    <w:uiPriority w:val="35"/>
    <w:unhideWhenUsed/>
    <w:qFormat/>
    <w:rsid w:val="0008583B"/>
    <w:pPr>
      <w:spacing w:line="240" w:lineRule="auto"/>
    </w:pPr>
    <w:rPr>
      <w:b/>
      <w:bCs/>
      <w:color w:val="4F81BD"/>
      <w:sz w:val="18"/>
      <w:szCs w:val="18"/>
      <w:lang w:bidi="en-US"/>
    </w:rPr>
  </w:style>
  <w:style w:type="table" w:styleId="TableTheme">
    <w:name w:val="Table Theme"/>
    <w:basedOn w:val="TableNormal"/>
    <w:rsid w:val="00487100"/>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Char">
    <w:name w:val="Default Char Char"/>
    <w:link w:val="Default"/>
    <w:qFormat/>
    <w:locked/>
    <w:rsid w:val="00487100"/>
    <w:rPr>
      <w:rFonts w:ascii="Times New Roman" w:eastAsia="Times New Roman" w:hAnsi="Times New Roman" w:cs="Times New Roman"/>
      <w:color w:val="000000"/>
      <w:sz w:val="24"/>
      <w:szCs w:val="24"/>
    </w:rPr>
  </w:style>
  <w:style w:type="paragraph" w:customStyle="1" w:styleId="Default">
    <w:name w:val="Default"/>
    <w:link w:val="DefaultCharChar"/>
    <w:qFormat/>
    <w:rsid w:val="00487100"/>
    <w:pPr>
      <w:autoSpaceDE w:val="0"/>
      <w:autoSpaceDN w:val="0"/>
      <w:adjustRightInd w:val="0"/>
    </w:pPr>
    <w:rPr>
      <w:rFonts w:ascii="Times New Roman" w:eastAsia="Times New Roman" w:hAnsi="Times New Roman"/>
      <w:color w:val="000000"/>
      <w:sz w:val="24"/>
      <w:szCs w:val="24"/>
    </w:rPr>
  </w:style>
  <w:style w:type="paragraph" w:styleId="NoSpacing">
    <w:name w:val="No Spacing"/>
    <w:link w:val="NoSpacingChar"/>
    <w:uiPriority w:val="1"/>
    <w:qFormat/>
    <w:rsid w:val="00707756"/>
    <w:rPr>
      <w:rFonts w:eastAsia="Times New Roman"/>
      <w:sz w:val="22"/>
      <w:szCs w:val="22"/>
    </w:rPr>
  </w:style>
  <w:style w:type="character" w:customStyle="1" w:styleId="NoSpacingChar">
    <w:name w:val="No Spacing Char"/>
    <w:link w:val="NoSpacing"/>
    <w:uiPriority w:val="1"/>
    <w:qFormat/>
    <w:locked/>
    <w:rsid w:val="00707756"/>
    <w:rPr>
      <w:rFonts w:eastAsia="Times New Roman"/>
      <w:sz w:val="22"/>
      <w:szCs w:val="22"/>
    </w:rPr>
  </w:style>
  <w:style w:type="paragraph" w:styleId="BodyText">
    <w:name w:val="Body Text"/>
    <w:basedOn w:val="Normal"/>
    <w:link w:val="BodyTextChar"/>
    <w:uiPriority w:val="99"/>
    <w:unhideWhenUsed/>
    <w:qFormat/>
    <w:rsid w:val="002135BC"/>
    <w:pPr>
      <w:spacing w:after="120" w:line="259" w:lineRule="auto"/>
    </w:pPr>
    <w:rPr>
      <w:rFonts w:eastAsia="Calibri" w:cs="Calibri"/>
    </w:rPr>
  </w:style>
  <w:style w:type="character" w:customStyle="1" w:styleId="BodyTextChar">
    <w:name w:val="Body Text Char"/>
    <w:link w:val="BodyText"/>
    <w:uiPriority w:val="99"/>
    <w:qFormat/>
    <w:rsid w:val="002135BC"/>
    <w:rPr>
      <w:rFonts w:cs="Calibri"/>
      <w:sz w:val="22"/>
      <w:szCs w:val="22"/>
    </w:rPr>
  </w:style>
  <w:style w:type="character" w:styleId="Hyperlink">
    <w:name w:val="Hyperlink"/>
    <w:uiPriority w:val="99"/>
    <w:unhideWhenUsed/>
    <w:qFormat/>
    <w:rsid w:val="00BE6561"/>
    <w:rPr>
      <w:color w:val="0563C1"/>
      <w:u w:val="single"/>
    </w:rPr>
  </w:style>
  <w:style w:type="paragraph" w:styleId="Revision">
    <w:name w:val="Revision"/>
    <w:hidden/>
    <w:uiPriority w:val="99"/>
    <w:semiHidden/>
    <w:rsid w:val="00B307A6"/>
    <w:rPr>
      <w:rFonts w:eastAsia="Times New Roman"/>
      <w:sz w:val="22"/>
      <w:szCs w:val="22"/>
    </w:rPr>
  </w:style>
  <w:style w:type="paragraph" w:styleId="BalloonText">
    <w:name w:val="Balloon Text"/>
    <w:basedOn w:val="Normal"/>
    <w:link w:val="BalloonTextChar"/>
    <w:uiPriority w:val="99"/>
    <w:semiHidden/>
    <w:unhideWhenUsed/>
    <w:rsid w:val="00952F3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52F35"/>
    <w:rPr>
      <w:rFonts w:ascii="Segoe UI" w:eastAsia="Times New Roman" w:hAnsi="Segoe UI" w:cs="Segoe UI"/>
      <w:sz w:val="18"/>
      <w:szCs w:val="18"/>
    </w:rPr>
  </w:style>
  <w:style w:type="table" w:customStyle="1" w:styleId="TableGridLight1">
    <w:name w:val="Table Grid Light1"/>
    <w:basedOn w:val="TableNormal"/>
    <w:uiPriority w:val="40"/>
    <w:rsid w:val="00A6580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7">
    <w:name w:val="Table Grid7"/>
    <w:basedOn w:val="TableNormal"/>
    <w:next w:val="TableGrid"/>
    <w:uiPriority w:val="39"/>
    <w:rsid w:val="00AE719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rsid w:val="00AE7192"/>
  </w:style>
  <w:style w:type="character" w:styleId="CommentReference">
    <w:name w:val="annotation reference"/>
    <w:uiPriority w:val="99"/>
    <w:semiHidden/>
    <w:unhideWhenUsed/>
    <w:rsid w:val="005A4CE4"/>
    <w:rPr>
      <w:sz w:val="16"/>
      <w:szCs w:val="16"/>
    </w:rPr>
  </w:style>
  <w:style w:type="paragraph" w:styleId="CommentText">
    <w:name w:val="annotation text"/>
    <w:basedOn w:val="Normal"/>
    <w:link w:val="CommentTextChar"/>
    <w:uiPriority w:val="99"/>
    <w:semiHidden/>
    <w:unhideWhenUsed/>
    <w:rsid w:val="005A4CE4"/>
    <w:rPr>
      <w:sz w:val="20"/>
      <w:szCs w:val="20"/>
    </w:rPr>
  </w:style>
  <w:style w:type="character" w:customStyle="1" w:styleId="CommentTextChar">
    <w:name w:val="Comment Text Char"/>
    <w:link w:val="CommentText"/>
    <w:uiPriority w:val="99"/>
    <w:semiHidden/>
    <w:rsid w:val="005A4CE4"/>
    <w:rPr>
      <w:rFonts w:eastAsia="Times New Roman"/>
    </w:rPr>
  </w:style>
  <w:style w:type="paragraph" w:styleId="CommentSubject">
    <w:name w:val="annotation subject"/>
    <w:basedOn w:val="CommentText"/>
    <w:next w:val="CommentText"/>
    <w:link w:val="CommentSubjectChar"/>
    <w:uiPriority w:val="99"/>
    <w:semiHidden/>
    <w:unhideWhenUsed/>
    <w:rsid w:val="005A4CE4"/>
    <w:rPr>
      <w:b/>
      <w:bCs/>
    </w:rPr>
  </w:style>
  <w:style w:type="character" w:customStyle="1" w:styleId="CommentSubjectChar">
    <w:name w:val="Comment Subject Char"/>
    <w:link w:val="CommentSubject"/>
    <w:uiPriority w:val="99"/>
    <w:semiHidden/>
    <w:rsid w:val="005A4CE4"/>
    <w:rPr>
      <w:rFonts w:eastAsia="Times New Roman"/>
      <w:b/>
      <w:bCs/>
    </w:rPr>
  </w:style>
  <w:style w:type="paragraph" w:styleId="NormalWeb">
    <w:name w:val="Normal (Web)"/>
    <w:aliases w:val="Char"/>
    <w:basedOn w:val="Normal"/>
    <w:link w:val="NormalWebChar"/>
    <w:uiPriority w:val="99"/>
    <w:unhideWhenUsed/>
    <w:qFormat/>
    <w:rsid w:val="00C8185F"/>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C8185F"/>
    <w:rPr>
      <w:b/>
      <w:bCs/>
    </w:rPr>
  </w:style>
  <w:style w:type="character" w:customStyle="1" w:styleId="relative">
    <w:name w:val="relative"/>
    <w:basedOn w:val="DefaultParagraphFont"/>
    <w:rsid w:val="00905AF0"/>
  </w:style>
  <w:style w:type="character" w:customStyle="1" w:styleId="katex-mathml">
    <w:name w:val="katex-mathml"/>
    <w:basedOn w:val="DefaultParagraphFont"/>
    <w:rsid w:val="005711F6"/>
  </w:style>
  <w:style w:type="character" w:customStyle="1" w:styleId="mord">
    <w:name w:val="mord"/>
    <w:basedOn w:val="DefaultParagraphFont"/>
    <w:rsid w:val="005711F6"/>
  </w:style>
  <w:style w:type="character" w:customStyle="1" w:styleId="mrel">
    <w:name w:val="mrel"/>
    <w:basedOn w:val="DefaultParagraphFont"/>
    <w:rsid w:val="005711F6"/>
  </w:style>
  <w:style w:type="character" w:customStyle="1" w:styleId="delimsizing">
    <w:name w:val="delimsizing"/>
    <w:basedOn w:val="DefaultParagraphFont"/>
    <w:rsid w:val="005711F6"/>
  </w:style>
  <w:style w:type="character" w:customStyle="1" w:styleId="vlist-s">
    <w:name w:val="vlist-s"/>
    <w:basedOn w:val="DefaultParagraphFont"/>
    <w:rsid w:val="005711F6"/>
  </w:style>
  <w:style w:type="character" w:customStyle="1" w:styleId="mbin">
    <w:name w:val="mbin"/>
    <w:basedOn w:val="DefaultParagraphFont"/>
    <w:rsid w:val="005711F6"/>
  </w:style>
  <w:style w:type="character" w:styleId="Emphasis">
    <w:name w:val="Emphasis"/>
    <w:basedOn w:val="DefaultParagraphFont"/>
    <w:uiPriority w:val="20"/>
    <w:qFormat/>
    <w:rsid w:val="00163C2E"/>
    <w:rPr>
      <w:i/>
      <w:iCs/>
    </w:rPr>
  </w:style>
  <w:style w:type="table" w:customStyle="1" w:styleId="TableGrid1">
    <w:name w:val="Table Grid1"/>
    <w:basedOn w:val="TableNormal"/>
    <w:uiPriority w:val="59"/>
    <w:qFormat/>
    <w:rsid w:val="001974F9"/>
    <w:rPr>
      <w:rFonts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1">
    <w:name w:val="ms-1"/>
    <w:basedOn w:val="DefaultParagraphFont"/>
    <w:rsid w:val="003974D9"/>
  </w:style>
  <w:style w:type="character" w:customStyle="1" w:styleId="max-w-15ch">
    <w:name w:val="max-w-[15ch]"/>
    <w:basedOn w:val="DefaultParagraphFont"/>
    <w:rsid w:val="003974D9"/>
  </w:style>
  <w:style w:type="character" w:customStyle="1" w:styleId="-me-1">
    <w:name w:val="-me-1"/>
    <w:basedOn w:val="DefaultParagraphFont"/>
    <w:rsid w:val="003974D9"/>
  </w:style>
  <w:style w:type="character" w:customStyle="1" w:styleId="NormalWebChar">
    <w:name w:val="Normal (Web) Char"/>
    <w:aliases w:val="Char Char"/>
    <w:link w:val="NormalWeb"/>
    <w:uiPriority w:val="99"/>
    <w:locked/>
    <w:rsid w:val="009D5A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1006">
      <w:bodyDiv w:val="1"/>
      <w:marLeft w:val="0"/>
      <w:marRight w:val="0"/>
      <w:marTop w:val="0"/>
      <w:marBottom w:val="0"/>
      <w:divBdr>
        <w:top w:val="none" w:sz="0" w:space="0" w:color="auto"/>
        <w:left w:val="none" w:sz="0" w:space="0" w:color="auto"/>
        <w:bottom w:val="none" w:sz="0" w:space="0" w:color="auto"/>
        <w:right w:val="none" w:sz="0" w:space="0" w:color="auto"/>
      </w:divBdr>
      <w:divsChild>
        <w:div w:id="2034573848">
          <w:marLeft w:val="0"/>
          <w:marRight w:val="0"/>
          <w:marTop w:val="0"/>
          <w:marBottom w:val="0"/>
          <w:divBdr>
            <w:top w:val="none" w:sz="0" w:space="0" w:color="auto"/>
            <w:left w:val="none" w:sz="0" w:space="0" w:color="auto"/>
            <w:bottom w:val="none" w:sz="0" w:space="0" w:color="auto"/>
            <w:right w:val="none" w:sz="0" w:space="0" w:color="auto"/>
          </w:divBdr>
        </w:div>
      </w:divsChild>
    </w:div>
    <w:div w:id="34739344">
      <w:bodyDiv w:val="1"/>
      <w:marLeft w:val="0"/>
      <w:marRight w:val="0"/>
      <w:marTop w:val="0"/>
      <w:marBottom w:val="0"/>
      <w:divBdr>
        <w:top w:val="none" w:sz="0" w:space="0" w:color="auto"/>
        <w:left w:val="none" w:sz="0" w:space="0" w:color="auto"/>
        <w:bottom w:val="none" w:sz="0" w:space="0" w:color="auto"/>
        <w:right w:val="none" w:sz="0" w:space="0" w:color="auto"/>
      </w:divBdr>
    </w:div>
    <w:div w:id="52320237">
      <w:bodyDiv w:val="1"/>
      <w:marLeft w:val="0"/>
      <w:marRight w:val="0"/>
      <w:marTop w:val="0"/>
      <w:marBottom w:val="0"/>
      <w:divBdr>
        <w:top w:val="none" w:sz="0" w:space="0" w:color="auto"/>
        <w:left w:val="none" w:sz="0" w:space="0" w:color="auto"/>
        <w:bottom w:val="none" w:sz="0" w:space="0" w:color="auto"/>
        <w:right w:val="none" w:sz="0" w:space="0" w:color="auto"/>
      </w:divBdr>
      <w:divsChild>
        <w:div w:id="1501771436">
          <w:marLeft w:val="0"/>
          <w:marRight w:val="0"/>
          <w:marTop w:val="0"/>
          <w:marBottom w:val="0"/>
          <w:divBdr>
            <w:top w:val="none" w:sz="0" w:space="0" w:color="auto"/>
            <w:left w:val="none" w:sz="0" w:space="0" w:color="auto"/>
            <w:bottom w:val="none" w:sz="0" w:space="0" w:color="auto"/>
            <w:right w:val="none" w:sz="0" w:space="0" w:color="auto"/>
          </w:divBdr>
        </w:div>
      </w:divsChild>
    </w:div>
    <w:div w:id="56248378">
      <w:bodyDiv w:val="1"/>
      <w:marLeft w:val="0"/>
      <w:marRight w:val="0"/>
      <w:marTop w:val="0"/>
      <w:marBottom w:val="0"/>
      <w:divBdr>
        <w:top w:val="none" w:sz="0" w:space="0" w:color="auto"/>
        <w:left w:val="none" w:sz="0" w:space="0" w:color="auto"/>
        <w:bottom w:val="none" w:sz="0" w:space="0" w:color="auto"/>
        <w:right w:val="none" w:sz="0" w:space="0" w:color="auto"/>
      </w:divBdr>
      <w:divsChild>
        <w:div w:id="1624926092">
          <w:marLeft w:val="0"/>
          <w:marRight w:val="0"/>
          <w:marTop w:val="0"/>
          <w:marBottom w:val="0"/>
          <w:divBdr>
            <w:top w:val="none" w:sz="0" w:space="0" w:color="auto"/>
            <w:left w:val="none" w:sz="0" w:space="0" w:color="auto"/>
            <w:bottom w:val="none" w:sz="0" w:space="0" w:color="auto"/>
            <w:right w:val="none" w:sz="0" w:space="0" w:color="auto"/>
          </w:divBdr>
        </w:div>
      </w:divsChild>
    </w:div>
    <w:div w:id="126169122">
      <w:bodyDiv w:val="1"/>
      <w:marLeft w:val="0"/>
      <w:marRight w:val="0"/>
      <w:marTop w:val="0"/>
      <w:marBottom w:val="0"/>
      <w:divBdr>
        <w:top w:val="none" w:sz="0" w:space="0" w:color="auto"/>
        <w:left w:val="none" w:sz="0" w:space="0" w:color="auto"/>
        <w:bottom w:val="none" w:sz="0" w:space="0" w:color="auto"/>
        <w:right w:val="none" w:sz="0" w:space="0" w:color="auto"/>
      </w:divBdr>
    </w:div>
    <w:div w:id="135146159">
      <w:bodyDiv w:val="1"/>
      <w:marLeft w:val="0"/>
      <w:marRight w:val="0"/>
      <w:marTop w:val="0"/>
      <w:marBottom w:val="0"/>
      <w:divBdr>
        <w:top w:val="none" w:sz="0" w:space="0" w:color="auto"/>
        <w:left w:val="none" w:sz="0" w:space="0" w:color="auto"/>
        <w:bottom w:val="none" w:sz="0" w:space="0" w:color="auto"/>
        <w:right w:val="none" w:sz="0" w:space="0" w:color="auto"/>
      </w:divBdr>
    </w:div>
    <w:div w:id="139034134">
      <w:bodyDiv w:val="1"/>
      <w:marLeft w:val="0"/>
      <w:marRight w:val="0"/>
      <w:marTop w:val="0"/>
      <w:marBottom w:val="0"/>
      <w:divBdr>
        <w:top w:val="none" w:sz="0" w:space="0" w:color="auto"/>
        <w:left w:val="none" w:sz="0" w:space="0" w:color="auto"/>
        <w:bottom w:val="none" w:sz="0" w:space="0" w:color="auto"/>
        <w:right w:val="none" w:sz="0" w:space="0" w:color="auto"/>
      </w:divBdr>
    </w:div>
    <w:div w:id="148642972">
      <w:bodyDiv w:val="1"/>
      <w:marLeft w:val="0"/>
      <w:marRight w:val="0"/>
      <w:marTop w:val="0"/>
      <w:marBottom w:val="0"/>
      <w:divBdr>
        <w:top w:val="none" w:sz="0" w:space="0" w:color="auto"/>
        <w:left w:val="none" w:sz="0" w:space="0" w:color="auto"/>
        <w:bottom w:val="none" w:sz="0" w:space="0" w:color="auto"/>
        <w:right w:val="none" w:sz="0" w:space="0" w:color="auto"/>
      </w:divBdr>
    </w:div>
    <w:div w:id="200169723">
      <w:bodyDiv w:val="1"/>
      <w:marLeft w:val="0"/>
      <w:marRight w:val="0"/>
      <w:marTop w:val="0"/>
      <w:marBottom w:val="0"/>
      <w:divBdr>
        <w:top w:val="none" w:sz="0" w:space="0" w:color="auto"/>
        <w:left w:val="none" w:sz="0" w:space="0" w:color="auto"/>
        <w:bottom w:val="none" w:sz="0" w:space="0" w:color="auto"/>
        <w:right w:val="none" w:sz="0" w:space="0" w:color="auto"/>
      </w:divBdr>
      <w:divsChild>
        <w:div w:id="1040204134">
          <w:marLeft w:val="0"/>
          <w:marRight w:val="0"/>
          <w:marTop w:val="0"/>
          <w:marBottom w:val="0"/>
          <w:divBdr>
            <w:top w:val="none" w:sz="0" w:space="0" w:color="auto"/>
            <w:left w:val="none" w:sz="0" w:space="0" w:color="auto"/>
            <w:bottom w:val="none" w:sz="0" w:space="0" w:color="auto"/>
            <w:right w:val="none" w:sz="0" w:space="0" w:color="auto"/>
          </w:divBdr>
        </w:div>
      </w:divsChild>
    </w:div>
    <w:div w:id="217401544">
      <w:bodyDiv w:val="1"/>
      <w:marLeft w:val="0"/>
      <w:marRight w:val="0"/>
      <w:marTop w:val="0"/>
      <w:marBottom w:val="0"/>
      <w:divBdr>
        <w:top w:val="none" w:sz="0" w:space="0" w:color="auto"/>
        <w:left w:val="none" w:sz="0" w:space="0" w:color="auto"/>
        <w:bottom w:val="none" w:sz="0" w:space="0" w:color="auto"/>
        <w:right w:val="none" w:sz="0" w:space="0" w:color="auto"/>
      </w:divBdr>
      <w:divsChild>
        <w:div w:id="1130249184">
          <w:marLeft w:val="0"/>
          <w:marRight w:val="0"/>
          <w:marTop w:val="0"/>
          <w:marBottom w:val="0"/>
          <w:divBdr>
            <w:top w:val="none" w:sz="0" w:space="0" w:color="auto"/>
            <w:left w:val="none" w:sz="0" w:space="0" w:color="auto"/>
            <w:bottom w:val="none" w:sz="0" w:space="0" w:color="auto"/>
            <w:right w:val="none" w:sz="0" w:space="0" w:color="auto"/>
          </w:divBdr>
        </w:div>
      </w:divsChild>
    </w:div>
    <w:div w:id="246426578">
      <w:bodyDiv w:val="1"/>
      <w:marLeft w:val="0"/>
      <w:marRight w:val="0"/>
      <w:marTop w:val="0"/>
      <w:marBottom w:val="0"/>
      <w:divBdr>
        <w:top w:val="none" w:sz="0" w:space="0" w:color="auto"/>
        <w:left w:val="none" w:sz="0" w:space="0" w:color="auto"/>
        <w:bottom w:val="none" w:sz="0" w:space="0" w:color="auto"/>
        <w:right w:val="none" w:sz="0" w:space="0" w:color="auto"/>
      </w:divBdr>
    </w:div>
    <w:div w:id="274561875">
      <w:bodyDiv w:val="1"/>
      <w:marLeft w:val="0"/>
      <w:marRight w:val="0"/>
      <w:marTop w:val="0"/>
      <w:marBottom w:val="0"/>
      <w:divBdr>
        <w:top w:val="none" w:sz="0" w:space="0" w:color="auto"/>
        <w:left w:val="none" w:sz="0" w:space="0" w:color="auto"/>
        <w:bottom w:val="none" w:sz="0" w:space="0" w:color="auto"/>
        <w:right w:val="none" w:sz="0" w:space="0" w:color="auto"/>
      </w:divBdr>
      <w:divsChild>
        <w:div w:id="876695424">
          <w:marLeft w:val="0"/>
          <w:marRight w:val="0"/>
          <w:marTop w:val="0"/>
          <w:marBottom w:val="0"/>
          <w:divBdr>
            <w:top w:val="none" w:sz="0" w:space="0" w:color="auto"/>
            <w:left w:val="none" w:sz="0" w:space="0" w:color="auto"/>
            <w:bottom w:val="none" w:sz="0" w:space="0" w:color="auto"/>
            <w:right w:val="none" w:sz="0" w:space="0" w:color="auto"/>
          </w:divBdr>
          <w:divsChild>
            <w:div w:id="2145072737">
              <w:marLeft w:val="0"/>
              <w:marRight w:val="0"/>
              <w:marTop w:val="0"/>
              <w:marBottom w:val="0"/>
              <w:divBdr>
                <w:top w:val="none" w:sz="0" w:space="0" w:color="auto"/>
                <w:left w:val="none" w:sz="0" w:space="0" w:color="auto"/>
                <w:bottom w:val="none" w:sz="0" w:space="0" w:color="auto"/>
                <w:right w:val="none" w:sz="0" w:space="0" w:color="auto"/>
              </w:divBdr>
            </w:div>
          </w:divsChild>
        </w:div>
        <w:div w:id="1480458377">
          <w:marLeft w:val="0"/>
          <w:marRight w:val="0"/>
          <w:marTop w:val="0"/>
          <w:marBottom w:val="0"/>
          <w:divBdr>
            <w:top w:val="none" w:sz="0" w:space="0" w:color="auto"/>
            <w:left w:val="none" w:sz="0" w:space="0" w:color="auto"/>
            <w:bottom w:val="none" w:sz="0" w:space="0" w:color="auto"/>
            <w:right w:val="none" w:sz="0" w:space="0" w:color="auto"/>
          </w:divBdr>
          <w:divsChild>
            <w:div w:id="1265187059">
              <w:marLeft w:val="0"/>
              <w:marRight w:val="0"/>
              <w:marTop w:val="0"/>
              <w:marBottom w:val="0"/>
              <w:divBdr>
                <w:top w:val="none" w:sz="0" w:space="0" w:color="auto"/>
                <w:left w:val="none" w:sz="0" w:space="0" w:color="auto"/>
                <w:bottom w:val="none" w:sz="0" w:space="0" w:color="auto"/>
                <w:right w:val="none" w:sz="0" w:space="0" w:color="auto"/>
              </w:divBdr>
            </w:div>
          </w:divsChild>
        </w:div>
        <w:div w:id="2040886187">
          <w:marLeft w:val="0"/>
          <w:marRight w:val="0"/>
          <w:marTop w:val="0"/>
          <w:marBottom w:val="0"/>
          <w:divBdr>
            <w:top w:val="none" w:sz="0" w:space="0" w:color="auto"/>
            <w:left w:val="none" w:sz="0" w:space="0" w:color="auto"/>
            <w:bottom w:val="none" w:sz="0" w:space="0" w:color="auto"/>
            <w:right w:val="none" w:sz="0" w:space="0" w:color="auto"/>
          </w:divBdr>
          <w:divsChild>
            <w:div w:id="441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2398">
      <w:bodyDiv w:val="1"/>
      <w:marLeft w:val="0"/>
      <w:marRight w:val="0"/>
      <w:marTop w:val="0"/>
      <w:marBottom w:val="0"/>
      <w:divBdr>
        <w:top w:val="none" w:sz="0" w:space="0" w:color="auto"/>
        <w:left w:val="none" w:sz="0" w:space="0" w:color="auto"/>
        <w:bottom w:val="none" w:sz="0" w:space="0" w:color="auto"/>
        <w:right w:val="none" w:sz="0" w:space="0" w:color="auto"/>
      </w:divBdr>
      <w:divsChild>
        <w:div w:id="1880892809">
          <w:marLeft w:val="0"/>
          <w:marRight w:val="0"/>
          <w:marTop w:val="0"/>
          <w:marBottom w:val="0"/>
          <w:divBdr>
            <w:top w:val="none" w:sz="0" w:space="0" w:color="auto"/>
            <w:left w:val="none" w:sz="0" w:space="0" w:color="auto"/>
            <w:bottom w:val="none" w:sz="0" w:space="0" w:color="auto"/>
            <w:right w:val="none" w:sz="0" w:space="0" w:color="auto"/>
          </w:divBdr>
        </w:div>
      </w:divsChild>
    </w:div>
    <w:div w:id="367607310">
      <w:bodyDiv w:val="1"/>
      <w:marLeft w:val="0"/>
      <w:marRight w:val="0"/>
      <w:marTop w:val="0"/>
      <w:marBottom w:val="0"/>
      <w:divBdr>
        <w:top w:val="none" w:sz="0" w:space="0" w:color="auto"/>
        <w:left w:val="none" w:sz="0" w:space="0" w:color="auto"/>
        <w:bottom w:val="none" w:sz="0" w:space="0" w:color="auto"/>
        <w:right w:val="none" w:sz="0" w:space="0" w:color="auto"/>
      </w:divBdr>
      <w:divsChild>
        <w:div w:id="37823835">
          <w:marLeft w:val="0"/>
          <w:marRight w:val="0"/>
          <w:marTop w:val="0"/>
          <w:marBottom w:val="0"/>
          <w:divBdr>
            <w:top w:val="none" w:sz="0" w:space="0" w:color="auto"/>
            <w:left w:val="none" w:sz="0" w:space="0" w:color="auto"/>
            <w:bottom w:val="none" w:sz="0" w:space="0" w:color="auto"/>
            <w:right w:val="none" w:sz="0" w:space="0" w:color="auto"/>
          </w:divBdr>
          <w:divsChild>
            <w:div w:id="9810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70406">
      <w:bodyDiv w:val="1"/>
      <w:marLeft w:val="0"/>
      <w:marRight w:val="0"/>
      <w:marTop w:val="0"/>
      <w:marBottom w:val="0"/>
      <w:divBdr>
        <w:top w:val="none" w:sz="0" w:space="0" w:color="auto"/>
        <w:left w:val="none" w:sz="0" w:space="0" w:color="auto"/>
        <w:bottom w:val="none" w:sz="0" w:space="0" w:color="auto"/>
        <w:right w:val="none" w:sz="0" w:space="0" w:color="auto"/>
      </w:divBdr>
      <w:divsChild>
        <w:div w:id="1185092676">
          <w:marLeft w:val="0"/>
          <w:marRight w:val="0"/>
          <w:marTop w:val="0"/>
          <w:marBottom w:val="0"/>
          <w:divBdr>
            <w:top w:val="none" w:sz="0" w:space="0" w:color="auto"/>
            <w:left w:val="none" w:sz="0" w:space="0" w:color="auto"/>
            <w:bottom w:val="none" w:sz="0" w:space="0" w:color="auto"/>
            <w:right w:val="none" w:sz="0" w:space="0" w:color="auto"/>
          </w:divBdr>
          <w:divsChild>
            <w:div w:id="14366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4831">
      <w:bodyDiv w:val="1"/>
      <w:marLeft w:val="0"/>
      <w:marRight w:val="0"/>
      <w:marTop w:val="0"/>
      <w:marBottom w:val="0"/>
      <w:divBdr>
        <w:top w:val="none" w:sz="0" w:space="0" w:color="auto"/>
        <w:left w:val="none" w:sz="0" w:space="0" w:color="auto"/>
        <w:bottom w:val="none" w:sz="0" w:space="0" w:color="auto"/>
        <w:right w:val="none" w:sz="0" w:space="0" w:color="auto"/>
      </w:divBdr>
    </w:div>
    <w:div w:id="385489569">
      <w:bodyDiv w:val="1"/>
      <w:marLeft w:val="0"/>
      <w:marRight w:val="0"/>
      <w:marTop w:val="0"/>
      <w:marBottom w:val="0"/>
      <w:divBdr>
        <w:top w:val="none" w:sz="0" w:space="0" w:color="auto"/>
        <w:left w:val="none" w:sz="0" w:space="0" w:color="auto"/>
        <w:bottom w:val="none" w:sz="0" w:space="0" w:color="auto"/>
        <w:right w:val="none" w:sz="0" w:space="0" w:color="auto"/>
      </w:divBdr>
    </w:div>
    <w:div w:id="407845519">
      <w:bodyDiv w:val="1"/>
      <w:marLeft w:val="0"/>
      <w:marRight w:val="0"/>
      <w:marTop w:val="0"/>
      <w:marBottom w:val="0"/>
      <w:divBdr>
        <w:top w:val="none" w:sz="0" w:space="0" w:color="auto"/>
        <w:left w:val="none" w:sz="0" w:space="0" w:color="auto"/>
        <w:bottom w:val="none" w:sz="0" w:space="0" w:color="auto"/>
        <w:right w:val="none" w:sz="0" w:space="0" w:color="auto"/>
      </w:divBdr>
    </w:div>
    <w:div w:id="418714625">
      <w:bodyDiv w:val="1"/>
      <w:marLeft w:val="0"/>
      <w:marRight w:val="0"/>
      <w:marTop w:val="0"/>
      <w:marBottom w:val="0"/>
      <w:divBdr>
        <w:top w:val="none" w:sz="0" w:space="0" w:color="auto"/>
        <w:left w:val="none" w:sz="0" w:space="0" w:color="auto"/>
        <w:bottom w:val="none" w:sz="0" w:space="0" w:color="auto"/>
        <w:right w:val="none" w:sz="0" w:space="0" w:color="auto"/>
      </w:divBdr>
      <w:divsChild>
        <w:div w:id="447705697">
          <w:marLeft w:val="0"/>
          <w:marRight w:val="0"/>
          <w:marTop w:val="0"/>
          <w:marBottom w:val="0"/>
          <w:divBdr>
            <w:top w:val="none" w:sz="0" w:space="0" w:color="auto"/>
            <w:left w:val="none" w:sz="0" w:space="0" w:color="auto"/>
            <w:bottom w:val="none" w:sz="0" w:space="0" w:color="auto"/>
            <w:right w:val="none" w:sz="0" w:space="0" w:color="auto"/>
          </w:divBdr>
        </w:div>
      </w:divsChild>
    </w:div>
    <w:div w:id="453254800">
      <w:bodyDiv w:val="1"/>
      <w:marLeft w:val="0"/>
      <w:marRight w:val="0"/>
      <w:marTop w:val="0"/>
      <w:marBottom w:val="0"/>
      <w:divBdr>
        <w:top w:val="none" w:sz="0" w:space="0" w:color="auto"/>
        <w:left w:val="none" w:sz="0" w:space="0" w:color="auto"/>
        <w:bottom w:val="none" w:sz="0" w:space="0" w:color="auto"/>
        <w:right w:val="none" w:sz="0" w:space="0" w:color="auto"/>
      </w:divBdr>
    </w:div>
    <w:div w:id="453602999">
      <w:bodyDiv w:val="1"/>
      <w:marLeft w:val="0"/>
      <w:marRight w:val="0"/>
      <w:marTop w:val="0"/>
      <w:marBottom w:val="0"/>
      <w:divBdr>
        <w:top w:val="none" w:sz="0" w:space="0" w:color="auto"/>
        <w:left w:val="none" w:sz="0" w:space="0" w:color="auto"/>
        <w:bottom w:val="none" w:sz="0" w:space="0" w:color="auto"/>
        <w:right w:val="none" w:sz="0" w:space="0" w:color="auto"/>
      </w:divBdr>
    </w:div>
    <w:div w:id="538278371">
      <w:bodyDiv w:val="1"/>
      <w:marLeft w:val="0"/>
      <w:marRight w:val="0"/>
      <w:marTop w:val="0"/>
      <w:marBottom w:val="0"/>
      <w:divBdr>
        <w:top w:val="none" w:sz="0" w:space="0" w:color="auto"/>
        <w:left w:val="none" w:sz="0" w:space="0" w:color="auto"/>
        <w:bottom w:val="none" w:sz="0" w:space="0" w:color="auto"/>
        <w:right w:val="none" w:sz="0" w:space="0" w:color="auto"/>
      </w:divBdr>
      <w:divsChild>
        <w:div w:id="447555024">
          <w:marLeft w:val="0"/>
          <w:marRight w:val="0"/>
          <w:marTop w:val="0"/>
          <w:marBottom w:val="0"/>
          <w:divBdr>
            <w:top w:val="none" w:sz="0" w:space="0" w:color="auto"/>
            <w:left w:val="none" w:sz="0" w:space="0" w:color="auto"/>
            <w:bottom w:val="none" w:sz="0" w:space="0" w:color="auto"/>
            <w:right w:val="none" w:sz="0" w:space="0" w:color="auto"/>
          </w:divBdr>
          <w:divsChild>
            <w:div w:id="18894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3399">
      <w:bodyDiv w:val="1"/>
      <w:marLeft w:val="0"/>
      <w:marRight w:val="0"/>
      <w:marTop w:val="0"/>
      <w:marBottom w:val="0"/>
      <w:divBdr>
        <w:top w:val="none" w:sz="0" w:space="0" w:color="auto"/>
        <w:left w:val="none" w:sz="0" w:space="0" w:color="auto"/>
        <w:bottom w:val="none" w:sz="0" w:space="0" w:color="auto"/>
        <w:right w:val="none" w:sz="0" w:space="0" w:color="auto"/>
      </w:divBdr>
      <w:divsChild>
        <w:div w:id="1262835035">
          <w:marLeft w:val="0"/>
          <w:marRight w:val="0"/>
          <w:marTop w:val="0"/>
          <w:marBottom w:val="0"/>
          <w:divBdr>
            <w:top w:val="none" w:sz="0" w:space="0" w:color="auto"/>
            <w:left w:val="none" w:sz="0" w:space="0" w:color="auto"/>
            <w:bottom w:val="none" w:sz="0" w:space="0" w:color="auto"/>
            <w:right w:val="none" w:sz="0" w:space="0" w:color="auto"/>
          </w:divBdr>
        </w:div>
      </w:divsChild>
    </w:div>
    <w:div w:id="559635410">
      <w:bodyDiv w:val="1"/>
      <w:marLeft w:val="0"/>
      <w:marRight w:val="0"/>
      <w:marTop w:val="0"/>
      <w:marBottom w:val="0"/>
      <w:divBdr>
        <w:top w:val="none" w:sz="0" w:space="0" w:color="auto"/>
        <w:left w:val="none" w:sz="0" w:space="0" w:color="auto"/>
        <w:bottom w:val="none" w:sz="0" w:space="0" w:color="auto"/>
        <w:right w:val="none" w:sz="0" w:space="0" w:color="auto"/>
      </w:divBdr>
      <w:divsChild>
        <w:div w:id="7878053">
          <w:marLeft w:val="0"/>
          <w:marRight w:val="0"/>
          <w:marTop w:val="0"/>
          <w:marBottom w:val="0"/>
          <w:divBdr>
            <w:top w:val="none" w:sz="0" w:space="0" w:color="auto"/>
            <w:left w:val="none" w:sz="0" w:space="0" w:color="auto"/>
            <w:bottom w:val="none" w:sz="0" w:space="0" w:color="auto"/>
            <w:right w:val="none" w:sz="0" w:space="0" w:color="auto"/>
          </w:divBdr>
        </w:div>
      </w:divsChild>
    </w:div>
    <w:div w:id="560291265">
      <w:bodyDiv w:val="1"/>
      <w:marLeft w:val="0"/>
      <w:marRight w:val="0"/>
      <w:marTop w:val="0"/>
      <w:marBottom w:val="0"/>
      <w:divBdr>
        <w:top w:val="none" w:sz="0" w:space="0" w:color="auto"/>
        <w:left w:val="none" w:sz="0" w:space="0" w:color="auto"/>
        <w:bottom w:val="none" w:sz="0" w:space="0" w:color="auto"/>
        <w:right w:val="none" w:sz="0" w:space="0" w:color="auto"/>
      </w:divBdr>
      <w:divsChild>
        <w:div w:id="1846630771">
          <w:marLeft w:val="0"/>
          <w:marRight w:val="0"/>
          <w:marTop w:val="0"/>
          <w:marBottom w:val="0"/>
          <w:divBdr>
            <w:top w:val="none" w:sz="0" w:space="0" w:color="auto"/>
            <w:left w:val="none" w:sz="0" w:space="0" w:color="auto"/>
            <w:bottom w:val="none" w:sz="0" w:space="0" w:color="auto"/>
            <w:right w:val="none" w:sz="0" w:space="0" w:color="auto"/>
          </w:divBdr>
        </w:div>
      </w:divsChild>
    </w:div>
    <w:div w:id="586770910">
      <w:bodyDiv w:val="1"/>
      <w:marLeft w:val="0"/>
      <w:marRight w:val="0"/>
      <w:marTop w:val="0"/>
      <w:marBottom w:val="0"/>
      <w:divBdr>
        <w:top w:val="none" w:sz="0" w:space="0" w:color="auto"/>
        <w:left w:val="none" w:sz="0" w:space="0" w:color="auto"/>
        <w:bottom w:val="none" w:sz="0" w:space="0" w:color="auto"/>
        <w:right w:val="none" w:sz="0" w:space="0" w:color="auto"/>
      </w:divBdr>
    </w:div>
    <w:div w:id="603420533">
      <w:bodyDiv w:val="1"/>
      <w:marLeft w:val="0"/>
      <w:marRight w:val="0"/>
      <w:marTop w:val="0"/>
      <w:marBottom w:val="0"/>
      <w:divBdr>
        <w:top w:val="none" w:sz="0" w:space="0" w:color="auto"/>
        <w:left w:val="none" w:sz="0" w:space="0" w:color="auto"/>
        <w:bottom w:val="none" w:sz="0" w:space="0" w:color="auto"/>
        <w:right w:val="none" w:sz="0" w:space="0" w:color="auto"/>
      </w:divBdr>
      <w:divsChild>
        <w:div w:id="1844927018">
          <w:marLeft w:val="0"/>
          <w:marRight w:val="0"/>
          <w:marTop w:val="0"/>
          <w:marBottom w:val="0"/>
          <w:divBdr>
            <w:top w:val="none" w:sz="0" w:space="0" w:color="auto"/>
            <w:left w:val="none" w:sz="0" w:space="0" w:color="auto"/>
            <w:bottom w:val="none" w:sz="0" w:space="0" w:color="auto"/>
            <w:right w:val="none" w:sz="0" w:space="0" w:color="auto"/>
          </w:divBdr>
          <w:divsChild>
            <w:div w:id="7364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88846">
      <w:bodyDiv w:val="1"/>
      <w:marLeft w:val="0"/>
      <w:marRight w:val="0"/>
      <w:marTop w:val="0"/>
      <w:marBottom w:val="0"/>
      <w:divBdr>
        <w:top w:val="none" w:sz="0" w:space="0" w:color="auto"/>
        <w:left w:val="none" w:sz="0" w:space="0" w:color="auto"/>
        <w:bottom w:val="none" w:sz="0" w:space="0" w:color="auto"/>
        <w:right w:val="none" w:sz="0" w:space="0" w:color="auto"/>
      </w:divBdr>
      <w:divsChild>
        <w:div w:id="1127238996">
          <w:marLeft w:val="0"/>
          <w:marRight w:val="0"/>
          <w:marTop w:val="0"/>
          <w:marBottom w:val="0"/>
          <w:divBdr>
            <w:top w:val="none" w:sz="0" w:space="0" w:color="auto"/>
            <w:left w:val="none" w:sz="0" w:space="0" w:color="auto"/>
            <w:bottom w:val="none" w:sz="0" w:space="0" w:color="auto"/>
            <w:right w:val="none" w:sz="0" w:space="0" w:color="auto"/>
          </w:divBdr>
        </w:div>
      </w:divsChild>
    </w:div>
    <w:div w:id="625699630">
      <w:bodyDiv w:val="1"/>
      <w:marLeft w:val="0"/>
      <w:marRight w:val="0"/>
      <w:marTop w:val="0"/>
      <w:marBottom w:val="0"/>
      <w:divBdr>
        <w:top w:val="none" w:sz="0" w:space="0" w:color="auto"/>
        <w:left w:val="none" w:sz="0" w:space="0" w:color="auto"/>
        <w:bottom w:val="none" w:sz="0" w:space="0" w:color="auto"/>
        <w:right w:val="none" w:sz="0" w:space="0" w:color="auto"/>
      </w:divBdr>
      <w:divsChild>
        <w:div w:id="1096944805">
          <w:marLeft w:val="0"/>
          <w:marRight w:val="0"/>
          <w:marTop w:val="0"/>
          <w:marBottom w:val="0"/>
          <w:divBdr>
            <w:top w:val="none" w:sz="0" w:space="0" w:color="auto"/>
            <w:left w:val="none" w:sz="0" w:space="0" w:color="auto"/>
            <w:bottom w:val="none" w:sz="0" w:space="0" w:color="auto"/>
            <w:right w:val="none" w:sz="0" w:space="0" w:color="auto"/>
          </w:divBdr>
        </w:div>
      </w:divsChild>
    </w:div>
    <w:div w:id="634485880">
      <w:bodyDiv w:val="1"/>
      <w:marLeft w:val="0"/>
      <w:marRight w:val="0"/>
      <w:marTop w:val="0"/>
      <w:marBottom w:val="0"/>
      <w:divBdr>
        <w:top w:val="none" w:sz="0" w:space="0" w:color="auto"/>
        <w:left w:val="none" w:sz="0" w:space="0" w:color="auto"/>
        <w:bottom w:val="none" w:sz="0" w:space="0" w:color="auto"/>
        <w:right w:val="none" w:sz="0" w:space="0" w:color="auto"/>
      </w:divBdr>
    </w:div>
    <w:div w:id="680468331">
      <w:bodyDiv w:val="1"/>
      <w:marLeft w:val="0"/>
      <w:marRight w:val="0"/>
      <w:marTop w:val="0"/>
      <w:marBottom w:val="0"/>
      <w:divBdr>
        <w:top w:val="none" w:sz="0" w:space="0" w:color="auto"/>
        <w:left w:val="none" w:sz="0" w:space="0" w:color="auto"/>
        <w:bottom w:val="none" w:sz="0" w:space="0" w:color="auto"/>
        <w:right w:val="none" w:sz="0" w:space="0" w:color="auto"/>
      </w:divBdr>
    </w:div>
    <w:div w:id="695500569">
      <w:bodyDiv w:val="1"/>
      <w:marLeft w:val="0"/>
      <w:marRight w:val="0"/>
      <w:marTop w:val="0"/>
      <w:marBottom w:val="0"/>
      <w:divBdr>
        <w:top w:val="none" w:sz="0" w:space="0" w:color="auto"/>
        <w:left w:val="none" w:sz="0" w:space="0" w:color="auto"/>
        <w:bottom w:val="none" w:sz="0" w:space="0" w:color="auto"/>
        <w:right w:val="none" w:sz="0" w:space="0" w:color="auto"/>
      </w:divBdr>
      <w:divsChild>
        <w:div w:id="1992371704">
          <w:marLeft w:val="0"/>
          <w:marRight w:val="0"/>
          <w:marTop w:val="0"/>
          <w:marBottom w:val="0"/>
          <w:divBdr>
            <w:top w:val="none" w:sz="0" w:space="0" w:color="auto"/>
            <w:left w:val="none" w:sz="0" w:space="0" w:color="auto"/>
            <w:bottom w:val="none" w:sz="0" w:space="0" w:color="auto"/>
            <w:right w:val="none" w:sz="0" w:space="0" w:color="auto"/>
          </w:divBdr>
        </w:div>
      </w:divsChild>
    </w:div>
    <w:div w:id="742335679">
      <w:bodyDiv w:val="1"/>
      <w:marLeft w:val="0"/>
      <w:marRight w:val="0"/>
      <w:marTop w:val="0"/>
      <w:marBottom w:val="0"/>
      <w:divBdr>
        <w:top w:val="none" w:sz="0" w:space="0" w:color="auto"/>
        <w:left w:val="none" w:sz="0" w:space="0" w:color="auto"/>
        <w:bottom w:val="none" w:sz="0" w:space="0" w:color="auto"/>
        <w:right w:val="none" w:sz="0" w:space="0" w:color="auto"/>
      </w:divBdr>
      <w:divsChild>
        <w:div w:id="279184">
          <w:marLeft w:val="0"/>
          <w:marRight w:val="0"/>
          <w:marTop w:val="0"/>
          <w:marBottom w:val="0"/>
          <w:divBdr>
            <w:top w:val="none" w:sz="0" w:space="0" w:color="auto"/>
            <w:left w:val="none" w:sz="0" w:space="0" w:color="auto"/>
            <w:bottom w:val="none" w:sz="0" w:space="0" w:color="auto"/>
            <w:right w:val="none" w:sz="0" w:space="0" w:color="auto"/>
          </w:divBdr>
          <w:divsChild>
            <w:div w:id="524172052">
              <w:marLeft w:val="0"/>
              <w:marRight w:val="0"/>
              <w:marTop w:val="0"/>
              <w:marBottom w:val="0"/>
              <w:divBdr>
                <w:top w:val="none" w:sz="0" w:space="0" w:color="auto"/>
                <w:left w:val="none" w:sz="0" w:space="0" w:color="auto"/>
                <w:bottom w:val="none" w:sz="0" w:space="0" w:color="auto"/>
                <w:right w:val="none" w:sz="0" w:space="0" w:color="auto"/>
              </w:divBdr>
            </w:div>
          </w:divsChild>
        </w:div>
        <w:div w:id="1808815806">
          <w:marLeft w:val="0"/>
          <w:marRight w:val="0"/>
          <w:marTop w:val="0"/>
          <w:marBottom w:val="0"/>
          <w:divBdr>
            <w:top w:val="none" w:sz="0" w:space="0" w:color="auto"/>
            <w:left w:val="none" w:sz="0" w:space="0" w:color="auto"/>
            <w:bottom w:val="none" w:sz="0" w:space="0" w:color="auto"/>
            <w:right w:val="none" w:sz="0" w:space="0" w:color="auto"/>
          </w:divBdr>
          <w:divsChild>
            <w:div w:id="9005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4271">
      <w:bodyDiv w:val="1"/>
      <w:marLeft w:val="0"/>
      <w:marRight w:val="0"/>
      <w:marTop w:val="0"/>
      <w:marBottom w:val="0"/>
      <w:divBdr>
        <w:top w:val="none" w:sz="0" w:space="0" w:color="auto"/>
        <w:left w:val="none" w:sz="0" w:space="0" w:color="auto"/>
        <w:bottom w:val="none" w:sz="0" w:space="0" w:color="auto"/>
        <w:right w:val="none" w:sz="0" w:space="0" w:color="auto"/>
      </w:divBdr>
      <w:divsChild>
        <w:div w:id="135609910">
          <w:marLeft w:val="0"/>
          <w:marRight w:val="0"/>
          <w:marTop w:val="0"/>
          <w:marBottom w:val="0"/>
          <w:divBdr>
            <w:top w:val="none" w:sz="0" w:space="0" w:color="auto"/>
            <w:left w:val="none" w:sz="0" w:space="0" w:color="auto"/>
            <w:bottom w:val="none" w:sz="0" w:space="0" w:color="auto"/>
            <w:right w:val="none" w:sz="0" w:space="0" w:color="auto"/>
          </w:divBdr>
          <w:divsChild>
            <w:div w:id="13292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39200">
      <w:bodyDiv w:val="1"/>
      <w:marLeft w:val="0"/>
      <w:marRight w:val="0"/>
      <w:marTop w:val="0"/>
      <w:marBottom w:val="0"/>
      <w:divBdr>
        <w:top w:val="none" w:sz="0" w:space="0" w:color="auto"/>
        <w:left w:val="none" w:sz="0" w:space="0" w:color="auto"/>
        <w:bottom w:val="none" w:sz="0" w:space="0" w:color="auto"/>
        <w:right w:val="none" w:sz="0" w:space="0" w:color="auto"/>
      </w:divBdr>
    </w:div>
    <w:div w:id="812332780">
      <w:bodyDiv w:val="1"/>
      <w:marLeft w:val="0"/>
      <w:marRight w:val="0"/>
      <w:marTop w:val="0"/>
      <w:marBottom w:val="0"/>
      <w:divBdr>
        <w:top w:val="none" w:sz="0" w:space="0" w:color="auto"/>
        <w:left w:val="none" w:sz="0" w:space="0" w:color="auto"/>
        <w:bottom w:val="none" w:sz="0" w:space="0" w:color="auto"/>
        <w:right w:val="none" w:sz="0" w:space="0" w:color="auto"/>
      </w:divBdr>
      <w:divsChild>
        <w:div w:id="1566334807">
          <w:marLeft w:val="0"/>
          <w:marRight w:val="0"/>
          <w:marTop w:val="0"/>
          <w:marBottom w:val="0"/>
          <w:divBdr>
            <w:top w:val="none" w:sz="0" w:space="0" w:color="auto"/>
            <w:left w:val="none" w:sz="0" w:space="0" w:color="auto"/>
            <w:bottom w:val="none" w:sz="0" w:space="0" w:color="auto"/>
            <w:right w:val="none" w:sz="0" w:space="0" w:color="auto"/>
          </w:divBdr>
        </w:div>
      </w:divsChild>
    </w:div>
    <w:div w:id="814565796">
      <w:bodyDiv w:val="1"/>
      <w:marLeft w:val="0"/>
      <w:marRight w:val="0"/>
      <w:marTop w:val="0"/>
      <w:marBottom w:val="0"/>
      <w:divBdr>
        <w:top w:val="none" w:sz="0" w:space="0" w:color="auto"/>
        <w:left w:val="none" w:sz="0" w:space="0" w:color="auto"/>
        <w:bottom w:val="none" w:sz="0" w:space="0" w:color="auto"/>
        <w:right w:val="none" w:sz="0" w:space="0" w:color="auto"/>
      </w:divBdr>
      <w:divsChild>
        <w:div w:id="2102413091">
          <w:marLeft w:val="0"/>
          <w:marRight w:val="0"/>
          <w:marTop w:val="0"/>
          <w:marBottom w:val="0"/>
          <w:divBdr>
            <w:top w:val="none" w:sz="0" w:space="0" w:color="auto"/>
            <w:left w:val="none" w:sz="0" w:space="0" w:color="auto"/>
            <w:bottom w:val="none" w:sz="0" w:space="0" w:color="auto"/>
            <w:right w:val="none" w:sz="0" w:space="0" w:color="auto"/>
          </w:divBdr>
          <w:divsChild>
            <w:div w:id="19099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4462">
      <w:bodyDiv w:val="1"/>
      <w:marLeft w:val="0"/>
      <w:marRight w:val="0"/>
      <w:marTop w:val="0"/>
      <w:marBottom w:val="0"/>
      <w:divBdr>
        <w:top w:val="none" w:sz="0" w:space="0" w:color="auto"/>
        <w:left w:val="none" w:sz="0" w:space="0" w:color="auto"/>
        <w:bottom w:val="none" w:sz="0" w:space="0" w:color="auto"/>
        <w:right w:val="none" w:sz="0" w:space="0" w:color="auto"/>
      </w:divBdr>
      <w:divsChild>
        <w:div w:id="67240606">
          <w:marLeft w:val="0"/>
          <w:marRight w:val="0"/>
          <w:marTop w:val="0"/>
          <w:marBottom w:val="0"/>
          <w:divBdr>
            <w:top w:val="none" w:sz="0" w:space="0" w:color="auto"/>
            <w:left w:val="none" w:sz="0" w:space="0" w:color="auto"/>
            <w:bottom w:val="none" w:sz="0" w:space="0" w:color="auto"/>
            <w:right w:val="none" w:sz="0" w:space="0" w:color="auto"/>
          </w:divBdr>
          <w:divsChild>
            <w:div w:id="1098938960">
              <w:marLeft w:val="0"/>
              <w:marRight w:val="0"/>
              <w:marTop w:val="0"/>
              <w:marBottom w:val="0"/>
              <w:divBdr>
                <w:top w:val="none" w:sz="0" w:space="0" w:color="auto"/>
                <w:left w:val="none" w:sz="0" w:space="0" w:color="auto"/>
                <w:bottom w:val="none" w:sz="0" w:space="0" w:color="auto"/>
                <w:right w:val="none" w:sz="0" w:space="0" w:color="auto"/>
              </w:divBdr>
            </w:div>
          </w:divsChild>
        </w:div>
        <w:div w:id="1690252015">
          <w:marLeft w:val="0"/>
          <w:marRight w:val="0"/>
          <w:marTop w:val="0"/>
          <w:marBottom w:val="0"/>
          <w:divBdr>
            <w:top w:val="none" w:sz="0" w:space="0" w:color="auto"/>
            <w:left w:val="none" w:sz="0" w:space="0" w:color="auto"/>
            <w:bottom w:val="none" w:sz="0" w:space="0" w:color="auto"/>
            <w:right w:val="none" w:sz="0" w:space="0" w:color="auto"/>
          </w:divBdr>
          <w:divsChild>
            <w:div w:id="2131388039">
              <w:marLeft w:val="0"/>
              <w:marRight w:val="0"/>
              <w:marTop w:val="0"/>
              <w:marBottom w:val="0"/>
              <w:divBdr>
                <w:top w:val="none" w:sz="0" w:space="0" w:color="auto"/>
                <w:left w:val="none" w:sz="0" w:space="0" w:color="auto"/>
                <w:bottom w:val="none" w:sz="0" w:space="0" w:color="auto"/>
                <w:right w:val="none" w:sz="0" w:space="0" w:color="auto"/>
              </w:divBdr>
            </w:div>
          </w:divsChild>
        </w:div>
        <w:div w:id="1815681297">
          <w:marLeft w:val="0"/>
          <w:marRight w:val="0"/>
          <w:marTop w:val="0"/>
          <w:marBottom w:val="0"/>
          <w:divBdr>
            <w:top w:val="none" w:sz="0" w:space="0" w:color="auto"/>
            <w:left w:val="none" w:sz="0" w:space="0" w:color="auto"/>
            <w:bottom w:val="none" w:sz="0" w:space="0" w:color="auto"/>
            <w:right w:val="none" w:sz="0" w:space="0" w:color="auto"/>
          </w:divBdr>
          <w:divsChild>
            <w:div w:id="16718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4760">
      <w:bodyDiv w:val="1"/>
      <w:marLeft w:val="0"/>
      <w:marRight w:val="0"/>
      <w:marTop w:val="0"/>
      <w:marBottom w:val="0"/>
      <w:divBdr>
        <w:top w:val="none" w:sz="0" w:space="0" w:color="auto"/>
        <w:left w:val="none" w:sz="0" w:space="0" w:color="auto"/>
        <w:bottom w:val="none" w:sz="0" w:space="0" w:color="auto"/>
        <w:right w:val="none" w:sz="0" w:space="0" w:color="auto"/>
      </w:divBdr>
      <w:divsChild>
        <w:div w:id="201944914">
          <w:marLeft w:val="0"/>
          <w:marRight w:val="0"/>
          <w:marTop w:val="0"/>
          <w:marBottom w:val="0"/>
          <w:divBdr>
            <w:top w:val="none" w:sz="0" w:space="0" w:color="auto"/>
            <w:left w:val="none" w:sz="0" w:space="0" w:color="auto"/>
            <w:bottom w:val="none" w:sz="0" w:space="0" w:color="auto"/>
            <w:right w:val="none" w:sz="0" w:space="0" w:color="auto"/>
          </w:divBdr>
        </w:div>
      </w:divsChild>
    </w:div>
    <w:div w:id="881871175">
      <w:bodyDiv w:val="1"/>
      <w:marLeft w:val="0"/>
      <w:marRight w:val="0"/>
      <w:marTop w:val="0"/>
      <w:marBottom w:val="0"/>
      <w:divBdr>
        <w:top w:val="none" w:sz="0" w:space="0" w:color="auto"/>
        <w:left w:val="none" w:sz="0" w:space="0" w:color="auto"/>
        <w:bottom w:val="none" w:sz="0" w:space="0" w:color="auto"/>
        <w:right w:val="none" w:sz="0" w:space="0" w:color="auto"/>
      </w:divBdr>
      <w:divsChild>
        <w:div w:id="1242064684">
          <w:marLeft w:val="0"/>
          <w:marRight w:val="0"/>
          <w:marTop w:val="0"/>
          <w:marBottom w:val="0"/>
          <w:divBdr>
            <w:top w:val="none" w:sz="0" w:space="0" w:color="auto"/>
            <w:left w:val="none" w:sz="0" w:space="0" w:color="auto"/>
            <w:bottom w:val="none" w:sz="0" w:space="0" w:color="auto"/>
            <w:right w:val="none" w:sz="0" w:space="0" w:color="auto"/>
          </w:divBdr>
          <w:divsChild>
            <w:div w:id="10805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241">
      <w:bodyDiv w:val="1"/>
      <w:marLeft w:val="0"/>
      <w:marRight w:val="0"/>
      <w:marTop w:val="0"/>
      <w:marBottom w:val="0"/>
      <w:divBdr>
        <w:top w:val="none" w:sz="0" w:space="0" w:color="auto"/>
        <w:left w:val="none" w:sz="0" w:space="0" w:color="auto"/>
        <w:bottom w:val="none" w:sz="0" w:space="0" w:color="auto"/>
        <w:right w:val="none" w:sz="0" w:space="0" w:color="auto"/>
      </w:divBdr>
    </w:div>
    <w:div w:id="950547284">
      <w:bodyDiv w:val="1"/>
      <w:marLeft w:val="0"/>
      <w:marRight w:val="0"/>
      <w:marTop w:val="0"/>
      <w:marBottom w:val="0"/>
      <w:divBdr>
        <w:top w:val="none" w:sz="0" w:space="0" w:color="auto"/>
        <w:left w:val="none" w:sz="0" w:space="0" w:color="auto"/>
        <w:bottom w:val="none" w:sz="0" w:space="0" w:color="auto"/>
        <w:right w:val="none" w:sz="0" w:space="0" w:color="auto"/>
      </w:divBdr>
    </w:div>
    <w:div w:id="972757619">
      <w:bodyDiv w:val="1"/>
      <w:marLeft w:val="0"/>
      <w:marRight w:val="0"/>
      <w:marTop w:val="0"/>
      <w:marBottom w:val="0"/>
      <w:divBdr>
        <w:top w:val="none" w:sz="0" w:space="0" w:color="auto"/>
        <w:left w:val="none" w:sz="0" w:space="0" w:color="auto"/>
        <w:bottom w:val="none" w:sz="0" w:space="0" w:color="auto"/>
        <w:right w:val="none" w:sz="0" w:space="0" w:color="auto"/>
      </w:divBdr>
      <w:divsChild>
        <w:div w:id="1671833434">
          <w:marLeft w:val="0"/>
          <w:marRight w:val="0"/>
          <w:marTop w:val="0"/>
          <w:marBottom w:val="0"/>
          <w:divBdr>
            <w:top w:val="none" w:sz="0" w:space="0" w:color="auto"/>
            <w:left w:val="none" w:sz="0" w:space="0" w:color="auto"/>
            <w:bottom w:val="none" w:sz="0" w:space="0" w:color="auto"/>
            <w:right w:val="none" w:sz="0" w:space="0" w:color="auto"/>
          </w:divBdr>
        </w:div>
      </w:divsChild>
    </w:div>
    <w:div w:id="1010254298">
      <w:bodyDiv w:val="1"/>
      <w:marLeft w:val="0"/>
      <w:marRight w:val="0"/>
      <w:marTop w:val="0"/>
      <w:marBottom w:val="0"/>
      <w:divBdr>
        <w:top w:val="none" w:sz="0" w:space="0" w:color="auto"/>
        <w:left w:val="none" w:sz="0" w:space="0" w:color="auto"/>
        <w:bottom w:val="none" w:sz="0" w:space="0" w:color="auto"/>
        <w:right w:val="none" w:sz="0" w:space="0" w:color="auto"/>
      </w:divBdr>
    </w:div>
    <w:div w:id="1011377139">
      <w:bodyDiv w:val="1"/>
      <w:marLeft w:val="0"/>
      <w:marRight w:val="0"/>
      <w:marTop w:val="0"/>
      <w:marBottom w:val="0"/>
      <w:divBdr>
        <w:top w:val="none" w:sz="0" w:space="0" w:color="auto"/>
        <w:left w:val="none" w:sz="0" w:space="0" w:color="auto"/>
        <w:bottom w:val="none" w:sz="0" w:space="0" w:color="auto"/>
        <w:right w:val="none" w:sz="0" w:space="0" w:color="auto"/>
      </w:divBdr>
      <w:divsChild>
        <w:div w:id="406150479">
          <w:marLeft w:val="0"/>
          <w:marRight w:val="0"/>
          <w:marTop w:val="0"/>
          <w:marBottom w:val="0"/>
          <w:divBdr>
            <w:top w:val="none" w:sz="0" w:space="0" w:color="auto"/>
            <w:left w:val="none" w:sz="0" w:space="0" w:color="auto"/>
            <w:bottom w:val="none" w:sz="0" w:space="0" w:color="auto"/>
            <w:right w:val="none" w:sz="0" w:space="0" w:color="auto"/>
          </w:divBdr>
        </w:div>
      </w:divsChild>
    </w:div>
    <w:div w:id="1016156544">
      <w:bodyDiv w:val="1"/>
      <w:marLeft w:val="0"/>
      <w:marRight w:val="0"/>
      <w:marTop w:val="0"/>
      <w:marBottom w:val="0"/>
      <w:divBdr>
        <w:top w:val="none" w:sz="0" w:space="0" w:color="auto"/>
        <w:left w:val="none" w:sz="0" w:space="0" w:color="auto"/>
        <w:bottom w:val="none" w:sz="0" w:space="0" w:color="auto"/>
        <w:right w:val="none" w:sz="0" w:space="0" w:color="auto"/>
      </w:divBdr>
    </w:div>
    <w:div w:id="1034430477">
      <w:bodyDiv w:val="1"/>
      <w:marLeft w:val="0"/>
      <w:marRight w:val="0"/>
      <w:marTop w:val="0"/>
      <w:marBottom w:val="0"/>
      <w:divBdr>
        <w:top w:val="none" w:sz="0" w:space="0" w:color="auto"/>
        <w:left w:val="none" w:sz="0" w:space="0" w:color="auto"/>
        <w:bottom w:val="none" w:sz="0" w:space="0" w:color="auto"/>
        <w:right w:val="none" w:sz="0" w:space="0" w:color="auto"/>
      </w:divBdr>
      <w:divsChild>
        <w:div w:id="224528343">
          <w:marLeft w:val="0"/>
          <w:marRight w:val="0"/>
          <w:marTop w:val="0"/>
          <w:marBottom w:val="0"/>
          <w:divBdr>
            <w:top w:val="none" w:sz="0" w:space="0" w:color="auto"/>
            <w:left w:val="none" w:sz="0" w:space="0" w:color="auto"/>
            <w:bottom w:val="none" w:sz="0" w:space="0" w:color="auto"/>
            <w:right w:val="none" w:sz="0" w:space="0" w:color="auto"/>
          </w:divBdr>
        </w:div>
      </w:divsChild>
    </w:div>
    <w:div w:id="1060054543">
      <w:bodyDiv w:val="1"/>
      <w:marLeft w:val="0"/>
      <w:marRight w:val="0"/>
      <w:marTop w:val="0"/>
      <w:marBottom w:val="0"/>
      <w:divBdr>
        <w:top w:val="none" w:sz="0" w:space="0" w:color="auto"/>
        <w:left w:val="none" w:sz="0" w:space="0" w:color="auto"/>
        <w:bottom w:val="none" w:sz="0" w:space="0" w:color="auto"/>
        <w:right w:val="none" w:sz="0" w:space="0" w:color="auto"/>
      </w:divBdr>
      <w:divsChild>
        <w:div w:id="298993691">
          <w:marLeft w:val="0"/>
          <w:marRight w:val="0"/>
          <w:marTop w:val="0"/>
          <w:marBottom w:val="0"/>
          <w:divBdr>
            <w:top w:val="none" w:sz="0" w:space="0" w:color="auto"/>
            <w:left w:val="none" w:sz="0" w:space="0" w:color="auto"/>
            <w:bottom w:val="none" w:sz="0" w:space="0" w:color="auto"/>
            <w:right w:val="none" w:sz="0" w:space="0" w:color="auto"/>
          </w:divBdr>
        </w:div>
      </w:divsChild>
    </w:div>
    <w:div w:id="1068914565">
      <w:bodyDiv w:val="1"/>
      <w:marLeft w:val="0"/>
      <w:marRight w:val="0"/>
      <w:marTop w:val="0"/>
      <w:marBottom w:val="0"/>
      <w:divBdr>
        <w:top w:val="none" w:sz="0" w:space="0" w:color="auto"/>
        <w:left w:val="none" w:sz="0" w:space="0" w:color="auto"/>
        <w:bottom w:val="none" w:sz="0" w:space="0" w:color="auto"/>
        <w:right w:val="none" w:sz="0" w:space="0" w:color="auto"/>
      </w:divBdr>
      <w:divsChild>
        <w:div w:id="309604123">
          <w:marLeft w:val="0"/>
          <w:marRight w:val="0"/>
          <w:marTop w:val="0"/>
          <w:marBottom w:val="0"/>
          <w:divBdr>
            <w:top w:val="none" w:sz="0" w:space="0" w:color="auto"/>
            <w:left w:val="none" w:sz="0" w:space="0" w:color="auto"/>
            <w:bottom w:val="none" w:sz="0" w:space="0" w:color="auto"/>
            <w:right w:val="none" w:sz="0" w:space="0" w:color="auto"/>
          </w:divBdr>
        </w:div>
      </w:divsChild>
    </w:div>
    <w:div w:id="1097824531">
      <w:bodyDiv w:val="1"/>
      <w:marLeft w:val="0"/>
      <w:marRight w:val="0"/>
      <w:marTop w:val="0"/>
      <w:marBottom w:val="0"/>
      <w:divBdr>
        <w:top w:val="none" w:sz="0" w:space="0" w:color="auto"/>
        <w:left w:val="none" w:sz="0" w:space="0" w:color="auto"/>
        <w:bottom w:val="none" w:sz="0" w:space="0" w:color="auto"/>
        <w:right w:val="none" w:sz="0" w:space="0" w:color="auto"/>
      </w:divBdr>
    </w:div>
    <w:div w:id="1112170687">
      <w:bodyDiv w:val="1"/>
      <w:marLeft w:val="0"/>
      <w:marRight w:val="0"/>
      <w:marTop w:val="0"/>
      <w:marBottom w:val="0"/>
      <w:divBdr>
        <w:top w:val="none" w:sz="0" w:space="0" w:color="auto"/>
        <w:left w:val="none" w:sz="0" w:space="0" w:color="auto"/>
        <w:bottom w:val="none" w:sz="0" w:space="0" w:color="auto"/>
        <w:right w:val="none" w:sz="0" w:space="0" w:color="auto"/>
      </w:divBdr>
      <w:divsChild>
        <w:div w:id="1556700532">
          <w:marLeft w:val="0"/>
          <w:marRight w:val="0"/>
          <w:marTop w:val="0"/>
          <w:marBottom w:val="0"/>
          <w:divBdr>
            <w:top w:val="none" w:sz="0" w:space="0" w:color="auto"/>
            <w:left w:val="none" w:sz="0" w:space="0" w:color="auto"/>
            <w:bottom w:val="none" w:sz="0" w:space="0" w:color="auto"/>
            <w:right w:val="none" w:sz="0" w:space="0" w:color="auto"/>
          </w:divBdr>
          <w:divsChild>
            <w:div w:id="5659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5512">
      <w:bodyDiv w:val="1"/>
      <w:marLeft w:val="0"/>
      <w:marRight w:val="0"/>
      <w:marTop w:val="0"/>
      <w:marBottom w:val="0"/>
      <w:divBdr>
        <w:top w:val="none" w:sz="0" w:space="0" w:color="auto"/>
        <w:left w:val="none" w:sz="0" w:space="0" w:color="auto"/>
        <w:bottom w:val="none" w:sz="0" w:space="0" w:color="auto"/>
        <w:right w:val="none" w:sz="0" w:space="0" w:color="auto"/>
      </w:divBdr>
    </w:div>
    <w:div w:id="1171917417">
      <w:bodyDiv w:val="1"/>
      <w:marLeft w:val="0"/>
      <w:marRight w:val="0"/>
      <w:marTop w:val="0"/>
      <w:marBottom w:val="0"/>
      <w:divBdr>
        <w:top w:val="none" w:sz="0" w:space="0" w:color="auto"/>
        <w:left w:val="none" w:sz="0" w:space="0" w:color="auto"/>
        <w:bottom w:val="none" w:sz="0" w:space="0" w:color="auto"/>
        <w:right w:val="none" w:sz="0" w:space="0" w:color="auto"/>
      </w:divBdr>
      <w:divsChild>
        <w:div w:id="848177150">
          <w:marLeft w:val="0"/>
          <w:marRight w:val="0"/>
          <w:marTop w:val="0"/>
          <w:marBottom w:val="0"/>
          <w:divBdr>
            <w:top w:val="none" w:sz="0" w:space="0" w:color="auto"/>
            <w:left w:val="none" w:sz="0" w:space="0" w:color="auto"/>
            <w:bottom w:val="none" w:sz="0" w:space="0" w:color="auto"/>
            <w:right w:val="none" w:sz="0" w:space="0" w:color="auto"/>
          </w:divBdr>
        </w:div>
      </w:divsChild>
    </w:div>
    <w:div w:id="1200320629">
      <w:bodyDiv w:val="1"/>
      <w:marLeft w:val="0"/>
      <w:marRight w:val="0"/>
      <w:marTop w:val="0"/>
      <w:marBottom w:val="0"/>
      <w:divBdr>
        <w:top w:val="none" w:sz="0" w:space="0" w:color="auto"/>
        <w:left w:val="none" w:sz="0" w:space="0" w:color="auto"/>
        <w:bottom w:val="none" w:sz="0" w:space="0" w:color="auto"/>
        <w:right w:val="none" w:sz="0" w:space="0" w:color="auto"/>
      </w:divBdr>
    </w:div>
    <w:div w:id="1219322283">
      <w:bodyDiv w:val="1"/>
      <w:marLeft w:val="0"/>
      <w:marRight w:val="0"/>
      <w:marTop w:val="0"/>
      <w:marBottom w:val="0"/>
      <w:divBdr>
        <w:top w:val="none" w:sz="0" w:space="0" w:color="auto"/>
        <w:left w:val="none" w:sz="0" w:space="0" w:color="auto"/>
        <w:bottom w:val="none" w:sz="0" w:space="0" w:color="auto"/>
        <w:right w:val="none" w:sz="0" w:space="0" w:color="auto"/>
      </w:divBdr>
      <w:divsChild>
        <w:div w:id="1585603212">
          <w:marLeft w:val="0"/>
          <w:marRight w:val="0"/>
          <w:marTop w:val="0"/>
          <w:marBottom w:val="0"/>
          <w:divBdr>
            <w:top w:val="none" w:sz="0" w:space="0" w:color="auto"/>
            <w:left w:val="none" w:sz="0" w:space="0" w:color="auto"/>
            <w:bottom w:val="none" w:sz="0" w:space="0" w:color="auto"/>
            <w:right w:val="none" w:sz="0" w:space="0" w:color="auto"/>
          </w:divBdr>
        </w:div>
      </w:divsChild>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sChild>
        <w:div w:id="1325742216">
          <w:marLeft w:val="0"/>
          <w:marRight w:val="0"/>
          <w:marTop w:val="0"/>
          <w:marBottom w:val="0"/>
          <w:divBdr>
            <w:top w:val="none" w:sz="0" w:space="0" w:color="auto"/>
            <w:left w:val="none" w:sz="0" w:space="0" w:color="auto"/>
            <w:bottom w:val="none" w:sz="0" w:space="0" w:color="auto"/>
            <w:right w:val="none" w:sz="0" w:space="0" w:color="auto"/>
          </w:divBdr>
          <w:divsChild>
            <w:div w:id="18464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9605">
      <w:bodyDiv w:val="1"/>
      <w:marLeft w:val="0"/>
      <w:marRight w:val="0"/>
      <w:marTop w:val="0"/>
      <w:marBottom w:val="0"/>
      <w:divBdr>
        <w:top w:val="none" w:sz="0" w:space="0" w:color="auto"/>
        <w:left w:val="none" w:sz="0" w:space="0" w:color="auto"/>
        <w:bottom w:val="none" w:sz="0" w:space="0" w:color="auto"/>
        <w:right w:val="none" w:sz="0" w:space="0" w:color="auto"/>
      </w:divBdr>
      <w:divsChild>
        <w:div w:id="2032337298">
          <w:marLeft w:val="0"/>
          <w:marRight w:val="0"/>
          <w:marTop w:val="0"/>
          <w:marBottom w:val="0"/>
          <w:divBdr>
            <w:top w:val="none" w:sz="0" w:space="0" w:color="auto"/>
            <w:left w:val="none" w:sz="0" w:space="0" w:color="auto"/>
            <w:bottom w:val="none" w:sz="0" w:space="0" w:color="auto"/>
            <w:right w:val="none" w:sz="0" w:space="0" w:color="auto"/>
          </w:divBdr>
        </w:div>
      </w:divsChild>
    </w:div>
    <w:div w:id="1292321648">
      <w:bodyDiv w:val="1"/>
      <w:marLeft w:val="0"/>
      <w:marRight w:val="0"/>
      <w:marTop w:val="0"/>
      <w:marBottom w:val="0"/>
      <w:divBdr>
        <w:top w:val="none" w:sz="0" w:space="0" w:color="auto"/>
        <w:left w:val="none" w:sz="0" w:space="0" w:color="auto"/>
        <w:bottom w:val="none" w:sz="0" w:space="0" w:color="auto"/>
        <w:right w:val="none" w:sz="0" w:space="0" w:color="auto"/>
      </w:divBdr>
      <w:divsChild>
        <w:div w:id="1504467132">
          <w:marLeft w:val="0"/>
          <w:marRight w:val="0"/>
          <w:marTop w:val="0"/>
          <w:marBottom w:val="0"/>
          <w:divBdr>
            <w:top w:val="none" w:sz="0" w:space="0" w:color="auto"/>
            <w:left w:val="none" w:sz="0" w:space="0" w:color="auto"/>
            <w:bottom w:val="none" w:sz="0" w:space="0" w:color="auto"/>
            <w:right w:val="none" w:sz="0" w:space="0" w:color="auto"/>
          </w:divBdr>
        </w:div>
      </w:divsChild>
    </w:div>
    <w:div w:id="1309633025">
      <w:bodyDiv w:val="1"/>
      <w:marLeft w:val="0"/>
      <w:marRight w:val="0"/>
      <w:marTop w:val="0"/>
      <w:marBottom w:val="0"/>
      <w:divBdr>
        <w:top w:val="none" w:sz="0" w:space="0" w:color="auto"/>
        <w:left w:val="none" w:sz="0" w:space="0" w:color="auto"/>
        <w:bottom w:val="none" w:sz="0" w:space="0" w:color="auto"/>
        <w:right w:val="none" w:sz="0" w:space="0" w:color="auto"/>
      </w:divBdr>
    </w:div>
    <w:div w:id="1320310486">
      <w:bodyDiv w:val="1"/>
      <w:marLeft w:val="0"/>
      <w:marRight w:val="0"/>
      <w:marTop w:val="0"/>
      <w:marBottom w:val="0"/>
      <w:divBdr>
        <w:top w:val="none" w:sz="0" w:space="0" w:color="auto"/>
        <w:left w:val="none" w:sz="0" w:space="0" w:color="auto"/>
        <w:bottom w:val="none" w:sz="0" w:space="0" w:color="auto"/>
        <w:right w:val="none" w:sz="0" w:space="0" w:color="auto"/>
      </w:divBdr>
    </w:div>
    <w:div w:id="1347363685">
      <w:bodyDiv w:val="1"/>
      <w:marLeft w:val="0"/>
      <w:marRight w:val="0"/>
      <w:marTop w:val="0"/>
      <w:marBottom w:val="0"/>
      <w:divBdr>
        <w:top w:val="none" w:sz="0" w:space="0" w:color="auto"/>
        <w:left w:val="none" w:sz="0" w:space="0" w:color="auto"/>
        <w:bottom w:val="none" w:sz="0" w:space="0" w:color="auto"/>
        <w:right w:val="none" w:sz="0" w:space="0" w:color="auto"/>
      </w:divBdr>
      <w:divsChild>
        <w:div w:id="1716736491">
          <w:marLeft w:val="0"/>
          <w:marRight w:val="0"/>
          <w:marTop w:val="0"/>
          <w:marBottom w:val="0"/>
          <w:divBdr>
            <w:top w:val="none" w:sz="0" w:space="0" w:color="auto"/>
            <w:left w:val="none" w:sz="0" w:space="0" w:color="auto"/>
            <w:bottom w:val="none" w:sz="0" w:space="0" w:color="auto"/>
            <w:right w:val="none" w:sz="0" w:space="0" w:color="auto"/>
          </w:divBdr>
          <w:divsChild>
            <w:div w:id="156266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21749">
      <w:bodyDiv w:val="1"/>
      <w:marLeft w:val="0"/>
      <w:marRight w:val="0"/>
      <w:marTop w:val="0"/>
      <w:marBottom w:val="0"/>
      <w:divBdr>
        <w:top w:val="none" w:sz="0" w:space="0" w:color="auto"/>
        <w:left w:val="none" w:sz="0" w:space="0" w:color="auto"/>
        <w:bottom w:val="none" w:sz="0" w:space="0" w:color="auto"/>
        <w:right w:val="none" w:sz="0" w:space="0" w:color="auto"/>
      </w:divBdr>
    </w:div>
    <w:div w:id="1422490671">
      <w:bodyDiv w:val="1"/>
      <w:marLeft w:val="0"/>
      <w:marRight w:val="0"/>
      <w:marTop w:val="0"/>
      <w:marBottom w:val="0"/>
      <w:divBdr>
        <w:top w:val="none" w:sz="0" w:space="0" w:color="auto"/>
        <w:left w:val="none" w:sz="0" w:space="0" w:color="auto"/>
        <w:bottom w:val="none" w:sz="0" w:space="0" w:color="auto"/>
        <w:right w:val="none" w:sz="0" w:space="0" w:color="auto"/>
      </w:divBdr>
      <w:divsChild>
        <w:div w:id="1127236618">
          <w:marLeft w:val="0"/>
          <w:marRight w:val="0"/>
          <w:marTop w:val="0"/>
          <w:marBottom w:val="0"/>
          <w:divBdr>
            <w:top w:val="none" w:sz="0" w:space="0" w:color="auto"/>
            <w:left w:val="none" w:sz="0" w:space="0" w:color="auto"/>
            <w:bottom w:val="none" w:sz="0" w:space="0" w:color="auto"/>
            <w:right w:val="none" w:sz="0" w:space="0" w:color="auto"/>
          </w:divBdr>
        </w:div>
      </w:divsChild>
    </w:div>
    <w:div w:id="1446846144">
      <w:bodyDiv w:val="1"/>
      <w:marLeft w:val="0"/>
      <w:marRight w:val="0"/>
      <w:marTop w:val="0"/>
      <w:marBottom w:val="0"/>
      <w:divBdr>
        <w:top w:val="none" w:sz="0" w:space="0" w:color="auto"/>
        <w:left w:val="none" w:sz="0" w:space="0" w:color="auto"/>
        <w:bottom w:val="none" w:sz="0" w:space="0" w:color="auto"/>
        <w:right w:val="none" w:sz="0" w:space="0" w:color="auto"/>
      </w:divBdr>
      <w:divsChild>
        <w:div w:id="19018781">
          <w:marLeft w:val="0"/>
          <w:marRight w:val="0"/>
          <w:marTop w:val="0"/>
          <w:marBottom w:val="0"/>
          <w:divBdr>
            <w:top w:val="none" w:sz="0" w:space="0" w:color="auto"/>
            <w:left w:val="none" w:sz="0" w:space="0" w:color="auto"/>
            <w:bottom w:val="none" w:sz="0" w:space="0" w:color="auto"/>
            <w:right w:val="none" w:sz="0" w:space="0" w:color="auto"/>
          </w:divBdr>
        </w:div>
      </w:divsChild>
    </w:div>
    <w:div w:id="1449276207">
      <w:bodyDiv w:val="1"/>
      <w:marLeft w:val="0"/>
      <w:marRight w:val="0"/>
      <w:marTop w:val="0"/>
      <w:marBottom w:val="0"/>
      <w:divBdr>
        <w:top w:val="none" w:sz="0" w:space="0" w:color="auto"/>
        <w:left w:val="none" w:sz="0" w:space="0" w:color="auto"/>
        <w:bottom w:val="none" w:sz="0" w:space="0" w:color="auto"/>
        <w:right w:val="none" w:sz="0" w:space="0" w:color="auto"/>
      </w:divBdr>
      <w:divsChild>
        <w:div w:id="726492439">
          <w:marLeft w:val="0"/>
          <w:marRight w:val="0"/>
          <w:marTop w:val="0"/>
          <w:marBottom w:val="0"/>
          <w:divBdr>
            <w:top w:val="none" w:sz="0" w:space="0" w:color="auto"/>
            <w:left w:val="none" w:sz="0" w:space="0" w:color="auto"/>
            <w:bottom w:val="none" w:sz="0" w:space="0" w:color="auto"/>
            <w:right w:val="none" w:sz="0" w:space="0" w:color="auto"/>
          </w:divBdr>
        </w:div>
      </w:divsChild>
    </w:div>
    <w:div w:id="1455909281">
      <w:bodyDiv w:val="1"/>
      <w:marLeft w:val="0"/>
      <w:marRight w:val="0"/>
      <w:marTop w:val="0"/>
      <w:marBottom w:val="0"/>
      <w:divBdr>
        <w:top w:val="none" w:sz="0" w:space="0" w:color="auto"/>
        <w:left w:val="none" w:sz="0" w:space="0" w:color="auto"/>
        <w:bottom w:val="none" w:sz="0" w:space="0" w:color="auto"/>
        <w:right w:val="none" w:sz="0" w:space="0" w:color="auto"/>
      </w:divBdr>
    </w:div>
    <w:div w:id="1470898680">
      <w:bodyDiv w:val="1"/>
      <w:marLeft w:val="0"/>
      <w:marRight w:val="0"/>
      <w:marTop w:val="0"/>
      <w:marBottom w:val="0"/>
      <w:divBdr>
        <w:top w:val="none" w:sz="0" w:space="0" w:color="auto"/>
        <w:left w:val="none" w:sz="0" w:space="0" w:color="auto"/>
        <w:bottom w:val="none" w:sz="0" w:space="0" w:color="auto"/>
        <w:right w:val="none" w:sz="0" w:space="0" w:color="auto"/>
      </w:divBdr>
      <w:divsChild>
        <w:div w:id="132722950">
          <w:marLeft w:val="0"/>
          <w:marRight w:val="0"/>
          <w:marTop w:val="0"/>
          <w:marBottom w:val="0"/>
          <w:divBdr>
            <w:top w:val="none" w:sz="0" w:space="0" w:color="auto"/>
            <w:left w:val="none" w:sz="0" w:space="0" w:color="auto"/>
            <w:bottom w:val="none" w:sz="0" w:space="0" w:color="auto"/>
            <w:right w:val="none" w:sz="0" w:space="0" w:color="auto"/>
          </w:divBdr>
        </w:div>
      </w:divsChild>
    </w:div>
    <w:div w:id="1482885871">
      <w:bodyDiv w:val="1"/>
      <w:marLeft w:val="0"/>
      <w:marRight w:val="0"/>
      <w:marTop w:val="0"/>
      <w:marBottom w:val="0"/>
      <w:divBdr>
        <w:top w:val="none" w:sz="0" w:space="0" w:color="auto"/>
        <w:left w:val="none" w:sz="0" w:space="0" w:color="auto"/>
        <w:bottom w:val="none" w:sz="0" w:space="0" w:color="auto"/>
        <w:right w:val="none" w:sz="0" w:space="0" w:color="auto"/>
      </w:divBdr>
      <w:divsChild>
        <w:div w:id="146750691">
          <w:marLeft w:val="0"/>
          <w:marRight w:val="0"/>
          <w:marTop w:val="0"/>
          <w:marBottom w:val="0"/>
          <w:divBdr>
            <w:top w:val="none" w:sz="0" w:space="0" w:color="auto"/>
            <w:left w:val="none" w:sz="0" w:space="0" w:color="auto"/>
            <w:bottom w:val="none" w:sz="0" w:space="0" w:color="auto"/>
            <w:right w:val="none" w:sz="0" w:space="0" w:color="auto"/>
          </w:divBdr>
        </w:div>
      </w:divsChild>
    </w:div>
    <w:div w:id="1497452351">
      <w:bodyDiv w:val="1"/>
      <w:marLeft w:val="0"/>
      <w:marRight w:val="0"/>
      <w:marTop w:val="0"/>
      <w:marBottom w:val="0"/>
      <w:divBdr>
        <w:top w:val="none" w:sz="0" w:space="0" w:color="auto"/>
        <w:left w:val="none" w:sz="0" w:space="0" w:color="auto"/>
        <w:bottom w:val="none" w:sz="0" w:space="0" w:color="auto"/>
        <w:right w:val="none" w:sz="0" w:space="0" w:color="auto"/>
      </w:divBdr>
      <w:divsChild>
        <w:div w:id="1440100374">
          <w:marLeft w:val="0"/>
          <w:marRight w:val="0"/>
          <w:marTop w:val="0"/>
          <w:marBottom w:val="0"/>
          <w:divBdr>
            <w:top w:val="none" w:sz="0" w:space="0" w:color="auto"/>
            <w:left w:val="none" w:sz="0" w:space="0" w:color="auto"/>
            <w:bottom w:val="none" w:sz="0" w:space="0" w:color="auto"/>
            <w:right w:val="none" w:sz="0" w:space="0" w:color="auto"/>
          </w:divBdr>
        </w:div>
      </w:divsChild>
    </w:div>
    <w:div w:id="1501309414">
      <w:bodyDiv w:val="1"/>
      <w:marLeft w:val="0"/>
      <w:marRight w:val="0"/>
      <w:marTop w:val="0"/>
      <w:marBottom w:val="0"/>
      <w:divBdr>
        <w:top w:val="none" w:sz="0" w:space="0" w:color="auto"/>
        <w:left w:val="none" w:sz="0" w:space="0" w:color="auto"/>
        <w:bottom w:val="none" w:sz="0" w:space="0" w:color="auto"/>
        <w:right w:val="none" w:sz="0" w:space="0" w:color="auto"/>
      </w:divBdr>
    </w:div>
    <w:div w:id="1508330460">
      <w:bodyDiv w:val="1"/>
      <w:marLeft w:val="0"/>
      <w:marRight w:val="0"/>
      <w:marTop w:val="0"/>
      <w:marBottom w:val="0"/>
      <w:divBdr>
        <w:top w:val="none" w:sz="0" w:space="0" w:color="auto"/>
        <w:left w:val="none" w:sz="0" w:space="0" w:color="auto"/>
        <w:bottom w:val="none" w:sz="0" w:space="0" w:color="auto"/>
        <w:right w:val="none" w:sz="0" w:space="0" w:color="auto"/>
      </w:divBdr>
      <w:divsChild>
        <w:div w:id="1966156532">
          <w:marLeft w:val="0"/>
          <w:marRight w:val="0"/>
          <w:marTop w:val="0"/>
          <w:marBottom w:val="0"/>
          <w:divBdr>
            <w:top w:val="none" w:sz="0" w:space="0" w:color="auto"/>
            <w:left w:val="none" w:sz="0" w:space="0" w:color="auto"/>
            <w:bottom w:val="none" w:sz="0" w:space="0" w:color="auto"/>
            <w:right w:val="none" w:sz="0" w:space="0" w:color="auto"/>
          </w:divBdr>
        </w:div>
      </w:divsChild>
    </w:div>
    <w:div w:id="1528759657">
      <w:bodyDiv w:val="1"/>
      <w:marLeft w:val="0"/>
      <w:marRight w:val="0"/>
      <w:marTop w:val="0"/>
      <w:marBottom w:val="0"/>
      <w:divBdr>
        <w:top w:val="none" w:sz="0" w:space="0" w:color="auto"/>
        <w:left w:val="none" w:sz="0" w:space="0" w:color="auto"/>
        <w:bottom w:val="none" w:sz="0" w:space="0" w:color="auto"/>
        <w:right w:val="none" w:sz="0" w:space="0" w:color="auto"/>
      </w:divBdr>
      <w:divsChild>
        <w:div w:id="1822233437">
          <w:marLeft w:val="0"/>
          <w:marRight w:val="0"/>
          <w:marTop w:val="0"/>
          <w:marBottom w:val="0"/>
          <w:divBdr>
            <w:top w:val="none" w:sz="0" w:space="0" w:color="auto"/>
            <w:left w:val="none" w:sz="0" w:space="0" w:color="auto"/>
            <w:bottom w:val="none" w:sz="0" w:space="0" w:color="auto"/>
            <w:right w:val="none" w:sz="0" w:space="0" w:color="auto"/>
          </w:divBdr>
          <w:divsChild>
            <w:div w:id="19020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01373">
      <w:bodyDiv w:val="1"/>
      <w:marLeft w:val="0"/>
      <w:marRight w:val="0"/>
      <w:marTop w:val="0"/>
      <w:marBottom w:val="0"/>
      <w:divBdr>
        <w:top w:val="none" w:sz="0" w:space="0" w:color="auto"/>
        <w:left w:val="none" w:sz="0" w:space="0" w:color="auto"/>
        <w:bottom w:val="none" w:sz="0" w:space="0" w:color="auto"/>
        <w:right w:val="none" w:sz="0" w:space="0" w:color="auto"/>
      </w:divBdr>
      <w:divsChild>
        <w:div w:id="1373771907">
          <w:marLeft w:val="0"/>
          <w:marRight w:val="0"/>
          <w:marTop w:val="0"/>
          <w:marBottom w:val="0"/>
          <w:divBdr>
            <w:top w:val="none" w:sz="0" w:space="0" w:color="auto"/>
            <w:left w:val="none" w:sz="0" w:space="0" w:color="auto"/>
            <w:bottom w:val="none" w:sz="0" w:space="0" w:color="auto"/>
            <w:right w:val="none" w:sz="0" w:space="0" w:color="auto"/>
          </w:divBdr>
        </w:div>
      </w:divsChild>
    </w:div>
    <w:div w:id="1647667221">
      <w:bodyDiv w:val="1"/>
      <w:marLeft w:val="0"/>
      <w:marRight w:val="0"/>
      <w:marTop w:val="0"/>
      <w:marBottom w:val="0"/>
      <w:divBdr>
        <w:top w:val="none" w:sz="0" w:space="0" w:color="auto"/>
        <w:left w:val="none" w:sz="0" w:space="0" w:color="auto"/>
        <w:bottom w:val="none" w:sz="0" w:space="0" w:color="auto"/>
        <w:right w:val="none" w:sz="0" w:space="0" w:color="auto"/>
      </w:divBdr>
    </w:div>
    <w:div w:id="1650131737">
      <w:bodyDiv w:val="1"/>
      <w:marLeft w:val="0"/>
      <w:marRight w:val="0"/>
      <w:marTop w:val="0"/>
      <w:marBottom w:val="0"/>
      <w:divBdr>
        <w:top w:val="none" w:sz="0" w:space="0" w:color="auto"/>
        <w:left w:val="none" w:sz="0" w:space="0" w:color="auto"/>
        <w:bottom w:val="none" w:sz="0" w:space="0" w:color="auto"/>
        <w:right w:val="none" w:sz="0" w:space="0" w:color="auto"/>
      </w:divBdr>
      <w:divsChild>
        <w:div w:id="311636721">
          <w:marLeft w:val="0"/>
          <w:marRight w:val="0"/>
          <w:marTop w:val="0"/>
          <w:marBottom w:val="0"/>
          <w:divBdr>
            <w:top w:val="none" w:sz="0" w:space="0" w:color="auto"/>
            <w:left w:val="none" w:sz="0" w:space="0" w:color="auto"/>
            <w:bottom w:val="none" w:sz="0" w:space="0" w:color="auto"/>
            <w:right w:val="none" w:sz="0" w:space="0" w:color="auto"/>
          </w:divBdr>
        </w:div>
      </w:divsChild>
    </w:div>
    <w:div w:id="1657686376">
      <w:bodyDiv w:val="1"/>
      <w:marLeft w:val="0"/>
      <w:marRight w:val="0"/>
      <w:marTop w:val="0"/>
      <w:marBottom w:val="0"/>
      <w:divBdr>
        <w:top w:val="none" w:sz="0" w:space="0" w:color="auto"/>
        <w:left w:val="none" w:sz="0" w:space="0" w:color="auto"/>
        <w:bottom w:val="none" w:sz="0" w:space="0" w:color="auto"/>
        <w:right w:val="none" w:sz="0" w:space="0" w:color="auto"/>
      </w:divBdr>
    </w:div>
    <w:div w:id="1683779156">
      <w:bodyDiv w:val="1"/>
      <w:marLeft w:val="0"/>
      <w:marRight w:val="0"/>
      <w:marTop w:val="0"/>
      <w:marBottom w:val="0"/>
      <w:divBdr>
        <w:top w:val="none" w:sz="0" w:space="0" w:color="auto"/>
        <w:left w:val="none" w:sz="0" w:space="0" w:color="auto"/>
        <w:bottom w:val="none" w:sz="0" w:space="0" w:color="auto"/>
        <w:right w:val="none" w:sz="0" w:space="0" w:color="auto"/>
      </w:divBdr>
      <w:divsChild>
        <w:div w:id="688145275">
          <w:marLeft w:val="0"/>
          <w:marRight w:val="0"/>
          <w:marTop w:val="0"/>
          <w:marBottom w:val="0"/>
          <w:divBdr>
            <w:top w:val="none" w:sz="0" w:space="0" w:color="auto"/>
            <w:left w:val="none" w:sz="0" w:space="0" w:color="auto"/>
            <w:bottom w:val="none" w:sz="0" w:space="0" w:color="auto"/>
            <w:right w:val="none" w:sz="0" w:space="0" w:color="auto"/>
          </w:divBdr>
          <w:divsChild>
            <w:div w:id="45937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148">
      <w:bodyDiv w:val="1"/>
      <w:marLeft w:val="0"/>
      <w:marRight w:val="0"/>
      <w:marTop w:val="0"/>
      <w:marBottom w:val="0"/>
      <w:divBdr>
        <w:top w:val="none" w:sz="0" w:space="0" w:color="auto"/>
        <w:left w:val="none" w:sz="0" w:space="0" w:color="auto"/>
        <w:bottom w:val="none" w:sz="0" w:space="0" w:color="auto"/>
        <w:right w:val="none" w:sz="0" w:space="0" w:color="auto"/>
      </w:divBdr>
    </w:div>
    <w:div w:id="1727490983">
      <w:bodyDiv w:val="1"/>
      <w:marLeft w:val="0"/>
      <w:marRight w:val="0"/>
      <w:marTop w:val="0"/>
      <w:marBottom w:val="0"/>
      <w:divBdr>
        <w:top w:val="none" w:sz="0" w:space="0" w:color="auto"/>
        <w:left w:val="none" w:sz="0" w:space="0" w:color="auto"/>
        <w:bottom w:val="none" w:sz="0" w:space="0" w:color="auto"/>
        <w:right w:val="none" w:sz="0" w:space="0" w:color="auto"/>
      </w:divBdr>
    </w:div>
    <w:div w:id="1733310891">
      <w:bodyDiv w:val="1"/>
      <w:marLeft w:val="0"/>
      <w:marRight w:val="0"/>
      <w:marTop w:val="0"/>
      <w:marBottom w:val="0"/>
      <w:divBdr>
        <w:top w:val="none" w:sz="0" w:space="0" w:color="auto"/>
        <w:left w:val="none" w:sz="0" w:space="0" w:color="auto"/>
        <w:bottom w:val="none" w:sz="0" w:space="0" w:color="auto"/>
        <w:right w:val="none" w:sz="0" w:space="0" w:color="auto"/>
      </w:divBdr>
    </w:div>
    <w:div w:id="1734691187">
      <w:bodyDiv w:val="1"/>
      <w:marLeft w:val="0"/>
      <w:marRight w:val="0"/>
      <w:marTop w:val="0"/>
      <w:marBottom w:val="0"/>
      <w:divBdr>
        <w:top w:val="none" w:sz="0" w:space="0" w:color="auto"/>
        <w:left w:val="none" w:sz="0" w:space="0" w:color="auto"/>
        <w:bottom w:val="none" w:sz="0" w:space="0" w:color="auto"/>
        <w:right w:val="none" w:sz="0" w:space="0" w:color="auto"/>
      </w:divBdr>
    </w:div>
    <w:div w:id="1799452893">
      <w:bodyDiv w:val="1"/>
      <w:marLeft w:val="0"/>
      <w:marRight w:val="0"/>
      <w:marTop w:val="0"/>
      <w:marBottom w:val="0"/>
      <w:divBdr>
        <w:top w:val="none" w:sz="0" w:space="0" w:color="auto"/>
        <w:left w:val="none" w:sz="0" w:space="0" w:color="auto"/>
        <w:bottom w:val="none" w:sz="0" w:space="0" w:color="auto"/>
        <w:right w:val="none" w:sz="0" w:space="0" w:color="auto"/>
      </w:divBdr>
    </w:div>
    <w:div w:id="1824152114">
      <w:bodyDiv w:val="1"/>
      <w:marLeft w:val="0"/>
      <w:marRight w:val="0"/>
      <w:marTop w:val="0"/>
      <w:marBottom w:val="0"/>
      <w:divBdr>
        <w:top w:val="none" w:sz="0" w:space="0" w:color="auto"/>
        <w:left w:val="none" w:sz="0" w:space="0" w:color="auto"/>
        <w:bottom w:val="none" w:sz="0" w:space="0" w:color="auto"/>
        <w:right w:val="none" w:sz="0" w:space="0" w:color="auto"/>
      </w:divBdr>
    </w:div>
    <w:div w:id="1827162820">
      <w:bodyDiv w:val="1"/>
      <w:marLeft w:val="0"/>
      <w:marRight w:val="0"/>
      <w:marTop w:val="0"/>
      <w:marBottom w:val="0"/>
      <w:divBdr>
        <w:top w:val="none" w:sz="0" w:space="0" w:color="auto"/>
        <w:left w:val="none" w:sz="0" w:space="0" w:color="auto"/>
        <w:bottom w:val="none" w:sz="0" w:space="0" w:color="auto"/>
        <w:right w:val="none" w:sz="0" w:space="0" w:color="auto"/>
      </w:divBdr>
      <w:divsChild>
        <w:div w:id="894774304">
          <w:marLeft w:val="0"/>
          <w:marRight w:val="0"/>
          <w:marTop w:val="0"/>
          <w:marBottom w:val="0"/>
          <w:divBdr>
            <w:top w:val="none" w:sz="0" w:space="0" w:color="auto"/>
            <w:left w:val="none" w:sz="0" w:space="0" w:color="auto"/>
            <w:bottom w:val="none" w:sz="0" w:space="0" w:color="auto"/>
            <w:right w:val="none" w:sz="0" w:space="0" w:color="auto"/>
          </w:divBdr>
          <w:divsChild>
            <w:div w:id="1952736711">
              <w:marLeft w:val="0"/>
              <w:marRight w:val="0"/>
              <w:marTop w:val="0"/>
              <w:marBottom w:val="0"/>
              <w:divBdr>
                <w:top w:val="none" w:sz="0" w:space="0" w:color="auto"/>
                <w:left w:val="none" w:sz="0" w:space="0" w:color="auto"/>
                <w:bottom w:val="none" w:sz="0" w:space="0" w:color="auto"/>
                <w:right w:val="none" w:sz="0" w:space="0" w:color="auto"/>
              </w:divBdr>
              <w:divsChild>
                <w:div w:id="797989987">
                  <w:marLeft w:val="0"/>
                  <w:marRight w:val="0"/>
                  <w:marTop w:val="0"/>
                  <w:marBottom w:val="0"/>
                  <w:divBdr>
                    <w:top w:val="none" w:sz="0" w:space="0" w:color="auto"/>
                    <w:left w:val="none" w:sz="0" w:space="0" w:color="auto"/>
                    <w:bottom w:val="none" w:sz="0" w:space="0" w:color="auto"/>
                    <w:right w:val="none" w:sz="0" w:space="0" w:color="auto"/>
                  </w:divBdr>
                  <w:divsChild>
                    <w:div w:id="556941044">
                      <w:marLeft w:val="0"/>
                      <w:marRight w:val="0"/>
                      <w:marTop w:val="0"/>
                      <w:marBottom w:val="0"/>
                      <w:divBdr>
                        <w:top w:val="none" w:sz="0" w:space="0" w:color="auto"/>
                        <w:left w:val="none" w:sz="0" w:space="0" w:color="auto"/>
                        <w:bottom w:val="none" w:sz="0" w:space="0" w:color="auto"/>
                        <w:right w:val="none" w:sz="0" w:space="0" w:color="auto"/>
                      </w:divBdr>
                      <w:divsChild>
                        <w:div w:id="1002201879">
                          <w:marLeft w:val="0"/>
                          <w:marRight w:val="0"/>
                          <w:marTop w:val="0"/>
                          <w:marBottom w:val="0"/>
                          <w:divBdr>
                            <w:top w:val="none" w:sz="0" w:space="0" w:color="auto"/>
                            <w:left w:val="none" w:sz="0" w:space="0" w:color="auto"/>
                            <w:bottom w:val="none" w:sz="0" w:space="0" w:color="auto"/>
                            <w:right w:val="none" w:sz="0" w:space="0" w:color="auto"/>
                          </w:divBdr>
                          <w:divsChild>
                            <w:div w:id="1357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338670">
      <w:bodyDiv w:val="1"/>
      <w:marLeft w:val="0"/>
      <w:marRight w:val="0"/>
      <w:marTop w:val="0"/>
      <w:marBottom w:val="0"/>
      <w:divBdr>
        <w:top w:val="none" w:sz="0" w:space="0" w:color="auto"/>
        <w:left w:val="none" w:sz="0" w:space="0" w:color="auto"/>
        <w:bottom w:val="none" w:sz="0" w:space="0" w:color="auto"/>
        <w:right w:val="none" w:sz="0" w:space="0" w:color="auto"/>
      </w:divBdr>
    </w:div>
    <w:div w:id="1855724890">
      <w:bodyDiv w:val="1"/>
      <w:marLeft w:val="0"/>
      <w:marRight w:val="0"/>
      <w:marTop w:val="0"/>
      <w:marBottom w:val="0"/>
      <w:divBdr>
        <w:top w:val="none" w:sz="0" w:space="0" w:color="auto"/>
        <w:left w:val="none" w:sz="0" w:space="0" w:color="auto"/>
        <w:bottom w:val="none" w:sz="0" w:space="0" w:color="auto"/>
        <w:right w:val="none" w:sz="0" w:space="0" w:color="auto"/>
      </w:divBdr>
    </w:div>
    <w:div w:id="1874804733">
      <w:bodyDiv w:val="1"/>
      <w:marLeft w:val="0"/>
      <w:marRight w:val="0"/>
      <w:marTop w:val="0"/>
      <w:marBottom w:val="0"/>
      <w:divBdr>
        <w:top w:val="none" w:sz="0" w:space="0" w:color="auto"/>
        <w:left w:val="none" w:sz="0" w:space="0" w:color="auto"/>
        <w:bottom w:val="none" w:sz="0" w:space="0" w:color="auto"/>
        <w:right w:val="none" w:sz="0" w:space="0" w:color="auto"/>
      </w:divBdr>
    </w:div>
    <w:div w:id="1880436291">
      <w:bodyDiv w:val="1"/>
      <w:marLeft w:val="0"/>
      <w:marRight w:val="0"/>
      <w:marTop w:val="0"/>
      <w:marBottom w:val="0"/>
      <w:divBdr>
        <w:top w:val="none" w:sz="0" w:space="0" w:color="auto"/>
        <w:left w:val="none" w:sz="0" w:space="0" w:color="auto"/>
        <w:bottom w:val="none" w:sz="0" w:space="0" w:color="auto"/>
        <w:right w:val="none" w:sz="0" w:space="0" w:color="auto"/>
      </w:divBdr>
    </w:div>
    <w:div w:id="1880966590">
      <w:bodyDiv w:val="1"/>
      <w:marLeft w:val="0"/>
      <w:marRight w:val="0"/>
      <w:marTop w:val="0"/>
      <w:marBottom w:val="0"/>
      <w:divBdr>
        <w:top w:val="none" w:sz="0" w:space="0" w:color="auto"/>
        <w:left w:val="none" w:sz="0" w:space="0" w:color="auto"/>
        <w:bottom w:val="none" w:sz="0" w:space="0" w:color="auto"/>
        <w:right w:val="none" w:sz="0" w:space="0" w:color="auto"/>
      </w:divBdr>
      <w:divsChild>
        <w:div w:id="1110130241">
          <w:marLeft w:val="0"/>
          <w:marRight w:val="0"/>
          <w:marTop w:val="0"/>
          <w:marBottom w:val="0"/>
          <w:divBdr>
            <w:top w:val="none" w:sz="0" w:space="0" w:color="auto"/>
            <w:left w:val="none" w:sz="0" w:space="0" w:color="auto"/>
            <w:bottom w:val="none" w:sz="0" w:space="0" w:color="auto"/>
            <w:right w:val="none" w:sz="0" w:space="0" w:color="auto"/>
          </w:divBdr>
        </w:div>
      </w:divsChild>
    </w:div>
    <w:div w:id="1900749631">
      <w:bodyDiv w:val="1"/>
      <w:marLeft w:val="0"/>
      <w:marRight w:val="0"/>
      <w:marTop w:val="0"/>
      <w:marBottom w:val="0"/>
      <w:divBdr>
        <w:top w:val="none" w:sz="0" w:space="0" w:color="auto"/>
        <w:left w:val="none" w:sz="0" w:space="0" w:color="auto"/>
        <w:bottom w:val="none" w:sz="0" w:space="0" w:color="auto"/>
        <w:right w:val="none" w:sz="0" w:space="0" w:color="auto"/>
      </w:divBdr>
      <w:divsChild>
        <w:div w:id="468714242">
          <w:marLeft w:val="0"/>
          <w:marRight w:val="0"/>
          <w:marTop w:val="0"/>
          <w:marBottom w:val="0"/>
          <w:divBdr>
            <w:top w:val="none" w:sz="0" w:space="0" w:color="auto"/>
            <w:left w:val="none" w:sz="0" w:space="0" w:color="auto"/>
            <w:bottom w:val="none" w:sz="0" w:space="0" w:color="auto"/>
            <w:right w:val="none" w:sz="0" w:space="0" w:color="auto"/>
          </w:divBdr>
        </w:div>
      </w:divsChild>
    </w:div>
    <w:div w:id="1974208674">
      <w:bodyDiv w:val="1"/>
      <w:marLeft w:val="0"/>
      <w:marRight w:val="0"/>
      <w:marTop w:val="0"/>
      <w:marBottom w:val="0"/>
      <w:divBdr>
        <w:top w:val="none" w:sz="0" w:space="0" w:color="auto"/>
        <w:left w:val="none" w:sz="0" w:space="0" w:color="auto"/>
        <w:bottom w:val="none" w:sz="0" w:space="0" w:color="auto"/>
        <w:right w:val="none" w:sz="0" w:space="0" w:color="auto"/>
      </w:divBdr>
    </w:div>
    <w:div w:id="1980722552">
      <w:bodyDiv w:val="1"/>
      <w:marLeft w:val="0"/>
      <w:marRight w:val="0"/>
      <w:marTop w:val="0"/>
      <w:marBottom w:val="0"/>
      <w:divBdr>
        <w:top w:val="none" w:sz="0" w:space="0" w:color="auto"/>
        <w:left w:val="none" w:sz="0" w:space="0" w:color="auto"/>
        <w:bottom w:val="none" w:sz="0" w:space="0" w:color="auto"/>
        <w:right w:val="none" w:sz="0" w:space="0" w:color="auto"/>
      </w:divBdr>
    </w:div>
    <w:div w:id="2000620155">
      <w:bodyDiv w:val="1"/>
      <w:marLeft w:val="0"/>
      <w:marRight w:val="0"/>
      <w:marTop w:val="0"/>
      <w:marBottom w:val="0"/>
      <w:divBdr>
        <w:top w:val="none" w:sz="0" w:space="0" w:color="auto"/>
        <w:left w:val="none" w:sz="0" w:space="0" w:color="auto"/>
        <w:bottom w:val="none" w:sz="0" w:space="0" w:color="auto"/>
        <w:right w:val="none" w:sz="0" w:space="0" w:color="auto"/>
      </w:divBdr>
    </w:div>
    <w:div w:id="2046364499">
      <w:bodyDiv w:val="1"/>
      <w:marLeft w:val="0"/>
      <w:marRight w:val="0"/>
      <w:marTop w:val="0"/>
      <w:marBottom w:val="0"/>
      <w:divBdr>
        <w:top w:val="none" w:sz="0" w:space="0" w:color="auto"/>
        <w:left w:val="none" w:sz="0" w:space="0" w:color="auto"/>
        <w:bottom w:val="none" w:sz="0" w:space="0" w:color="auto"/>
        <w:right w:val="none" w:sz="0" w:space="0" w:color="auto"/>
      </w:divBdr>
      <w:divsChild>
        <w:div w:id="1142380642">
          <w:marLeft w:val="0"/>
          <w:marRight w:val="0"/>
          <w:marTop w:val="0"/>
          <w:marBottom w:val="0"/>
          <w:divBdr>
            <w:top w:val="none" w:sz="0" w:space="0" w:color="auto"/>
            <w:left w:val="none" w:sz="0" w:space="0" w:color="auto"/>
            <w:bottom w:val="none" w:sz="0" w:space="0" w:color="auto"/>
            <w:right w:val="none" w:sz="0" w:space="0" w:color="auto"/>
          </w:divBdr>
          <w:divsChild>
            <w:div w:id="1365708853">
              <w:marLeft w:val="0"/>
              <w:marRight w:val="0"/>
              <w:marTop w:val="0"/>
              <w:marBottom w:val="0"/>
              <w:divBdr>
                <w:top w:val="none" w:sz="0" w:space="0" w:color="auto"/>
                <w:left w:val="none" w:sz="0" w:space="0" w:color="auto"/>
                <w:bottom w:val="none" w:sz="0" w:space="0" w:color="auto"/>
                <w:right w:val="none" w:sz="0" w:space="0" w:color="auto"/>
              </w:divBdr>
              <w:divsChild>
                <w:div w:id="36780311">
                  <w:marLeft w:val="0"/>
                  <w:marRight w:val="0"/>
                  <w:marTop w:val="0"/>
                  <w:marBottom w:val="0"/>
                  <w:divBdr>
                    <w:top w:val="none" w:sz="0" w:space="0" w:color="auto"/>
                    <w:left w:val="none" w:sz="0" w:space="0" w:color="auto"/>
                    <w:bottom w:val="none" w:sz="0" w:space="0" w:color="auto"/>
                    <w:right w:val="none" w:sz="0" w:space="0" w:color="auto"/>
                  </w:divBdr>
                  <w:divsChild>
                    <w:div w:id="613751586">
                      <w:marLeft w:val="0"/>
                      <w:marRight w:val="0"/>
                      <w:marTop w:val="0"/>
                      <w:marBottom w:val="0"/>
                      <w:divBdr>
                        <w:top w:val="none" w:sz="0" w:space="0" w:color="auto"/>
                        <w:left w:val="none" w:sz="0" w:space="0" w:color="auto"/>
                        <w:bottom w:val="none" w:sz="0" w:space="0" w:color="auto"/>
                        <w:right w:val="none" w:sz="0" w:space="0" w:color="auto"/>
                      </w:divBdr>
                      <w:divsChild>
                        <w:div w:id="16326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260783">
          <w:marLeft w:val="0"/>
          <w:marRight w:val="0"/>
          <w:marTop w:val="0"/>
          <w:marBottom w:val="0"/>
          <w:divBdr>
            <w:top w:val="none" w:sz="0" w:space="0" w:color="auto"/>
            <w:left w:val="none" w:sz="0" w:space="0" w:color="auto"/>
            <w:bottom w:val="none" w:sz="0" w:space="0" w:color="auto"/>
            <w:right w:val="none" w:sz="0" w:space="0" w:color="auto"/>
          </w:divBdr>
          <w:divsChild>
            <w:div w:id="36008113">
              <w:marLeft w:val="0"/>
              <w:marRight w:val="0"/>
              <w:marTop w:val="0"/>
              <w:marBottom w:val="0"/>
              <w:divBdr>
                <w:top w:val="single" w:sz="6" w:space="9" w:color="D0D0D0"/>
                <w:left w:val="single" w:sz="6" w:space="9" w:color="D0D0D0"/>
                <w:bottom w:val="single" w:sz="6" w:space="9" w:color="D0D0D0"/>
                <w:right w:val="single" w:sz="6" w:space="9" w:color="D0D0D0"/>
              </w:divBdr>
            </w:div>
            <w:div w:id="972831941">
              <w:marLeft w:val="0"/>
              <w:marRight w:val="0"/>
              <w:marTop w:val="0"/>
              <w:marBottom w:val="0"/>
              <w:divBdr>
                <w:top w:val="none" w:sz="0" w:space="0" w:color="auto"/>
                <w:left w:val="none" w:sz="0" w:space="0" w:color="auto"/>
                <w:bottom w:val="none" w:sz="0" w:space="0" w:color="auto"/>
                <w:right w:val="none" w:sz="0" w:space="0" w:color="auto"/>
              </w:divBdr>
            </w:div>
            <w:div w:id="197933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30830">
      <w:bodyDiv w:val="1"/>
      <w:marLeft w:val="0"/>
      <w:marRight w:val="0"/>
      <w:marTop w:val="0"/>
      <w:marBottom w:val="0"/>
      <w:divBdr>
        <w:top w:val="none" w:sz="0" w:space="0" w:color="auto"/>
        <w:left w:val="none" w:sz="0" w:space="0" w:color="auto"/>
        <w:bottom w:val="none" w:sz="0" w:space="0" w:color="auto"/>
        <w:right w:val="none" w:sz="0" w:space="0" w:color="auto"/>
      </w:divBdr>
      <w:divsChild>
        <w:div w:id="1927034527">
          <w:marLeft w:val="0"/>
          <w:marRight w:val="0"/>
          <w:marTop w:val="0"/>
          <w:marBottom w:val="0"/>
          <w:divBdr>
            <w:top w:val="none" w:sz="0" w:space="0" w:color="auto"/>
            <w:left w:val="none" w:sz="0" w:space="0" w:color="auto"/>
            <w:bottom w:val="none" w:sz="0" w:space="0" w:color="auto"/>
            <w:right w:val="none" w:sz="0" w:space="0" w:color="auto"/>
          </w:divBdr>
        </w:div>
      </w:divsChild>
    </w:div>
    <w:div w:id="2061786021">
      <w:bodyDiv w:val="1"/>
      <w:marLeft w:val="0"/>
      <w:marRight w:val="0"/>
      <w:marTop w:val="0"/>
      <w:marBottom w:val="0"/>
      <w:divBdr>
        <w:top w:val="none" w:sz="0" w:space="0" w:color="auto"/>
        <w:left w:val="none" w:sz="0" w:space="0" w:color="auto"/>
        <w:bottom w:val="none" w:sz="0" w:space="0" w:color="auto"/>
        <w:right w:val="none" w:sz="0" w:space="0" w:color="auto"/>
      </w:divBdr>
    </w:div>
    <w:div w:id="2064862218">
      <w:bodyDiv w:val="1"/>
      <w:marLeft w:val="0"/>
      <w:marRight w:val="0"/>
      <w:marTop w:val="0"/>
      <w:marBottom w:val="0"/>
      <w:divBdr>
        <w:top w:val="none" w:sz="0" w:space="0" w:color="auto"/>
        <w:left w:val="none" w:sz="0" w:space="0" w:color="auto"/>
        <w:bottom w:val="none" w:sz="0" w:space="0" w:color="auto"/>
        <w:right w:val="none" w:sz="0" w:space="0" w:color="auto"/>
      </w:divBdr>
      <w:divsChild>
        <w:div w:id="2092697727">
          <w:marLeft w:val="0"/>
          <w:marRight w:val="0"/>
          <w:marTop w:val="0"/>
          <w:marBottom w:val="0"/>
          <w:divBdr>
            <w:top w:val="none" w:sz="0" w:space="0" w:color="auto"/>
            <w:left w:val="none" w:sz="0" w:space="0" w:color="auto"/>
            <w:bottom w:val="none" w:sz="0" w:space="0" w:color="auto"/>
            <w:right w:val="none" w:sz="0" w:space="0" w:color="auto"/>
          </w:divBdr>
          <w:divsChild>
            <w:div w:id="21009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54861">
      <w:bodyDiv w:val="1"/>
      <w:marLeft w:val="0"/>
      <w:marRight w:val="0"/>
      <w:marTop w:val="0"/>
      <w:marBottom w:val="0"/>
      <w:divBdr>
        <w:top w:val="none" w:sz="0" w:space="0" w:color="auto"/>
        <w:left w:val="none" w:sz="0" w:space="0" w:color="auto"/>
        <w:bottom w:val="none" w:sz="0" w:space="0" w:color="auto"/>
        <w:right w:val="none" w:sz="0" w:space="0" w:color="auto"/>
      </w:divBdr>
    </w:div>
    <w:div w:id="2099331230">
      <w:bodyDiv w:val="1"/>
      <w:marLeft w:val="0"/>
      <w:marRight w:val="0"/>
      <w:marTop w:val="0"/>
      <w:marBottom w:val="0"/>
      <w:divBdr>
        <w:top w:val="none" w:sz="0" w:space="0" w:color="auto"/>
        <w:left w:val="none" w:sz="0" w:space="0" w:color="auto"/>
        <w:bottom w:val="none" w:sz="0" w:space="0" w:color="auto"/>
        <w:right w:val="none" w:sz="0" w:space="0" w:color="auto"/>
      </w:divBdr>
    </w:div>
    <w:div w:id="2102293510">
      <w:bodyDiv w:val="1"/>
      <w:marLeft w:val="0"/>
      <w:marRight w:val="0"/>
      <w:marTop w:val="0"/>
      <w:marBottom w:val="0"/>
      <w:divBdr>
        <w:top w:val="none" w:sz="0" w:space="0" w:color="auto"/>
        <w:left w:val="none" w:sz="0" w:space="0" w:color="auto"/>
        <w:bottom w:val="none" w:sz="0" w:space="0" w:color="auto"/>
        <w:right w:val="none" w:sz="0" w:space="0" w:color="auto"/>
      </w:divBdr>
      <w:divsChild>
        <w:div w:id="487130793">
          <w:marLeft w:val="0"/>
          <w:marRight w:val="0"/>
          <w:marTop w:val="0"/>
          <w:marBottom w:val="0"/>
          <w:divBdr>
            <w:top w:val="none" w:sz="0" w:space="0" w:color="auto"/>
            <w:left w:val="none" w:sz="0" w:space="0" w:color="auto"/>
            <w:bottom w:val="none" w:sz="0" w:space="0" w:color="auto"/>
            <w:right w:val="none" w:sz="0" w:space="0" w:color="auto"/>
          </w:divBdr>
        </w:div>
      </w:divsChild>
    </w:div>
    <w:div w:id="2125491372">
      <w:bodyDiv w:val="1"/>
      <w:marLeft w:val="0"/>
      <w:marRight w:val="0"/>
      <w:marTop w:val="0"/>
      <w:marBottom w:val="0"/>
      <w:divBdr>
        <w:top w:val="none" w:sz="0" w:space="0" w:color="auto"/>
        <w:left w:val="none" w:sz="0" w:space="0" w:color="auto"/>
        <w:bottom w:val="none" w:sz="0" w:space="0" w:color="auto"/>
        <w:right w:val="none" w:sz="0" w:space="0" w:color="auto"/>
      </w:divBdr>
    </w:div>
    <w:div w:id="213602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s.europa.eu/content/implementing-peace-agreement-colomb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3C028-27DD-4665-A50D-A6C763F3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11596</Words>
  <Characters>66099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77540</CharactersWithSpaces>
  <SharedDoc>false</SharedDoc>
  <HLinks>
    <vt:vector size="6" baseType="variant">
      <vt:variant>
        <vt:i4>5308534</vt:i4>
      </vt:variant>
      <vt:variant>
        <vt:i4>2</vt:i4>
      </vt:variant>
      <vt:variant>
        <vt:i4>0</vt:i4>
      </vt:variant>
      <vt:variant>
        <vt:i4>5</vt:i4>
      </vt:variant>
      <vt:variant>
        <vt:lpwstr>https://en.wikipedia.org/wiki/Cross-sectional_study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2026-06-25T10:12:00Z</dcterms:created>
  <dcterms:modified xsi:type="dcterms:W3CDTF">2026-06-25T10:21:00Z</dcterms:modified>
</cp:coreProperties>
</file>