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0" w:before="157.5" w:after="157.5" w:lineRule="auto"/>
        <w:jc w:val="left"/>
      </w:pPr>
      <w:bookmarkStart w:id="0" w:name="the_innovation_paradox_why_school_592fe6"/>
      <w:r>
        <w:rPr>
          <w:rFonts w:eastAsia="source serif 4" w:cs="source serif 4" w:ascii="source serif 4" w:hAnsi="source serif 4"/>
          <w:b/>
          <w:color w:val="000000"/>
          <w:sz w:val="39"/>
        </w:rPr>
        <w:t xml:space="preserve">The Innovation Paradox: Why Schools Adopt EdTech but Resist Pedagogical Change</w:t>
      </w:r>
      <w:bookmarkEnd w:id="0"/>
    </w:p>
    <w:p>
      <w:pPr>
        <w:spacing w:line="360" w:before="315" w:after="105" w:lineRule="auto"/>
        <w:ind w:left="-30"/>
        <w:jc w:val="left"/>
      </w:pPr>
      <w:bookmarkStart w:id="1" w:name="abstract"/>
      <w:r>
        <w:rPr>
          <w:rFonts w:eastAsia="source serif 4" w:cs="source serif 4" w:ascii="source serif 4" w:hAnsi="source serif 4"/>
          <w:b/>
          <w:color w:val="000000"/>
          <w:sz w:val="24"/>
        </w:rPr>
        <w:t xml:space="preserve">Abstract</w:t>
      </w:r>
      <w:bookmarkEnd w:id="1"/>
    </w:p>
    <w:p>
      <w:pPr>
        <w:spacing w:line="360" w:after="210" w:lineRule="auto"/>
      </w:pPr>
      <w:r>
        <w:rPr>
          <w:rFonts w:eastAsia="source serif 4" w:cs="source serif 4" w:ascii="source serif 4" w:hAnsi="source serif 4"/>
          <w:color w:val="000000"/>
        </w:rPr>
        <w:t xml:space="preserve">Schools often invest in educational technology while maintaining traditional pedagogical routines, creating a persistent innovation paradox. Contemporary evidence on AI-powered EdTech and school adoption patterns suggests that institutions are willing to purchase tools, pilot platforms, and digitize workflows, yet far less willing or able to redesign curriculum, assessment, teacher roles, and classroom power relations around those tools.[cite:4][cite:19][cite:27] This manuscript argues that the paradox exists because technology adoption is organizationally easier than pedagogical transformation: buying tools fits existing accountability structures, while changing teaching challenges culture, identity, time use, and professional norms.[cite:10][cite:19][cite:27]</w:t>
      </w:r>
    </w:p>
    <w:p>
      <w:pPr>
        <w:spacing w:line="360" w:before="315" w:after="105" w:lineRule="auto"/>
        <w:ind w:left="-30"/>
        <w:jc w:val="left"/>
      </w:pPr>
      <w:bookmarkStart w:id="2" w:name="introduction"/>
      <w:r>
        <w:rPr>
          <w:rFonts w:eastAsia="source serif 4" w:cs="source serif 4" w:ascii="source serif 4" w:hAnsi="source serif 4"/>
          <w:b/>
          <w:color w:val="000000"/>
          <w:sz w:val="24"/>
        </w:rPr>
        <w:t xml:space="preserve">Introduction</w:t>
      </w:r>
      <w:bookmarkEnd w:id="2"/>
    </w:p>
    <w:p>
      <w:pPr>
        <w:spacing w:line="360" w:after="210" w:lineRule="auto"/>
      </w:pPr>
      <w:r>
        <w:rPr>
          <w:rFonts w:eastAsia="source serif 4" w:cs="source serif 4" w:ascii="source serif 4" w:hAnsi="source serif 4"/>
          <w:color w:val="000000"/>
        </w:rPr>
        <w:t xml:space="preserve">For more than two decades, educational reform discourse has linked technology with innovation. Devices, learning platforms, analytics dashboards, adaptive software, and now generative AI are regularly presented as solutions to problems of engagement, personalization, and efficiency.[cite:2][cite:4][cite:27] Yet many classrooms continue to rely on familiar pedagogies even after new tools are introduced, with technology layered onto conventional lectures, worksheets, grading systems, and teacher-centered routines.[cite:10][cite:19]</w:t>
      </w:r>
    </w:p>
    <w:p>
      <w:pPr>
        <w:spacing w:line="360" w:after="210" w:lineRule="auto"/>
      </w:pPr>
      <w:r>
        <w:rPr>
          <w:rFonts w:eastAsia="source serif 4" w:cs="source serif 4" w:ascii="source serif 4" w:hAnsi="source serif 4"/>
          <w:color w:val="000000"/>
        </w:rPr>
        <w:t xml:space="preserve">This pattern reveals a paradox. Schools adopt EdTech because digital tools promise modernization, but they frequently resist the deeper pedagogical changes necessary to realize those promises. In many cases, technology is used to accelerate existing practices rather than to transform them.[cite:4][cite:19] The central question, then, is why technological adoption appears institutionally desirable while pedagogical innovation remains comparatively rare.[cite:10][cite:27]</w:t>
      </w:r>
    </w:p>
    <w:p>
      <w:pPr>
        <w:spacing w:line="360" w:after="210" w:lineRule="auto"/>
      </w:pPr>
      <w:r>
        <w:rPr>
          <w:rFonts w:eastAsia="source serif 4" w:cs="source serif 4" w:ascii="source serif 4" w:hAnsi="source serif 4"/>
          <w:color w:val="000000"/>
        </w:rPr>
        <w:t xml:space="preserve">This manuscript argues that the paradox is rooted in the structure of schooling itself. Technology can be added through procurement, pilots, and professional directives, whereas pedagogy is embedded in beliefs about knowledge, assessment, authority, and what counts as legitimate teaching.[cite:10][cite:19] As a result, schools often digitize the surface of instruction while preserving the underlying grammar of schooling.[cite:2][cite:27]</w:t>
      </w:r>
    </w:p>
    <w:p>
      <w:pPr>
        <w:spacing w:line="360" w:before="315" w:after="105" w:lineRule="auto"/>
        <w:ind w:left="-30"/>
        <w:jc w:val="left"/>
      </w:pPr>
      <w:bookmarkStart w:id="3" w:name="technology_adoption_is_easier_tha_f8bfae"/>
      <w:r>
        <w:rPr>
          <w:rFonts w:eastAsia="source serif 4" w:cs="source serif 4" w:ascii="source serif 4" w:hAnsi="source serif 4"/>
          <w:b/>
          <w:color w:val="000000"/>
          <w:sz w:val="24"/>
        </w:rPr>
        <w:t xml:space="preserve">Technology Adoption Is Easier Than Pedagogical Change</w:t>
      </w:r>
      <w:bookmarkEnd w:id="3"/>
    </w:p>
    <w:p>
      <w:pPr>
        <w:spacing w:line="360" w:after="210" w:lineRule="auto"/>
      </w:pPr>
      <w:r>
        <w:rPr>
          <w:rFonts w:eastAsia="source serif 4" w:cs="source serif 4" w:ascii="source serif 4" w:hAnsi="source serif 4"/>
          <w:color w:val="000000"/>
        </w:rPr>
        <w:t xml:space="preserve">The first reason for the paradox is that adoption and transformation are not equivalent forms of change. Technology adoption can occur through purchasing decisions, device rollouts, platform mandates, or short-term pilots. These actions are visible, countable, and administratively legible.[cite:19][cite:27] Pedagogical change, by contrast, requires shifts in lesson design, assessment philosophy, classroom interaction, and teacher judgment, all of which are slower, less uniform, and harder to measure.[cite:10][cite:19]</w:t>
      </w:r>
    </w:p>
    <w:p>
      <w:pPr>
        <w:spacing w:line="360" w:after="210" w:lineRule="auto"/>
      </w:pPr>
      <w:r>
        <w:rPr>
          <w:rFonts w:eastAsia="source serif 4" w:cs="source serif 4" w:ascii="source serif 4" w:hAnsi="source serif 4"/>
          <w:color w:val="000000"/>
        </w:rPr>
        <w:t xml:space="preserve">This difference matters because school systems are strongly shaped by accountability. Leaders can report how many classrooms received devices or how many teachers logged into a platform, but it is much harder to document whether technology changed how students think, collaborate, or construct knowledge.[cite:27] Under these conditions, visible adoption becomes a proxy for innovation even when classroom practice remains substantially unchanged.[cite:4][cite:10]</w:t>
      </w:r>
    </w:p>
    <w:p>
      <w:pPr>
        <w:spacing w:line="360" w:after="210" w:lineRule="auto"/>
      </w:pPr>
      <w:r>
        <w:rPr>
          <w:rFonts w:eastAsia="source serif 4" w:cs="source serif 4" w:ascii="source serif 4" w:hAnsi="source serif 4"/>
          <w:color w:val="000000"/>
        </w:rPr>
        <w:t xml:space="preserve">A second reason is that technology often enters schools as a supplement to existing pressures rather than an invitation to redesign them. Teachers may use platforms to manage grading, distribute materials, or automate feedback because these uses save time within the current system.[cite:4][cite:18] Those are rational uses, but they reinforce rather than challenge the core architecture of schooling.[cite:19][cite:27]</w:t>
      </w:r>
    </w:p>
    <w:p>
      <w:pPr>
        <w:spacing w:line="360" w:before="315" w:after="105" w:lineRule="auto"/>
        <w:ind w:left="-30"/>
        <w:jc w:val="left"/>
      </w:pPr>
      <w:bookmarkStart w:id="4" w:name="the_cultural_dimension"/>
      <w:r>
        <w:rPr>
          <w:rFonts w:eastAsia="source serif 4" w:cs="source serif 4" w:ascii="source serif 4" w:hAnsi="source serif 4"/>
          <w:b/>
          <w:color w:val="000000"/>
          <w:sz w:val="24"/>
        </w:rPr>
        <w:t xml:space="preserve">The Cultural Dimension</w:t>
      </w:r>
      <w:bookmarkEnd w:id="4"/>
    </w:p>
    <w:p>
      <w:pPr>
        <w:spacing w:line="360" w:after="210" w:lineRule="auto"/>
      </w:pPr>
      <w:r>
        <w:rPr>
          <w:rFonts w:eastAsia="source serif 4" w:cs="source serif 4" w:ascii="source serif 4" w:hAnsi="source serif 4"/>
          <w:color w:val="000000"/>
        </w:rPr>
        <w:t xml:space="preserve">Pedagogy is not just a method; it is part of teacher identity. Many educators have been trained, evaluated, and socialized within systems that prioritize coverage, control, and standardization. Asking teachers to move toward inquiry, co-construction, or AI-supported personalization therefore raises questions about expertise, authority, and risk.[cite:10][cite:19] Even when teachers are open to experimentation, they may hesitate if accountability systems still reward conventional outcomes and routines.[cite:27]</w:t>
      </w:r>
    </w:p>
    <w:p>
      <w:pPr>
        <w:spacing w:line="360" w:after="210" w:lineRule="auto"/>
      </w:pPr>
      <w:r>
        <w:rPr>
          <w:rFonts w:eastAsia="source serif 4" w:cs="source serif 4" w:ascii="source serif 4" w:hAnsi="source serif 4"/>
          <w:color w:val="000000"/>
        </w:rPr>
        <w:t xml:space="preserve">School culture also shapes how innovation is interpreted. In some institutions, innovation means integrating new tools while preserving order and predictability. In others, it implies deeper redesign of curriculum and relationships. The first meaning is much easier to implement because it asks teachers to add tools, not rethink assumptions.[cite:19][cite:27] This helps explain why schools may appear technologically progressive while pedagogically conservative.[cite:4][cite:10]</w:t>
      </w:r>
    </w:p>
    <w:p>
      <w:pPr>
        <w:spacing w:line="360" w:after="210" w:lineRule="auto"/>
      </w:pPr>
      <w:r>
        <w:rPr>
          <w:rFonts w:eastAsia="source serif 4" w:cs="source serif 4" w:ascii="source serif 4" w:hAnsi="source serif 4"/>
          <w:color w:val="000000"/>
        </w:rPr>
        <w:t xml:space="preserve">Time is another cultural barrier. Meaningful pedagogical change requires collaborative planning, iterative reflection, and permission to fail productively. Yet many schools provide limited time for experimentation, especially when technology initiatives are layered onto already demanding workloads.[cite:18][cite:19] Under such conditions, EdTech is absorbed into existing routines because redesign is too costly in the short term.[cite:27]</w:t>
      </w:r>
    </w:p>
    <w:p>
      <w:pPr>
        <w:spacing w:line="360" w:before="315" w:after="105" w:lineRule="auto"/>
        <w:ind w:left="-30"/>
        <w:jc w:val="left"/>
      </w:pPr>
      <w:bookmarkStart w:id="5" w:name="edtech_and_the_grammar_of_schooling"/>
      <w:r>
        <w:rPr>
          <w:rFonts w:eastAsia="source serif 4" w:cs="source serif 4" w:ascii="source serif 4" w:hAnsi="source serif 4"/>
          <w:b/>
          <w:color w:val="000000"/>
          <w:sz w:val="24"/>
        </w:rPr>
        <w:t xml:space="preserve">EdTech and the Grammar of Schooling</w:t>
      </w:r>
      <w:bookmarkEnd w:id="5"/>
    </w:p>
    <w:p>
      <w:pPr>
        <w:spacing w:line="360" w:after="210" w:lineRule="auto"/>
      </w:pPr>
      <w:r>
        <w:rPr>
          <w:rFonts w:eastAsia="source serif 4" w:cs="source serif 4" w:ascii="source serif 4" w:hAnsi="source serif 4"/>
          <w:color w:val="000000"/>
        </w:rPr>
        <w:t xml:space="preserve">The paradox can also be understood through the enduring grammar of schooling: age-graded classes, fixed timetables, subject silos, teacher-centered authority, and assessment systems oriented toward standardization. Technology is often inserted into this structure without changing it. A digital quiz may replace a paper quiz; an AI tool may speed feedback; a platform may centralize homework distribution.[cite:4][cite:27] These changes matter operationally, but they do not necessarily alter the deeper logic of classroom learning.[cite:10]</w:t>
      </w:r>
    </w:p>
    <w:p>
      <w:pPr>
        <w:spacing w:line="360" w:after="210" w:lineRule="auto"/>
      </w:pPr>
      <w:r>
        <w:rPr>
          <w:rFonts w:eastAsia="source serif 4" w:cs="source serif 4" w:ascii="source serif 4" w:hAnsi="source serif 4"/>
          <w:color w:val="000000"/>
        </w:rPr>
        <w:t xml:space="preserve">This is why personalization rhetoric often exceeds classroom reality. AI-powered EdTech can, in principle, support differentiated pathways, adaptive assessment, and responsive feedback. But such possibilities depend on curriculum flexibility, teacher interpretation, and trust in new forms of evidence.[cite:2][cite:4] Where schools remain committed to uniform pacing, standardized outputs, and narrow performance metrics, technology becomes a delivery enhancement rather than a pedagogical transformation.[cite:10][cite:27]</w:t>
      </w:r>
    </w:p>
    <w:p>
      <w:pPr>
        <w:spacing w:line="360" w:before="315" w:after="105" w:lineRule="auto"/>
        <w:ind w:left="-30"/>
        <w:jc w:val="left"/>
      </w:pPr>
      <w:bookmarkStart w:id="6" w:name="the_role_of_policy_and_vendors"/>
      <w:r>
        <w:rPr>
          <w:rFonts w:eastAsia="source serif 4" w:cs="source serif 4" w:ascii="source serif 4" w:hAnsi="source serif 4"/>
          <w:b/>
          <w:color w:val="000000"/>
          <w:sz w:val="24"/>
        </w:rPr>
        <w:t xml:space="preserve">The Role of Policy and Vendors</w:t>
      </w:r>
      <w:bookmarkEnd w:id="6"/>
    </w:p>
    <w:p>
      <w:pPr>
        <w:spacing w:line="360" w:after="210" w:lineRule="auto"/>
      </w:pPr>
      <w:r>
        <w:rPr>
          <w:rFonts w:eastAsia="source serif 4" w:cs="source serif 4" w:ascii="source serif 4" w:hAnsi="source serif 4"/>
          <w:color w:val="000000"/>
        </w:rPr>
        <w:t xml:space="preserve">Policy environments can intensify the innovation paradox. When systems lack clear guidance, schools may adopt technologies opportunistically while avoiding deeper pedagogical risks that could provoke controversy or accountability concerns.[cite:18] This leads to low-risk adoption: tools are used for efficiency, administration, or tightly controlled classroom tasks rather than for more transformative learning designs.[cite:18][cite:27]</w:t>
      </w:r>
    </w:p>
    <w:p>
      <w:pPr>
        <w:spacing w:line="360" w:after="210" w:lineRule="auto"/>
      </w:pPr>
      <w:r>
        <w:rPr>
          <w:rFonts w:eastAsia="source serif 4" w:cs="source serif 4" w:ascii="source serif 4" w:hAnsi="source serif 4"/>
          <w:color w:val="000000"/>
        </w:rPr>
        <w:t xml:space="preserve">Vendor narratives also contribute. EdTech marketing frequently promises transformation through the tool itself, implying that innovation is embedded in software rather than in institutional conditions. This framing encourages schools to see purchase and implementation as sufficient, even though research on educational innovation repeatedly shows that outcomes depend on pedagogy, professional learning, and context.[cite:4][cite:19] When transformation is sold as plug-and-play, schools are more likely to adopt than to redesign.[cite:2][cite:10]</w:t>
      </w:r>
    </w:p>
    <w:p>
      <w:pPr>
        <w:spacing w:line="360" w:before="315" w:after="105" w:lineRule="auto"/>
        <w:ind w:left="-30"/>
        <w:jc w:val="left"/>
      </w:pPr>
      <w:bookmarkStart w:id="7" w:name="conditions_for_real_change"/>
      <w:r>
        <w:rPr>
          <w:rFonts w:eastAsia="source serif 4" w:cs="source serif 4" w:ascii="source serif 4" w:hAnsi="source serif 4"/>
          <w:b/>
          <w:color w:val="000000"/>
          <w:sz w:val="24"/>
        </w:rPr>
        <w:t xml:space="preserve">Conditions for Real Change</w:t>
      </w:r>
      <w:bookmarkEnd w:id="7"/>
    </w:p>
    <w:p>
      <w:pPr>
        <w:spacing w:line="360" w:after="210" w:lineRule="auto"/>
      </w:pPr>
      <w:r>
        <w:rPr>
          <w:rFonts w:eastAsia="source serif 4" w:cs="source serif 4" w:ascii="source serif 4" w:hAnsi="source serif 4"/>
          <w:color w:val="000000"/>
        </w:rPr>
        <w:t xml:space="preserve">Overcoming the paradox requires shifting attention from technology acquisition to pedagogical capacity. Schools need professional learning that is tied to curriculum design, student thinking, assessment reform, and ethical use of digital tools rather than basic platform onboarding alone.[cite:4][cite:10] Teachers also need protected time to test new models, study student response, and revise practice collaboratively.[cite:19][cite:27]</w:t>
      </w:r>
    </w:p>
    <w:p>
      <w:pPr>
        <w:spacing w:line="360" w:after="210" w:lineRule="auto"/>
      </w:pPr>
      <w:r>
        <w:rPr>
          <w:rFonts w:eastAsia="source serif 4" w:cs="source serif 4" w:ascii="source serif 4" w:hAnsi="source serif 4"/>
          <w:color w:val="000000"/>
        </w:rPr>
        <w:t xml:space="preserve">Leadership matters as well. School leaders must align technology initiatives with instructional vision instead of treating EdTech as a separate modernization agenda. Where leadership connects tools to clear pedagogical purposes, change is more likely to affect learning design rather than just workflow efficiency.[cite:10][cite:27] This alignment should also include revised evaluation criteria so that innovative pedagogy is recognized rather than penalized.[cite:19]</w:t>
      </w:r>
    </w:p>
    <w:p>
      <w:pPr>
        <w:spacing w:line="360" w:after="210" w:lineRule="auto"/>
      </w:pPr>
      <w:r>
        <w:rPr>
          <w:rFonts w:eastAsia="source serif 4" w:cs="source serif 4" w:ascii="source serif 4" w:hAnsi="source serif 4"/>
          <w:color w:val="000000"/>
        </w:rPr>
        <w:t xml:space="preserve">A third condition is assessment reform. As long as schools are governed primarily by narrow performance indicators, teachers will have strong incentives to use technology for efficiency and test preparation rather than for deeper inquiry or student agency.[cite:10][cite:27] Pedagogical change becomes more plausible when assessment systems value process, collaboration, creativity, and informed use of digital tools.[cite:2][cite:4]</w:t>
      </w:r>
    </w:p>
    <w:p>
      <w:pPr>
        <w:spacing w:line="360" w:before="315" w:after="105" w:lineRule="auto"/>
        <w:ind w:left="-30"/>
        <w:jc w:val="left"/>
      </w:pPr>
      <w:bookmarkStart w:id="8" w:name="discussion"/>
      <w:r>
        <w:rPr>
          <w:rFonts w:eastAsia="source serif 4" w:cs="source serif 4" w:ascii="source serif 4" w:hAnsi="source serif 4"/>
          <w:b/>
          <w:color w:val="000000"/>
          <w:sz w:val="24"/>
        </w:rPr>
        <w:t xml:space="preserve">Discussion</w:t>
      </w:r>
      <w:bookmarkEnd w:id="8"/>
    </w:p>
    <w:p>
      <w:pPr>
        <w:spacing w:line="360" w:after="210" w:lineRule="auto"/>
      </w:pPr>
      <w:r>
        <w:rPr>
          <w:rFonts w:eastAsia="source serif 4" w:cs="source serif 4" w:ascii="source serif 4" w:hAnsi="source serif 4"/>
          <w:color w:val="000000"/>
        </w:rPr>
        <w:t xml:space="preserve">The innovation paradox persists because schools are not neutral organizations waiting to be improved by technology. They are institutions with histories, routines, accountabilities, and professional cultures that selectively absorb innovation. EdTech is often welcomed where it supports efficiency, visibility, and control, but resisted where it destabilizes established pedagogical arrangements.[cite:19][cite:27] This does not mean schools reject innovation altogether; it means they filter innovation through institutional logic.[cite:10]</w:t>
      </w:r>
    </w:p>
    <w:p>
      <w:pPr>
        <w:spacing w:line="360" w:after="210" w:lineRule="auto"/>
      </w:pPr>
      <w:r>
        <w:rPr>
          <w:rFonts w:eastAsia="source serif 4" w:cs="source serif 4" w:ascii="source serif 4" w:hAnsi="source serif 4"/>
          <w:color w:val="000000"/>
        </w:rPr>
        <w:t xml:space="preserve">Seen this way, resistance to pedagogical change is not simply stubbornness. It is often a rational response to conflicting demands, limited time, uncertain evidence, and evaluation systems that reward continuity.[cite:18][cite:19] The real challenge is therefore not persuading schools to adopt more tools, but redesigning the surrounding conditions that make pedagogical transformation feasible.[cite:4][cite:10]</w:t>
      </w:r>
    </w:p>
    <w:p>
      <w:pPr>
        <w:spacing w:line="360" w:before="315" w:after="105" w:lineRule="auto"/>
        <w:ind w:left="-30"/>
        <w:jc w:val="left"/>
      </w:pPr>
      <w:bookmarkStart w:id="9" w:name="conclusion"/>
      <w:r>
        <w:rPr>
          <w:rFonts w:eastAsia="source serif 4" w:cs="source serif 4" w:ascii="source serif 4" w:hAnsi="source serif 4"/>
          <w:b/>
          <w:color w:val="000000"/>
          <w:sz w:val="24"/>
        </w:rPr>
        <w:t xml:space="preserve">Conclusion</w:t>
      </w:r>
      <w:bookmarkEnd w:id="9"/>
    </w:p>
    <w:p>
      <w:pPr>
        <w:spacing w:line="360" w:after="210" w:lineRule="auto"/>
      </w:pPr>
      <w:r>
        <w:rPr>
          <w:rFonts w:eastAsia="source serif 4" w:cs="source serif 4" w:ascii="source serif 4" w:hAnsi="source serif 4"/>
          <w:color w:val="000000"/>
        </w:rPr>
        <w:t xml:space="preserve">Schools adopt EdTech but resist pedagogical change because these are fundamentally different kinds of reform. Technology adoption is visible, manageable, and compatible with existing accountability systems, while pedagogical transformation requires cultural, structural, and evaluative change across the whole institution.[cite:19][cite:27] The path forward lies in aligning policy, assessment, leadership, and professional learning so that technology serves redesigned teaching rather than merely digitizing traditional practice.[cite:4][cite:10][cite:18]</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ource serif 4">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2026-06-25T07:22:28.377Z</dcterms:created>
  <dcterms:modified xsi:type="dcterms:W3CDTF">2026-06-25T07:22:28.377Z</dcterms:modified>
</cp:coreProperties>
</file>