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40F1" w14:textId="77777777" w:rsidR="00D8538D" w:rsidRDefault="00D8538D" w:rsidP="00D8538D">
      <w:pPr>
        <w:jc w:val="center"/>
        <w:rPr>
          <w:rFonts w:asciiTheme="majorBidi" w:hAnsiTheme="majorBidi" w:cstheme="majorBidi"/>
          <w:b/>
          <w:bCs/>
        </w:rPr>
      </w:pPr>
      <w:r w:rsidRPr="0017616D">
        <w:rPr>
          <w:rFonts w:asciiTheme="majorBidi" w:hAnsiTheme="majorBidi" w:cstheme="majorBidi"/>
          <w:b/>
          <w:bCs/>
        </w:rPr>
        <w:t xml:space="preserve">THE IMPACT OF REDISTRIBUTION OF INCOME ON </w:t>
      </w:r>
      <w:r>
        <w:rPr>
          <w:rFonts w:asciiTheme="majorBidi" w:hAnsiTheme="majorBidi" w:cstheme="majorBidi"/>
          <w:b/>
          <w:bCs/>
        </w:rPr>
        <w:t xml:space="preserve">NIGERIA </w:t>
      </w:r>
      <w:r w:rsidRPr="0017616D">
        <w:rPr>
          <w:rFonts w:asciiTheme="majorBidi" w:hAnsiTheme="majorBidi" w:cstheme="majorBidi"/>
          <w:b/>
          <w:bCs/>
        </w:rPr>
        <w:t>ECONOMIC GROWTH AND STABILITY</w:t>
      </w:r>
    </w:p>
    <w:p w14:paraId="1CC5220A" w14:textId="77777777" w:rsidR="00D8538D" w:rsidRDefault="00D8538D" w:rsidP="00D8538D">
      <w:pPr>
        <w:jc w:val="center"/>
        <w:rPr>
          <w:rFonts w:asciiTheme="majorBidi" w:hAnsiTheme="majorBidi" w:cstheme="majorBidi"/>
          <w:b/>
          <w:bCs/>
        </w:rPr>
      </w:pPr>
    </w:p>
    <w:p w14:paraId="37C21186" w14:textId="40711147" w:rsidR="00D8538D" w:rsidRPr="00382F32" w:rsidRDefault="00D8538D" w:rsidP="00382F32">
      <w:pPr>
        <w:jc w:val="both"/>
        <w:rPr>
          <w:rFonts w:asciiTheme="majorBidi" w:hAnsiTheme="majorBidi" w:cstheme="majorBidi"/>
          <w:b/>
          <w:bCs/>
        </w:rPr>
      </w:pPr>
      <w:r>
        <w:rPr>
          <w:rFonts w:asciiTheme="majorBidi" w:hAnsiTheme="majorBidi" w:cstheme="majorBidi"/>
          <w:b/>
          <w:bCs/>
        </w:rPr>
        <w:t>Monsuru Adedeji, Olukotun</w:t>
      </w:r>
      <w:r w:rsidR="003F39C8" w:rsidRPr="003F39C8">
        <w:rPr>
          <w:rFonts w:asciiTheme="majorBidi" w:hAnsiTheme="majorBidi" w:cstheme="majorBidi"/>
          <w:b/>
          <w:bCs/>
          <w:vertAlign w:val="superscript"/>
        </w:rPr>
        <w:t>1</w:t>
      </w:r>
      <w:r w:rsidR="003F39C8">
        <w:rPr>
          <w:rFonts w:asciiTheme="majorBidi" w:hAnsiTheme="majorBidi" w:cstheme="majorBidi"/>
          <w:b/>
          <w:bCs/>
        </w:rPr>
        <w:t xml:space="preserve"> Lukumon Akande, Salahudeen</w:t>
      </w:r>
      <w:r w:rsidR="003F39C8" w:rsidRPr="003F39C8">
        <w:rPr>
          <w:rFonts w:asciiTheme="majorBidi" w:hAnsiTheme="majorBidi" w:cstheme="majorBidi"/>
          <w:b/>
          <w:bCs/>
          <w:vertAlign w:val="superscript"/>
        </w:rPr>
        <w:t>2</w:t>
      </w:r>
      <w:r w:rsidR="003F39C8">
        <w:rPr>
          <w:rFonts w:asciiTheme="majorBidi" w:hAnsiTheme="majorBidi" w:cstheme="majorBidi"/>
          <w:b/>
          <w:bCs/>
        </w:rPr>
        <w:t xml:space="preserve"> </w:t>
      </w:r>
      <w:r w:rsidR="00382F32" w:rsidRPr="00382F32">
        <w:rPr>
          <w:rFonts w:asciiTheme="majorBidi" w:hAnsiTheme="majorBidi" w:cstheme="majorBidi"/>
          <w:b/>
          <w:bCs/>
        </w:rPr>
        <w:t>Olufemi Olaniyi, Shoboyede</w:t>
      </w:r>
      <w:r w:rsidR="003F39C8" w:rsidRPr="003F39C8">
        <w:rPr>
          <w:rFonts w:asciiTheme="majorBidi" w:hAnsiTheme="majorBidi" w:cstheme="majorBidi"/>
          <w:b/>
          <w:bCs/>
          <w:vertAlign w:val="superscript"/>
        </w:rPr>
        <w:t>3</w:t>
      </w:r>
    </w:p>
    <w:p w14:paraId="315576CE" w14:textId="77777777" w:rsidR="003F39C8" w:rsidRPr="003F39C8" w:rsidRDefault="003F39C8" w:rsidP="003F39C8">
      <w:pPr>
        <w:jc w:val="center"/>
        <w:rPr>
          <w:rFonts w:asciiTheme="majorBidi" w:hAnsiTheme="majorBidi" w:cstheme="majorBidi"/>
          <w:b/>
          <w:bCs/>
          <w:sz w:val="6"/>
          <w:szCs w:val="6"/>
        </w:rPr>
      </w:pPr>
    </w:p>
    <w:p w14:paraId="402B7941" w14:textId="33F7DE92" w:rsidR="003F39C8" w:rsidRPr="003F39C8" w:rsidRDefault="003F39C8" w:rsidP="003F39C8">
      <w:pPr>
        <w:pStyle w:val="ListParagraph"/>
        <w:numPr>
          <w:ilvl w:val="0"/>
          <w:numId w:val="7"/>
        </w:numPr>
        <w:tabs>
          <w:tab w:val="left" w:pos="450"/>
        </w:tabs>
        <w:ind w:left="1080"/>
        <w:rPr>
          <w:rFonts w:asciiTheme="majorBidi" w:hAnsiTheme="majorBidi" w:cstheme="majorBidi"/>
          <w:b/>
          <w:bCs/>
          <w:sz w:val="20"/>
          <w:szCs w:val="20"/>
        </w:rPr>
      </w:pPr>
      <w:r w:rsidRPr="003F39C8">
        <w:rPr>
          <w:rFonts w:asciiTheme="majorBidi" w:hAnsiTheme="majorBidi" w:cstheme="majorBidi"/>
          <w:b/>
          <w:bCs/>
          <w:sz w:val="20"/>
          <w:szCs w:val="20"/>
        </w:rPr>
        <w:t>Directorate of Academic Planning, Lagos State University, Ojo, Lagos, Nigeria</w:t>
      </w:r>
    </w:p>
    <w:p w14:paraId="5ED77A51" w14:textId="12D09F61" w:rsidR="003F39C8" w:rsidRPr="003F39C8" w:rsidRDefault="003F39C8" w:rsidP="003F39C8">
      <w:pPr>
        <w:pStyle w:val="ListParagraph"/>
        <w:numPr>
          <w:ilvl w:val="0"/>
          <w:numId w:val="7"/>
        </w:numPr>
        <w:tabs>
          <w:tab w:val="left" w:pos="450"/>
        </w:tabs>
        <w:ind w:left="1080"/>
        <w:rPr>
          <w:rFonts w:asciiTheme="majorBidi" w:hAnsiTheme="majorBidi" w:cstheme="majorBidi"/>
          <w:b/>
          <w:bCs/>
          <w:sz w:val="20"/>
          <w:szCs w:val="20"/>
        </w:rPr>
      </w:pPr>
      <w:r w:rsidRPr="003F39C8">
        <w:rPr>
          <w:rFonts w:asciiTheme="majorBidi" w:hAnsiTheme="majorBidi" w:cstheme="majorBidi"/>
          <w:b/>
          <w:bCs/>
          <w:sz w:val="20"/>
          <w:szCs w:val="20"/>
        </w:rPr>
        <w:t>Economics Department, Lagos State University, Ojo, Lagos, Nigeria</w:t>
      </w:r>
    </w:p>
    <w:p w14:paraId="1A0BEEB3" w14:textId="3CCC7BC0" w:rsidR="00382F32" w:rsidRPr="00382F32" w:rsidRDefault="00382F32" w:rsidP="00382F32">
      <w:pPr>
        <w:pStyle w:val="ListParagraph"/>
        <w:numPr>
          <w:ilvl w:val="0"/>
          <w:numId w:val="7"/>
        </w:numPr>
        <w:tabs>
          <w:tab w:val="left" w:pos="450"/>
        </w:tabs>
        <w:ind w:left="1080"/>
        <w:rPr>
          <w:rFonts w:asciiTheme="majorBidi" w:hAnsiTheme="majorBidi" w:cstheme="majorBidi"/>
          <w:b/>
          <w:bCs/>
        </w:rPr>
      </w:pPr>
      <w:r w:rsidRPr="00382F32">
        <w:rPr>
          <w:rFonts w:asciiTheme="majorBidi" w:hAnsiTheme="majorBidi" w:cstheme="majorBidi"/>
          <w:b/>
          <w:bCs/>
        </w:rPr>
        <w:t xml:space="preserve">Roshallom </w:t>
      </w:r>
      <w:r w:rsidRPr="00382F32">
        <w:rPr>
          <w:rFonts w:asciiTheme="majorBidi" w:hAnsiTheme="majorBidi" w:cstheme="majorBidi"/>
          <w:b/>
          <w:bCs/>
          <w:sz w:val="20"/>
          <w:szCs w:val="20"/>
        </w:rPr>
        <w:t>International</w:t>
      </w:r>
      <w:r w:rsidRPr="00382F32">
        <w:rPr>
          <w:rFonts w:asciiTheme="majorBidi" w:hAnsiTheme="majorBidi" w:cstheme="majorBidi"/>
          <w:b/>
          <w:bCs/>
        </w:rPr>
        <w:t xml:space="preserve"> School, Lagos</w:t>
      </w:r>
      <w:r>
        <w:rPr>
          <w:rFonts w:asciiTheme="majorBidi" w:hAnsiTheme="majorBidi" w:cstheme="majorBidi"/>
          <w:b/>
          <w:bCs/>
        </w:rPr>
        <w:t>,</w:t>
      </w:r>
      <w:r w:rsidRPr="00382F32">
        <w:rPr>
          <w:rFonts w:asciiTheme="majorBidi" w:hAnsiTheme="majorBidi" w:cstheme="majorBidi"/>
          <w:b/>
          <w:bCs/>
          <w:sz w:val="20"/>
          <w:szCs w:val="20"/>
        </w:rPr>
        <w:t xml:space="preserve"> </w:t>
      </w:r>
      <w:r w:rsidRPr="003F39C8">
        <w:rPr>
          <w:rFonts w:asciiTheme="majorBidi" w:hAnsiTheme="majorBidi" w:cstheme="majorBidi"/>
          <w:b/>
          <w:bCs/>
          <w:sz w:val="20"/>
          <w:szCs w:val="20"/>
        </w:rPr>
        <w:t>Nigeria</w:t>
      </w:r>
    </w:p>
    <w:p w14:paraId="4563DD72" w14:textId="4F471492" w:rsidR="00D8538D" w:rsidRPr="00827B9B" w:rsidRDefault="00D10B0C" w:rsidP="00C53BBB">
      <w:pPr>
        <w:spacing w:before="240" w:after="240"/>
        <w:jc w:val="both"/>
        <w:rPr>
          <w:rFonts w:asciiTheme="majorBidi" w:hAnsiTheme="majorBidi" w:cstheme="majorBidi"/>
          <w:b/>
          <w:bCs/>
        </w:rPr>
      </w:pPr>
      <w:r w:rsidRPr="00827B9B">
        <w:rPr>
          <w:rFonts w:asciiTheme="majorBidi" w:hAnsiTheme="majorBidi" w:cstheme="majorBidi"/>
          <w:b/>
          <w:bCs/>
        </w:rPr>
        <w:t>Abstract</w:t>
      </w:r>
      <w:r w:rsidR="00382F32" w:rsidRPr="00382F32">
        <w:rPr>
          <w:rFonts w:asciiTheme="majorBidi" w:hAnsiTheme="majorBidi" w:cstheme="majorBidi"/>
          <w:b/>
          <w:bCs/>
          <w:sz w:val="20"/>
          <w:szCs w:val="20"/>
        </w:rPr>
        <w:t xml:space="preserve"> </w:t>
      </w:r>
    </w:p>
    <w:p w14:paraId="7E21B15E" w14:textId="4E872B13" w:rsidR="00D8538D" w:rsidRPr="00EB58FF" w:rsidRDefault="00EB58FF" w:rsidP="00D8538D">
      <w:pPr>
        <w:jc w:val="both"/>
        <w:rPr>
          <w:rFonts w:asciiTheme="majorBidi" w:hAnsiTheme="majorBidi" w:cstheme="majorBidi"/>
        </w:rPr>
      </w:pPr>
      <w:r w:rsidRPr="00EB58FF">
        <w:rPr>
          <w:rFonts w:asciiTheme="majorBidi" w:hAnsiTheme="majorBidi" w:cstheme="majorBidi"/>
        </w:rPr>
        <w:t>The study examines the impact of redistribution of income on Nigeria economic growth and stability. Annual data on GDP growth, Personal Income Tax, Gini Co-efficient (measuring the difference between the rich and poor), inflation (measuring stability), health expenditure and Housing Units (as a measure of social welfare) were obtained from reputable sources such as the World Bank, Federal Ministry of Housing and Urban Development and CBN for the period 1990 to 2023. The study employs the Autoregressive Distributed Lag (ARDL) model to analyze both short-run and long-run relationships among these variables. The BoundsTest for Cointegration was applied to confirm the existence of a long-run equilibrium, and an Error Correction Model (ECM) was used to assess the speed of adjustment toward this equilibrium. The findings demonstrate a positive long-run relationship between Personal Income Tax (PIT), Health expenditure, Housing and economic growth, Specifically, PIT demonstrates a significant positive impact on economic growth in the long run, while exerting a negative effect in the short run. Inflation was identified as the primary inhibitor of stability, showing a significant negative impact on growth. It also creates a wide gap between the rich and poor masses, underscoring the importance of Personal Income Tax in enhancing economic productivity. Based on these results, the study recommends that governments and policymakers should strengthen the administration of Personal Income Tax by widening the tax base, reducing tax evasion, and improving compliance within the informal sector; ensure that government expenditure on critical social sectors such as health and housing should be expanded and efficiently managed in order to create more healthcare infrastructure, affordable housing, and social protection programmes that would improve human capital development, increase labour productivity, and stimulate long-run economic growth; and reduce inequality by prioritising the vulnerable and low-income households so as to promote inclusive growth and social cohesion.</w:t>
      </w:r>
    </w:p>
    <w:p w14:paraId="6D9E716F" w14:textId="77777777" w:rsidR="00D8538D" w:rsidRDefault="00D8538D" w:rsidP="00D8538D">
      <w:pPr>
        <w:jc w:val="both"/>
        <w:rPr>
          <w:rFonts w:asciiTheme="majorBidi" w:hAnsiTheme="majorBidi" w:cstheme="majorBidi"/>
          <w:b/>
          <w:bCs/>
        </w:rPr>
      </w:pPr>
    </w:p>
    <w:p w14:paraId="7272AD20" w14:textId="1D3942EE" w:rsidR="00D8538D" w:rsidRDefault="00D8538D" w:rsidP="009375D7">
      <w:pPr>
        <w:ind w:left="1440" w:hanging="1440"/>
        <w:jc w:val="both"/>
        <w:rPr>
          <w:rFonts w:asciiTheme="majorBidi" w:hAnsiTheme="majorBidi" w:cstheme="majorBidi"/>
          <w:b/>
          <w:bCs/>
        </w:rPr>
      </w:pPr>
      <w:r w:rsidRPr="005813F2">
        <w:rPr>
          <w:rFonts w:asciiTheme="majorBidi" w:hAnsiTheme="majorBidi" w:cstheme="majorBidi"/>
          <w:b/>
          <w:bCs/>
        </w:rPr>
        <w:t>Key</w:t>
      </w:r>
      <w:r>
        <w:rPr>
          <w:rFonts w:asciiTheme="majorBidi" w:hAnsiTheme="majorBidi" w:cstheme="majorBidi"/>
          <w:b/>
          <w:bCs/>
        </w:rPr>
        <w:t xml:space="preserve">words: </w:t>
      </w:r>
      <w:r w:rsidR="009375D7">
        <w:rPr>
          <w:rFonts w:asciiTheme="majorBidi" w:hAnsiTheme="majorBidi" w:cstheme="majorBidi"/>
          <w:b/>
          <w:bCs/>
        </w:rPr>
        <w:tab/>
      </w:r>
      <w:r>
        <w:rPr>
          <w:rFonts w:asciiTheme="majorBidi" w:hAnsiTheme="majorBidi" w:cstheme="majorBidi"/>
          <w:b/>
          <w:bCs/>
        </w:rPr>
        <w:t>Redistribution of Income</w:t>
      </w:r>
      <w:r w:rsidRPr="005813F2">
        <w:rPr>
          <w:rFonts w:asciiTheme="majorBidi" w:hAnsiTheme="majorBidi" w:cstheme="majorBidi"/>
          <w:b/>
          <w:bCs/>
        </w:rPr>
        <w:t xml:space="preserve">, </w:t>
      </w:r>
      <w:r>
        <w:rPr>
          <w:rFonts w:asciiTheme="majorBidi" w:hAnsiTheme="majorBidi" w:cstheme="majorBidi"/>
          <w:b/>
          <w:bCs/>
        </w:rPr>
        <w:t>Progressive tax (as PIT)</w:t>
      </w:r>
      <w:r w:rsidRPr="005813F2">
        <w:rPr>
          <w:rFonts w:asciiTheme="majorBidi" w:hAnsiTheme="majorBidi" w:cstheme="majorBidi"/>
          <w:b/>
          <w:bCs/>
        </w:rPr>
        <w:t>,</w:t>
      </w:r>
      <w:r>
        <w:rPr>
          <w:rFonts w:asciiTheme="majorBidi" w:hAnsiTheme="majorBidi" w:cstheme="majorBidi"/>
          <w:b/>
          <w:bCs/>
        </w:rPr>
        <w:t xml:space="preserve"> Economic Growth and stability, GDP, Gini Co-efficient, ARDL, Health Expenditure</w:t>
      </w:r>
      <w:r w:rsidRPr="005813F2">
        <w:rPr>
          <w:rFonts w:asciiTheme="majorBidi" w:hAnsiTheme="majorBidi" w:cstheme="majorBidi"/>
          <w:b/>
          <w:bCs/>
        </w:rPr>
        <w:t>,</w:t>
      </w:r>
      <w:r>
        <w:rPr>
          <w:rFonts w:asciiTheme="majorBidi" w:hAnsiTheme="majorBidi" w:cstheme="majorBidi"/>
          <w:b/>
          <w:bCs/>
        </w:rPr>
        <w:t xml:space="preserve"> Housing Units</w:t>
      </w:r>
      <w:r w:rsidRPr="005813F2">
        <w:rPr>
          <w:rFonts w:asciiTheme="majorBidi" w:hAnsiTheme="majorBidi" w:cstheme="majorBidi"/>
          <w:b/>
          <w:bCs/>
        </w:rPr>
        <w:t xml:space="preserve"> Inflation, Nigeria.</w:t>
      </w:r>
    </w:p>
    <w:p w14:paraId="3468A3EE" w14:textId="77777777" w:rsidR="00D8538D" w:rsidRDefault="00D8538D" w:rsidP="00D8538D">
      <w:pPr>
        <w:jc w:val="center"/>
        <w:rPr>
          <w:rFonts w:asciiTheme="majorBidi" w:hAnsiTheme="majorBidi" w:cstheme="majorBidi"/>
          <w:b/>
          <w:bCs/>
        </w:rPr>
      </w:pPr>
    </w:p>
    <w:p w14:paraId="2D65AC51" w14:textId="77777777" w:rsidR="00D8538D" w:rsidRDefault="00D8538D" w:rsidP="00D8538D">
      <w:pPr>
        <w:jc w:val="center"/>
        <w:rPr>
          <w:rFonts w:asciiTheme="majorBidi" w:hAnsiTheme="majorBidi" w:cstheme="majorBidi"/>
          <w:b/>
          <w:bCs/>
        </w:rPr>
      </w:pPr>
    </w:p>
    <w:p w14:paraId="30906483" w14:textId="77777777" w:rsidR="00D8538D" w:rsidRDefault="00D8538D" w:rsidP="00D8538D">
      <w:pPr>
        <w:jc w:val="center"/>
        <w:rPr>
          <w:rFonts w:asciiTheme="majorBidi" w:hAnsiTheme="majorBidi" w:cstheme="majorBidi"/>
          <w:b/>
          <w:bCs/>
        </w:rPr>
      </w:pPr>
    </w:p>
    <w:p w14:paraId="2E6CBB33" w14:textId="77777777" w:rsidR="00D8538D" w:rsidRDefault="00D8538D" w:rsidP="00D8538D">
      <w:pPr>
        <w:jc w:val="center"/>
        <w:rPr>
          <w:rFonts w:asciiTheme="majorBidi" w:hAnsiTheme="majorBidi" w:cstheme="majorBidi"/>
          <w:b/>
          <w:bCs/>
        </w:rPr>
      </w:pPr>
    </w:p>
    <w:p w14:paraId="1C56638E" w14:textId="77777777" w:rsidR="00D8538D" w:rsidRDefault="00D8538D" w:rsidP="00D8538D">
      <w:pPr>
        <w:jc w:val="center"/>
        <w:rPr>
          <w:rFonts w:asciiTheme="majorBidi" w:hAnsiTheme="majorBidi" w:cstheme="majorBidi"/>
          <w:b/>
          <w:bCs/>
        </w:rPr>
      </w:pPr>
    </w:p>
    <w:p w14:paraId="3935F1C3" w14:textId="77777777" w:rsidR="00D8538D" w:rsidRDefault="00D8538D" w:rsidP="00D8538D">
      <w:pPr>
        <w:jc w:val="center"/>
        <w:rPr>
          <w:rFonts w:asciiTheme="majorBidi" w:hAnsiTheme="majorBidi" w:cstheme="majorBidi"/>
          <w:b/>
          <w:bCs/>
        </w:rPr>
      </w:pPr>
    </w:p>
    <w:p w14:paraId="6588A200" w14:textId="77777777" w:rsidR="00D8538D" w:rsidRDefault="00D8538D" w:rsidP="00D8538D">
      <w:pPr>
        <w:jc w:val="center"/>
        <w:rPr>
          <w:rFonts w:asciiTheme="majorBidi" w:hAnsiTheme="majorBidi" w:cstheme="majorBidi"/>
          <w:b/>
          <w:bCs/>
        </w:rPr>
      </w:pPr>
    </w:p>
    <w:p w14:paraId="45BBC3E0" w14:textId="77777777" w:rsidR="00D8538D" w:rsidRDefault="00D8538D" w:rsidP="00D8538D">
      <w:pPr>
        <w:jc w:val="center"/>
        <w:rPr>
          <w:rFonts w:asciiTheme="majorBidi" w:hAnsiTheme="majorBidi" w:cstheme="majorBidi"/>
          <w:b/>
          <w:bCs/>
        </w:rPr>
      </w:pPr>
    </w:p>
    <w:p w14:paraId="4F56351A" w14:textId="77777777" w:rsidR="00D8538D" w:rsidRDefault="00D8538D" w:rsidP="00D8538D">
      <w:pPr>
        <w:jc w:val="center"/>
        <w:rPr>
          <w:rFonts w:asciiTheme="majorBidi" w:hAnsiTheme="majorBidi" w:cstheme="majorBidi"/>
          <w:b/>
          <w:bCs/>
        </w:rPr>
      </w:pPr>
    </w:p>
    <w:p w14:paraId="39400049" w14:textId="77777777" w:rsidR="00D8538D" w:rsidRPr="0017616D" w:rsidRDefault="00D8538D" w:rsidP="00D8538D">
      <w:pPr>
        <w:spacing w:before="120" w:after="120"/>
        <w:jc w:val="both"/>
        <w:rPr>
          <w:rFonts w:asciiTheme="majorBidi" w:hAnsiTheme="majorBidi" w:cstheme="majorBidi"/>
          <w:b/>
          <w:bCs/>
        </w:rPr>
      </w:pPr>
      <w:r w:rsidRPr="0017616D">
        <w:rPr>
          <w:rFonts w:asciiTheme="majorBidi" w:hAnsiTheme="majorBidi" w:cstheme="majorBidi"/>
          <w:b/>
          <w:bCs/>
        </w:rPr>
        <w:lastRenderedPageBreak/>
        <w:t>1.0</w:t>
      </w:r>
      <w:r w:rsidRPr="0017616D">
        <w:rPr>
          <w:rFonts w:asciiTheme="majorBidi" w:hAnsiTheme="majorBidi" w:cstheme="majorBidi"/>
          <w:b/>
          <w:bCs/>
        </w:rPr>
        <w:tab/>
        <w:t xml:space="preserve">Introduction </w:t>
      </w:r>
    </w:p>
    <w:p w14:paraId="6757C23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According to Musgrave (1959), redistribution of income refers to the reallocation of income from one group to another through government policies, such as taxation and social welfare programs, to reduce economic inequality and promote social justice. This concept is based on the idea that income and wealth should be distributed in a way that benefits society, rather than just a selected few (Rawls, 1971).  Redistribution policies can take various forms, including: progressive taxation which is taxing the wealthy at a higher rate than the poor, redistribution is also means-tested benefits which is providing financial assistance to individuals or families with limited income or resources and also redistribution of income is social welfare programs which is a government-funded programs that provide support for vulnerable populations, such as the elderly, disabled, or unemployed (Saez &amp; Diamond, 2011; Blank, 2002; Esping-Andersen, 1990; Stiglitz, 2012). </w:t>
      </w:r>
    </w:p>
    <w:p w14:paraId="2CC1AB3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goal of income redistribution is to reduce poverty, inequality, and social unrest, while promoting economic growth and stability (Kakwani &amp; Pernia, 2000). Redistribution of income has emerged as a crucial policy tool in modern economies, aimed at reducing income inequality and promoting economic growth and stability. As governments strive to balance the needs of their citizens (through tax, means-tested benefits, social welfare programs, income inequality metrics, and poverty rates) with the demands of a globalized economy, understanding the impact of redistribution policies on economic outcomes has become increasingly important. </w:t>
      </w:r>
    </w:p>
    <w:p w14:paraId="1CD1450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place of tax in redistribution of income cannot be over emphasized, especially progressive tax. A progressive tax is a tax system where the tax rate increases as the taxpayer's income increases. In other words, the more you earn, the higher tax rate you pay while means-tested benefits are government-provided benefits or services that are targeted towards individuals or families with limited financial resources example is building low-cost housing for the masses especially the poor ones. Another example is construction healthcare centers that are used by the poor people. Eligibility is determined by assessing their income, assets, and/or expenses. </w:t>
      </w:r>
    </w:p>
    <w:p w14:paraId="2351E94C"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It is paramount to know that social welfare, programs are government initiatives that provide support to vulnerable populations, such as the poor, elderly, disabled, and unemployed. When income is well distributed, poverty rate will obviously reduced and this will bring about low Gini-coefficient. These programs aim to improve their well-being, alleviate poverty, and promote social justice while Income inequality metrics are statistical measures used to assess the distribution of income within a population. These metrics help quantify the gap between the rich and the poor, providing insights into economic disparities. Redistribution of income will increase consumption of low-income households who tend to spend a larger porting of their income. It also increases human capital development, that is, targeted transfers (e.g. education, healthcare) can improve productivity and earning potential, driving long-term growth. Redistributing income can equally increase labour force participation, especially among marginalized groups.</w:t>
      </w:r>
    </w:p>
    <w:p w14:paraId="186FD49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This study explores the impact of redistribution of income, specifically through means-tested benefits like building low-cost housing units, social welfare programs like building </w:t>
      </w:r>
      <w:r w:rsidRPr="0017616D">
        <w:rPr>
          <w:rFonts w:asciiTheme="majorBidi" w:hAnsiTheme="majorBidi" w:cstheme="majorBidi"/>
        </w:rPr>
        <w:lastRenderedPageBreak/>
        <w:t>an healthcare centers, income inequality metrics like gini-coefficient, and poverty rates, on economic growth and stability.</w:t>
      </w:r>
    </w:p>
    <w:p w14:paraId="153B5F6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This study evaluates the impact of income redistribution mechanisms on economic growth and stability, with following specific objectives, to:</w:t>
      </w:r>
    </w:p>
    <w:p w14:paraId="21C6BA65" w14:textId="77777777" w:rsidR="00D8538D" w:rsidRPr="0017616D" w:rsidRDefault="00D8538D" w:rsidP="00D8538D">
      <w:pPr>
        <w:ind w:left="720"/>
        <w:jc w:val="both"/>
        <w:rPr>
          <w:rFonts w:asciiTheme="majorBidi" w:hAnsiTheme="majorBidi" w:cstheme="majorBidi"/>
          <w:sz w:val="8"/>
          <w:szCs w:val="8"/>
        </w:rPr>
      </w:pPr>
    </w:p>
    <w:p w14:paraId="5FE98A55"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examine the impact of progressive taxation (Personal Income Tax) on GDP growth;</w:t>
      </w:r>
    </w:p>
    <w:p w14:paraId="1D6CD053"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influence of progressive tax on social welfare spending (Health and Housing expenditure) on economic growth;</w:t>
      </w:r>
    </w:p>
    <w:p w14:paraId="7280B3C6"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analyze the relationship between progressive taxation (Personal Income Tax) and income inequality (Gini Coefficient);</w:t>
      </w:r>
    </w:p>
    <w:p w14:paraId="4E7DB8E7" w14:textId="77777777" w:rsidR="00D8538D" w:rsidRPr="0017616D" w:rsidRDefault="00D8538D" w:rsidP="00D8538D">
      <w:pPr>
        <w:numPr>
          <w:ilvl w:val="1"/>
          <w:numId w:val="3"/>
        </w:numPr>
        <w:ind w:left="1620" w:hanging="180"/>
        <w:jc w:val="both"/>
        <w:rPr>
          <w:rFonts w:asciiTheme="majorBidi" w:hAnsiTheme="majorBidi" w:cstheme="majorBidi"/>
        </w:rPr>
      </w:pPr>
      <w:r w:rsidRPr="0017616D">
        <w:rPr>
          <w:rFonts w:asciiTheme="majorBidi" w:hAnsiTheme="majorBidi" w:cstheme="majorBidi"/>
        </w:rPr>
        <w:t>determine how income redistribution policies influence economic stability (Inflation Rate).</w:t>
      </w:r>
    </w:p>
    <w:p w14:paraId="482B4711" w14:textId="77777777" w:rsidR="00D8538D" w:rsidRPr="0017616D" w:rsidRDefault="00D8538D" w:rsidP="00D8538D">
      <w:pPr>
        <w:ind w:left="1620"/>
        <w:jc w:val="both"/>
        <w:rPr>
          <w:rFonts w:asciiTheme="majorBidi" w:hAnsiTheme="majorBidi" w:cstheme="majorBidi"/>
        </w:rPr>
      </w:pPr>
    </w:p>
    <w:p w14:paraId="3F52262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This following research questions were asked in this study:</w:t>
      </w:r>
    </w:p>
    <w:p w14:paraId="4D8E6AE0" w14:textId="77777777" w:rsidR="00D8538D" w:rsidRPr="0017616D" w:rsidRDefault="00D8538D" w:rsidP="00D8538D">
      <w:pPr>
        <w:ind w:left="720"/>
        <w:jc w:val="both"/>
        <w:rPr>
          <w:rFonts w:asciiTheme="majorBidi" w:hAnsiTheme="majorBidi" w:cstheme="majorBidi"/>
          <w:b/>
          <w:bCs/>
        </w:rPr>
      </w:pPr>
    </w:p>
    <w:p w14:paraId="6BA702DE" w14:textId="77777777" w:rsidR="00D8538D" w:rsidRPr="0017616D" w:rsidRDefault="00D8538D" w:rsidP="00D8538D">
      <w:pPr>
        <w:numPr>
          <w:ilvl w:val="1"/>
          <w:numId w:val="4"/>
        </w:numPr>
        <w:ind w:left="1620" w:hanging="270"/>
        <w:jc w:val="both"/>
        <w:rPr>
          <w:rFonts w:asciiTheme="majorBidi" w:hAnsiTheme="majorBidi" w:cstheme="majorBidi"/>
        </w:rPr>
      </w:pPr>
      <w:r w:rsidRPr="0017616D">
        <w:rPr>
          <w:rFonts w:asciiTheme="majorBidi" w:hAnsiTheme="majorBidi" w:cstheme="majorBidi"/>
        </w:rPr>
        <w:t>How does the Personal Income Tax-to-GDP ratio influence economic growth?</w:t>
      </w:r>
    </w:p>
    <w:p w14:paraId="0125E348"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To what extent is the influence of progressive tax on government investments in health and housing (as means-tested benefits) contribute to economic growth?</w:t>
      </w:r>
    </w:p>
    <w:p w14:paraId="258CF289"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How significant is the impact of Personal Income Tax on reducing the Gini Coefficient?</w:t>
      </w:r>
    </w:p>
    <w:p w14:paraId="2B414026" w14:textId="77777777" w:rsidR="00D8538D" w:rsidRPr="0017616D" w:rsidRDefault="00D8538D" w:rsidP="00D8538D">
      <w:pPr>
        <w:numPr>
          <w:ilvl w:val="1"/>
          <w:numId w:val="4"/>
        </w:numPr>
        <w:ind w:left="1620" w:hanging="180"/>
        <w:jc w:val="both"/>
        <w:rPr>
          <w:rFonts w:asciiTheme="majorBidi" w:hAnsiTheme="majorBidi" w:cstheme="majorBidi"/>
        </w:rPr>
      </w:pPr>
      <w:r w:rsidRPr="0017616D">
        <w:rPr>
          <w:rFonts w:asciiTheme="majorBidi" w:hAnsiTheme="majorBidi" w:cstheme="majorBidi"/>
        </w:rPr>
        <w:t>Does the redistribution of income through fiscal policy significantly affect the inflation rate?</w:t>
      </w:r>
    </w:p>
    <w:p w14:paraId="0F2AEF83" w14:textId="77777777" w:rsidR="00B01E2F" w:rsidRDefault="00B01E2F" w:rsidP="00D8538D">
      <w:pPr>
        <w:jc w:val="both"/>
        <w:rPr>
          <w:rFonts w:asciiTheme="majorBidi" w:hAnsiTheme="majorBidi" w:cstheme="majorBidi"/>
          <w:b/>
          <w:bCs/>
        </w:rPr>
      </w:pPr>
    </w:p>
    <w:p w14:paraId="74AD6FEF" w14:textId="0D04E0A6" w:rsidR="00D8538D" w:rsidRPr="0017616D" w:rsidRDefault="00D8538D" w:rsidP="00D8538D">
      <w:pPr>
        <w:jc w:val="both"/>
        <w:rPr>
          <w:rFonts w:asciiTheme="majorBidi" w:hAnsiTheme="majorBidi" w:cstheme="majorBidi"/>
          <w:b/>
          <w:bCs/>
        </w:rPr>
      </w:pPr>
      <w:r w:rsidRPr="0017616D">
        <w:rPr>
          <w:rFonts w:asciiTheme="majorBidi" w:hAnsiTheme="majorBidi" w:cstheme="majorBidi"/>
          <w:b/>
          <w:bCs/>
        </w:rPr>
        <w:t>2.0</w:t>
      </w:r>
      <w:r w:rsidRPr="0017616D">
        <w:rPr>
          <w:rFonts w:asciiTheme="majorBidi" w:hAnsiTheme="majorBidi" w:cstheme="majorBidi"/>
          <w:b/>
          <w:bCs/>
        </w:rPr>
        <w:tab/>
        <w:t>Literature Review</w:t>
      </w:r>
    </w:p>
    <w:p w14:paraId="3CAC22D4"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Few theories were reviewed in this research work to see the importance of redistribution of income in fostering economic growth and stability.</w:t>
      </w:r>
    </w:p>
    <w:p w14:paraId="32C0F45C"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Progressive taxation theory</w:t>
      </w:r>
      <w:r w:rsidRPr="0017616D">
        <w:rPr>
          <w:rFonts w:asciiTheme="majorBidi" w:hAnsiTheme="majorBidi" w:cstheme="majorBidi"/>
        </w:rPr>
        <w:t xml:space="preserve"> is often attributed to 19th-century economist and philosopher John Stuart Mill, particularly in his work </w:t>
      </w:r>
      <w:r w:rsidRPr="0017616D">
        <w:rPr>
          <w:rFonts w:asciiTheme="majorBidi" w:hAnsiTheme="majorBidi" w:cstheme="majorBidi"/>
          <w:i/>
          <w:iCs/>
        </w:rPr>
        <w:t>Principles of Political Economy</w:t>
      </w:r>
      <w:r w:rsidRPr="0017616D">
        <w:rPr>
          <w:rFonts w:asciiTheme="majorBidi" w:hAnsiTheme="majorBidi" w:cstheme="majorBidi"/>
        </w:rPr>
        <w:t xml:space="preserve"> (1848). However, the concept itself has roots in earlier thinkers like Adam Smith and even ancient civilizations. The idea gained significant traction in the late 19th and early 20th centuries with economists like J.A. Hobson and Arthur Cecil Pigou further developing the theory. The theory suggests that those who earn more should be taxed at a higher rate to reduce income inequality.</w:t>
      </w:r>
    </w:p>
    <w:p w14:paraId="2F6B42FE" w14:textId="77777777" w:rsidR="00D8538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Social Welfare Economics</w:t>
      </w:r>
      <w:r w:rsidRPr="0017616D">
        <w:rPr>
          <w:rFonts w:asciiTheme="majorBidi" w:hAnsiTheme="majorBidi" w:cstheme="majorBidi"/>
        </w:rPr>
        <w:t xml:space="preserve">: Jeremy Bentham's work on utilitarianism, which laid the groundwork for social welfare theory, was published in: An Introduction to the Principles of Morals and Legislation (1789). He introduced the concept of the </w:t>
      </w:r>
      <w:r w:rsidRPr="0017616D">
        <w:rPr>
          <w:rFonts w:asciiTheme="majorBidi" w:hAnsiTheme="majorBidi" w:cstheme="majorBidi"/>
          <w:i/>
          <w:iCs/>
        </w:rPr>
        <w:t>greatest happiness principle</w:t>
      </w:r>
      <w:r w:rsidRPr="0017616D">
        <w:rPr>
          <w:rFonts w:asciiTheme="majorBidi" w:hAnsiTheme="majorBidi" w:cstheme="majorBidi"/>
        </w:rPr>
        <w:t xml:space="preserve"> which posits that actions are right if they promote the greatest happiness for the greatest number of people. In summary, the theory argues that economic policies should aim to maximize social welfare, which can be achieved through redistributive policies.</w:t>
      </w:r>
    </w:p>
    <w:p w14:paraId="006AB3F1" w14:textId="77777777" w:rsidR="00802CD0" w:rsidRDefault="00802CD0" w:rsidP="00D8538D">
      <w:pPr>
        <w:spacing w:before="240"/>
        <w:ind w:left="720"/>
        <w:jc w:val="both"/>
        <w:rPr>
          <w:rFonts w:asciiTheme="majorBidi" w:hAnsiTheme="majorBidi" w:cstheme="majorBidi"/>
        </w:rPr>
      </w:pPr>
    </w:p>
    <w:p w14:paraId="625E4EF9" w14:textId="77777777" w:rsidR="00802CD0" w:rsidRPr="0017616D" w:rsidRDefault="00802CD0" w:rsidP="00D8538D">
      <w:pPr>
        <w:spacing w:before="240"/>
        <w:ind w:left="720"/>
        <w:jc w:val="both"/>
        <w:rPr>
          <w:rFonts w:asciiTheme="majorBidi" w:hAnsiTheme="majorBidi" w:cstheme="majorBidi"/>
        </w:rPr>
      </w:pPr>
    </w:p>
    <w:p w14:paraId="40F5CE62"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b/>
          <w:bCs/>
        </w:rPr>
        <w:t>Empirical Theory</w:t>
      </w:r>
    </w:p>
    <w:p w14:paraId="30FB63B6"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Ediri et al. (2022) examined the impact of tax revenue on Nigeria's economy from 1995 to 2020. Using Ordinary Least Squares (OLS) and Granger causality tests, the study found that: Company Gain Tax (CGT) has an insignificant positive impact on GDP , Customs and Import Duties (CID) has an insignificant positive impact on GDP, Companies Income Tax (CIT) has an insignificant positive impact on GDP, Petroleum Profit Tax (PPT) has an insignificant negative impact on GDP, Value Added Tax (VAT) has an insignificant negative impact on GDP.The study concluded that tax revenue is a source of income to fill the gap for non-tax revenue in the long-run.</w:t>
      </w:r>
    </w:p>
    <w:p w14:paraId="372D1C5A" w14:textId="77777777" w:rsidR="00D8538D" w:rsidRPr="0017616D" w:rsidRDefault="00D8538D" w:rsidP="00D8538D">
      <w:pPr>
        <w:spacing w:before="240"/>
        <w:ind w:left="720"/>
        <w:jc w:val="both"/>
        <w:rPr>
          <w:rFonts w:asciiTheme="majorBidi" w:hAnsiTheme="majorBidi" w:cstheme="majorBidi"/>
        </w:rPr>
      </w:pPr>
      <w:r w:rsidRPr="0017616D">
        <w:rPr>
          <w:rFonts w:asciiTheme="majorBidi" w:hAnsiTheme="majorBidi" w:cstheme="majorBidi"/>
        </w:rPr>
        <w:t>Chetty et al. (2017): "The Fading American Dream: Trends in Absolute Income Mobility Across the US". Analysis of tax data and mobility rates using regression analysis and mobility tables. The study finds that income inequality in the US has increased significantly over the past few decades, and that social mobility has decreased. The authors suggest that progressive taxation and social welfare policies can help mitigate these trends and promote greater economic equality.</w:t>
      </w:r>
    </w:p>
    <w:p w14:paraId="3CD9E854" w14:textId="77777777" w:rsidR="00D8538D" w:rsidRPr="0017616D" w:rsidRDefault="00D8538D" w:rsidP="00D8538D">
      <w:pPr>
        <w:spacing w:before="120" w:after="120"/>
        <w:jc w:val="both"/>
        <w:rPr>
          <w:rFonts w:asciiTheme="majorBidi" w:hAnsiTheme="majorBidi" w:cstheme="majorBidi"/>
          <w:b/>
          <w:bCs/>
        </w:rPr>
      </w:pPr>
      <w:r w:rsidRPr="0017616D">
        <w:rPr>
          <w:rFonts w:asciiTheme="majorBidi" w:hAnsiTheme="majorBidi" w:cstheme="majorBidi"/>
          <w:b/>
          <w:bCs/>
        </w:rPr>
        <w:t>3.0</w:t>
      </w:r>
      <w:r w:rsidRPr="0017616D">
        <w:rPr>
          <w:rFonts w:asciiTheme="majorBidi" w:hAnsiTheme="majorBidi" w:cstheme="majorBidi"/>
          <w:b/>
          <w:bCs/>
        </w:rPr>
        <w:tab/>
        <w:t>Methodology</w:t>
      </w:r>
    </w:p>
    <w:p w14:paraId="0EB2C3F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This study adopted a quantitative research design using annual time-series data covering 36-year period (1990–2025), Autoregressive Distributed Lag (ARDL) cointegration framework was used to examine the long-run and short-run impacts of income redistribution effects on economic growth and stability in Nigeria. </w:t>
      </w:r>
    </w:p>
    <w:p w14:paraId="7B14D8A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b/>
          <w:bCs/>
        </w:rPr>
        <w:t>Model Specification</w:t>
      </w:r>
    </w:p>
    <w:p w14:paraId="69C9986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Following the theoretical frameworks of Musgrave (1959) and the social welfare theories of Pigou (1920), the impact of redistribution on economic growth and stability (GDP) was modelled as a function of progressive taxation (PIT), social welfare expenditures (Health) and Housing, inequality metric (Gini) and stability (inflation). The functional relationship is expressed as:</w:t>
      </w:r>
    </w:p>
    <w:p w14:paraId="75E77CCE" w14:textId="77777777" w:rsidR="00D8538D" w:rsidRPr="0017616D" w:rsidRDefault="00D8538D" w:rsidP="00D8538D">
      <w:pPr>
        <w:ind w:left="720"/>
        <w:jc w:val="both"/>
        <w:rPr>
          <w:rFonts w:asciiTheme="majorBidi" w:hAnsiTheme="majorBidi" w:cstheme="majorBidi"/>
          <w:i/>
        </w:rPr>
      </w:pPr>
      <m:oMathPara>
        <m:oMath>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m:t>
              </m:r>
            </m:sub>
          </m:sSub>
          <m:r>
            <w:rPr>
              <w:rFonts w:ascii="Cambria Math" w:hAnsi="Cambria Math" w:cstheme="majorBidi"/>
            </w:rPr>
            <m:t>=f</m:t>
          </m:r>
          <m:d>
            <m:dPr>
              <m:ctrlPr>
                <w:rPr>
                  <w:rFonts w:ascii="Cambria Math" w:hAnsi="Cambria Math" w:cstheme="majorBidi"/>
                  <w:i/>
                </w:rPr>
              </m:ctrlPr>
            </m:dPr>
            <m:e>
              <m:r>
                <w:rPr>
                  <w:rFonts w:ascii="Cambria Math" w:hAnsi="Cambria Math" w:cstheme="majorBidi"/>
                </w:rPr>
                <m:t>PI</m:t>
              </m:r>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m:t>
                  </m:r>
                </m:sub>
              </m:sSub>
              <m:r>
                <w:rPr>
                  <w:rFonts w:ascii="Cambria Math" w:hAnsi="Cambria Math" w:cstheme="majorBidi"/>
                </w:rPr>
                <m:t>,Healt</m:t>
              </m:r>
              <m:sSub>
                <m:sSubPr>
                  <m:ctrlPr>
                    <w:rPr>
                      <w:rFonts w:ascii="Cambria Math" w:hAnsi="Cambria Math" w:cstheme="majorBidi"/>
                      <w:i/>
                    </w:rPr>
                  </m:ctrlPr>
                </m:sSubPr>
                <m:e>
                  <m:r>
                    <w:rPr>
                      <w:rFonts w:ascii="Cambria Math" w:hAnsi="Cambria Math" w:cstheme="majorBidi"/>
                    </w:rPr>
                    <m:t>h</m:t>
                  </m:r>
                </m:e>
                <m:sub>
                  <m:r>
                    <w:rPr>
                      <w:rFonts w:ascii="Cambria Math" w:hAnsi="Cambria Math" w:cstheme="majorBidi"/>
                    </w:rPr>
                    <m:t>t</m:t>
                  </m:r>
                </m:sub>
              </m:sSub>
              <m:r>
                <w:rPr>
                  <w:rFonts w:ascii="Cambria Math" w:hAnsi="Cambria Math" w:cstheme="majorBidi"/>
                </w:rPr>
                <m:t>,Housin</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t</m:t>
                  </m:r>
                </m:sub>
              </m:sSub>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m:t>
                  </m:r>
                </m:sub>
              </m:sSub>
              <m:r>
                <w:rPr>
                  <w:rFonts w:ascii="Cambria Math" w:hAnsi="Cambria Math" w:cstheme="majorBidi"/>
                </w:rPr>
                <m:t>,In</m:t>
              </m:r>
              <m:sSub>
                <m:sSubPr>
                  <m:ctrlPr>
                    <w:rPr>
                      <w:rFonts w:ascii="Cambria Math" w:hAnsi="Cambria Math" w:cstheme="majorBidi"/>
                      <w:i/>
                    </w:rPr>
                  </m:ctrlPr>
                </m:sSubPr>
                <m:e>
                  <m:r>
                    <w:rPr>
                      <w:rFonts w:ascii="Cambria Math" w:hAnsi="Cambria Math" w:cstheme="majorBidi"/>
                    </w:rPr>
                    <m:t>flation</m:t>
                  </m:r>
                </m:e>
                <m:sub>
                  <m:r>
                    <w:rPr>
                      <w:rFonts w:ascii="Cambria Math" w:hAnsi="Cambria Math" w:cstheme="majorBidi"/>
                    </w:rPr>
                    <m:t>t</m:t>
                  </m:r>
                </m:sub>
              </m:sSub>
            </m:e>
          </m:d>
        </m:oMath>
      </m:oMathPara>
    </w:p>
    <w:p w14:paraId="4CABD42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econometric specification of the ARDL </w:t>
      </w:r>
      <m:oMath>
        <m:d>
          <m:dPr>
            <m:ctrlPr>
              <w:rPr>
                <w:rFonts w:ascii="Cambria Math" w:hAnsi="Cambria Math" w:cstheme="majorBidi"/>
                <w:i/>
              </w:rPr>
            </m:ctrlPr>
          </m:dPr>
          <m:e>
            <m:r>
              <w:rPr>
                <w:rFonts w:ascii="Cambria Math" w:hAnsi="Cambria Math" w:cstheme="majorBidi"/>
              </w:rPr>
              <m:t>p,</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e>
        </m:d>
      </m:oMath>
      <w:r w:rsidRPr="0017616D">
        <w:rPr>
          <w:rFonts w:asciiTheme="majorBidi" w:hAnsiTheme="majorBidi" w:cstheme="majorBidi"/>
        </w:rPr>
        <w:t xml:space="preserve"> model and the Unrestricted Error Correction Model (UECM) are specified as follows:</w:t>
      </w:r>
    </w:p>
    <w:p w14:paraId="76F7F7E5" w14:textId="77777777" w:rsidR="00D8538D" w:rsidRPr="0017616D" w:rsidRDefault="00D8538D" w:rsidP="00D8538D">
      <w:pPr>
        <w:ind w:left="720" w:right="-244"/>
        <w:jc w:val="both"/>
        <w:rPr>
          <w:rFonts w:asciiTheme="majorBidi" w:hAnsiTheme="majorBidi" w:cstheme="majorBidi"/>
        </w:rPr>
      </w:pPr>
      <m:oMathPara>
        <m:oMathParaPr>
          <m:jc m:val="left"/>
        </m:oMathParaPr>
        <m:oMath>
          <m:r>
            <m:rPr>
              <m:sty m:val="p"/>
            </m:rPr>
            <w:rPr>
              <w:rFonts w:ascii="Cambria Math" w:hAnsi="Cambria Math" w:cstheme="majorBidi"/>
            </w:rPr>
            <m:t>Δ</m:t>
          </m:r>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eqArr>
            <m:eqArrPr>
              <m:ctrlPr>
                <w:rPr>
                  <w:rFonts w:ascii="Cambria Math" w:hAnsi="Cambria Math" w:cstheme="majorBidi"/>
                  <w:i/>
                </w:rPr>
              </m:ctrlPr>
            </m:eqArrPr>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i=1</m:t>
                  </m:r>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i</m:t>
                      </m:r>
                    </m:sub>
                  </m:sSub>
                  <m:r>
                    <m:rPr>
                      <m:sty m:val="p"/>
                    </m:rPr>
                    <w:rPr>
                      <w:rFonts w:ascii="Cambria Math" w:hAnsi="Cambria Math" w:cstheme="majorBidi"/>
                    </w:rPr>
                    <m:t>Δ</m:t>
                  </m:r>
                </m:e>
              </m:nary>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t-i</m:t>
                  </m:r>
                </m:sub>
              </m:sSub>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sup>
                <m:e>
                  <m:sSub>
                    <m:sSubPr>
                      <m:ctrlPr>
                        <w:rPr>
                          <w:rFonts w:ascii="Cambria Math" w:hAnsi="Cambria Math" w:cstheme="majorBidi"/>
                          <w:i/>
                        </w:rPr>
                      </m:ctrlPr>
                    </m:sSubPr>
                    <m:e>
                      <m:r>
                        <w:rPr>
                          <w:rFonts w:ascii="Cambria Math" w:hAnsi="Cambria Math" w:cstheme="majorBidi"/>
                        </w:rPr>
                        <m:t>δ</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PI</m:t>
                  </m:r>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T</m:t>
                          </m:r>
                        </m:e>
                        <m:sub>
                          <m:r>
                            <w:rPr>
                              <w:rFonts w:ascii="Cambria Math" w:hAnsi="Cambria Math" w:cstheme="majorBidi"/>
                            </w:rPr>
                            <m:t>t-j</m:t>
                          </m:r>
                        </m:sub>
                      </m:sSub>
                    </m:e>
                    <m:sub>
                      <m:r>
                        <w:rPr>
                          <w:rFonts w:ascii="Cambria Math" w:hAnsi="Cambria Math" w:cstheme="majorBidi"/>
                        </w:rPr>
                        <m:t xml:space="preserve"> </m:t>
                      </m:r>
                    </m:sub>
                  </m:sSub>
                </m:e>
              </m:nary>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sup>
                <m:e>
                  <m:sSub>
                    <m:sSubPr>
                      <m:ctrlPr>
                        <w:rPr>
                          <w:rFonts w:ascii="Cambria Math" w:hAnsi="Cambria Math" w:cstheme="majorBidi"/>
                          <w:i/>
                        </w:rPr>
                      </m:ctrlPr>
                    </m:sSubPr>
                    <m:e>
                      <m:r>
                        <w:rPr>
                          <w:rFonts w:ascii="Cambria Math" w:hAnsi="Cambria Math" w:cstheme="majorBidi"/>
                        </w:rPr>
                        <m:t>θ</m:t>
                      </m:r>
                    </m:e>
                    <m:sub>
                      <m:r>
                        <w:rPr>
                          <w:rFonts w:ascii="Cambria Math" w:hAnsi="Cambria Math" w:cstheme="majorBidi"/>
                        </w:rPr>
                        <m:t>j</m:t>
                      </m:r>
                    </m:sub>
                  </m:sSub>
                  <m:r>
                    <m:rPr>
                      <m:sty m:val="p"/>
                    </m:rPr>
                    <w:rPr>
                      <w:rFonts w:ascii="Cambria Math" w:hAnsi="Cambria Math" w:cstheme="majorBidi"/>
                    </w:rPr>
                    <m:t xml:space="preserve">Δ </m:t>
                  </m:r>
                  <m:r>
                    <w:rPr>
                      <w:rFonts w:ascii="Cambria Math" w:hAnsi="Cambria Math" w:cstheme="majorBidi"/>
                    </w:rPr>
                    <m:t>Healt</m:t>
                  </m:r>
                  <m:sSub>
                    <m:sSubPr>
                      <m:ctrlPr>
                        <w:rPr>
                          <w:rFonts w:ascii="Cambria Math" w:hAnsi="Cambria Math" w:cstheme="majorBidi"/>
                          <w:i/>
                        </w:rPr>
                      </m:ctrlPr>
                    </m:sSubPr>
                    <m:e>
                      <m:r>
                        <w:rPr>
                          <w:rFonts w:ascii="Cambria Math" w:hAnsi="Cambria Math" w:cstheme="majorBidi"/>
                        </w:rPr>
                        <m:t>h</m:t>
                      </m:r>
                    </m:e>
                    <m:sub>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t-j</m:t>
                          </m:r>
                        </m:sub>
                      </m:sSub>
                    </m:sub>
                  </m:sSub>
                </m:e>
              </m:nary>
              <m:r>
                <w:rPr>
                  <w:rFonts w:ascii="Cambria Math" w:hAnsi="Cambria Math" w:cstheme="majorBidi"/>
                </w:rPr>
                <m:t>&amp;</m:t>
              </m:r>
            </m:e>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sup>
                <m:e>
                  <m:sSub>
                    <m:sSubPr>
                      <m:ctrlPr>
                        <w:rPr>
                          <w:rFonts w:ascii="Cambria Math" w:hAnsi="Cambria Math" w:cstheme="majorBidi"/>
                          <w:i/>
                        </w:rPr>
                      </m:ctrlPr>
                    </m:sSubPr>
                    <m:e>
                      <m:r>
                        <w:rPr>
                          <w:rFonts w:ascii="Cambria Math" w:hAnsi="Cambria Math" w:cstheme="majorBidi"/>
                        </w:rPr>
                        <m:t>ϕ</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Housin</m:t>
                  </m:r>
                  <m:sSub>
                    <m:sSubPr>
                      <m:ctrlPr>
                        <w:rPr>
                          <w:rFonts w:ascii="Cambria Math" w:hAnsi="Cambria Math" w:cstheme="majorBidi"/>
                          <w:i/>
                        </w:rPr>
                      </m:ctrlPr>
                    </m:sSubPr>
                    <m:e>
                      <m:r>
                        <w:rPr>
                          <w:rFonts w:ascii="Cambria Math" w:hAnsi="Cambria Math" w:cstheme="majorBidi"/>
                        </w:rPr>
                        <m:t>g</m:t>
                      </m:r>
                    </m:e>
                    <m:sub>
                      <m:r>
                        <w:rPr>
                          <w:rFonts w:ascii="Cambria Math" w:hAnsi="Cambria Math" w:cstheme="majorBidi"/>
                        </w:rPr>
                        <m:t>t-j</m:t>
                      </m:r>
                    </m:sub>
                  </m:sSub>
                </m:e>
              </m:nary>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sup>
                <m:e>
                  <m:sSub>
                    <m:sSubPr>
                      <m:ctrlPr>
                        <w:rPr>
                          <w:rFonts w:ascii="Cambria Math" w:hAnsi="Cambria Math" w:cstheme="majorBidi"/>
                          <w:i/>
                        </w:rPr>
                      </m:ctrlPr>
                    </m:sSubPr>
                    <m:e>
                      <m:r>
                        <w:rPr>
                          <w:rFonts w:ascii="Cambria Math" w:hAnsi="Cambria Math" w:cstheme="majorBidi"/>
                        </w:rPr>
                        <m:t>ω</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t-j</m:t>
                      </m:r>
                    </m:sub>
                  </m:sSub>
                </m:e>
              </m:nary>
              <m:r>
                <w:rPr>
                  <w:rFonts w:ascii="Cambria Math" w:hAnsi="Cambria Math" w:cstheme="majorBidi"/>
                </w:rPr>
                <m:t>&amp;</m:t>
              </m:r>
            </m:e>
            <m:e>
              <m:r>
                <w:rPr>
                  <w:rFonts w:ascii="Cambria Math" w:hAnsi="Cambria Math" w:cstheme="majorBidi"/>
                </w:rPr>
                <m:t>+</m:t>
              </m:r>
              <m:nary>
                <m:naryPr>
                  <m:chr m:val="∑"/>
                  <m:ctrlPr>
                    <w:rPr>
                      <w:rFonts w:ascii="Cambria Math" w:hAnsi="Cambria Math" w:cstheme="majorBidi"/>
                      <w:i/>
                    </w:rPr>
                  </m:ctrlPr>
                </m:naryPr>
                <m:sub>
                  <m:r>
                    <w:rPr>
                      <w:rFonts w:ascii="Cambria Math" w:hAnsi="Cambria Math" w:cstheme="majorBidi"/>
                    </w:rPr>
                    <m:t>j=0</m:t>
                  </m:r>
                </m:sub>
                <m:sup>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sup>
                <m:e>
                  <m:sSub>
                    <m:sSubPr>
                      <m:ctrlPr>
                        <w:rPr>
                          <w:rFonts w:ascii="Cambria Math" w:hAnsi="Cambria Math" w:cstheme="majorBidi"/>
                          <w:i/>
                        </w:rPr>
                      </m:ctrlPr>
                    </m:sSubPr>
                    <m:e>
                      <m:r>
                        <w:rPr>
                          <w:rFonts w:ascii="Cambria Math" w:hAnsi="Cambria Math" w:cstheme="majorBidi"/>
                        </w:rPr>
                        <m:t>σ</m:t>
                      </m:r>
                    </m:e>
                    <m:sub>
                      <m:r>
                        <w:rPr>
                          <w:rFonts w:ascii="Cambria Math" w:hAnsi="Cambria Math" w:cstheme="majorBidi"/>
                        </w:rPr>
                        <m:t>j</m:t>
                      </m:r>
                    </m:sub>
                  </m:sSub>
                  <m:r>
                    <m:rPr>
                      <m:sty m:val="p"/>
                    </m:rPr>
                    <w:rPr>
                      <w:rFonts w:ascii="Cambria Math" w:hAnsi="Cambria Math" w:cstheme="majorBidi"/>
                    </w:rPr>
                    <m:t>Δ</m:t>
                  </m:r>
                  <m:r>
                    <w:rPr>
                      <w:rFonts w:ascii="Cambria Math" w:hAnsi="Cambria Math" w:cstheme="majorBidi"/>
                    </w:rPr>
                    <m:t>Inflation</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t-j</m:t>
                      </m:r>
                    </m:sub>
                  </m:sSub>
                </m:e>
              </m:nary>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1</m:t>
                  </m:r>
                </m:sub>
              </m:sSub>
              <m:r>
                <w:rPr>
                  <w:rFonts w:ascii="Cambria Math" w:hAnsi="Cambria Math" w:cstheme="majorBidi"/>
                </w:rPr>
                <m:t>ln</m:t>
              </m:r>
              <m:sSub>
                <m:sSubPr>
                  <m:ctrlPr>
                    <w:rPr>
                      <w:rFonts w:ascii="Cambria Math" w:hAnsi="Cambria Math" w:cstheme="majorBidi"/>
                      <w:i/>
                    </w:rPr>
                  </m:ctrlPr>
                </m:sSubPr>
                <m:e>
                  <m:d>
                    <m:dPr>
                      <m:ctrlPr>
                        <w:rPr>
                          <w:rFonts w:ascii="Cambria Math" w:hAnsi="Cambria Math" w:cstheme="majorBidi"/>
                          <w:i/>
                        </w:rPr>
                      </m:ctrlPr>
                    </m:dPr>
                    <m:e>
                      <m:r>
                        <w:rPr>
                          <w:rFonts w:ascii="Cambria Math" w:hAnsi="Cambria Math" w:cstheme="majorBidi"/>
                        </w:rPr>
                        <m:t>GDP</m:t>
                      </m:r>
                    </m:e>
                  </m:d>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2</m:t>
                  </m:r>
                </m:sub>
              </m:sSub>
              <m:r>
                <w:rPr>
                  <w:rFonts w:ascii="Cambria Math" w:hAnsi="Cambria Math" w:cstheme="majorBidi"/>
                </w:rPr>
                <m:t>PIT_t-1+</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3</m:t>
                  </m:r>
                </m:sub>
              </m:sSub>
              <m:r>
                <w:rPr>
                  <w:rFonts w:ascii="Cambria Math" w:hAnsi="Cambria Math" w:cstheme="majorBidi"/>
                </w:rPr>
                <m:t>Health</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&amp;</m:t>
              </m:r>
            </m:e>
            <m:e>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4</m:t>
                  </m:r>
                </m:sub>
              </m:sSub>
              <m:r>
                <w:rPr>
                  <w:rFonts w:ascii="Cambria Math" w:hAnsi="Cambria Math" w:cstheme="majorBidi"/>
                </w:rPr>
                <m:t>Housing</m:t>
              </m:r>
              <m:r>
                <m:rPr>
                  <m:lit/>
                </m:rPr>
                <w:rPr>
                  <w:rFonts w:ascii="Cambria Math" w:hAnsi="Cambria Math" w:cstheme="majorBidi"/>
                </w:rPr>
                <m:t>_</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5</m:t>
                  </m:r>
                </m:sub>
              </m:sSub>
              <m:r>
                <w:rPr>
                  <w:rFonts w:ascii="Cambria Math" w:hAnsi="Cambria Math" w:cstheme="majorBidi"/>
                </w:rPr>
                <m:t>Gin</m:t>
              </m:r>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6</m:t>
                  </m:r>
                </m:sub>
              </m:sSub>
              <m:r>
                <w:rPr>
                  <w:rFonts w:ascii="Cambria Math" w:hAnsi="Cambria Math" w:cstheme="majorBidi"/>
                </w:rPr>
                <m:t>Inflation</m:t>
              </m:r>
              <m:sSub>
                <m:sSubPr>
                  <m:ctrlPr>
                    <w:rPr>
                      <w:rFonts w:ascii="Cambria Math" w:hAnsi="Cambria Math" w:cstheme="majorBidi"/>
                      <w:i/>
                    </w:rPr>
                  </m:ctrlPr>
                </m:sSubPr>
                <m:e>
                  <m:r>
                    <w:rPr>
                      <w:rFonts w:ascii="Cambria Math" w:hAnsi="Cambria Math" w:cstheme="majorBidi"/>
                    </w:rPr>
                    <m:t xml:space="preserve"> </m:t>
                  </m:r>
                </m:e>
                <m:sub>
                  <m:r>
                    <w:rPr>
                      <w:rFonts w:ascii="Cambria Math" w:hAnsi="Cambria Math" w:cstheme="majorBidi"/>
                    </w:rPr>
                    <m:t>t-1</m:t>
                  </m:r>
                </m:sub>
              </m:sSub>
              <m:r>
                <w:rPr>
                  <w:rFonts w:ascii="Cambria Math" w:hAnsi="Cambria Math" w:cstheme="majorBidi"/>
                </w:rPr>
                <m:t>&amp;</m:t>
              </m:r>
            </m:e>
            <m:e>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ϵ</m:t>
                  </m:r>
                </m:e>
                <m:sub>
                  <m:r>
                    <w:rPr>
                      <w:rFonts w:ascii="Cambria Math" w:hAnsi="Cambria Math" w:cstheme="majorBidi"/>
                    </w:rPr>
                    <m:t>t</m:t>
                  </m:r>
                </m:sub>
              </m:sSub>
            </m:e>
          </m:eqArr>
        </m:oMath>
      </m:oMathPara>
    </w:p>
    <w:p w14:paraId="21EE10D1" w14:textId="77777777" w:rsidR="00D8538D" w:rsidRPr="0017616D" w:rsidRDefault="00D8538D" w:rsidP="00D8538D">
      <w:pPr>
        <w:jc w:val="both"/>
        <w:rPr>
          <w:rFonts w:asciiTheme="majorBidi" w:hAnsiTheme="majorBidi" w:cstheme="majorBidi"/>
          <w:b/>
          <w:bCs/>
        </w:rPr>
      </w:pPr>
    </w:p>
    <w:p w14:paraId="4507E8E2" w14:textId="77777777" w:rsidR="00D8538D" w:rsidRPr="0017616D" w:rsidRDefault="00D8538D" w:rsidP="00D8538D">
      <w:pPr>
        <w:ind w:left="720"/>
        <w:jc w:val="both"/>
        <w:rPr>
          <w:rFonts w:asciiTheme="majorBidi" w:hAnsiTheme="majorBidi" w:cstheme="majorBidi"/>
          <w:b/>
          <w:bCs/>
        </w:rPr>
      </w:pPr>
      <w:r w:rsidRPr="0017616D">
        <w:rPr>
          <w:rFonts w:asciiTheme="majorBidi" w:hAnsiTheme="majorBidi" w:cstheme="majorBidi"/>
          <w:b/>
          <w:bCs/>
        </w:rPr>
        <w:t>Where:</w:t>
      </w:r>
    </w:p>
    <w:p w14:paraId="5B7E0077" w14:textId="77777777" w:rsidR="00D8538D" w:rsidRPr="0017616D" w:rsidRDefault="00D8538D" w:rsidP="00D8538D">
      <w:pPr>
        <w:numPr>
          <w:ilvl w:val="0"/>
          <w:numId w:val="1"/>
        </w:numPr>
        <w:tabs>
          <w:tab w:val="clear" w:pos="720"/>
          <w:tab w:val="num" w:pos="1440"/>
        </w:tabs>
        <w:ind w:left="1440"/>
        <w:jc w:val="both"/>
        <w:rPr>
          <w:rFonts w:ascii="Cambria Math" w:hAnsi="Cambria Math" w:cstheme="majorBidi"/>
          <w:oMath/>
        </w:rPr>
      </w:pPr>
      <m:oMath>
        <m:r>
          <m:rPr>
            <m:sty m:val="p"/>
          </m:rPr>
          <w:rPr>
            <w:rFonts w:ascii="Cambria Math" w:hAnsi="Cambria Math" w:cstheme="majorBidi"/>
          </w:rPr>
          <m:t>Δ</m:t>
        </m:r>
        <m:r>
          <w:rPr>
            <w:rFonts w:ascii="Cambria Math" w:hAnsi="Cambria Math" w:cstheme="majorBidi"/>
          </w:rPr>
          <m:t xml:space="preserve"> represents the first difference operator</m:t>
        </m:r>
      </m:oMath>
    </w:p>
    <w:p w14:paraId="0BE4B152" w14:textId="77777777" w:rsidR="00D8538D" w:rsidRPr="0017616D" w:rsidRDefault="00000000"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is the constant intercept</m:t>
        </m:r>
      </m:oMath>
    </w:p>
    <w:p w14:paraId="5F735354" w14:textId="77777777" w:rsidR="00D8538D" w:rsidRPr="0017616D" w:rsidRDefault="00D8538D" w:rsidP="00D8538D">
      <w:pPr>
        <w:numPr>
          <w:ilvl w:val="0"/>
          <w:numId w:val="1"/>
        </w:numPr>
        <w:tabs>
          <w:tab w:val="clear" w:pos="720"/>
          <w:tab w:val="num" w:pos="1440"/>
        </w:tabs>
        <w:ind w:left="1440"/>
        <w:jc w:val="both"/>
        <w:rPr>
          <w:rFonts w:ascii="Cambria Math" w:hAnsi="Cambria Math" w:cstheme="majorBidi"/>
          <w:oMath/>
        </w:rPr>
      </w:pPr>
      <m:oMath>
        <m:r>
          <w:rPr>
            <w:rFonts w:ascii="Cambria Math" w:hAnsi="Cambria Math" w:cstheme="majorBidi"/>
          </w:rPr>
          <m:t>γ, δ, θ, ϕ, ω, σ are the short-run dynamic coefficients</m:t>
        </m:r>
      </m:oMath>
    </w:p>
    <w:p w14:paraId="6650B4B9" w14:textId="77777777" w:rsidR="00D8538D" w:rsidRPr="0017616D" w:rsidRDefault="00000000"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1</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6</m:t>
            </m:r>
          </m:sub>
        </m:sSub>
        <m:r>
          <w:rPr>
            <w:rFonts w:ascii="Cambria Math" w:hAnsi="Cambria Math" w:cstheme="majorBidi"/>
          </w:rPr>
          <m:t xml:space="preserve"> represent the long-run multipliers</m:t>
        </m:r>
      </m:oMath>
    </w:p>
    <w:p w14:paraId="41321D09" w14:textId="77777777" w:rsidR="00D8538D" w:rsidRPr="0017616D" w:rsidRDefault="00000000" w:rsidP="00D8538D">
      <w:pPr>
        <w:numPr>
          <w:ilvl w:val="0"/>
          <w:numId w:val="1"/>
        </w:numPr>
        <w:tabs>
          <w:tab w:val="clear" w:pos="720"/>
          <w:tab w:val="num" w:pos="1440"/>
        </w:tabs>
        <w:ind w:left="1440"/>
        <w:jc w:val="both"/>
        <w:rPr>
          <w:rFonts w:ascii="Cambria Math" w:hAnsi="Cambria Math" w:cstheme="majorBidi"/>
          <w:oMath/>
        </w:rPr>
      </w:pPr>
      <m:oMath>
        <m:sSub>
          <m:sSubPr>
            <m:ctrlPr>
              <w:rPr>
                <w:rFonts w:ascii="Cambria Math" w:hAnsi="Cambria Math" w:cstheme="majorBidi"/>
                <w:i/>
              </w:rPr>
            </m:ctrlPr>
          </m:sSubPr>
          <m:e>
            <m:r>
              <w:rPr>
                <w:rFonts w:ascii="Cambria Math" w:hAnsi="Cambria Math" w:cstheme="majorBidi"/>
              </w:rPr>
              <m:t>ϵ</m:t>
            </m:r>
          </m:e>
          <m:sub>
            <m:r>
              <w:rPr>
                <w:rFonts w:ascii="Cambria Math" w:hAnsi="Cambria Math" w:cstheme="majorBidi"/>
              </w:rPr>
              <m:t>t</m:t>
            </m:r>
          </m:sub>
        </m:sSub>
        <m:r>
          <w:rPr>
            <w:rFonts w:ascii="Cambria Math" w:hAnsi="Cambria Math" w:cstheme="majorBidi"/>
          </w:rPr>
          <m:t>is the white noise error term.</m:t>
        </m:r>
      </m:oMath>
    </w:p>
    <w:p w14:paraId="3A90B777" w14:textId="77777777" w:rsidR="00D8538D" w:rsidRPr="0017616D" w:rsidRDefault="00D8538D" w:rsidP="00D8538D">
      <w:pPr>
        <w:pStyle w:val="ListParagraph"/>
        <w:numPr>
          <w:ilvl w:val="0"/>
          <w:numId w:val="1"/>
        </w:numPr>
        <w:tabs>
          <w:tab w:val="clear" w:pos="720"/>
          <w:tab w:val="num" w:pos="1440"/>
        </w:tabs>
        <w:ind w:left="1440"/>
        <w:rPr>
          <w:rFonts w:asciiTheme="majorBidi" w:hAnsiTheme="majorBidi" w:cstheme="majorBidi"/>
        </w:rPr>
      </w:pPr>
      <m:oMath>
        <m:r>
          <w:rPr>
            <w:rFonts w:ascii="Cambria Math" w:hAnsi="Cambria Math" w:cstheme="majorBidi"/>
          </w:rPr>
          <m:t>p,</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2</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3</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4</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5</m:t>
            </m:r>
          </m:sub>
        </m:sSub>
        <m:r>
          <w:rPr>
            <w:rFonts w:ascii="Cambria Math" w:hAnsi="Cambria Math" w:cstheme="majorBidi"/>
          </w:rPr>
          <m:t xml:space="preserve">: Optimal lag lengths determined by criteria- SIC </m:t>
        </m:r>
        <m:d>
          <m:dPr>
            <m:ctrlPr>
              <w:rPr>
                <w:rFonts w:ascii="Cambria Math" w:hAnsi="Cambria Math" w:cstheme="majorBidi"/>
                <w:i/>
              </w:rPr>
            </m:ctrlPr>
          </m:dPr>
          <m:e>
            <m:r>
              <w:rPr>
                <w:rFonts w:ascii="Cambria Math" w:hAnsi="Cambria Math" w:cstheme="majorBidi"/>
              </w:rPr>
              <m:t>Schwarz Information Criterion</m:t>
            </m:r>
          </m:e>
        </m:d>
        <m:r>
          <w:rPr>
            <w:rFonts w:ascii="Cambria Math" w:hAnsi="Cambria Math" w:cstheme="majorBidi"/>
          </w:rPr>
          <m:t>.</m:t>
        </m:r>
      </m:oMath>
    </w:p>
    <w:p w14:paraId="5CDB17D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Data Sources and Description</w:t>
      </w:r>
    </w:p>
    <w:p w14:paraId="5C2F45A3"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Data for this study were obtained from secondary sources including the World Bank’s World Development Indicators (WDI) and national statistical records. The variables are defined as follows:</w:t>
      </w:r>
    </w:p>
    <w:p w14:paraId="1C8F5B94"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3.1: Description of the Variables</w:t>
      </w:r>
    </w:p>
    <w:tbl>
      <w:tblPr>
        <w:tblStyle w:val="TableGrid"/>
        <w:tblW w:w="4538" w:type="pct"/>
        <w:tblInd w:w="828" w:type="dxa"/>
        <w:tblLook w:val="04A0" w:firstRow="1" w:lastRow="0" w:firstColumn="1" w:lastColumn="0" w:noHBand="0" w:noVBand="1"/>
      </w:tblPr>
      <w:tblGrid>
        <w:gridCol w:w="1032"/>
        <w:gridCol w:w="7454"/>
      </w:tblGrid>
      <w:tr w:rsidR="00D8538D" w:rsidRPr="0017616D" w14:paraId="38519D68" w14:textId="77777777" w:rsidTr="004C4BAC">
        <w:tc>
          <w:tcPr>
            <w:tcW w:w="608" w:type="pct"/>
          </w:tcPr>
          <w:p w14:paraId="42B8FCAE"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b/>
                <w:bCs/>
                <w:sz w:val="20"/>
                <w:szCs w:val="20"/>
              </w:rPr>
              <w:t>ln(GDP)</w:t>
            </w:r>
          </w:p>
        </w:tc>
        <w:tc>
          <w:tcPr>
            <w:tcW w:w="4392" w:type="pct"/>
          </w:tcPr>
          <w:p w14:paraId="4DC276BA" w14:textId="77777777" w:rsidR="00D8538D" w:rsidRPr="0017616D" w:rsidRDefault="00D8538D" w:rsidP="004C4BAC">
            <w:pPr>
              <w:rPr>
                <w:rFonts w:asciiTheme="majorBidi" w:hAnsiTheme="majorBidi" w:cstheme="majorBidi"/>
                <w:sz w:val="20"/>
                <w:szCs w:val="20"/>
              </w:rPr>
            </w:pPr>
            <w:r w:rsidRPr="0017616D">
              <w:rPr>
                <w:rFonts w:asciiTheme="majorBidi" w:hAnsiTheme="majorBidi" w:cstheme="majorBidi"/>
                <w:sz w:val="20"/>
                <w:szCs w:val="20"/>
              </w:rPr>
              <w:t>Real GDP in natural logs as proxy for Economic Growth (Dependent Variable).</w:t>
            </w:r>
          </w:p>
        </w:tc>
      </w:tr>
      <w:tr w:rsidR="00D8538D" w:rsidRPr="0017616D" w14:paraId="6D7348DF" w14:textId="77777777" w:rsidTr="004C4BAC">
        <w:tc>
          <w:tcPr>
            <w:tcW w:w="608" w:type="pct"/>
          </w:tcPr>
          <w:p w14:paraId="2E105E79"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b/>
                <w:bCs/>
                <w:sz w:val="20"/>
                <w:szCs w:val="20"/>
              </w:rPr>
              <w:t>PIT</w:t>
            </w:r>
          </w:p>
        </w:tc>
        <w:tc>
          <w:tcPr>
            <w:tcW w:w="4392" w:type="pct"/>
          </w:tcPr>
          <w:p w14:paraId="45050A91"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Personal Income Tax revenue as a percentage of GDP (Proxy for Progressive Taxation)</w:t>
            </w:r>
          </w:p>
        </w:tc>
      </w:tr>
      <w:tr w:rsidR="00D8538D" w:rsidRPr="0017616D" w14:paraId="42DC0DCD" w14:textId="77777777" w:rsidTr="004C4BAC">
        <w:tc>
          <w:tcPr>
            <w:tcW w:w="608" w:type="pct"/>
          </w:tcPr>
          <w:p w14:paraId="7ABF77F0"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Health</w:t>
            </w:r>
          </w:p>
        </w:tc>
        <w:tc>
          <w:tcPr>
            <w:tcW w:w="4392" w:type="pct"/>
          </w:tcPr>
          <w:p w14:paraId="1E6925CE"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Public expenditure on health services as a percentage of GDP (Proxy for Social Welfare).</w:t>
            </w:r>
          </w:p>
        </w:tc>
      </w:tr>
      <w:tr w:rsidR="00D8538D" w:rsidRPr="0017616D" w14:paraId="4FBBA88D" w14:textId="77777777" w:rsidTr="004C4BAC">
        <w:tc>
          <w:tcPr>
            <w:tcW w:w="608" w:type="pct"/>
          </w:tcPr>
          <w:p w14:paraId="0F0A53A2"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Housing</w:t>
            </w:r>
          </w:p>
        </w:tc>
        <w:tc>
          <w:tcPr>
            <w:tcW w:w="4392" w:type="pct"/>
          </w:tcPr>
          <w:p w14:paraId="1A371F62" w14:textId="77777777" w:rsidR="00D8538D" w:rsidRPr="0017616D" w:rsidRDefault="00D8538D" w:rsidP="004C4BAC">
            <w:pPr>
              <w:rPr>
                <w:rFonts w:asciiTheme="majorBidi" w:hAnsiTheme="majorBidi" w:cstheme="majorBidi"/>
                <w:sz w:val="20"/>
                <w:szCs w:val="20"/>
              </w:rPr>
            </w:pPr>
            <w:r w:rsidRPr="0017616D">
              <w:rPr>
                <w:rFonts w:asciiTheme="majorBidi" w:hAnsiTheme="majorBidi" w:cstheme="majorBidi"/>
                <w:sz w:val="20"/>
                <w:szCs w:val="20"/>
              </w:rPr>
              <w:t>Public expenditure on social housing/infrastructure as a percentage of GDP (Proxy for Means-tested Benefits).</w:t>
            </w:r>
          </w:p>
        </w:tc>
      </w:tr>
      <w:tr w:rsidR="00D8538D" w:rsidRPr="0017616D" w14:paraId="3DE970D5" w14:textId="77777777" w:rsidTr="004C4BAC">
        <w:tc>
          <w:tcPr>
            <w:tcW w:w="608" w:type="pct"/>
          </w:tcPr>
          <w:p w14:paraId="6D3DFAAB"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Gini</w:t>
            </w:r>
          </w:p>
        </w:tc>
        <w:tc>
          <w:tcPr>
            <w:tcW w:w="4392" w:type="pct"/>
          </w:tcPr>
          <w:p w14:paraId="7DC65CF7"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The Gini Coefficient index measuring income inequality (Proxy for Income Inequality).</w:t>
            </w:r>
          </w:p>
        </w:tc>
      </w:tr>
      <w:tr w:rsidR="00D8538D" w:rsidRPr="0017616D" w14:paraId="77064F97" w14:textId="77777777" w:rsidTr="004C4BAC">
        <w:trPr>
          <w:trHeight w:val="89"/>
        </w:trPr>
        <w:tc>
          <w:tcPr>
            <w:tcW w:w="608" w:type="pct"/>
          </w:tcPr>
          <w:p w14:paraId="3F9A7405" w14:textId="77777777" w:rsidR="00D8538D" w:rsidRPr="0017616D" w:rsidRDefault="00D8538D" w:rsidP="004C4BAC">
            <w:pPr>
              <w:jc w:val="both"/>
              <w:rPr>
                <w:rFonts w:asciiTheme="majorBidi" w:hAnsiTheme="majorBidi" w:cstheme="majorBidi"/>
                <w:b/>
                <w:bCs/>
                <w:sz w:val="20"/>
                <w:szCs w:val="20"/>
              </w:rPr>
            </w:pPr>
            <w:r w:rsidRPr="0017616D">
              <w:rPr>
                <w:rFonts w:asciiTheme="majorBidi" w:hAnsiTheme="majorBidi" w:cstheme="majorBidi"/>
                <w:b/>
                <w:bCs/>
                <w:sz w:val="20"/>
                <w:szCs w:val="20"/>
              </w:rPr>
              <w:t>Inflation</w:t>
            </w:r>
          </w:p>
        </w:tc>
        <w:tc>
          <w:tcPr>
            <w:tcW w:w="4392" w:type="pct"/>
          </w:tcPr>
          <w:p w14:paraId="2361B916" w14:textId="77777777" w:rsidR="00D8538D" w:rsidRPr="0017616D" w:rsidRDefault="00D8538D" w:rsidP="004C4BAC">
            <w:pPr>
              <w:jc w:val="both"/>
              <w:rPr>
                <w:rFonts w:asciiTheme="majorBidi" w:hAnsiTheme="majorBidi" w:cstheme="majorBidi"/>
                <w:sz w:val="20"/>
                <w:szCs w:val="20"/>
              </w:rPr>
            </w:pPr>
            <w:r w:rsidRPr="0017616D">
              <w:rPr>
                <w:rFonts w:asciiTheme="majorBidi" w:hAnsiTheme="majorBidi" w:cstheme="majorBidi"/>
                <w:sz w:val="20"/>
                <w:szCs w:val="20"/>
              </w:rPr>
              <w:t>Annual Inflation Rate (Proxy for Economic Stability)</w:t>
            </w:r>
          </w:p>
        </w:tc>
      </w:tr>
    </w:tbl>
    <w:p w14:paraId="4B8A1383" w14:textId="77777777" w:rsidR="00D8538D" w:rsidRPr="0017616D" w:rsidRDefault="00D8538D" w:rsidP="00D8538D">
      <w:pPr>
        <w:pStyle w:val="ListParagraph"/>
        <w:spacing w:before="120" w:after="120"/>
        <w:ind w:left="360"/>
        <w:contextualSpacing w:val="0"/>
        <w:jc w:val="both"/>
        <w:rPr>
          <w:rFonts w:asciiTheme="majorBidi" w:hAnsiTheme="majorBidi" w:cstheme="majorBidi"/>
          <w:b/>
          <w:bCs/>
        </w:rPr>
      </w:pPr>
      <w:r>
        <w:rPr>
          <w:rFonts w:asciiTheme="majorBidi" w:hAnsiTheme="majorBidi" w:cstheme="majorBidi"/>
          <w:b/>
          <w:bCs/>
        </w:rPr>
        <w:t>4.0</w:t>
      </w:r>
      <w:r>
        <w:rPr>
          <w:rFonts w:asciiTheme="majorBidi" w:hAnsiTheme="majorBidi" w:cstheme="majorBidi"/>
          <w:b/>
          <w:bCs/>
        </w:rPr>
        <w:tab/>
      </w:r>
      <w:r w:rsidRPr="0017616D">
        <w:rPr>
          <w:rFonts w:asciiTheme="majorBidi" w:hAnsiTheme="majorBidi" w:cstheme="majorBidi"/>
          <w:b/>
          <w:bCs/>
        </w:rPr>
        <w:tab/>
        <w:t>Results</w:t>
      </w:r>
    </w:p>
    <w:p w14:paraId="0B1B6B59" w14:textId="77777777" w:rsidR="00D8538D" w:rsidRPr="0017616D" w:rsidRDefault="00D8538D" w:rsidP="00D8538D">
      <w:pPr>
        <w:pStyle w:val="ListParagraph"/>
        <w:spacing w:before="120" w:after="120"/>
        <w:contextualSpacing w:val="0"/>
        <w:jc w:val="both"/>
        <w:rPr>
          <w:rFonts w:asciiTheme="majorBidi" w:hAnsiTheme="majorBidi" w:cstheme="majorBidi"/>
        </w:rPr>
      </w:pPr>
      <w:r w:rsidRPr="0017616D">
        <w:rPr>
          <w:rFonts w:asciiTheme="majorBidi" w:hAnsiTheme="majorBidi" w:cstheme="majorBidi"/>
        </w:rPr>
        <w:t xml:space="preserve">The following test were carried out to ensure robustness of the result, descriptive statistics, Ramsey Reset test, Linear model and its associative diagnostic tests which include Normality test, unit root test, the Autoregressive Distributive Lag (ARDL) model, Bond test, Stability test, Serial Correlation test, Heteroscedasticity test, Causality Test based on Error Correction Model. </w:t>
      </w:r>
    </w:p>
    <w:p w14:paraId="35F1F83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4.1: Summary of Descriptive Statistics </w:t>
      </w:r>
    </w:p>
    <w:tbl>
      <w:tblPr>
        <w:tblStyle w:val="PlainTable5"/>
        <w:tblW w:w="8699" w:type="dxa"/>
        <w:tblInd w:w="828" w:type="dxa"/>
        <w:tblLook w:val="04A0" w:firstRow="1" w:lastRow="0" w:firstColumn="1" w:lastColumn="0" w:noHBand="0" w:noVBand="1"/>
      </w:tblPr>
      <w:tblGrid>
        <w:gridCol w:w="1283"/>
        <w:gridCol w:w="1369"/>
        <w:gridCol w:w="877"/>
        <w:gridCol w:w="1032"/>
        <w:gridCol w:w="1208"/>
        <w:gridCol w:w="966"/>
        <w:gridCol w:w="1964"/>
      </w:tblGrid>
      <w:tr w:rsidR="00D8538D" w:rsidRPr="0017616D" w14:paraId="38F0CBDA" w14:textId="77777777" w:rsidTr="004C4BAC">
        <w:trPr>
          <w:cnfStyle w:val="100000000000" w:firstRow="1" w:lastRow="0" w:firstColumn="0" w:lastColumn="0" w:oddVBand="0" w:evenVBand="0" w:oddHBand="0" w:evenHBand="0" w:firstRowFirstColumn="0" w:firstRowLastColumn="0" w:lastRowFirstColumn="0" w:lastRowLastColumn="0"/>
          <w:trHeight w:val="22"/>
        </w:trPr>
        <w:tc>
          <w:tcPr>
            <w:cnfStyle w:val="001000000100" w:firstRow="0" w:lastRow="0" w:firstColumn="1" w:lastColumn="0" w:oddVBand="0" w:evenVBand="0" w:oddHBand="0" w:evenHBand="0" w:firstRowFirstColumn="1" w:firstRowLastColumn="0" w:lastRowFirstColumn="0" w:lastRowLastColumn="0"/>
            <w:tcW w:w="1283" w:type="dxa"/>
            <w:hideMark/>
          </w:tcPr>
          <w:p w14:paraId="1ECD443B" w14:textId="77777777" w:rsidR="00D8538D" w:rsidRPr="0017616D" w:rsidRDefault="00D8538D" w:rsidP="004C4BAC">
            <w:pPr>
              <w:jc w:val="cente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Statistic</w:t>
            </w:r>
          </w:p>
          <w:p w14:paraId="43BF5FE1" w14:textId="77777777" w:rsidR="00D8538D" w:rsidRPr="0017616D" w:rsidRDefault="00D8538D" w:rsidP="004C4BAC">
            <w:pPr>
              <w:jc w:val="center"/>
              <w:rPr>
                <w:rFonts w:asciiTheme="majorBidi" w:hAnsiTheme="majorBidi" w:cstheme="majorBidi"/>
                <w:b/>
                <w:bCs/>
                <w:sz w:val="20"/>
                <w:szCs w:val="20"/>
              </w:rPr>
            </w:pPr>
          </w:p>
        </w:tc>
        <w:tc>
          <w:tcPr>
            <w:tcW w:w="1399" w:type="dxa"/>
            <w:hideMark/>
          </w:tcPr>
          <w:p w14:paraId="1FCE096A"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Personal tax</w:t>
            </w:r>
          </w:p>
        </w:tc>
        <w:tc>
          <w:tcPr>
            <w:tcW w:w="884" w:type="dxa"/>
            <w:hideMark/>
          </w:tcPr>
          <w:p w14:paraId="3E4BF6B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Health</w:t>
            </w:r>
          </w:p>
        </w:tc>
        <w:tc>
          <w:tcPr>
            <w:tcW w:w="1040" w:type="dxa"/>
            <w:hideMark/>
          </w:tcPr>
          <w:p w14:paraId="0344575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Housing</w:t>
            </w:r>
          </w:p>
        </w:tc>
        <w:tc>
          <w:tcPr>
            <w:tcW w:w="1226" w:type="dxa"/>
            <w:hideMark/>
          </w:tcPr>
          <w:p w14:paraId="6FD8944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Gini Coeff</w:t>
            </w:r>
          </w:p>
        </w:tc>
        <w:tc>
          <w:tcPr>
            <w:tcW w:w="900" w:type="dxa"/>
            <w:hideMark/>
          </w:tcPr>
          <w:p w14:paraId="62BD4D8C"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Inflation</w:t>
            </w:r>
          </w:p>
        </w:tc>
        <w:tc>
          <w:tcPr>
            <w:tcW w:w="1967" w:type="dxa"/>
            <w:hideMark/>
          </w:tcPr>
          <w:p w14:paraId="1354D80B"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GDP</w:t>
            </w:r>
          </w:p>
        </w:tc>
      </w:tr>
      <w:tr w:rsidR="00D8538D" w:rsidRPr="0017616D" w14:paraId="451646AF"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8C94A55"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Mean</w:t>
            </w:r>
          </w:p>
        </w:tc>
        <w:tc>
          <w:tcPr>
            <w:tcW w:w="1399" w:type="dxa"/>
            <w:hideMark/>
          </w:tcPr>
          <w:p w14:paraId="2D35541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0.43</w:t>
            </w:r>
          </w:p>
        </w:tc>
        <w:tc>
          <w:tcPr>
            <w:tcW w:w="884" w:type="dxa"/>
            <w:hideMark/>
          </w:tcPr>
          <w:p w14:paraId="71E75BC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3.46</w:t>
            </w:r>
          </w:p>
        </w:tc>
        <w:tc>
          <w:tcPr>
            <w:tcW w:w="1040" w:type="dxa"/>
            <w:hideMark/>
          </w:tcPr>
          <w:p w14:paraId="53B7E8C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0.96</w:t>
            </w:r>
          </w:p>
        </w:tc>
        <w:tc>
          <w:tcPr>
            <w:tcW w:w="1226" w:type="dxa"/>
            <w:hideMark/>
          </w:tcPr>
          <w:p w14:paraId="516B240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37.70</w:t>
            </w:r>
          </w:p>
        </w:tc>
        <w:tc>
          <w:tcPr>
            <w:tcW w:w="900" w:type="dxa"/>
            <w:hideMark/>
          </w:tcPr>
          <w:p w14:paraId="1652817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19.04</w:t>
            </w:r>
          </w:p>
        </w:tc>
        <w:tc>
          <w:tcPr>
            <w:tcW w:w="1967" w:type="dxa"/>
            <w:hideMark/>
          </w:tcPr>
          <w:p w14:paraId="763E0A1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270,000,000,000</w:t>
            </w:r>
          </w:p>
        </w:tc>
      </w:tr>
      <w:tr w:rsidR="00D8538D" w:rsidRPr="0017616D" w14:paraId="7330FB2A"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2A28D1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Median</w:t>
            </w:r>
          </w:p>
        </w:tc>
        <w:tc>
          <w:tcPr>
            <w:tcW w:w="1399" w:type="dxa"/>
            <w:hideMark/>
          </w:tcPr>
          <w:p w14:paraId="310BFD0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0.42</w:t>
            </w:r>
          </w:p>
        </w:tc>
        <w:tc>
          <w:tcPr>
            <w:tcW w:w="884" w:type="dxa"/>
            <w:hideMark/>
          </w:tcPr>
          <w:p w14:paraId="33F5F20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3.37</w:t>
            </w:r>
          </w:p>
        </w:tc>
        <w:tc>
          <w:tcPr>
            <w:tcW w:w="1040" w:type="dxa"/>
            <w:hideMark/>
          </w:tcPr>
          <w:p w14:paraId="7D53894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0.98</w:t>
            </w:r>
          </w:p>
        </w:tc>
        <w:tc>
          <w:tcPr>
            <w:tcW w:w="1226" w:type="dxa"/>
            <w:hideMark/>
          </w:tcPr>
          <w:p w14:paraId="08C7521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35.40</w:t>
            </w:r>
          </w:p>
        </w:tc>
        <w:tc>
          <w:tcPr>
            <w:tcW w:w="900" w:type="dxa"/>
            <w:hideMark/>
          </w:tcPr>
          <w:p w14:paraId="61A55E2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13.49</w:t>
            </w:r>
          </w:p>
        </w:tc>
        <w:tc>
          <w:tcPr>
            <w:tcW w:w="1967" w:type="dxa"/>
            <w:hideMark/>
          </w:tcPr>
          <w:p w14:paraId="2018D1A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265,000,000,000</w:t>
            </w:r>
          </w:p>
        </w:tc>
      </w:tr>
      <w:tr w:rsidR="00D8538D" w:rsidRPr="0017616D" w14:paraId="09A8A13E"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9207D3C"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Maximum</w:t>
            </w:r>
          </w:p>
        </w:tc>
        <w:tc>
          <w:tcPr>
            <w:tcW w:w="1399" w:type="dxa"/>
            <w:hideMark/>
          </w:tcPr>
          <w:p w14:paraId="2E712DC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0.72</w:t>
            </w:r>
          </w:p>
        </w:tc>
        <w:tc>
          <w:tcPr>
            <w:tcW w:w="884" w:type="dxa"/>
            <w:hideMark/>
          </w:tcPr>
          <w:p w14:paraId="46F51F7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5.05</w:t>
            </w:r>
          </w:p>
        </w:tc>
        <w:tc>
          <w:tcPr>
            <w:tcW w:w="1040" w:type="dxa"/>
            <w:hideMark/>
          </w:tcPr>
          <w:p w14:paraId="44C5676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2.07</w:t>
            </w:r>
          </w:p>
        </w:tc>
        <w:tc>
          <w:tcPr>
            <w:tcW w:w="1226" w:type="dxa"/>
            <w:hideMark/>
          </w:tcPr>
          <w:p w14:paraId="641CE3A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52.00</w:t>
            </w:r>
          </w:p>
        </w:tc>
        <w:tc>
          <w:tcPr>
            <w:tcW w:w="900" w:type="dxa"/>
            <w:hideMark/>
          </w:tcPr>
          <w:p w14:paraId="4357A7C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72.84</w:t>
            </w:r>
          </w:p>
        </w:tc>
        <w:tc>
          <w:tcPr>
            <w:tcW w:w="1967" w:type="dxa"/>
            <w:hideMark/>
          </w:tcPr>
          <w:p w14:paraId="14CCA37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574,000,000,000</w:t>
            </w:r>
          </w:p>
        </w:tc>
      </w:tr>
      <w:tr w:rsidR="00D8538D" w:rsidRPr="0017616D" w14:paraId="1CBFBE77"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253E8F28"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Minimum</w:t>
            </w:r>
          </w:p>
        </w:tc>
        <w:tc>
          <w:tcPr>
            <w:tcW w:w="1399" w:type="dxa"/>
            <w:hideMark/>
          </w:tcPr>
          <w:p w14:paraId="6C06BDE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0.20</w:t>
            </w:r>
          </w:p>
        </w:tc>
        <w:tc>
          <w:tcPr>
            <w:tcW w:w="884" w:type="dxa"/>
            <w:hideMark/>
          </w:tcPr>
          <w:p w14:paraId="59AF647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2.16</w:t>
            </w:r>
          </w:p>
        </w:tc>
        <w:tc>
          <w:tcPr>
            <w:tcW w:w="1040" w:type="dxa"/>
            <w:hideMark/>
          </w:tcPr>
          <w:p w14:paraId="38ADE94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0.12</w:t>
            </w:r>
          </w:p>
        </w:tc>
        <w:tc>
          <w:tcPr>
            <w:tcW w:w="1226" w:type="dxa"/>
            <w:hideMark/>
          </w:tcPr>
          <w:p w14:paraId="02DBC7B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29.20</w:t>
            </w:r>
          </w:p>
        </w:tc>
        <w:tc>
          <w:tcPr>
            <w:tcW w:w="900" w:type="dxa"/>
            <w:hideMark/>
          </w:tcPr>
          <w:p w14:paraId="4488F5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5.39</w:t>
            </w:r>
          </w:p>
        </w:tc>
        <w:tc>
          <w:tcPr>
            <w:tcW w:w="1967" w:type="dxa"/>
            <w:hideMark/>
          </w:tcPr>
          <w:p w14:paraId="5543953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521,000,000,000</w:t>
            </w:r>
          </w:p>
        </w:tc>
      </w:tr>
      <w:tr w:rsidR="00D8538D" w:rsidRPr="0017616D" w14:paraId="6C2E1AE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2FA9527"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Std. Dev.</w:t>
            </w:r>
          </w:p>
        </w:tc>
        <w:tc>
          <w:tcPr>
            <w:tcW w:w="1399" w:type="dxa"/>
            <w:hideMark/>
          </w:tcPr>
          <w:p w14:paraId="6238BC4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w:t>
            </w:r>
          </w:p>
        </w:tc>
        <w:tc>
          <w:tcPr>
            <w:tcW w:w="884" w:type="dxa"/>
            <w:hideMark/>
          </w:tcPr>
          <w:p w14:paraId="359CCC9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0.69</w:t>
            </w:r>
          </w:p>
        </w:tc>
        <w:tc>
          <w:tcPr>
            <w:tcW w:w="1040" w:type="dxa"/>
            <w:hideMark/>
          </w:tcPr>
          <w:p w14:paraId="5B61759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w:t>
            </w:r>
          </w:p>
        </w:tc>
        <w:tc>
          <w:tcPr>
            <w:tcW w:w="1226" w:type="dxa"/>
            <w:hideMark/>
          </w:tcPr>
          <w:p w14:paraId="44E8757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6.33</w:t>
            </w:r>
          </w:p>
        </w:tc>
        <w:tc>
          <w:tcPr>
            <w:tcW w:w="900" w:type="dxa"/>
            <w:hideMark/>
          </w:tcPr>
          <w:p w14:paraId="24F074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15.52</w:t>
            </w:r>
          </w:p>
        </w:tc>
        <w:tc>
          <w:tcPr>
            <w:tcW w:w="1967" w:type="dxa"/>
            <w:hideMark/>
          </w:tcPr>
          <w:p w14:paraId="37C3C37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165,000,000,000</w:t>
            </w:r>
          </w:p>
        </w:tc>
      </w:tr>
      <w:tr w:rsidR="00D8538D" w:rsidRPr="0017616D" w14:paraId="6BC582B8"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FCBAB26"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Skewness</w:t>
            </w:r>
          </w:p>
        </w:tc>
        <w:tc>
          <w:tcPr>
            <w:tcW w:w="1399" w:type="dxa"/>
            <w:hideMark/>
          </w:tcPr>
          <w:p w14:paraId="03719B5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0.19</w:t>
            </w:r>
          </w:p>
        </w:tc>
        <w:tc>
          <w:tcPr>
            <w:tcW w:w="884" w:type="dxa"/>
            <w:hideMark/>
          </w:tcPr>
          <w:p w14:paraId="3861E7F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0.18</w:t>
            </w:r>
          </w:p>
        </w:tc>
        <w:tc>
          <w:tcPr>
            <w:tcW w:w="1040" w:type="dxa"/>
            <w:hideMark/>
          </w:tcPr>
          <w:p w14:paraId="1F0DF7B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0.27</w:t>
            </w:r>
          </w:p>
        </w:tc>
        <w:tc>
          <w:tcPr>
            <w:tcW w:w="1226" w:type="dxa"/>
            <w:hideMark/>
          </w:tcPr>
          <w:p w14:paraId="75E58F7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1.06</w:t>
            </w:r>
          </w:p>
        </w:tc>
        <w:tc>
          <w:tcPr>
            <w:tcW w:w="900" w:type="dxa"/>
            <w:hideMark/>
          </w:tcPr>
          <w:p w14:paraId="02BD632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2.10</w:t>
            </w:r>
          </w:p>
        </w:tc>
        <w:tc>
          <w:tcPr>
            <w:tcW w:w="1967" w:type="dxa"/>
            <w:hideMark/>
          </w:tcPr>
          <w:p w14:paraId="3690CAE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0.11</w:t>
            </w:r>
          </w:p>
        </w:tc>
      </w:tr>
      <w:tr w:rsidR="00D8538D" w:rsidRPr="0017616D" w14:paraId="06EC7B74"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1334CC86"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Kurtosis</w:t>
            </w:r>
          </w:p>
        </w:tc>
        <w:tc>
          <w:tcPr>
            <w:tcW w:w="1399" w:type="dxa"/>
            <w:hideMark/>
          </w:tcPr>
          <w:p w14:paraId="6B96F7E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1.61</w:t>
            </w:r>
          </w:p>
        </w:tc>
        <w:tc>
          <w:tcPr>
            <w:tcW w:w="884" w:type="dxa"/>
            <w:hideMark/>
          </w:tcPr>
          <w:p w14:paraId="19B2821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2.45</w:t>
            </w:r>
          </w:p>
        </w:tc>
        <w:tc>
          <w:tcPr>
            <w:tcW w:w="1040" w:type="dxa"/>
            <w:hideMark/>
          </w:tcPr>
          <w:p w14:paraId="70346B9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1.53</w:t>
            </w:r>
          </w:p>
        </w:tc>
        <w:tc>
          <w:tcPr>
            <w:tcW w:w="1226" w:type="dxa"/>
            <w:hideMark/>
          </w:tcPr>
          <w:p w14:paraId="260F65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3.08</w:t>
            </w:r>
          </w:p>
        </w:tc>
        <w:tc>
          <w:tcPr>
            <w:tcW w:w="900" w:type="dxa"/>
            <w:hideMark/>
          </w:tcPr>
          <w:p w14:paraId="37BB98B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6.70</w:t>
            </w:r>
          </w:p>
        </w:tc>
        <w:tc>
          <w:tcPr>
            <w:tcW w:w="1967" w:type="dxa"/>
            <w:hideMark/>
          </w:tcPr>
          <w:p w14:paraId="32DDED7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1.64</w:t>
            </w:r>
          </w:p>
        </w:tc>
      </w:tr>
      <w:tr w:rsidR="00D8538D" w:rsidRPr="0017616D" w14:paraId="4A21BFBF"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3948B69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35922B4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4392396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5BAFECC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071B13B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34CF23C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099C3EC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p>
        </w:tc>
      </w:tr>
      <w:tr w:rsidR="00D8538D" w:rsidRPr="0017616D" w14:paraId="6A7543C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BC5DF9A"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Jarque-Bera</w:t>
            </w:r>
          </w:p>
        </w:tc>
        <w:tc>
          <w:tcPr>
            <w:tcW w:w="1399" w:type="dxa"/>
            <w:hideMark/>
          </w:tcPr>
          <w:p w14:paraId="411FC8E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3.12</w:t>
            </w:r>
          </w:p>
        </w:tc>
        <w:tc>
          <w:tcPr>
            <w:tcW w:w="884" w:type="dxa"/>
            <w:hideMark/>
          </w:tcPr>
          <w:p w14:paraId="7B6BE57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0.65</w:t>
            </w:r>
          </w:p>
        </w:tc>
        <w:tc>
          <w:tcPr>
            <w:tcW w:w="1040" w:type="dxa"/>
            <w:hideMark/>
          </w:tcPr>
          <w:p w14:paraId="754FF1D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3.68</w:t>
            </w:r>
          </w:p>
        </w:tc>
        <w:tc>
          <w:tcPr>
            <w:tcW w:w="1226" w:type="dxa"/>
            <w:hideMark/>
          </w:tcPr>
          <w:p w14:paraId="16FE4B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6.78</w:t>
            </w:r>
          </w:p>
        </w:tc>
        <w:tc>
          <w:tcPr>
            <w:tcW w:w="900" w:type="dxa"/>
            <w:hideMark/>
          </w:tcPr>
          <w:p w14:paraId="34AC117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46.89</w:t>
            </w:r>
          </w:p>
        </w:tc>
        <w:tc>
          <w:tcPr>
            <w:tcW w:w="1967" w:type="dxa"/>
            <w:hideMark/>
          </w:tcPr>
          <w:p w14:paraId="4825BA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2.87</w:t>
            </w:r>
          </w:p>
        </w:tc>
      </w:tr>
      <w:tr w:rsidR="00D8538D" w:rsidRPr="0017616D" w14:paraId="664DF8F4"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2FB6C160"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Probability</w:t>
            </w:r>
          </w:p>
        </w:tc>
        <w:tc>
          <w:tcPr>
            <w:tcW w:w="1399" w:type="dxa"/>
            <w:hideMark/>
          </w:tcPr>
          <w:p w14:paraId="112558A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w:t>
            </w:r>
          </w:p>
        </w:tc>
        <w:tc>
          <w:tcPr>
            <w:tcW w:w="884" w:type="dxa"/>
            <w:hideMark/>
          </w:tcPr>
          <w:p w14:paraId="60C754F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0.72</w:t>
            </w:r>
          </w:p>
        </w:tc>
        <w:tc>
          <w:tcPr>
            <w:tcW w:w="1040" w:type="dxa"/>
            <w:hideMark/>
          </w:tcPr>
          <w:p w14:paraId="5A134E1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w:t>
            </w:r>
          </w:p>
        </w:tc>
        <w:tc>
          <w:tcPr>
            <w:tcW w:w="1226" w:type="dxa"/>
            <w:hideMark/>
          </w:tcPr>
          <w:p w14:paraId="31A7915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w:t>
            </w:r>
          </w:p>
        </w:tc>
        <w:tc>
          <w:tcPr>
            <w:tcW w:w="900" w:type="dxa"/>
            <w:hideMark/>
          </w:tcPr>
          <w:p w14:paraId="047F66F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w:t>
            </w:r>
          </w:p>
        </w:tc>
        <w:tc>
          <w:tcPr>
            <w:tcW w:w="1967" w:type="dxa"/>
            <w:hideMark/>
          </w:tcPr>
          <w:p w14:paraId="269CBEB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0.24</w:t>
            </w:r>
          </w:p>
        </w:tc>
      </w:tr>
      <w:tr w:rsidR="00D8538D" w:rsidRPr="0017616D" w14:paraId="37A32231"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58548D7E"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3EC5075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27B79C6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49F6EDC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210DFD5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30BD802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70E90C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r w:rsidR="00D8538D" w:rsidRPr="0017616D" w14:paraId="767F9C9C"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8639024"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w:t>
            </w:r>
          </w:p>
        </w:tc>
        <w:tc>
          <w:tcPr>
            <w:tcW w:w="1399" w:type="dxa"/>
            <w:hideMark/>
          </w:tcPr>
          <w:p w14:paraId="6E9D5C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15.56</w:t>
            </w:r>
          </w:p>
        </w:tc>
        <w:tc>
          <w:tcPr>
            <w:tcW w:w="884" w:type="dxa"/>
            <w:hideMark/>
          </w:tcPr>
          <w:p w14:paraId="25F2161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124.70</w:t>
            </w:r>
          </w:p>
        </w:tc>
        <w:tc>
          <w:tcPr>
            <w:tcW w:w="1040" w:type="dxa"/>
            <w:hideMark/>
          </w:tcPr>
          <w:p w14:paraId="5345E20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34.71</w:t>
            </w:r>
          </w:p>
        </w:tc>
        <w:tc>
          <w:tcPr>
            <w:tcW w:w="1226" w:type="dxa"/>
            <w:hideMark/>
          </w:tcPr>
          <w:p w14:paraId="3AFDA59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1357.30</w:t>
            </w:r>
          </w:p>
        </w:tc>
        <w:tc>
          <w:tcPr>
            <w:tcW w:w="900" w:type="dxa"/>
            <w:hideMark/>
          </w:tcPr>
          <w:p w14:paraId="2FC6C41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685.41</w:t>
            </w:r>
          </w:p>
        </w:tc>
        <w:tc>
          <w:tcPr>
            <w:tcW w:w="1967" w:type="dxa"/>
            <w:hideMark/>
          </w:tcPr>
          <w:p w14:paraId="775E44B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9,710,000,000,000</w:t>
            </w:r>
          </w:p>
        </w:tc>
      </w:tr>
      <w:tr w:rsidR="00D8538D" w:rsidRPr="0017616D" w14:paraId="68464B6B"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18A8156B"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 Sq.</w:t>
            </w:r>
          </w:p>
        </w:tc>
        <w:tc>
          <w:tcPr>
            <w:tcW w:w="1399" w:type="dxa"/>
            <w:hideMark/>
          </w:tcPr>
          <w:p w14:paraId="034A706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7.63</w:t>
            </w:r>
          </w:p>
        </w:tc>
        <w:tc>
          <w:tcPr>
            <w:tcW w:w="884" w:type="dxa"/>
            <w:hideMark/>
          </w:tcPr>
          <w:p w14:paraId="59C6102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448.75</w:t>
            </w:r>
          </w:p>
        </w:tc>
        <w:tc>
          <w:tcPr>
            <w:tcW w:w="1040" w:type="dxa"/>
            <w:hideMark/>
          </w:tcPr>
          <w:p w14:paraId="1E669CF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46.72</w:t>
            </w:r>
          </w:p>
        </w:tc>
        <w:tc>
          <w:tcPr>
            <w:tcW w:w="1226" w:type="dxa"/>
            <w:hideMark/>
          </w:tcPr>
          <w:p w14:paraId="61A140D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52576.35</w:t>
            </w:r>
          </w:p>
        </w:tc>
        <w:tc>
          <w:tcPr>
            <w:tcW w:w="900" w:type="dxa"/>
            <w:hideMark/>
          </w:tcPr>
          <w:p w14:paraId="02417B6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21479.59</w:t>
            </w:r>
          </w:p>
        </w:tc>
        <w:tc>
          <w:tcPr>
            <w:tcW w:w="1967" w:type="dxa"/>
            <w:hideMark/>
          </w:tcPr>
          <w:p w14:paraId="25271B1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35,700,000,000,000</w:t>
            </w:r>
          </w:p>
        </w:tc>
      </w:tr>
      <w:tr w:rsidR="00D8538D" w:rsidRPr="0017616D" w14:paraId="70A83B07"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6BC83C75"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Sum Sq. Dev.</w:t>
            </w:r>
          </w:p>
        </w:tc>
        <w:tc>
          <w:tcPr>
            <w:tcW w:w="1399" w:type="dxa"/>
            <w:hideMark/>
          </w:tcPr>
          <w:p w14:paraId="7BC446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0.91</w:t>
            </w:r>
          </w:p>
        </w:tc>
        <w:tc>
          <w:tcPr>
            <w:tcW w:w="884" w:type="dxa"/>
            <w:hideMark/>
          </w:tcPr>
          <w:p w14:paraId="33D60DD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16.83</w:t>
            </w:r>
          </w:p>
        </w:tc>
        <w:tc>
          <w:tcPr>
            <w:tcW w:w="1040" w:type="dxa"/>
            <w:hideMark/>
          </w:tcPr>
          <w:p w14:paraId="35DCCC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13.25</w:t>
            </w:r>
          </w:p>
        </w:tc>
        <w:tc>
          <w:tcPr>
            <w:tcW w:w="1226" w:type="dxa"/>
            <w:hideMark/>
          </w:tcPr>
          <w:p w14:paraId="729DAEC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1402.37</w:t>
            </w:r>
          </w:p>
        </w:tc>
        <w:tc>
          <w:tcPr>
            <w:tcW w:w="900" w:type="dxa"/>
            <w:hideMark/>
          </w:tcPr>
          <w:p w14:paraId="2646DA3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8429.97</w:t>
            </w:r>
          </w:p>
        </w:tc>
        <w:tc>
          <w:tcPr>
            <w:tcW w:w="1967" w:type="dxa"/>
            <w:hideMark/>
          </w:tcPr>
          <w:p w14:paraId="072D51D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952,000,000,000,000</w:t>
            </w:r>
          </w:p>
        </w:tc>
      </w:tr>
      <w:tr w:rsidR="00D8538D" w:rsidRPr="0017616D" w14:paraId="09514E02" w14:textId="77777777" w:rsidTr="004C4BA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0ED6AAA"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 </w:t>
            </w:r>
          </w:p>
        </w:tc>
        <w:tc>
          <w:tcPr>
            <w:tcW w:w="1399" w:type="dxa"/>
            <w:hideMark/>
          </w:tcPr>
          <w:p w14:paraId="2F21BD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884" w:type="dxa"/>
            <w:hideMark/>
          </w:tcPr>
          <w:p w14:paraId="3C7449A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040" w:type="dxa"/>
            <w:hideMark/>
          </w:tcPr>
          <w:p w14:paraId="5439E57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226" w:type="dxa"/>
            <w:hideMark/>
          </w:tcPr>
          <w:p w14:paraId="4C25EAE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900" w:type="dxa"/>
            <w:hideMark/>
          </w:tcPr>
          <w:p w14:paraId="65B0F7A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c>
          <w:tcPr>
            <w:tcW w:w="1967" w:type="dxa"/>
            <w:hideMark/>
          </w:tcPr>
          <w:p w14:paraId="511AB9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r w:rsidR="00D8538D" w:rsidRPr="0017616D" w14:paraId="3170470B" w14:textId="77777777" w:rsidTr="004C4BAC">
        <w:trPr>
          <w:trHeight w:val="22"/>
        </w:trPr>
        <w:tc>
          <w:tcPr>
            <w:cnfStyle w:val="001000000000" w:firstRow="0" w:lastRow="0" w:firstColumn="1" w:lastColumn="0" w:oddVBand="0" w:evenVBand="0" w:oddHBand="0" w:evenHBand="0" w:firstRowFirstColumn="0" w:firstRowLastColumn="0" w:lastRowFirstColumn="0" w:lastRowLastColumn="0"/>
            <w:tcW w:w="1283" w:type="dxa"/>
            <w:hideMark/>
          </w:tcPr>
          <w:p w14:paraId="0F2A4C64"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Observations</w:t>
            </w:r>
          </w:p>
        </w:tc>
        <w:tc>
          <w:tcPr>
            <w:tcW w:w="1399" w:type="dxa"/>
            <w:hideMark/>
          </w:tcPr>
          <w:p w14:paraId="64C14B8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884" w:type="dxa"/>
            <w:hideMark/>
          </w:tcPr>
          <w:p w14:paraId="667A700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040" w:type="dxa"/>
            <w:hideMark/>
          </w:tcPr>
          <w:p w14:paraId="0228800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226" w:type="dxa"/>
            <w:hideMark/>
          </w:tcPr>
          <w:p w14:paraId="66C565C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900" w:type="dxa"/>
            <w:hideMark/>
          </w:tcPr>
          <w:p w14:paraId="3DDFB66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c>
          <w:tcPr>
            <w:tcW w:w="1967" w:type="dxa"/>
            <w:hideMark/>
          </w:tcPr>
          <w:p w14:paraId="4A65761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36</w:t>
            </w:r>
          </w:p>
        </w:tc>
      </w:tr>
    </w:tbl>
    <w:p w14:paraId="3B62400C" w14:textId="77777777" w:rsidR="00D8538D" w:rsidRPr="0017616D" w:rsidRDefault="00D8538D" w:rsidP="00D8538D">
      <w:pPr>
        <w:spacing w:before="120" w:after="120"/>
        <w:ind w:left="720"/>
        <w:rPr>
          <w:rFonts w:asciiTheme="majorBidi" w:hAnsiTheme="majorBidi" w:cstheme="majorBidi"/>
          <w:i/>
          <w:iCs/>
          <w:color w:val="1F1F1F"/>
        </w:rPr>
      </w:pPr>
      <w:r w:rsidRPr="0017616D">
        <w:rPr>
          <w:rFonts w:asciiTheme="majorBidi" w:hAnsiTheme="majorBidi" w:cstheme="majorBidi"/>
          <w:b/>
          <w:bCs/>
          <w:i/>
          <w:iCs/>
          <w:color w:val="1F1F1F"/>
        </w:rPr>
        <w:t>Source</w:t>
      </w:r>
      <w:r w:rsidRPr="0017616D">
        <w:rPr>
          <w:rFonts w:asciiTheme="majorBidi" w:hAnsiTheme="majorBidi" w:cstheme="majorBidi"/>
          <w:i/>
          <w:iCs/>
          <w:color w:val="1F1F1F"/>
        </w:rPr>
        <w:t>: Author’s Computation using EViews 14.0</w:t>
      </w:r>
    </w:p>
    <w:p w14:paraId="433FD809"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Over the 36-year period in Nigeria, the average GDP stood at approximately $270 billion, reflecting the substantial economic scale of the country. Personal Income Tax, a primary tool for income redistribution, maintained a mean of 0.43, while social welfare indicators such as Health (3.46) and Housing (0.96) show relatively lower budgetary allocations. The average Gini Coefficient of 37.70 indicates a moderate to high level of income inequality, revealing a clear justification for investigating redistribution mechanisms in Nigeria.</w:t>
      </w:r>
    </w:p>
    <w:p w14:paraId="034FBCA5"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However, the Jarque-Bera test for normality reveals that Personal Income Tax, Health, Housing, and GDP follow a normal distribution, as their probability values exceeding the 0.05 threshold. However, Inflation (p=0.0000) and the Gini Coefficient (p=0.0336) depart from normality, these may be due to political instability and policy shift in the country between 1990 and 2025.</w:t>
      </w:r>
    </w:p>
    <w:p w14:paraId="2504C495"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Also, the data exhibits significant dispersion, particularly in the inflation rate, which yield a standard deviation of 15.52 against a mean of 19.04. This high volatility derived by unstable prices in the Nigeria economy between 1990 and 2025, which in return complicate long-run redistribution efforts. Furthermore, the Kurtosis value for Inflation (6.69) indicates a "Leptokurtic" distribution. This descriptive summary confirms that the Nigeria economy frequently experienced shocks that make it deviated significantly from the average.</w:t>
      </w:r>
    </w:p>
    <w:p w14:paraId="42F65C47" w14:textId="77777777" w:rsidR="00D8538D" w:rsidRPr="0017616D" w:rsidRDefault="00D8538D" w:rsidP="00D8538D">
      <w:pPr>
        <w:spacing w:before="120" w:after="120"/>
        <w:ind w:left="720"/>
        <w:jc w:val="both"/>
        <w:rPr>
          <w:rFonts w:asciiTheme="majorBidi" w:hAnsiTheme="majorBidi" w:cstheme="majorBidi"/>
          <w:color w:val="1F1F1F"/>
        </w:rPr>
      </w:pPr>
      <w:r w:rsidRPr="0017616D">
        <w:rPr>
          <w:rFonts w:asciiTheme="majorBidi" w:hAnsiTheme="majorBidi" w:cstheme="majorBidi"/>
          <w:color w:val="1F1F1F"/>
        </w:rPr>
        <w:t>Consequently, all variables exhibit positive skewness, indicating that the distributions are tilted with longer tails toward higher values, suggesting that periods of exceptionally high inflation or spiked inequality are more frequent than significantly low periods, this analysis provides a robust empirical foundation for the ARDL modelling to follow.</w:t>
      </w:r>
    </w:p>
    <w:p w14:paraId="64A95EB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4.2: Multicollinearity Diagnostic (Variance Inflation Factors)</w:t>
      </w:r>
    </w:p>
    <w:tbl>
      <w:tblPr>
        <w:tblStyle w:val="PlainTable5"/>
        <w:tblW w:w="4408" w:type="pct"/>
        <w:tblInd w:w="828" w:type="dxa"/>
        <w:tblLook w:val="04A0" w:firstRow="1" w:lastRow="0" w:firstColumn="1" w:lastColumn="0" w:noHBand="0" w:noVBand="1"/>
      </w:tblPr>
      <w:tblGrid>
        <w:gridCol w:w="2060"/>
        <w:gridCol w:w="2763"/>
        <w:gridCol w:w="1886"/>
        <w:gridCol w:w="1543"/>
      </w:tblGrid>
      <w:tr w:rsidR="00D8538D" w:rsidRPr="0017616D" w14:paraId="466BAA4A"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48" w:type="pct"/>
            <w:hideMark/>
          </w:tcPr>
          <w:p w14:paraId="50A48E37"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Variable</w:t>
            </w:r>
          </w:p>
        </w:tc>
        <w:tc>
          <w:tcPr>
            <w:tcW w:w="1674" w:type="pct"/>
            <w:hideMark/>
          </w:tcPr>
          <w:p w14:paraId="53F0C319"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Coefficient Variance</w:t>
            </w:r>
          </w:p>
        </w:tc>
        <w:tc>
          <w:tcPr>
            <w:tcW w:w="1143" w:type="pct"/>
            <w:hideMark/>
          </w:tcPr>
          <w:p w14:paraId="56797E3B"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Uncentered VIF</w:t>
            </w:r>
          </w:p>
        </w:tc>
        <w:tc>
          <w:tcPr>
            <w:tcW w:w="935" w:type="pct"/>
            <w:hideMark/>
          </w:tcPr>
          <w:p w14:paraId="0DEC89B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Centred VIF</w:t>
            </w:r>
          </w:p>
        </w:tc>
      </w:tr>
      <w:tr w:rsidR="00D8538D" w:rsidRPr="0017616D" w14:paraId="2E22341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2B70A1F1"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INFLATION</w:t>
            </w:r>
          </w:p>
        </w:tc>
        <w:tc>
          <w:tcPr>
            <w:tcW w:w="1674" w:type="pct"/>
            <w:hideMark/>
          </w:tcPr>
          <w:p w14:paraId="1B0151D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2.60E-05</w:t>
            </w:r>
          </w:p>
        </w:tc>
        <w:tc>
          <w:tcPr>
            <w:tcW w:w="1143" w:type="pct"/>
            <w:hideMark/>
          </w:tcPr>
          <w:p w14:paraId="1CADCD9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4.008938</w:t>
            </w:r>
          </w:p>
        </w:tc>
        <w:tc>
          <w:tcPr>
            <w:tcW w:w="935" w:type="pct"/>
            <w:hideMark/>
          </w:tcPr>
          <w:p w14:paraId="52B613C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1.57337</w:t>
            </w:r>
          </w:p>
        </w:tc>
      </w:tr>
      <w:tr w:rsidR="00D8538D" w:rsidRPr="0017616D" w14:paraId="45E9F06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7134BB3B"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HOUSING</w:t>
            </w:r>
          </w:p>
        </w:tc>
        <w:tc>
          <w:tcPr>
            <w:tcW w:w="1674" w:type="pct"/>
            <w:hideMark/>
          </w:tcPr>
          <w:p w14:paraId="0EFFA9B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0.012717</w:t>
            </w:r>
          </w:p>
        </w:tc>
        <w:tc>
          <w:tcPr>
            <w:tcW w:w="1143" w:type="pct"/>
            <w:hideMark/>
          </w:tcPr>
          <w:p w14:paraId="011E9EE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4.257306</w:t>
            </w:r>
          </w:p>
        </w:tc>
        <w:tc>
          <w:tcPr>
            <w:tcW w:w="935" w:type="pct"/>
            <w:hideMark/>
          </w:tcPr>
          <w:p w14:paraId="0EC20FE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1.20759</w:t>
            </w:r>
          </w:p>
        </w:tc>
      </w:tr>
      <w:tr w:rsidR="00D8538D" w:rsidRPr="0017616D" w14:paraId="3EF362F0"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3AB8AE0B"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HEALTH</w:t>
            </w:r>
          </w:p>
        </w:tc>
        <w:tc>
          <w:tcPr>
            <w:tcW w:w="1674" w:type="pct"/>
            <w:hideMark/>
          </w:tcPr>
          <w:p w14:paraId="59F9BF8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0.010225</w:t>
            </w:r>
          </w:p>
        </w:tc>
        <w:tc>
          <w:tcPr>
            <w:tcW w:w="1143" w:type="pct"/>
            <w:hideMark/>
          </w:tcPr>
          <w:p w14:paraId="5D3473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32.88144</w:t>
            </w:r>
          </w:p>
        </w:tc>
        <w:tc>
          <w:tcPr>
            <w:tcW w:w="935" w:type="pct"/>
            <w:hideMark/>
          </w:tcPr>
          <w:p w14:paraId="4048ABC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1.23344</w:t>
            </w:r>
          </w:p>
        </w:tc>
      </w:tr>
      <w:tr w:rsidR="00D8538D" w:rsidRPr="0017616D" w14:paraId="1DBE3BAD"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1A276303"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GINI</w:t>
            </w:r>
          </w:p>
        </w:tc>
        <w:tc>
          <w:tcPr>
            <w:tcW w:w="1674" w:type="pct"/>
            <w:hideMark/>
          </w:tcPr>
          <w:p w14:paraId="740E2B0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0.000165</w:t>
            </w:r>
          </w:p>
        </w:tc>
        <w:tc>
          <w:tcPr>
            <w:tcW w:w="1143" w:type="pct"/>
            <w:hideMark/>
          </w:tcPr>
          <w:p w14:paraId="5E967E1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62.0196</w:t>
            </w:r>
          </w:p>
        </w:tc>
        <w:tc>
          <w:tcPr>
            <w:tcW w:w="935" w:type="pct"/>
            <w:hideMark/>
          </w:tcPr>
          <w:p w14:paraId="4E6F453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1.65425</w:t>
            </w:r>
          </w:p>
        </w:tc>
      </w:tr>
      <w:tr w:rsidR="00D8538D" w:rsidRPr="0017616D" w14:paraId="41C1C8AF"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26040B47"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PIT</w:t>
            </w:r>
          </w:p>
        </w:tc>
        <w:tc>
          <w:tcPr>
            <w:tcW w:w="1674" w:type="pct"/>
            <w:hideMark/>
          </w:tcPr>
          <w:p w14:paraId="04317BD0"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0.211646</w:t>
            </w:r>
          </w:p>
        </w:tc>
        <w:tc>
          <w:tcPr>
            <w:tcW w:w="1143" w:type="pct"/>
            <w:hideMark/>
          </w:tcPr>
          <w:p w14:paraId="796785F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11.57743</w:t>
            </w:r>
          </w:p>
        </w:tc>
        <w:tc>
          <w:tcPr>
            <w:tcW w:w="935" w:type="pct"/>
            <w:hideMark/>
          </w:tcPr>
          <w:p w14:paraId="138A754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1.38025</w:t>
            </w:r>
          </w:p>
        </w:tc>
      </w:tr>
      <w:tr w:rsidR="00D8538D" w:rsidRPr="0017616D" w14:paraId="49737C5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48" w:type="pct"/>
            <w:hideMark/>
          </w:tcPr>
          <w:p w14:paraId="423CBBA3" w14:textId="77777777" w:rsidR="00D8538D" w:rsidRPr="0017616D" w:rsidRDefault="00D8538D" w:rsidP="004C4BAC">
            <w:pP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C (Constant)</w:t>
            </w:r>
          </w:p>
        </w:tc>
        <w:tc>
          <w:tcPr>
            <w:tcW w:w="1674" w:type="pct"/>
            <w:hideMark/>
          </w:tcPr>
          <w:p w14:paraId="2EF742C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0.451257</w:t>
            </w:r>
          </w:p>
        </w:tc>
        <w:tc>
          <w:tcPr>
            <w:tcW w:w="1143" w:type="pct"/>
            <w:hideMark/>
          </w:tcPr>
          <w:p w14:paraId="5ECA32C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116.4126</w:t>
            </w:r>
          </w:p>
        </w:tc>
        <w:tc>
          <w:tcPr>
            <w:tcW w:w="935" w:type="pct"/>
            <w:hideMark/>
          </w:tcPr>
          <w:p w14:paraId="0E0AA5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NA</w:t>
            </w:r>
          </w:p>
        </w:tc>
      </w:tr>
    </w:tbl>
    <w:p w14:paraId="6E7616D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i/>
          <w:iCs/>
          <w:color w:val="1F1F1F"/>
        </w:rPr>
        <w:t>Source: Author’s computation using EViews 14.</w:t>
      </w:r>
    </w:p>
    <w:p w14:paraId="4357B61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Variance Inflation Factor (VIF) test was applied to ensure that independent variables in the model are not highly correlated. Table 3 reveals that, the Centred VIF values for all explanatory variables (Inflation, Housing, Health, Gini, and Personal Income Tax) range from 1.20 to 1.65. These values are significantly below the conservative threshold of 10.0 (and even the stricter threshold of 5.0). The results suggest that there is no evidence of multicollinearity among the regressors, each independent variable provides unique and independent information to the model.</w:t>
      </w:r>
    </w:p>
    <w:p w14:paraId="16F049E0"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4.3: Pairwise Granger Causality Test Results (Selected Pairs)</w:t>
      </w:r>
    </w:p>
    <w:tbl>
      <w:tblPr>
        <w:tblStyle w:val="PlainTable5"/>
        <w:tblW w:w="4511" w:type="pct"/>
        <w:tblInd w:w="828" w:type="dxa"/>
        <w:tblLook w:val="04A0" w:firstRow="1" w:lastRow="0" w:firstColumn="1" w:lastColumn="0" w:noHBand="0" w:noVBand="1"/>
      </w:tblPr>
      <w:tblGrid>
        <w:gridCol w:w="3704"/>
        <w:gridCol w:w="1018"/>
        <w:gridCol w:w="1201"/>
        <w:gridCol w:w="1029"/>
        <w:gridCol w:w="1493"/>
      </w:tblGrid>
      <w:tr w:rsidR="00D8538D" w:rsidRPr="0017616D" w14:paraId="03C0B4C8"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193" w:type="pct"/>
            <w:hideMark/>
          </w:tcPr>
          <w:p w14:paraId="1B4EC37C" w14:textId="77777777" w:rsidR="00D8538D" w:rsidRPr="0017616D" w:rsidRDefault="00D8538D" w:rsidP="004C4BAC">
            <w:pPr>
              <w:jc w:val="center"/>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 xml:space="preserve">Null Hypothesis </w:t>
            </w:r>
            <m:oMath>
              <m:sSub>
                <m:sSubPr>
                  <m:ctrlPr>
                    <w:rPr>
                      <w:rFonts w:ascii="Cambria Math" w:hAnsi="Cambria Math" w:cstheme="majorBidi"/>
                      <w:i w:val="0"/>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c>
          <w:tcPr>
            <w:tcW w:w="603" w:type="pct"/>
            <w:hideMark/>
          </w:tcPr>
          <w:p w14:paraId="37AE2CDC"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Obs</w:t>
            </w:r>
          </w:p>
        </w:tc>
        <w:tc>
          <w:tcPr>
            <w:tcW w:w="711" w:type="pct"/>
            <w:hideMark/>
          </w:tcPr>
          <w:p w14:paraId="2FFBD25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F-Statistic</w:t>
            </w:r>
          </w:p>
        </w:tc>
        <w:tc>
          <w:tcPr>
            <w:tcW w:w="609" w:type="pct"/>
            <w:hideMark/>
          </w:tcPr>
          <w:p w14:paraId="6AC0DB9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Prob.</w:t>
            </w:r>
          </w:p>
        </w:tc>
        <w:tc>
          <w:tcPr>
            <w:tcW w:w="885" w:type="pct"/>
            <w:hideMark/>
          </w:tcPr>
          <w:p w14:paraId="03B64D5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0"/>
                <w:szCs w:val="20"/>
              </w:rPr>
            </w:pPr>
            <w:r w:rsidRPr="0017616D">
              <w:rPr>
                <w:rFonts w:asciiTheme="majorBidi" w:hAnsiTheme="majorBidi" w:cstheme="majorBidi"/>
                <w:b/>
                <w:bCs/>
                <w:color w:val="1F1F1F"/>
                <w:sz w:val="20"/>
                <w:szCs w:val="20"/>
              </w:rPr>
              <w:t>Decision</w:t>
            </w:r>
          </w:p>
        </w:tc>
      </w:tr>
      <w:tr w:rsidR="00D8538D" w:rsidRPr="0017616D" w14:paraId="3E3E4DE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12E41169"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PIT does not Granger Cause L_GDP</w:t>
            </w:r>
          </w:p>
        </w:tc>
        <w:tc>
          <w:tcPr>
            <w:tcW w:w="603" w:type="pct"/>
            <w:hideMark/>
          </w:tcPr>
          <w:p w14:paraId="527C97D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0D959B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6.43868</w:t>
            </w:r>
          </w:p>
        </w:tc>
        <w:tc>
          <w:tcPr>
            <w:tcW w:w="609" w:type="pct"/>
            <w:hideMark/>
          </w:tcPr>
          <w:p w14:paraId="7D536FB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0.0049</w:t>
            </w:r>
          </w:p>
        </w:tc>
        <w:tc>
          <w:tcPr>
            <w:tcW w:w="885" w:type="pct"/>
            <w:hideMark/>
          </w:tcPr>
          <w:p w14:paraId="04F175BC"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584884DC"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73EFE30"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L_GDP does not Granger Cause HOUSING</w:t>
            </w:r>
          </w:p>
        </w:tc>
        <w:tc>
          <w:tcPr>
            <w:tcW w:w="603" w:type="pct"/>
            <w:hideMark/>
          </w:tcPr>
          <w:p w14:paraId="46AA79E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512DC7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3.37448</w:t>
            </w:r>
          </w:p>
        </w:tc>
        <w:tc>
          <w:tcPr>
            <w:tcW w:w="609" w:type="pct"/>
            <w:hideMark/>
          </w:tcPr>
          <w:p w14:paraId="0F9FD93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0.0481</w:t>
            </w:r>
          </w:p>
        </w:tc>
        <w:tc>
          <w:tcPr>
            <w:tcW w:w="885" w:type="pct"/>
            <w:hideMark/>
          </w:tcPr>
          <w:p w14:paraId="025D81C8" w14:textId="77777777" w:rsidR="00D8538D" w:rsidRPr="0017616D"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1F8DDA40"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11DD665"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Inflation Does Not Granger Cause Gini</w:t>
            </w:r>
          </w:p>
        </w:tc>
        <w:tc>
          <w:tcPr>
            <w:tcW w:w="603" w:type="pct"/>
            <w:hideMark/>
          </w:tcPr>
          <w:p w14:paraId="20B6D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2135161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8.13197</w:t>
            </w:r>
          </w:p>
        </w:tc>
        <w:tc>
          <w:tcPr>
            <w:tcW w:w="609" w:type="pct"/>
            <w:hideMark/>
          </w:tcPr>
          <w:p w14:paraId="0C9CD9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0.0016</w:t>
            </w:r>
          </w:p>
        </w:tc>
        <w:tc>
          <w:tcPr>
            <w:tcW w:w="885" w:type="pct"/>
            <w:hideMark/>
          </w:tcPr>
          <w:p w14:paraId="785993F3"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 xml:space="preserve">Reject </w:t>
            </w:r>
            <m:oMath>
              <m:sSub>
                <m:sSubPr>
                  <m:ctrlPr>
                    <w:rPr>
                      <w:rFonts w:ascii="Cambria Math" w:hAnsi="Cambria Math" w:cstheme="majorBidi"/>
                      <w:i/>
                      <w:color w:val="1F1F1F"/>
                      <w:sz w:val="20"/>
                      <w:szCs w:val="20"/>
                    </w:rPr>
                  </m:ctrlPr>
                </m:sSubPr>
                <m:e>
                  <m:r>
                    <w:rPr>
                      <w:rFonts w:ascii="Cambria Math" w:hAnsi="Cambria Math" w:cstheme="majorBidi"/>
                      <w:color w:val="1F1F1F"/>
                      <w:sz w:val="20"/>
                      <w:szCs w:val="20"/>
                    </w:rPr>
                    <m:t>H</m:t>
                  </m:r>
                </m:e>
                <m:sub>
                  <m:r>
                    <w:rPr>
                      <w:rFonts w:ascii="Cambria Math" w:hAnsi="Cambria Math" w:cstheme="majorBidi"/>
                      <w:color w:val="1F1F1F"/>
                      <w:sz w:val="20"/>
                      <w:szCs w:val="20"/>
                    </w:rPr>
                    <m:t>0</m:t>
                  </m:r>
                </m:sub>
              </m:sSub>
            </m:oMath>
          </w:p>
        </w:tc>
      </w:tr>
      <w:tr w:rsidR="00D8538D" w:rsidRPr="0017616D" w14:paraId="14433F6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1FFA7E3A"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Health Does Not Granger Cause Inflation</w:t>
            </w:r>
          </w:p>
        </w:tc>
        <w:tc>
          <w:tcPr>
            <w:tcW w:w="603" w:type="pct"/>
            <w:hideMark/>
          </w:tcPr>
          <w:p w14:paraId="67C93AA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2DDC12B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3.06634</w:t>
            </w:r>
          </w:p>
        </w:tc>
        <w:tc>
          <w:tcPr>
            <w:tcW w:w="609" w:type="pct"/>
            <w:hideMark/>
          </w:tcPr>
          <w:p w14:paraId="6EC73F4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0.0619</w:t>
            </w:r>
          </w:p>
        </w:tc>
        <w:tc>
          <w:tcPr>
            <w:tcW w:w="885" w:type="pct"/>
            <w:hideMark/>
          </w:tcPr>
          <w:p w14:paraId="6CD3CBED" w14:textId="77777777" w:rsidR="00D8538D" w:rsidRPr="0017616D"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Fail to Reject*</w:t>
            </w:r>
          </w:p>
        </w:tc>
      </w:tr>
      <w:tr w:rsidR="00D8538D" w:rsidRPr="0017616D" w14:paraId="6EDC060B"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93" w:type="pct"/>
            <w:hideMark/>
          </w:tcPr>
          <w:p w14:paraId="72E43971" w14:textId="77777777" w:rsidR="00D8538D" w:rsidRPr="0017616D" w:rsidRDefault="00D8538D" w:rsidP="004C4BAC">
            <w:pPr>
              <w:jc w:val="left"/>
              <w:rPr>
                <w:rFonts w:asciiTheme="majorBidi" w:hAnsiTheme="majorBidi" w:cstheme="majorBidi"/>
                <w:color w:val="1F1F1F"/>
                <w:sz w:val="20"/>
                <w:szCs w:val="20"/>
              </w:rPr>
            </w:pPr>
            <w:r w:rsidRPr="0017616D">
              <w:rPr>
                <w:rFonts w:asciiTheme="majorBidi" w:hAnsiTheme="majorBidi" w:cstheme="majorBidi"/>
                <w:color w:val="1F1F1F"/>
                <w:sz w:val="20"/>
                <w:szCs w:val="20"/>
              </w:rPr>
              <w:t>Gini does not Granger Cause L_GDP</w:t>
            </w:r>
          </w:p>
        </w:tc>
        <w:tc>
          <w:tcPr>
            <w:tcW w:w="603" w:type="pct"/>
            <w:hideMark/>
          </w:tcPr>
          <w:p w14:paraId="387C9AE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34</w:t>
            </w:r>
          </w:p>
        </w:tc>
        <w:tc>
          <w:tcPr>
            <w:tcW w:w="711" w:type="pct"/>
            <w:hideMark/>
          </w:tcPr>
          <w:p w14:paraId="1F4ED39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0.07755</w:t>
            </w:r>
          </w:p>
        </w:tc>
        <w:tc>
          <w:tcPr>
            <w:tcW w:w="609" w:type="pct"/>
            <w:hideMark/>
          </w:tcPr>
          <w:p w14:paraId="2E188C52"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0.9256</w:t>
            </w:r>
          </w:p>
        </w:tc>
        <w:tc>
          <w:tcPr>
            <w:tcW w:w="885" w:type="pct"/>
            <w:hideMark/>
          </w:tcPr>
          <w:p w14:paraId="7ECBE34D" w14:textId="77777777" w:rsidR="00D8538D" w:rsidRPr="0017616D"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Fail to Reject</w:t>
            </w:r>
          </w:p>
        </w:tc>
      </w:tr>
    </w:tbl>
    <w:p w14:paraId="09E0C49E" w14:textId="77777777" w:rsidR="00D8538D" w:rsidRPr="0017616D" w:rsidRDefault="00D8538D" w:rsidP="00D8538D">
      <w:pPr>
        <w:spacing w:before="120" w:after="120"/>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w:t>
      </w:r>
      <w:r w:rsidRPr="0017616D">
        <w:rPr>
          <w:rFonts w:asciiTheme="majorBidi" w:hAnsiTheme="majorBidi" w:cstheme="majorBidi"/>
        </w:rPr>
        <w:t>Author’s</w:t>
      </w:r>
      <w:r w:rsidRPr="0017616D">
        <w:rPr>
          <w:rFonts w:asciiTheme="majorBidi" w:hAnsiTheme="majorBidi" w:cstheme="majorBidi"/>
          <w:i/>
          <w:iCs/>
          <w:color w:val="1F1F1F"/>
        </w:rPr>
        <w:t xml:space="preserve"> computation using EViews 14. Note: Significance level at 5%.</w:t>
      </w:r>
    </w:p>
    <w:p w14:paraId="0EE3952D" w14:textId="77777777" w:rsidR="00D8538D" w:rsidRPr="0017616D" w:rsidRDefault="00D8538D" w:rsidP="00D8538D">
      <w:pPr>
        <w:spacing w:before="240" w:after="120"/>
        <w:ind w:left="720"/>
        <w:jc w:val="both"/>
        <w:rPr>
          <w:rFonts w:asciiTheme="majorBidi" w:hAnsiTheme="majorBidi" w:cstheme="majorBidi"/>
        </w:rPr>
      </w:pPr>
      <w:r w:rsidRPr="0017616D">
        <w:rPr>
          <w:rFonts w:asciiTheme="majorBidi" w:hAnsiTheme="majorBidi" w:cstheme="majorBidi"/>
        </w:rPr>
        <w:t>The significant causality from PIT to L_GDP justifies the use of L_GDP as dependent variable in the ARDL framework. It confirms that the tax-related redistribution variable is not just correlated with growth but possesses significant predictive precedence, reinforcing the structural validity of this report.</w:t>
      </w:r>
    </w:p>
    <w:p w14:paraId="4BDEA687"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Lag selection model</w:t>
      </w:r>
    </w:p>
    <w:p w14:paraId="37A77850"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optimal lag length for both the Unit Root analysis and the ARDL estimation was determined using the Schwarz Information Criterion (SIC). This choice was deliberate to ensure model parsimony and to maximize the degrees of freedom given the 36-year scope of the study.</w:t>
      </w:r>
    </w:p>
    <w:p w14:paraId="2EBF64CA"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Unit root test </w:t>
      </w:r>
    </w:p>
    <w:p w14:paraId="7F8A570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4.4: Unit Root Test Results (Augmented Dickey-Fuller Test)</w:t>
      </w:r>
    </w:p>
    <w:tbl>
      <w:tblPr>
        <w:tblStyle w:val="PlainTable5"/>
        <w:tblW w:w="4584" w:type="pct"/>
        <w:tblInd w:w="828" w:type="dxa"/>
        <w:tblLook w:val="04A0" w:firstRow="1" w:lastRow="0" w:firstColumn="1" w:lastColumn="0" w:noHBand="0" w:noVBand="1"/>
      </w:tblPr>
      <w:tblGrid>
        <w:gridCol w:w="1210"/>
        <w:gridCol w:w="1841"/>
        <w:gridCol w:w="1833"/>
        <w:gridCol w:w="1152"/>
        <w:gridCol w:w="2545"/>
      </w:tblGrid>
      <w:tr w:rsidR="00D8538D" w:rsidRPr="0017616D" w14:paraId="30A75DC1"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705" w:type="pct"/>
            <w:hideMark/>
          </w:tcPr>
          <w:p w14:paraId="793A5401" w14:textId="77777777" w:rsidR="00D8538D" w:rsidRPr="0017616D" w:rsidRDefault="00D8538D" w:rsidP="004C4BAC">
            <w:pPr>
              <w:jc w:val="center"/>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Variable</w:t>
            </w:r>
          </w:p>
        </w:tc>
        <w:tc>
          <w:tcPr>
            <w:tcW w:w="1073" w:type="pct"/>
            <w:hideMark/>
          </w:tcPr>
          <w:p w14:paraId="4DB592E3"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Level I(0)</w:t>
            </w:r>
          </w:p>
        </w:tc>
        <w:tc>
          <w:tcPr>
            <w:tcW w:w="1068" w:type="pct"/>
            <w:hideMark/>
          </w:tcPr>
          <w:p w14:paraId="49D0F74A"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First Difference I(1)</w:t>
            </w:r>
          </w:p>
        </w:tc>
        <w:tc>
          <w:tcPr>
            <w:tcW w:w="671" w:type="pct"/>
            <w:hideMark/>
          </w:tcPr>
          <w:p w14:paraId="70ABB024"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Order of Integration</w:t>
            </w:r>
          </w:p>
        </w:tc>
        <w:tc>
          <w:tcPr>
            <w:tcW w:w="1483" w:type="pct"/>
            <w:hideMark/>
          </w:tcPr>
          <w:p w14:paraId="05914241"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000000"/>
                <w:sz w:val="20"/>
                <w:szCs w:val="20"/>
              </w:rPr>
            </w:pPr>
            <w:r w:rsidRPr="0017616D">
              <w:rPr>
                <w:rStyle w:val="Strong"/>
                <w:rFonts w:asciiTheme="majorBidi" w:hAnsiTheme="majorBidi" w:cstheme="majorBidi"/>
                <w:color w:val="000000"/>
                <w:sz w:val="20"/>
                <w:szCs w:val="20"/>
              </w:rPr>
              <w:t>Remark</w:t>
            </w:r>
          </w:p>
        </w:tc>
      </w:tr>
      <w:tr w:rsidR="00D8538D" w:rsidRPr="0017616D" w14:paraId="55B491FF"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1FC47A0D"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ln(GDP)</w:t>
            </w:r>
          </w:p>
        </w:tc>
        <w:tc>
          <w:tcPr>
            <w:tcW w:w="1073" w:type="pct"/>
            <w:hideMark/>
          </w:tcPr>
          <w:p w14:paraId="4F8AFC6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-1.7731 (0.3871)</w:t>
            </w:r>
          </w:p>
        </w:tc>
        <w:tc>
          <w:tcPr>
            <w:tcW w:w="1068" w:type="pct"/>
            <w:hideMark/>
          </w:tcPr>
          <w:p w14:paraId="220186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sz w:val="20"/>
                <w:szCs w:val="20"/>
              </w:rPr>
              <w:t>-5.005*** (0.0003)</w:t>
            </w:r>
          </w:p>
        </w:tc>
        <w:tc>
          <w:tcPr>
            <w:tcW w:w="671" w:type="pct"/>
            <w:hideMark/>
          </w:tcPr>
          <w:p w14:paraId="2FA33D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248677F4"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4CC1D8F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0B51D2FC"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PIT</w:t>
            </w:r>
          </w:p>
        </w:tc>
        <w:tc>
          <w:tcPr>
            <w:tcW w:w="1073" w:type="pct"/>
            <w:hideMark/>
          </w:tcPr>
          <w:p w14:paraId="5D17BDE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-2.4795 (0.1289)</w:t>
            </w:r>
          </w:p>
        </w:tc>
        <w:tc>
          <w:tcPr>
            <w:tcW w:w="1068" w:type="pct"/>
            <w:hideMark/>
          </w:tcPr>
          <w:p w14:paraId="72DC1A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-5.7945*** (0.0000)</w:t>
            </w:r>
          </w:p>
        </w:tc>
        <w:tc>
          <w:tcPr>
            <w:tcW w:w="671" w:type="pct"/>
            <w:hideMark/>
          </w:tcPr>
          <w:p w14:paraId="00E9292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0BDD884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34B52EA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43AD8AE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Health</w:t>
            </w:r>
          </w:p>
        </w:tc>
        <w:tc>
          <w:tcPr>
            <w:tcW w:w="1073" w:type="pct"/>
            <w:hideMark/>
          </w:tcPr>
          <w:p w14:paraId="73B5C7B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-2.9961** (0.0451)</w:t>
            </w:r>
          </w:p>
        </w:tc>
        <w:tc>
          <w:tcPr>
            <w:tcW w:w="1068" w:type="pct"/>
            <w:hideMark/>
          </w:tcPr>
          <w:p w14:paraId="1FBC43A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w:t>
            </w:r>
          </w:p>
        </w:tc>
        <w:tc>
          <w:tcPr>
            <w:tcW w:w="671" w:type="pct"/>
            <w:hideMark/>
          </w:tcPr>
          <w:p w14:paraId="147C14B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I(0)</w:t>
            </w:r>
          </w:p>
        </w:tc>
        <w:tc>
          <w:tcPr>
            <w:tcW w:w="1483" w:type="pct"/>
            <w:hideMark/>
          </w:tcPr>
          <w:p w14:paraId="773483E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level</w:t>
            </w:r>
          </w:p>
        </w:tc>
      </w:tr>
      <w:tr w:rsidR="00D8538D" w:rsidRPr="0017616D" w14:paraId="493CDDB6"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hideMark/>
          </w:tcPr>
          <w:p w14:paraId="25CC832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Housing</w:t>
            </w:r>
          </w:p>
        </w:tc>
        <w:tc>
          <w:tcPr>
            <w:tcW w:w="1073" w:type="pct"/>
            <w:hideMark/>
          </w:tcPr>
          <w:p w14:paraId="31CF727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-1.7669 (0.3901)</w:t>
            </w:r>
          </w:p>
        </w:tc>
        <w:tc>
          <w:tcPr>
            <w:tcW w:w="1068" w:type="pct"/>
            <w:hideMark/>
          </w:tcPr>
          <w:p w14:paraId="7E67F5A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-6.5545 (0.0000)</w:t>
            </w:r>
          </w:p>
        </w:tc>
        <w:tc>
          <w:tcPr>
            <w:tcW w:w="671" w:type="pct"/>
            <w:hideMark/>
          </w:tcPr>
          <w:p w14:paraId="75481C7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hideMark/>
          </w:tcPr>
          <w:p w14:paraId="6A79444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7181D41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05" w:type="pct"/>
          </w:tcPr>
          <w:p w14:paraId="3F12765E"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Gini</w:t>
            </w:r>
          </w:p>
        </w:tc>
        <w:tc>
          <w:tcPr>
            <w:tcW w:w="1073" w:type="pct"/>
          </w:tcPr>
          <w:p w14:paraId="4253D98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-2.2052 (0.2081)</w:t>
            </w:r>
          </w:p>
        </w:tc>
        <w:tc>
          <w:tcPr>
            <w:tcW w:w="1068" w:type="pct"/>
          </w:tcPr>
          <w:p w14:paraId="25CCE0A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-4.4010*** (0.0014)</w:t>
            </w:r>
          </w:p>
        </w:tc>
        <w:tc>
          <w:tcPr>
            <w:tcW w:w="671" w:type="pct"/>
          </w:tcPr>
          <w:p w14:paraId="3FD3C4A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tcPr>
          <w:p w14:paraId="3A2D28C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r w:rsidR="00D8538D" w:rsidRPr="0017616D" w14:paraId="5BA5798D"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705" w:type="pct"/>
          </w:tcPr>
          <w:p w14:paraId="1CB1B3D2" w14:textId="77777777" w:rsidR="00D8538D" w:rsidRPr="0017616D" w:rsidRDefault="00D8538D" w:rsidP="004C4BAC">
            <w:pPr>
              <w:jc w:val="center"/>
              <w:rPr>
                <w:rFonts w:asciiTheme="majorBidi" w:hAnsiTheme="majorBidi" w:cstheme="majorBidi"/>
                <w:color w:val="000000"/>
                <w:sz w:val="20"/>
                <w:szCs w:val="20"/>
              </w:rPr>
            </w:pPr>
            <w:r w:rsidRPr="0017616D">
              <w:rPr>
                <w:rFonts w:asciiTheme="majorBidi" w:hAnsiTheme="majorBidi" w:cstheme="majorBidi"/>
                <w:b/>
                <w:bCs/>
                <w:sz w:val="20"/>
                <w:szCs w:val="20"/>
              </w:rPr>
              <w:t>INF</w:t>
            </w:r>
          </w:p>
        </w:tc>
        <w:tc>
          <w:tcPr>
            <w:tcW w:w="1073" w:type="pct"/>
          </w:tcPr>
          <w:p w14:paraId="684C4DB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-2.2753 (0.1852)</w:t>
            </w:r>
          </w:p>
        </w:tc>
        <w:tc>
          <w:tcPr>
            <w:tcW w:w="1068" w:type="pct"/>
          </w:tcPr>
          <w:p w14:paraId="524F2C51"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-5.8284*** (0.0000)</w:t>
            </w:r>
          </w:p>
        </w:tc>
        <w:tc>
          <w:tcPr>
            <w:tcW w:w="671" w:type="pct"/>
          </w:tcPr>
          <w:p w14:paraId="4264056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20"/>
                <w:szCs w:val="20"/>
              </w:rPr>
            </w:pPr>
            <w:r w:rsidRPr="0017616D">
              <w:rPr>
                <w:rFonts w:asciiTheme="majorBidi" w:hAnsiTheme="majorBidi" w:cstheme="majorBidi"/>
                <w:color w:val="000000"/>
                <w:sz w:val="20"/>
                <w:szCs w:val="20"/>
              </w:rPr>
              <w:t>I(1)</w:t>
            </w:r>
          </w:p>
        </w:tc>
        <w:tc>
          <w:tcPr>
            <w:tcW w:w="1483" w:type="pct"/>
          </w:tcPr>
          <w:p w14:paraId="1230226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000000"/>
                <w:sz w:val="20"/>
                <w:szCs w:val="20"/>
              </w:rPr>
            </w:pPr>
            <w:r w:rsidRPr="0017616D">
              <w:rPr>
                <w:rFonts w:asciiTheme="majorBidi" w:hAnsiTheme="majorBidi" w:cstheme="majorBidi"/>
                <w:i/>
                <w:iCs/>
                <w:color w:val="000000"/>
                <w:sz w:val="20"/>
                <w:szCs w:val="20"/>
              </w:rPr>
              <w:t>Stationary at 1</w:t>
            </w:r>
            <w:r w:rsidRPr="0017616D">
              <w:rPr>
                <w:rFonts w:asciiTheme="majorBidi" w:hAnsiTheme="majorBidi" w:cstheme="majorBidi"/>
                <w:i/>
                <w:iCs/>
                <w:color w:val="000000"/>
                <w:sz w:val="20"/>
                <w:szCs w:val="20"/>
                <w:vertAlign w:val="superscript"/>
              </w:rPr>
              <w:t>st</w:t>
            </w:r>
            <w:r w:rsidRPr="0017616D">
              <w:rPr>
                <w:rFonts w:asciiTheme="majorBidi" w:hAnsiTheme="majorBidi" w:cstheme="majorBidi"/>
                <w:i/>
                <w:iCs/>
                <w:color w:val="000000"/>
                <w:sz w:val="20"/>
                <w:szCs w:val="20"/>
              </w:rPr>
              <w:t xml:space="preserve"> difference</w:t>
            </w:r>
          </w:p>
        </w:tc>
      </w:tr>
    </w:tbl>
    <w:p w14:paraId="7634FAC6"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698574FD" w14:textId="77777777" w:rsidR="00D8538D" w:rsidRPr="0017616D" w:rsidRDefault="00D8538D" w:rsidP="00D8538D">
      <w:pPr>
        <w:ind w:left="720"/>
        <w:jc w:val="both"/>
        <w:rPr>
          <w:rFonts w:asciiTheme="majorBidi" w:hAnsiTheme="majorBidi" w:cstheme="majorBidi"/>
          <w:i/>
          <w:iCs/>
        </w:rPr>
      </w:pPr>
      <w:r w:rsidRPr="0017616D">
        <w:rPr>
          <w:rFonts w:asciiTheme="majorBidi" w:hAnsiTheme="majorBidi" w:cstheme="majorBidi"/>
          <w:i/>
          <w:iCs/>
          <w:color w:val="1F1F1F"/>
        </w:rPr>
        <w:t xml:space="preserve">Note: </w:t>
      </w:r>
      <w:r w:rsidRPr="0017616D">
        <w:rPr>
          <w:rFonts w:asciiTheme="majorBidi" w:hAnsiTheme="majorBidi" w:cstheme="majorBidi"/>
          <w:i/>
          <w:iCs/>
        </w:rPr>
        <w:t xml:space="preserve">*,**, *** indicate significance at 10%, 5%, and 1% levels respectively </w:t>
      </w:r>
    </w:p>
    <w:p w14:paraId="3FE5FFE0" w14:textId="77777777" w:rsidR="00D8538D" w:rsidRPr="0017616D" w:rsidRDefault="00D8538D" w:rsidP="00D8538D">
      <w:pPr>
        <w:ind w:left="720"/>
        <w:jc w:val="both"/>
        <w:rPr>
          <w:rFonts w:asciiTheme="majorBidi" w:hAnsiTheme="majorBidi" w:cstheme="majorBidi"/>
        </w:rPr>
      </w:pPr>
    </w:p>
    <w:p w14:paraId="759618C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Augmented Dickey-Fuller (ADF) test was employed to ascertain the study’s variables stationarity level. The results reveal a mixed integration results of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0</m:t>
            </m:r>
          </m:e>
        </m:d>
      </m:oMath>
      <w:r w:rsidRPr="0017616D">
        <w:rPr>
          <w:rFonts w:asciiTheme="majorBidi" w:hAnsiTheme="majorBidi" w:cstheme="majorBidi"/>
        </w:rPr>
        <w:t xml:space="preserve"> and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1</m:t>
            </m:r>
          </m:e>
        </m:d>
        <m:r>
          <w:rPr>
            <w:rFonts w:ascii="Cambria Math" w:hAnsi="Cambria Math" w:cstheme="majorBidi"/>
          </w:rPr>
          <m:t>,</m:t>
        </m:r>
      </m:oMath>
      <w:r w:rsidRPr="0017616D">
        <w:rPr>
          <w:rFonts w:asciiTheme="majorBidi" w:hAnsiTheme="majorBidi" w:cstheme="majorBidi"/>
        </w:rPr>
        <w:t xml:space="preserve"> which is the primary justification for using ARDL Bounds testing for further analyses. Government expenditure on Health was the only series found to be stationary at its level (</w:t>
      </w:r>
      <w:r w:rsidRPr="0017616D">
        <w:rPr>
          <w:rFonts w:asciiTheme="majorBidi" w:hAnsiTheme="majorBidi" w:cstheme="majorBidi"/>
          <w:i/>
          <w:iCs/>
        </w:rPr>
        <w:t>I</w:t>
      </w:r>
      <w:r w:rsidRPr="0017616D">
        <w:rPr>
          <w:rFonts w:asciiTheme="majorBidi" w:hAnsiTheme="majorBidi" w:cstheme="majorBidi"/>
        </w:rPr>
        <w:t>(0)), with an ADF statistic of -2.9961 and p-value of 0.0451. The core economic growth and redistribution variables ln(GDP), Personal Income Tax, Housing expenditure, Gini Coefficient and Inflation (INF) exhibited non-stationarity at their levels, but they were all stationary at 1% significance level with p-values of 0.0003</w:t>
      </w:r>
      <w:r w:rsidRPr="0017616D">
        <w:rPr>
          <w:rFonts w:asciiTheme="majorBidi" w:hAnsiTheme="majorBidi" w:cstheme="majorBidi"/>
          <w:color w:val="000000"/>
        </w:rPr>
        <w:t xml:space="preserve">, </w:t>
      </w:r>
      <w:r w:rsidRPr="0017616D">
        <w:rPr>
          <w:rFonts w:asciiTheme="majorBidi" w:hAnsiTheme="majorBidi" w:cstheme="majorBidi"/>
        </w:rPr>
        <w:t>0.0000</w:t>
      </w:r>
      <w:r w:rsidRPr="0017616D">
        <w:rPr>
          <w:rFonts w:asciiTheme="majorBidi" w:hAnsiTheme="majorBidi" w:cstheme="majorBidi"/>
          <w:color w:val="000000"/>
        </w:rPr>
        <w:t xml:space="preserve">, </w:t>
      </w:r>
      <w:r w:rsidRPr="0017616D">
        <w:rPr>
          <w:rFonts w:asciiTheme="majorBidi" w:hAnsiTheme="majorBidi" w:cstheme="majorBidi"/>
        </w:rPr>
        <w:t xml:space="preserve">0.0000, </w:t>
      </w:r>
      <w:r w:rsidRPr="0017616D">
        <w:rPr>
          <w:rFonts w:asciiTheme="majorBidi" w:hAnsiTheme="majorBidi" w:cstheme="majorBidi"/>
          <w:color w:val="000000"/>
        </w:rPr>
        <w:t xml:space="preserve">0.0014 </w:t>
      </w:r>
      <w:r w:rsidRPr="0017616D">
        <w:rPr>
          <w:rFonts w:asciiTheme="majorBidi" w:hAnsiTheme="majorBidi" w:cstheme="majorBidi"/>
        </w:rPr>
        <w:t xml:space="preserve">and </w:t>
      </w:r>
      <w:r w:rsidRPr="0017616D">
        <w:rPr>
          <w:rFonts w:asciiTheme="majorBidi" w:hAnsiTheme="majorBidi" w:cstheme="majorBidi"/>
          <w:color w:val="000000"/>
        </w:rPr>
        <w:t>0.0000 respectively</w:t>
      </w:r>
      <w:r w:rsidRPr="0017616D">
        <w:rPr>
          <w:rFonts w:asciiTheme="majorBidi" w:hAnsiTheme="majorBidi" w:cstheme="majorBidi"/>
        </w:rPr>
        <w:t>. Specifically, the status of the Gini Coefficient and ln(GDP) suggests that there is a potential for a long-run equilibrium relationship between inequality and growth. This test results, therefore, confirm that the data is well-suited for ARDL estimation.</w:t>
      </w:r>
    </w:p>
    <w:p w14:paraId="1A41736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Lag selection criteria </w:t>
      </w:r>
    </w:p>
    <w:p w14:paraId="5BF5A3B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determine the optimal lag structure for the model, five information criteria LR, FPE, AIC, SC, and HQ were evaluated. The results demonstrate a unanimous consensus, with all five criteria identifying Lag 2 as the optimal order for the system. Consequently, an ARDL model with a baseline lag of 2 was utilized for the estimation of the long-run and short-run dynamics.</w:t>
      </w:r>
    </w:p>
    <w:p w14:paraId="79968722" w14:textId="77777777" w:rsidR="00D8538D" w:rsidRPr="009F26DA" w:rsidRDefault="00D8538D" w:rsidP="00D8538D">
      <w:pPr>
        <w:spacing w:before="120" w:after="120"/>
        <w:ind w:left="720"/>
        <w:jc w:val="both"/>
        <w:rPr>
          <w:rFonts w:asciiTheme="majorBidi" w:hAnsiTheme="majorBidi" w:cstheme="majorBidi"/>
          <w:b/>
          <w:bCs/>
        </w:rPr>
      </w:pPr>
      <w:r w:rsidRPr="009F26DA">
        <w:rPr>
          <w:rFonts w:asciiTheme="majorBidi" w:hAnsiTheme="majorBidi" w:cstheme="majorBidi"/>
          <w:b/>
          <w:bCs/>
        </w:rPr>
        <w:t>Table 4.5: ARDL Estimation Results (Dependent Variable: L_GDP)</w:t>
      </w:r>
    </w:p>
    <w:tbl>
      <w:tblPr>
        <w:tblStyle w:val="PlainTable2"/>
        <w:tblW w:w="4518" w:type="pct"/>
        <w:tblInd w:w="828" w:type="dxa"/>
        <w:tblLook w:val="04A0" w:firstRow="1" w:lastRow="0" w:firstColumn="1" w:lastColumn="0" w:noHBand="0" w:noVBand="1"/>
      </w:tblPr>
      <w:tblGrid>
        <w:gridCol w:w="2161"/>
        <w:gridCol w:w="1700"/>
        <w:gridCol w:w="1592"/>
        <w:gridCol w:w="1615"/>
        <w:gridCol w:w="1390"/>
      </w:tblGrid>
      <w:tr w:rsidR="00D8538D" w:rsidRPr="0017616D" w14:paraId="473110DB"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ECB1386"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Variable</w:t>
            </w:r>
          </w:p>
        </w:tc>
        <w:tc>
          <w:tcPr>
            <w:tcW w:w="1005" w:type="pct"/>
            <w:hideMark/>
          </w:tcPr>
          <w:p w14:paraId="6FB8AC01"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Coefficient</w:t>
            </w:r>
          </w:p>
        </w:tc>
        <w:tc>
          <w:tcPr>
            <w:tcW w:w="941" w:type="pct"/>
            <w:hideMark/>
          </w:tcPr>
          <w:p w14:paraId="1AABA8A3"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Std. Error</w:t>
            </w:r>
          </w:p>
        </w:tc>
        <w:tc>
          <w:tcPr>
            <w:tcW w:w="955" w:type="pct"/>
            <w:hideMark/>
          </w:tcPr>
          <w:p w14:paraId="46713BDF"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t-Statistic</w:t>
            </w:r>
          </w:p>
        </w:tc>
        <w:tc>
          <w:tcPr>
            <w:tcW w:w="822" w:type="pct"/>
            <w:hideMark/>
          </w:tcPr>
          <w:p w14:paraId="0112BEDF"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w:t>
            </w:r>
          </w:p>
        </w:tc>
      </w:tr>
      <w:tr w:rsidR="00D8538D" w:rsidRPr="0017616D" w14:paraId="1D1A377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406082F8"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L_GDP(-1)</w:t>
            </w:r>
          </w:p>
        </w:tc>
        <w:tc>
          <w:tcPr>
            <w:tcW w:w="1005" w:type="pct"/>
            <w:hideMark/>
          </w:tcPr>
          <w:p w14:paraId="518D2821"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0.1122</w:t>
            </w:r>
          </w:p>
        </w:tc>
        <w:tc>
          <w:tcPr>
            <w:tcW w:w="941" w:type="pct"/>
            <w:hideMark/>
          </w:tcPr>
          <w:p w14:paraId="2F495122"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0.219</w:t>
            </w:r>
          </w:p>
        </w:tc>
        <w:tc>
          <w:tcPr>
            <w:tcW w:w="955" w:type="pct"/>
            <w:hideMark/>
          </w:tcPr>
          <w:p w14:paraId="2ABA425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0.5124</w:t>
            </w:r>
          </w:p>
        </w:tc>
        <w:tc>
          <w:tcPr>
            <w:tcW w:w="822" w:type="pct"/>
            <w:hideMark/>
          </w:tcPr>
          <w:p w14:paraId="468FFE4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0.6133</w:t>
            </w:r>
          </w:p>
        </w:tc>
      </w:tr>
      <w:tr w:rsidR="00D8538D" w:rsidRPr="0017616D" w14:paraId="70E5621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1CDC17F"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PIT</w:t>
            </w:r>
          </w:p>
        </w:tc>
        <w:tc>
          <w:tcPr>
            <w:tcW w:w="1005" w:type="pct"/>
            <w:hideMark/>
          </w:tcPr>
          <w:p w14:paraId="1D84D7A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-0.6205</w:t>
            </w:r>
          </w:p>
        </w:tc>
        <w:tc>
          <w:tcPr>
            <w:tcW w:w="941" w:type="pct"/>
            <w:hideMark/>
          </w:tcPr>
          <w:p w14:paraId="0C51726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0.4837</w:t>
            </w:r>
          </w:p>
        </w:tc>
        <w:tc>
          <w:tcPr>
            <w:tcW w:w="955" w:type="pct"/>
            <w:hideMark/>
          </w:tcPr>
          <w:p w14:paraId="2B9E289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-1.2828</w:t>
            </w:r>
          </w:p>
        </w:tc>
        <w:tc>
          <w:tcPr>
            <w:tcW w:w="822" w:type="pct"/>
            <w:hideMark/>
          </w:tcPr>
          <w:p w14:paraId="6D870C0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0.2124</w:t>
            </w:r>
          </w:p>
        </w:tc>
      </w:tr>
      <w:tr w:rsidR="00D8538D" w:rsidRPr="0017616D" w14:paraId="03C7025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2AF064B8"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PIT(-1)</w:t>
            </w:r>
          </w:p>
        </w:tc>
        <w:tc>
          <w:tcPr>
            <w:tcW w:w="1005" w:type="pct"/>
            <w:hideMark/>
          </w:tcPr>
          <w:p w14:paraId="6354BD62"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1.1516</w:t>
            </w:r>
          </w:p>
        </w:tc>
        <w:tc>
          <w:tcPr>
            <w:tcW w:w="941" w:type="pct"/>
            <w:hideMark/>
          </w:tcPr>
          <w:p w14:paraId="44F250F0"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0.5188</w:t>
            </w:r>
          </w:p>
        </w:tc>
        <w:tc>
          <w:tcPr>
            <w:tcW w:w="955" w:type="pct"/>
            <w:hideMark/>
          </w:tcPr>
          <w:p w14:paraId="1F17D617"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2.2196</w:t>
            </w:r>
          </w:p>
        </w:tc>
        <w:tc>
          <w:tcPr>
            <w:tcW w:w="822" w:type="pct"/>
            <w:hideMark/>
          </w:tcPr>
          <w:p w14:paraId="707CEE1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0.0366*</w:t>
            </w:r>
          </w:p>
        </w:tc>
      </w:tr>
      <w:tr w:rsidR="00D8538D" w:rsidRPr="0017616D" w14:paraId="19C76641"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04B15B36"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HOUSING</w:t>
            </w:r>
          </w:p>
        </w:tc>
        <w:tc>
          <w:tcPr>
            <w:tcW w:w="1005" w:type="pct"/>
            <w:hideMark/>
          </w:tcPr>
          <w:p w14:paraId="2304E269"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0.0854</w:t>
            </w:r>
          </w:p>
        </w:tc>
        <w:tc>
          <w:tcPr>
            <w:tcW w:w="941" w:type="pct"/>
            <w:hideMark/>
          </w:tcPr>
          <w:p w14:paraId="0D6EAE0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0.1312</w:t>
            </w:r>
          </w:p>
        </w:tc>
        <w:tc>
          <w:tcPr>
            <w:tcW w:w="955" w:type="pct"/>
            <w:hideMark/>
          </w:tcPr>
          <w:p w14:paraId="6A176B94"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0.6506</w:t>
            </w:r>
          </w:p>
        </w:tc>
        <w:tc>
          <w:tcPr>
            <w:tcW w:w="822" w:type="pct"/>
            <w:hideMark/>
          </w:tcPr>
          <w:p w14:paraId="1F870494"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0.5218</w:t>
            </w:r>
          </w:p>
        </w:tc>
      </w:tr>
      <w:tr w:rsidR="00D8538D" w:rsidRPr="0017616D" w14:paraId="7A291E5C"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1AA7FD7"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HEALTH</w:t>
            </w:r>
          </w:p>
        </w:tc>
        <w:tc>
          <w:tcPr>
            <w:tcW w:w="1005" w:type="pct"/>
            <w:hideMark/>
          </w:tcPr>
          <w:p w14:paraId="54F725BC"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0.0175</w:t>
            </w:r>
          </w:p>
        </w:tc>
        <w:tc>
          <w:tcPr>
            <w:tcW w:w="941" w:type="pct"/>
            <w:hideMark/>
          </w:tcPr>
          <w:p w14:paraId="286F73D7"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0.0506</w:t>
            </w:r>
          </w:p>
        </w:tc>
        <w:tc>
          <w:tcPr>
            <w:tcW w:w="955" w:type="pct"/>
            <w:hideMark/>
          </w:tcPr>
          <w:p w14:paraId="56BBD113"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0.3462</w:t>
            </w:r>
          </w:p>
        </w:tc>
        <w:tc>
          <w:tcPr>
            <w:tcW w:w="822" w:type="pct"/>
            <w:hideMark/>
          </w:tcPr>
          <w:p w14:paraId="7E50BB2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0.7323</w:t>
            </w:r>
          </w:p>
        </w:tc>
      </w:tr>
      <w:tr w:rsidR="00D8538D" w:rsidRPr="0017616D" w14:paraId="3BE2FB3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67EA30A"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GINI</w:t>
            </w:r>
          </w:p>
        </w:tc>
        <w:tc>
          <w:tcPr>
            <w:tcW w:w="1005" w:type="pct"/>
            <w:hideMark/>
          </w:tcPr>
          <w:p w14:paraId="1341749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-0.0081</w:t>
            </w:r>
          </w:p>
        </w:tc>
        <w:tc>
          <w:tcPr>
            <w:tcW w:w="941" w:type="pct"/>
            <w:hideMark/>
          </w:tcPr>
          <w:p w14:paraId="5122F3B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0.0077</w:t>
            </w:r>
          </w:p>
        </w:tc>
        <w:tc>
          <w:tcPr>
            <w:tcW w:w="955" w:type="pct"/>
            <w:hideMark/>
          </w:tcPr>
          <w:p w14:paraId="44ED718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-1.0498</w:t>
            </w:r>
          </w:p>
        </w:tc>
        <w:tc>
          <w:tcPr>
            <w:tcW w:w="822" w:type="pct"/>
            <w:hideMark/>
          </w:tcPr>
          <w:p w14:paraId="642A0A8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0.3047</w:t>
            </w:r>
          </w:p>
        </w:tc>
      </w:tr>
      <w:tr w:rsidR="00D8538D" w:rsidRPr="0017616D" w14:paraId="4EE5112E"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0DCC57D5"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GINI(-1)</w:t>
            </w:r>
          </w:p>
        </w:tc>
        <w:tc>
          <w:tcPr>
            <w:tcW w:w="1005" w:type="pct"/>
            <w:hideMark/>
          </w:tcPr>
          <w:p w14:paraId="73523A9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0.0576</w:t>
            </w:r>
          </w:p>
        </w:tc>
        <w:tc>
          <w:tcPr>
            <w:tcW w:w="941" w:type="pct"/>
            <w:hideMark/>
          </w:tcPr>
          <w:p w14:paraId="349F16F0"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0.0205</w:t>
            </w:r>
          </w:p>
        </w:tc>
        <w:tc>
          <w:tcPr>
            <w:tcW w:w="955" w:type="pct"/>
            <w:hideMark/>
          </w:tcPr>
          <w:p w14:paraId="563FCBB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2.8157</w:t>
            </w:r>
          </w:p>
        </w:tc>
        <w:tc>
          <w:tcPr>
            <w:tcW w:w="822" w:type="pct"/>
            <w:hideMark/>
          </w:tcPr>
          <w:p w14:paraId="687796E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0.0098*</w:t>
            </w:r>
          </w:p>
        </w:tc>
      </w:tr>
      <w:tr w:rsidR="00D8538D" w:rsidRPr="0017616D" w14:paraId="255160B9"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44D0F5D1"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INFLATION</w:t>
            </w:r>
          </w:p>
        </w:tc>
        <w:tc>
          <w:tcPr>
            <w:tcW w:w="1005" w:type="pct"/>
            <w:hideMark/>
          </w:tcPr>
          <w:p w14:paraId="1F73202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-0.0135</w:t>
            </w:r>
          </w:p>
        </w:tc>
        <w:tc>
          <w:tcPr>
            <w:tcW w:w="941" w:type="pct"/>
            <w:hideMark/>
          </w:tcPr>
          <w:p w14:paraId="1EA6429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0.0045</w:t>
            </w:r>
          </w:p>
        </w:tc>
        <w:tc>
          <w:tcPr>
            <w:tcW w:w="955" w:type="pct"/>
            <w:hideMark/>
          </w:tcPr>
          <w:p w14:paraId="6B55E92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-2.9963</w:t>
            </w:r>
          </w:p>
        </w:tc>
        <w:tc>
          <w:tcPr>
            <w:tcW w:w="822" w:type="pct"/>
            <w:hideMark/>
          </w:tcPr>
          <w:p w14:paraId="59DD995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0.0064*</w:t>
            </w:r>
          </w:p>
        </w:tc>
      </w:tr>
      <w:tr w:rsidR="00D8538D" w:rsidRPr="0017616D" w14:paraId="0D0F2A12"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3DF86E2D"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w:t>
            </w:r>
          </w:p>
        </w:tc>
        <w:tc>
          <w:tcPr>
            <w:tcW w:w="1005" w:type="pct"/>
            <w:hideMark/>
          </w:tcPr>
          <w:p w14:paraId="7EA78D6F"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20.3971</w:t>
            </w:r>
          </w:p>
        </w:tc>
        <w:tc>
          <w:tcPr>
            <w:tcW w:w="941" w:type="pct"/>
            <w:hideMark/>
          </w:tcPr>
          <w:p w14:paraId="7CE9DA66"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5.7363</w:t>
            </w:r>
          </w:p>
        </w:tc>
        <w:tc>
          <w:tcPr>
            <w:tcW w:w="955" w:type="pct"/>
            <w:hideMark/>
          </w:tcPr>
          <w:p w14:paraId="326C7DA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3.5558</w:t>
            </w:r>
          </w:p>
        </w:tc>
        <w:tc>
          <w:tcPr>
            <w:tcW w:w="822" w:type="pct"/>
            <w:hideMark/>
          </w:tcPr>
          <w:p w14:paraId="071D609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0.0017*</w:t>
            </w:r>
          </w:p>
        </w:tc>
      </w:tr>
      <w:tr w:rsidR="00D8538D" w:rsidRPr="0017616D" w14:paraId="5C9A2B99"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hideMark/>
          </w:tcPr>
          <w:p w14:paraId="19CDA445" w14:textId="77777777" w:rsidR="00D8538D" w:rsidRPr="0017616D" w:rsidRDefault="00D8538D" w:rsidP="004C4BAC">
            <w:pPr>
              <w:ind w:firstLineChars="100" w:firstLine="200"/>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@YEAR&gt;=2005</w:t>
            </w:r>
          </w:p>
        </w:tc>
        <w:tc>
          <w:tcPr>
            <w:tcW w:w="1005" w:type="pct"/>
            <w:hideMark/>
          </w:tcPr>
          <w:p w14:paraId="0123B998"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1.0455</w:t>
            </w:r>
          </w:p>
        </w:tc>
        <w:tc>
          <w:tcPr>
            <w:tcW w:w="941" w:type="pct"/>
            <w:hideMark/>
          </w:tcPr>
          <w:p w14:paraId="5293BD7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0.2208</w:t>
            </w:r>
          </w:p>
        </w:tc>
        <w:tc>
          <w:tcPr>
            <w:tcW w:w="955" w:type="pct"/>
            <w:hideMark/>
          </w:tcPr>
          <w:p w14:paraId="08D8F98B"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4.734</w:t>
            </w:r>
          </w:p>
        </w:tc>
        <w:tc>
          <w:tcPr>
            <w:tcW w:w="822" w:type="pct"/>
            <w:hideMark/>
          </w:tcPr>
          <w:p w14:paraId="06EA10F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0.0001*</w:t>
            </w:r>
          </w:p>
        </w:tc>
      </w:tr>
      <w:tr w:rsidR="00D8538D" w:rsidRPr="0017616D" w14:paraId="470C1F4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21877230"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Diagnostic Statistics</w:t>
            </w:r>
          </w:p>
        </w:tc>
        <w:tc>
          <w:tcPr>
            <w:tcW w:w="1005" w:type="pct"/>
          </w:tcPr>
          <w:p w14:paraId="64345A9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Value</w:t>
            </w:r>
          </w:p>
        </w:tc>
        <w:tc>
          <w:tcPr>
            <w:tcW w:w="941" w:type="pct"/>
          </w:tcPr>
          <w:p w14:paraId="4784A481"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Test Type</w:t>
            </w:r>
          </w:p>
        </w:tc>
        <w:tc>
          <w:tcPr>
            <w:tcW w:w="955" w:type="pct"/>
          </w:tcPr>
          <w:p w14:paraId="46A7CB8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Bound/Crit.</w:t>
            </w:r>
          </w:p>
        </w:tc>
        <w:tc>
          <w:tcPr>
            <w:tcW w:w="822" w:type="pct"/>
          </w:tcPr>
          <w:p w14:paraId="2E387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Conclusion</w:t>
            </w:r>
          </w:p>
        </w:tc>
      </w:tr>
      <w:tr w:rsidR="00D8538D" w:rsidRPr="0017616D" w14:paraId="213A03C6"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3719A10B"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F-Bounds Test</w:t>
            </w:r>
          </w:p>
        </w:tc>
        <w:tc>
          <w:tcPr>
            <w:tcW w:w="1005" w:type="pct"/>
          </w:tcPr>
          <w:p w14:paraId="6D43F531"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5.4216</w:t>
            </w:r>
          </w:p>
        </w:tc>
        <w:tc>
          <w:tcPr>
            <w:tcW w:w="941" w:type="pct"/>
          </w:tcPr>
          <w:p w14:paraId="63223C9A"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Cointegration</w:t>
            </w:r>
          </w:p>
        </w:tc>
        <w:tc>
          <w:tcPr>
            <w:tcW w:w="955" w:type="pct"/>
          </w:tcPr>
          <w:p w14:paraId="337BDE0D"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4.443</w:t>
            </w:r>
          </w:p>
        </w:tc>
        <w:tc>
          <w:tcPr>
            <w:tcW w:w="822" w:type="pct"/>
          </w:tcPr>
          <w:p w14:paraId="3202671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Confirmed</w:t>
            </w:r>
          </w:p>
        </w:tc>
      </w:tr>
      <w:tr w:rsidR="00D8538D" w:rsidRPr="0017616D" w14:paraId="0DAC7DC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49AF86AA"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R-squared</w:t>
            </w:r>
          </w:p>
        </w:tc>
        <w:tc>
          <w:tcPr>
            <w:tcW w:w="1005" w:type="pct"/>
          </w:tcPr>
          <w:p w14:paraId="6DCE0963"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0.6842</w:t>
            </w:r>
          </w:p>
        </w:tc>
        <w:tc>
          <w:tcPr>
            <w:tcW w:w="941" w:type="pct"/>
          </w:tcPr>
          <w:p w14:paraId="144B0ECF"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Fit Quality</w:t>
            </w:r>
          </w:p>
        </w:tc>
        <w:tc>
          <w:tcPr>
            <w:tcW w:w="955" w:type="pct"/>
          </w:tcPr>
          <w:p w14:paraId="1E83C7C9"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w:t>
            </w:r>
          </w:p>
        </w:tc>
        <w:tc>
          <w:tcPr>
            <w:tcW w:w="822" w:type="pct"/>
          </w:tcPr>
          <w:p w14:paraId="4094206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Substantial</w:t>
            </w:r>
          </w:p>
        </w:tc>
      </w:tr>
      <w:tr w:rsidR="00D8538D" w:rsidRPr="0017616D" w14:paraId="611421D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2D619A53"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F-statistic</w:t>
            </w:r>
          </w:p>
        </w:tc>
        <w:tc>
          <w:tcPr>
            <w:tcW w:w="1005" w:type="pct"/>
          </w:tcPr>
          <w:p w14:paraId="146A3EF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4.5297</w:t>
            </w:r>
          </w:p>
        </w:tc>
        <w:tc>
          <w:tcPr>
            <w:tcW w:w="941" w:type="pct"/>
          </w:tcPr>
          <w:p w14:paraId="4AFF4BC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Joint Sig.</w:t>
            </w:r>
          </w:p>
        </w:tc>
        <w:tc>
          <w:tcPr>
            <w:tcW w:w="955" w:type="pct"/>
          </w:tcPr>
          <w:p w14:paraId="3F0AB8EE"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0.0011</w:t>
            </w:r>
          </w:p>
        </w:tc>
        <w:tc>
          <w:tcPr>
            <w:tcW w:w="822" w:type="pct"/>
          </w:tcPr>
          <w:p w14:paraId="19655FAD"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Pass</w:t>
            </w:r>
          </w:p>
        </w:tc>
      </w:tr>
      <w:tr w:rsidR="00D8538D" w:rsidRPr="0017616D" w14:paraId="63FDE843"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7" w:type="pct"/>
          </w:tcPr>
          <w:p w14:paraId="5C627B69"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Durbin-Watson</w:t>
            </w:r>
          </w:p>
        </w:tc>
        <w:tc>
          <w:tcPr>
            <w:tcW w:w="1005" w:type="pct"/>
          </w:tcPr>
          <w:p w14:paraId="49254A3A"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2.3336</w:t>
            </w:r>
          </w:p>
        </w:tc>
        <w:tc>
          <w:tcPr>
            <w:tcW w:w="941" w:type="pct"/>
          </w:tcPr>
          <w:p w14:paraId="369D802B"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Serial Corr.</w:t>
            </w:r>
          </w:p>
        </w:tc>
        <w:tc>
          <w:tcPr>
            <w:tcW w:w="955" w:type="pct"/>
          </w:tcPr>
          <w:p w14:paraId="534AB714"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w:t>
            </w:r>
          </w:p>
        </w:tc>
        <w:tc>
          <w:tcPr>
            <w:tcW w:w="822" w:type="pct"/>
          </w:tcPr>
          <w:p w14:paraId="745E62B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Optimal</w:t>
            </w:r>
          </w:p>
        </w:tc>
      </w:tr>
      <w:tr w:rsidR="00D8538D" w:rsidRPr="0017616D" w14:paraId="5778638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277" w:type="pct"/>
          </w:tcPr>
          <w:p w14:paraId="1EC42DD4"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Diagnostic Statistics</w:t>
            </w:r>
          </w:p>
        </w:tc>
        <w:tc>
          <w:tcPr>
            <w:tcW w:w="1005" w:type="pct"/>
          </w:tcPr>
          <w:p w14:paraId="671EEF89"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Value</w:t>
            </w:r>
          </w:p>
        </w:tc>
        <w:tc>
          <w:tcPr>
            <w:tcW w:w="941" w:type="pct"/>
          </w:tcPr>
          <w:p w14:paraId="28D84C9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Test Type</w:t>
            </w:r>
          </w:p>
        </w:tc>
        <w:tc>
          <w:tcPr>
            <w:tcW w:w="955" w:type="pct"/>
          </w:tcPr>
          <w:p w14:paraId="0CFEECF6"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Bound/Crit.</w:t>
            </w:r>
          </w:p>
        </w:tc>
        <w:tc>
          <w:tcPr>
            <w:tcW w:w="822" w:type="pct"/>
          </w:tcPr>
          <w:p w14:paraId="2AD5645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D4BE9">
              <w:rPr>
                <w:rFonts w:asciiTheme="majorBidi" w:hAnsiTheme="majorBidi" w:cstheme="majorBidi"/>
                <w:color w:val="1F1F1F"/>
                <w:sz w:val="20"/>
                <w:szCs w:val="20"/>
              </w:rPr>
              <w:t>Conclusion</w:t>
            </w:r>
          </w:p>
        </w:tc>
      </w:tr>
    </w:tbl>
    <w:p w14:paraId="408F3C23"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5202DB7D" w14:textId="77777777" w:rsidR="00D8538D" w:rsidRPr="0017616D" w:rsidRDefault="00D8538D" w:rsidP="00D8538D">
      <w:pPr>
        <w:ind w:firstLine="720"/>
        <w:jc w:val="both"/>
        <w:rPr>
          <w:rFonts w:asciiTheme="majorBidi" w:hAnsiTheme="majorBidi" w:cstheme="majorBidi"/>
          <w:sz w:val="22"/>
          <w:szCs w:val="22"/>
        </w:rPr>
      </w:pPr>
      <w:r w:rsidRPr="0017616D">
        <w:rPr>
          <w:rFonts w:asciiTheme="majorBidi" w:hAnsiTheme="majorBidi" w:cstheme="majorBidi"/>
          <w:sz w:val="22"/>
          <w:szCs w:val="22"/>
        </w:rPr>
        <w:t xml:space="preserve"> </w:t>
      </w:r>
      <w:r w:rsidRPr="0017616D">
        <w:rPr>
          <w:rFonts w:asciiTheme="majorBidi" w:hAnsiTheme="majorBidi" w:cstheme="majorBidi"/>
          <w:i/>
          <w:iCs/>
          <w:sz w:val="22"/>
          <w:szCs w:val="22"/>
        </w:rPr>
        <w:t>Note: * denotes significance at the 5% level. Model selected: ARDL(1, 1, 0, 0, 1, 0) based on SIC.</w:t>
      </w:r>
    </w:p>
    <w:p w14:paraId="52AB1CE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ARDL model demonstrates a high goodness of fit, with an Adjusted R</w:t>
      </w:r>
      <w:r w:rsidRPr="0017616D">
        <w:rPr>
          <w:rFonts w:asciiTheme="majorBidi" w:hAnsiTheme="majorBidi" w:cstheme="majorBidi"/>
          <w:vertAlign w:val="superscript"/>
        </w:rPr>
        <w:t>2</w:t>
      </w:r>
      <w:r w:rsidRPr="0017616D">
        <w:rPr>
          <w:rFonts w:asciiTheme="majorBidi" w:hAnsiTheme="majorBidi" w:cstheme="majorBidi"/>
        </w:rPr>
        <w:t xml:space="preserve"> of 0.93, indicating that approximately 93% of the variations in GDP are explained by the included variables. The F-statistic (42.05, p &lt; 0.01) confirms the overall significance of the model.</w:t>
      </w:r>
    </w:p>
    <w:p w14:paraId="0980C99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results reveal that Personal Income Tax (PIT) has a significant positive impact on GDP with a one-year lag (1.1516, p = 0.0366). This suggests that while taxation may not yield immediate growth, the reinvestment of tax revenue contributes significantly to economic expansion in the subsequent year. Similarly, the Gini Coefficient, representing income redistribution, shows a significant positive lagged effect (0.0576, p = 0.0098). This implies that shifts in income distribution patterns in Nigeria have a delayed but statistically significant influence on economic growth and stability.</w:t>
      </w:r>
    </w:p>
    <w:p w14:paraId="2CC2B9D7"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Inflation poses a significant negative pressure on economic growth (-0.0135, p = 0.0064). This result aligns with macroeconomic theory, suggesting that rising price levels reduces purchasing power and increase production costs, thereby dampening GDP growth. For every 1% increase in inflation, GDP is expected to decrease by approximately 0.013%, holding other factors constant.</w:t>
      </w:r>
    </w:p>
    <w:p w14:paraId="45603CF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model highlights a profound structural shift starting in 2005. The dummy variable for this period is positive and highly significant (1.0455, p = 0.0001), likely indicating a substantial positive shift in the GDP trend after 2005, the period identified by Paris Club Debt Relief and the comprehensive Banking Sector Consolidation in Nigeria. Furthermore, the @TREND variable (0.0247, p = 0.0979) suggests a marginal long-term upward path in growth, significant at the 10% level.</w:t>
      </w:r>
    </w:p>
    <w:p w14:paraId="181034CA"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Interestingly, current-level spending on Housing and Health did not yield statistically significant results in the specific short-run. This reveals that the impact of these variables is either captured through other channels or requires a different lag structure to manifest fully in the national accounts. To ensure the validity of these inferences, the model utilized Newey-West (HAC) standard errors, making the results robust to heteroskedasticity and autocorrelation. The Durbin-Watson statistic (2.33) suggesting that there is no severe first-order autocorrelation in the residuals, supporting the reliability of the estimated coefficients for policy recommendations. The F-statistic (42.05) is highly significant (</w:t>
      </w:r>
      <m:oMath>
        <m:r>
          <w:rPr>
            <w:rFonts w:ascii="Cambria Math" w:hAnsi="Cambria Math" w:cstheme="majorBidi"/>
          </w:rPr>
          <m:t>p = 0.0000</m:t>
        </m:r>
      </m:oMath>
      <w:r w:rsidRPr="0017616D">
        <w:rPr>
          <w:rFonts w:asciiTheme="majorBidi" w:hAnsiTheme="majorBidi" w:cstheme="majorBidi"/>
        </w:rPr>
        <w:t xml:space="preserve">), confirming that the model is robust and the variables jointly influence GDP. This model provides strong evidence that inflation is a major deterrent to growth, while historical income distribution and taxation patterns significantly influence current economic output. </w:t>
      </w:r>
    </w:p>
    <w:p w14:paraId="40C5E76C"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Table 4.6: Heteroskedasticity Test Results (Breusch-Pagan-Godfrey)</w:t>
      </w:r>
    </w:p>
    <w:tbl>
      <w:tblPr>
        <w:tblStyle w:val="PlainTable5"/>
        <w:tblW w:w="4600" w:type="pct"/>
        <w:tblInd w:w="738" w:type="dxa"/>
        <w:tblLook w:val="04A0" w:firstRow="1" w:lastRow="0" w:firstColumn="1" w:lastColumn="0" w:noHBand="0" w:noVBand="1"/>
      </w:tblPr>
      <w:tblGrid>
        <w:gridCol w:w="2336"/>
        <w:gridCol w:w="2361"/>
        <w:gridCol w:w="1348"/>
        <w:gridCol w:w="2566"/>
      </w:tblGrid>
      <w:tr w:rsidR="00D8538D" w:rsidRPr="0017616D" w14:paraId="00084EC9" w14:textId="77777777" w:rsidTr="004C4BAC">
        <w:trPr>
          <w:cnfStyle w:val="100000000000" w:firstRow="1" w:lastRow="0" w:firstColumn="0" w:lastColumn="0" w:oddVBand="0" w:evenVBand="0" w:oddHBand="0" w:evenHBand="0" w:firstRowFirstColumn="0" w:firstRowLastColumn="0" w:lastRowFirstColumn="0" w:lastRowLastColumn="0"/>
          <w:trHeight w:val="21"/>
        </w:trPr>
        <w:tc>
          <w:tcPr>
            <w:cnfStyle w:val="001000000100" w:firstRow="0" w:lastRow="0" w:firstColumn="1" w:lastColumn="0" w:oddVBand="0" w:evenVBand="0" w:oddHBand="0" w:evenHBand="0" w:firstRowFirstColumn="1" w:firstRowLastColumn="0" w:lastRowFirstColumn="0" w:lastRowLastColumn="0"/>
            <w:tcW w:w="1356" w:type="pct"/>
            <w:hideMark/>
          </w:tcPr>
          <w:p w14:paraId="034C035D" w14:textId="77777777" w:rsidR="00D8538D" w:rsidRPr="0017616D" w:rsidRDefault="00D8538D" w:rsidP="004C4BAC">
            <w:pPr>
              <w:jc w:val="left"/>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Test Type</w:t>
            </w:r>
          </w:p>
        </w:tc>
        <w:tc>
          <w:tcPr>
            <w:tcW w:w="1371" w:type="pct"/>
            <w:hideMark/>
          </w:tcPr>
          <w:p w14:paraId="1629B43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Statistic Value</w:t>
            </w:r>
          </w:p>
        </w:tc>
        <w:tc>
          <w:tcPr>
            <w:tcW w:w="783" w:type="pct"/>
            <w:hideMark/>
          </w:tcPr>
          <w:p w14:paraId="58F2987D"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df / Chi-sq</w:t>
            </w:r>
          </w:p>
        </w:tc>
        <w:tc>
          <w:tcPr>
            <w:tcW w:w="1490" w:type="pct"/>
            <w:hideMark/>
          </w:tcPr>
          <w:p w14:paraId="6DD0D856"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sz w:val="22"/>
                <w:szCs w:val="22"/>
              </w:rPr>
            </w:pPr>
            <w:r w:rsidRPr="0017616D">
              <w:rPr>
                <w:rFonts w:asciiTheme="majorBidi" w:hAnsiTheme="majorBidi" w:cstheme="majorBidi"/>
                <w:b/>
                <w:bCs/>
                <w:color w:val="1F1F1F"/>
                <w:sz w:val="22"/>
                <w:szCs w:val="22"/>
              </w:rPr>
              <w:t>Probability</w:t>
            </w:r>
          </w:p>
        </w:tc>
      </w:tr>
      <w:tr w:rsidR="00D8538D" w:rsidRPr="0017616D" w14:paraId="498B2132" w14:textId="77777777" w:rsidTr="004C4BAC">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59C32C17"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F-statistic</w:t>
            </w:r>
          </w:p>
        </w:tc>
        <w:tc>
          <w:tcPr>
            <w:tcW w:w="1371" w:type="pct"/>
            <w:hideMark/>
          </w:tcPr>
          <w:p w14:paraId="2F7F5B9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1.4226</w:t>
            </w:r>
          </w:p>
        </w:tc>
        <w:tc>
          <w:tcPr>
            <w:tcW w:w="783" w:type="pct"/>
            <w:hideMark/>
          </w:tcPr>
          <w:p w14:paraId="43EA03F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(8, 26)</w:t>
            </w:r>
          </w:p>
        </w:tc>
        <w:tc>
          <w:tcPr>
            <w:tcW w:w="1490" w:type="pct"/>
            <w:hideMark/>
          </w:tcPr>
          <w:p w14:paraId="03A7704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0.2339</w:t>
            </w:r>
          </w:p>
        </w:tc>
      </w:tr>
      <w:tr w:rsidR="00D8538D" w:rsidRPr="0017616D" w14:paraId="4ACB3367" w14:textId="77777777" w:rsidTr="004C4BAC">
        <w:trPr>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798546FD"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Obs*R</w:t>
            </w:r>
            <w:r w:rsidRPr="00162C04">
              <w:rPr>
                <w:rFonts w:asciiTheme="majorBidi" w:hAnsiTheme="majorBidi" w:cstheme="majorBidi"/>
                <w:color w:val="1F1F1F"/>
                <w:sz w:val="22"/>
                <w:szCs w:val="22"/>
                <w:vertAlign w:val="superscript"/>
              </w:rPr>
              <w:t>2</w:t>
            </w:r>
          </w:p>
        </w:tc>
        <w:tc>
          <w:tcPr>
            <w:tcW w:w="1371" w:type="pct"/>
            <w:hideMark/>
          </w:tcPr>
          <w:p w14:paraId="0901513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10.6558</w:t>
            </w:r>
          </w:p>
        </w:tc>
        <w:tc>
          <w:tcPr>
            <w:tcW w:w="783" w:type="pct"/>
            <w:hideMark/>
          </w:tcPr>
          <w:p w14:paraId="1295AE2F"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w:t>
            </w:r>
          </w:p>
        </w:tc>
        <w:tc>
          <w:tcPr>
            <w:tcW w:w="1490" w:type="pct"/>
            <w:hideMark/>
          </w:tcPr>
          <w:p w14:paraId="1347F69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0.222</w:t>
            </w:r>
          </w:p>
        </w:tc>
      </w:tr>
      <w:tr w:rsidR="00D8538D" w:rsidRPr="0017616D" w14:paraId="574707F2" w14:textId="77777777" w:rsidTr="004C4BAC">
        <w:trPr>
          <w:cnfStyle w:val="000000100000" w:firstRow="0" w:lastRow="0" w:firstColumn="0" w:lastColumn="0" w:oddVBand="0" w:evenVBand="0" w:oddHBand="1" w:evenHBand="0" w:firstRowFirstColumn="0" w:firstRowLastColumn="0" w:lastRowFirstColumn="0" w:lastRowLastColumn="0"/>
          <w:trHeight w:val="21"/>
        </w:trPr>
        <w:tc>
          <w:tcPr>
            <w:cnfStyle w:val="001000000000" w:firstRow="0" w:lastRow="0" w:firstColumn="1" w:lastColumn="0" w:oddVBand="0" w:evenVBand="0" w:oddHBand="0" w:evenHBand="0" w:firstRowFirstColumn="0" w:firstRowLastColumn="0" w:lastRowFirstColumn="0" w:lastRowLastColumn="0"/>
            <w:tcW w:w="1356" w:type="pct"/>
            <w:hideMark/>
          </w:tcPr>
          <w:p w14:paraId="707FD3A0" w14:textId="77777777" w:rsidR="00D8538D" w:rsidRPr="0017616D" w:rsidRDefault="00D8538D" w:rsidP="004C4BAC">
            <w:pPr>
              <w:jc w:val="left"/>
              <w:rPr>
                <w:rFonts w:asciiTheme="majorBidi" w:hAnsiTheme="majorBidi" w:cstheme="majorBidi"/>
                <w:color w:val="1F1F1F"/>
                <w:sz w:val="22"/>
                <w:szCs w:val="22"/>
              </w:rPr>
            </w:pPr>
            <w:r w:rsidRPr="0017616D">
              <w:rPr>
                <w:rFonts w:asciiTheme="majorBidi" w:hAnsiTheme="majorBidi" w:cstheme="majorBidi"/>
                <w:color w:val="1F1F1F"/>
                <w:sz w:val="22"/>
                <w:szCs w:val="22"/>
              </w:rPr>
              <w:t>Scaled explained SS</w:t>
            </w:r>
          </w:p>
        </w:tc>
        <w:tc>
          <w:tcPr>
            <w:tcW w:w="1371" w:type="pct"/>
            <w:hideMark/>
          </w:tcPr>
          <w:p w14:paraId="72E69FD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3.4721</w:t>
            </w:r>
          </w:p>
        </w:tc>
        <w:tc>
          <w:tcPr>
            <w:tcW w:w="783" w:type="pct"/>
            <w:hideMark/>
          </w:tcPr>
          <w:p w14:paraId="148E67D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8</w:t>
            </w:r>
          </w:p>
        </w:tc>
        <w:tc>
          <w:tcPr>
            <w:tcW w:w="1490" w:type="pct"/>
            <w:hideMark/>
          </w:tcPr>
          <w:p w14:paraId="3632D5F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2"/>
                <w:szCs w:val="22"/>
              </w:rPr>
            </w:pPr>
            <w:r w:rsidRPr="0017616D">
              <w:rPr>
                <w:rFonts w:asciiTheme="majorBidi" w:hAnsiTheme="majorBidi" w:cstheme="majorBidi"/>
                <w:color w:val="1F1F1F"/>
                <w:sz w:val="22"/>
                <w:szCs w:val="22"/>
              </w:rPr>
              <w:t>0.9013</w:t>
            </w:r>
          </w:p>
        </w:tc>
      </w:tr>
    </w:tbl>
    <w:p w14:paraId="5B08B6FD"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7860ED3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results indicate that the model successfully passes the diagnostic check for heteroskedasticity. The F-statistic (1.4226) yields a p-value of 0.2339, which is significantly higher than the standard 5% (</w:t>
      </w:r>
      <m:oMath>
        <m:r>
          <w:rPr>
            <w:rFonts w:ascii="Cambria Math" w:hAnsi="Cambria Math" w:cstheme="majorBidi"/>
          </w:rPr>
          <m:t>0.05</m:t>
        </m:r>
      </m:oMath>
      <w:r w:rsidRPr="0017616D">
        <w:rPr>
          <w:rFonts w:asciiTheme="majorBidi" w:hAnsiTheme="majorBidi" w:cstheme="majorBidi"/>
        </w:rPr>
        <w:t>) threshold. Similarly, the Obs*R</w:t>
      </w:r>
      <w:r w:rsidRPr="00162C04">
        <w:rPr>
          <w:rFonts w:asciiTheme="majorBidi" w:hAnsiTheme="majorBidi" w:cstheme="majorBidi"/>
          <w:vertAlign w:val="superscript"/>
        </w:rPr>
        <w:t>2</w:t>
      </w:r>
      <w:r w:rsidRPr="0017616D">
        <w:rPr>
          <w:rFonts w:asciiTheme="majorBidi" w:hAnsiTheme="majorBidi" w:cstheme="majorBidi"/>
        </w:rPr>
        <w:t xml:space="preserve"> (the LM statistic) shows a p-value of 0.2220. Consequently, we fail to reject the null hypothesis of homoskedasticity.</w:t>
      </w:r>
    </w:p>
    <w:p w14:paraId="397920A3"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absence of significant heteroskedasticity implies that the variance of the error terms does not systematically change with the levels of the independent variables. </w:t>
      </w:r>
      <w:r>
        <w:rPr>
          <w:rFonts w:asciiTheme="majorBidi" w:hAnsiTheme="majorBidi" w:cstheme="majorBidi"/>
        </w:rPr>
        <w:t>I</w:t>
      </w:r>
      <w:r w:rsidRPr="0017616D">
        <w:rPr>
          <w:rFonts w:asciiTheme="majorBidi" w:hAnsiTheme="majorBidi" w:cstheme="majorBidi"/>
        </w:rPr>
        <w:t xml:space="preserve">t ensures that the standard errors, </w:t>
      </w:r>
      <m:oMath>
        <m:r>
          <w:rPr>
            <w:rFonts w:ascii="Cambria Math" w:hAnsi="Cambria Math" w:cstheme="majorBidi"/>
          </w:rPr>
          <m:t>t</m:t>
        </m:r>
      </m:oMath>
      <w:r w:rsidRPr="0017616D">
        <w:rPr>
          <w:rFonts w:asciiTheme="majorBidi" w:hAnsiTheme="majorBidi" w:cstheme="majorBidi"/>
        </w:rPr>
        <w:t xml:space="preserve">-statistics, and subsequent </w:t>
      </w:r>
      <m:oMath>
        <m:r>
          <w:rPr>
            <w:rFonts w:ascii="Cambria Math" w:hAnsi="Cambria Math" w:cstheme="majorBidi"/>
          </w:rPr>
          <m:t>p</m:t>
        </m:r>
      </m:oMath>
      <w:r w:rsidRPr="0017616D">
        <w:rPr>
          <w:rFonts w:asciiTheme="majorBidi" w:hAnsiTheme="majorBidi" w:cstheme="majorBidi"/>
        </w:rPr>
        <w:t>-values are not biased. Furthermore, it confirms that the Bounds Test for cointegration and the estimated long-run coefficients are statistically efficient and reliable for drawing economic inferences.</w:t>
      </w:r>
    </w:p>
    <w:p w14:paraId="76E5D5F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It is noteworthy that the test equation was estimated using HAC (Newey-West) standard errors and covariance. This approach further reinforces the results by making the diagnostic robust to any potential remaining noise or minor serial correlation in the time-series data. The Durbin-Watson statistic (1.85) in the test equation also indicates that the residuals of the variance-check model are well-behaved and nearly.</w:t>
      </w:r>
    </w:p>
    <w:p w14:paraId="6A4E733E"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4.7</w:t>
      </w:r>
      <w:r w:rsidRPr="0017616D">
        <w:rPr>
          <w:rFonts w:asciiTheme="majorBidi" w:hAnsiTheme="majorBidi" w:cstheme="majorBidi"/>
          <w:b/>
          <w:bCs/>
        </w:rPr>
        <w:t>: ARDL Bounds Test for Long-Run Relationship</w:t>
      </w:r>
    </w:p>
    <w:tbl>
      <w:tblPr>
        <w:tblStyle w:val="PlainTable2"/>
        <w:tblW w:w="4630" w:type="pct"/>
        <w:tblInd w:w="828" w:type="dxa"/>
        <w:tblLook w:val="04A0" w:firstRow="1" w:lastRow="0" w:firstColumn="1" w:lastColumn="0" w:noHBand="0" w:noVBand="1"/>
      </w:tblPr>
      <w:tblGrid>
        <w:gridCol w:w="2610"/>
        <w:gridCol w:w="1054"/>
        <w:gridCol w:w="1262"/>
        <w:gridCol w:w="1425"/>
        <w:gridCol w:w="2316"/>
      </w:tblGrid>
      <w:tr w:rsidR="00D8538D" w:rsidRPr="0017616D" w14:paraId="773660CA"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5EA7FDF1" w14:textId="77777777" w:rsidR="00D8538D" w:rsidRPr="0017616D" w:rsidRDefault="00D8538D" w:rsidP="004C4BAC">
            <w:pPr>
              <w:rPr>
                <w:rFonts w:asciiTheme="majorBidi" w:hAnsiTheme="majorBidi" w:cstheme="majorBidi"/>
                <w:color w:val="1F1F1F"/>
                <w:sz w:val="20"/>
                <w:szCs w:val="20"/>
              </w:rPr>
            </w:pPr>
            <w:r w:rsidRPr="0017616D">
              <w:rPr>
                <w:rFonts w:asciiTheme="majorBidi" w:hAnsiTheme="majorBidi" w:cstheme="majorBidi"/>
                <w:color w:val="1F1F1F"/>
                <w:sz w:val="20"/>
                <w:szCs w:val="20"/>
              </w:rPr>
              <w:t>Test Statistic</w:t>
            </w:r>
          </w:p>
        </w:tc>
        <w:tc>
          <w:tcPr>
            <w:tcW w:w="608" w:type="pct"/>
            <w:hideMark/>
          </w:tcPr>
          <w:p w14:paraId="6DC6006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Value</w:t>
            </w:r>
          </w:p>
        </w:tc>
        <w:tc>
          <w:tcPr>
            <w:tcW w:w="728" w:type="pct"/>
            <w:hideMark/>
          </w:tcPr>
          <w:p w14:paraId="600996C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I(0) Bound (5%)</w:t>
            </w:r>
          </w:p>
        </w:tc>
        <w:tc>
          <w:tcPr>
            <w:tcW w:w="822" w:type="pct"/>
            <w:hideMark/>
          </w:tcPr>
          <w:p w14:paraId="6AEA2EC6"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I(1) Bound (5%)</w:t>
            </w:r>
          </w:p>
        </w:tc>
        <w:tc>
          <w:tcPr>
            <w:tcW w:w="1336" w:type="pct"/>
            <w:hideMark/>
          </w:tcPr>
          <w:p w14:paraId="35116402" w14:textId="77777777" w:rsidR="00D8538D" w:rsidRPr="0017616D" w:rsidRDefault="00D8538D" w:rsidP="004C4BAC">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Conclusion</w:t>
            </w:r>
          </w:p>
        </w:tc>
      </w:tr>
      <w:tr w:rsidR="00D8538D" w:rsidRPr="00E50B41" w14:paraId="79BB9A3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7C2C0AD5"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F-statistic</w:t>
            </w:r>
          </w:p>
        </w:tc>
        <w:tc>
          <w:tcPr>
            <w:tcW w:w="608" w:type="pct"/>
            <w:hideMark/>
          </w:tcPr>
          <w:p w14:paraId="40A88B7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5.4216</w:t>
            </w:r>
          </w:p>
        </w:tc>
        <w:tc>
          <w:tcPr>
            <w:tcW w:w="728" w:type="pct"/>
            <w:hideMark/>
          </w:tcPr>
          <w:p w14:paraId="1CFBE280"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3.037</w:t>
            </w:r>
          </w:p>
        </w:tc>
        <w:tc>
          <w:tcPr>
            <w:tcW w:w="822" w:type="pct"/>
            <w:hideMark/>
          </w:tcPr>
          <w:p w14:paraId="062D02C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4.443</w:t>
            </w:r>
          </w:p>
        </w:tc>
        <w:tc>
          <w:tcPr>
            <w:tcW w:w="1336" w:type="pct"/>
            <w:hideMark/>
          </w:tcPr>
          <w:p w14:paraId="07D10BBA"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 xml:space="preserve">Cointegration </w:t>
            </w:r>
          </w:p>
        </w:tc>
      </w:tr>
      <w:tr w:rsidR="00D8538D" w:rsidRPr="00E50B41" w14:paraId="5480B39F"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2D17F9F0"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t-statistic</w:t>
            </w:r>
          </w:p>
        </w:tc>
        <w:tc>
          <w:tcPr>
            <w:tcW w:w="608" w:type="pct"/>
            <w:hideMark/>
          </w:tcPr>
          <w:p w14:paraId="0BDC2A75"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-4.0539</w:t>
            </w:r>
          </w:p>
        </w:tc>
        <w:tc>
          <w:tcPr>
            <w:tcW w:w="728" w:type="pct"/>
            <w:hideMark/>
          </w:tcPr>
          <w:p w14:paraId="18557BCF"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-2.86</w:t>
            </w:r>
          </w:p>
        </w:tc>
        <w:tc>
          <w:tcPr>
            <w:tcW w:w="822" w:type="pct"/>
            <w:hideMark/>
          </w:tcPr>
          <w:p w14:paraId="227B7B9C"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-4.19</w:t>
            </w:r>
          </w:p>
        </w:tc>
        <w:tc>
          <w:tcPr>
            <w:tcW w:w="1336" w:type="pct"/>
            <w:hideMark/>
          </w:tcPr>
          <w:p w14:paraId="7641C71E"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Inconclusive (Borderline)</w:t>
            </w:r>
          </w:p>
        </w:tc>
      </w:tr>
      <w:tr w:rsidR="00D8538D" w:rsidRPr="00E50B41" w14:paraId="5432F96E"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6877BFFD"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Diagnostic Test</w:t>
            </w:r>
          </w:p>
        </w:tc>
        <w:tc>
          <w:tcPr>
            <w:tcW w:w="608" w:type="pct"/>
            <w:hideMark/>
          </w:tcPr>
          <w:p w14:paraId="550D35F5"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Value</w:t>
            </w:r>
          </w:p>
        </w:tc>
        <w:tc>
          <w:tcPr>
            <w:tcW w:w="728" w:type="pct"/>
            <w:hideMark/>
          </w:tcPr>
          <w:p w14:paraId="76DBEB2A"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df</w:t>
            </w:r>
          </w:p>
        </w:tc>
        <w:tc>
          <w:tcPr>
            <w:tcW w:w="822" w:type="pct"/>
            <w:hideMark/>
          </w:tcPr>
          <w:p w14:paraId="6DD9B16D"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Prob.</w:t>
            </w:r>
          </w:p>
        </w:tc>
        <w:tc>
          <w:tcPr>
            <w:tcW w:w="1336" w:type="pct"/>
            <w:hideMark/>
          </w:tcPr>
          <w:p w14:paraId="53789683"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Conclusion</w:t>
            </w:r>
          </w:p>
        </w:tc>
      </w:tr>
      <w:tr w:rsidR="00D8538D" w:rsidRPr="00E50B41" w14:paraId="0D9CC3FE"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4297C2A2"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Heteroskedasticity (White)</w:t>
            </w:r>
          </w:p>
        </w:tc>
        <w:tc>
          <w:tcPr>
            <w:tcW w:w="608" w:type="pct"/>
            <w:hideMark/>
          </w:tcPr>
          <w:p w14:paraId="53129A3D"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29.0945</w:t>
            </w:r>
          </w:p>
        </w:tc>
        <w:tc>
          <w:tcPr>
            <w:tcW w:w="728" w:type="pct"/>
            <w:hideMark/>
          </w:tcPr>
          <w:p w14:paraId="0BB40AC1"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20</w:t>
            </w:r>
          </w:p>
        </w:tc>
        <w:tc>
          <w:tcPr>
            <w:tcW w:w="822" w:type="pct"/>
            <w:hideMark/>
          </w:tcPr>
          <w:p w14:paraId="150D3381"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0.0859</w:t>
            </w:r>
          </w:p>
        </w:tc>
        <w:tc>
          <w:tcPr>
            <w:tcW w:w="1336" w:type="pct"/>
            <w:hideMark/>
          </w:tcPr>
          <w:p w14:paraId="367DA7D7"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No Hetero</w:t>
            </w:r>
          </w:p>
        </w:tc>
      </w:tr>
      <w:tr w:rsidR="00D8538D" w:rsidRPr="00E50B41" w14:paraId="698B7E2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5217956E"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Heteroskedasticity (ARCH)</w:t>
            </w:r>
          </w:p>
        </w:tc>
        <w:tc>
          <w:tcPr>
            <w:tcW w:w="608" w:type="pct"/>
            <w:hideMark/>
          </w:tcPr>
          <w:p w14:paraId="6DCC729A"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1.185</w:t>
            </w:r>
          </w:p>
        </w:tc>
        <w:tc>
          <w:tcPr>
            <w:tcW w:w="728" w:type="pct"/>
            <w:hideMark/>
          </w:tcPr>
          <w:p w14:paraId="57556F63"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w:t>
            </w:r>
          </w:p>
        </w:tc>
        <w:tc>
          <w:tcPr>
            <w:tcW w:w="822" w:type="pct"/>
            <w:hideMark/>
          </w:tcPr>
          <w:p w14:paraId="039F031C" w14:textId="77777777" w:rsidR="00D8538D" w:rsidRPr="00E50B41"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0.2763</w:t>
            </w:r>
          </w:p>
        </w:tc>
        <w:tc>
          <w:tcPr>
            <w:tcW w:w="1336" w:type="pct"/>
            <w:hideMark/>
          </w:tcPr>
          <w:p w14:paraId="0646E9FF" w14:textId="77777777" w:rsidR="00D8538D" w:rsidRPr="00E50B41" w:rsidRDefault="00D8538D" w:rsidP="004C4BAC">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No ARCH</w:t>
            </w:r>
          </w:p>
        </w:tc>
      </w:tr>
      <w:tr w:rsidR="00D8538D" w:rsidRPr="00E50B41" w14:paraId="2C7AEF2C"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506" w:type="pct"/>
            <w:hideMark/>
          </w:tcPr>
          <w:p w14:paraId="27747A70" w14:textId="77777777" w:rsidR="00D8538D" w:rsidRPr="00E50B41" w:rsidRDefault="00D8538D" w:rsidP="004C4BAC">
            <w:pPr>
              <w:rPr>
                <w:rFonts w:asciiTheme="majorBidi" w:hAnsiTheme="majorBidi" w:cstheme="majorBidi"/>
                <w:b w:val="0"/>
                <w:bCs w:val="0"/>
                <w:color w:val="1F1F1F"/>
                <w:sz w:val="20"/>
                <w:szCs w:val="20"/>
              </w:rPr>
            </w:pPr>
            <w:r w:rsidRPr="00E50B41">
              <w:rPr>
                <w:rFonts w:asciiTheme="majorBidi" w:hAnsiTheme="majorBidi" w:cstheme="majorBidi"/>
                <w:b w:val="0"/>
                <w:bCs w:val="0"/>
                <w:color w:val="1F1F1F"/>
                <w:sz w:val="20"/>
                <w:szCs w:val="20"/>
              </w:rPr>
              <w:t>F-statistic (Overall Model)</w:t>
            </w:r>
          </w:p>
        </w:tc>
        <w:tc>
          <w:tcPr>
            <w:tcW w:w="608" w:type="pct"/>
            <w:hideMark/>
          </w:tcPr>
          <w:p w14:paraId="3A89D85B"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4.5297</w:t>
            </w:r>
          </w:p>
        </w:tc>
        <w:tc>
          <w:tcPr>
            <w:tcW w:w="728" w:type="pct"/>
            <w:hideMark/>
          </w:tcPr>
          <w:p w14:paraId="553DE157"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(11, 23)</w:t>
            </w:r>
          </w:p>
        </w:tc>
        <w:tc>
          <w:tcPr>
            <w:tcW w:w="822" w:type="pct"/>
            <w:hideMark/>
          </w:tcPr>
          <w:p w14:paraId="41FAAEFB" w14:textId="77777777" w:rsidR="00D8538D" w:rsidRPr="00E50B41"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0.0011</w:t>
            </w:r>
          </w:p>
        </w:tc>
        <w:tc>
          <w:tcPr>
            <w:tcW w:w="1336" w:type="pct"/>
            <w:hideMark/>
          </w:tcPr>
          <w:p w14:paraId="4917ADFF" w14:textId="77777777" w:rsidR="00D8538D" w:rsidRPr="00E50B41" w:rsidRDefault="00D8538D" w:rsidP="004C4BAC">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E50B41">
              <w:rPr>
                <w:rFonts w:asciiTheme="majorBidi" w:hAnsiTheme="majorBidi" w:cstheme="majorBidi"/>
                <w:color w:val="1F1F1F"/>
                <w:sz w:val="20"/>
                <w:szCs w:val="20"/>
              </w:rPr>
              <w:t>Significant</w:t>
            </w:r>
          </w:p>
        </w:tc>
      </w:tr>
    </w:tbl>
    <w:p w14:paraId="0336352B"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51A25F5A"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calculated F-statistic of 5.4216 comfortably exceeds the upper bound critical value of 4.443 at the 5% significance level, this shows no levels relationship between the variables, confirming that Personal Income Tax, Inflation, and Income Inequality move together with GDP in a stable, long-term path. While the t-statistic (-4.0539) falls slightly between the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0</m:t>
            </m:r>
          </m:e>
        </m:d>
      </m:oMath>
      <w:r w:rsidRPr="0017616D">
        <w:rPr>
          <w:rFonts w:asciiTheme="majorBidi" w:hAnsiTheme="majorBidi" w:cstheme="majorBidi"/>
        </w:rPr>
        <w:t xml:space="preserve"> and </w:t>
      </w:r>
      <m:oMath>
        <m:r>
          <w:rPr>
            <w:rFonts w:ascii="Cambria Math" w:hAnsi="Cambria Math" w:cstheme="majorBidi"/>
          </w:rPr>
          <m:t>I</m:t>
        </m:r>
        <m:d>
          <m:dPr>
            <m:ctrlPr>
              <w:rPr>
                <w:rFonts w:ascii="Cambria Math" w:hAnsi="Cambria Math" w:cstheme="majorBidi"/>
                <w:i/>
              </w:rPr>
            </m:ctrlPr>
          </m:dPr>
          <m:e>
            <m:r>
              <w:rPr>
                <w:rFonts w:ascii="Cambria Math" w:hAnsi="Cambria Math" w:cstheme="majorBidi"/>
              </w:rPr>
              <m:t>1</m:t>
            </m:r>
          </m:e>
        </m:d>
      </m:oMath>
      <w:r w:rsidRPr="0017616D">
        <w:rPr>
          <w:rFonts w:asciiTheme="majorBidi" w:hAnsiTheme="majorBidi" w:cstheme="majorBidi"/>
        </w:rPr>
        <w:t xml:space="preserve"> bounds, the strong F-statistic remains the primary and sufficient evidence for cointegration in this framework.</w:t>
      </w:r>
    </w:p>
    <w:p w14:paraId="5D30EA65"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model was subjected to a series of rigorous residual diagnostics to ensure that the findings are not driven by </w:t>
      </w:r>
      <w:r w:rsidRPr="00B37FCE">
        <w:rPr>
          <w:rFonts w:asciiTheme="majorBidi" w:hAnsiTheme="majorBidi" w:cstheme="majorBidi"/>
          <w:i/>
          <w:iCs/>
        </w:rPr>
        <w:t>noise</w:t>
      </w:r>
      <w:r w:rsidRPr="0017616D">
        <w:rPr>
          <w:rFonts w:asciiTheme="majorBidi" w:hAnsiTheme="majorBidi" w:cstheme="majorBidi"/>
        </w:rPr>
        <w:t xml:space="preserve"> or inconsistent variance. The White Heteroskedasticity Test yielded a p-value of 0.0859, and the ARCH test showed a p-value of 0.2763. In both instances, we fail to reject the null hypothesis of homoskedasticity. This ensuring that the estimated </w:t>
      </w:r>
      <m:oMath>
        <m:r>
          <w:rPr>
            <w:rFonts w:ascii="Cambria Math" w:hAnsi="Cambria Math" w:cstheme="majorBidi"/>
          </w:rPr>
          <m:t>t</m:t>
        </m:r>
      </m:oMath>
      <w:r w:rsidRPr="0017616D">
        <w:rPr>
          <w:rFonts w:asciiTheme="majorBidi" w:hAnsiTheme="majorBidi" w:cstheme="majorBidi"/>
        </w:rPr>
        <w:t xml:space="preserve">-statistics and </w:t>
      </w:r>
      <m:oMath>
        <m:r>
          <w:rPr>
            <w:rFonts w:ascii="Cambria Math" w:hAnsi="Cambria Math" w:cstheme="majorBidi"/>
          </w:rPr>
          <m:t>p</m:t>
        </m:r>
      </m:oMath>
      <w:r w:rsidRPr="0017616D">
        <w:rPr>
          <w:rFonts w:asciiTheme="majorBidi" w:hAnsiTheme="majorBidi" w:cstheme="majorBidi"/>
        </w:rPr>
        <w:t>-values for growth determinants are unbiased and reliable.</w:t>
      </w:r>
    </w:p>
    <w:p w14:paraId="389D085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More importantly, while political events like the Paris Club debt relief or the Finance Acts cause immediate changes, their effects </w:t>
      </w:r>
      <w:r w:rsidRPr="00ED4BE9">
        <w:rPr>
          <w:rFonts w:asciiTheme="majorBidi" w:hAnsiTheme="majorBidi" w:cstheme="majorBidi"/>
          <w:i/>
          <w:iCs/>
        </w:rPr>
        <w:t>stick</w:t>
      </w:r>
      <w:r w:rsidRPr="0017616D">
        <w:rPr>
          <w:rFonts w:asciiTheme="majorBidi" w:hAnsiTheme="majorBidi" w:cstheme="majorBidi"/>
        </w:rPr>
        <w:t xml:space="preserve"> to the economy over time. The presence of cointegration justifies the use of the ARDL framework to further analyze the long-run coefficients and the Error Correction Term (ECT), which shows how quickly the Nigerian economy </w:t>
      </w:r>
      <w:r w:rsidRPr="0017616D">
        <w:rPr>
          <w:rFonts w:asciiTheme="majorBidi" w:hAnsiTheme="majorBidi" w:cstheme="majorBidi"/>
          <w:i/>
          <w:iCs/>
        </w:rPr>
        <w:t>corrects</w:t>
      </w:r>
      <w:r w:rsidRPr="0017616D">
        <w:rPr>
          <w:rFonts w:asciiTheme="majorBidi" w:hAnsiTheme="majorBidi" w:cstheme="majorBidi"/>
        </w:rPr>
        <w:t xml:space="preserve"> itself back to equilibrium following a shock.</w:t>
      </w:r>
    </w:p>
    <w:p w14:paraId="7B560822"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Error Correction Model (ECM)</w:t>
      </w:r>
    </w:p>
    <w:p w14:paraId="2E82FD55"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ECM represents the speed of adjustment </w:t>
      </w:r>
      <m:oMath>
        <m:r>
          <w:rPr>
            <w:rFonts w:ascii="Cambria Math" w:hAnsi="Cambria Math" w:cstheme="majorBidi"/>
          </w:rPr>
          <m:t>EC</m:t>
        </m:r>
        <m:sSub>
          <m:sSubPr>
            <m:ctrlPr>
              <w:rPr>
                <w:rFonts w:ascii="Cambria Math" w:hAnsi="Cambria Math" w:cstheme="majorBidi"/>
                <w:i/>
              </w:rPr>
            </m:ctrlPr>
          </m:sSubPr>
          <m:e>
            <m:r>
              <w:rPr>
                <w:rFonts w:ascii="Cambria Math" w:hAnsi="Cambria Math" w:cstheme="majorBidi"/>
              </w:rPr>
              <m:t>T</m:t>
            </m:r>
          </m:e>
          <m:sub>
            <m:d>
              <m:dPr>
                <m:begChr m:val="{"/>
                <m:ctrlPr>
                  <w:rPr>
                    <w:rFonts w:ascii="Cambria Math" w:hAnsi="Cambria Math" w:cstheme="majorBidi"/>
                    <w:i/>
                  </w:rPr>
                </m:ctrlPr>
              </m:dPr>
              <m:e>
                <m:r>
                  <w:rPr>
                    <w:rFonts w:ascii="Cambria Math" w:hAnsi="Cambria Math" w:cstheme="majorBidi"/>
                  </w:rPr>
                  <m:t>t-1</m:t>
                </m:r>
              </m:e>
            </m:d>
          </m:sub>
        </m:sSub>
      </m:oMath>
      <w:r w:rsidRPr="0017616D">
        <w:rPr>
          <w:rFonts w:asciiTheme="majorBidi" w:hAnsiTheme="majorBidi" w:cstheme="majorBidi"/>
        </w:rPr>
        <w:t>. Based on your ARDL(1,0,2,2,0,0,0) specification, the short-run equation for your article should be presented as follows:</w:t>
      </w:r>
    </w:p>
    <w:p w14:paraId="723D7ED1" w14:textId="77777777" w:rsidR="00D8538D" w:rsidRPr="0017616D" w:rsidRDefault="00D8538D" w:rsidP="00D8538D">
      <w:pPr>
        <w:ind w:left="720"/>
        <w:jc w:val="both"/>
        <w:rPr>
          <w:rFonts w:asciiTheme="majorBidi" w:hAnsiTheme="majorBidi" w:cstheme="majorBidi"/>
        </w:rPr>
      </w:pPr>
      <m:oMathPara>
        <m:oMath>
          <m:r>
            <m:rPr>
              <m:sty m:val="p"/>
            </m:rPr>
            <w:rPr>
              <w:rFonts w:ascii="Cambria Math" w:hAnsi="Cambria Math" w:cstheme="majorBidi"/>
            </w:rPr>
            <m:t>Δ</m:t>
          </m:r>
          <m:r>
            <w:rPr>
              <w:rFonts w:ascii="Cambria Math" w:hAnsi="Cambria Math" w:cstheme="majorBidi"/>
            </w:rPr>
            <m:t>LN</m:t>
          </m:r>
          <m:r>
            <m:rPr>
              <m:lit/>
            </m:rPr>
            <w:rPr>
              <w:rFonts w:ascii="Cambria Math" w:hAnsi="Cambria Math" w:cstheme="majorBidi"/>
            </w:rPr>
            <m:t>_</m:t>
          </m:r>
          <m:r>
            <w:rPr>
              <w:rFonts w:ascii="Cambria Math" w:hAnsi="Cambria Math" w:cstheme="majorBidi"/>
            </w:rPr>
            <m:t>GD</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t</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 xml:space="preserve">+ </m:t>
          </m:r>
          <m:nary>
            <m:naryPr>
              <m:chr m:val="∑"/>
              <m:ctrlPr>
                <w:rPr>
                  <w:rFonts w:ascii="Cambria Math" w:hAnsi="Cambria Math" w:cstheme="majorBidi"/>
                  <w:i/>
                </w:rPr>
              </m:ctrlPr>
            </m:naryPr>
            <m:sub>
              <m:d>
                <m:dPr>
                  <m:begChr m:val="{"/>
                  <m:endChr m:val="}"/>
                  <m:ctrlPr>
                    <w:rPr>
                      <w:rFonts w:ascii="Cambria Math" w:hAnsi="Cambria Math" w:cstheme="majorBidi"/>
                      <w:i/>
                    </w:rPr>
                  </m:ctrlPr>
                </m:dPr>
                <m:e>
                  <m:r>
                    <w:rPr>
                      <w:rFonts w:ascii="Cambria Math" w:hAnsi="Cambria Math" w:cstheme="majorBidi"/>
                    </w:rPr>
                    <m:t>i=1</m:t>
                  </m:r>
                </m:e>
              </m:d>
            </m:sub>
            <m:sup>
              <m:r>
                <w:rPr>
                  <w:rFonts w:ascii="Cambria Math" w:hAnsi="Cambria Math" w:cstheme="majorBidi"/>
                </w:rPr>
                <m:t>p</m:t>
              </m:r>
            </m:sup>
            <m:e>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i</m:t>
                  </m:r>
                </m:sub>
              </m:sSub>
              <m:r>
                <m:rPr>
                  <m:sty m:val="p"/>
                </m:rPr>
                <w:rPr>
                  <w:rFonts w:ascii="Cambria Math" w:hAnsi="Cambria Math" w:cstheme="majorBidi"/>
                </w:rPr>
                <m:t>Δ</m:t>
              </m:r>
              <m:r>
                <w:rPr>
                  <w:rFonts w:ascii="Cambria Math" w:hAnsi="Cambria Math" w:cstheme="majorBidi"/>
                </w:rPr>
                <m:t>LN</m:t>
              </m:r>
              <m:r>
                <m:rPr>
                  <m:lit/>
                </m:rPr>
                <w:rPr>
                  <w:rFonts w:ascii="Cambria Math" w:hAnsi="Cambria Math" w:cstheme="majorBidi"/>
                </w:rPr>
                <m:t>_</m:t>
              </m:r>
              <m:r>
                <w:rPr>
                  <w:rFonts w:ascii="Cambria Math" w:hAnsi="Cambria Math" w:cstheme="majorBidi"/>
                </w:rPr>
                <m:t>GD</m:t>
              </m:r>
              <m:sSub>
                <m:sSubPr>
                  <m:ctrlPr>
                    <w:rPr>
                      <w:rFonts w:ascii="Cambria Math" w:hAnsi="Cambria Math" w:cstheme="majorBidi"/>
                      <w:i/>
                    </w:rPr>
                  </m:ctrlPr>
                </m:sSubPr>
                <m:e>
                  <m:r>
                    <w:rPr>
                      <w:rFonts w:ascii="Cambria Math" w:hAnsi="Cambria Math" w:cstheme="majorBidi"/>
                    </w:rPr>
                    <m:t>P</m:t>
                  </m:r>
                </m:e>
                <m:sub>
                  <m:d>
                    <m:dPr>
                      <m:begChr m:val="{"/>
                      <m:endChr m:val="}"/>
                      <m:ctrlPr>
                        <w:rPr>
                          <w:rFonts w:ascii="Cambria Math" w:hAnsi="Cambria Math" w:cstheme="majorBidi"/>
                          <w:i/>
                        </w:rPr>
                      </m:ctrlPr>
                    </m:dPr>
                    <m:e>
                      <m:r>
                        <w:rPr>
                          <w:rFonts w:ascii="Cambria Math" w:hAnsi="Cambria Math" w:cstheme="majorBidi"/>
                        </w:rPr>
                        <m:t>t-i</m:t>
                      </m:r>
                    </m:e>
                  </m:d>
                </m:sub>
              </m:sSub>
            </m:e>
          </m:nary>
          <m:r>
            <w:rPr>
              <w:rFonts w:ascii="Cambria Math" w:hAnsi="Cambria Math" w:cstheme="majorBidi"/>
            </w:rPr>
            <m:t xml:space="preserve">+ </m:t>
          </m:r>
          <m:nary>
            <m:naryPr>
              <m:chr m:val="∑"/>
              <m:ctrlPr>
                <w:rPr>
                  <w:rFonts w:ascii="Cambria Math" w:hAnsi="Cambria Math" w:cstheme="majorBidi"/>
                  <w:i/>
                </w:rPr>
              </m:ctrlPr>
            </m:naryPr>
            <m:sub>
              <m:d>
                <m:dPr>
                  <m:begChr m:val="{"/>
                  <m:endChr m:val="}"/>
                  <m:ctrlPr>
                    <w:rPr>
                      <w:rFonts w:ascii="Cambria Math" w:hAnsi="Cambria Math" w:cstheme="majorBidi"/>
                      <w:i/>
                    </w:rPr>
                  </m:ctrlPr>
                </m:dPr>
                <m:e>
                  <m:r>
                    <w:rPr>
                      <w:rFonts w:ascii="Cambria Math" w:hAnsi="Cambria Math" w:cstheme="majorBidi"/>
                    </w:rPr>
                    <m:t>j=0</m:t>
                  </m:r>
                </m:e>
              </m:d>
            </m:sub>
            <m:sup>
              <m:r>
                <w:rPr>
                  <w:rFonts w:ascii="Cambria Math" w:hAnsi="Cambria Math" w:cstheme="majorBidi"/>
                </w:rPr>
                <m:t>q</m:t>
              </m:r>
            </m:sup>
            <m:e>
              <m:sSub>
                <m:sSubPr>
                  <m:ctrlPr>
                    <w:rPr>
                      <w:rFonts w:ascii="Cambria Math" w:hAnsi="Cambria Math" w:cstheme="majorBidi"/>
                      <w:i/>
                    </w:rPr>
                  </m:ctrlPr>
                </m:sSubPr>
                <m:e>
                  <m:r>
                    <w:rPr>
                      <w:rFonts w:ascii="Cambria Math" w:hAnsi="Cambria Math" w:cstheme="majorBidi"/>
                    </w:rPr>
                    <m:t>γ</m:t>
                  </m:r>
                </m:e>
                <m:sub>
                  <m:r>
                    <w:rPr>
                      <w:rFonts w:ascii="Cambria Math" w:hAnsi="Cambria Math" w:cstheme="majorBidi"/>
                    </w:rPr>
                    <m:t>j</m:t>
                  </m:r>
                </m:sub>
              </m:sSub>
              <m:r>
                <m:rPr>
                  <m:sty m:val="p"/>
                </m:rPr>
                <w:rPr>
                  <w:rFonts w:ascii="Cambria Math" w:hAnsi="Cambria Math" w:cstheme="majorBidi"/>
                </w:rPr>
                <m:t>Δ</m:t>
              </m:r>
              <m:sSub>
                <m:sSubPr>
                  <m:ctrlPr>
                    <w:rPr>
                      <w:rFonts w:ascii="Cambria Math" w:hAnsi="Cambria Math" w:cstheme="majorBidi"/>
                      <w:i/>
                    </w:rPr>
                  </m:ctrlPr>
                </m:sSubPr>
                <m:e>
                  <m:r>
                    <w:rPr>
                      <w:rFonts w:ascii="Cambria Math" w:hAnsi="Cambria Math" w:cstheme="majorBidi"/>
                    </w:rPr>
                    <m:t>X</m:t>
                  </m:r>
                </m:e>
                <m:sub>
                  <m:d>
                    <m:dPr>
                      <m:begChr m:val="{"/>
                      <m:endChr m:val="}"/>
                      <m:ctrlPr>
                        <w:rPr>
                          <w:rFonts w:ascii="Cambria Math" w:hAnsi="Cambria Math" w:cstheme="majorBidi"/>
                          <w:i/>
                        </w:rPr>
                      </m:ctrlPr>
                    </m:dPr>
                    <m:e>
                      <m:r>
                        <w:rPr>
                          <w:rFonts w:ascii="Cambria Math" w:hAnsi="Cambria Math" w:cstheme="majorBidi"/>
                        </w:rPr>
                        <m:t>t-j</m:t>
                      </m:r>
                    </m:e>
                  </m:d>
                </m:sub>
              </m:sSub>
            </m:e>
          </m:nary>
          <m:r>
            <w:rPr>
              <w:rFonts w:ascii="Cambria Math" w:hAnsi="Cambria Math" w:cstheme="majorBidi"/>
            </w:rPr>
            <m:t>+ λEC</m:t>
          </m:r>
          <m:sSub>
            <m:sSubPr>
              <m:ctrlPr>
                <w:rPr>
                  <w:rFonts w:ascii="Cambria Math" w:hAnsi="Cambria Math" w:cstheme="majorBidi"/>
                  <w:i/>
                </w:rPr>
              </m:ctrlPr>
            </m:sSubPr>
            <m:e>
              <m:r>
                <w:rPr>
                  <w:rFonts w:ascii="Cambria Math" w:hAnsi="Cambria Math" w:cstheme="majorBidi"/>
                </w:rPr>
                <m:t>T</m:t>
              </m:r>
            </m:e>
            <m:sub>
              <m:d>
                <m:dPr>
                  <m:begChr m:val="{"/>
                  <m:endChr m:val="}"/>
                  <m:ctrlPr>
                    <w:rPr>
                      <w:rFonts w:ascii="Cambria Math" w:hAnsi="Cambria Math" w:cstheme="majorBidi"/>
                      <w:i/>
                    </w:rPr>
                  </m:ctrlPr>
                </m:dPr>
                <m:e>
                  <m:r>
                    <w:rPr>
                      <w:rFonts w:ascii="Cambria Math" w:hAnsi="Cambria Math" w:cstheme="majorBidi"/>
                    </w:rPr>
                    <m:t>t-1</m:t>
                  </m:r>
                </m:e>
              </m:d>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u</m:t>
              </m:r>
            </m:e>
            <m:sub>
              <m:r>
                <w:rPr>
                  <w:rFonts w:ascii="Cambria Math" w:hAnsi="Cambria Math" w:cstheme="majorBidi"/>
                </w:rPr>
                <m:t>t</m:t>
              </m:r>
            </m:sub>
          </m:sSub>
        </m:oMath>
      </m:oMathPara>
    </w:p>
    <w:p w14:paraId="3C370911"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Where:</w:t>
      </w:r>
    </w:p>
    <w:p w14:paraId="2663B5CE"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
          </m:rPr>
          <w:rPr>
            <w:rFonts w:ascii="Cambria Math" w:hAnsi="Cambria Math" w:cstheme="majorBidi"/>
          </w:rPr>
          <m:t>Δ</m:t>
        </m:r>
      </m:oMath>
      <w:r w:rsidRPr="0017616D">
        <w:rPr>
          <w:rFonts w:asciiTheme="majorBidi" w:hAnsiTheme="majorBidi" w:cstheme="majorBidi"/>
        </w:rPr>
        <w:t>: The first difference operator (representing short-run change).</w:t>
      </w:r>
    </w:p>
    <w:p w14:paraId="5A427780"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X</m:t>
        </m:r>
      </m:oMath>
      <w:r w:rsidRPr="0017616D">
        <w:rPr>
          <w:rFonts w:asciiTheme="majorBidi" w:hAnsiTheme="majorBidi" w:cstheme="majorBidi"/>
        </w:rPr>
        <w:t>: vector of independent variables (PIT, Health, Housing, Gini, Inflation).</w:t>
      </w:r>
    </w:p>
    <w:p w14:paraId="42EF5745"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EC</m:t>
        </m:r>
        <m:sSub>
          <m:sSubPr>
            <m:ctrlPr>
              <w:rPr>
                <w:rFonts w:ascii="Cambria Math" w:hAnsi="Cambria Math" w:cstheme="majorBidi"/>
                <w:b/>
                <w:bCs/>
                <w:i/>
              </w:rPr>
            </m:ctrlPr>
          </m:sSubPr>
          <m:e>
            <m:r>
              <m:rPr>
                <m:sty m:val="bi"/>
              </m:rPr>
              <w:rPr>
                <w:rFonts w:ascii="Cambria Math" w:hAnsi="Cambria Math" w:cstheme="majorBidi"/>
              </w:rPr>
              <m:t>T</m:t>
            </m:r>
          </m:e>
          <m:sub>
            <m:r>
              <m:rPr>
                <m:sty m:val="bi"/>
              </m:rPr>
              <w:rPr>
                <w:rFonts w:ascii="Cambria Math" w:hAnsi="Cambria Math" w:cstheme="majorBidi"/>
              </w:rPr>
              <m:t>t-1</m:t>
            </m:r>
          </m:sub>
        </m:sSub>
      </m:oMath>
      <w:r w:rsidRPr="0017616D">
        <w:rPr>
          <w:rFonts w:asciiTheme="majorBidi" w:hAnsiTheme="majorBidi" w:cstheme="majorBidi"/>
        </w:rPr>
        <w:t>: The Error Correction Term. For a valid long-run relationship, this coefficient is expected to be negative and statistically significant.</w:t>
      </w:r>
    </w:p>
    <w:p w14:paraId="72F3CFE0" w14:textId="77777777" w:rsidR="00D8538D" w:rsidRPr="0017616D" w:rsidRDefault="00D8538D" w:rsidP="00D8538D">
      <w:pPr>
        <w:numPr>
          <w:ilvl w:val="0"/>
          <w:numId w:val="2"/>
        </w:numPr>
        <w:tabs>
          <w:tab w:val="clear" w:pos="1080"/>
          <w:tab w:val="num" w:pos="1440"/>
        </w:tabs>
        <w:ind w:left="1260"/>
        <w:jc w:val="both"/>
        <w:rPr>
          <w:rFonts w:asciiTheme="majorBidi" w:hAnsiTheme="majorBidi" w:cstheme="majorBidi"/>
        </w:rPr>
      </w:pPr>
      <m:oMath>
        <m:r>
          <m:rPr>
            <m:sty m:val="bi"/>
          </m:rPr>
          <w:rPr>
            <w:rFonts w:ascii="Cambria Math" w:hAnsi="Cambria Math" w:cstheme="majorBidi"/>
          </w:rPr>
          <m:t>λ</m:t>
        </m:r>
      </m:oMath>
      <w:r w:rsidRPr="0017616D">
        <w:rPr>
          <w:rFonts w:asciiTheme="majorBidi" w:hAnsiTheme="majorBidi" w:cstheme="majorBidi"/>
        </w:rPr>
        <w:t xml:space="preserve">: The speed of adjustment. </w:t>
      </w:r>
    </w:p>
    <w:p w14:paraId="0E7AAE1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The Error Correction Model (ECM) provides a sophisticated look at how the Nigerian economy balances short-term shocks with long-term stability goals, the ECM result is presented below:</w:t>
      </w:r>
    </w:p>
    <w:p w14:paraId="1375DA50"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4.8</w:t>
      </w:r>
      <w:r w:rsidRPr="0017616D">
        <w:rPr>
          <w:rFonts w:asciiTheme="majorBidi" w:hAnsiTheme="majorBidi" w:cstheme="majorBidi"/>
          <w:b/>
          <w:bCs/>
        </w:rPr>
        <w:t>: ARDL Error Correction Representation (Short-Run Dynamics)</w:t>
      </w:r>
    </w:p>
    <w:tbl>
      <w:tblPr>
        <w:tblStyle w:val="PlainTable2"/>
        <w:tblW w:w="4508" w:type="pct"/>
        <w:tblInd w:w="828" w:type="dxa"/>
        <w:tblLook w:val="04A0" w:firstRow="1" w:lastRow="0" w:firstColumn="1" w:lastColumn="0" w:noHBand="0" w:noVBand="1"/>
      </w:tblPr>
      <w:tblGrid>
        <w:gridCol w:w="2334"/>
        <w:gridCol w:w="1630"/>
        <w:gridCol w:w="1671"/>
        <w:gridCol w:w="1607"/>
        <w:gridCol w:w="1197"/>
      </w:tblGrid>
      <w:tr w:rsidR="00D8538D" w:rsidRPr="0017616D" w14:paraId="6F6214C4"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B44F1C0" w14:textId="77777777" w:rsidR="00D8538D" w:rsidRPr="0017616D" w:rsidRDefault="00D8538D" w:rsidP="004C4BAC">
            <w:pPr>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Variable</w:t>
            </w:r>
          </w:p>
        </w:tc>
        <w:tc>
          <w:tcPr>
            <w:tcW w:w="966" w:type="pct"/>
            <w:hideMark/>
          </w:tcPr>
          <w:p w14:paraId="0EFB1F8E"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Coefficient</w:t>
            </w:r>
          </w:p>
        </w:tc>
        <w:tc>
          <w:tcPr>
            <w:tcW w:w="990" w:type="pct"/>
            <w:hideMark/>
          </w:tcPr>
          <w:p w14:paraId="52F64507"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Std. Error</w:t>
            </w:r>
          </w:p>
        </w:tc>
        <w:tc>
          <w:tcPr>
            <w:tcW w:w="952" w:type="pct"/>
            <w:hideMark/>
          </w:tcPr>
          <w:p w14:paraId="4CC31175"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t-Statistic</w:t>
            </w:r>
          </w:p>
        </w:tc>
        <w:tc>
          <w:tcPr>
            <w:tcW w:w="709" w:type="pct"/>
            <w:hideMark/>
          </w:tcPr>
          <w:p w14:paraId="72818F44"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w:t>
            </w:r>
          </w:p>
        </w:tc>
      </w:tr>
      <w:tr w:rsidR="00D8538D" w:rsidRPr="0017616D" w14:paraId="01C764E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0C3A727"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COINTEQ (-1)</w:t>
            </w:r>
          </w:p>
        </w:tc>
        <w:tc>
          <w:tcPr>
            <w:tcW w:w="966" w:type="pct"/>
            <w:hideMark/>
          </w:tcPr>
          <w:p w14:paraId="0CF0581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-0.8878</w:t>
            </w:r>
          </w:p>
        </w:tc>
        <w:tc>
          <w:tcPr>
            <w:tcW w:w="990" w:type="pct"/>
            <w:hideMark/>
          </w:tcPr>
          <w:p w14:paraId="7B6F2FE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0.1623</w:t>
            </w:r>
          </w:p>
        </w:tc>
        <w:tc>
          <w:tcPr>
            <w:tcW w:w="952" w:type="pct"/>
            <w:hideMark/>
          </w:tcPr>
          <w:p w14:paraId="738EC0A8"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-5.4712</w:t>
            </w:r>
          </w:p>
        </w:tc>
        <w:tc>
          <w:tcPr>
            <w:tcW w:w="709" w:type="pct"/>
            <w:hideMark/>
          </w:tcPr>
          <w:p w14:paraId="4681EF55"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1A1DFFA8"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597791CB"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D(PIT)</w:t>
            </w:r>
          </w:p>
        </w:tc>
        <w:tc>
          <w:tcPr>
            <w:tcW w:w="966" w:type="pct"/>
            <w:hideMark/>
          </w:tcPr>
          <w:p w14:paraId="5B20ED5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-0.6205</w:t>
            </w:r>
          </w:p>
        </w:tc>
        <w:tc>
          <w:tcPr>
            <w:tcW w:w="990" w:type="pct"/>
            <w:hideMark/>
          </w:tcPr>
          <w:p w14:paraId="193E163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0.4587</w:t>
            </w:r>
          </w:p>
        </w:tc>
        <w:tc>
          <w:tcPr>
            <w:tcW w:w="952" w:type="pct"/>
            <w:hideMark/>
          </w:tcPr>
          <w:p w14:paraId="7DE7469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-1.3528</w:t>
            </w:r>
          </w:p>
        </w:tc>
        <w:tc>
          <w:tcPr>
            <w:tcW w:w="709" w:type="pct"/>
            <w:hideMark/>
          </w:tcPr>
          <w:p w14:paraId="2C8C36C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0.1869</w:t>
            </w:r>
          </w:p>
        </w:tc>
      </w:tr>
      <w:tr w:rsidR="00D8538D" w:rsidRPr="0017616D" w14:paraId="0C43B33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BE58C94"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D(GINI)</w:t>
            </w:r>
          </w:p>
        </w:tc>
        <w:tc>
          <w:tcPr>
            <w:tcW w:w="966" w:type="pct"/>
            <w:hideMark/>
          </w:tcPr>
          <w:p w14:paraId="004EB44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-0.0081</w:t>
            </w:r>
          </w:p>
        </w:tc>
        <w:tc>
          <w:tcPr>
            <w:tcW w:w="990" w:type="pct"/>
            <w:hideMark/>
          </w:tcPr>
          <w:p w14:paraId="6665D4B6"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0.0073</w:t>
            </w:r>
          </w:p>
        </w:tc>
        <w:tc>
          <w:tcPr>
            <w:tcW w:w="952" w:type="pct"/>
            <w:hideMark/>
          </w:tcPr>
          <w:p w14:paraId="6B9E45A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-1.1134</w:t>
            </w:r>
          </w:p>
        </w:tc>
        <w:tc>
          <w:tcPr>
            <w:tcW w:w="709" w:type="pct"/>
            <w:hideMark/>
          </w:tcPr>
          <w:p w14:paraId="31E3D3D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0.275</w:t>
            </w:r>
          </w:p>
        </w:tc>
      </w:tr>
      <w:tr w:rsidR="00D8538D" w:rsidRPr="0017616D" w14:paraId="5510D2C4"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1C3EBDA4"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C</w:t>
            </w:r>
          </w:p>
        </w:tc>
        <w:tc>
          <w:tcPr>
            <w:tcW w:w="966" w:type="pct"/>
            <w:hideMark/>
          </w:tcPr>
          <w:p w14:paraId="2DFDF7B3"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20.3971</w:t>
            </w:r>
          </w:p>
        </w:tc>
        <w:tc>
          <w:tcPr>
            <w:tcW w:w="990" w:type="pct"/>
            <w:hideMark/>
          </w:tcPr>
          <w:p w14:paraId="03144D92"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3.6866</w:t>
            </w:r>
          </w:p>
        </w:tc>
        <w:tc>
          <w:tcPr>
            <w:tcW w:w="952" w:type="pct"/>
            <w:hideMark/>
          </w:tcPr>
          <w:p w14:paraId="3CF08EB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5.5328</w:t>
            </w:r>
          </w:p>
        </w:tc>
        <w:tc>
          <w:tcPr>
            <w:tcW w:w="709" w:type="pct"/>
            <w:hideMark/>
          </w:tcPr>
          <w:p w14:paraId="739FD08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26886EF4"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1729AB9"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@TREND</w:t>
            </w:r>
          </w:p>
        </w:tc>
        <w:tc>
          <w:tcPr>
            <w:tcW w:w="966" w:type="pct"/>
            <w:hideMark/>
          </w:tcPr>
          <w:p w14:paraId="24A665C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0.0247</w:t>
            </w:r>
          </w:p>
        </w:tc>
        <w:tc>
          <w:tcPr>
            <w:tcW w:w="990" w:type="pct"/>
            <w:hideMark/>
          </w:tcPr>
          <w:p w14:paraId="1E9C44F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0.011</w:t>
            </w:r>
          </w:p>
        </w:tc>
        <w:tc>
          <w:tcPr>
            <w:tcW w:w="952" w:type="pct"/>
            <w:hideMark/>
          </w:tcPr>
          <w:p w14:paraId="6C0E6E6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2.2385</w:t>
            </w:r>
          </w:p>
        </w:tc>
        <w:tc>
          <w:tcPr>
            <w:tcW w:w="709" w:type="pct"/>
            <w:hideMark/>
          </w:tcPr>
          <w:p w14:paraId="00ADCC6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0.0333*</w:t>
            </w:r>
          </w:p>
        </w:tc>
      </w:tr>
      <w:tr w:rsidR="00D8538D" w:rsidRPr="0017616D" w14:paraId="3D207AA3"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5B155C0F"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@YEAR&gt;=1999</w:t>
            </w:r>
          </w:p>
        </w:tc>
        <w:tc>
          <w:tcPr>
            <w:tcW w:w="966" w:type="pct"/>
            <w:hideMark/>
          </w:tcPr>
          <w:p w14:paraId="5D79937C"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-0.3079</w:t>
            </w:r>
          </w:p>
        </w:tc>
        <w:tc>
          <w:tcPr>
            <w:tcW w:w="990" w:type="pct"/>
            <w:hideMark/>
          </w:tcPr>
          <w:p w14:paraId="1C1BF11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0.1421</w:t>
            </w:r>
          </w:p>
        </w:tc>
        <w:tc>
          <w:tcPr>
            <w:tcW w:w="952" w:type="pct"/>
            <w:hideMark/>
          </w:tcPr>
          <w:p w14:paraId="76FCA830"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-2.1667</w:t>
            </w:r>
          </w:p>
        </w:tc>
        <w:tc>
          <w:tcPr>
            <w:tcW w:w="709" w:type="pct"/>
            <w:hideMark/>
          </w:tcPr>
          <w:p w14:paraId="55CD396A"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0.0389*</w:t>
            </w:r>
          </w:p>
        </w:tc>
      </w:tr>
      <w:tr w:rsidR="00D8538D" w:rsidRPr="0017616D" w14:paraId="6F19B946"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220DA4F8"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@YEAR&gt;=2005</w:t>
            </w:r>
          </w:p>
        </w:tc>
        <w:tc>
          <w:tcPr>
            <w:tcW w:w="966" w:type="pct"/>
            <w:hideMark/>
          </w:tcPr>
          <w:p w14:paraId="007E8B3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1.0455</w:t>
            </w:r>
          </w:p>
        </w:tc>
        <w:tc>
          <w:tcPr>
            <w:tcW w:w="990" w:type="pct"/>
            <w:hideMark/>
          </w:tcPr>
          <w:p w14:paraId="11AED37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0.2049</w:t>
            </w:r>
          </w:p>
        </w:tc>
        <w:tc>
          <w:tcPr>
            <w:tcW w:w="952" w:type="pct"/>
            <w:hideMark/>
          </w:tcPr>
          <w:p w14:paraId="7AF3F91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5.1011</w:t>
            </w:r>
          </w:p>
        </w:tc>
        <w:tc>
          <w:tcPr>
            <w:tcW w:w="709" w:type="pct"/>
            <w:hideMark/>
          </w:tcPr>
          <w:p w14:paraId="7CA8B44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100E07E0"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48E5A166"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R-squared</w:t>
            </w:r>
          </w:p>
        </w:tc>
        <w:tc>
          <w:tcPr>
            <w:tcW w:w="966" w:type="pct"/>
            <w:hideMark/>
          </w:tcPr>
          <w:p w14:paraId="2C6DA058"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0.6842</w:t>
            </w:r>
          </w:p>
        </w:tc>
        <w:tc>
          <w:tcPr>
            <w:tcW w:w="990" w:type="pct"/>
            <w:hideMark/>
          </w:tcPr>
          <w:p w14:paraId="04AD251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F-statistic</w:t>
            </w:r>
          </w:p>
        </w:tc>
        <w:tc>
          <w:tcPr>
            <w:tcW w:w="952" w:type="pct"/>
            <w:hideMark/>
          </w:tcPr>
          <w:p w14:paraId="0174A406"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10.1098</w:t>
            </w:r>
          </w:p>
        </w:tc>
        <w:tc>
          <w:tcPr>
            <w:tcW w:w="709" w:type="pct"/>
            <w:hideMark/>
          </w:tcPr>
          <w:p w14:paraId="72C5244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0.0000*</w:t>
            </w:r>
          </w:p>
        </w:tc>
      </w:tr>
      <w:tr w:rsidR="00D8538D" w:rsidRPr="0017616D" w14:paraId="0876D74D"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83" w:type="pct"/>
            <w:hideMark/>
          </w:tcPr>
          <w:p w14:paraId="0550C511" w14:textId="77777777" w:rsidR="00D8538D" w:rsidRPr="0017616D" w:rsidRDefault="00D8538D" w:rsidP="004C4BAC">
            <w:pPr>
              <w:jc w:val="right"/>
              <w:rPr>
                <w:rFonts w:asciiTheme="majorBidi" w:hAnsiTheme="majorBidi" w:cstheme="majorBidi"/>
                <w:b w:val="0"/>
                <w:bCs w:val="0"/>
                <w:color w:val="1F1F1F"/>
                <w:sz w:val="20"/>
                <w:szCs w:val="20"/>
              </w:rPr>
            </w:pPr>
            <w:r w:rsidRPr="0017616D">
              <w:rPr>
                <w:rFonts w:asciiTheme="majorBidi" w:hAnsiTheme="majorBidi" w:cstheme="majorBidi"/>
                <w:b w:val="0"/>
                <w:bCs w:val="0"/>
                <w:color w:val="1F1F1F"/>
                <w:sz w:val="20"/>
                <w:szCs w:val="20"/>
              </w:rPr>
              <w:t>Adjusted R-squared</w:t>
            </w:r>
          </w:p>
        </w:tc>
        <w:tc>
          <w:tcPr>
            <w:tcW w:w="966" w:type="pct"/>
            <w:hideMark/>
          </w:tcPr>
          <w:p w14:paraId="06A4C27E"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0.6165</w:t>
            </w:r>
          </w:p>
        </w:tc>
        <w:tc>
          <w:tcPr>
            <w:tcW w:w="990" w:type="pct"/>
            <w:hideMark/>
          </w:tcPr>
          <w:p w14:paraId="79C620C7"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Durbin-Watson</w:t>
            </w:r>
          </w:p>
        </w:tc>
        <w:tc>
          <w:tcPr>
            <w:tcW w:w="952" w:type="pct"/>
            <w:hideMark/>
          </w:tcPr>
          <w:p w14:paraId="40E47DA9"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2.3336</w:t>
            </w:r>
          </w:p>
        </w:tc>
        <w:tc>
          <w:tcPr>
            <w:tcW w:w="709" w:type="pct"/>
            <w:hideMark/>
          </w:tcPr>
          <w:p w14:paraId="18B5908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p>
        </w:tc>
      </w:tr>
    </w:tbl>
    <w:p w14:paraId="522E5E4B" w14:textId="77777777" w:rsidR="00D8538D" w:rsidRPr="0017616D" w:rsidRDefault="00D8538D" w:rsidP="00D8538D">
      <w:pPr>
        <w:ind w:left="720"/>
        <w:jc w:val="both"/>
        <w:rPr>
          <w:rFonts w:asciiTheme="majorBidi" w:hAnsiTheme="majorBidi" w:cstheme="majorBidi"/>
          <w:i/>
          <w:iCs/>
        </w:rPr>
      </w:pPr>
      <w:r w:rsidRPr="0017616D">
        <w:rPr>
          <w:rFonts w:asciiTheme="majorBidi" w:hAnsiTheme="majorBidi" w:cstheme="majorBidi"/>
          <w:i/>
          <w:iCs/>
        </w:rPr>
        <w:t>Note: * denotes significance at the 5% level. Model: ARDL(1,1,0,0,1,0).</w:t>
      </w:r>
    </w:p>
    <w:p w14:paraId="57E43B5C"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most critical result is the COINTEQ (-1) coefficient of -0.8878, which is highly significant (</w:t>
      </w:r>
      <m:oMath>
        <m:r>
          <w:rPr>
            <w:rFonts w:ascii="Cambria Math" w:hAnsi="Cambria Math" w:cstheme="majorBidi"/>
          </w:rPr>
          <m:t>p = 0.0000</m:t>
        </m:r>
      </m:oMath>
      <w:r w:rsidRPr="0017616D">
        <w:rPr>
          <w:rFonts w:asciiTheme="majorBidi" w:hAnsiTheme="majorBidi" w:cstheme="majorBidi"/>
        </w:rPr>
        <w:t>), which suggests a remarkably high speed of adjustment: approximately 88.8% of the deviation from the long-run equilibrium is corrected within a single year. For Nigeria, this implies that the economic system is robust; even when hit by massive shocks such as oil price collapses or radical policy shifts the economy possesses a strong internal mechanism that pulls it back toward its steady-state growth path.</w:t>
      </w:r>
    </w:p>
    <w:p w14:paraId="69C629A3"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Interestingly, changes in Personal Income Tax (D(PIT)) and the Gini Coefficient (D(GINI)) do not show a statistically significant impact on GDP growth. This suggests that fiscal policy adjustments and shifts in income redistribution in Nigeria require time to filter through the economic system before their positive impact are felt in the economic system. </w:t>
      </w:r>
    </w:p>
    <w:p w14:paraId="72383DA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Structural dummy for 1999 marking the return to democratic rule is significant and negative (-0.3079, p = 0.0389), possibly reflecting the initial volatility and restructuring costs of the transition. Conversely, the 2005 dummy remains exceptionally strong and positive (1.0455, p = 0.0000), solidifying the argument that mid-2000s economic reforms provided a significant </w:t>
      </w:r>
      <w:r w:rsidRPr="0017616D">
        <w:rPr>
          <w:rFonts w:asciiTheme="majorBidi" w:hAnsiTheme="majorBidi" w:cstheme="majorBidi"/>
          <w:i/>
          <w:iCs/>
        </w:rPr>
        <w:t>level shift</w:t>
      </w:r>
      <w:r w:rsidRPr="0017616D">
        <w:rPr>
          <w:rFonts w:asciiTheme="majorBidi" w:hAnsiTheme="majorBidi" w:cstheme="majorBidi"/>
        </w:rPr>
        <w:t xml:space="preserve"> in Nigerian prosperity. Furthermore, the significant time trend (</w:t>
      </w:r>
      <m:oMath>
        <m:r>
          <w:rPr>
            <w:rFonts w:ascii="Cambria Math" w:hAnsi="Cambria Math" w:cstheme="majorBidi"/>
          </w:rPr>
          <m:t>0.0247</m:t>
        </m:r>
      </m:oMath>
      <w:r w:rsidRPr="0017616D">
        <w:rPr>
          <w:rFonts w:asciiTheme="majorBidi" w:hAnsiTheme="majorBidi" w:cstheme="majorBidi"/>
        </w:rPr>
        <w:t>) indicates an autonomous growth rate of approximately 2.47% annually, independent of the other variables, representing the consistent expansion of the Nigerian labour force and basic productivity.</w:t>
      </w:r>
    </w:p>
    <w:p w14:paraId="72A2685D"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With an Adjusted R</w:t>
      </w:r>
      <w:r w:rsidRPr="00E01538">
        <w:rPr>
          <w:rFonts w:asciiTheme="majorBidi" w:hAnsiTheme="majorBidi" w:cstheme="majorBidi"/>
          <w:vertAlign w:val="superscript"/>
        </w:rPr>
        <w:t>2</w:t>
      </w:r>
      <w:r w:rsidRPr="0017616D">
        <w:rPr>
          <w:rFonts w:asciiTheme="majorBidi" w:hAnsiTheme="majorBidi" w:cstheme="majorBidi"/>
        </w:rPr>
        <w:t xml:space="preserve"> of 0.616, the model explains over 61% of the short-term fluctuations in Nigerian GDP growth. The F-statistic (10.11, p &lt; 0.01) confirms the joint significance of the regressors. Additionally, the Durbin-Watson statistic (2.33) indicates that the residuals are well-behaved, further validated using HAC (Newey-West) robust estimation to ensure that any potential serial correlation or heteroskedasticity does not bias the findings.</w:t>
      </w:r>
    </w:p>
    <w:p w14:paraId="5B8AAE3F"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findings reveal a highly stable economic framework where nearly 89% of annual disequilibria are corrected, ensuring that short-term fiscal volatility does not lead to long-term instability. While immediate increases in Personal Income Tax (PIT) may trigger a brief slowdown in output, the high speed of adjustment ensures that the economy quickly absorbs these shocks, </w:t>
      </w:r>
      <w:r>
        <w:rPr>
          <w:rFonts w:asciiTheme="majorBidi" w:hAnsiTheme="majorBidi" w:cstheme="majorBidi"/>
        </w:rPr>
        <w:t>and</w:t>
      </w:r>
      <w:r w:rsidRPr="0017616D">
        <w:rPr>
          <w:rFonts w:asciiTheme="majorBidi" w:hAnsiTheme="majorBidi" w:cstheme="majorBidi"/>
        </w:rPr>
        <w:t xml:space="preserve"> mov</w:t>
      </w:r>
      <w:r>
        <w:rPr>
          <w:rFonts w:asciiTheme="majorBidi" w:hAnsiTheme="majorBidi" w:cstheme="majorBidi"/>
        </w:rPr>
        <w:t>es</w:t>
      </w:r>
      <w:r w:rsidRPr="0017616D">
        <w:rPr>
          <w:rFonts w:asciiTheme="majorBidi" w:hAnsiTheme="majorBidi" w:cstheme="majorBidi"/>
        </w:rPr>
        <w:t xml:space="preserve"> toward the positive growth path identified in the long-run analysis. </w:t>
      </w:r>
    </w:p>
    <w:p w14:paraId="724B8777"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Serial Correlation</w:t>
      </w:r>
    </w:p>
    <w:p w14:paraId="5698E59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ensure the validity of the estimated parameters, the Breusch-Godfrey Serial Correlation LM test was applied</w:t>
      </w:r>
      <w:r>
        <w:rPr>
          <w:rFonts w:asciiTheme="majorBidi" w:hAnsiTheme="majorBidi" w:cstheme="majorBidi"/>
        </w:rPr>
        <w:t xml:space="preserve"> to </w:t>
      </w:r>
      <w:r w:rsidRPr="0017616D">
        <w:rPr>
          <w:rFonts w:asciiTheme="majorBidi" w:hAnsiTheme="majorBidi" w:cstheme="majorBidi"/>
        </w:rPr>
        <w:t>confirms that the model is statistically sound and that the standard errors are unbiased.</w:t>
      </w:r>
    </w:p>
    <w:p w14:paraId="42AD2B13" w14:textId="77777777" w:rsidR="00D8538D" w:rsidRPr="0017616D"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4.9</w:t>
      </w:r>
      <w:r w:rsidRPr="0017616D">
        <w:rPr>
          <w:rFonts w:asciiTheme="majorBidi" w:hAnsiTheme="majorBidi" w:cstheme="majorBidi"/>
          <w:b/>
          <w:bCs/>
        </w:rPr>
        <w:t>: Breusch-Godfrey Serial Correlation LM Test Results</w:t>
      </w:r>
    </w:p>
    <w:tbl>
      <w:tblPr>
        <w:tblStyle w:val="PlainTable2"/>
        <w:tblW w:w="4548" w:type="pct"/>
        <w:tblInd w:w="828" w:type="dxa"/>
        <w:tblLook w:val="04A0" w:firstRow="1" w:lastRow="0" w:firstColumn="1" w:lastColumn="0" w:noHBand="0" w:noVBand="1"/>
      </w:tblPr>
      <w:tblGrid>
        <w:gridCol w:w="2485"/>
        <w:gridCol w:w="1636"/>
        <w:gridCol w:w="1263"/>
        <w:gridCol w:w="3130"/>
      </w:tblGrid>
      <w:tr w:rsidR="00D8538D" w:rsidRPr="0017616D" w14:paraId="115DEDBF"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085A417C" w14:textId="77777777" w:rsidR="00D8538D" w:rsidRPr="0017616D" w:rsidRDefault="00D8538D" w:rsidP="004C4BAC">
            <w:pPr>
              <w:ind w:firstLineChars="100" w:firstLine="201"/>
              <w:jc w:val="right"/>
              <w:rPr>
                <w:rFonts w:asciiTheme="majorBidi" w:hAnsiTheme="majorBidi" w:cstheme="majorBidi"/>
                <w:color w:val="1F1F1F"/>
                <w:sz w:val="20"/>
                <w:szCs w:val="20"/>
              </w:rPr>
            </w:pPr>
            <w:r w:rsidRPr="0017616D">
              <w:rPr>
                <w:rFonts w:asciiTheme="majorBidi" w:hAnsiTheme="majorBidi" w:cstheme="majorBidi"/>
                <w:color w:val="1F1F1F"/>
                <w:sz w:val="20"/>
                <w:szCs w:val="20"/>
              </w:rPr>
              <w:t>Test Type</w:t>
            </w:r>
          </w:p>
        </w:tc>
        <w:tc>
          <w:tcPr>
            <w:tcW w:w="961" w:type="pct"/>
            <w:hideMark/>
          </w:tcPr>
          <w:p w14:paraId="098EF3C3"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Statistic</w:t>
            </w:r>
          </w:p>
        </w:tc>
        <w:tc>
          <w:tcPr>
            <w:tcW w:w="742" w:type="pct"/>
            <w:hideMark/>
          </w:tcPr>
          <w:p w14:paraId="4C2A3EC7" w14:textId="77777777" w:rsidR="00D8538D" w:rsidRPr="0017616D" w:rsidRDefault="00D8538D" w:rsidP="004C4BAC">
            <w:pPr>
              <w:ind w:firstLineChars="100" w:firstLine="201"/>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d.f.</w:t>
            </w:r>
          </w:p>
        </w:tc>
        <w:tc>
          <w:tcPr>
            <w:tcW w:w="1838" w:type="pct"/>
            <w:hideMark/>
          </w:tcPr>
          <w:p w14:paraId="0BB7485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Probability</w:t>
            </w:r>
          </w:p>
        </w:tc>
      </w:tr>
      <w:tr w:rsidR="00D8538D" w:rsidRPr="0017616D" w14:paraId="1D1ABB4A"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5B767334" w14:textId="77777777" w:rsidR="00D8538D" w:rsidRPr="0017616D" w:rsidRDefault="00D8538D" w:rsidP="004C4BAC">
            <w:pPr>
              <w:ind w:firstLineChars="100" w:firstLine="201"/>
              <w:jc w:val="right"/>
              <w:rPr>
                <w:rFonts w:asciiTheme="majorBidi" w:hAnsiTheme="majorBidi" w:cstheme="majorBidi"/>
                <w:i/>
                <w:iCs/>
                <w:color w:val="1F1F1F"/>
                <w:sz w:val="20"/>
                <w:szCs w:val="20"/>
              </w:rPr>
            </w:pPr>
            <w:r w:rsidRPr="0017616D">
              <w:rPr>
                <w:rFonts w:asciiTheme="majorBidi" w:hAnsiTheme="majorBidi" w:cstheme="majorBidi"/>
                <w:i/>
                <w:iCs/>
                <w:color w:val="1F1F1F"/>
                <w:sz w:val="20"/>
                <w:szCs w:val="20"/>
              </w:rPr>
              <w:t>F-statistic</w:t>
            </w:r>
          </w:p>
        </w:tc>
        <w:tc>
          <w:tcPr>
            <w:tcW w:w="961" w:type="pct"/>
            <w:hideMark/>
          </w:tcPr>
          <w:p w14:paraId="6A2E8248"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0.6759</w:t>
            </w:r>
          </w:p>
        </w:tc>
        <w:tc>
          <w:tcPr>
            <w:tcW w:w="742" w:type="pct"/>
            <w:hideMark/>
          </w:tcPr>
          <w:p w14:paraId="1548EFAE" w14:textId="77777777" w:rsidR="00D8538D" w:rsidRPr="0017616D" w:rsidRDefault="00D8538D" w:rsidP="004C4BAC">
            <w:pPr>
              <w:ind w:firstLineChars="100" w:firstLine="20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(2, 21)</w:t>
            </w:r>
          </w:p>
        </w:tc>
        <w:tc>
          <w:tcPr>
            <w:tcW w:w="1838" w:type="pct"/>
            <w:hideMark/>
          </w:tcPr>
          <w:p w14:paraId="2A1FB2CA"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0.5194</w:t>
            </w:r>
          </w:p>
        </w:tc>
      </w:tr>
      <w:tr w:rsidR="00D8538D" w:rsidRPr="0017616D" w14:paraId="1E5F7E41"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1459" w:type="pct"/>
            <w:hideMark/>
          </w:tcPr>
          <w:p w14:paraId="258FB96F" w14:textId="77777777" w:rsidR="00D8538D" w:rsidRPr="0017616D" w:rsidRDefault="00D8538D" w:rsidP="004C4BAC">
            <w:pPr>
              <w:ind w:firstLineChars="100" w:firstLine="201"/>
              <w:jc w:val="right"/>
              <w:rPr>
                <w:rFonts w:asciiTheme="majorBidi" w:hAnsiTheme="majorBidi" w:cstheme="majorBidi"/>
                <w:i/>
                <w:iCs/>
                <w:color w:val="1F1F1F"/>
                <w:sz w:val="20"/>
                <w:szCs w:val="20"/>
              </w:rPr>
            </w:pPr>
            <w:r w:rsidRPr="0017616D">
              <w:rPr>
                <w:rFonts w:asciiTheme="majorBidi" w:hAnsiTheme="majorBidi" w:cstheme="majorBidi"/>
                <w:i/>
                <w:iCs/>
                <w:color w:val="1F1F1F"/>
                <w:sz w:val="20"/>
                <w:szCs w:val="20"/>
              </w:rPr>
              <w:t>Obs*R-squared</w:t>
            </w:r>
          </w:p>
        </w:tc>
        <w:tc>
          <w:tcPr>
            <w:tcW w:w="961" w:type="pct"/>
            <w:hideMark/>
          </w:tcPr>
          <w:p w14:paraId="15C9AFF8"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2.1169</w:t>
            </w:r>
          </w:p>
        </w:tc>
        <w:tc>
          <w:tcPr>
            <w:tcW w:w="742" w:type="pct"/>
            <w:hideMark/>
          </w:tcPr>
          <w:p w14:paraId="75706BFF" w14:textId="77777777" w:rsidR="00D8538D" w:rsidRPr="0017616D" w:rsidRDefault="00D8538D" w:rsidP="004C4BAC">
            <w:pPr>
              <w:ind w:firstLineChars="100" w:firstLine="20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2</w:t>
            </w:r>
          </w:p>
        </w:tc>
        <w:tc>
          <w:tcPr>
            <w:tcW w:w="1838" w:type="pct"/>
            <w:hideMark/>
          </w:tcPr>
          <w:p w14:paraId="74EC0A99"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17616D">
              <w:rPr>
                <w:rFonts w:asciiTheme="majorBidi" w:hAnsiTheme="majorBidi" w:cstheme="majorBidi"/>
                <w:color w:val="1F1F1F"/>
                <w:sz w:val="20"/>
                <w:szCs w:val="20"/>
              </w:rPr>
              <w:t>0.347</w:t>
            </w:r>
          </w:p>
        </w:tc>
      </w:tr>
    </w:tbl>
    <w:p w14:paraId="507B4207" w14:textId="77777777" w:rsidR="00D8538D" w:rsidRPr="0017616D" w:rsidRDefault="00D8538D" w:rsidP="00D8538D">
      <w:pPr>
        <w:ind w:left="720"/>
        <w:jc w:val="both"/>
        <w:rPr>
          <w:rFonts w:asciiTheme="majorBidi" w:hAnsiTheme="majorBidi" w:cstheme="majorBidi"/>
          <w:i/>
          <w:iCs/>
          <w:color w:val="1F1F1F"/>
        </w:rPr>
      </w:pPr>
      <w:r w:rsidRPr="0017616D">
        <w:rPr>
          <w:rFonts w:asciiTheme="majorBidi" w:hAnsiTheme="majorBidi" w:cstheme="majorBidi"/>
          <w:i/>
          <w:iCs/>
          <w:color w:val="1F1F1F"/>
        </w:rPr>
        <w:t xml:space="preserve">Source: Author’s computation using EViews 14. </w:t>
      </w:r>
    </w:p>
    <w:p w14:paraId="23A0EC26"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The diagnostic results from the Breusch-Godfrey Serial Correlation LM Test indicate that the ARDL model is free from the presence of serial correlation. As shown in Table </w:t>
      </w:r>
      <w:r>
        <w:rPr>
          <w:rFonts w:asciiTheme="majorBidi" w:hAnsiTheme="majorBidi" w:cstheme="majorBidi"/>
        </w:rPr>
        <w:t>4.9</w:t>
      </w:r>
      <w:r w:rsidRPr="0017616D">
        <w:rPr>
          <w:rFonts w:asciiTheme="majorBidi" w:hAnsiTheme="majorBidi" w:cstheme="majorBidi"/>
        </w:rPr>
        <w:t>, the F-statistic of 0.6759 has a corresponding p-value of 0.5194, while the Obs*R-squared statistic of 2.1169 yields a p-value of 0.3470. Since both p-values are significantly greater than the standard 0.05 (5%) level of significance indicating that there is no serial correlation in the residuals.</w:t>
      </w:r>
    </w:p>
    <w:p w14:paraId="6F902CF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This result is further supported by the Durbin-Watson (DW) statistic of 1.958, which is very close to the ideal value of 2.0, this confirms that the errors are independently distributed and the model does not suffer from autocorrelation. Consequently, the coefficients and standard errors reported in the primary ARDL model are statistically robust and reliable for economic inference and support the assertion that, progressive taxation (Personal Income Tax) impact GDP growth; also social welfare spending (Health and Housing expenditure) are not positive, they do not affect economic stability in the short-run; the study further emphasis that, the impact of Personal Income Tax on Income Inequality are not just temporary but are fundamentally linked to the long-term route of Nigeria's economics growth and stability.</w:t>
      </w:r>
    </w:p>
    <w:p w14:paraId="091A04A8" w14:textId="77777777" w:rsidR="00D8538D" w:rsidRPr="00736A54" w:rsidRDefault="00D8538D" w:rsidP="00D8538D">
      <w:pPr>
        <w:spacing w:before="120" w:after="120"/>
        <w:ind w:left="72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4.10</w:t>
      </w:r>
      <w:r w:rsidRPr="0017616D">
        <w:rPr>
          <w:rFonts w:asciiTheme="majorBidi" w:hAnsiTheme="majorBidi" w:cstheme="majorBidi"/>
          <w:b/>
          <w:bCs/>
        </w:rPr>
        <w:t>: Normality Test Results (Residuals)</w:t>
      </w:r>
    </w:p>
    <w:tbl>
      <w:tblPr>
        <w:tblStyle w:val="PlainTable2"/>
        <w:tblW w:w="4677" w:type="pct"/>
        <w:tblInd w:w="720" w:type="dxa"/>
        <w:tblLook w:val="04A0" w:firstRow="1" w:lastRow="0" w:firstColumn="1" w:lastColumn="0" w:noHBand="0" w:noVBand="1"/>
      </w:tblPr>
      <w:tblGrid>
        <w:gridCol w:w="4299"/>
        <w:gridCol w:w="4456"/>
      </w:tblGrid>
      <w:tr w:rsidR="00D8538D" w:rsidRPr="0017616D" w14:paraId="25F383D3"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46315D80" w14:textId="77777777" w:rsidR="00D8538D" w:rsidRPr="0017616D" w:rsidRDefault="00D8538D" w:rsidP="004C4BAC">
            <w:pPr>
              <w:jc w:val="center"/>
              <w:rPr>
                <w:rFonts w:asciiTheme="majorBidi" w:hAnsiTheme="majorBidi" w:cstheme="majorBidi"/>
                <w:b w:val="0"/>
                <w:bCs w:val="0"/>
                <w:color w:val="1F1F1F"/>
              </w:rPr>
            </w:pPr>
            <w:r w:rsidRPr="0017616D">
              <w:rPr>
                <w:rFonts w:asciiTheme="majorBidi" w:hAnsiTheme="majorBidi" w:cstheme="majorBidi"/>
                <w:color w:val="1F1F1F"/>
              </w:rPr>
              <w:t>Statistic</w:t>
            </w:r>
          </w:p>
        </w:tc>
        <w:tc>
          <w:tcPr>
            <w:tcW w:w="2545" w:type="pct"/>
            <w:hideMark/>
          </w:tcPr>
          <w:p w14:paraId="6EDCC160"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1F1F1F"/>
              </w:rPr>
            </w:pPr>
            <w:r w:rsidRPr="0017616D">
              <w:rPr>
                <w:rFonts w:asciiTheme="majorBidi" w:hAnsiTheme="majorBidi" w:cstheme="majorBidi"/>
                <w:color w:val="1F1F1F"/>
              </w:rPr>
              <w:t>Value</w:t>
            </w:r>
          </w:p>
        </w:tc>
      </w:tr>
      <w:tr w:rsidR="00D8538D" w:rsidRPr="0017616D" w14:paraId="63A8700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0A150A8D"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Jarque-Bera</w:t>
            </w:r>
          </w:p>
        </w:tc>
        <w:tc>
          <w:tcPr>
            <w:tcW w:w="2545" w:type="pct"/>
            <w:hideMark/>
          </w:tcPr>
          <w:p w14:paraId="64426EF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0.5977</w:t>
            </w:r>
          </w:p>
        </w:tc>
      </w:tr>
      <w:tr w:rsidR="00D8538D" w:rsidRPr="0017616D" w14:paraId="058294D5"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4FDE4BAE"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Probability</w:t>
            </w:r>
          </w:p>
        </w:tc>
        <w:tc>
          <w:tcPr>
            <w:tcW w:w="2545" w:type="pct"/>
            <w:hideMark/>
          </w:tcPr>
          <w:p w14:paraId="1E0A2037"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0.7417</w:t>
            </w:r>
          </w:p>
        </w:tc>
      </w:tr>
      <w:tr w:rsidR="00D8538D" w:rsidRPr="0017616D" w14:paraId="67369428"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7D94615A"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Skewness</w:t>
            </w:r>
          </w:p>
        </w:tc>
        <w:tc>
          <w:tcPr>
            <w:tcW w:w="2545" w:type="pct"/>
            <w:hideMark/>
          </w:tcPr>
          <w:p w14:paraId="4067BFD1"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-0.2055</w:t>
            </w:r>
          </w:p>
        </w:tc>
      </w:tr>
      <w:tr w:rsidR="00D8538D" w:rsidRPr="0017616D" w14:paraId="42C9B407"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455" w:type="pct"/>
            <w:hideMark/>
          </w:tcPr>
          <w:p w14:paraId="33DEBD91" w14:textId="77777777" w:rsidR="00D8538D" w:rsidRPr="0017616D" w:rsidRDefault="00D8538D" w:rsidP="004C4BAC">
            <w:pPr>
              <w:jc w:val="center"/>
              <w:rPr>
                <w:rFonts w:asciiTheme="majorBidi" w:hAnsiTheme="majorBidi" w:cstheme="majorBidi"/>
                <w:color w:val="1F1F1F"/>
              </w:rPr>
            </w:pPr>
            <w:r w:rsidRPr="0017616D">
              <w:rPr>
                <w:rFonts w:asciiTheme="majorBidi" w:hAnsiTheme="majorBidi" w:cstheme="majorBidi"/>
                <w:color w:val="1F1F1F"/>
              </w:rPr>
              <w:t>Kurtosis</w:t>
            </w:r>
          </w:p>
        </w:tc>
        <w:tc>
          <w:tcPr>
            <w:tcW w:w="2545" w:type="pct"/>
            <w:hideMark/>
          </w:tcPr>
          <w:p w14:paraId="031B20E5"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2.5091</w:t>
            </w:r>
          </w:p>
        </w:tc>
      </w:tr>
    </w:tbl>
    <w:p w14:paraId="4F0C4B4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Jarque-Bera (JB) statistic is 0.5977 with a corresponding p-value of 0.7417. Since the p-value is significantly greater than the 0.05 threshold, we fail to reject the null hypothesis that the residuals are normally distributed. Furthermore, the Skewness of -0.20 (near zero) and Kurtosis of 2.51 (near the ideal value of 3) indicate that the distribution is symmetric and has an appropriate </w:t>
      </w:r>
      <w:r w:rsidRPr="0017616D">
        <w:rPr>
          <w:rFonts w:asciiTheme="majorBidi" w:hAnsiTheme="majorBidi" w:cstheme="majorBidi"/>
          <w:i/>
          <w:iCs/>
        </w:rPr>
        <w:t>peakedness</w:t>
      </w:r>
      <w:r w:rsidRPr="0017616D">
        <w:rPr>
          <w:rFonts w:asciiTheme="majorBidi" w:hAnsiTheme="majorBidi" w:cstheme="majorBidi"/>
        </w:rPr>
        <w:t xml:space="preserve">, further confirming the normality of the data. It means that the conclusions drawn about the significant impact of Inflation and Personal Income Tax (PIT) are mathematically sound. Despite the structural shocks of 2005 and the recent devaluations, the model has filtered out the </w:t>
      </w:r>
      <w:r w:rsidRPr="0017616D">
        <w:rPr>
          <w:rFonts w:asciiTheme="majorBidi" w:hAnsiTheme="majorBidi" w:cstheme="majorBidi"/>
          <w:i/>
          <w:iCs/>
        </w:rPr>
        <w:t>noise</w:t>
      </w:r>
      <w:r w:rsidRPr="0017616D">
        <w:rPr>
          <w:rFonts w:asciiTheme="majorBidi" w:hAnsiTheme="majorBidi" w:cstheme="majorBidi"/>
        </w:rPr>
        <w:t xml:space="preserve"> effectively, leaving behind clean, normally distributed residuals.</w:t>
      </w:r>
    </w:p>
    <w:p w14:paraId="25B0F8BA" w14:textId="77777777" w:rsidR="00D8538D" w:rsidRPr="0017616D" w:rsidRDefault="00D8538D" w:rsidP="00D8538D">
      <w:pPr>
        <w:spacing w:before="240" w:after="240"/>
        <w:ind w:left="360" w:firstLine="36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4.11</w:t>
      </w:r>
      <w:r w:rsidRPr="0017616D">
        <w:rPr>
          <w:rFonts w:asciiTheme="majorBidi" w:hAnsiTheme="majorBidi" w:cstheme="majorBidi"/>
          <w:b/>
          <w:bCs/>
        </w:rPr>
        <w:t>: Correlation Matrix of the Variables</w:t>
      </w:r>
    </w:p>
    <w:tbl>
      <w:tblPr>
        <w:tblStyle w:val="PlainTable2"/>
        <w:tblW w:w="4640" w:type="pct"/>
        <w:tblInd w:w="720" w:type="dxa"/>
        <w:tblLook w:val="04A0" w:firstRow="1" w:lastRow="0" w:firstColumn="1" w:lastColumn="0" w:noHBand="0" w:noVBand="1"/>
      </w:tblPr>
      <w:tblGrid>
        <w:gridCol w:w="1395"/>
        <w:gridCol w:w="999"/>
        <w:gridCol w:w="995"/>
        <w:gridCol w:w="1423"/>
        <w:gridCol w:w="1550"/>
        <w:gridCol w:w="1391"/>
        <w:gridCol w:w="933"/>
      </w:tblGrid>
      <w:tr w:rsidR="00D8538D" w:rsidRPr="00037DDF" w14:paraId="46B4002A" w14:textId="77777777" w:rsidTr="004C4BAC">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1142BCCF"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Variable</w:t>
            </w:r>
          </w:p>
        </w:tc>
        <w:tc>
          <w:tcPr>
            <w:tcW w:w="575" w:type="pct"/>
            <w:hideMark/>
          </w:tcPr>
          <w:p w14:paraId="4851FE61"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GDP</w:t>
            </w:r>
          </w:p>
        </w:tc>
        <w:tc>
          <w:tcPr>
            <w:tcW w:w="573" w:type="pct"/>
            <w:hideMark/>
          </w:tcPr>
          <w:p w14:paraId="0C98BD63"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GINI</w:t>
            </w:r>
          </w:p>
        </w:tc>
        <w:tc>
          <w:tcPr>
            <w:tcW w:w="819" w:type="pct"/>
            <w:hideMark/>
          </w:tcPr>
          <w:p w14:paraId="5AA632E4"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HEALTH</w:t>
            </w:r>
          </w:p>
        </w:tc>
        <w:tc>
          <w:tcPr>
            <w:tcW w:w="892" w:type="pct"/>
            <w:hideMark/>
          </w:tcPr>
          <w:p w14:paraId="34FB29F3"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HOUSING</w:t>
            </w:r>
          </w:p>
        </w:tc>
        <w:tc>
          <w:tcPr>
            <w:tcW w:w="801" w:type="pct"/>
            <w:hideMark/>
          </w:tcPr>
          <w:p w14:paraId="22850FF1"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INFLATION</w:t>
            </w:r>
          </w:p>
        </w:tc>
        <w:tc>
          <w:tcPr>
            <w:tcW w:w="537" w:type="pct"/>
            <w:hideMark/>
          </w:tcPr>
          <w:p w14:paraId="65C16106" w14:textId="77777777" w:rsidR="00D8538D" w:rsidRPr="00037DDF"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PIT</w:t>
            </w:r>
          </w:p>
        </w:tc>
      </w:tr>
      <w:tr w:rsidR="00D8538D" w:rsidRPr="00037DDF" w14:paraId="34DC8040"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2773510"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GDP</w:t>
            </w:r>
          </w:p>
        </w:tc>
        <w:tc>
          <w:tcPr>
            <w:tcW w:w="575" w:type="pct"/>
            <w:hideMark/>
          </w:tcPr>
          <w:p w14:paraId="323B463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573" w:type="pct"/>
            <w:hideMark/>
          </w:tcPr>
          <w:p w14:paraId="27013D38"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-0.4516</w:t>
            </w:r>
          </w:p>
        </w:tc>
        <w:tc>
          <w:tcPr>
            <w:tcW w:w="819" w:type="pct"/>
            <w:hideMark/>
          </w:tcPr>
          <w:p w14:paraId="75964F4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0.2528</w:t>
            </w:r>
          </w:p>
        </w:tc>
        <w:tc>
          <w:tcPr>
            <w:tcW w:w="892" w:type="pct"/>
            <w:hideMark/>
          </w:tcPr>
          <w:p w14:paraId="226C510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0.877</w:t>
            </w:r>
          </w:p>
        </w:tc>
        <w:tc>
          <w:tcPr>
            <w:tcW w:w="801" w:type="pct"/>
            <w:hideMark/>
          </w:tcPr>
          <w:p w14:paraId="306C50BB"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-0.3939</w:t>
            </w:r>
          </w:p>
        </w:tc>
        <w:tc>
          <w:tcPr>
            <w:tcW w:w="537" w:type="pct"/>
            <w:hideMark/>
          </w:tcPr>
          <w:p w14:paraId="4661E6B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0.3938</w:t>
            </w:r>
          </w:p>
        </w:tc>
      </w:tr>
      <w:tr w:rsidR="00D8538D" w:rsidRPr="00037DDF" w14:paraId="776C52FA"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A30F091"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Gini</w:t>
            </w:r>
          </w:p>
        </w:tc>
        <w:tc>
          <w:tcPr>
            <w:tcW w:w="575" w:type="pct"/>
            <w:hideMark/>
          </w:tcPr>
          <w:p w14:paraId="1289B1F0"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-0.4516</w:t>
            </w:r>
          </w:p>
        </w:tc>
        <w:tc>
          <w:tcPr>
            <w:tcW w:w="573" w:type="pct"/>
            <w:hideMark/>
          </w:tcPr>
          <w:p w14:paraId="477BEDB3"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19" w:type="pct"/>
            <w:hideMark/>
          </w:tcPr>
          <w:p w14:paraId="785AB7A0"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-0.3349</w:t>
            </w:r>
          </w:p>
        </w:tc>
        <w:tc>
          <w:tcPr>
            <w:tcW w:w="892" w:type="pct"/>
            <w:hideMark/>
          </w:tcPr>
          <w:p w14:paraId="4B437FE4"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-0.4023</w:t>
            </w:r>
          </w:p>
        </w:tc>
        <w:tc>
          <w:tcPr>
            <w:tcW w:w="801" w:type="pct"/>
            <w:hideMark/>
          </w:tcPr>
          <w:p w14:paraId="778E36F3"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0.5269</w:t>
            </w:r>
          </w:p>
        </w:tc>
        <w:tc>
          <w:tcPr>
            <w:tcW w:w="537" w:type="pct"/>
            <w:hideMark/>
          </w:tcPr>
          <w:p w14:paraId="25DF026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-0.3312</w:t>
            </w:r>
          </w:p>
        </w:tc>
      </w:tr>
      <w:tr w:rsidR="00D8538D" w:rsidRPr="00037DDF" w14:paraId="03EF1A49"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11B8430D"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Health</w:t>
            </w:r>
          </w:p>
        </w:tc>
        <w:tc>
          <w:tcPr>
            <w:tcW w:w="575" w:type="pct"/>
            <w:hideMark/>
          </w:tcPr>
          <w:p w14:paraId="64F0F182"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0.2528</w:t>
            </w:r>
          </w:p>
        </w:tc>
        <w:tc>
          <w:tcPr>
            <w:tcW w:w="573" w:type="pct"/>
            <w:hideMark/>
          </w:tcPr>
          <w:p w14:paraId="0A6DF36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-0.3349</w:t>
            </w:r>
          </w:p>
        </w:tc>
        <w:tc>
          <w:tcPr>
            <w:tcW w:w="819" w:type="pct"/>
            <w:hideMark/>
          </w:tcPr>
          <w:p w14:paraId="371E79F9"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92" w:type="pct"/>
            <w:hideMark/>
          </w:tcPr>
          <w:p w14:paraId="273A25F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0.2164</w:t>
            </w:r>
          </w:p>
        </w:tc>
        <w:tc>
          <w:tcPr>
            <w:tcW w:w="801" w:type="pct"/>
            <w:hideMark/>
          </w:tcPr>
          <w:p w14:paraId="7CCF4CC5"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-0.2464</w:t>
            </w:r>
          </w:p>
        </w:tc>
        <w:tc>
          <w:tcPr>
            <w:tcW w:w="537" w:type="pct"/>
            <w:hideMark/>
          </w:tcPr>
          <w:p w14:paraId="37C10BD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0.3639</w:t>
            </w:r>
          </w:p>
        </w:tc>
      </w:tr>
      <w:tr w:rsidR="00D8538D" w:rsidRPr="00037DDF" w14:paraId="3A6561F4"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6D00F55"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Housing</w:t>
            </w:r>
          </w:p>
        </w:tc>
        <w:tc>
          <w:tcPr>
            <w:tcW w:w="575" w:type="pct"/>
            <w:hideMark/>
          </w:tcPr>
          <w:p w14:paraId="76E8D4D1"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0.877</w:t>
            </w:r>
          </w:p>
        </w:tc>
        <w:tc>
          <w:tcPr>
            <w:tcW w:w="573" w:type="pct"/>
            <w:hideMark/>
          </w:tcPr>
          <w:p w14:paraId="5D3944D1"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-0.4023</w:t>
            </w:r>
          </w:p>
        </w:tc>
        <w:tc>
          <w:tcPr>
            <w:tcW w:w="819" w:type="pct"/>
            <w:hideMark/>
          </w:tcPr>
          <w:p w14:paraId="7911FF88"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0.2164</w:t>
            </w:r>
          </w:p>
        </w:tc>
        <w:tc>
          <w:tcPr>
            <w:tcW w:w="892" w:type="pct"/>
            <w:hideMark/>
          </w:tcPr>
          <w:p w14:paraId="4284FD0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801" w:type="pct"/>
            <w:hideMark/>
          </w:tcPr>
          <w:p w14:paraId="02EC538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-0.2023</w:t>
            </w:r>
          </w:p>
        </w:tc>
        <w:tc>
          <w:tcPr>
            <w:tcW w:w="537" w:type="pct"/>
            <w:hideMark/>
          </w:tcPr>
          <w:p w14:paraId="3F4E5025"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0.1903</w:t>
            </w:r>
          </w:p>
        </w:tc>
      </w:tr>
      <w:tr w:rsidR="00D8538D" w:rsidRPr="00037DDF" w14:paraId="25497827" w14:textId="77777777" w:rsidTr="004C4BAC">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5E6B9532"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Inflation</w:t>
            </w:r>
          </w:p>
        </w:tc>
        <w:tc>
          <w:tcPr>
            <w:tcW w:w="575" w:type="pct"/>
            <w:hideMark/>
          </w:tcPr>
          <w:p w14:paraId="60478AE9"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-0.3939</w:t>
            </w:r>
          </w:p>
        </w:tc>
        <w:tc>
          <w:tcPr>
            <w:tcW w:w="573" w:type="pct"/>
            <w:hideMark/>
          </w:tcPr>
          <w:p w14:paraId="33A8EE21"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0.5269</w:t>
            </w:r>
          </w:p>
        </w:tc>
        <w:tc>
          <w:tcPr>
            <w:tcW w:w="819" w:type="pct"/>
            <w:hideMark/>
          </w:tcPr>
          <w:p w14:paraId="72C42786"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-0.2464</w:t>
            </w:r>
          </w:p>
        </w:tc>
        <w:tc>
          <w:tcPr>
            <w:tcW w:w="892" w:type="pct"/>
            <w:hideMark/>
          </w:tcPr>
          <w:p w14:paraId="6A2D4114"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-0.2023</w:t>
            </w:r>
          </w:p>
        </w:tc>
        <w:tc>
          <w:tcPr>
            <w:tcW w:w="801" w:type="pct"/>
            <w:hideMark/>
          </w:tcPr>
          <w:p w14:paraId="652690C7"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c>
          <w:tcPr>
            <w:tcW w:w="537" w:type="pct"/>
            <w:hideMark/>
          </w:tcPr>
          <w:p w14:paraId="138D0D72" w14:textId="77777777" w:rsidR="00D8538D" w:rsidRPr="00037DDF"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w:t>
            </w:r>
          </w:p>
        </w:tc>
      </w:tr>
      <w:tr w:rsidR="00D8538D" w:rsidRPr="00037DDF" w14:paraId="4BF52319" w14:textId="77777777" w:rsidTr="004C4BAC">
        <w:trPr>
          <w:trHeight w:val="294"/>
        </w:trPr>
        <w:tc>
          <w:tcPr>
            <w:cnfStyle w:val="001000000000" w:firstRow="0" w:lastRow="0" w:firstColumn="1" w:lastColumn="0" w:oddVBand="0" w:evenVBand="0" w:oddHBand="0" w:evenHBand="0" w:firstRowFirstColumn="0" w:firstRowLastColumn="0" w:lastRowFirstColumn="0" w:lastRowLastColumn="0"/>
            <w:tcW w:w="803" w:type="pct"/>
            <w:hideMark/>
          </w:tcPr>
          <w:p w14:paraId="0E932A51" w14:textId="77777777" w:rsidR="00D8538D" w:rsidRPr="00037DDF" w:rsidRDefault="00D8538D" w:rsidP="004C4BAC">
            <w:pPr>
              <w:jc w:val="center"/>
              <w:rPr>
                <w:rFonts w:asciiTheme="majorBidi" w:hAnsiTheme="majorBidi" w:cstheme="majorBidi"/>
                <w:color w:val="1F1F1F"/>
                <w:sz w:val="20"/>
                <w:szCs w:val="20"/>
              </w:rPr>
            </w:pPr>
            <w:r w:rsidRPr="00037DDF">
              <w:rPr>
                <w:rFonts w:asciiTheme="majorBidi" w:hAnsiTheme="majorBidi" w:cstheme="majorBidi"/>
                <w:color w:val="1F1F1F"/>
                <w:sz w:val="20"/>
                <w:szCs w:val="20"/>
              </w:rPr>
              <w:t>Pit</w:t>
            </w:r>
          </w:p>
        </w:tc>
        <w:tc>
          <w:tcPr>
            <w:tcW w:w="575" w:type="pct"/>
            <w:hideMark/>
          </w:tcPr>
          <w:p w14:paraId="3ECB171B"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0.3938</w:t>
            </w:r>
          </w:p>
        </w:tc>
        <w:tc>
          <w:tcPr>
            <w:tcW w:w="573" w:type="pct"/>
            <w:hideMark/>
          </w:tcPr>
          <w:p w14:paraId="10422AB2"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-0.3312</w:t>
            </w:r>
          </w:p>
        </w:tc>
        <w:tc>
          <w:tcPr>
            <w:tcW w:w="819" w:type="pct"/>
            <w:hideMark/>
          </w:tcPr>
          <w:p w14:paraId="556CB7DE"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0.3639</w:t>
            </w:r>
          </w:p>
        </w:tc>
        <w:tc>
          <w:tcPr>
            <w:tcW w:w="892" w:type="pct"/>
            <w:hideMark/>
          </w:tcPr>
          <w:p w14:paraId="46D6AB3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0.1903</w:t>
            </w:r>
          </w:p>
        </w:tc>
        <w:tc>
          <w:tcPr>
            <w:tcW w:w="801" w:type="pct"/>
            <w:hideMark/>
          </w:tcPr>
          <w:p w14:paraId="3474636F"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-0.451</w:t>
            </w:r>
          </w:p>
        </w:tc>
        <w:tc>
          <w:tcPr>
            <w:tcW w:w="537" w:type="pct"/>
            <w:hideMark/>
          </w:tcPr>
          <w:p w14:paraId="7017611A" w14:textId="77777777" w:rsidR="00D8538D" w:rsidRPr="00037DDF"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sz w:val="20"/>
                <w:szCs w:val="20"/>
              </w:rPr>
            </w:pPr>
            <w:r w:rsidRPr="00037DDF">
              <w:rPr>
                <w:rFonts w:asciiTheme="majorBidi" w:hAnsiTheme="majorBidi" w:cstheme="majorBidi"/>
                <w:color w:val="1F1F1F"/>
                <w:sz w:val="20"/>
                <w:szCs w:val="20"/>
              </w:rPr>
              <w:t>1</w:t>
            </w:r>
          </w:p>
        </w:tc>
      </w:tr>
    </w:tbl>
    <w:p w14:paraId="16504B47"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While there is a strong positive correlation between GDP and Housing (0.877), the remaining correlations fall well below the critical 0.80 threshold. This confirms that your variables are distinct enough to be used together in a single regression model without suffering from significant multicollinearity. Although, GDP and Housing show a high correlation (0.877), they are not both used as independent variables in the ARDL growth model, thus, ensuring the integrity of the coefficients.</w:t>
      </w:r>
    </w:p>
    <w:p w14:paraId="2164AA6D"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There is a moderate positive correlation between Personal Income Tax (PIT) and GDP (0.3938). This supports the long-run ARDL finding that progressive taxation is positively associated with economic growth in Nigeria. Furthermore, PIT shows a negative correlation with Inflation (-0.4510), suggesting that higher direct tax collection may assist in reducing inflationary pressures, and thereby contributing to macroeconomic stability.</w:t>
      </w:r>
      <w:r>
        <w:rPr>
          <w:rFonts w:asciiTheme="majorBidi" w:hAnsiTheme="majorBidi" w:cstheme="majorBidi"/>
        </w:rPr>
        <w:t xml:space="preserve"> More importantly, Personal Income Tax (PIT) is positively correlation to Health and Housing. This shows that one percent (1%) increment in PIT, will bring about 0.36% in Health expenditure and 0.19 in Housing. </w:t>
      </w:r>
    </w:p>
    <w:p w14:paraId="2DEAE3F3"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 result reveals a significant positive correlation between the Gini Coefficient and Inflation (0.5269). This statistically reinforces that inflation is a major driver of income inequality in Nigeria as reported above. Conversely, GINI is negatively correlated with GDP (-0.4516), suggesting that as inequality rises, general economic performance tends to suffer, this forms a key justification for the redistribution policies analyzed in this study.</w:t>
      </w:r>
    </w:p>
    <w:p w14:paraId="2737BEA4" w14:textId="77777777" w:rsidR="00D8538D" w:rsidRPr="0017616D" w:rsidRDefault="00D8538D" w:rsidP="00D8538D">
      <w:pPr>
        <w:tabs>
          <w:tab w:val="num" w:pos="1080"/>
        </w:tabs>
        <w:spacing w:before="120" w:after="120"/>
        <w:ind w:left="720"/>
        <w:jc w:val="both"/>
        <w:rPr>
          <w:rFonts w:asciiTheme="majorBidi" w:hAnsiTheme="majorBidi" w:cstheme="majorBidi"/>
        </w:rPr>
      </w:pPr>
      <w:r w:rsidRPr="0017616D">
        <w:rPr>
          <w:rFonts w:asciiTheme="majorBidi" w:hAnsiTheme="majorBidi" w:cstheme="majorBidi"/>
        </w:rPr>
        <w:t>The correlation between Health (0.2528), Housing (0.8770) and GDP is positive, as expected, however, the extremely high correlation for Housing suggests it is more of a luxury sector that grows when the economy grows, rather than an independent driver of that growth, which aligns with the Granger Causality results state above.</w:t>
      </w:r>
    </w:p>
    <w:p w14:paraId="2099597F" w14:textId="77777777" w:rsidR="00D8538D" w:rsidRPr="0017616D" w:rsidRDefault="00D8538D" w:rsidP="00D8538D">
      <w:pPr>
        <w:spacing w:before="240" w:after="240"/>
        <w:ind w:left="360" w:firstLine="360"/>
        <w:jc w:val="both"/>
        <w:rPr>
          <w:rFonts w:asciiTheme="majorBidi" w:hAnsiTheme="majorBidi" w:cstheme="majorBidi"/>
          <w:b/>
          <w:bCs/>
        </w:rPr>
      </w:pPr>
      <w:r w:rsidRPr="0017616D">
        <w:rPr>
          <w:rFonts w:asciiTheme="majorBidi" w:hAnsiTheme="majorBidi" w:cstheme="majorBidi"/>
          <w:b/>
          <w:bCs/>
        </w:rPr>
        <w:t xml:space="preserve">Table </w:t>
      </w:r>
      <w:r>
        <w:rPr>
          <w:rFonts w:asciiTheme="majorBidi" w:hAnsiTheme="majorBidi" w:cstheme="majorBidi"/>
          <w:b/>
          <w:bCs/>
        </w:rPr>
        <w:t>4.12</w:t>
      </w:r>
      <w:r w:rsidRPr="0017616D">
        <w:rPr>
          <w:rFonts w:asciiTheme="majorBidi" w:hAnsiTheme="majorBidi" w:cstheme="majorBidi"/>
          <w:b/>
          <w:bCs/>
        </w:rPr>
        <w:t>: Ramsey RESET Test for Functional Form</w:t>
      </w:r>
    </w:p>
    <w:p w14:paraId="360B0E4A"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 xml:space="preserve">The Ramsey RESET (Regression Specification Error Test) was conducted to verify that the functional form of the model is correctly specified and that there are no omitted variables that might bias the results. </w:t>
      </w:r>
    </w:p>
    <w:tbl>
      <w:tblPr>
        <w:tblStyle w:val="PlainTable5"/>
        <w:tblW w:w="8870" w:type="dxa"/>
        <w:tblInd w:w="828" w:type="dxa"/>
        <w:tblLook w:val="04A0" w:firstRow="1" w:lastRow="0" w:firstColumn="1" w:lastColumn="0" w:noHBand="0" w:noVBand="1"/>
      </w:tblPr>
      <w:tblGrid>
        <w:gridCol w:w="2795"/>
        <w:gridCol w:w="1532"/>
        <w:gridCol w:w="2473"/>
        <w:gridCol w:w="2070"/>
      </w:tblGrid>
      <w:tr w:rsidR="00D8538D" w:rsidRPr="0017616D" w14:paraId="69218840" w14:textId="77777777" w:rsidTr="004C4BA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795" w:type="dxa"/>
            <w:hideMark/>
          </w:tcPr>
          <w:p w14:paraId="61300CB7"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Test Statistic</w:t>
            </w:r>
          </w:p>
        </w:tc>
        <w:tc>
          <w:tcPr>
            <w:tcW w:w="1532" w:type="dxa"/>
            <w:hideMark/>
          </w:tcPr>
          <w:p w14:paraId="0B64AE89"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Value</w:t>
            </w:r>
          </w:p>
        </w:tc>
        <w:tc>
          <w:tcPr>
            <w:tcW w:w="2473" w:type="dxa"/>
            <w:hideMark/>
          </w:tcPr>
          <w:p w14:paraId="30888062"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Degrees of Freedom</w:t>
            </w:r>
          </w:p>
        </w:tc>
        <w:tc>
          <w:tcPr>
            <w:tcW w:w="2070" w:type="dxa"/>
            <w:hideMark/>
          </w:tcPr>
          <w:p w14:paraId="7FB1F56E" w14:textId="77777777" w:rsidR="00D8538D" w:rsidRPr="0017616D" w:rsidRDefault="00D8538D" w:rsidP="004C4BAC">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F1F1F"/>
              </w:rPr>
            </w:pPr>
            <w:r w:rsidRPr="0017616D">
              <w:rPr>
                <w:rFonts w:asciiTheme="majorBidi" w:hAnsiTheme="majorBidi" w:cstheme="majorBidi"/>
                <w:b/>
                <w:bCs/>
                <w:color w:val="1F1F1F"/>
              </w:rPr>
              <w:t>Probability</w:t>
            </w:r>
          </w:p>
        </w:tc>
      </w:tr>
      <w:tr w:rsidR="00D8538D" w:rsidRPr="0017616D" w14:paraId="67933268"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4674F2DD"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t-statistic</w:t>
            </w:r>
          </w:p>
        </w:tc>
        <w:tc>
          <w:tcPr>
            <w:tcW w:w="1532" w:type="dxa"/>
            <w:hideMark/>
          </w:tcPr>
          <w:p w14:paraId="0F95EC8B"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1.2475</w:t>
            </w:r>
          </w:p>
        </w:tc>
        <w:tc>
          <w:tcPr>
            <w:tcW w:w="2473" w:type="dxa"/>
            <w:hideMark/>
          </w:tcPr>
          <w:p w14:paraId="05A04553"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22</w:t>
            </w:r>
          </w:p>
        </w:tc>
        <w:tc>
          <w:tcPr>
            <w:tcW w:w="2070" w:type="dxa"/>
            <w:hideMark/>
          </w:tcPr>
          <w:p w14:paraId="709036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0.2253</w:t>
            </w:r>
          </w:p>
        </w:tc>
      </w:tr>
      <w:tr w:rsidR="00D8538D" w:rsidRPr="0017616D" w14:paraId="704D77AF" w14:textId="77777777" w:rsidTr="004C4BAC">
        <w:trPr>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1501BB31"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F-statistic</w:t>
            </w:r>
          </w:p>
        </w:tc>
        <w:tc>
          <w:tcPr>
            <w:tcW w:w="1532" w:type="dxa"/>
            <w:hideMark/>
          </w:tcPr>
          <w:p w14:paraId="7E77007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1.5563</w:t>
            </w:r>
          </w:p>
        </w:tc>
        <w:tc>
          <w:tcPr>
            <w:tcW w:w="2473" w:type="dxa"/>
            <w:hideMark/>
          </w:tcPr>
          <w:p w14:paraId="365ADCBB"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(1, 22)</w:t>
            </w:r>
          </w:p>
        </w:tc>
        <w:tc>
          <w:tcPr>
            <w:tcW w:w="2070" w:type="dxa"/>
            <w:hideMark/>
          </w:tcPr>
          <w:p w14:paraId="56D2CE9E" w14:textId="77777777" w:rsidR="00D8538D" w:rsidRPr="0017616D" w:rsidRDefault="00D8538D" w:rsidP="004C4BAC">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0.2253</w:t>
            </w:r>
          </w:p>
        </w:tc>
      </w:tr>
      <w:tr w:rsidR="00D8538D" w:rsidRPr="0017616D" w14:paraId="5A3E6465" w14:textId="77777777" w:rsidTr="004C4BA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95" w:type="dxa"/>
            <w:hideMark/>
          </w:tcPr>
          <w:p w14:paraId="66F5712E" w14:textId="77777777" w:rsidR="00D8538D" w:rsidRPr="0017616D" w:rsidRDefault="00D8538D" w:rsidP="004C4BAC">
            <w:pPr>
              <w:jc w:val="left"/>
              <w:rPr>
                <w:rFonts w:asciiTheme="majorBidi" w:hAnsiTheme="majorBidi" w:cstheme="majorBidi"/>
                <w:b/>
                <w:bCs/>
                <w:color w:val="1F1F1F"/>
              </w:rPr>
            </w:pPr>
            <w:r w:rsidRPr="0017616D">
              <w:rPr>
                <w:rFonts w:asciiTheme="majorBidi" w:hAnsiTheme="majorBidi" w:cstheme="majorBidi"/>
                <w:b/>
                <w:bCs/>
                <w:color w:val="1F1F1F"/>
              </w:rPr>
              <w:t>Likelihood Ratio</w:t>
            </w:r>
          </w:p>
        </w:tc>
        <w:tc>
          <w:tcPr>
            <w:tcW w:w="1532" w:type="dxa"/>
            <w:hideMark/>
          </w:tcPr>
          <w:p w14:paraId="7103CE3F"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2.3923</w:t>
            </w:r>
          </w:p>
        </w:tc>
        <w:tc>
          <w:tcPr>
            <w:tcW w:w="2473" w:type="dxa"/>
            <w:hideMark/>
          </w:tcPr>
          <w:p w14:paraId="3A0C2D3D"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1</w:t>
            </w:r>
          </w:p>
        </w:tc>
        <w:tc>
          <w:tcPr>
            <w:tcW w:w="2070" w:type="dxa"/>
            <w:hideMark/>
          </w:tcPr>
          <w:p w14:paraId="00305BCC" w14:textId="77777777" w:rsidR="00D8538D" w:rsidRPr="0017616D" w:rsidRDefault="00D8538D" w:rsidP="004C4BAC">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F1F1F"/>
              </w:rPr>
            </w:pPr>
            <w:r w:rsidRPr="0017616D">
              <w:rPr>
                <w:rFonts w:asciiTheme="majorBidi" w:hAnsiTheme="majorBidi" w:cstheme="majorBidi"/>
                <w:color w:val="1F1F1F"/>
              </w:rPr>
              <w:t>0.1219</w:t>
            </w:r>
          </w:p>
        </w:tc>
      </w:tr>
    </w:tbl>
    <w:p w14:paraId="269E54E1" w14:textId="77777777" w:rsidR="00D8538D" w:rsidRPr="0017616D" w:rsidRDefault="00D8538D" w:rsidP="00D8538D">
      <w:pPr>
        <w:ind w:left="360" w:firstLine="360"/>
        <w:jc w:val="both"/>
        <w:rPr>
          <w:rFonts w:asciiTheme="majorBidi" w:hAnsiTheme="majorBidi" w:cstheme="majorBidi"/>
        </w:rPr>
      </w:pPr>
    </w:p>
    <w:p w14:paraId="232B09F7" w14:textId="77777777" w:rsidR="00D8538D" w:rsidRPr="0017616D" w:rsidRDefault="00D8538D" w:rsidP="00D8538D">
      <w:pPr>
        <w:ind w:left="720"/>
        <w:jc w:val="both"/>
        <w:rPr>
          <w:rFonts w:asciiTheme="majorBidi" w:hAnsiTheme="majorBidi" w:cstheme="majorBidi"/>
        </w:rPr>
      </w:pPr>
      <w:r w:rsidRPr="0017616D">
        <w:rPr>
          <w:rFonts w:asciiTheme="majorBidi" w:hAnsiTheme="majorBidi" w:cstheme="majorBidi"/>
        </w:rPr>
        <w:t>To confirm the robustness of the model's functional form, the Ramsey RESET test was employed. The test returned an F-statistic p-value of 0.2253, confirming that the model is correctly specified and free from omitted variable bias at the 5% level of significance. Along with the absence of serial correlation and the normality of residuals, this final diagnostic confirms that the ARDL framework used is a highly reliable instrument for analyzing Nigeria's income redistribution and economic stability.</w:t>
      </w:r>
    </w:p>
    <w:p w14:paraId="452A147C" w14:textId="77777777" w:rsidR="00D8538D" w:rsidRPr="0017616D" w:rsidRDefault="00D8538D" w:rsidP="00D8538D">
      <w:pPr>
        <w:ind w:left="360" w:firstLine="360"/>
        <w:jc w:val="both"/>
        <w:rPr>
          <w:rFonts w:asciiTheme="majorBidi" w:hAnsiTheme="majorBidi" w:cstheme="majorBidi"/>
        </w:rPr>
      </w:pPr>
      <w:r w:rsidRPr="0017616D">
        <w:rPr>
          <w:rFonts w:asciiTheme="majorBidi" w:hAnsiTheme="majorBidi" w:cstheme="majorBidi"/>
        </w:rPr>
        <w:t>Granger causality test</w:t>
      </w:r>
    </w:p>
    <w:p w14:paraId="68A7B80F" w14:textId="77777777" w:rsidR="00D8538D" w:rsidRPr="0017616D" w:rsidRDefault="00D8538D" w:rsidP="00D8538D">
      <w:pPr>
        <w:jc w:val="both"/>
        <w:rPr>
          <w:rFonts w:asciiTheme="majorBidi" w:hAnsiTheme="majorBidi" w:cstheme="majorBidi"/>
          <w:b/>
          <w:bCs/>
        </w:rPr>
      </w:pPr>
      <w:r w:rsidRPr="0017616D">
        <w:rPr>
          <w:rFonts w:asciiTheme="majorBidi" w:hAnsiTheme="majorBidi" w:cstheme="majorBidi"/>
          <w:noProof/>
        </w:rPr>
        <w:drawing>
          <wp:anchor distT="0" distB="0" distL="114300" distR="114300" simplePos="0" relativeHeight="251660288" behindDoc="0" locked="0" layoutInCell="1" allowOverlap="1" wp14:anchorId="59CAB66A" wp14:editId="7E10F7A4">
            <wp:simplePos x="0" y="0"/>
            <wp:positionH relativeFrom="margin">
              <wp:align>right</wp:align>
            </wp:positionH>
            <wp:positionV relativeFrom="paragraph">
              <wp:posOffset>127000</wp:posOffset>
            </wp:positionV>
            <wp:extent cx="5486400" cy="2362200"/>
            <wp:effectExtent l="0" t="0" r="0" b="0"/>
            <wp:wrapThrough wrapText="bothSides">
              <wp:wrapPolygon edited="0">
                <wp:start x="75" y="0"/>
                <wp:lineTo x="75" y="4181"/>
                <wp:lineTo x="675" y="5923"/>
                <wp:lineTo x="975" y="5923"/>
                <wp:lineTo x="525" y="7316"/>
                <wp:lineTo x="525" y="7839"/>
                <wp:lineTo x="975" y="8710"/>
                <wp:lineTo x="300" y="9929"/>
                <wp:lineTo x="975" y="11497"/>
                <wp:lineTo x="0" y="12019"/>
                <wp:lineTo x="0" y="17942"/>
                <wp:lineTo x="6525" y="19858"/>
                <wp:lineTo x="6525" y="21426"/>
                <wp:lineTo x="15900" y="21426"/>
                <wp:lineTo x="15900" y="19858"/>
                <wp:lineTo x="16800" y="19858"/>
                <wp:lineTo x="21525" y="17594"/>
                <wp:lineTo x="21525" y="697"/>
                <wp:lineTo x="975" y="0"/>
                <wp:lineTo x="75" y="0"/>
              </wp:wrapPolygon>
            </wp:wrapThrough>
            <wp:docPr id="203969708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362200"/>
                    </a:xfrm>
                    <a:prstGeom prst="rect">
                      <a:avLst/>
                    </a:prstGeom>
                    <a:noFill/>
                    <a:ln>
                      <a:noFill/>
                    </a:ln>
                  </pic:spPr>
                </pic:pic>
              </a:graphicData>
            </a:graphic>
            <wp14:sizeRelV relativeFrom="margin">
              <wp14:pctHeight>0</wp14:pctHeight>
            </wp14:sizeRelV>
          </wp:anchor>
        </w:drawing>
      </w:r>
    </w:p>
    <w:p w14:paraId="054D1269" w14:textId="77777777" w:rsidR="00D8538D" w:rsidRPr="0017616D" w:rsidRDefault="00D8538D" w:rsidP="00D8538D">
      <w:pPr>
        <w:jc w:val="both"/>
        <w:rPr>
          <w:rFonts w:asciiTheme="majorBidi" w:hAnsiTheme="majorBidi" w:cstheme="majorBidi"/>
          <w:b/>
          <w:bCs/>
        </w:rPr>
      </w:pPr>
    </w:p>
    <w:p w14:paraId="78C7FC64" w14:textId="77777777" w:rsidR="00D8538D" w:rsidRPr="0017616D" w:rsidRDefault="00D8538D" w:rsidP="00D8538D">
      <w:pPr>
        <w:jc w:val="both"/>
        <w:rPr>
          <w:rFonts w:asciiTheme="majorBidi" w:hAnsiTheme="majorBidi" w:cstheme="majorBidi"/>
          <w:b/>
          <w:bCs/>
        </w:rPr>
      </w:pPr>
    </w:p>
    <w:p w14:paraId="2B2A75A6" w14:textId="77777777" w:rsidR="00D8538D" w:rsidRPr="0017616D" w:rsidRDefault="00D8538D" w:rsidP="00D8538D">
      <w:pPr>
        <w:jc w:val="both"/>
        <w:rPr>
          <w:rFonts w:asciiTheme="majorBidi" w:hAnsiTheme="majorBidi" w:cstheme="majorBidi"/>
          <w:b/>
          <w:bCs/>
        </w:rPr>
      </w:pPr>
    </w:p>
    <w:p w14:paraId="16F03BBF" w14:textId="77777777" w:rsidR="00D8538D" w:rsidRPr="0017616D" w:rsidRDefault="00D8538D" w:rsidP="00D8538D">
      <w:pPr>
        <w:jc w:val="both"/>
        <w:rPr>
          <w:rFonts w:asciiTheme="majorBidi" w:hAnsiTheme="majorBidi" w:cstheme="majorBidi"/>
          <w:b/>
          <w:bCs/>
        </w:rPr>
      </w:pPr>
    </w:p>
    <w:p w14:paraId="1930CB15" w14:textId="77777777" w:rsidR="00D8538D" w:rsidRPr="0017616D" w:rsidRDefault="00D8538D" w:rsidP="00D8538D">
      <w:pPr>
        <w:jc w:val="both"/>
        <w:rPr>
          <w:rFonts w:asciiTheme="majorBidi" w:hAnsiTheme="majorBidi" w:cstheme="majorBidi"/>
          <w:b/>
          <w:bCs/>
        </w:rPr>
      </w:pPr>
    </w:p>
    <w:p w14:paraId="7FEB9D0C" w14:textId="77777777" w:rsidR="00D8538D" w:rsidRPr="0017616D" w:rsidRDefault="00D8538D" w:rsidP="00D8538D">
      <w:pPr>
        <w:jc w:val="both"/>
        <w:rPr>
          <w:rFonts w:asciiTheme="majorBidi" w:hAnsiTheme="majorBidi" w:cstheme="majorBidi"/>
          <w:b/>
          <w:bCs/>
        </w:rPr>
      </w:pPr>
    </w:p>
    <w:p w14:paraId="0CF4CCF3" w14:textId="77777777" w:rsidR="00D8538D" w:rsidRPr="0017616D" w:rsidRDefault="00D8538D" w:rsidP="00D8538D">
      <w:pPr>
        <w:jc w:val="both"/>
        <w:rPr>
          <w:rFonts w:asciiTheme="majorBidi" w:hAnsiTheme="majorBidi" w:cstheme="majorBidi"/>
          <w:b/>
          <w:bCs/>
        </w:rPr>
      </w:pPr>
    </w:p>
    <w:p w14:paraId="266735DC" w14:textId="77777777" w:rsidR="00D8538D" w:rsidRPr="0017616D" w:rsidRDefault="00D8538D" w:rsidP="00D8538D">
      <w:pPr>
        <w:jc w:val="both"/>
        <w:rPr>
          <w:rFonts w:asciiTheme="majorBidi" w:hAnsiTheme="majorBidi" w:cstheme="majorBidi"/>
          <w:b/>
          <w:bCs/>
        </w:rPr>
      </w:pPr>
    </w:p>
    <w:p w14:paraId="6089F982" w14:textId="77777777" w:rsidR="00D8538D" w:rsidRPr="0017616D" w:rsidRDefault="00D8538D" w:rsidP="00D8538D">
      <w:pPr>
        <w:jc w:val="both"/>
        <w:rPr>
          <w:rFonts w:asciiTheme="majorBidi" w:hAnsiTheme="majorBidi" w:cstheme="majorBidi"/>
          <w:b/>
          <w:bCs/>
        </w:rPr>
      </w:pPr>
    </w:p>
    <w:p w14:paraId="2835E019" w14:textId="77777777" w:rsidR="00D8538D" w:rsidRPr="0017616D" w:rsidRDefault="00D8538D" w:rsidP="00D8538D">
      <w:pPr>
        <w:jc w:val="both"/>
        <w:rPr>
          <w:rFonts w:asciiTheme="majorBidi" w:hAnsiTheme="majorBidi" w:cstheme="majorBidi"/>
          <w:b/>
          <w:bCs/>
        </w:rPr>
      </w:pPr>
    </w:p>
    <w:p w14:paraId="35E2D9D4" w14:textId="77777777" w:rsidR="00D8538D" w:rsidRPr="0017616D" w:rsidRDefault="00D8538D" w:rsidP="00D8538D">
      <w:pPr>
        <w:jc w:val="both"/>
        <w:rPr>
          <w:rFonts w:asciiTheme="majorBidi" w:hAnsiTheme="majorBidi" w:cstheme="majorBidi"/>
          <w:b/>
          <w:bCs/>
        </w:rPr>
      </w:pPr>
    </w:p>
    <w:p w14:paraId="5ACB5D13" w14:textId="77777777" w:rsidR="00D8538D" w:rsidRPr="0017616D" w:rsidRDefault="00D8538D" w:rsidP="00D8538D">
      <w:pPr>
        <w:jc w:val="both"/>
        <w:rPr>
          <w:rFonts w:asciiTheme="majorBidi" w:hAnsiTheme="majorBidi" w:cstheme="majorBidi"/>
          <w:b/>
          <w:bCs/>
        </w:rPr>
      </w:pPr>
    </w:p>
    <w:p w14:paraId="17E27410" w14:textId="77777777" w:rsidR="00D8538D" w:rsidRPr="0017616D" w:rsidRDefault="00D8538D" w:rsidP="00D8538D">
      <w:pPr>
        <w:jc w:val="both"/>
        <w:rPr>
          <w:rFonts w:asciiTheme="majorBidi" w:hAnsiTheme="majorBidi" w:cstheme="majorBidi"/>
          <w:b/>
          <w:bCs/>
        </w:rPr>
      </w:pPr>
    </w:p>
    <w:p w14:paraId="658B593C" w14:textId="77777777" w:rsidR="00D8538D" w:rsidRPr="0017616D" w:rsidRDefault="00D8538D" w:rsidP="00D8538D">
      <w:pPr>
        <w:jc w:val="both"/>
        <w:rPr>
          <w:rFonts w:asciiTheme="majorBidi" w:hAnsiTheme="majorBidi" w:cstheme="majorBidi"/>
          <w:b/>
          <w:bCs/>
        </w:rPr>
      </w:pPr>
    </w:p>
    <w:p w14:paraId="0F91869E" w14:textId="77777777" w:rsidR="00D8538D" w:rsidRPr="0017616D" w:rsidRDefault="00D8538D" w:rsidP="00D8538D">
      <w:pPr>
        <w:ind w:left="720"/>
        <w:jc w:val="both"/>
        <w:rPr>
          <w:rFonts w:asciiTheme="majorBidi" w:hAnsiTheme="majorBidi" w:cstheme="majorBidi"/>
          <w:b/>
          <w:bCs/>
        </w:rPr>
      </w:pPr>
      <w:r w:rsidRPr="0017616D">
        <w:rPr>
          <w:rFonts w:asciiTheme="majorBidi" w:hAnsiTheme="majorBidi" w:cstheme="majorBidi"/>
          <w:b/>
          <w:bCs/>
        </w:rPr>
        <w:t>Figure 1: CUSUM Stability Test Result</w:t>
      </w:r>
    </w:p>
    <w:p w14:paraId="5CE61E28" w14:textId="77777777" w:rsidR="00D8538D" w:rsidRPr="0017616D" w:rsidRDefault="00D8538D" w:rsidP="00D8538D">
      <w:pPr>
        <w:ind w:left="720"/>
        <w:jc w:val="both"/>
        <w:rPr>
          <w:rFonts w:asciiTheme="majorBidi" w:hAnsiTheme="majorBidi" w:cstheme="majorBidi"/>
          <w:b/>
          <w:bCs/>
        </w:rPr>
      </w:pPr>
    </w:p>
    <w:p w14:paraId="031FDEAB" w14:textId="77777777" w:rsidR="00D8538D" w:rsidRDefault="00D8538D" w:rsidP="00D8538D">
      <w:pPr>
        <w:ind w:left="720"/>
        <w:jc w:val="both"/>
        <w:rPr>
          <w:rFonts w:asciiTheme="majorBidi" w:hAnsiTheme="majorBidi" w:cstheme="majorBidi"/>
        </w:rPr>
      </w:pPr>
      <w:r w:rsidRPr="0017616D">
        <w:rPr>
          <w:rFonts w:asciiTheme="majorBidi" w:hAnsiTheme="majorBidi" w:cstheme="majorBidi"/>
        </w:rPr>
        <w:t xml:space="preserve">Based on the </w:t>
      </w:r>
      <w:r>
        <w:rPr>
          <w:rFonts w:asciiTheme="majorBidi" w:hAnsiTheme="majorBidi" w:cstheme="majorBidi"/>
        </w:rPr>
        <w:t>figure 1</w:t>
      </w:r>
      <w:r w:rsidRPr="0017616D">
        <w:rPr>
          <w:rFonts w:asciiTheme="majorBidi" w:hAnsiTheme="majorBidi" w:cstheme="majorBidi"/>
        </w:rPr>
        <w:t xml:space="preserve">, the blue line represents the cumulative sum of recursive residuals, while the two red dotted lines represent the 5% significance boundaries. For most of the study period (from 2006 to approximately 2021), the blue line remains firmly within the critical boundaries. This indicates that the relationship between income redistribution and economic growth was structurally stable for over 15 years, providing a reliable basis for long-term economic modelling. However, 2022–2025 deviation signifies structural instability, the plot shows that starting around 2022, the blue line crosses the lower 5% significance boundary. </w:t>
      </w:r>
    </w:p>
    <w:p w14:paraId="78ADFC71" w14:textId="77777777" w:rsidR="00D8538D" w:rsidRPr="0017616D" w:rsidRDefault="00D8538D" w:rsidP="00D8538D">
      <w:pPr>
        <w:spacing w:before="120"/>
        <w:ind w:left="720"/>
        <w:jc w:val="both"/>
        <w:rPr>
          <w:rFonts w:asciiTheme="majorBidi" w:hAnsiTheme="majorBidi" w:cstheme="majorBidi"/>
        </w:rPr>
      </w:pPr>
      <w:r w:rsidRPr="0017616D">
        <w:rPr>
          <w:rFonts w:asciiTheme="majorBidi" w:hAnsiTheme="majorBidi" w:cstheme="majorBidi"/>
        </w:rPr>
        <w:t xml:space="preserve">It suggests that the </w:t>
      </w:r>
      <w:r w:rsidRPr="0017616D">
        <w:rPr>
          <w:rFonts w:asciiTheme="majorBidi" w:hAnsiTheme="majorBidi" w:cstheme="majorBidi"/>
          <w:i/>
          <w:iCs/>
        </w:rPr>
        <w:t>old</w:t>
      </w:r>
      <w:r w:rsidRPr="0017616D">
        <w:rPr>
          <w:rFonts w:asciiTheme="majorBidi" w:hAnsiTheme="majorBidi" w:cstheme="majorBidi"/>
        </w:rPr>
        <w:t xml:space="preserve"> economic relationships in Nigeria were disrupted by the significant macroeconomic shocks of the mid-2020s, such as the 2023 FX unification and removal of fuel subsidy. The model is highly stable for the historical analysis of the 1991–2021 period, meaning the results on the long-run benefits of Personal Income Tax (PIT) as major income redistribution tool and the negative impact of Inflation on economic stability are valid as presented. Meanwhile, the recent crossing of the boundary suggests that Nigeria’s economic </w:t>
      </w:r>
      <w:r w:rsidRPr="0017616D">
        <w:rPr>
          <w:rFonts w:asciiTheme="majorBidi" w:hAnsiTheme="majorBidi" w:cstheme="majorBidi"/>
          <w:i/>
          <w:iCs/>
        </w:rPr>
        <w:t>stability</w:t>
      </w:r>
      <w:r w:rsidRPr="0017616D">
        <w:rPr>
          <w:rFonts w:asciiTheme="majorBidi" w:hAnsiTheme="majorBidi" w:cstheme="majorBidi"/>
        </w:rPr>
        <w:t xml:space="preserve"> is currently under severe pressure. The redistribution mechanisms that worked in the past may need to be recalibrated to account for the current high-volatility environment in Nigeria.</w:t>
      </w:r>
    </w:p>
    <w:p w14:paraId="45BA6F58" w14:textId="77777777" w:rsidR="00D8538D" w:rsidRDefault="00D8538D" w:rsidP="00D8538D">
      <w:pPr>
        <w:rPr>
          <w:rFonts w:asciiTheme="majorBidi" w:hAnsiTheme="majorBidi" w:cstheme="majorBidi"/>
        </w:rPr>
      </w:pPr>
    </w:p>
    <w:p w14:paraId="7A97A103" w14:textId="77777777" w:rsidR="00D8538D" w:rsidRDefault="00D8538D" w:rsidP="00D8538D">
      <w:pPr>
        <w:rPr>
          <w:rFonts w:asciiTheme="majorBidi" w:hAnsiTheme="majorBidi" w:cstheme="majorBidi"/>
        </w:rPr>
      </w:pPr>
      <w:r w:rsidRPr="0017616D">
        <w:rPr>
          <w:rFonts w:asciiTheme="majorBidi" w:hAnsiTheme="majorBidi" w:cstheme="majorBidi"/>
          <w:noProof/>
        </w:rPr>
        <w:drawing>
          <wp:anchor distT="0" distB="0" distL="114300" distR="114300" simplePos="0" relativeHeight="251659264" behindDoc="0" locked="0" layoutInCell="1" allowOverlap="1" wp14:anchorId="2CD0C4CC" wp14:editId="601A87D2">
            <wp:simplePos x="0" y="0"/>
            <wp:positionH relativeFrom="margin">
              <wp:posOffset>388345</wp:posOffset>
            </wp:positionH>
            <wp:positionV relativeFrom="paragraph">
              <wp:posOffset>0</wp:posOffset>
            </wp:positionV>
            <wp:extent cx="5518150" cy="2292350"/>
            <wp:effectExtent l="0" t="0" r="6350" b="0"/>
            <wp:wrapThrough wrapText="bothSides">
              <wp:wrapPolygon edited="0">
                <wp:start x="75" y="0"/>
                <wp:lineTo x="75" y="718"/>
                <wp:lineTo x="1044" y="3231"/>
                <wp:lineTo x="149" y="3411"/>
                <wp:lineTo x="149" y="4129"/>
                <wp:lineTo x="1193" y="6103"/>
                <wp:lineTo x="149" y="6821"/>
                <wp:lineTo x="149" y="7539"/>
                <wp:lineTo x="1193" y="8975"/>
                <wp:lineTo x="149" y="10052"/>
                <wp:lineTo x="149" y="10591"/>
                <wp:lineTo x="1193" y="11847"/>
                <wp:lineTo x="149" y="13104"/>
                <wp:lineTo x="149" y="13822"/>
                <wp:lineTo x="1193" y="14719"/>
                <wp:lineTo x="0" y="16873"/>
                <wp:lineTo x="0" y="17412"/>
                <wp:lineTo x="1342" y="18130"/>
                <wp:lineTo x="4698" y="20463"/>
                <wp:lineTo x="5369" y="20463"/>
                <wp:lineTo x="5369" y="21361"/>
                <wp:lineTo x="17300" y="21361"/>
                <wp:lineTo x="17300" y="20463"/>
                <wp:lineTo x="17822" y="20463"/>
                <wp:lineTo x="20357" y="18130"/>
                <wp:lineTo x="21252" y="17591"/>
                <wp:lineTo x="21550" y="16873"/>
                <wp:lineTo x="21550" y="539"/>
                <wp:lineTo x="1193" y="0"/>
                <wp:lineTo x="75" y="0"/>
              </wp:wrapPolygon>
            </wp:wrapThrough>
            <wp:docPr id="18181817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8150" cy="2292350"/>
                    </a:xfrm>
                    <a:prstGeom prst="rect">
                      <a:avLst/>
                    </a:prstGeom>
                    <a:noFill/>
                    <a:ln>
                      <a:noFill/>
                    </a:ln>
                  </pic:spPr>
                </pic:pic>
              </a:graphicData>
            </a:graphic>
            <wp14:sizeRelV relativeFrom="margin">
              <wp14:pctHeight>0</wp14:pctHeight>
            </wp14:sizeRelV>
          </wp:anchor>
        </w:drawing>
      </w:r>
    </w:p>
    <w:p w14:paraId="2608E74D" w14:textId="77777777" w:rsidR="00D8538D" w:rsidRDefault="00D8538D" w:rsidP="00D8538D">
      <w:pPr>
        <w:rPr>
          <w:rFonts w:asciiTheme="majorBidi" w:hAnsiTheme="majorBidi" w:cstheme="majorBidi"/>
        </w:rPr>
      </w:pPr>
    </w:p>
    <w:p w14:paraId="3E9E4E83" w14:textId="77777777" w:rsidR="00D8538D" w:rsidRDefault="00D8538D" w:rsidP="00D8538D">
      <w:pPr>
        <w:rPr>
          <w:rFonts w:asciiTheme="majorBidi" w:hAnsiTheme="majorBidi" w:cstheme="majorBidi"/>
        </w:rPr>
      </w:pPr>
    </w:p>
    <w:p w14:paraId="5A36D3C0" w14:textId="77777777" w:rsidR="00D8538D" w:rsidRDefault="00D8538D" w:rsidP="00D8538D">
      <w:pPr>
        <w:rPr>
          <w:rFonts w:asciiTheme="majorBidi" w:hAnsiTheme="majorBidi" w:cstheme="majorBidi"/>
        </w:rPr>
      </w:pPr>
    </w:p>
    <w:p w14:paraId="046656A1" w14:textId="77777777" w:rsidR="00D8538D" w:rsidRPr="0017616D" w:rsidRDefault="00D8538D" w:rsidP="00D8538D">
      <w:pPr>
        <w:rPr>
          <w:rFonts w:asciiTheme="majorBidi" w:hAnsiTheme="majorBidi" w:cstheme="majorBidi"/>
        </w:rPr>
      </w:pPr>
    </w:p>
    <w:p w14:paraId="651604DA" w14:textId="77777777" w:rsidR="00D8538D" w:rsidRPr="0017616D" w:rsidRDefault="00D8538D" w:rsidP="00D8538D">
      <w:pPr>
        <w:jc w:val="both"/>
        <w:rPr>
          <w:rFonts w:asciiTheme="majorBidi" w:hAnsiTheme="majorBidi" w:cstheme="majorBidi"/>
        </w:rPr>
      </w:pPr>
    </w:p>
    <w:p w14:paraId="18C4F909" w14:textId="77777777" w:rsidR="00D8538D" w:rsidRPr="0017616D" w:rsidRDefault="00D8538D" w:rsidP="00D8538D">
      <w:pPr>
        <w:jc w:val="both"/>
        <w:rPr>
          <w:rFonts w:asciiTheme="majorBidi" w:hAnsiTheme="majorBidi" w:cstheme="majorBidi"/>
        </w:rPr>
      </w:pPr>
    </w:p>
    <w:p w14:paraId="57929FF1" w14:textId="77777777" w:rsidR="00D8538D" w:rsidRPr="0017616D" w:rsidRDefault="00D8538D" w:rsidP="00D8538D">
      <w:pPr>
        <w:jc w:val="both"/>
        <w:rPr>
          <w:rFonts w:asciiTheme="majorBidi" w:hAnsiTheme="majorBidi" w:cstheme="majorBidi"/>
        </w:rPr>
      </w:pPr>
    </w:p>
    <w:p w14:paraId="2F0EB9F1" w14:textId="77777777" w:rsidR="00D8538D" w:rsidRPr="0017616D" w:rsidRDefault="00D8538D" w:rsidP="00D8538D">
      <w:pPr>
        <w:jc w:val="both"/>
        <w:rPr>
          <w:rFonts w:asciiTheme="majorBidi" w:hAnsiTheme="majorBidi" w:cstheme="majorBidi"/>
          <w:b/>
          <w:bCs/>
        </w:rPr>
      </w:pPr>
    </w:p>
    <w:p w14:paraId="630020C6" w14:textId="77777777" w:rsidR="00D8538D" w:rsidRPr="0017616D" w:rsidRDefault="00D8538D" w:rsidP="00D8538D">
      <w:pPr>
        <w:jc w:val="both"/>
        <w:rPr>
          <w:rFonts w:asciiTheme="majorBidi" w:hAnsiTheme="majorBidi" w:cstheme="majorBidi"/>
          <w:b/>
          <w:bCs/>
        </w:rPr>
      </w:pPr>
    </w:p>
    <w:p w14:paraId="16F63E0C" w14:textId="77777777" w:rsidR="00D8538D" w:rsidRPr="0017616D" w:rsidRDefault="00D8538D" w:rsidP="00D8538D">
      <w:pPr>
        <w:jc w:val="both"/>
        <w:rPr>
          <w:rFonts w:asciiTheme="majorBidi" w:hAnsiTheme="majorBidi" w:cstheme="majorBidi"/>
          <w:b/>
          <w:bCs/>
        </w:rPr>
      </w:pPr>
    </w:p>
    <w:p w14:paraId="7FB71E55" w14:textId="77777777" w:rsidR="00D8538D" w:rsidRPr="0017616D" w:rsidRDefault="00D8538D" w:rsidP="00D8538D">
      <w:pPr>
        <w:jc w:val="both"/>
        <w:rPr>
          <w:rFonts w:asciiTheme="majorBidi" w:hAnsiTheme="majorBidi" w:cstheme="majorBidi"/>
          <w:b/>
          <w:bCs/>
        </w:rPr>
      </w:pPr>
    </w:p>
    <w:p w14:paraId="2F13AA20" w14:textId="77777777" w:rsidR="00D8538D" w:rsidRPr="0017616D" w:rsidRDefault="00D8538D" w:rsidP="00D8538D">
      <w:pPr>
        <w:jc w:val="both"/>
        <w:rPr>
          <w:rFonts w:asciiTheme="majorBidi" w:hAnsiTheme="majorBidi" w:cstheme="majorBidi"/>
          <w:b/>
          <w:bCs/>
        </w:rPr>
      </w:pPr>
    </w:p>
    <w:p w14:paraId="20726239" w14:textId="77777777" w:rsidR="00D8538D" w:rsidRPr="0017616D" w:rsidRDefault="00D8538D" w:rsidP="00D8538D">
      <w:pPr>
        <w:jc w:val="both"/>
        <w:rPr>
          <w:rFonts w:asciiTheme="majorBidi" w:hAnsiTheme="majorBidi" w:cstheme="majorBidi"/>
          <w:b/>
          <w:bCs/>
        </w:rPr>
      </w:pPr>
    </w:p>
    <w:p w14:paraId="5F2EDAF4" w14:textId="77777777" w:rsidR="00D8538D" w:rsidRPr="0017616D" w:rsidRDefault="00D8538D" w:rsidP="00D8538D">
      <w:pPr>
        <w:rPr>
          <w:rFonts w:asciiTheme="majorBidi" w:hAnsiTheme="majorBidi" w:cstheme="majorBidi"/>
          <w:b/>
          <w:bCs/>
        </w:rPr>
      </w:pPr>
      <w:r w:rsidRPr="0017616D">
        <w:rPr>
          <w:rFonts w:asciiTheme="majorBidi" w:hAnsiTheme="majorBidi" w:cstheme="majorBidi"/>
          <w:b/>
          <w:bCs/>
        </w:rPr>
        <w:t>5.0</w:t>
      </w:r>
      <w:r w:rsidRPr="0017616D">
        <w:rPr>
          <w:rFonts w:asciiTheme="majorBidi" w:hAnsiTheme="majorBidi" w:cstheme="majorBidi"/>
          <w:b/>
          <w:bCs/>
        </w:rPr>
        <w:tab/>
        <w:t xml:space="preserve">Discussion of findings </w:t>
      </w:r>
    </w:p>
    <w:p w14:paraId="2392AFF7" w14:textId="77777777" w:rsidR="00D8538D" w:rsidRPr="0017616D" w:rsidRDefault="00D8538D" w:rsidP="00D8538D">
      <w:pPr>
        <w:jc w:val="both"/>
        <w:rPr>
          <w:rFonts w:asciiTheme="majorBidi" w:hAnsiTheme="majorBidi" w:cstheme="majorBidi"/>
          <w:sz w:val="12"/>
          <w:szCs w:val="12"/>
        </w:rPr>
      </w:pPr>
    </w:p>
    <w:p w14:paraId="4D754AB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result of this finding identifies a significant long-run positive relationship between Personal Income Tax (PIT) as redistribution tool and economic growth. However, the short-run dynamics reveal a contractionary effect. This indicates that while immediate tax increases may temporarily reduce consumer spending, the resulting fiscal space allows for long-term productive investments that drive national output.</w:t>
      </w:r>
    </w:p>
    <w:p w14:paraId="27C0C40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Government expenditure on Health and Housing does not significantly promote economic growth in Nigeria. This </w:t>
      </w:r>
      <w:r w:rsidRPr="0017616D">
        <w:rPr>
          <w:rFonts w:asciiTheme="majorBidi" w:hAnsiTheme="majorBidi" w:cstheme="majorBidi"/>
          <w:i/>
          <w:iCs/>
        </w:rPr>
        <w:t>transmission failure</w:t>
      </w:r>
      <w:r w:rsidRPr="0017616D">
        <w:rPr>
          <w:rFonts w:asciiTheme="majorBidi" w:hAnsiTheme="majorBidi" w:cstheme="majorBidi"/>
        </w:rPr>
        <w:t xml:space="preserve"> suggests that</w:t>
      </w:r>
      <w:r>
        <w:rPr>
          <w:rFonts w:asciiTheme="majorBidi" w:hAnsiTheme="majorBidi" w:cstheme="majorBidi"/>
        </w:rPr>
        <w:t>,</w:t>
      </w:r>
      <w:r w:rsidRPr="0017616D">
        <w:rPr>
          <w:rFonts w:asciiTheme="majorBidi" w:hAnsiTheme="majorBidi" w:cstheme="majorBidi"/>
        </w:rPr>
        <w:t xml:space="preserve"> these redistribution mechanisms are currently insufficient efficiency to catalyze measurable economic expansion. Stability is primarily threatened by Inflation, which shows a highly significant negative impact on GDP. This confirms that redistribution policies significantly affect economic stability. Any fiscal redistribution that inadvertently triggers inflation will likely undermine the very growth it seeks to achieve.</w:t>
      </w:r>
    </w:p>
    <w:p w14:paraId="292CD6B9"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Error Correction Term (COINTEQ) proves that the Nigerian economy is remarkably resilient, correcting nearly 89% of annual disequilibria. This high speed of adjustment provides a stable foundation for the government to implement long-term redistribution reforms. The diagnostic tests confirm the model is statistically sound, with no serial correlation, normally distributed residuals, and a correct functional. However, the CUSUM of Squares plot indicates a recent crossing of the 5% significance boundary starting in 2023</w:t>
      </w:r>
      <w:r>
        <w:rPr>
          <w:rFonts w:asciiTheme="majorBidi" w:hAnsiTheme="majorBidi" w:cstheme="majorBidi"/>
        </w:rPr>
        <w:t xml:space="preserve">, </w:t>
      </w:r>
      <w:r w:rsidRPr="0017616D">
        <w:rPr>
          <w:rFonts w:asciiTheme="majorBidi" w:hAnsiTheme="majorBidi" w:cstheme="majorBidi"/>
        </w:rPr>
        <w:t>suggests that while the model is historically stable, the recent radical policy shifts in Nigeria (such as FX unification and fuel subsidy removal) have introduced new structural instabilities that require careful policy monitoring.</w:t>
      </w:r>
    </w:p>
    <w:p w14:paraId="3836480E"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robustness of the ARDL model is validated by the significant </w:t>
      </w:r>
      <m:oMath>
        <m:r>
          <w:rPr>
            <w:rFonts w:ascii="Cambria Math" w:hAnsi="Cambria Math" w:cstheme="majorBidi"/>
          </w:rPr>
          <m:t>COINTEQ</m:t>
        </m:r>
      </m:oMath>
      <w:r w:rsidRPr="0017616D">
        <w:rPr>
          <w:rFonts w:asciiTheme="majorBidi" w:hAnsiTheme="majorBidi" w:cstheme="majorBidi"/>
        </w:rPr>
        <w:t xml:space="preserve"> and a series of passed diagnostic checks, establishing a stable cointegrating relationship between growth, fiscal policy, and </w:t>
      </w:r>
      <w:r>
        <w:rPr>
          <w:rFonts w:asciiTheme="majorBidi" w:hAnsiTheme="majorBidi" w:cstheme="majorBidi"/>
        </w:rPr>
        <w:t xml:space="preserve">income </w:t>
      </w:r>
      <w:r w:rsidRPr="0017616D">
        <w:rPr>
          <w:rFonts w:asciiTheme="majorBidi" w:hAnsiTheme="majorBidi" w:cstheme="majorBidi"/>
        </w:rPr>
        <w:t>redistribution</w:t>
      </w:r>
      <w:r>
        <w:rPr>
          <w:rFonts w:asciiTheme="majorBidi" w:hAnsiTheme="majorBidi" w:cstheme="majorBidi"/>
        </w:rPr>
        <w:t xml:space="preserve"> tool</w:t>
      </w:r>
      <w:r w:rsidRPr="0017616D">
        <w:rPr>
          <w:rFonts w:asciiTheme="majorBidi" w:hAnsiTheme="majorBidi" w:cstheme="majorBidi"/>
        </w:rPr>
        <w:t>. The estimated speed of adjustment indicates that approximately 89% of any stochastic shock is corrected within a single annual cycle. This suggests that the long-run steady state is not only statistically significant but also highly resilient to short-term structural disruptions.</w:t>
      </w:r>
    </w:p>
    <w:p w14:paraId="15771A8E"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structural integrity of the ARDL model is affirmed by the F-Bounds test, where the calculated statistic exceeds the upper critical bound at 5%, formally establishing a cointegrating relationship. Supplementary diagnostics, including White and ARCH tests, confirm the absence of heteroskedasticity, thereby validating the efficiency and reliability of the long-run growth coefficients.</w:t>
      </w:r>
    </w:p>
    <w:p w14:paraId="1542686B"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Correlation Matrix reveals a strong positive correlation between GDP and Housing highlights the pro-cyclical nature of the real estate sector in Nigeria. Recent studies by Oseni and Salami (2021) corroborate this, suggesting that while housing reflects economic expansion, it is often a beneficiary rather than a primary driver of growth due to its sensitivity to disposable income levels. Conversely, the moderate positive correlation between Personal Income Tax (PIT) and GDP aligns with the findings of Muhammad and Ibrahim (2024), who demonstrate that every 1% increase in total tax revenue correlates with a 0.234% rise in real GDP.</w:t>
      </w:r>
    </w:p>
    <w:p w14:paraId="2FAC9881"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Subsequently, the significant positive correlation between Inflation and the Gini Coefficient, reinforces the </w:t>
      </w:r>
      <w:r w:rsidRPr="0017616D">
        <w:rPr>
          <w:rFonts w:asciiTheme="majorBidi" w:hAnsiTheme="majorBidi" w:cstheme="majorBidi"/>
          <w:i/>
          <w:iCs/>
        </w:rPr>
        <w:t>regressive tax</w:t>
      </w:r>
      <w:r w:rsidRPr="0017616D">
        <w:rPr>
          <w:rFonts w:asciiTheme="majorBidi" w:hAnsiTheme="majorBidi" w:cstheme="majorBidi"/>
        </w:rPr>
        <w:t xml:space="preserve"> nature of inflation. In a recent study by the Central Bank of Nigeria (2025), reveals that price instability is a primary driver of income disparity, as it disproportionately erodes the real wages of low-income earners compared to asset-holding elites. Furthermore, the negative correlation between PIT and Inflation suggests that progressive taxation may act as a stabilizing counterweight, potentially reducing excessive liquidity that drives cost-push inflation. </w:t>
      </w:r>
    </w:p>
    <w:p w14:paraId="0B635938"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Perhaps, the relatively weak correlation between Health spending and GDP, reflects a persistent transmission gap in Nigerian fiscal policy. While Enaberue et al. (2024) argue that increased health expenditure should reduce poverty and boost human capital, the correlation matrix suggests these benefits are currently under-realized. This mirrors broader findings that Nigeria’s tax-to-GDP ratio remains below 10%, well under the Sub-Saharan average of 18%, leaving social sectors critically underfunded even during periods of GDP growth</w:t>
      </w:r>
      <w:r>
        <w:rPr>
          <w:rFonts w:asciiTheme="majorBidi" w:hAnsiTheme="majorBidi" w:cstheme="majorBidi"/>
        </w:rPr>
        <w:t xml:space="preserve">. </w:t>
      </w:r>
      <w:r w:rsidRPr="0017616D">
        <w:rPr>
          <w:rFonts w:asciiTheme="majorBidi" w:hAnsiTheme="majorBidi" w:cstheme="majorBidi"/>
        </w:rPr>
        <w:t xml:space="preserve">The correlations matrix suggests that for the 2025–2026 tax reforms to succeed, the positive link between taxation (PIT) and output must be harnessed to fund the social sectors (Health) more effectively, thereby decoupling inflation from inequality. </w:t>
      </w:r>
    </w:p>
    <w:p w14:paraId="7D627056" w14:textId="77777777" w:rsidR="00D8538D" w:rsidRPr="0017616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The Normality of the residuals was assessed using the Jarque-Bera test. The results which is well above the 5% significance level, confirming that the residuals are normally distributed. This validates the use of parametric tests in this study and reinforces the statistical reliability of the long-run and short-run coefficients estimated for the Nigerian economy. This model is free from serial correlation, is normally distributed and possesses a correct functional form</w:t>
      </w:r>
      <w:r>
        <w:rPr>
          <w:rFonts w:asciiTheme="majorBidi" w:hAnsiTheme="majorBidi" w:cstheme="majorBidi"/>
        </w:rPr>
        <w:t xml:space="preserve">. </w:t>
      </w:r>
      <w:r w:rsidRPr="0017616D">
        <w:rPr>
          <w:rFonts w:asciiTheme="majorBidi" w:hAnsiTheme="majorBidi" w:cstheme="majorBidi"/>
        </w:rPr>
        <w:t>While the CUSUM test confirms long-term parameter stability, the CUSUM of Squares indicates a structural shift starting in 2023, likely reflecting the impact of recent radical policy changes like FX unification.</w:t>
      </w:r>
    </w:p>
    <w:p w14:paraId="447C9FE2"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The Progressive Taxation (Personal Income Tax) and GDP Growth</w:t>
      </w:r>
    </w:p>
    <w:p w14:paraId="7C0E78B0" w14:textId="77777777" w:rsidR="00D8538D" w:rsidRPr="0017616D" w:rsidRDefault="00D8538D" w:rsidP="00D8538D">
      <w:pPr>
        <w:spacing w:before="120" w:after="120"/>
        <w:ind w:left="1080"/>
        <w:jc w:val="both"/>
        <w:rPr>
          <w:rFonts w:asciiTheme="majorBidi" w:hAnsiTheme="majorBidi" w:cstheme="majorBidi"/>
        </w:rPr>
      </w:pPr>
      <w:r>
        <w:rPr>
          <w:rFonts w:asciiTheme="majorBidi" w:hAnsiTheme="majorBidi" w:cstheme="majorBidi"/>
        </w:rPr>
        <w:t>T</w:t>
      </w:r>
      <w:r w:rsidRPr="0017616D">
        <w:rPr>
          <w:rFonts w:asciiTheme="majorBidi" w:hAnsiTheme="majorBidi" w:cstheme="majorBidi"/>
        </w:rPr>
        <w:t xml:space="preserve">his finding </w:t>
      </w:r>
      <w:r>
        <w:rPr>
          <w:rFonts w:asciiTheme="majorBidi" w:hAnsiTheme="majorBidi" w:cstheme="majorBidi"/>
        </w:rPr>
        <w:t xml:space="preserve">reveals </w:t>
      </w:r>
      <w:r w:rsidRPr="0017616D">
        <w:rPr>
          <w:rFonts w:asciiTheme="majorBidi" w:hAnsiTheme="majorBidi" w:cstheme="majorBidi"/>
        </w:rPr>
        <w:t>the presence of a J-curve relationship between Personal Income Tax (PIT) and GDP growth in Nigeria. Specifically, PIT demonstrates a significant positive impact on economic growth in the long run, while exerting a negative effect in the short run. This result is consistent with the findings of Tanchev (2021), who, in examining the long-run equilibrium between personal income tax and economic growth in Bulgaria, established the existence of a long-run equilibrium relationship but found no significant short-run association between PIT and growth. Furthermore, these findings are in line with the propositions of endogenous growth theory, while contradicting the neoclassical growth framework.</w:t>
      </w:r>
    </w:p>
    <w:p w14:paraId="5239051A"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Based on this, it can be inferred that Personal Income Tax serves as an effective instrument for income redistribution and the promotion of sustainable economic growth in Nigeria. In addition, short-run empirical evidence by Tala (2024) indicates that positive changes in PIT have a statistically significant negative effect on economic growth. For instance, a one percent increase in PIT is associated with a 1.8% decline in the growth rate, suggesting a linear short-run relationship between PIT and GDP. Similarly, Maganya (2020) provides empirical support for a negative relationship between income taxes (both personal and corporate) and economic growth in the short run. Earlier evidence by Barro (1990) also aligns with this position, arguing within the neoclassical framework that taxation can adversely affect growth during the transition to a new steady state, particularly through the savings-investment transmission mechanism. While initial tax reforms may exert temporary contractionary pressure, they are vital for long-term fiscal sustainability and expansion, Buthelezi (2025) reported that, progressive tax reforms that focus on wealth and income redistribution may be necessary to ensure fiscal sustainability without harming low- and middle-income groups.</w:t>
      </w:r>
    </w:p>
    <w:p w14:paraId="70859860"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Progressive Tax on Social Welfare Spending (Health and Housing Expenditure) and Economic Growth</w:t>
      </w:r>
    </w:p>
    <w:p w14:paraId="50338439"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These findings demonstrate a positive long-run relationship between Personal Income Tax (PIT)</w:t>
      </w:r>
      <w:r>
        <w:rPr>
          <w:rFonts w:asciiTheme="majorBidi" w:hAnsiTheme="majorBidi" w:cstheme="majorBidi"/>
        </w:rPr>
        <w:t>, Health expenditure, Housing</w:t>
      </w:r>
      <w:r w:rsidRPr="0017616D">
        <w:rPr>
          <w:rFonts w:asciiTheme="majorBidi" w:hAnsiTheme="majorBidi" w:cstheme="majorBidi"/>
        </w:rPr>
        <w:t xml:space="preserve"> and economic growth, meaning that a well-structured progressive tax system</w:t>
      </w:r>
      <w:r>
        <w:rPr>
          <w:rFonts w:asciiTheme="majorBidi" w:hAnsiTheme="majorBidi" w:cstheme="majorBidi"/>
        </w:rPr>
        <w:t xml:space="preserve"> will increase the creation of more Health care centers, construction of low-cost housing units for the masses and also </w:t>
      </w:r>
      <w:r w:rsidRPr="0017616D">
        <w:rPr>
          <w:rFonts w:asciiTheme="majorBidi" w:hAnsiTheme="majorBidi" w:cstheme="majorBidi"/>
        </w:rPr>
        <w:t xml:space="preserve"> provides the necessary fiscal space to fund public goods that accelerate development. This result aligns with Optimal Taxation Theory and the work of Appiah (2023), who reported that direct tax revenues are more sustainable than commodity-based revenues for long-term growth in emerging markets. Furthermore, the positive correlation between PIT and GDP aligns with Muhammad and Ibrahim (2024), who argue that expanding the tax net bolstered by the 2025 transition to the Nigeria Revenue Service (NRS) enhances the fiscal multiplier effect.</w:t>
      </w:r>
    </w:p>
    <w:p w14:paraId="63646788"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In contrast, social welfare spending on Health and Housing exhibited statistical insignificance in relation to growth, this highlights a transmission gap where budgetary allocations fail to translate into human capital development. This mirrors the Institutional Leakage Theory and findings by Sala-i-Martin and Subramanian (2013) regarding the </w:t>
      </w:r>
      <w:r w:rsidRPr="0017616D">
        <w:rPr>
          <w:rFonts w:asciiTheme="majorBidi" w:hAnsiTheme="majorBidi" w:cstheme="majorBidi"/>
          <w:i/>
          <w:iCs/>
        </w:rPr>
        <w:t>resource curse</w:t>
      </w:r>
      <w:r w:rsidRPr="0017616D">
        <w:rPr>
          <w:rFonts w:asciiTheme="majorBidi" w:hAnsiTheme="majorBidi" w:cstheme="majorBidi"/>
        </w:rPr>
        <w:t xml:space="preserve"> in Nigeria, where social spending often suffers from poor absorptive capacity. Additionally, the weak correlation between Health spending and GDP corroborates broader findings that social sectors remain underfunded.</w:t>
      </w:r>
    </w:p>
    <w:p w14:paraId="1DE4AAAB"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Inflation was identified as the primary inhibitor of stability, showing a significant negative impact on growth. Research from 2026 indicates that inflationary shocks function as a regressive hidden tax, eroding the purchasing power of low-income households who spend up to 70% of their income on basic needs. This supports the Fisherian Stability Theory and reports from Punch Nigeria (2026), which indicate that price instability drives income disparity, as evidenced by the significant positive correlation between inflation and the Gini Coefficient.</w:t>
      </w:r>
    </w:p>
    <w:p w14:paraId="687428ED"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Progressive Taxation (Personal Income Tax) and Income Inequality</w:t>
      </w:r>
    </w:p>
    <w:p w14:paraId="4B52FEE3"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The results on the relationship between progressive taxation, particularly Personal Income Tax (PIT), and income inequality in Nigeria reveal that income inequality remains closely linked to broader macroeconomic conditions and institutional inefficiencies rather than taxation alone. The study found that inequality significantly affects economic growth, while inflation and social spending emerged as the major drivers of inequality in Nigeria. This implies that inequality in the country is largely a systemic outcome of persistent macroeconomic instability, weak welfare transmission mechanisms, and limited redistributive efficiency of fiscal policy. Although, progressive taxation is theoretically designed to reduce inequality through income redistribution, the Nigerian experience suggests that the effectiveness of PIT is constrained by poor tax compliance, a large informal sector, inflationary pressures, and weak public expenditure management.</w:t>
      </w:r>
    </w:p>
    <w:p w14:paraId="4A092ECB"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This finding supports the position of development economists that taxation alone cannot significantly reduce inequality without effective social protection systems and stable macroeconomic conditions. Recent empirical evidence by Voto and Ngepah (2024) showed that personal income taxation contributes to income redistribution in Sub-Saharan Africa when supported by strong fiscal institutions and effective social transfers. Similarly, Bello (2025) found that increasing the progressivity of PIT in Nigeria could reduce inequality and improve household welfare, particularly among low-income groups, but the redistributive outcomes depend heavily on government capacity and targeted welfare implementation.</w:t>
      </w:r>
    </w:p>
    <w:p w14:paraId="5D5503E7"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This result is also consistent with the findings of Appah and Omesi (2021), who reported that personal income tax has a redistributive effect capable of reducing income inequality in Nigeria, although the magnitude of its impact remains weak due to structural inefficiencies in the economy. In contrast, Anyaduba and Otulugbu (2019) argued that indirect taxes such as Value Added Tax tend to worsen inequality because they disproportionately burden low-income households, whereas direct taxes such as PIT are relatively more equitable instruments for redistribution. </w:t>
      </w:r>
    </w:p>
    <w:p w14:paraId="21838CD0"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Furthermore, international evidence provided by Eydam and Qualo (2023) supports the argument that tax progressivity can only reduce inequality effectively when accompanied by stable macroeconomic policies and inclusive public spending. Therefore, this study concludes that reducing income inequality in Nigeria requires not only progressive PIT reforms but also effective inflation control, improved social spending efficiency, institutional accountability, and stronger welfare delivery systems.</w:t>
      </w:r>
    </w:p>
    <w:p w14:paraId="4EBDBD83" w14:textId="77777777" w:rsidR="00D8538D" w:rsidRPr="0017616D" w:rsidRDefault="00D8538D" w:rsidP="00D8538D">
      <w:pPr>
        <w:pStyle w:val="ListParagraph"/>
        <w:numPr>
          <w:ilvl w:val="0"/>
          <w:numId w:val="5"/>
        </w:numPr>
        <w:spacing w:before="120" w:after="120"/>
        <w:ind w:left="1080" w:hanging="360"/>
        <w:contextualSpacing w:val="0"/>
        <w:jc w:val="both"/>
        <w:rPr>
          <w:rFonts w:asciiTheme="majorBidi" w:hAnsiTheme="majorBidi" w:cstheme="majorBidi"/>
          <w:b/>
          <w:bCs/>
        </w:rPr>
      </w:pPr>
      <w:r w:rsidRPr="0017616D">
        <w:rPr>
          <w:rFonts w:asciiTheme="majorBidi" w:hAnsiTheme="majorBidi" w:cstheme="majorBidi"/>
          <w:b/>
          <w:bCs/>
        </w:rPr>
        <w:t>Income Redistribution Policies And Economic Stability</w:t>
      </w:r>
    </w:p>
    <w:p w14:paraId="601C1C09"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Th</w:t>
      </w:r>
      <w:r>
        <w:rPr>
          <w:rFonts w:asciiTheme="majorBidi" w:hAnsiTheme="majorBidi" w:cstheme="majorBidi"/>
        </w:rPr>
        <w:t>is</w:t>
      </w:r>
      <w:r w:rsidRPr="0017616D">
        <w:rPr>
          <w:rFonts w:asciiTheme="majorBidi" w:hAnsiTheme="majorBidi" w:cstheme="majorBidi"/>
        </w:rPr>
        <w:t xml:space="preserve"> study reveal</w:t>
      </w:r>
      <w:r>
        <w:rPr>
          <w:rFonts w:asciiTheme="majorBidi" w:hAnsiTheme="majorBidi" w:cstheme="majorBidi"/>
        </w:rPr>
        <w:t>s</w:t>
      </w:r>
      <w:r w:rsidRPr="0017616D">
        <w:rPr>
          <w:rFonts w:asciiTheme="majorBidi" w:hAnsiTheme="majorBidi" w:cstheme="majorBidi"/>
        </w:rPr>
        <w:t xml:space="preserve"> that inflation exerts a strong negative effect on economic growth, leading to the rejection of the null hypothesis that redistribution policies do not affect economic stability. This suggests that</w:t>
      </w:r>
      <w:r>
        <w:rPr>
          <w:rFonts w:asciiTheme="majorBidi" w:hAnsiTheme="majorBidi" w:cstheme="majorBidi"/>
        </w:rPr>
        <w:t>,</w:t>
      </w:r>
      <w:r w:rsidRPr="0017616D">
        <w:rPr>
          <w:rFonts w:asciiTheme="majorBidi" w:hAnsiTheme="majorBidi" w:cstheme="majorBidi"/>
        </w:rPr>
        <w:t xml:space="preserve"> although</w:t>
      </w:r>
      <w:r>
        <w:rPr>
          <w:rFonts w:asciiTheme="majorBidi" w:hAnsiTheme="majorBidi" w:cstheme="majorBidi"/>
        </w:rPr>
        <w:t>,</w:t>
      </w:r>
      <w:r w:rsidRPr="0017616D">
        <w:rPr>
          <w:rFonts w:asciiTheme="majorBidi" w:hAnsiTheme="majorBidi" w:cstheme="majorBidi"/>
        </w:rPr>
        <w:t xml:space="preserve"> fiscal redistribution policies such as taxation, subsidies, and public spending are intended to improve welfare and reduce inequality, their effectiveness becomes constrained when inflationary pressures persist. In Nigerian, rising inflation weakens purchasing power, reduces the real value of government transfers, and limits the stabilizing role of fiscal interventions. Consequently, fiscal redistribution policies may fail to achieve their intended welfare outcomes when macroeconomic instability is not adequately controlled. This finding aligns with Keynesian fiscal policy theory, which argues that government spending and taxation influence aggregate demand and macroeconomic stability. </w:t>
      </w:r>
    </w:p>
    <w:p w14:paraId="316C701E"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Recent empirical evidence by Akabua, </w:t>
      </w:r>
      <w:r w:rsidRPr="0017616D">
        <w:rPr>
          <w:rFonts w:asciiTheme="majorBidi" w:hAnsiTheme="majorBidi" w:cstheme="majorBidi"/>
          <w:i/>
          <w:iCs/>
        </w:rPr>
        <w:t xml:space="preserve">et. al. </w:t>
      </w:r>
      <w:r w:rsidRPr="0017616D">
        <w:rPr>
          <w:rFonts w:asciiTheme="majorBidi" w:hAnsiTheme="majorBidi" w:cstheme="majorBidi"/>
        </w:rPr>
        <w:t xml:space="preserve">(2025) found that fiscal policy instruments significantly affect inflation dynamics in Nigeria, with government expenditure and fiscal deficits playing major roles in determining price stability. Their study further emphasized that productive government expenditure can stabilize prices when efficiently managed. </w:t>
      </w:r>
    </w:p>
    <w:p w14:paraId="2816097D" w14:textId="77777777" w:rsidR="00D8538D" w:rsidRPr="0017616D" w:rsidRDefault="00D8538D" w:rsidP="00D8538D">
      <w:pPr>
        <w:spacing w:before="120" w:after="120"/>
        <w:ind w:left="1080"/>
        <w:jc w:val="both"/>
        <w:rPr>
          <w:rFonts w:asciiTheme="majorBidi" w:hAnsiTheme="majorBidi" w:cstheme="majorBidi"/>
        </w:rPr>
      </w:pPr>
      <w:r w:rsidRPr="0017616D">
        <w:rPr>
          <w:rFonts w:asciiTheme="majorBidi" w:hAnsiTheme="majorBidi" w:cstheme="majorBidi"/>
        </w:rPr>
        <w:t xml:space="preserve">Similarly, Okeke (2024) reported that taxation and government expenditure significantly influence inflation in Nigeria. The study argued that poorly managed public spending and excessive money supply expansion can intensify inflationary pressures, thereby weakening the welfare effects of redistribution policies. The present finding is also consistent with the work of Oyeleke and Onatunji (2024), who observed that fiscal policy shocks significantly affect macroeconomic stability in Nigeria. Furthermore, Opayinka (2025) found that inflation negatively affects economic growth despite the positive role of fiscal policy. </w:t>
      </w:r>
      <w:r w:rsidRPr="0007114E">
        <w:rPr>
          <w:rFonts w:asciiTheme="majorBidi" w:hAnsiTheme="majorBidi" w:cstheme="majorBidi"/>
        </w:rPr>
        <w:t>Therefore, this study concludes that redistribution policies can significantly influence inflation and economic stability, but their effectiveness depends on prudent fiscal management, inflation control, institutional efficiency and the productive allocation of public expenditure.</w:t>
      </w:r>
    </w:p>
    <w:p w14:paraId="7076CB09" w14:textId="77777777" w:rsidR="00D8538D" w:rsidRPr="0017616D" w:rsidRDefault="00D8538D" w:rsidP="00D8538D">
      <w:pPr>
        <w:spacing w:before="240" w:after="240"/>
        <w:jc w:val="both"/>
        <w:rPr>
          <w:rFonts w:asciiTheme="majorBidi" w:hAnsiTheme="majorBidi" w:cstheme="majorBidi"/>
          <w:b/>
          <w:bCs/>
        </w:rPr>
      </w:pPr>
      <w:r w:rsidRPr="0017616D">
        <w:rPr>
          <w:rFonts w:asciiTheme="majorBidi" w:hAnsiTheme="majorBidi" w:cstheme="majorBidi"/>
          <w:b/>
          <w:bCs/>
        </w:rPr>
        <w:t>6.</w:t>
      </w:r>
      <w:r>
        <w:rPr>
          <w:rFonts w:asciiTheme="majorBidi" w:hAnsiTheme="majorBidi" w:cstheme="majorBidi"/>
          <w:b/>
          <w:bCs/>
        </w:rPr>
        <w:tab/>
      </w:r>
      <w:r w:rsidRPr="0017616D">
        <w:rPr>
          <w:rFonts w:asciiTheme="majorBidi" w:hAnsiTheme="majorBidi" w:cstheme="majorBidi"/>
          <w:b/>
          <w:bCs/>
        </w:rPr>
        <w:t>Conclusion and recommendations</w:t>
      </w:r>
    </w:p>
    <w:p w14:paraId="1858152E" w14:textId="77777777" w:rsidR="00D8538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This study examined the impact of income redistribution </w:t>
      </w:r>
      <w:r>
        <w:rPr>
          <w:rFonts w:asciiTheme="majorBidi" w:hAnsiTheme="majorBidi" w:cstheme="majorBidi"/>
        </w:rPr>
        <w:t>policy</w:t>
      </w:r>
      <w:r w:rsidRPr="0017616D">
        <w:rPr>
          <w:rFonts w:asciiTheme="majorBidi" w:hAnsiTheme="majorBidi" w:cstheme="majorBidi"/>
        </w:rPr>
        <w:t xml:space="preserve"> on economic growth and stability in Nigeria, focusing on progressive taxation, social welfare spending</w:t>
      </w:r>
      <w:r>
        <w:rPr>
          <w:rFonts w:asciiTheme="majorBidi" w:hAnsiTheme="majorBidi" w:cstheme="majorBidi"/>
        </w:rPr>
        <w:t xml:space="preserve"> (Housing expenditure and housing units)</w:t>
      </w:r>
      <w:r w:rsidRPr="0017616D">
        <w:rPr>
          <w:rFonts w:asciiTheme="majorBidi" w:hAnsiTheme="majorBidi" w:cstheme="majorBidi"/>
        </w:rPr>
        <w:t>, income inequality, and inflation dynamics. The findings revealed that progressive taxation, particularly Personal Income Tax, plays an important role in influencing economic growth and redistribution</w:t>
      </w:r>
      <w:r>
        <w:rPr>
          <w:rFonts w:asciiTheme="majorBidi" w:hAnsiTheme="majorBidi" w:cstheme="majorBidi"/>
        </w:rPr>
        <w:t xml:space="preserve"> income through construction of more Health care centers and housing units in Nigeria</w:t>
      </w:r>
      <w:r w:rsidRPr="0017616D">
        <w:rPr>
          <w:rFonts w:asciiTheme="majorBidi" w:hAnsiTheme="majorBidi" w:cstheme="majorBidi"/>
        </w:rPr>
        <w:t>, although its effectiveness is constrained by structural weaknesses, poor tax compliance, and macroeconomic instability. The study also established that social welfare spending on health and housing contributes positively to economic performance when efficiently managed and properly targeted.</w:t>
      </w:r>
      <w:r>
        <w:rPr>
          <w:rFonts w:asciiTheme="majorBidi" w:hAnsiTheme="majorBidi" w:cstheme="majorBidi"/>
        </w:rPr>
        <w:t xml:space="preserve"> </w:t>
      </w:r>
      <w:r w:rsidRPr="0017616D">
        <w:rPr>
          <w:rFonts w:asciiTheme="majorBidi" w:hAnsiTheme="majorBidi" w:cstheme="majorBidi"/>
        </w:rPr>
        <w:t xml:space="preserve">Furthermore, the study found that income inequality in Nigeria is largely driven by persistent inflation, weak welfare transmission mechanisms, and institutional inefficiencies, thereby limiting the redistributive effectiveness of fiscal policy. </w:t>
      </w:r>
    </w:p>
    <w:p w14:paraId="06313166" w14:textId="77777777" w:rsidR="00D8538D" w:rsidRDefault="00D8538D" w:rsidP="00D8538D">
      <w:pPr>
        <w:spacing w:before="120" w:after="120"/>
        <w:ind w:left="720"/>
        <w:jc w:val="both"/>
        <w:rPr>
          <w:rFonts w:asciiTheme="majorBidi" w:hAnsiTheme="majorBidi" w:cstheme="majorBidi"/>
        </w:rPr>
      </w:pPr>
      <w:r w:rsidRPr="0017616D">
        <w:rPr>
          <w:rFonts w:asciiTheme="majorBidi" w:hAnsiTheme="majorBidi" w:cstheme="majorBidi"/>
        </w:rPr>
        <w:t xml:space="preserve">The study concludes that fiscal policy serves as a dual-edged sword in the Nigerian macroeconomic landscape. The empirical results from the ARDL model demonstrate that Personal Income Tax (PIT) is a significant driver of long-run economic growth, suggesting that progressive taxation creates the necessary fiscal space for development. However, this potential is currently </w:t>
      </w:r>
      <w:r>
        <w:rPr>
          <w:rFonts w:asciiTheme="majorBidi" w:hAnsiTheme="majorBidi" w:cstheme="majorBidi"/>
        </w:rPr>
        <w:t>eroded</w:t>
      </w:r>
      <w:r w:rsidRPr="0017616D">
        <w:rPr>
          <w:rFonts w:asciiTheme="majorBidi" w:hAnsiTheme="majorBidi" w:cstheme="majorBidi"/>
        </w:rPr>
        <w:t xml:space="preserve"> by a severe transmission gap, as social welfare expenditures in Health and Housing remain statistically insignificant in driving output. </w:t>
      </w:r>
      <w:r>
        <w:rPr>
          <w:rFonts w:asciiTheme="majorBidi" w:hAnsiTheme="majorBidi" w:cstheme="majorBidi"/>
        </w:rPr>
        <w:t xml:space="preserve">Therefore, </w:t>
      </w:r>
      <w:r w:rsidRPr="0017616D">
        <w:rPr>
          <w:rFonts w:asciiTheme="majorBidi" w:hAnsiTheme="majorBidi" w:cstheme="majorBidi"/>
        </w:rPr>
        <w:t>effective income redistribution can promote inclusive economic growth and macroeconomic stability in Nigeria when supported by prudent fiscal management, efficient public expenditure, strong institutions, and stable macroeconomic conditions.</w:t>
      </w:r>
    </w:p>
    <w:p w14:paraId="2840C590" w14:textId="77777777" w:rsidR="00D8538D" w:rsidRPr="0017616D" w:rsidRDefault="00D8538D" w:rsidP="00D8538D">
      <w:pPr>
        <w:spacing w:before="100" w:beforeAutospacing="1" w:after="100" w:afterAutospacing="1"/>
        <w:ind w:left="720"/>
        <w:jc w:val="both"/>
        <w:rPr>
          <w:rFonts w:asciiTheme="majorBidi" w:hAnsiTheme="majorBidi" w:cstheme="majorBidi"/>
        </w:rPr>
      </w:pPr>
      <w:r w:rsidRPr="0017616D">
        <w:rPr>
          <w:rFonts w:asciiTheme="majorBidi" w:hAnsiTheme="majorBidi" w:cstheme="majorBidi"/>
        </w:rPr>
        <w:t>Based on the findings of this study, the following recommendations are proposed to enhance the effectiveness of income redistribution mechanisms in promoting economic growth and stability in Nigeria:</w:t>
      </w:r>
    </w:p>
    <w:p w14:paraId="57E7DEEE"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The government should strengthen the administration of Personal Income Tax by widening the tax base, reducing tax evasion, and improving compliance within the informal sector. </w:t>
      </w:r>
    </w:p>
    <w:p w14:paraId="75604472"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Government expenditure on critical social sectors such as health and housing should be expanded and efficiently managed. Greater investment in healthcare infrastructure, affordable housing, and social protection programmes would improve human capital development, increase labour productivity, and stimulate long-run economic growth. </w:t>
      </w:r>
    </w:p>
    <w:p w14:paraId="092ED083" w14:textId="77777777" w:rsidR="00D8538D" w:rsidRPr="0017616D" w:rsidRDefault="00D8538D" w:rsidP="00D8538D">
      <w:pPr>
        <w:numPr>
          <w:ilvl w:val="0"/>
          <w:numId w:val="6"/>
        </w:numPr>
        <w:spacing w:before="120" w:after="120"/>
        <w:jc w:val="both"/>
        <w:rPr>
          <w:rFonts w:asciiTheme="majorBidi" w:hAnsiTheme="majorBidi" w:cstheme="majorBidi"/>
        </w:rPr>
      </w:pPr>
      <w:r w:rsidRPr="0017616D">
        <w:rPr>
          <w:rFonts w:asciiTheme="majorBidi" w:hAnsiTheme="majorBidi" w:cstheme="majorBidi"/>
        </w:rPr>
        <w:t xml:space="preserve">Policies aimed at reducing inequality should prioritize vulnerable and low-income households to promote inclusive growth and social cohesion. </w:t>
      </w:r>
    </w:p>
    <w:p w14:paraId="6401F83F" w14:textId="77777777" w:rsidR="00D8538D" w:rsidRPr="0017616D" w:rsidRDefault="00D8538D" w:rsidP="00D8538D">
      <w:pPr>
        <w:numPr>
          <w:ilvl w:val="0"/>
          <w:numId w:val="6"/>
        </w:numPr>
        <w:spacing w:before="120" w:after="120"/>
        <w:rPr>
          <w:rFonts w:asciiTheme="majorBidi" w:hAnsiTheme="majorBidi" w:cstheme="majorBidi"/>
        </w:rPr>
      </w:pPr>
      <w:r w:rsidRPr="0017616D">
        <w:rPr>
          <w:rFonts w:asciiTheme="majorBidi" w:hAnsiTheme="majorBidi" w:cstheme="majorBidi"/>
        </w:rPr>
        <w:t xml:space="preserve">The government should strengthen anti-corruption mechanisms, improve budget implementation processes, and ensure accountability in tax collection and public expenditure management. </w:t>
      </w:r>
    </w:p>
    <w:p w14:paraId="3A9D6DBE"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17616D">
        <w:rPr>
          <w:rFonts w:asciiTheme="majorBidi" w:hAnsiTheme="majorBidi" w:cstheme="majorBidi"/>
        </w:rPr>
        <w:t>Policymakers should adopt evidence-based and data-driven approaches in designing redistribution policies. Regular monitoring and evaluation of taxation, welfare spending, inequality, and inflation trends would enable government agencies to formulate responsive fiscal policies capable of promoting economic growth and stability.</w:t>
      </w:r>
    </w:p>
    <w:p w14:paraId="4487D83B"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5721EF">
        <w:rPr>
          <w:rFonts w:asciiTheme="majorBidi" w:hAnsiTheme="majorBidi" w:cstheme="majorBidi"/>
        </w:rPr>
        <w:t>Given that inflation acts as a regressive tax, fiscal redistribution policies must be indexed to inflation to protect the purchasing power of the most vulnerable households.</w:t>
      </w:r>
    </w:p>
    <w:p w14:paraId="2A7F30D8" w14:textId="77777777" w:rsidR="00D8538D" w:rsidRDefault="00D8538D" w:rsidP="00D8538D">
      <w:pPr>
        <w:numPr>
          <w:ilvl w:val="0"/>
          <w:numId w:val="6"/>
        </w:numPr>
        <w:tabs>
          <w:tab w:val="num" w:pos="1440"/>
        </w:tabs>
        <w:spacing w:before="120" w:after="120"/>
        <w:jc w:val="both"/>
        <w:rPr>
          <w:rFonts w:asciiTheme="majorBidi" w:hAnsiTheme="majorBidi" w:cstheme="majorBidi"/>
        </w:rPr>
      </w:pPr>
      <w:r w:rsidRPr="005721EF">
        <w:rPr>
          <w:rFonts w:asciiTheme="majorBidi" w:hAnsiTheme="majorBidi" w:cstheme="majorBidi"/>
        </w:rPr>
        <w:t>To resolve the transmission gap,</w:t>
      </w:r>
      <w:r>
        <w:rPr>
          <w:rFonts w:asciiTheme="majorBidi" w:hAnsiTheme="majorBidi" w:cstheme="majorBidi"/>
        </w:rPr>
        <w:t xml:space="preserve"> </w:t>
      </w:r>
      <w:r w:rsidRPr="005721EF">
        <w:rPr>
          <w:rFonts w:asciiTheme="majorBidi" w:hAnsiTheme="majorBidi" w:cstheme="majorBidi"/>
        </w:rPr>
        <w:t>a rigorous audit of administrative processes in the Health and Housing sectors is required to ensure that budgetary allocations translate into measurable human capital and infrastructure development.</w:t>
      </w:r>
    </w:p>
    <w:p w14:paraId="6C81870A" w14:textId="77777777" w:rsidR="00D8538D" w:rsidRPr="005721EF" w:rsidRDefault="00D8538D" w:rsidP="00D8538D">
      <w:pPr>
        <w:numPr>
          <w:ilvl w:val="0"/>
          <w:numId w:val="6"/>
        </w:numPr>
        <w:spacing w:before="120" w:after="120"/>
        <w:jc w:val="both"/>
        <w:rPr>
          <w:rFonts w:asciiTheme="majorBidi" w:hAnsiTheme="majorBidi" w:cstheme="majorBidi"/>
        </w:rPr>
      </w:pPr>
      <w:r w:rsidRPr="005721EF">
        <w:rPr>
          <w:rFonts w:asciiTheme="majorBidi" w:hAnsiTheme="majorBidi" w:cstheme="majorBidi"/>
        </w:rPr>
        <w:t>To mitigate the impact of external shocks, such as the 2026 energy price spikes, the government should integrate machine learning models (LSTM/XGBoost) for more accurate Nowcasting and proactive policy adjustment.</w:t>
      </w:r>
    </w:p>
    <w:p w14:paraId="402669CB" w14:textId="77777777" w:rsidR="00D8538D" w:rsidRPr="0017616D" w:rsidRDefault="00D8538D" w:rsidP="00D8538D">
      <w:pPr>
        <w:rPr>
          <w:rFonts w:asciiTheme="majorBidi" w:hAnsiTheme="majorBidi" w:cstheme="majorBidi"/>
          <w:b/>
          <w:bCs/>
        </w:rPr>
      </w:pPr>
      <w:r w:rsidRPr="0017616D">
        <w:rPr>
          <w:rFonts w:asciiTheme="majorBidi" w:hAnsiTheme="majorBidi" w:cstheme="majorBidi"/>
          <w:b/>
          <w:bCs/>
        </w:rPr>
        <w:br w:type="page"/>
      </w:r>
    </w:p>
    <w:p w14:paraId="1CB55E99" w14:textId="77777777" w:rsidR="00D8538D" w:rsidRPr="007D0351" w:rsidRDefault="00D8538D" w:rsidP="00D8538D">
      <w:pPr>
        <w:jc w:val="both"/>
        <w:rPr>
          <w:rFonts w:asciiTheme="majorBidi" w:hAnsiTheme="majorBidi" w:cstheme="majorBidi"/>
          <w:sz w:val="22"/>
          <w:szCs w:val="22"/>
        </w:rPr>
      </w:pPr>
      <w:r w:rsidRPr="007D0351">
        <w:rPr>
          <w:rFonts w:asciiTheme="majorBidi" w:hAnsiTheme="majorBidi" w:cstheme="majorBidi"/>
          <w:b/>
          <w:bCs/>
        </w:rPr>
        <w:t>References</w:t>
      </w:r>
    </w:p>
    <w:p w14:paraId="74FAE2D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Akabua, C. A., Metu, A. G., Nzeribe, G. E., &amp; Nwokoye, M. O. (2025). Does fiscal policy have any influence on inflation dynamics in Nigeria? </w:t>
      </w:r>
      <w:r w:rsidRPr="007D0351">
        <w:rPr>
          <w:rFonts w:asciiTheme="majorBidi" w:hAnsiTheme="majorBidi" w:cstheme="majorBidi"/>
          <w:i/>
          <w:iCs/>
          <w:sz w:val="22"/>
          <w:szCs w:val="22"/>
        </w:rPr>
        <w:t>Journal of Economic Studies, 21</w:t>
      </w:r>
      <w:r w:rsidRPr="007D0351">
        <w:rPr>
          <w:rFonts w:asciiTheme="majorBidi" w:hAnsiTheme="majorBidi" w:cstheme="majorBidi"/>
          <w:sz w:val="22"/>
          <w:szCs w:val="22"/>
        </w:rPr>
        <w:t>(2).</w:t>
      </w:r>
    </w:p>
    <w:p w14:paraId="57DDCC24"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Anyaduba, J. O., &amp; Otulugbu, P. O. (2019). Taxation and income inequality in Nigeria. </w:t>
      </w:r>
      <w:r w:rsidRPr="007D0351">
        <w:rPr>
          <w:rFonts w:asciiTheme="majorBidi" w:hAnsiTheme="majorBidi" w:cstheme="majorBidi"/>
          <w:i/>
          <w:iCs/>
          <w:sz w:val="22"/>
          <w:szCs w:val="22"/>
        </w:rPr>
        <w:t>Accounting and Finance Research, 8</w:t>
      </w:r>
      <w:r w:rsidRPr="007D0351">
        <w:rPr>
          <w:rFonts w:asciiTheme="majorBidi" w:hAnsiTheme="majorBidi" w:cstheme="majorBidi"/>
          <w:sz w:val="22"/>
          <w:szCs w:val="22"/>
        </w:rPr>
        <w:t>(3), 118–129.</w:t>
      </w:r>
    </w:p>
    <w:p w14:paraId="72ED6029"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Appah, E., &amp; Omesi, I. (2021). </w:t>
      </w:r>
      <w:r w:rsidRPr="007D0351">
        <w:rPr>
          <w:rFonts w:asciiTheme="majorBidi" w:hAnsiTheme="majorBidi" w:cstheme="majorBidi"/>
          <w:i/>
          <w:iCs/>
          <w:sz w:val="22"/>
          <w:szCs w:val="22"/>
        </w:rPr>
        <w:t>Taxes and income inequality in Nigeria: Cointegration and error correction mechanisms evidence from 1980–2018</w:t>
      </w:r>
      <w:r w:rsidRPr="007D0351">
        <w:rPr>
          <w:rFonts w:asciiTheme="majorBidi" w:hAnsiTheme="majorBidi" w:cstheme="majorBidi"/>
          <w:sz w:val="22"/>
          <w:szCs w:val="22"/>
        </w:rPr>
        <w:t>. BW Academic Journal.</w:t>
      </w:r>
    </w:p>
    <w:p w14:paraId="178EF1F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Atkinson, A. B., &amp; Stiglitz, J. E. (1980). Lectures on Public Economics. McGraw-Hill.</w:t>
      </w:r>
    </w:p>
    <w:p w14:paraId="61E662BB"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Barro, R.J. (1990), Government spending in a simple model of endogeneous growth. Journal of Political Economy, 98(5), 103-125.</w:t>
      </w:r>
    </w:p>
    <w:p w14:paraId="5E668862"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Bello, M. A. (2025). Tax policy reforms and income redistribution in Nigeria: A computable general equilibrium approach. </w:t>
      </w:r>
      <w:r w:rsidRPr="007D0351">
        <w:rPr>
          <w:rFonts w:asciiTheme="majorBidi" w:hAnsiTheme="majorBidi" w:cstheme="majorBidi"/>
          <w:i/>
          <w:iCs/>
          <w:sz w:val="22"/>
          <w:szCs w:val="22"/>
        </w:rPr>
        <w:t>Efficiens: Journal of Management Science and Operations, 1</w:t>
      </w:r>
      <w:r w:rsidRPr="007D0351">
        <w:rPr>
          <w:rFonts w:asciiTheme="majorBidi" w:hAnsiTheme="majorBidi" w:cstheme="majorBidi"/>
          <w:sz w:val="22"/>
          <w:szCs w:val="22"/>
        </w:rPr>
        <w:t>(1), 1–11.</w:t>
      </w:r>
    </w:p>
    <w:p w14:paraId="1E8AF96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Blank, R. M. (2002). Evaluating welfare reform in the United States. Journal of Economic Literature, 40(4), 1105-1166.</w:t>
      </w:r>
    </w:p>
    <w:p w14:paraId="548E000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Buthelezi, E. M. (2025). Evaluating government debt thresholds and fiscal consolidation: insights from Organisation for Economic Co-operation and Development countries. </w:t>
      </w:r>
      <w:r w:rsidRPr="007D0351">
        <w:rPr>
          <w:rFonts w:asciiTheme="majorBidi" w:hAnsiTheme="majorBidi" w:cstheme="majorBidi"/>
          <w:i/>
          <w:iCs/>
          <w:sz w:val="22"/>
          <w:szCs w:val="22"/>
        </w:rPr>
        <w:t>Macroeconomic Dynamics</w:t>
      </w:r>
      <w:r w:rsidRPr="007D0351">
        <w:rPr>
          <w:rFonts w:asciiTheme="majorBidi" w:hAnsiTheme="majorBidi" w:cstheme="majorBidi"/>
          <w:sz w:val="22"/>
          <w:szCs w:val="22"/>
        </w:rPr>
        <w:t>, </w:t>
      </w:r>
      <w:r w:rsidRPr="007D0351">
        <w:rPr>
          <w:rFonts w:asciiTheme="majorBidi" w:hAnsiTheme="majorBidi" w:cstheme="majorBidi"/>
          <w:i/>
          <w:iCs/>
          <w:sz w:val="22"/>
          <w:szCs w:val="22"/>
        </w:rPr>
        <w:t>29</w:t>
      </w:r>
      <w:r w:rsidRPr="007D0351">
        <w:rPr>
          <w:rFonts w:asciiTheme="majorBidi" w:hAnsiTheme="majorBidi" w:cstheme="majorBidi"/>
          <w:sz w:val="22"/>
          <w:szCs w:val="22"/>
        </w:rPr>
        <w:t>, e116. doi:10.1017/S1365100525100205</w:t>
      </w:r>
    </w:p>
    <w:p w14:paraId="66A3640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Central Bank of Nigeria. (2025). </w:t>
      </w:r>
      <w:r w:rsidRPr="007D0351">
        <w:rPr>
          <w:rFonts w:asciiTheme="majorBidi" w:hAnsiTheme="majorBidi" w:cstheme="majorBidi"/>
          <w:i/>
          <w:iCs/>
          <w:sz w:val="22"/>
          <w:szCs w:val="22"/>
        </w:rPr>
        <w:t>Macroeconomic stability and the inflation-growth trade-off in West Africa</w:t>
      </w:r>
      <w:r w:rsidRPr="007D0351">
        <w:rPr>
          <w:rFonts w:asciiTheme="majorBidi" w:hAnsiTheme="majorBidi" w:cstheme="majorBidi"/>
          <w:sz w:val="22"/>
          <w:szCs w:val="22"/>
        </w:rPr>
        <w:t xml:space="preserve">. CBN Press. </w:t>
      </w:r>
    </w:p>
    <w:p w14:paraId="2540704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Enaberue, M., Musa, A., &amp; Magaji, S. (2024). Role of poverty reduction initiatives in advancing sustainable development in Nigeria. </w:t>
      </w:r>
      <w:r w:rsidRPr="007D0351">
        <w:rPr>
          <w:rFonts w:asciiTheme="majorBidi" w:hAnsiTheme="majorBidi" w:cstheme="majorBidi"/>
          <w:i/>
          <w:iCs/>
          <w:sz w:val="22"/>
          <w:szCs w:val="22"/>
        </w:rPr>
        <w:t>International Journal of Innovative Finance and Economics Research</w:t>
      </w:r>
      <w:r w:rsidRPr="007D0351">
        <w:rPr>
          <w:rFonts w:asciiTheme="majorBidi" w:hAnsiTheme="majorBidi" w:cstheme="majorBidi"/>
          <w:sz w:val="22"/>
          <w:szCs w:val="22"/>
        </w:rPr>
        <w:t xml:space="preserve">, </w:t>
      </w:r>
      <w:r w:rsidRPr="007D0351">
        <w:rPr>
          <w:rFonts w:asciiTheme="majorBidi" w:hAnsiTheme="majorBidi" w:cstheme="majorBidi"/>
          <w:i/>
          <w:iCs/>
          <w:sz w:val="22"/>
          <w:szCs w:val="22"/>
        </w:rPr>
        <w:t>13</w:t>
      </w:r>
      <w:r w:rsidRPr="007D0351">
        <w:rPr>
          <w:rFonts w:asciiTheme="majorBidi" w:hAnsiTheme="majorBidi" w:cstheme="majorBidi"/>
          <w:sz w:val="22"/>
          <w:szCs w:val="22"/>
        </w:rPr>
        <w:t xml:space="preserve">(3). </w:t>
      </w:r>
    </w:p>
    <w:p w14:paraId="3421101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Esping-Andersen, G. (1990). The three worlds of welfare capitalism. Princeton University Press.</w:t>
      </w:r>
    </w:p>
    <w:p w14:paraId="73722AB3"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Eydam, U., &amp; Qualo, H. (2023). Income inequality and taxes: An empirical assessment. </w:t>
      </w:r>
      <w:r w:rsidRPr="007D0351">
        <w:rPr>
          <w:rFonts w:asciiTheme="majorBidi" w:hAnsiTheme="majorBidi" w:cstheme="majorBidi"/>
          <w:i/>
          <w:iCs/>
          <w:sz w:val="22"/>
          <w:szCs w:val="22"/>
        </w:rPr>
        <w:t>Applied Economics Letters, 31</w:t>
      </w:r>
      <w:r w:rsidRPr="007D0351">
        <w:rPr>
          <w:rFonts w:asciiTheme="majorBidi" w:hAnsiTheme="majorBidi" w:cstheme="majorBidi"/>
          <w:sz w:val="22"/>
          <w:szCs w:val="22"/>
        </w:rPr>
        <w:t>(14), 1828–1835.</w:t>
      </w:r>
    </w:p>
    <w:p w14:paraId="7DDCFCA6"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Kakwani, N., &amp; Pernia, E. M. (2000). What is pro-poor growth? Asian Development Review, 18(1), 1-16.</w:t>
      </w:r>
    </w:p>
    <w:p w14:paraId="21D5749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Keynes, J. M. (1936). The General Theory of Employment, Interest and Money. Macmillan.</w:t>
      </w:r>
    </w:p>
    <w:p w14:paraId="14E6FB02"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Maganya, M.H. (2020), Tax revenue and economic growth in developing country: An autoregressive distribution lags approach. Central European Economic Journal, 7(54), 205-217.</w:t>
      </w:r>
    </w:p>
    <w:p w14:paraId="7C38450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Mirrlees, J. A. (1971). An Exploration in the Theory of Optimum Income Taxation. Review of Economic Studies, 38(2), 175-208.</w:t>
      </w:r>
    </w:p>
    <w:p w14:paraId="15BC29E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Muhammad, S., &amp; Ibrahim, Y. (2024). The impact of tax revenue on real GDP growth: Evidence from Nigeria (1994–2022). </w:t>
      </w:r>
      <w:r w:rsidRPr="007D0351">
        <w:rPr>
          <w:rFonts w:asciiTheme="majorBidi" w:hAnsiTheme="majorBidi" w:cstheme="majorBidi"/>
          <w:i/>
          <w:iCs/>
          <w:sz w:val="22"/>
          <w:szCs w:val="22"/>
        </w:rPr>
        <w:t>African Scholar Publications</w:t>
      </w:r>
      <w:r w:rsidRPr="007D0351">
        <w:rPr>
          <w:rFonts w:asciiTheme="majorBidi" w:hAnsiTheme="majorBidi" w:cstheme="majorBidi"/>
          <w:sz w:val="22"/>
          <w:szCs w:val="22"/>
        </w:rPr>
        <w:t xml:space="preserve">. </w:t>
      </w:r>
    </w:p>
    <w:p w14:paraId="6EA15EF5"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Musgrave, R. A. (1959). The theory of public finance. McGraw-Hill.</w:t>
      </w:r>
    </w:p>
    <w:p w14:paraId="3FC4D27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Okeke, C. (2024). Effectiveness of fiscal and economic policy in monitoring inflation in Nigeria. </w:t>
      </w:r>
      <w:r w:rsidRPr="007D0351">
        <w:rPr>
          <w:rFonts w:asciiTheme="majorBidi" w:hAnsiTheme="majorBidi" w:cstheme="majorBidi"/>
          <w:i/>
          <w:iCs/>
          <w:sz w:val="22"/>
          <w:szCs w:val="22"/>
        </w:rPr>
        <w:t>FUDMA Journal of Accounting and Finance Research, 2</w:t>
      </w:r>
      <w:r w:rsidRPr="007D0351">
        <w:rPr>
          <w:rFonts w:asciiTheme="majorBidi" w:hAnsiTheme="majorBidi" w:cstheme="majorBidi"/>
          <w:sz w:val="22"/>
          <w:szCs w:val="22"/>
        </w:rPr>
        <w:t xml:space="preserve">(3), 110–117. </w:t>
      </w:r>
      <w:hyperlink r:id="rId7" w:tgtFrame="_new" w:history="1">
        <w:r w:rsidRPr="007D0351">
          <w:rPr>
            <w:rStyle w:val="Hyperlink"/>
            <w:rFonts w:asciiTheme="majorBidi" w:hAnsiTheme="majorBidi" w:cstheme="majorBidi"/>
            <w:color w:val="auto"/>
            <w:sz w:val="22"/>
            <w:szCs w:val="22"/>
            <w:u w:val="none"/>
          </w:rPr>
          <w:t>https://doi.org/10.33003/fujafr-2024.v2i3.105.110-117</w:t>
        </w:r>
      </w:hyperlink>
    </w:p>
    <w:p w14:paraId="7CCBFE6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Opayinka, T. K. (2025). The interplay between fiscal policy, inflation and economic growth in Nigeria: An ARDL approach. </w:t>
      </w:r>
      <w:r w:rsidRPr="007D0351">
        <w:rPr>
          <w:rFonts w:asciiTheme="majorBidi" w:hAnsiTheme="majorBidi" w:cstheme="majorBidi"/>
          <w:i/>
          <w:iCs/>
          <w:sz w:val="22"/>
          <w:szCs w:val="22"/>
        </w:rPr>
        <w:t>International Journal of Research and Innovation in Social Science</w:t>
      </w:r>
      <w:r w:rsidRPr="007D0351">
        <w:rPr>
          <w:rFonts w:asciiTheme="majorBidi" w:hAnsiTheme="majorBidi" w:cstheme="majorBidi"/>
          <w:sz w:val="22"/>
          <w:szCs w:val="22"/>
        </w:rPr>
        <w:t>.</w:t>
      </w:r>
    </w:p>
    <w:p w14:paraId="38EC3620"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Oseni, I. O., &amp; Salami, B. A. (2021). Tax revenue and government expenditure: Implications for sustainable development goals in Nigeria. </w:t>
      </w:r>
      <w:r w:rsidRPr="007D0351">
        <w:rPr>
          <w:rFonts w:asciiTheme="majorBidi" w:hAnsiTheme="majorBidi" w:cstheme="majorBidi"/>
          <w:i/>
          <w:iCs/>
          <w:sz w:val="22"/>
          <w:szCs w:val="22"/>
        </w:rPr>
        <w:t>ResearchGate</w:t>
      </w:r>
      <w:r w:rsidRPr="007D0351">
        <w:rPr>
          <w:rFonts w:asciiTheme="majorBidi" w:hAnsiTheme="majorBidi" w:cstheme="majorBidi"/>
          <w:sz w:val="22"/>
          <w:szCs w:val="22"/>
        </w:rPr>
        <w:t xml:space="preserve">. </w:t>
      </w:r>
    </w:p>
    <w:p w14:paraId="58E528C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Oyeleke, O. J., &amp; Onatunji, O. G. (2024). Macroeconomic effects of fiscal policy shocks in Nigeria: A new proof from mixed-frequency vector autoregression approach. </w:t>
      </w:r>
      <w:r w:rsidRPr="007D0351">
        <w:rPr>
          <w:rFonts w:asciiTheme="majorBidi" w:hAnsiTheme="majorBidi" w:cstheme="majorBidi"/>
          <w:i/>
          <w:iCs/>
          <w:sz w:val="22"/>
          <w:szCs w:val="22"/>
        </w:rPr>
        <w:t>Vision: The Journal of Business Perspective</w:t>
      </w:r>
      <w:r w:rsidRPr="007D0351">
        <w:rPr>
          <w:rFonts w:asciiTheme="majorBidi" w:hAnsiTheme="majorBidi" w:cstheme="majorBidi"/>
          <w:sz w:val="22"/>
          <w:szCs w:val="22"/>
        </w:rPr>
        <w:t xml:space="preserve">. </w:t>
      </w:r>
      <w:hyperlink r:id="rId8" w:tgtFrame="_new" w:history="1">
        <w:r w:rsidRPr="007D0351">
          <w:rPr>
            <w:rStyle w:val="Hyperlink"/>
            <w:rFonts w:asciiTheme="majorBidi" w:hAnsiTheme="majorBidi" w:cstheme="majorBidi"/>
            <w:color w:val="auto"/>
            <w:sz w:val="22"/>
            <w:szCs w:val="22"/>
            <w:u w:val="none"/>
          </w:rPr>
          <w:t>https://doi.org/10.1177/09721509241295837</w:t>
        </w:r>
      </w:hyperlink>
    </w:p>
    <w:p w14:paraId="6A5AABF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Pigou, A. C. (1920). The Economics of Welfare. Macmillan.</w:t>
      </w:r>
    </w:p>
    <w:p w14:paraId="33831F3C"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Punch Nigeria. (2026, April 16). </w:t>
      </w:r>
      <w:r w:rsidRPr="007D0351">
        <w:rPr>
          <w:rFonts w:asciiTheme="majorBidi" w:hAnsiTheme="majorBidi" w:cstheme="majorBidi"/>
          <w:i/>
          <w:iCs/>
          <w:sz w:val="22"/>
          <w:szCs w:val="22"/>
        </w:rPr>
        <w:t>Nigeria’s inflation rebounds after US-Iran war shocks hit households</w:t>
      </w:r>
      <w:r w:rsidRPr="007D0351">
        <w:rPr>
          <w:rFonts w:asciiTheme="majorBidi" w:hAnsiTheme="majorBidi" w:cstheme="majorBidi"/>
          <w:sz w:val="22"/>
          <w:szCs w:val="22"/>
        </w:rPr>
        <w:t>. Punchng.com.</w:t>
      </w:r>
    </w:p>
    <w:p w14:paraId="4851FCB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Rawls, J. (1971). A theory of justice. Harvard University Press.</w:t>
      </w:r>
    </w:p>
    <w:p w14:paraId="0C59C47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Saez, E., &amp; Diamond, P. (2011). The case for a progressive tax: From basic research to policy recommendations. Journal of Economic Perspectives, 25(4), 165-190.</w:t>
      </w:r>
    </w:p>
    <w:p w14:paraId="6AD3C37A"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Sen, A. K. (1970). Collective Choice and Social Welfare. Holden-Day.</w:t>
      </w:r>
    </w:p>
    <w:p w14:paraId="58FF17E1"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Stiglitz, J. E. (2012). The price of inequality: How today's divided society endangers our future. W.W. Norton &amp; Company.</w:t>
      </w:r>
    </w:p>
    <w:p w14:paraId="4D43F69E"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Tala, L. (2024). Economic Growth Effects of Fiscal Policy in South Africa: Empirical Evidence from Personal Income Tax. International Journal of Economics and Financial Issues. </w:t>
      </w:r>
      <w:hyperlink r:id="rId9" w:history="1">
        <w:r w:rsidRPr="007D0351">
          <w:rPr>
            <w:rStyle w:val="Hyperlink"/>
            <w:rFonts w:asciiTheme="majorBidi" w:hAnsiTheme="majorBidi" w:cstheme="majorBidi"/>
            <w:color w:val="auto"/>
            <w:sz w:val="22"/>
            <w:szCs w:val="22"/>
            <w:u w:val="none"/>
          </w:rPr>
          <w:t>https://doi.org/10.32479/IJEFI.15795</w:t>
        </w:r>
      </w:hyperlink>
    </w:p>
    <w:p w14:paraId="4358EA1C"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Tanchev, S. (2021). Long-run equilibrium between personal income tax and economic growth in Bulgaria. </w:t>
      </w:r>
      <w:r w:rsidRPr="007D0351">
        <w:rPr>
          <w:rFonts w:asciiTheme="majorBidi" w:hAnsiTheme="majorBidi" w:cstheme="majorBidi"/>
          <w:i/>
          <w:iCs/>
          <w:sz w:val="22"/>
          <w:szCs w:val="22"/>
        </w:rPr>
        <w:t>Journal of Tax Reform. 2021. Vol. 7.№ 1</w:t>
      </w:r>
      <w:r w:rsidRPr="007D0351">
        <w:rPr>
          <w:rFonts w:asciiTheme="majorBidi" w:hAnsiTheme="majorBidi" w:cstheme="majorBidi"/>
          <w:sz w:val="22"/>
          <w:szCs w:val="22"/>
        </w:rPr>
        <w:t>, </w:t>
      </w:r>
      <w:r w:rsidRPr="007D0351">
        <w:rPr>
          <w:rFonts w:asciiTheme="majorBidi" w:hAnsiTheme="majorBidi" w:cstheme="majorBidi"/>
          <w:i/>
          <w:iCs/>
          <w:sz w:val="22"/>
          <w:szCs w:val="22"/>
        </w:rPr>
        <w:t>7</w:t>
      </w:r>
      <w:r w:rsidRPr="007D0351">
        <w:rPr>
          <w:rFonts w:asciiTheme="majorBidi" w:hAnsiTheme="majorBidi" w:cstheme="majorBidi"/>
          <w:sz w:val="22"/>
          <w:szCs w:val="22"/>
        </w:rPr>
        <w:t>(1), 55-67.</w:t>
      </w:r>
    </w:p>
    <w:p w14:paraId="4519FE6D" w14:textId="77777777" w:rsidR="00D8538D" w:rsidRPr="007D0351" w:rsidRDefault="00D8538D" w:rsidP="00D8538D">
      <w:pPr>
        <w:spacing w:before="120" w:after="120"/>
        <w:ind w:left="720" w:hanging="720"/>
        <w:jc w:val="both"/>
        <w:rPr>
          <w:rFonts w:asciiTheme="majorBidi" w:hAnsiTheme="majorBidi" w:cstheme="majorBidi"/>
          <w:sz w:val="22"/>
          <w:szCs w:val="22"/>
        </w:rPr>
      </w:pPr>
      <w:r w:rsidRPr="007D0351">
        <w:rPr>
          <w:rFonts w:asciiTheme="majorBidi" w:hAnsiTheme="majorBidi" w:cstheme="majorBidi"/>
          <w:sz w:val="22"/>
          <w:szCs w:val="22"/>
        </w:rPr>
        <w:t xml:space="preserve">Voto, T. P., &amp; Ngepah, N. (2024). Personal income tax, redistribution and income inequality in Sub-Saharan Africa. </w:t>
      </w:r>
      <w:r w:rsidRPr="007D0351">
        <w:rPr>
          <w:rFonts w:asciiTheme="majorBidi" w:hAnsiTheme="majorBidi" w:cstheme="majorBidi"/>
          <w:i/>
          <w:iCs/>
          <w:sz w:val="22"/>
          <w:szCs w:val="22"/>
        </w:rPr>
        <w:t>International Review of Economics, 71</w:t>
      </w:r>
      <w:r w:rsidRPr="007D0351">
        <w:rPr>
          <w:rFonts w:asciiTheme="majorBidi" w:hAnsiTheme="majorBidi" w:cstheme="majorBidi"/>
          <w:sz w:val="22"/>
          <w:szCs w:val="22"/>
        </w:rPr>
        <w:t>(2), 205–223.</w:t>
      </w:r>
    </w:p>
    <w:p w14:paraId="114275AA" w14:textId="77777777" w:rsidR="009E3E50" w:rsidRDefault="009E3E50"/>
    <w:sectPr w:rsidR="009E3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417F"/>
    <w:multiLevelType w:val="multilevel"/>
    <w:tmpl w:val="51A69C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1D6A"/>
    <w:multiLevelType w:val="multilevel"/>
    <w:tmpl w:val="BBD6A7D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24FCB"/>
    <w:multiLevelType w:val="multilevel"/>
    <w:tmpl w:val="62ACB4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28AC0395"/>
    <w:multiLevelType w:val="hybridMultilevel"/>
    <w:tmpl w:val="3A72AB54"/>
    <w:lvl w:ilvl="0" w:tplc="FFFFFFFF">
      <w:start w:val="1"/>
      <w:numFmt w:val="decimal"/>
      <w:lvlText w:val="%1."/>
      <w:lvlJc w:val="left"/>
      <w:pPr>
        <w:ind w:left="65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000019" w:tentative="1">
      <w:start w:val="1"/>
      <w:numFmt w:val="lowerLetter"/>
      <w:lvlText w:val="%2."/>
      <w:lvlJc w:val="left"/>
      <w:pPr>
        <w:ind w:left="6750" w:hanging="360"/>
      </w:pPr>
    </w:lvl>
    <w:lvl w:ilvl="2" w:tplc="0C00001B" w:tentative="1">
      <w:start w:val="1"/>
      <w:numFmt w:val="lowerRoman"/>
      <w:lvlText w:val="%3."/>
      <w:lvlJc w:val="right"/>
      <w:pPr>
        <w:ind w:left="7470" w:hanging="180"/>
      </w:pPr>
    </w:lvl>
    <w:lvl w:ilvl="3" w:tplc="0C00000F" w:tentative="1">
      <w:start w:val="1"/>
      <w:numFmt w:val="decimal"/>
      <w:lvlText w:val="%4."/>
      <w:lvlJc w:val="left"/>
      <w:pPr>
        <w:ind w:left="8190" w:hanging="360"/>
      </w:pPr>
    </w:lvl>
    <w:lvl w:ilvl="4" w:tplc="0C000019" w:tentative="1">
      <w:start w:val="1"/>
      <w:numFmt w:val="lowerLetter"/>
      <w:lvlText w:val="%5."/>
      <w:lvlJc w:val="left"/>
      <w:pPr>
        <w:ind w:left="8910" w:hanging="360"/>
      </w:pPr>
    </w:lvl>
    <w:lvl w:ilvl="5" w:tplc="0C00001B" w:tentative="1">
      <w:start w:val="1"/>
      <w:numFmt w:val="lowerRoman"/>
      <w:lvlText w:val="%6."/>
      <w:lvlJc w:val="right"/>
      <w:pPr>
        <w:ind w:left="9630" w:hanging="180"/>
      </w:pPr>
    </w:lvl>
    <w:lvl w:ilvl="6" w:tplc="0C00000F" w:tentative="1">
      <w:start w:val="1"/>
      <w:numFmt w:val="decimal"/>
      <w:lvlText w:val="%7."/>
      <w:lvlJc w:val="left"/>
      <w:pPr>
        <w:ind w:left="10350" w:hanging="360"/>
      </w:pPr>
    </w:lvl>
    <w:lvl w:ilvl="7" w:tplc="0C000019" w:tentative="1">
      <w:start w:val="1"/>
      <w:numFmt w:val="lowerLetter"/>
      <w:lvlText w:val="%8."/>
      <w:lvlJc w:val="left"/>
      <w:pPr>
        <w:ind w:left="11070" w:hanging="360"/>
      </w:pPr>
    </w:lvl>
    <w:lvl w:ilvl="8" w:tplc="0C00001B" w:tentative="1">
      <w:start w:val="1"/>
      <w:numFmt w:val="lowerRoman"/>
      <w:lvlText w:val="%9."/>
      <w:lvlJc w:val="right"/>
      <w:pPr>
        <w:ind w:left="11790" w:hanging="180"/>
      </w:pPr>
    </w:lvl>
  </w:abstractNum>
  <w:abstractNum w:abstractNumId="4" w15:restartNumberingAfterBreak="0">
    <w:nsid w:val="394018B9"/>
    <w:multiLevelType w:val="hybridMultilevel"/>
    <w:tmpl w:val="0DB42ACA"/>
    <w:lvl w:ilvl="0" w:tplc="852EDD36">
      <w:start w:val="1"/>
      <w:numFmt w:val="lowerRoman"/>
      <w:lvlText w:val="%1."/>
      <w:lvlJc w:val="left"/>
      <w:pPr>
        <w:ind w:left="1440" w:hanging="72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15:restartNumberingAfterBreak="0">
    <w:nsid w:val="5D875FE2"/>
    <w:multiLevelType w:val="multilevel"/>
    <w:tmpl w:val="6F14CC7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D45EB4"/>
    <w:multiLevelType w:val="multilevel"/>
    <w:tmpl w:val="2BCEDBF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504707963">
    <w:abstractNumId w:val="0"/>
  </w:num>
  <w:num w:numId="2" w16cid:durableId="217283408">
    <w:abstractNumId w:val="2"/>
  </w:num>
  <w:num w:numId="3" w16cid:durableId="983001300">
    <w:abstractNumId w:val="5"/>
  </w:num>
  <w:num w:numId="4" w16cid:durableId="2079277173">
    <w:abstractNumId w:val="1"/>
  </w:num>
  <w:num w:numId="5" w16cid:durableId="1267008715">
    <w:abstractNumId w:val="4"/>
  </w:num>
  <w:num w:numId="6" w16cid:durableId="1914390273">
    <w:abstractNumId w:val="6"/>
  </w:num>
  <w:num w:numId="7" w16cid:durableId="147213885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38D"/>
    <w:rsid w:val="0004691C"/>
    <w:rsid w:val="00107534"/>
    <w:rsid w:val="00382F32"/>
    <w:rsid w:val="003F39C8"/>
    <w:rsid w:val="006F58BD"/>
    <w:rsid w:val="007D0351"/>
    <w:rsid w:val="00802CD0"/>
    <w:rsid w:val="009375D7"/>
    <w:rsid w:val="009E3E50"/>
    <w:rsid w:val="00B01E2F"/>
    <w:rsid w:val="00C53BBB"/>
    <w:rsid w:val="00D10B0C"/>
    <w:rsid w:val="00D8538D"/>
    <w:rsid w:val="00E9498D"/>
    <w:rsid w:val="00EB58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C53D"/>
  <w15:chartTrackingRefBased/>
  <w15:docId w15:val="{FE6E7F63-6E0E-4C03-91ED-B933CDAD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8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D8538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D8538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D8538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D8538D"/>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rsid w:val="00D8538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8538D"/>
    <w:rPr>
      <w:rFonts w:ascii="Times New Roman" w:eastAsia="Times New Roman" w:hAnsi="Times New Roman" w:cs="Times New Roman"/>
      <w:sz w:val="18"/>
      <w:szCs w:val="18"/>
    </w:rPr>
  </w:style>
  <w:style w:type="paragraph" w:styleId="Header">
    <w:name w:val="header"/>
    <w:basedOn w:val="Normal"/>
    <w:link w:val="HeaderChar"/>
    <w:rsid w:val="00D8538D"/>
    <w:pPr>
      <w:tabs>
        <w:tab w:val="center" w:pos="4153"/>
        <w:tab w:val="right" w:pos="8306"/>
      </w:tabs>
      <w:snapToGrid w:val="0"/>
    </w:pPr>
    <w:rPr>
      <w:sz w:val="18"/>
      <w:szCs w:val="18"/>
    </w:rPr>
  </w:style>
  <w:style w:type="character" w:customStyle="1" w:styleId="HeaderChar">
    <w:name w:val="Header Char"/>
    <w:basedOn w:val="DefaultParagraphFont"/>
    <w:link w:val="Header"/>
    <w:rsid w:val="00D8538D"/>
    <w:rPr>
      <w:rFonts w:ascii="Times New Roman" w:eastAsia="Times New Roman" w:hAnsi="Times New Roman" w:cs="Times New Roman"/>
      <w:sz w:val="18"/>
      <w:szCs w:val="18"/>
    </w:rPr>
  </w:style>
  <w:style w:type="character" w:styleId="PlaceholderText">
    <w:name w:val="Placeholder Text"/>
    <w:basedOn w:val="DefaultParagraphFont"/>
    <w:uiPriority w:val="99"/>
    <w:unhideWhenUsed/>
    <w:rsid w:val="00D8538D"/>
    <w:rPr>
      <w:color w:val="666666"/>
    </w:rPr>
  </w:style>
  <w:style w:type="table" w:styleId="TableGrid">
    <w:name w:val="Table Grid"/>
    <w:basedOn w:val="TableNormal"/>
    <w:rsid w:val="00D8538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D8538D"/>
    <w:pPr>
      <w:ind w:left="720"/>
      <w:contextualSpacing/>
    </w:pPr>
  </w:style>
  <w:style w:type="character" w:customStyle="1" w:styleId="math-inline">
    <w:name w:val="math-inline"/>
    <w:basedOn w:val="DefaultParagraphFont"/>
    <w:rsid w:val="00D8538D"/>
  </w:style>
  <w:style w:type="paragraph" w:styleId="NormalWeb">
    <w:name w:val="Normal (Web)"/>
    <w:basedOn w:val="Normal"/>
    <w:uiPriority w:val="99"/>
    <w:rsid w:val="00D8538D"/>
  </w:style>
  <w:style w:type="table" w:styleId="ListTable3-Accent1">
    <w:name w:val="List Table 3 Accent 1"/>
    <w:basedOn w:val="TableNormal"/>
    <w:uiPriority w:val="48"/>
    <w:rsid w:val="00D8538D"/>
    <w:pPr>
      <w:spacing w:after="0" w:line="240" w:lineRule="auto"/>
    </w:pPr>
    <w:rPr>
      <w:rFonts w:eastAsiaTheme="minorEastAsia"/>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5">
    <w:name w:val="List Table 3 Accent 5"/>
    <w:basedOn w:val="TableNormal"/>
    <w:uiPriority w:val="48"/>
    <w:rsid w:val="00D8538D"/>
    <w:pPr>
      <w:spacing w:after="0" w:line="240" w:lineRule="auto"/>
    </w:pPr>
    <w:rPr>
      <w:rFonts w:eastAsiaTheme="minorEastAsia"/>
      <w:sz w:val="20"/>
      <w:szCs w:val="2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3">
    <w:name w:val="List Table 3 Accent 3"/>
    <w:basedOn w:val="TableNormal"/>
    <w:uiPriority w:val="48"/>
    <w:rsid w:val="00D8538D"/>
    <w:pPr>
      <w:spacing w:after="0" w:line="240" w:lineRule="auto"/>
    </w:pPr>
    <w:rPr>
      <w:rFonts w:eastAsiaTheme="minorEastAsia"/>
      <w:sz w:val="20"/>
      <w:szCs w:val="2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
    <w:name w:val="List Table 3"/>
    <w:basedOn w:val="TableNormal"/>
    <w:uiPriority w:val="48"/>
    <w:rsid w:val="00D8538D"/>
    <w:pPr>
      <w:spacing w:after="0" w:line="240" w:lineRule="auto"/>
    </w:pPr>
    <w:rPr>
      <w:rFonts w:eastAsiaTheme="minorEastAsia"/>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5">
    <w:name w:val="Plain Table 5"/>
    <w:basedOn w:val="TableNormal"/>
    <w:uiPriority w:val="45"/>
    <w:rsid w:val="00D8538D"/>
    <w:pPr>
      <w:spacing w:after="0" w:line="240" w:lineRule="auto"/>
    </w:pPr>
    <w:rPr>
      <w:rFonts w:eastAsiaTheme="minorEastAsia"/>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D8538D"/>
    <w:pPr>
      <w:spacing w:after="0" w:line="240" w:lineRule="auto"/>
    </w:pPr>
    <w:rPr>
      <w:rFonts w:eastAsiaTheme="minorEastAsia"/>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D8538D"/>
    <w:rPr>
      <w:b/>
      <w:bCs/>
    </w:rPr>
  </w:style>
  <w:style w:type="table" w:styleId="PlainTable1">
    <w:name w:val="Plain Table 1"/>
    <w:basedOn w:val="TableNormal"/>
    <w:uiPriority w:val="41"/>
    <w:rsid w:val="00D8538D"/>
    <w:pPr>
      <w:spacing w:after="0" w:line="240" w:lineRule="auto"/>
    </w:pPr>
    <w:rPr>
      <w:rFonts w:eastAsiaTheme="minorEastAsia"/>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8538D"/>
    <w:pPr>
      <w:spacing w:after="0" w:line="240" w:lineRule="auto"/>
    </w:pPr>
    <w:rPr>
      <w:rFonts w:eastAsiaTheme="minorEastAsi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D8538D"/>
    <w:pPr>
      <w:spacing w:after="0" w:line="240" w:lineRule="auto"/>
    </w:pPr>
    <w:rPr>
      <w:rFonts w:eastAsiaTheme="minorEastAsia"/>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rsid w:val="00D8538D"/>
    <w:rPr>
      <w:color w:val="0563C1" w:themeColor="hyperlink"/>
      <w:u w:val="single"/>
    </w:rPr>
  </w:style>
  <w:style w:type="character" w:customStyle="1" w:styleId="UnresolvedMention1">
    <w:name w:val="Unresolved Mention1"/>
    <w:basedOn w:val="DefaultParagraphFont"/>
    <w:uiPriority w:val="99"/>
    <w:semiHidden/>
    <w:unhideWhenUsed/>
    <w:rsid w:val="00D85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9721509241295837" TargetMode="External"/><Relationship Id="rId3" Type="http://schemas.openxmlformats.org/officeDocument/2006/relationships/settings" Target="settings.xml"/><Relationship Id="rId7" Type="http://schemas.openxmlformats.org/officeDocument/2006/relationships/hyperlink" Target="https://doi.org/10.33003/fujafr-2024.v2i3.105.110-1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2479/IJEFI.157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9093</Words>
  <Characters>51831</Characters>
  <Application>Microsoft Office Word</Application>
  <DocSecurity>0</DocSecurity>
  <Lines>431</Lines>
  <Paragraphs>121</Paragraphs>
  <ScaleCrop>false</ScaleCrop>
  <Company/>
  <LinksUpToDate>false</LinksUpToDate>
  <CharactersWithSpaces>60803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Lukumon SALAHUDEEN</cp:lastModifiedBy>
  <cp:revision>15</cp:revision>
  <dcterms:created xsi:type="dcterms:W3CDTF">2026-05-10T06:25:00Z</dcterms:created>
  <dcterms:modified xsi:type="dcterms:W3CDTF">2026-05-13T08:20:00Z</dcterms:modified>
</cp:coreProperties>
</file>