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6C4" w:rsidRPr="00FA77FD" w:rsidRDefault="00702038" w:rsidP="00FA77FD">
      <w:pPr>
        <w:spacing w:after="240" w:line="240" w:lineRule="auto"/>
        <w:jc w:val="center"/>
        <w:rPr>
          <w:rFonts w:ascii="Times New Roman" w:hAnsi="Times New Roman" w:cs="Times New Roman"/>
          <w:b/>
          <w:sz w:val="36"/>
          <w:szCs w:val="36"/>
        </w:rPr>
      </w:pPr>
      <w:r w:rsidRPr="00FA77FD">
        <w:rPr>
          <w:rFonts w:ascii="Times New Roman" w:hAnsi="Times New Roman" w:cs="Times New Roman"/>
          <w:b/>
          <w:sz w:val="36"/>
          <w:szCs w:val="36"/>
        </w:rPr>
        <w:t xml:space="preserve">Forensic Accounting Techniques </w:t>
      </w:r>
      <w:r w:rsidR="00FA77FD" w:rsidRPr="00FA77FD">
        <w:rPr>
          <w:rFonts w:ascii="Times New Roman" w:hAnsi="Times New Roman" w:cs="Times New Roman"/>
          <w:b/>
          <w:sz w:val="36"/>
          <w:szCs w:val="36"/>
        </w:rPr>
        <w:t xml:space="preserve">and </w:t>
      </w:r>
      <w:r w:rsidRPr="00FA77FD">
        <w:rPr>
          <w:rFonts w:ascii="Times New Roman" w:hAnsi="Times New Roman" w:cs="Times New Roman"/>
          <w:b/>
          <w:sz w:val="36"/>
          <w:szCs w:val="36"/>
        </w:rPr>
        <w:t>Corporate Governance Effectiveness</w:t>
      </w:r>
      <w:r w:rsidR="00FA77FD" w:rsidRPr="00FA77FD">
        <w:rPr>
          <w:rFonts w:ascii="Times New Roman" w:hAnsi="Times New Roman" w:cs="Times New Roman"/>
          <w:b/>
          <w:sz w:val="36"/>
          <w:szCs w:val="36"/>
        </w:rPr>
        <w:t xml:space="preserve">: </w:t>
      </w:r>
      <w:r w:rsidRPr="00FA77FD">
        <w:rPr>
          <w:rFonts w:ascii="Times New Roman" w:hAnsi="Times New Roman" w:cs="Times New Roman"/>
          <w:b/>
          <w:sz w:val="36"/>
          <w:szCs w:val="36"/>
        </w:rPr>
        <w:t xml:space="preserve">Evidence </w:t>
      </w:r>
      <w:r w:rsidR="00FA77FD" w:rsidRPr="00FA77FD">
        <w:rPr>
          <w:rFonts w:ascii="Times New Roman" w:hAnsi="Times New Roman" w:cs="Times New Roman"/>
          <w:b/>
          <w:sz w:val="36"/>
          <w:szCs w:val="36"/>
        </w:rPr>
        <w:t xml:space="preserve">from </w:t>
      </w:r>
      <w:r w:rsidRPr="00FA77FD">
        <w:rPr>
          <w:rFonts w:ascii="Times New Roman" w:hAnsi="Times New Roman" w:cs="Times New Roman"/>
          <w:b/>
          <w:sz w:val="36"/>
          <w:szCs w:val="36"/>
        </w:rPr>
        <w:t>Emerging Market Firms</w:t>
      </w:r>
    </w:p>
    <w:p w:rsidR="00416986" w:rsidRPr="00FA77FD" w:rsidRDefault="00416986" w:rsidP="00FA77FD">
      <w:pPr>
        <w:spacing w:after="240" w:line="240" w:lineRule="auto"/>
        <w:jc w:val="center"/>
        <w:outlineLvl w:val="0"/>
        <w:rPr>
          <w:rFonts w:ascii="Times New Roman" w:eastAsia="Times New Roman" w:hAnsi="Times New Roman" w:cs="Times New Roman"/>
          <w:b/>
          <w:bCs/>
          <w:kern w:val="36"/>
          <w:sz w:val="24"/>
          <w:szCs w:val="24"/>
          <w:lang w:val="en-US"/>
        </w:rPr>
      </w:pPr>
      <w:r w:rsidRPr="00FA77FD">
        <w:rPr>
          <w:rFonts w:ascii="Times New Roman" w:eastAsia="Times New Roman" w:hAnsi="Times New Roman" w:cs="Times New Roman"/>
          <w:b/>
          <w:bCs/>
          <w:kern w:val="36"/>
          <w:sz w:val="24"/>
          <w:szCs w:val="24"/>
          <w:lang w:val="en-US"/>
        </w:rPr>
        <w:t>Dr. D. Rajagopal</w:t>
      </w:r>
    </w:p>
    <w:p w:rsidR="00416986" w:rsidRDefault="00416986" w:rsidP="00FA77FD">
      <w:pPr>
        <w:spacing w:after="240" w:line="240" w:lineRule="auto"/>
        <w:jc w:val="center"/>
        <w:outlineLvl w:val="0"/>
        <w:rPr>
          <w:rFonts w:ascii="Times New Roman" w:eastAsia="Times New Roman" w:hAnsi="Times New Roman" w:cs="Times New Roman"/>
          <w:b/>
          <w:bCs/>
          <w:kern w:val="36"/>
          <w:sz w:val="24"/>
          <w:szCs w:val="24"/>
          <w:lang w:val="en-US"/>
        </w:rPr>
      </w:pPr>
      <w:r w:rsidRPr="00FA77FD">
        <w:rPr>
          <w:rFonts w:ascii="Times New Roman" w:eastAsia="Times New Roman" w:hAnsi="Times New Roman" w:cs="Times New Roman"/>
          <w:b/>
          <w:bCs/>
          <w:kern w:val="36"/>
          <w:sz w:val="24"/>
          <w:szCs w:val="24"/>
          <w:lang w:val="en-US"/>
        </w:rPr>
        <w:t>Assistant Professor, Department of Commerce &amp; Business Management,</w:t>
      </w:r>
      <w:r w:rsidR="00FA77FD" w:rsidRPr="00FA77FD">
        <w:rPr>
          <w:rFonts w:ascii="Times New Roman" w:eastAsia="Times New Roman" w:hAnsi="Times New Roman" w:cs="Times New Roman"/>
          <w:b/>
          <w:bCs/>
          <w:kern w:val="36"/>
          <w:sz w:val="24"/>
          <w:szCs w:val="24"/>
          <w:lang w:val="en-US"/>
        </w:rPr>
        <w:t xml:space="preserve"> </w:t>
      </w:r>
      <w:r w:rsidRPr="00FA77FD">
        <w:rPr>
          <w:rFonts w:ascii="Times New Roman" w:eastAsia="Times New Roman" w:hAnsi="Times New Roman" w:cs="Times New Roman"/>
          <w:b/>
          <w:bCs/>
          <w:kern w:val="36"/>
          <w:sz w:val="24"/>
          <w:szCs w:val="24"/>
          <w:lang w:val="en-US"/>
        </w:rPr>
        <w:t>Veeranari Chakali</w:t>
      </w:r>
      <w:r w:rsidR="00FA77FD" w:rsidRPr="00FA77FD">
        <w:rPr>
          <w:rFonts w:ascii="Times New Roman" w:eastAsia="Times New Roman" w:hAnsi="Times New Roman" w:cs="Times New Roman"/>
          <w:b/>
          <w:bCs/>
          <w:kern w:val="36"/>
          <w:sz w:val="24"/>
          <w:szCs w:val="24"/>
          <w:lang w:val="en-US"/>
        </w:rPr>
        <w:t xml:space="preserve"> Ilamma Women’s University, Hyd</w:t>
      </w:r>
    </w:p>
    <w:p w:rsidR="00FA77FD" w:rsidRPr="00FA77FD" w:rsidRDefault="00FA77FD" w:rsidP="00FA77FD">
      <w:pPr>
        <w:spacing w:after="240" w:line="240" w:lineRule="auto"/>
        <w:jc w:val="center"/>
        <w:rPr>
          <w:rFonts w:ascii="Times New Roman" w:eastAsia="Calibri" w:hAnsi="Times New Roman" w:cs="Times New Roman"/>
          <w:b/>
          <w:kern w:val="0"/>
          <w:sz w:val="24"/>
          <w:szCs w:val="24"/>
          <w:lang w:val="en"/>
        </w:rPr>
      </w:pPr>
      <w:r w:rsidRPr="00FA77FD">
        <w:rPr>
          <w:rFonts w:ascii="Times New Roman" w:eastAsia="Calibri" w:hAnsi="Times New Roman" w:cs="Times New Roman"/>
          <w:b/>
          <w:kern w:val="0"/>
          <w:sz w:val="24"/>
          <w:szCs w:val="24"/>
          <w:lang w:val="en"/>
        </w:rPr>
        <w:t>DOI: https://doi.org/xxxx/xxxx</w:t>
      </w:r>
    </w:p>
    <w:p w:rsidR="00FA77FD" w:rsidRPr="00FA77FD" w:rsidRDefault="00FA77FD" w:rsidP="00FA77FD">
      <w:pPr>
        <w:spacing w:after="240" w:line="240" w:lineRule="auto"/>
        <w:jc w:val="center"/>
        <w:rPr>
          <w:rFonts w:ascii="Times New Roman" w:eastAsia="Calibri" w:hAnsi="Times New Roman" w:cs="Times New Roman"/>
          <w:b/>
          <w:kern w:val="0"/>
          <w:sz w:val="24"/>
          <w:szCs w:val="24"/>
          <w:lang w:val="en"/>
        </w:rPr>
      </w:pPr>
      <w:r w:rsidRPr="00FA77FD">
        <w:rPr>
          <w:rFonts w:ascii="Times New Roman" w:eastAsia="Calibri" w:hAnsi="Times New Roman" w:cs="Times New Roman"/>
          <w:b/>
          <w:kern w:val="0"/>
          <w:sz w:val="24"/>
          <w:szCs w:val="24"/>
          <w:lang w:val="en"/>
        </w:rPr>
        <w:t>Received: XX December 2025; Accepted: XX December 2025; Published: XX January 2026</w:t>
      </w:r>
    </w:p>
    <w:p w:rsidR="00F101FE" w:rsidRPr="00FA77FD" w:rsidRDefault="00FA77FD" w:rsidP="00FA77FD">
      <w:pPr>
        <w:spacing w:after="240" w:line="240" w:lineRule="auto"/>
        <w:jc w:val="both"/>
        <w:outlineLvl w:val="0"/>
        <w:rPr>
          <w:rFonts w:ascii="Times New Roman" w:eastAsia="Times New Roman" w:hAnsi="Times New Roman" w:cs="Times New Roman"/>
          <w:b/>
          <w:bCs/>
          <w:kern w:val="36"/>
          <w:sz w:val="28"/>
          <w:szCs w:val="24"/>
          <w:lang w:val="en-US"/>
        </w:rPr>
      </w:pPr>
      <w:r w:rsidRPr="00FA77FD">
        <w:rPr>
          <w:rFonts w:ascii="Times New Roman" w:hAnsi="Times New Roman" w:cs="Times New Roman"/>
          <w:b/>
          <w:sz w:val="28"/>
          <w:szCs w:val="24"/>
        </w:rPr>
        <w:t>ABSTRACT</w:t>
      </w:r>
    </w:p>
    <w:p w:rsidR="00F101FE" w:rsidRPr="00FA77FD" w:rsidRDefault="00F101FE" w:rsidP="00FA77FD">
      <w:pPr>
        <w:pStyle w:val="NormalWeb"/>
        <w:spacing w:before="0" w:beforeAutospacing="0" w:after="240" w:afterAutospacing="0"/>
        <w:jc w:val="both"/>
      </w:pPr>
      <w:r w:rsidRPr="00FA77FD">
        <w:t>This study investigates the relationship between forensic accounting techniques and corporate governance effectiveness in emerging market firms, with particular emphasis on the mediating role of fraud risk reduction. In emerging economies, weak regulatory enforcement, ownership concentration, and institutional gaps often heighten the risk of financial misreporting and governance failure. Against this backdrop, forensic accounting has emerged as a strategic monitoring mechanism capable of enhancing transparency and strengthening internal control systems. Using a balanced panel dataset of 1,250 firm-year observations, the study applies fixed effects, random effects, and dynamic panel Generalized Method of Moments (GMM) estimation to address potential endogeneity concerns. Corporate governance effectiveness is measured through a composite governance index, while forensic accounting adoption is captured using an aggregated index of investigative and monitoring practices. Fraud risk is proxied through financial reporting risk indicators derived from discretionary accruals and manipulation detection models. The findings indicate that forensic accounting techniques significantly improve corporate governance effectiveness and reduce fraud risk. Mediation analysis further reveals that fraud risk reduction partially mediates the relationship between forensic accounting adoption and governance outcomes, suggesting both direct and indirect governance benefits. The results remain robust across alternative specifications. The study contributes to the governance and forensic accounting literature by providing dynamic panel evidence from emerging markets and offers practical insights for regulators, boards, and policymakers seeking to enhance financial transparency and ethical compliance.</w:t>
      </w:r>
    </w:p>
    <w:p w:rsidR="00702038" w:rsidRPr="00FA77FD" w:rsidRDefault="00F101FE" w:rsidP="00FA77FD">
      <w:pPr>
        <w:pStyle w:val="NormalWeb"/>
        <w:spacing w:before="0" w:beforeAutospacing="0" w:after="240" w:afterAutospacing="0"/>
        <w:jc w:val="both"/>
        <w:rPr>
          <w:rStyle w:val="Strong"/>
          <w:b w:val="0"/>
          <w:bCs w:val="0"/>
        </w:rPr>
      </w:pPr>
      <w:r w:rsidRPr="00FA77FD">
        <w:rPr>
          <w:rStyle w:val="Strong"/>
        </w:rPr>
        <w:t>Keywords:</w:t>
      </w:r>
      <w:r w:rsidRPr="00FA77FD">
        <w:t xml:space="preserve"> Forensic accounting; Corporate governance; Fraud risk; Emerging markets; Financial reporting quality; Panel data.</w:t>
      </w:r>
    </w:p>
    <w:p w:rsidR="00702038" w:rsidRPr="00FA77FD" w:rsidRDefault="00FA77FD" w:rsidP="00FA77FD">
      <w:pPr>
        <w:spacing w:after="240" w:line="240" w:lineRule="auto"/>
        <w:jc w:val="both"/>
        <w:rPr>
          <w:rFonts w:ascii="Times New Roman" w:hAnsi="Times New Roman" w:cs="Times New Roman"/>
          <w:kern w:val="0"/>
          <w:sz w:val="28"/>
          <w:szCs w:val="24"/>
          <w:lang w:val="en-US"/>
        </w:rPr>
      </w:pPr>
      <w:r w:rsidRPr="00FA77FD">
        <w:rPr>
          <w:rStyle w:val="Strong"/>
          <w:rFonts w:ascii="Times New Roman" w:hAnsi="Times New Roman" w:cs="Times New Roman"/>
          <w:sz w:val="28"/>
          <w:szCs w:val="24"/>
        </w:rPr>
        <w:t>INTRODUCTION</w:t>
      </w:r>
    </w:p>
    <w:p w:rsidR="00702038" w:rsidRPr="00FA77FD" w:rsidRDefault="00702038" w:rsidP="00FA77FD">
      <w:pPr>
        <w:pStyle w:val="NormalWeb"/>
        <w:spacing w:before="0" w:beforeAutospacing="0" w:after="240" w:afterAutospacing="0"/>
        <w:jc w:val="both"/>
      </w:pPr>
      <w:r w:rsidRPr="00FA77FD">
        <w:t>Corporate governance failures and large-scale financial scandals across emerging markets have intensified the demand for stronger oversight mechanisms and enhanced accountability frameworks. Incidents involving financial misstatements, earnings manipulation, regulatory non-compliance, and fraud have undermined investor confidence and weakened capital market efficiency. Emerging economies, in particular, face structural challenges such as concentrated ownership, weaker enforcement systems, regulatory gaps, and limited transparency, which heighten the risk of governance breakdowns. In this context, strengthening corporate governance effectiveness has become a strategic priority for regulators, investors, and corporate stakeholders.</w:t>
      </w:r>
    </w:p>
    <w:p w:rsidR="00702038" w:rsidRPr="00FA77FD" w:rsidRDefault="00702038" w:rsidP="00FA77FD">
      <w:pPr>
        <w:pStyle w:val="NormalWeb"/>
        <w:spacing w:before="0" w:beforeAutospacing="0" w:after="240" w:afterAutospacing="0"/>
        <w:jc w:val="both"/>
      </w:pPr>
      <w:r w:rsidRPr="00FA77FD">
        <w:t>Forensic accounting has emerged as a powerful mechanism to detect, prevent, and investigate financial irregularities. Unlike traditional auditing, which primarily focuses on compliance and fair presentation, forensic accounting integrates investigative techniques, litigation support, data analytics, fraud risk assessment, and digital examination tools to identify anomalies and governance weaknesses. The growing adoption of forensic accounting techniques—including forensic audits, continuous monitoring systems, whistleblower analytics, and data-driven fraud detection—signals a shift from reactive to proactive governance frameworks.</w:t>
      </w:r>
    </w:p>
    <w:p w:rsidR="00702038" w:rsidRPr="00FA77FD" w:rsidRDefault="00702038" w:rsidP="00FA77FD">
      <w:pPr>
        <w:pStyle w:val="NormalWeb"/>
        <w:spacing w:before="0" w:beforeAutospacing="0" w:after="240" w:afterAutospacing="0"/>
        <w:jc w:val="both"/>
      </w:pPr>
      <w:r w:rsidRPr="00FA77FD">
        <w:t xml:space="preserve">Corporate governance effectiveness generally reflects the ability of internal governance mechanisms—such as board independence, audit committee oversight, internal controls, and disclosure quality—to ensure </w:t>
      </w:r>
      <w:r w:rsidRPr="00FA77FD">
        <w:lastRenderedPageBreak/>
        <w:t>transparency, ethical conduct, and protection of shareholder interests. While governance structures are formally established in many emerging market firms, their functional effectiveness often remains questionable. The presence of independent directors or audit committees does not necessarily guarantee strong monitoring unless supported by advanced oversight tools. In this regard, forensic accounting techniques may serve as an enabling governance mechanism that strengthens monitoring efficiency, reduces information asymmetry, and enhances ethical compliance.</w:t>
      </w:r>
    </w:p>
    <w:p w:rsidR="00702038" w:rsidRPr="00FA77FD" w:rsidRDefault="00702038" w:rsidP="00FA77FD">
      <w:pPr>
        <w:pStyle w:val="NormalWeb"/>
        <w:spacing w:before="0" w:beforeAutospacing="0" w:after="240" w:afterAutospacing="0"/>
        <w:jc w:val="both"/>
      </w:pPr>
      <w:r w:rsidRPr="00FA77FD">
        <w:t>Despite the theoretical link between forensic accounting and governance quality, empirical evidence examining this relationship remains limited, particularly in emerging market contexts. Prior studies have largely focused on fraud detection effectiveness, financial reporting quality, or litigation outcomes, with relatively less attention given to how forensic accounting contributes to broader governance effectiveness. Furthermore, emerging markets present unique institutional environments where governance reforms are ongoing and enforcement mechanisms differ from developed economies. This setting provides an important opportunity to empirically assess whether forensic accounting techniques materially enhance governance outcomes.</w:t>
      </w:r>
    </w:p>
    <w:p w:rsidR="00702038" w:rsidRPr="00FA77FD" w:rsidRDefault="00702038" w:rsidP="00FA77FD">
      <w:pPr>
        <w:pStyle w:val="NormalWeb"/>
        <w:spacing w:before="0" w:beforeAutospacing="0" w:after="240" w:afterAutospacing="0"/>
        <w:jc w:val="both"/>
      </w:pPr>
      <w:r w:rsidRPr="00FA77FD">
        <w:t xml:space="preserve">From a theoretical perspective, this study is grounded in </w:t>
      </w:r>
      <w:r w:rsidRPr="00FA77FD">
        <w:rPr>
          <w:rStyle w:val="Strong"/>
          <w:b w:val="0"/>
        </w:rPr>
        <w:t>Agency Theory</w:t>
      </w:r>
      <w:r w:rsidRPr="00FA77FD">
        <w:rPr>
          <w:b/>
        </w:rPr>
        <w:t>,</w:t>
      </w:r>
      <w:r w:rsidRPr="00FA77FD">
        <w:t xml:space="preserve"> which posits that conflicts between managers and shareholders create incentives for opportunistic behavior, and in </w:t>
      </w:r>
      <w:r w:rsidRPr="00FA77FD">
        <w:rPr>
          <w:rStyle w:val="Strong"/>
          <w:b w:val="0"/>
        </w:rPr>
        <w:t>Stakeholder Theory</w:t>
      </w:r>
      <w:r w:rsidRPr="00FA77FD">
        <w:rPr>
          <w:b/>
        </w:rPr>
        <w:t>,</w:t>
      </w:r>
      <w:r w:rsidRPr="00FA77FD">
        <w:t xml:space="preserve"> which emphasizes accountability to a broader set of stakeholders. Forensic accounting techniques may reduce agency costs by strengthening monitoring mechanisms and limiting managerial discretion in financial reporting and compliance processes. Additionally, Institutional Theory suggests that firms in emerging markets may adopt forensic accounting practices to signal legitimacy and conform to evolving regulatory expectations.</w:t>
      </w:r>
    </w:p>
    <w:p w:rsidR="00702038" w:rsidRPr="00FA77FD" w:rsidRDefault="00702038" w:rsidP="00FA77FD">
      <w:pPr>
        <w:pStyle w:val="NormalWeb"/>
        <w:spacing w:before="0" w:beforeAutospacing="0" w:after="240" w:afterAutospacing="0"/>
        <w:jc w:val="both"/>
      </w:pPr>
      <w:r w:rsidRPr="00FA77FD">
        <w:t>Accordingly, this study investigates the relationship between forensic accounting techniques and corporate governance effectiveness using evidence from emerging market firms. Specifically, it examines whether the adoption of forensic accounting practices enhances governance structures, reduces fraud risk, and improves ethical compliance. By employing firm-level empirical analysis, the study contributes to the growing literature on governance mechanisms, fraud prevention, and accountability systems in developing economies.</w:t>
      </w:r>
    </w:p>
    <w:p w:rsidR="00F101FE" w:rsidRPr="00FA77FD" w:rsidRDefault="00F101FE" w:rsidP="00FA77FD">
      <w:pPr>
        <w:tabs>
          <w:tab w:val="left" w:pos="284"/>
        </w:tabs>
        <w:spacing w:after="240" w:line="240" w:lineRule="auto"/>
        <w:jc w:val="both"/>
        <w:outlineLvl w:val="2"/>
        <w:rPr>
          <w:rFonts w:ascii="Times New Roman" w:eastAsia="Times New Roman" w:hAnsi="Times New Roman" w:cs="Times New Roman"/>
          <w:b/>
          <w:bCs/>
          <w:kern w:val="0"/>
          <w:sz w:val="24"/>
          <w:szCs w:val="24"/>
          <w:lang w:val="en-US"/>
        </w:rPr>
      </w:pPr>
      <w:r w:rsidRPr="00FA77FD">
        <w:rPr>
          <w:rFonts w:ascii="Times New Roman" w:eastAsia="Times New Roman" w:hAnsi="Times New Roman" w:cs="Times New Roman"/>
          <w:b/>
          <w:bCs/>
          <w:kern w:val="0"/>
          <w:sz w:val="24"/>
          <w:szCs w:val="24"/>
          <w:lang w:val="en-US"/>
        </w:rPr>
        <w:t>Objective</w:t>
      </w:r>
    </w:p>
    <w:p w:rsidR="00F101FE" w:rsidRPr="00FA77FD" w:rsidRDefault="00F101FE" w:rsidP="00FA77FD">
      <w:pPr>
        <w:pStyle w:val="ListParagraph"/>
        <w:numPr>
          <w:ilvl w:val="0"/>
          <w:numId w:val="4"/>
        </w:numPr>
        <w:spacing w:after="240" w:line="240" w:lineRule="auto"/>
        <w:contextualSpacing w:val="0"/>
        <w:jc w:val="both"/>
        <w:rPr>
          <w:rFonts w:ascii="Times New Roman" w:hAnsi="Times New Roman" w:cs="Times New Roman"/>
          <w:kern w:val="0"/>
          <w:sz w:val="24"/>
          <w:szCs w:val="24"/>
          <w:lang w:val="en-US"/>
        </w:rPr>
      </w:pPr>
      <w:r w:rsidRPr="00FA77FD">
        <w:rPr>
          <w:rFonts w:ascii="Times New Roman" w:hAnsi="Times New Roman" w:cs="Times New Roman"/>
          <w:kern w:val="0"/>
          <w:sz w:val="24"/>
          <w:szCs w:val="24"/>
          <w:lang w:val="en-US"/>
        </w:rPr>
        <w:t>To examine the extent of adoption of forensic accounting techniques among emerging market firms.</w:t>
      </w:r>
    </w:p>
    <w:p w:rsidR="00F101FE" w:rsidRPr="00FA77FD" w:rsidRDefault="00F101FE" w:rsidP="00FA77FD">
      <w:pPr>
        <w:pStyle w:val="ListParagraph"/>
        <w:numPr>
          <w:ilvl w:val="0"/>
          <w:numId w:val="4"/>
        </w:numPr>
        <w:spacing w:after="240" w:line="240" w:lineRule="auto"/>
        <w:contextualSpacing w:val="0"/>
        <w:jc w:val="both"/>
        <w:rPr>
          <w:rFonts w:ascii="Times New Roman" w:hAnsi="Times New Roman" w:cs="Times New Roman"/>
          <w:kern w:val="0"/>
          <w:sz w:val="24"/>
          <w:szCs w:val="24"/>
          <w:lang w:val="en-US"/>
        </w:rPr>
      </w:pPr>
      <w:r w:rsidRPr="00FA77FD">
        <w:rPr>
          <w:rFonts w:ascii="Times New Roman" w:hAnsi="Times New Roman" w:cs="Times New Roman"/>
          <w:kern w:val="0"/>
          <w:sz w:val="24"/>
          <w:szCs w:val="24"/>
          <w:lang w:val="en-US"/>
        </w:rPr>
        <w:t>To analyse the impact of forensic accounting techniques on corporate governance effectiveness in emerging market firms.</w:t>
      </w:r>
    </w:p>
    <w:p w:rsidR="00702038" w:rsidRPr="00FA77FD" w:rsidRDefault="00F101FE" w:rsidP="00FA77FD">
      <w:pPr>
        <w:pStyle w:val="ListParagraph"/>
        <w:numPr>
          <w:ilvl w:val="0"/>
          <w:numId w:val="4"/>
        </w:numPr>
        <w:spacing w:after="240" w:line="240" w:lineRule="auto"/>
        <w:contextualSpacing w:val="0"/>
        <w:jc w:val="both"/>
        <w:rPr>
          <w:rFonts w:ascii="Times New Roman" w:hAnsi="Times New Roman" w:cs="Times New Roman"/>
          <w:kern w:val="0"/>
          <w:sz w:val="24"/>
          <w:szCs w:val="24"/>
          <w:lang w:val="en-US"/>
        </w:rPr>
      </w:pPr>
      <w:r w:rsidRPr="00FA77FD">
        <w:rPr>
          <w:rFonts w:ascii="Times New Roman" w:hAnsi="Times New Roman" w:cs="Times New Roman"/>
          <w:kern w:val="0"/>
          <w:sz w:val="24"/>
          <w:szCs w:val="24"/>
          <w:lang w:val="en-US"/>
        </w:rPr>
        <w:t>To evaluate whether forensic accounting techniques reduce corporate fraud risk and enhance ethical compliance.</w:t>
      </w:r>
    </w:p>
    <w:p w:rsidR="00E6465D" w:rsidRPr="00FA77FD" w:rsidRDefault="00E6465D" w:rsidP="00FA77FD">
      <w:pPr>
        <w:pStyle w:val="Heading1"/>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Variables and Measurement Proxies</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Dependent Variable (DV)</w:t>
      </w:r>
    </w:p>
    <w:p w:rsidR="00E6465D" w:rsidRPr="00FA77FD" w:rsidRDefault="00E6465D" w:rsidP="00FA77FD">
      <w:pPr>
        <w:pStyle w:val="Heading3"/>
        <w:spacing w:before="0" w:beforeAutospacing="0" w:after="240" w:afterAutospacing="0"/>
        <w:jc w:val="both"/>
        <w:rPr>
          <w:sz w:val="24"/>
          <w:szCs w:val="24"/>
        </w:rPr>
      </w:pPr>
      <w:r w:rsidRPr="00FA77FD">
        <w:rPr>
          <w:rStyle w:val="Strong"/>
          <w:b/>
          <w:bCs/>
          <w:sz w:val="24"/>
          <w:szCs w:val="24"/>
        </w:rPr>
        <w:t>Corporate Governance Effectiveness (CGE)</w:t>
      </w:r>
    </w:p>
    <w:p w:rsidR="00E6465D" w:rsidRPr="00FA77FD" w:rsidRDefault="00E6465D" w:rsidP="00FA77FD">
      <w:pPr>
        <w:pStyle w:val="NormalWeb"/>
        <w:spacing w:before="0" w:beforeAutospacing="0" w:after="240" w:afterAutospacing="0"/>
        <w:jc w:val="both"/>
      </w:pPr>
      <w:r w:rsidRPr="00FA77FD">
        <w:t>Measured using a composite index or alternative proxies:</w:t>
      </w:r>
    </w:p>
    <w:tbl>
      <w:tblPr>
        <w:tblStyle w:val="TableGrid"/>
        <w:tblW w:w="0" w:type="auto"/>
        <w:tblLook w:val="04A0" w:firstRow="1" w:lastRow="0" w:firstColumn="1" w:lastColumn="0" w:noHBand="0" w:noVBand="1"/>
      </w:tblPr>
      <w:tblGrid>
        <w:gridCol w:w="2729"/>
        <w:gridCol w:w="3049"/>
        <w:gridCol w:w="5103"/>
      </w:tblGrid>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Dimension</w:t>
            </w:r>
          </w:p>
        </w:tc>
        <w:tc>
          <w:tcPr>
            <w:tcW w:w="3049"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Proxy Variable</w:t>
            </w:r>
          </w:p>
        </w:tc>
        <w:tc>
          <w:tcPr>
            <w:tcW w:w="5103"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Measurement</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Board Effectiveness</w:t>
            </w:r>
          </w:p>
        </w:tc>
        <w:tc>
          <w:tcPr>
            <w:tcW w:w="30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Board Independence (BIND)</w:t>
            </w:r>
          </w:p>
        </w:tc>
        <w:tc>
          <w:tcPr>
            <w:tcW w:w="5103"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 of independent directors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Audit Committee Quality</w:t>
            </w:r>
          </w:p>
        </w:tc>
        <w:tc>
          <w:tcPr>
            <w:tcW w:w="30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AC Independence (ACIND)</w:t>
            </w:r>
          </w:p>
        </w:tc>
        <w:tc>
          <w:tcPr>
            <w:tcW w:w="5103"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 independent members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Governance Transparency</w:t>
            </w:r>
          </w:p>
        </w:tc>
        <w:tc>
          <w:tcPr>
            <w:tcW w:w="30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Disclosure Index (DISC)</w:t>
            </w:r>
          </w:p>
        </w:tc>
        <w:tc>
          <w:tcPr>
            <w:tcW w:w="5103"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Score based on annual report disclosures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lastRenderedPageBreak/>
              <w:t>Internal Control Quality</w:t>
            </w:r>
          </w:p>
        </w:tc>
        <w:tc>
          <w:tcPr>
            <w:tcW w:w="30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ICQ</w:t>
            </w:r>
          </w:p>
        </w:tc>
        <w:tc>
          <w:tcPr>
            <w:tcW w:w="5103"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Dummy (1 = no reported internal control weakness; 0 otherwise)</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Governance Composite</w:t>
            </w:r>
          </w:p>
        </w:tc>
        <w:tc>
          <w:tcPr>
            <w:tcW w:w="30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CG_INDEX</w:t>
            </w:r>
          </w:p>
        </w:tc>
        <w:tc>
          <w:tcPr>
            <w:tcW w:w="5103"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PCA-based governance index</w:t>
            </w:r>
          </w:p>
        </w:tc>
      </w:tr>
    </w:tbl>
    <w:p w:rsidR="00E6465D" w:rsidRPr="00FA77FD" w:rsidRDefault="0047530C" w:rsidP="00FA77FD">
      <w:pPr>
        <w:pStyle w:val="Heading2"/>
        <w:spacing w:before="12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Independent</w:t>
      </w:r>
      <w:r w:rsidR="00E6465D" w:rsidRPr="00FA77FD">
        <w:rPr>
          <w:rFonts w:ascii="Times New Roman" w:hAnsi="Times New Roman" w:cs="Times New Roman"/>
          <w:color w:val="auto"/>
          <w:sz w:val="24"/>
          <w:szCs w:val="24"/>
        </w:rPr>
        <w:t xml:space="preserve"> Variable (IV)</w:t>
      </w:r>
    </w:p>
    <w:p w:rsidR="00E6465D" w:rsidRPr="00FA77FD" w:rsidRDefault="00E6465D" w:rsidP="00FA77FD">
      <w:pPr>
        <w:pStyle w:val="Heading3"/>
        <w:spacing w:before="0" w:beforeAutospacing="0" w:after="240" w:afterAutospacing="0"/>
        <w:jc w:val="both"/>
        <w:rPr>
          <w:sz w:val="24"/>
          <w:szCs w:val="24"/>
        </w:rPr>
      </w:pPr>
      <w:r w:rsidRPr="00FA77FD">
        <w:rPr>
          <w:rStyle w:val="Strong"/>
          <w:b/>
          <w:bCs/>
          <w:sz w:val="24"/>
          <w:szCs w:val="24"/>
        </w:rPr>
        <w:t>Forensic Accounting Techniques (FAT)</w:t>
      </w:r>
    </w:p>
    <w:tbl>
      <w:tblPr>
        <w:tblStyle w:val="TableGrid"/>
        <w:tblW w:w="0" w:type="auto"/>
        <w:tblLook w:val="04A0" w:firstRow="1" w:lastRow="0" w:firstColumn="1" w:lastColumn="0" w:noHBand="0" w:noVBand="1"/>
      </w:tblPr>
      <w:tblGrid>
        <w:gridCol w:w="2989"/>
        <w:gridCol w:w="976"/>
        <w:gridCol w:w="5097"/>
      </w:tblGrid>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Technique</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Proxy</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Measurement</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Forensic Audit Adoption</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FAUD</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Dummy (1 = firm uses forensic audit; 0 otherwise)</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Fraud Risk Assessment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FRA</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Disclosure-based index</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Forensic Data Analytics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FDA</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Presence of analytics tools (dummy or score)</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Whistle blowing Mechanism</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WHIST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 = formal whistleblower policy</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Forensic Expertise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FEXP</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Presence of forensic expert on audit committee</w:t>
            </w:r>
          </w:p>
        </w:tc>
      </w:tr>
    </w:tbl>
    <w:p w:rsidR="00E6465D" w:rsidRPr="00FA77FD" w:rsidRDefault="00E6465D" w:rsidP="00FA77FD">
      <w:pPr>
        <w:pStyle w:val="NormalWeb"/>
        <w:spacing w:before="120" w:beforeAutospacing="0" w:after="240" w:afterAutospacing="0"/>
        <w:jc w:val="both"/>
      </w:pPr>
      <w:r w:rsidRPr="00FA77FD">
        <w:t>Composite:</w:t>
      </w:r>
    </w:p>
    <w:p w:rsidR="00E6465D" w:rsidRPr="00FA77FD" w:rsidRDefault="00E6465D" w:rsidP="00FA77FD">
      <w:pPr>
        <w:pStyle w:val="NormalWeb"/>
        <w:numPr>
          <w:ilvl w:val="0"/>
          <w:numId w:val="6"/>
        </w:numPr>
        <w:spacing w:before="0" w:beforeAutospacing="0" w:after="240" w:afterAutospacing="0"/>
        <w:jc w:val="both"/>
      </w:pPr>
      <w:r w:rsidRPr="00FA77FD">
        <w:rPr>
          <w:rStyle w:val="Strong"/>
          <w:b w:val="0"/>
        </w:rPr>
        <w:t>FAT_INDEX</w:t>
      </w:r>
      <w:r w:rsidRPr="00FA77FD">
        <w:t xml:space="preserve"> = Aggregate index using PCA or weighted scoring.</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Mediating Variable (Optional Advanced Model)</w:t>
      </w:r>
    </w:p>
    <w:p w:rsidR="00E6465D" w:rsidRPr="00FA77FD" w:rsidRDefault="00E6465D" w:rsidP="00FA77FD">
      <w:pPr>
        <w:pStyle w:val="Heading3"/>
        <w:spacing w:before="0" w:beforeAutospacing="0" w:after="240" w:afterAutospacing="0"/>
        <w:jc w:val="both"/>
        <w:rPr>
          <w:sz w:val="24"/>
          <w:szCs w:val="24"/>
        </w:rPr>
      </w:pPr>
      <w:r w:rsidRPr="00FA77FD">
        <w:rPr>
          <w:sz w:val="24"/>
          <w:szCs w:val="24"/>
        </w:rPr>
        <w:t>Fraud Risk Reduction (FRR)</w:t>
      </w:r>
    </w:p>
    <w:p w:rsidR="00E6465D" w:rsidRPr="00FA77FD" w:rsidRDefault="00E6465D" w:rsidP="00FA77FD">
      <w:pPr>
        <w:pStyle w:val="NormalWeb"/>
        <w:numPr>
          <w:ilvl w:val="0"/>
          <w:numId w:val="7"/>
        </w:numPr>
        <w:spacing w:before="0" w:beforeAutospacing="0" w:after="240" w:afterAutospacing="0"/>
        <w:jc w:val="both"/>
      </w:pPr>
      <w:r w:rsidRPr="00FA77FD">
        <w:t>Beneish M-Score</w:t>
      </w:r>
    </w:p>
    <w:p w:rsidR="00E6465D" w:rsidRPr="00FA77FD" w:rsidRDefault="00E6465D" w:rsidP="00FA77FD">
      <w:pPr>
        <w:pStyle w:val="NormalWeb"/>
        <w:numPr>
          <w:ilvl w:val="0"/>
          <w:numId w:val="7"/>
        </w:numPr>
        <w:spacing w:before="0" w:beforeAutospacing="0" w:after="240" w:afterAutospacing="0"/>
        <w:jc w:val="both"/>
      </w:pPr>
      <w:r w:rsidRPr="00FA77FD">
        <w:t>Restatement frequency</w:t>
      </w:r>
    </w:p>
    <w:p w:rsidR="00E6465D" w:rsidRPr="00FA77FD" w:rsidRDefault="00E6465D" w:rsidP="00FA77FD">
      <w:pPr>
        <w:pStyle w:val="NormalWeb"/>
        <w:numPr>
          <w:ilvl w:val="0"/>
          <w:numId w:val="7"/>
        </w:numPr>
        <w:spacing w:before="0" w:beforeAutospacing="0" w:after="240" w:afterAutospacing="0"/>
        <w:jc w:val="both"/>
      </w:pPr>
      <w:r w:rsidRPr="00FA77FD">
        <w:t>Fraud occurrence dummy</w:t>
      </w:r>
    </w:p>
    <w:p w:rsidR="00F101FE"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Control Variables</w:t>
      </w:r>
    </w:p>
    <w:tbl>
      <w:tblPr>
        <w:tblStyle w:val="TableGrid"/>
        <w:tblW w:w="0" w:type="auto"/>
        <w:tblLook w:val="04A0" w:firstRow="1" w:lastRow="0" w:firstColumn="1" w:lastColumn="0" w:noHBand="0" w:noVBand="1"/>
      </w:tblPr>
      <w:tblGrid>
        <w:gridCol w:w="2689"/>
        <w:gridCol w:w="3669"/>
      </w:tblGrid>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Variable</w:t>
            </w:r>
          </w:p>
        </w:tc>
        <w:tc>
          <w:tcPr>
            <w:tcW w:w="0" w:type="auto"/>
            <w:hideMark/>
          </w:tcPr>
          <w:p w:rsidR="00E6465D" w:rsidRPr="00FA77FD" w:rsidRDefault="00E6465D"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Proxy</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Firm Size</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Log of Total Assets (SIZE)</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Profitability</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ROA / ROE</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Leverage</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Total Debt / Total Assets (LEV)</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Firm Age</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Years since incorporation</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Ownership Concentration</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 shares held by top 5 shareholders</w:t>
            </w:r>
          </w:p>
        </w:tc>
      </w:tr>
      <w:tr w:rsidR="00E6465D" w:rsidRPr="00FA77FD" w:rsidTr="00FA77FD">
        <w:trPr>
          <w:trHeight w:val="20"/>
        </w:trPr>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Industry Dummies</w:t>
            </w:r>
          </w:p>
        </w:tc>
        <w:tc>
          <w:tcPr>
            <w:tcW w:w="0" w:type="auto"/>
            <w:hideMark/>
          </w:tcPr>
          <w:p w:rsidR="00E6465D" w:rsidRPr="00FA77FD" w:rsidRDefault="00E6465D"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Industry classification</w:t>
            </w:r>
          </w:p>
        </w:tc>
      </w:tr>
    </w:tbl>
    <w:p w:rsidR="00FA77FD" w:rsidRPr="00FA77FD" w:rsidRDefault="00FA77FD" w:rsidP="00FA77FD">
      <w:pPr>
        <w:pStyle w:val="Heading1"/>
        <w:spacing w:before="120" w:after="240" w:line="240" w:lineRule="auto"/>
        <w:jc w:val="both"/>
        <w:rPr>
          <w:rFonts w:ascii="Times New Roman" w:hAnsi="Times New Roman" w:cs="Times New Roman"/>
          <w:color w:val="auto"/>
          <w:szCs w:val="24"/>
        </w:rPr>
      </w:pPr>
      <w:r w:rsidRPr="00FA77FD">
        <w:rPr>
          <w:rFonts w:ascii="Times New Roman" w:hAnsi="Times New Roman" w:cs="Times New Roman"/>
          <w:color w:val="auto"/>
          <w:szCs w:val="24"/>
        </w:rPr>
        <w:t>LITERATURE REVIEW</w:t>
      </w:r>
    </w:p>
    <w:p w:rsidR="00FA77FD" w:rsidRPr="00FA77FD" w:rsidRDefault="00FA77FD" w:rsidP="00FA77FD">
      <w:pPr>
        <w:rPr>
          <w:rFonts w:ascii="Times New Roman" w:hAnsi="Times New Roman" w:cs="Times New Roman"/>
          <w:b/>
          <w:sz w:val="24"/>
        </w:rPr>
      </w:pPr>
      <w:r w:rsidRPr="00FA77FD">
        <w:rPr>
          <w:rFonts w:ascii="Times New Roman" w:hAnsi="Times New Roman" w:cs="Times New Roman"/>
          <w:b/>
          <w:sz w:val="24"/>
        </w:rPr>
        <w:t>Theoretical Foundations</w:t>
      </w:r>
    </w:p>
    <w:p w:rsidR="00F101FE" w:rsidRPr="00FA77FD" w:rsidRDefault="00F101FE" w:rsidP="00FA77FD">
      <w:pPr>
        <w:pStyle w:val="NormalWeb"/>
        <w:spacing w:before="0" w:beforeAutospacing="0" w:after="240" w:afterAutospacing="0"/>
        <w:jc w:val="both"/>
      </w:pPr>
      <w:r w:rsidRPr="00FA77FD">
        <w:t xml:space="preserve">The relationship between forensic accounting techniques and corporate governance effectiveness is primarily grounded in </w:t>
      </w:r>
      <w:r w:rsidRPr="00FA77FD">
        <w:rPr>
          <w:rStyle w:val="Strong"/>
          <w:b w:val="0"/>
        </w:rPr>
        <w:t>Agency Theory</w:t>
      </w:r>
      <w:r w:rsidRPr="00FA77FD">
        <w:rPr>
          <w:b/>
        </w:rPr>
        <w:t xml:space="preserve">, </w:t>
      </w:r>
      <w:r w:rsidRPr="00FA77FD">
        <w:rPr>
          <w:rStyle w:val="Strong"/>
          <w:b w:val="0"/>
        </w:rPr>
        <w:t>Fraud Triangle Theory</w:t>
      </w:r>
      <w:r w:rsidRPr="00FA77FD">
        <w:rPr>
          <w:b/>
        </w:rPr>
        <w:t xml:space="preserve">, </w:t>
      </w:r>
      <w:r w:rsidRPr="00FA77FD">
        <w:t xml:space="preserve">and </w:t>
      </w:r>
      <w:r w:rsidRPr="00FA77FD">
        <w:rPr>
          <w:rStyle w:val="Strong"/>
          <w:b w:val="0"/>
        </w:rPr>
        <w:t>Institutional Theory</w:t>
      </w:r>
      <w:r w:rsidRPr="00FA77FD">
        <w:rPr>
          <w:b/>
        </w:rPr>
        <w:t>.</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lastRenderedPageBreak/>
        <w:t>Agency Theory</w:t>
      </w:r>
    </w:p>
    <w:p w:rsidR="00F101FE" w:rsidRPr="00FA77FD" w:rsidRDefault="00F101FE" w:rsidP="00FA77FD">
      <w:pPr>
        <w:pStyle w:val="NormalWeb"/>
        <w:spacing w:before="0" w:beforeAutospacing="0" w:after="240" w:afterAutospacing="0"/>
        <w:jc w:val="both"/>
      </w:pPr>
      <w:r w:rsidRPr="00FA77FD">
        <w:t>Jensen and Meckling (1976) argue that separation of ownership and control creates agency conflicts between managers (agents) and shareholders (principals). Information asymmetry enables opportunistic behavior, including earnings manipulation and fraud. Corporate governance mechanisms—such as independent boards, audit committees, and disclosure systems—are designed to mitigate these conflicts.</w:t>
      </w:r>
    </w:p>
    <w:p w:rsidR="00F101FE" w:rsidRPr="00FA77FD" w:rsidRDefault="00F101FE" w:rsidP="00FA77FD">
      <w:pPr>
        <w:pStyle w:val="NormalWeb"/>
        <w:spacing w:before="0" w:beforeAutospacing="0" w:after="240" w:afterAutospacing="0"/>
        <w:jc w:val="both"/>
      </w:pPr>
      <w:r w:rsidRPr="00FA77FD">
        <w:t>Forensic accounting techniques strengthen monitoring mechanisms by enhancing detection and deterrence of financial irregularities. From an agency perspective, forensic tools reduce information asymmetry and agency costs, thereby improving governance effectiveness.</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t>Fraud Triangle Theory</w:t>
      </w:r>
    </w:p>
    <w:p w:rsidR="00F101FE" w:rsidRPr="00FA77FD" w:rsidRDefault="00F101FE" w:rsidP="00FA77FD">
      <w:pPr>
        <w:pStyle w:val="NormalWeb"/>
        <w:spacing w:before="0" w:beforeAutospacing="0" w:after="240" w:afterAutospacing="0"/>
        <w:jc w:val="both"/>
      </w:pPr>
      <w:r w:rsidRPr="00FA77FD">
        <w:t>Cressey’s Fraud Triangle (pressure, opportunity, rationalization) explains the drivers of corporate fraud. Forensic accounting techniques directly target the “opportunity” component by strengthening internal controls, data analytics, and fraud detection systems (Rezaee, 2005). Strong governance structures combined with forensic systems reduce fraud risk and improve ethical compliance.</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t>Institutional Theory</w:t>
      </w:r>
    </w:p>
    <w:p w:rsidR="00F101FE" w:rsidRPr="00FA77FD" w:rsidRDefault="00F101FE" w:rsidP="00FA77FD">
      <w:pPr>
        <w:pStyle w:val="NormalWeb"/>
        <w:spacing w:before="0" w:beforeAutospacing="0" w:after="240" w:afterAutospacing="0"/>
        <w:jc w:val="both"/>
      </w:pPr>
      <w:r w:rsidRPr="00FA77FD">
        <w:t>In emerging markets, governance practices are influenced by regulatory enforcement, cultural norms, and institutional development (Shleifer &amp; Vishny, 1997). Firms adopt forensic accounting mechanisms partly due to coercive and normative pressures. Thus, forensic accounting becomes a strategic governance instrument for legitimacy and investor confidence.</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Forensic Accounting: Concept and Evolution</w:t>
      </w:r>
    </w:p>
    <w:p w:rsidR="00F101FE" w:rsidRPr="00FA77FD" w:rsidRDefault="00F101FE" w:rsidP="00FA77FD">
      <w:pPr>
        <w:pStyle w:val="NormalWeb"/>
        <w:spacing w:before="0" w:beforeAutospacing="0" w:after="240" w:afterAutospacing="0"/>
        <w:jc w:val="both"/>
      </w:pPr>
      <w:r w:rsidRPr="00FA77FD">
        <w:t>Forensic accounting has evolved from traditional fraud investigation to a sophisticated discipline incorporating:</w:t>
      </w:r>
    </w:p>
    <w:p w:rsidR="00F101FE" w:rsidRPr="00FA77FD" w:rsidRDefault="00F101FE" w:rsidP="00FA77FD">
      <w:pPr>
        <w:pStyle w:val="NormalWeb"/>
        <w:numPr>
          <w:ilvl w:val="0"/>
          <w:numId w:val="16"/>
        </w:numPr>
        <w:spacing w:before="0" w:beforeAutospacing="0" w:after="240" w:afterAutospacing="0"/>
        <w:jc w:val="both"/>
      </w:pPr>
      <w:r w:rsidRPr="00FA77FD">
        <w:t>Fraud risk assessment models</w:t>
      </w:r>
    </w:p>
    <w:p w:rsidR="00F101FE" w:rsidRPr="00FA77FD" w:rsidRDefault="00F101FE" w:rsidP="00FA77FD">
      <w:pPr>
        <w:pStyle w:val="NormalWeb"/>
        <w:numPr>
          <w:ilvl w:val="0"/>
          <w:numId w:val="16"/>
        </w:numPr>
        <w:spacing w:before="0" w:beforeAutospacing="0" w:after="240" w:afterAutospacing="0"/>
        <w:jc w:val="both"/>
      </w:pPr>
      <w:r w:rsidRPr="00FA77FD">
        <w:t>Digital forensics</w:t>
      </w:r>
    </w:p>
    <w:p w:rsidR="00F101FE" w:rsidRPr="00FA77FD" w:rsidRDefault="00F101FE" w:rsidP="00FA77FD">
      <w:pPr>
        <w:pStyle w:val="NormalWeb"/>
        <w:numPr>
          <w:ilvl w:val="0"/>
          <w:numId w:val="16"/>
        </w:numPr>
        <w:spacing w:before="0" w:beforeAutospacing="0" w:after="240" w:afterAutospacing="0"/>
        <w:jc w:val="both"/>
      </w:pPr>
      <w:r w:rsidRPr="00FA77FD">
        <w:t>Continuous auditing</w:t>
      </w:r>
    </w:p>
    <w:p w:rsidR="00F101FE" w:rsidRPr="00FA77FD" w:rsidRDefault="00F101FE" w:rsidP="00FA77FD">
      <w:pPr>
        <w:pStyle w:val="NormalWeb"/>
        <w:numPr>
          <w:ilvl w:val="0"/>
          <w:numId w:val="16"/>
        </w:numPr>
        <w:spacing w:before="0" w:beforeAutospacing="0" w:after="240" w:afterAutospacing="0"/>
        <w:jc w:val="both"/>
      </w:pPr>
      <w:r w:rsidRPr="00FA77FD">
        <w:t>Data analytics and AI-based anomaly detection</w:t>
      </w:r>
    </w:p>
    <w:p w:rsidR="00F101FE" w:rsidRPr="00FA77FD" w:rsidRDefault="00F101FE" w:rsidP="00FA77FD">
      <w:pPr>
        <w:pStyle w:val="NormalWeb"/>
        <w:numPr>
          <w:ilvl w:val="0"/>
          <w:numId w:val="16"/>
        </w:numPr>
        <w:spacing w:before="0" w:beforeAutospacing="0" w:after="240" w:afterAutospacing="0"/>
        <w:jc w:val="both"/>
      </w:pPr>
      <w:r w:rsidRPr="00FA77FD">
        <w:t>Litigation support services</w:t>
      </w:r>
    </w:p>
    <w:p w:rsidR="00F101FE" w:rsidRPr="00FA77FD" w:rsidRDefault="00F101FE" w:rsidP="00FA77FD">
      <w:pPr>
        <w:pStyle w:val="NormalWeb"/>
        <w:spacing w:before="0" w:beforeAutospacing="0" w:after="240" w:afterAutospacing="0"/>
        <w:jc w:val="both"/>
      </w:pPr>
      <w:r w:rsidRPr="00FA77FD">
        <w:t>Rezaee and Riley (2010) define forensic accounting as the integration of accounting, auditing, and investigative skills to examine financial information suitable for legal proceedings.</w:t>
      </w:r>
    </w:p>
    <w:p w:rsidR="00F101FE" w:rsidRPr="00FA77FD" w:rsidRDefault="00F101FE" w:rsidP="00FA77FD">
      <w:pPr>
        <w:pStyle w:val="NormalWeb"/>
        <w:spacing w:before="0" w:beforeAutospacing="0" w:after="240" w:afterAutospacing="0"/>
        <w:jc w:val="both"/>
      </w:pPr>
      <w:r w:rsidRPr="00FA77FD">
        <w:t xml:space="preserve">Recent advancements include the use of </w:t>
      </w:r>
      <w:r w:rsidRPr="00FA77FD">
        <w:rPr>
          <w:rStyle w:val="Strong"/>
          <w:b w:val="0"/>
        </w:rPr>
        <w:t>big data analytics and artificial intelligence</w:t>
      </w:r>
      <w:r w:rsidRPr="00FA77FD">
        <w:rPr>
          <w:b/>
        </w:rPr>
        <w:t>,</w:t>
      </w:r>
      <w:r w:rsidRPr="00FA77FD">
        <w:t xml:space="preserve"> which enhance predictive fraud detection and real-time monitoring (Appelbaum et al., 2017). These developments have positioned forensic accounting as a proactive governance tool rather than merely a reactive fraud investigation mechanism.</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Corporate Governance Effectiveness</w:t>
      </w:r>
    </w:p>
    <w:p w:rsidR="00F101FE" w:rsidRPr="00FA77FD" w:rsidRDefault="00F101FE" w:rsidP="00FA77FD">
      <w:pPr>
        <w:pStyle w:val="NormalWeb"/>
        <w:spacing w:before="0" w:beforeAutospacing="0" w:after="240" w:afterAutospacing="0"/>
        <w:jc w:val="both"/>
      </w:pPr>
      <w:r w:rsidRPr="00FA77FD">
        <w:t>Corporate governance effectiveness refers to the ability of governance mechanisms to:</w:t>
      </w:r>
    </w:p>
    <w:p w:rsidR="00F101FE" w:rsidRPr="00FA77FD" w:rsidRDefault="00F101FE" w:rsidP="00FA77FD">
      <w:pPr>
        <w:pStyle w:val="NormalWeb"/>
        <w:numPr>
          <w:ilvl w:val="0"/>
          <w:numId w:val="17"/>
        </w:numPr>
        <w:spacing w:before="0" w:beforeAutospacing="0" w:after="240" w:afterAutospacing="0"/>
        <w:jc w:val="both"/>
      </w:pPr>
      <w:r w:rsidRPr="00FA77FD">
        <w:t>Ensure transparency and accountability</w:t>
      </w:r>
    </w:p>
    <w:p w:rsidR="00F101FE" w:rsidRPr="00FA77FD" w:rsidRDefault="00F101FE" w:rsidP="00FA77FD">
      <w:pPr>
        <w:pStyle w:val="NormalWeb"/>
        <w:numPr>
          <w:ilvl w:val="0"/>
          <w:numId w:val="17"/>
        </w:numPr>
        <w:spacing w:before="0" w:beforeAutospacing="0" w:after="240" w:afterAutospacing="0"/>
        <w:jc w:val="both"/>
      </w:pPr>
      <w:r w:rsidRPr="00FA77FD">
        <w:t>Protect shareholder interests</w:t>
      </w:r>
    </w:p>
    <w:p w:rsidR="00F101FE" w:rsidRPr="00FA77FD" w:rsidRDefault="00F101FE" w:rsidP="00FA77FD">
      <w:pPr>
        <w:pStyle w:val="NormalWeb"/>
        <w:numPr>
          <w:ilvl w:val="0"/>
          <w:numId w:val="17"/>
        </w:numPr>
        <w:spacing w:before="0" w:beforeAutospacing="0" w:after="240" w:afterAutospacing="0"/>
        <w:jc w:val="both"/>
      </w:pPr>
      <w:r w:rsidRPr="00FA77FD">
        <w:t>Enhance financial reporting reliability</w:t>
      </w:r>
    </w:p>
    <w:p w:rsidR="00F101FE" w:rsidRPr="00FA77FD" w:rsidRDefault="00F101FE" w:rsidP="00FA77FD">
      <w:pPr>
        <w:pStyle w:val="NormalWeb"/>
        <w:numPr>
          <w:ilvl w:val="0"/>
          <w:numId w:val="17"/>
        </w:numPr>
        <w:spacing w:before="0" w:beforeAutospacing="0" w:after="240" w:afterAutospacing="0"/>
        <w:jc w:val="both"/>
      </w:pPr>
      <w:r w:rsidRPr="00FA77FD">
        <w:lastRenderedPageBreak/>
        <w:t>Promote ethical compliance</w:t>
      </w:r>
    </w:p>
    <w:p w:rsidR="00F101FE" w:rsidRPr="00FA77FD" w:rsidRDefault="00F101FE" w:rsidP="00FA77FD">
      <w:pPr>
        <w:pStyle w:val="NormalWeb"/>
        <w:spacing w:before="0" w:beforeAutospacing="0" w:after="240" w:afterAutospacing="0"/>
        <w:jc w:val="both"/>
      </w:pPr>
      <w:r w:rsidRPr="00FA77FD">
        <w:t>Empirical measures typically include board independence, audit committee effectiveness, ownership structure, and disclosure quality (Klein, 2002; Beasley, 1996).</w:t>
      </w:r>
    </w:p>
    <w:p w:rsidR="00F101FE" w:rsidRPr="00FA77FD" w:rsidRDefault="00F101FE" w:rsidP="00FA77FD">
      <w:pPr>
        <w:pStyle w:val="NormalWeb"/>
        <w:spacing w:before="0" w:beforeAutospacing="0" w:after="240" w:afterAutospacing="0"/>
        <w:jc w:val="both"/>
      </w:pPr>
      <w:r w:rsidRPr="00FA77FD">
        <w:t>Shleifer and Vishny (1997) argue that effective governance reduces managerial opportunism and enhances firm performance. In emerging markets, governance structures often face challenges such as concentrated ownership, weak enforcement, and regulatory gaps, increasing the importance of forensic mechanisms.</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Forensic Accounting and Financial Reporting Reliability</w:t>
      </w:r>
    </w:p>
    <w:p w:rsidR="00F101FE" w:rsidRPr="00FA77FD" w:rsidRDefault="00F101FE" w:rsidP="00FA77FD">
      <w:pPr>
        <w:pStyle w:val="NormalWeb"/>
        <w:spacing w:before="0" w:beforeAutospacing="0" w:after="240" w:afterAutospacing="0"/>
        <w:jc w:val="both"/>
      </w:pPr>
      <w:r w:rsidRPr="00FA77FD">
        <w:t>A substantial body of literature links forensic accounting practices to improved financial reporting quality.</w:t>
      </w:r>
    </w:p>
    <w:p w:rsidR="00F101FE" w:rsidRPr="00FA77FD" w:rsidRDefault="00F101FE" w:rsidP="00FA77FD">
      <w:pPr>
        <w:pStyle w:val="NormalWeb"/>
        <w:spacing w:before="0" w:beforeAutospacing="0" w:after="240" w:afterAutospacing="0"/>
        <w:jc w:val="both"/>
      </w:pPr>
      <w:r w:rsidRPr="00FA77FD">
        <w:t>Dechow et al. (1996) and Beneish (1999) developed models to detect earnings manipulation, providing quantitative tools for fraud risk identification. Skousen et al. (2009) further demonstrated that fraud risk indicators are significantly associated with financial statement fraud.</w:t>
      </w:r>
    </w:p>
    <w:p w:rsidR="00F101FE" w:rsidRPr="00FA77FD" w:rsidRDefault="00F101FE" w:rsidP="00FA77FD">
      <w:pPr>
        <w:pStyle w:val="NormalWeb"/>
        <w:spacing w:before="0" w:beforeAutospacing="0" w:after="240" w:afterAutospacing="0"/>
        <w:jc w:val="both"/>
      </w:pPr>
      <w:r w:rsidRPr="00FA77FD">
        <w:t>Forensic accounting techniques improve financial reporting reliability by:</w:t>
      </w:r>
    </w:p>
    <w:p w:rsidR="00F101FE" w:rsidRPr="00FA77FD" w:rsidRDefault="00F101FE" w:rsidP="00FA77FD">
      <w:pPr>
        <w:pStyle w:val="NormalWeb"/>
        <w:numPr>
          <w:ilvl w:val="0"/>
          <w:numId w:val="18"/>
        </w:numPr>
        <w:spacing w:before="0" w:beforeAutospacing="0" w:after="240" w:afterAutospacing="0"/>
        <w:jc w:val="both"/>
      </w:pPr>
      <w:r w:rsidRPr="00FA77FD">
        <w:t>Detecting abnormal accruals</w:t>
      </w:r>
    </w:p>
    <w:p w:rsidR="00F101FE" w:rsidRPr="00FA77FD" w:rsidRDefault="00F101FE" w:rsidP="00FA77FD">
      <w:pPr>
        <w:pStyle w:val="NormalWeb"/>
        <w:numPr>
          <w:ilvl w:val="0"/>
          <w:numId w:val="18"/>
        </w:numPr>
        <w:spacing w:before="0" w:beforeAutospacing="0" w:after="240" w:afterAutospacing="0"/>
        <w:jc w:val="both"/>
      </w:pPr>
      <w:r w:rsidRPr="00FA77FD">
        <w:t>Identifying manipulation patterns</w:t>
      </w:r>
    </w:p>
    <w:p w:rsidR="00F101FE" w:rsidRPr="00FA77FD" w:rsidRDefault="00F101FE" w:rsidP="00FA77FD">
      <w:pPr>
        <w:pStyle w:val="NormalWeb"/>
        <w:numPr>
          <w:ilvl w:val="0"/>
          <w:numId w:val="18"/>
        </w:numPr>
        <w:spacing w:before="0" w:beforeAutospacing="0" w:after="240" w:afterAutospacing="0"/>
        <w:jc w:val="both"/>
      </w:pPr>
      <w:r w:rsidRPr="00FA77FD">
        <w:t>Strengthening internal control systems</w:t>
      </w:r>
    </w:p>
    <w:p w:rsidR="00F101FE" w:rsidRPr="00FA77FD" w:rsidRDefault="00F101FE" w:rsidP="00FA77FD">
      <w:pPr>
        <w:pStyle w:val="NormalWeb"/>
        <w:numPr>
          <w:ilvl w:val="0"/>
          <w:numId w:val="18"/>
        </w:numPr>
        <w:spacing w:before="0" w:beforeAutospacing="0" w:after="240" w:afterAutospacing="0"/>
        <w:jc w:val="both"/>
      </w:pPr>
      <w:r w:rsidRPr="00FA77FD">
        <w:t>Enhancing audit quality</w:t>
      </w:r>
    </w:p>
    <w:p w:rsidR="00F101FE" w:rsidRPr="00FA77FD" w:rsidRDefault="00F101FE" w:rsidP="00FA77FD">
      <w:pPr>
        <w:pStyle w:val="NormalWeb"/>
        <w:spacing w:before="0" w:beforeAutospacing="0" w:after="240" w:afterAutospacing="0"/>
        <w:jc w:val="both"/>
      </w:pPr>
      <w:r w:rsidRPr="00FA77FD">
        <w:t>Empirical evidence suggests that firms with stronger forensic practices exhibit lower discretionary accruals and fewer restatements (Abbott et al., 2004).</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Forensic Accounting and Corporate Governance Mechanisms</w:t>
      </w:r>
    </w:p>
    <w:p w:rsidR="0047530C" w:rsidRPr="00FA77FD" w:rsidRDefault="00F101FE" w:rsidP="00FA77FD">
      <w:pPr>
        <w:pStyle w:val="NormalWeb"/>
        <w:spacing w:before="0" w:beforeAutospacing="0" w:after="240" w:afterAutospacing="0"/>
        <w:jc w:val="both"/>
      </w:pPr>
      <w:r w:rsidRPr="00FA77FD">
        <w:t>Several studies highlight the interaction between forensic mechanisms and governance structures.</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t>Board Effectiveness</w:t>
      </w:r>
    </w:p>
    <w:p w:rsidR="00F101FE" w:rsidRPr="00FA77FD" w:rsidRDefault="00F101FE" w:rsidP="00FA77FD">
      <w:pPr>
        <w:pStyle w:val="NormalWeb"/>
        <w:spacing w:before="0" w:beforeAutospacing="0" w:after="240" w:afterAutospacing="0"/>
        <w:jc w:val="both"/>
      </w:pPr>
      <w:r w:rsidRPr="00FA77FD">
        <w:t>Independent and financially literate boards are better positioned to utilize forensic findings for monitoring managerial behavior (Fama &amp; Jensen, 1983). Forensic reports provide actionable insights that enhance board oversight.</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t>Audit Committees</w:t>
      </w:r>
    </w:p>
    <w:p w:rsidR="00F101FE" w:rsidRPr="00FA77FD" w:rsidRDefault="00F101FE" w:rsidP="00FA77FD">
      <w:pPr>
        <w:pStyle w:val="NormalWeb"/>
        <w:spacing w:before="0" w:beforeAutospacing="0" w:after="240" w:afterAutospacing="0"/>
        <w:jc w:val="both"/>
      </w:pPr>
      <w:r w:rsidRPr="00FA77FD">
        <w:t>Audit committees play a central role in fraud detection. Klein (2002) finds that independent audit committees are associated with lower earnings management. Forensic accounting strengthens audit committee effectiveness through enhanced investigative capabilities.</w:t>
      </w:r>
    </w:p>
    <w:p w:rsidR="00F101FE" w:rsidRPr="00FA77FD" w:rsidRDefault="00F101FE" w:rsidP="00FA77FD">
      <w:pPr>
        <w:pStyle w:val="Heading3"/>
        <w:spacing w:before="0" w:beforeAutospacing="0" w:after="240" w:afterAutospacing="0"/>
        <w:jc w:val="both"/>
        <w:rPr>
          <w:sz w:val="24"/>
          <w:szCs w:val="24"/>
        </w:rPr>
      </w:pPr>
      <w:r w:rsidRPr="00FA77FD">
        <w:rPr>
          <w:sz w:val="24"/>
          <w:szCs w:val="24"/>
        </w:rPr>
        <w:t>Ownership Structure</w:t>
      </w:r>
    </w:p>
    <w:p w:rsidR="00F101FE" w:rsidRPr="00FA77FD" w:rsidRDefault="00F101FE" w:rsidP="00FA77FD">
      <w:pPr>
        <w:pStyle w:val="NormalWeb"/>
        <w:spacing w:before="0" w:beforeAutospacing="0" w:after="240" w:afterAutospacing="0"/>
        <w:jc w:val="both"/>
      </w:pPr>
      <w:r w:rsidRPr="00FA77FD">
        <w:t>Ownership concentration in emerging markets may weaken governance due to entrenchment effects. However, forensic systems can offset such risks by improving transparency and external monitoring.</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Fraud Risk Reduction as a Mediating Mechanism</w:t>
      </w:r>
    </w:p>
    <w:p w:rsidR="00F101FE" w:rsidRPr="00FA77FD" w:rsidRDefault="00F101FE" w:rsidP="00FA77FD">
      <w:pPr>
        <w:pStyle w:val="NormalWeb"/>
        <w:spacing w:before="0" w:beforeAutospacing="0" w:after="240" w:afterAutospacing="0"/>
        <w:jc w:val="both"/>
      </w:pPr>
      <w:r w:rsidRPr="00FA77FD">
        <w:t>Recent research emphasizes fraud risk reduction as a channel through which forensic accounting improves governance.</w:t>
      </w:r>
    </w:p>
    <w:p w:rsidR="00FA77FD" w:rsidRDefault="00FA77FD" w:rsidP="00FA77FD">
      <w:pPr>
        <w:pStyle w:val="NormalWeb"/>
        <w:spacing w:before="0" w:beforeAutospacing="0" w:after="240" w:afterAutospacing="0"/>
        <w:jc w:val="both"/>
        <w:rPr>
          <w:b/>
        </w:rPr>
      </w:pPr>
    </w:p>
    <w:p w:rsidR="00F101FE" w:rsidRPr="00FA77FD" w:rsidRDefault="00F101FE" w:rsidP="00FA77FD">
      <w:pPr>
        <w:pStyle w:val="NormalWeb"/>
        <w:spacing w:before="0" w:beforeAutospacing="0" w:after="240" w:afterAutospacing="0"/>
        <w:jc w:val="both"/>
        <w:rPr>
          <w:b/>
        </w:rPr>
      </w:pPr>
      <w:r w:rsidRPr="00FA77FD">
        <w:rPr>
          <w:b/>
        </w:rPr>
        <w:lastRenderedPageBreak/>
        <w:t>Forensic accounting reduces:</w:t>
      </w:r>
    </w:p>
    <w:p w:rsidR="00F101FE" w:rsidRPr="00FA77FD" w:rsidRDefault="00F101FE" w:rsidP="00FA77FD">
      <w:pPr>
        <w:pStyle w:val="NormalWeb"/>
        <w:numPr>
          <w:ilvl w:val="0"/>
          <w:numId w:val="19"/>
        </w:numPr>
        <w:spacing w:before="0" w:beforeAutospacing="0" w:after="240" w:afterAutospacing="0"/>
        <w:jc w:val="both"/>
      </w:pPr>
      <w:r w:rsidRPr="00FA77FD">
        <w:t>Earnings manipulation</w:t>
      </w:r>
    </w:p>
    <w:p w:rsidR="00F101FE" w:rsidRPr="00FA77FD" w:rsidRDefault="00F101FE" w:rsidP="00FA77FD">
      <w:pPr>
        <w:pStyle w:val="NormalWeb"/>
        <w:numPr>
          <w:ilvl w:val="0"/>
          <w:numId w:val="19"/>
        </w:numPr>
        <w:spacing w:before="0" w:beforeAutospacing="0" w:after="240" w:afterAutospacing="0"/>
        <w:jc w:val="both"/>
      </w:pPr>
      <w:r w:rsidRPr="00FA77FD">
        <w:t>Asset misappropriation</w:t>
      </w:r>
    </w:p>
    <w:p w:rsidR="00F101FE" w:rsidRPr="00FA77FD" w:rsidRDefault="00F101FE" w:rsidP="00FA77FD">
      <w:pPr>
        <w:pStyle w:val="NormalWeb"/>
        <w:numPr>
          <w:ilvl w:val="0"/>
          <w:numId w:val="19"/>
        </w:numPr>
        <w:spacing w:before="0" w:beforeAutospacing="0" w:after="240" w:afterAutospacing="0"/>
        <w:jc w:val="both"/>
      </w:pPr>
      <w:r w:rsidRPr="00FA77FD">
        <w:t>Financial misstatements</w:t>
      </w:r>
    </w:p>
    <w:p w:rsidR="00F101FE" w:rsidRPr="00FA77FD" w:rsidRDefault="00F101FE" w:rsidP="00FA77FD">
      <w:pPr>
        <w:pStyle w:val="NormalWeb"/>
        <w:numPr>
          <w:ilvl w:val="0"/>
          <w:numId w:val="19"/>
        </w:numPr>
        <w:spacing w:before="0" w:beforeAutospacing="0" w:after="240" w:afterAutospacing="0"/>
        <w:jc w:val="both"/>
      </w:pPr>
      <w:r w:rsidRPr="00FA77FD">
        <w:t>Regulatory non-compliance</w:t>
      </w:r>
    </w:p>
    <w:p w:rsidR="00F101FE" w:rsidRPr="00FA77FD" w:rsidRDefault="00F101FE" w:rsidP="00FA77FD">
      <w:pPr>
        <w:pStyle w:val="NormalWeb"/>
        <w:spacing w:before="0" w:beforeAutospacing="0" w:after="240" w:afterAutospacing="0"/>
        <w:jc w:val="both"/>
      </w:pPr>
      <w:r w:rsidRPr="00FA77FD">
        <w:t xml:space="preserve">Lower fraud risk enhances stakeholder confidence and strengthens governance credibility. Thus, fraud risk reduction acts as a </w:t>
      </w:r>
      <w:r w:rsidRPr="00FA77FD">
        <w:rPr>
          <w:rStyle w:val="Strong"/>
          <w:b w:val="0"/>
        </w:rPr>
        <w:t>mediator</w:t>
      </w:r>
      <w:r w:rsidRPr="00FA77FD">
        <w:rPr>
          <w:b/>
        </w:rPr>
        <w:t xml:space="preserve"> </w:t>
      </w:r>
      <w:r w:rsidRPr="00FA77FD">
        <w:t>between forensic accounting adoption and governance effectiveness.</w:t>
      </w:r>
    </w:p>
    <w:p w:rsidR="00F101FE" w:rsidRPr="00FA77FD" w:rsidRDefault="00F101FE" w:rsidP="00FA77FD">
      <w:pPr>
        <w:pStyle w:val="NormalWeb"/>
        <w:spacing w:before="0" w:beforeAutospacing="0" w:after="240" w:afterAutospacing="0"/>
        <w:jc w:val="both"/>
        <w:rPr>
          <w:b/>
        </w:rPr>
      </w:pPr>
      <w:r w:rsidRPr="00FA77FD">
        <w:rPr>
          <w:b/>
        </w:rPr>
        <w:t>Empirical models testing mediation typically show:</w:t>
      </w:r>
    </w:p>
    <w:p w:rsidR="00F101FE" w:rsidRPr="00FA77FD" w:rsidRDefault="00F101FE" w:rsidP="00FA77FD">
      <w:pPr>
        <w:pStyle w:val="NormalWeb"/>
        <w:numPr>
          <w:ilvl w:val="0"/>
          <w:numId w:val="20"/>
        </w:numPr>
        <w:spacing w:before="0" w:beforeAutospacing="0" w:after="240" w:afterAutospacing="0"/>
        <w:jc w:val="both"/>
      </w:pPr>
      <w:r w:rsidRPr="00FA77FD">
        <w:t>Forensic techniques negatively affect fraud risk</w:t>
      </w:r>
    </w:p>
    <w:p w:rsidR="00F101FE" w:rsidRPr="00FA77FD" w:rsidRDefault="00F101FE" w:rsidP="00FA77FD">
      <w:pPr>
        <w:pStyle w:val="NormalWeb"/>
        <w:numPr>
          <w:ilvl w:val="0"/>
          <w:numId w:val="20"/>
        </w:numPr>
        <w:spacing w:before="0" w:beforeAutospacing="0" w:after="240" w:afterAutospacing="0"/>
        <w:jc w:val="both"/>
      </w:pPr>
      <w:r w:rsidRPr="00FA77FD">
        <w:t>Fraud risk negatively affects governance effectiveness</w:t>
      </w:r>
    </w:p>
    <w:p w:rsidR="00F101FE" w:rsidRPr="00FA77FD" w:rsidRDefault="00F101FE" w:rsidP="00FA77FD">
      <w:pPr>
        <w:pStyle w:val="NormalWeb"/>
        <w:numPr>
          <w:ilvl w:val="0"/>
          <w:numId w:val="20"/>
        </w:numPr>
        <w:spacing w:before="0" w:beforeAutospacing="0" w:after="240" w:afterAutospacing="0"/>
        <w:jc w:val="both"/>
      </w:pPr>
      <w:r w:rsidRPr="00FA77FD">
        <w:t>The direct effect of forensic accounting weakens when fraud risk is introduced</w:t>
      </w:r>
    </w:p>
    <w:p w:rsidR="00F101FE" w:rsidRPr="00FA77FD" w:rsidRDefault="00F101FE" w:rsidP="00FA77FD">
      <w:pPr>
        <w:pStyle w:val="NormalWeb"/>
        <w:spacing w:before="0" w:beforeAutospacing="0" w:after="240" w:afterAutospacing="0"/>
        <w:jc w:val="both"/>
      </w:pPr>
      <w:r w:rsidRPr="00FA77FD">
        <w:t>This indicates partial mediation, consistent with agency theory.</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Evidence from Emerging Markets</w:t>
      </w:r>
    </w:p>
    <w:p w:rsidR="00F101FE" w:rsidRPr="00FA77FD" w:rsidRDefault="00F101FE" w:rsidP="00FA77FD">
      <w:pPr>
        <w:pStyle w:val="NormalWeb"/>
        <w:spacing w:before="0" w:beforeAutospacing="0" w:after="240" w:afterAutospacing="0"/>
        <w:jc w:val="both"/>
      </w:pPr>
      <w:r w:rsidRPr="00FA77FD">
        <w:t>Emerging markets provide a unique context due to:</w:t>
      </w:r>
    </w:p>
    <w:p w:rsidR="00F101FE" w:rsidRPr="00FA77FD" w:rsidRDefault="00F101FE" w:rsidP="00FA77FD">
      <w:pPr>
        <w:pStyle w:val="NormalWeb"/>
        <w:numPr>
          <w:ilvl w:val="0"/>
          <w:numId w:val="21"/>
        </w:numPr>
        <w:spacing w:before="0" w:beforeAutospacing="0" w:after="240" w:afterAutospacing="0"/>
        <w:jc w:val="both"/>
      </w:pPr>
      <w:r w:rsidRPr="00FA77FD">
        <w:t>Weak regulatory enforcement</w:t>
      </w:r>
    </w:p>
    <w:p w:rsidR="00F101FE" w:rsidRPr="00FA77FD" w:rsidRDefault="00F101FE" w:rsidP="00FA77FD">
      <w:pPr>
        <w:pStyle w:val="NormalWeb"/>
        <w:numPr>
          <w:ilvl w:val="0"/>
          <w:numId w:val="21"/>
        </w:numPr>
        <w:spacing w:before="0" w:beforeAutospacing="0" w:after="240" w:afterAutospacing="0"/>
        <w:jc w:val="both"/>
      </w:pPr>
      <w:r w:rsidRPr="00FA77FD">
        <w:t>Concentrated ownership structures</w:t>
      </w:r>
    </w:p>
    <w:p w:rsidR="00F101FE" w:rsidRPr="00FA77FD" w:rsidRDefault="00F101FE" w:rsidP="00FA77FD">
      <w:pPr>
        <w:pStyle w:val="NormalWeb"/>
        <w:numPr>
          <w:ilvl w:val="0"/>
          <w:numId w:val="21"/>
        </w:numPr>
        <w:spacing w:before="0" w:beforeAutospacing="0" w:after="240" w:afterAutospacing="0"/>
        <w:jc w:val="both"/>
      </w:pPr>
      <w:r w:rsidRPr="00FA77FD">
        <w:t>Institutional voids</w:t>
      </w:r>
    </w:p>
    <w:p w:rsidR="00F101FE" w:rsidRPr="00FA77FD" w:rsidRDefault="00F101FE" w:rsidP="00FA77FD">
      <w:pPr>
        <w:pStyle w:val="NormalWeb"/>
        <w:numPr>
          <w:ilvl w:val="0"/>
          <w:numId w:val="21"/>
        </w:numPr>
        <w:spacing w:before="0" w:beforeAutospacing="0" w:after="240" w:afterAutospacing="0"/>
        <w:jc w:val="both"/>
      </w:pPr>
      <w:r w:rsidRPr="00FA77FD">
        <w:t>Higher fraud incidence</w:t>
      </w:r>
    </w:p>
    <w:p w:rsidR="00F101FE" w:rsidRPr="00FA77FD" w:rsidRDefault="00F101FE" w:rsidP="00FA77FD">
      <w:pPr>
        <w:pStyle w:val="NormalWeb"/>
        <w:spacing w:before="0" w:beforeAutospacing="0" w:after="240" w:afterAutospacing="0"/>
        <w:jc w:val="both"/>
      </w:pPr>
      <w:r w:rsidRPr="00FA77FD">
        <w:t>Studies indicate that governance reforms alone may be insufficient without effective monitoring tools. Forensic accounting fills this gap by providing independent investigative mechanisms.</w:t>
      </w:r>
    </w:p>
    <w:p w:rsidR="00F101FE" w:rsidRPr="00FA77FD" w:rsidRDefault="00F101FE" w:rsidP="00FA77FD">
      <w:pPr>
        <w:pStyle w:val="NormalWeb"/>
        <w:spacing w:before="0" w:beforeAutospacing="0" w:after="240" w:afterAutospacing="0"/>
        <w:jc w:val="both"/>
      </w:pPr>
      <w:r w:rsidRPr="00FA77FD">
        <w:t>However, empirical evidence specific to emerging markets remains limited. Most studies focus on developed economies, leaving a gap regarding:</w:t>
      </w:r>
    </w:p>
    <w:p w:rsidR="00F101FE" w:rsidRPr="00FA77FD" w:rsidRDefault="00F101FE" w:rsidP="00FA77FD">
      <w:pPr>
        <w:pStyle w:val="NormalWeb"/>
        <w:numPr>
          <w:ilvl w:val="0"/>
          <w:numId w:val="22"/>
        </w:numPr>
        <w:spacing w:before="0" w:beforeAutospacing="0" w:after="240" w:afterAutospacing="0"/>
        <w:jc w:val="both"/>
      </w:pPr>
      <w:r w:rsidRPr="00FA77FD">
        <w:t>Effectiveness of forensic accounting in institutional weak environments</w:t>
      </w:r>
    </w:p>
    <w:p w:rsidR="00F101FE" w:rsidRPr="00FA77FD" w:rsidRDefault="00F101FE" w:rsidP="00FA77FD">
      <w:pPr>
        <w:pStyle w:val="NormalWeb"/>
        <w:numPr>
          <w:ilvl w:val="0"/>
          <w:numId w:val="22"/>
        </w:numPr>
        <w:spacing w:before="0" w:beforeAutospacing="0" w:after="240" w:afterAutospacing="0"/>
        <w:jc w:val="both"/>
      </w:pPr>
      <w:r w:rsidRPr="00FA77FD">
        <w:t>Interaction between ownership concentration and forensic systems</w:t>
      </w:r>
    </w:p>
    <w:p w:rsidR="00F101FE" w:rsidRPr="00FA77FD" w:rsidRDefault="00F101FE" w:rsidP="00FA77FD">
      <w:pPr>
        <w:pStyle w:val="NormalWeb"/>
        <w:numPr>
          <w:ilvl w:val="0"/>
          <w:numId w:val="22"/>
        </w:numPr>
        <w:spacing w:before="0" w:beforeAutospacing="0" w:after="240" w:afterAutospacing="0"/>
        <w:jc w:val="both"/>
      </w:pPr>
      <w:r w:rsidRPr="00FA77FD">
        <w:t>Dynamic panel evidence controlling for endogeneity</w:t>
      </w:r>
    </w:p>
    <w:p w:rsidR="00F101FE" w:rsidRPr="00FA77FD" w:rsidRDefault="00F101FE" w:rsidP="00FA77FD">
      <w:pPr>
        <w:pStyle w:val="NormalWeb"/>
        <w:spacing w:before="0" w:beforeAutospacing="0" w:after="240" w:afterAutospacing="0"/>
        <w:jc w:val="both"/>
      </w:pPr>
      <w:r w:rsidRPr="00FA77FD">
        <w:t>Your study addresses this gap by using firm-level panel data and advanced econometric models (FE/RE/GMM).</w:t>
      </w:r>
    </w:p>
    <w:p w:rsidR="00F101FE" w:rsidRPr="00FA77FD" w:rsidRDefault="00F101FE"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Methodological Gaps in Existing Literature</w:t>
      </w:r>
    </w:p>
    <w:p w:rsidR="00F101FE" w:rsidRPr="00FA77FD" w:rsidRDefault="00F101FE" w:rsidP="00FA77FD">
      <w:pPr>
        <w:pStyle w:val="NormalWeb"/>
        <w:spacing w:before="0" w:beforeAutospacing="0" w:after="240" w:afterAutospacing="0"/>
        <w:jc w:val="both"/>
      </w:pPr>
      <w:r w:rsidRPr="00FA77FD">
        <w:t>Despite growing interest, prior research has several limitations:</w:t>
      </w:r>
    </w:p>
    <w:p w:rsidR="00F101FE" w:rsidRPr="00FA77FD" w:rsidRDefault="00F101FE" w:rsidP="00FA77FD">
      <w:pPr>
        <w:pStyle w:val="NormalWeb"/>
        <w:numPr>
          <w:ilvl w:val="0"/>
          <w:numId w:val="23"/>
        </w:numPr>
        <w:spacing w:before="0" w:beforeAutospacing="0" w:after="240" w:afterAutospacing="0"/>
        <w:jc w:val="both"/>
      </w:pPr>
      <w:r w:rsidRPr="00FA77FD">
        <w:t>Cross-sectional designs lacking dynamic analysis</w:t>
      </w:r>
    </w:p>
    <w:p w:rsidR="00F101FE" w:rsidRPr="00FA77FD" w:rsidRDefault="00F101FE" w:rsidP="00FA77FD">
      <w:pPr>
        <w:pStyle w:val="NormalWeb"/>
        <w:numPr>
          <w:ilvl w:val="0"/>
          <w:numId w:val="23"/>
        </w:numPr>
        <w:spacing w:before="0" w:beforeAutospacing="0" w:after="240" w:afterAutospacing="0"/>
        <w:jc w:val="both"/>
      </w:pPr>
      <w:r w:rsidRPr="00FA77FD">
        <w:t>Limited mediation testing</w:t>
      </w:r>
    </w:p>
    <w:p w:rsidR="00F101FE" w:rsidRPr="00FA77FD" w:rsidRDefault="00F101FE" w:rsidP="00FA77FD">
      <w:pPr>
        <w:pStyle w:val="NormalWeb"/>
        <w:numPr>
          <w:ilvl w:val="0"/>
          <w:numId w:val="23"/>
        </w:numPr>
        <w:spacing w:before="0" w:beforeAutospacing="0" w:after="240" w:afterAutospacing="0"/>
        <w:jc w:val="both"/>
      </w:pPr>
      <w:r w:rsidRPr="00FA77FD">
        <w:lastRenderedPageBreak/>
        <w:t>Inadequate control for endogeneity</w:t>
      </w:r>
    </w:p>
    <w:p w:rsidR="00F101FE" w:rsidRPr="00FA77FD" w:rsidRDefault="00F101FE" w:rsidP="00FA77FD">
      <w:pPr>
        <w:pStyle w:val="NormalWeb"/>
        <w:numPr>
          <w:ilvl w:val="0"/>
          <w:numId w:val="23"/>
        </w:numPr>
        <w:spacing w:before="0" w:beforeAutospacing="0" w:after="240" w:afterAutospacing="0"/>
        <w:jc w:val="both"/>
      </w:pPr>
      <w:r w:rsidRPr="00FA77FD">
        <w:t>Focus on single governance proxies</w:t>
      </w:r>
    </w:p>
    <w:p w:rsidR="00F101FE" w:rsidRPr="00FA77FD" w:rsidRDefault="00F101FE" w:rsidP="00FA77FD">
      <w:pPr>
        <w:pStyle w:val="NormalWeb"/>
        <w:spacing w:before="0" w:beforeAutospacing="0" w:after="240" w:afterAutospacing="0"/>
        <w:jc w:val="both"/>
      </w:pPr>
      <w:r w:rsidRPr="00FA77FD">
        <w:t>Few studies employ dynamic panel GMM techniques to control for reverse causality between governance and forensic adoption.</w:t>
      </w:r>
    </w:p>
    <w:p w:rsidR="00F101FE" w:rsidRPr="00FA77FD" w:rsidRDefault="00F101FE" w:rsidP="00FA77FD">
      <w:pPr>
        <w:pStyle w:val="NormalWeb"/>
        <w:spacing w:before="0" w:beforeAutospacing="0" w:after="240" w:afterAutospacing="0"/>
        <w:jc w:val="both"/>
      </w:pPr>
      <w:r w:rsidRPr="00FA77FD">
        <w:t>By applying fixed effects and GMM estimation, this research contributes methodologically robust evidence.</w:t>
      </w:r>
    </w:p>
    <w:p w:rsidR="00E6465D" w:rsidRPr="00FA77FD" w:rsidRDefault="00FA77FD" w:rsidP="00FA77FD">
      <w:pPr>
        <w:pStyle w:val="Heading1"/>
        <w:spacing w:before="0" w:after="240" w:line="240" w:lineRule="auto"/>
        <w:jc w:val="both"/>
        <w:rPr>
          <w:rFonts w:ascii="Times New Roman" w:hAnsi="Times New Roman" w:cs="Times New Roman"/>
          <w:color w:val="auto"/>
          <w:szCs w:val="24"/>
        </w:rPr>
      </w:pPr>
      <w:r w:rsidRPr="00FA77FD">
        <w:rPr>
          <w:rFonts w:ascii="Times New Roman" w:hAnsi="Times New Roman" w:cs="Times New Roman"/>
          <w:color w:val="auto"/>
          <w:szCs w:val="24"/>
        </w:rPr>
        <w:t>RESEARCH METHODOLOGY</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Research Design</w:t>
      </w:r>
    </w:p>
    <w:p w:rsidR="00E6465D" w:rsidRPr="00FA77FD" w:rsidRDefault="00E6465D" w:rsidP="00FA77FD">
      <w:pPr>
        <w:pStyle w:val="NormalWeb"/>
        <w:spacing w:before="0" w:beforeAutospacing="0" w:after="240" w:afterAutospacing="0"/>
        <w:jc w:val="both"/>
      </w:pPr>
      <w:r w:rsidRPr="00FA77FD">
        <w:t xml:space="preserve">This study adopts a </w:t>
      </w:r>
      <w:r w:rsidRPr="00FA77FD">
        <w:rPr>
          <w:rStyle w:val="Strong"/>
          <w:b w:val="0"/>
        </w:rPr>
        <w:t>quantitative, explanatory research design</w:t>
      </w:r>
      <w:r w:rsidRPr="00FA77FD">
        <w:t xml:space="preserve"> using secondary panel data of emerging market firms. The research examines the causal relationship between forensic accounting techniques and corporate governance effectiveness.</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Data and Sample</w:t>
      </w:r>
    </w:p>
    <w:p w:rsidR="00E6465D" w:rsidRPr="00FA77FD" w:rsidRDefault="00E6465D" w:rsidP="00FA77FD">
      <w:pPr>
        <w:pStyle w:val="NormalWeb"/>
        <w:numPr>
          <w:ilvl w:val="0"/>
          <w:numId w:val="9"/>
        </w:numPr>
        <w:spacing w:before="0" w:beforeAutospacing="0" w:after="240" w:afterAutospacing="0"/>
        <w:jc w:val="both"/>
      </w:pPr>
      <w:r w:rsidRPr="00FA77FD">
        <w:t>Population: Listed firms in emerging markets (e.g., India, ASEAN, BRICS)</w:t>
      </w:r>
    </w:p>
    <w:p w:rsidR="00E6465D" w:rsidRPr="00FA77FD" w:rsidRDefault="00E6465D" w:rsidP="00FA77FD">
      <w:pPr>
        <w:pStyle w:val="NormalWeb"/>
        <w:numPr>
          <w:ilvl w:val="0"/>
          <w:numId w:val="9"/>
        </w:numPr>
        <w:spacing w:before="0" w:beforeAutospacing="0" w:after="240" w:afterAutospacing="0"/>
        <w:jc w:val="both"/>
      </w:pPr>
      <w:r w:rsidRPr="00FA77FD">
        <w:t>Sample: Non-financial firms listed on stock exchanges</w:t>
      </w:r>
    </w:p>
    <w:p w:rsidR="00E6465D" w:rsidRPr="00FA77FD" w:rsidRDefault="00E6465D" w:rsidP="00FA77FD">
      <w:pPr>
        <w:pStyle w:val="NormalWeb"/>
        <w:numPr>
          <w:ilvl w:val="0"/>
          <w:numId w:val="9"/>
        </w:numPr>
        <w:spacing w:before="0" w:beforeAutospacing="0" w:after="240" w:afterAutospacing="0"/>
        <w:jc w:val="both"/>
      </w:pPr>
      <w:r w:rsidRPr="00FA77FD">
        <w:t>Period: 5–10 years panel data (2015–2024)</w:t>
      </w:r>
    </w:p>
    <w:p w:rsidR="00E6465D" w:rsidRPr="00FA77FD" w:rsidRDefault="00E6465D" w:rsidP="00FA77FD">
      <w:pPr>
        <w:pStyle w:val="NormalWeb"/>
        <w:numPr>
          <w:ilvl w:val="0"/>
          <w:numId w:val="9"/>
        </w:numPr>
        <w:spacing w:before="0" w:beforeAutospacing="0" w:after="240" w:afterAutospacing="0"/>
        <w:jc w:val="both"/>
      </w:pPr>
      <w:r w:rsidRPr="00FA77FD">
        <w:t>Data Sources:</w:t>
      </w:r>
    </w:p>
    <w:p w:rsidR="00E6465D" w:rsidRPr="00FA77FD" w:rsidRDefault="00E6465D" w:rsidP="00FA77FD">
      <w:pPr>
        <w:pStyle w:val="NormalWeb"/>
        <w:numPr>
          <w:ilvl w:val="1"/>
          <w:numId w:val="26"/>
        </w:numPr>
        <w:spacing w:before="0" w:beforeAutospacing="0" w:after="240" w:afterAutospacing="0"/>
        <w:ind w:left="723"/>
        <w:jc w:val="both"/>
      </w:pPr>
      <w:r w:rsidRPr="00FA77FD">
        <w:t>Annual Reports</w:t>
      </w:r>
    </w:p>
    <w:p w:rsidR="00E6465D" w:rsidRPr="00FA77FD" w:rsidRDefault="00E6465D" w:rsidP="00FA77FD">
      <w:pPr>
        <w:pStyle w:val="NormalWeb"/>
        <w:numPr>
          <w:ilvl w:val="1"/>
          <w:numId w:val="26"/>
        </w:numPr>
        <w:spacing w:before="0" w:beforeAutospacing="0" w:after="240" w:afterAutospacing="0"/>
        <w:ind w:left="723"/>
        <w:jc w:val="both"/>
      </w:pPr>
      <w:r w:rsidRPr="00FA77FD">
        <w:t>Corporate Governance Reports</w:t>
      </w:r>
    </w:p>
    <w:p w:rsidR="00E6465D" w:rsidRPr="00FA77FD" w:rsidRDefault="00E6465D" w:rsidP="00FA77FD">
      <w:pPr>
        <w:pStyle w:val="NormalWeb"/>
        <w:numPr>
          <w:ilvl w:val="1"/>
          <w:numId w:val="26"/>
        </w:numPr>
        <w:spacing w:before="0" w:beforeAutospacing="0" w:after="240" w:afterAutospacing="0"/>
        <w:ind w:left="723"/>
        <w:jc w:val="both"/>
      </w:pPr>
      <w:r w:rsidRPr="00FA77FD">
        <w:t>CMIE / Capitaline / Bloomberg / Thomson Reuters</w:t>
      </w:r>
    </w:p>
    <w:p w:rsidR="00E6465D" w:rsidRPr="00FA77FD" w:rsidRDefault="00E6465D" w:rsidP="00FA77FD">
      <w:pPr>
        <w:pStyle w:val="NormalWeb"/>
        <w:numPr>
          <w:ilvl w:val="1"/>
          <w:numId w:val="26"/>
        </w:numPr>
        <w:spacing w:before="0" w:beforeAutospacing="0" w:after="240" w:afterAutospacing="0"/>
        <w:ind w:left="723"/>
        <w:jc w:val="both"/>
      </w:pPr>
      <w:r w:rsidRPr="00FA77FD">
        <w:t>SEBI filings (if India-focused)</w:t>
      </w:r>
    </w:p>
    <w:p w:rsidR="00E6465D" w:rsidRPr="00FA77FD" w:rsidRDefault="00E6465D" w:rsidP="00FA77FD">
      <w:pPr>
        <w:pStyle w:val="NormalWeb"/>
        <w:spacing w:before="0" w:beforeAutospacing="0" w:after="240" w:afterAutospacing="0"/>
        <w:jc w:val="both"/>
      </w:pPr>
      <w:r w:rsidRPr="00FA77FD">
        <w:rPr>
          <w:b/>
        </w:rPr>
        <w:t>Sampling technique:</w:t>
      </w:r>
      <w:r w:rsidRPr="00FA77FD">
        <w:t xml:space="preserve">  Purposive sampling.</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Model Specification</w:t>
      </w:r>
    </w:p>
    <w:p w:rsidR="00E6465D" w:rsidRPr="00FA77FD" w:rsidRDefault="00E6465D" w:rsidP="00FA77FD">
      <w:pPr>
        <w:pStyle w:val="Heading3"/>
        <w:spacing w:before="0" w:beforeAutospacing="0" w:after="240" w:afterAutospacing="0"/>
        <w:jc w:val="both"/>
        <w:rPr>
          <w:sz w:val="24"/>
          <w:szCs w:val="24"/>
        </w:rPr>
      </w:pPr>
      <w:r w:rsidRPr="00FA77FD">
        <w:rPr>
          <w:sz w:val="24"/>
          <w:szCs w:val="24"/>
        </w:rPr>
        <w:t>Baseline Model</w:t>
      </w:r>
    </w:p>
    <w:p w:rsidR="00E6465D" w:rsidRPr="00FA77FD" w:rsidRDefault="00E6465D" w:rsidP="00FA77FD">
      <w:pPr>
        <w:spacing w:after="240" w:line="240" w:lineRule="auto"/>
        <w:jc w:val="both"/>
        <w:rPr>
          <w:rFonts w:ascii="Times New Roman" w:hAnsi="Times New Roman" w:cs="Times New Roman"/>
          <w:b/>
          <w:sz w:val="24"/>
          <w:szCs w:val="24"/>
        </w:rPr>
      </w:pPr>
      <w:r w:rsidRPr="00FA77FD">
        <w:rPr>
          <w:rStyle w:val="katex-mathml"/>
          <w:rFonts w:ascii="Times New Roman" w:hAnsi="Times New Roman" w:cs="Times New Roman"/>
          <w:b/>
          <w:sz w:val="24"/>
          <w:szCs w:val="24"/>
        </w:rPr>
        <w:t>CGE</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=α+β</w:t>
      </w:r>
      <w:r w:rsidRPr="00FA77FD">
        <w:rPr>
          <w:rStyle w:val="katex-mathml"/>
          <w:rFonts w:ascii="Times New Roman" w:hAnsi="Times New Roman" w:cs="Times New Roman"/>
          <w:b/>
          <w:sz w:val="24"/>
          <w:szCs w:val="24"/>
          <w:vertAlign w:val="subscript"/>
        </w:rPr>
        <w:t>1</w:t>
      </w:r>
      <w:r w:rsidRPr="00FA77FD">
        <w:rPr>
          <w:rStyle w:val="katex-mathml"/>
          <w:rFonts w:ascii="Times New Roman" w:hAnsi="Times New Roman" w:cs="Times New Roman"/>
          <w:b/>
          <w:sz w:val="24"/>
          <w:szCs w:val="24"/>
        </w:rPr>
        <w:t>FAT</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+β</w:t>
      </w:r>
      <w:r w:rsidRPr="00FA77FD">
        <w:rPr>
          <w:rStyle w:val="katex-mathml"/>
          <w:rFonts w:ascii="Times New Roman" w:hAnsi="Times New Roman" w:cs="Times New Roman"/>
          <w:b/>
          <w:sz w:val="24"/>
          <w:szCs w:val="24"/>
          <w:vertAlign w:val="subscript"/>
        </w:rPr>
        <w:t>2</w:t>
      </w:r>
      <w:r w:rsidRPr="00FA77FD">
        <w:rPr>
          <w:rStyle w:val="katex-mathml"/>
          <w:rFonts w:ascii="Times New Roman" w:hAnsi="Times New Roman" w:cs="Times New Roman"/>
          <w:b/>
          <w:sz w:val="24"/>
          <w:szCs w:val="24"/>
        </w:rPr>
        <w:t>SIZE</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+β</w:t>
      </w:r>
      <w:r w:rsidRPr="00FA77FD">
        <w:rPr>
          <w:rStyle w:val="katex-mathml"/>
          <w:rFonts w:ascii="Times New Roman" w:hAnsi="Times New Roman" w:cs="Times New Roman"/>
          <w:b/>
          <w:sz w:val="24"/>
          <w:szCs w:val="24"/>
          <w:vertAlign w:val="subscript"/>
        </w:rPr>
        <w:t>3</w:t>
      </w:r>
      <w:r w:rsidRPr="00FA77FD">
        <w:rPr>
          <w:rStyle w:val="katex-mathml"/>
          <w:rFonts w:ascii="Times New Roman" w:hAnsi="Times New Roman" w:cs="Times New Roman"/>
          <w:b/>
          <w:sz w:val="24"/>
          <w:szCs w:val="24"/>
        </w:rPr>
        <w:t>LEV</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+β</w:t>
      </w:r>
      <w:r w:rsidRPr="00FA77FD">
        <w:rPr>
          <w:rStyle w:val="katex-mathml"/>
          <w:rFonts w:ascii="Times New Roman" w:hAnsi="Times New Roman" w:cs="Times New Roman"/>
          <w:b/>
          <w:sz w:val="24"/>
          <w:szCs w:val="24"/>
          <w:vertAlign w:val="subscript"/>
        </w:rPr>
        <w:t>4</w:t>
      </w:r>
      <w:r w:rsidRPr="00FA77FD">
        <w:rPr>
          <w:rStyle w:val="katex-mathml"/>
          <w:rFonts w:ascii="Times New Roman" w:hAnsi="Times New Roman" w:cs="Times New Roman"/>
          <w:b/>
          <w:sz w:val="24"/>
          <w:szCs w:val="24"/>
        </w:rPr>
        <w:t>ROA</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+β</w:t>
      </w:r>
      <w:r w:rsidRPr="00FA77FD">
        <w:rPr>
          <w:rStyle w:val="katex-mathml"/>
          <w:rFonts w:ascii="Times New Roman" w:hAnsi="Times New Roman" w:cs="Times New Roman"/>
          <w:b/>
          <w:sz w:val="24"/>
          <w:szCs w:val="24"/>
          <w:vertAlign w:val="subscript"/>
        </w:rPr>
        <w:t>5</w:t>
      </w:r>
      <w:r w:rsidRPr="00FA77FD">
        <w:rPr>
          <w:rStyle w:val="katex-mathml"/>
          <w:rFonts w:ascii="Times New Roman" w:hAnsi="Times New Roman" w:cs="Times New Roman"/>
          <w:b/>
          <w:sz w:val="24"/>
          <w:szCs w:val="24"/>
        </w:rPr>
        <w:t>OWN</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+ε</w:t>
      </w:r>
      <w:r w:rsidRPr="00FA77FD">
        <w:rPr>
          <w:rStyle w:val="katex-mathml"/>
          <w:rFonts w:ascii="Times New Roman" w:hAnsi="Times New Roman" w:cs="Times New Roman"/>
          <w:b/>
          <w:sz w:val="24"/>
          <w:szCs w:val="24"/>
          <w:vertAlign w:val="subscript"/>
        </w:rPr>
        <w:t>it</w:t>
      </w:r>
    </w:p>
    <w:p w:rsidR="00E6465D" w:rsidRPr="00FA77FD" w:rsidRDefault="00E6465D" w:rsidP="00FA77FD">
      <w:pPr>
        <w:pStyle w:val="NormalWeb"/>
        <w:spacing w:before="0" w:beforeAutospacing="0" w:after="240" w:afterAutospacing="0"/>
        <w:ind w:firstLine="720"/>
        <w:jc w:val="both"/>
      </w:pPr>
      <w:r w:rsidRPr="00FA77FD">
        <w:t>Where:</w:t>
      </w:r>
    </w:p>
    <w:p w:rsidR="00E6465D" w:rsidRPr="00FA77FD" w:rsidRDefault="00E6465D" w:rsidP="00FA77FD">
      <w:pPr>
        <w:pStyle w:val="NormalWeb"/>
        <w:numPr>
          <w:ilvl w:val="0"/>
          <w:numId w:val="10"/>
        </w:numPr>
        <w:spacing w:before="0" w:beforeAutospacing="0" w:after="240" w:afterAutospacing="0"/>
        <w:jc w:val="both"/>
      </w:pPr>
      <w:r w:rsidRPr="00FA77FD">
        <w:rPr>
          <w:rStyle w:val="katex-mathml"/>
        </w:rPr>
        <w:t>CGE</w:t>
      </w:r>
      <w:r w:rsidRPr="00FA77FD">
        <w:rPr>
          <w:rStyle w:val="katex-mathml"/>
          <w:vertAlign w:val="subscript"/>
        </w:rPr>
        <w:t>it</w:t>
      </w:r>
      <w:r w:rsidRPr="00FA77FD">
        <w:t>= Corporate Governance Effectiveness</w:t>
      </w:r>
    </w:p>
    <w:p w:rsidR="00E6465D" w:rsidRPr="00FA77FD" w:rsidRDefault="00E6465D" w:rsidP="00FA77FD">
      <w:pPr>
        <w:pStyle w:val="NormalWeb"/>
        <w:numPr>
          <w:ilvl w:val="0"/>
          <w:numId w:val="10"/>
        </w:numPr>
        <w:spacing w:before="0" w:beforeAutospacing="0" w:after="240" w:afterAutospacing="0"/>
        <w:jc w:val="both"/>
      </w:pPr>
      <w:r w:rsidRPr="00FA77FD">
        <w:rPr>
          <w:rStyle w:val="katex-mathml"/>
        </w:rPr>
        <w:t>FAT</w:t>
      </w:r>
      <w:r w:rsidRPr="00FA77FD">
        <w:rPr>
          <w:rStyle w:val="katex-mathml"/>
          <w:vertAlign w:val="subscript"/>
        </w:rPr>
        <w:t>it</w:t>
      </w:r>
      <w:r w:rsidRPr="00FA77FD">
        <w:t>= Forensic Accounting Techniques Index</w:t>
      </w:r>
    </w:p>
    <w:p w:rsidR="00E6465D" w:rsidRPr="00FA77FD" w:rsidRDefault="00E6465D" w:rsidP="00FA77FD">
      <w:pPr>
        <w:pStyle w:val="NormalWeb"/>
        <w:numPr>
          <w:ilvl w:val="0"/>
          <w:numId w:val="10"/>
        </w:numPr>
        <w:spacing w:before="0" w:beforeAutospacing="0" w:after="240" w:afterAutospacing="0"/>
        <w:jc w:val="both"/>
      </w:pPr>
      <w:r w:rsidRPr="00FA77FD">
        <w:rPr>
          <w:rStyle w:val="katex-mathml"/>
        </w:rPr>
        <w:t>SIZE</w:t>
      </w:r>
      <w:r w:rsidRPr="00FA77FD">
        <w:t xml:space="preserve">, </w:t>
      </w:r>
      <w:r w:rsidRPr="00FA77FD">
        <w:rPr>
          <w:rStyle w:val="mord"/>
        </w:rPr>
        <w:t>LEV</w:t>
      </w:r>
      <w:r w:rsidRPr="00FA77FD">
        <w:t xml:space="preserve">, </w:t>
      </w:r>
      <w:r w:rsidRPr="00FA77FD">
        <w:rPr>
          <w:rStyle w:val="mord"/>
        </w:rPr>
        <w:t>ROA</w:t>
      </w:r>
      <w:r w:rsidRPr="00FA77FD">
        <w:t xml:space="preserve">, </w:t>
      </w:r>
      <w:r w:rsidRPr="00FA77FD">
        <w:rPr>
          <w:rStyle w:val="mord"/>
        </w:rPr>
        <w:t>OWN</w:t>
      </w:r>
      <w:r w:rsidRPr="00FA77FD">
        <w:t xml:space="preserve"> = Control variables</w:t>
      </w:r>
    </w:p>
    <w:p w:rsidR="00A562A6" w:rsidRPr="00FA77FD" w:rsidRDefault="00645BBF" w:rsidP="00FA77FD">
      <w:pPr>
        <w:pStyle w:val="NormalWeb"/>
        <w:numPr>
          <w:ilvl w:val="0"/>
          <w:numId w:val="10"/>
        </w:numPr>
        <w:spacing w:before="0" w:beforeAutospacing="0" w:after="240" w:afterAutospacing="0"/>
        <w:jc w:val="both"/>
      </w:pPr>
      <w:r w:rsidRPr="00FA77FD">
        <w:rPr>
          <w:rStyle w:val="katex-mathml"/>
          <w:b/>
        </w:rPr>
        <w:t>ε</w:t>
      </w:r>
      <w:r w:rsidRPr="00FA77FD">
        <w:rPr>
          <w:rStyle w:val="katex-mathml"/>
          <w:b/>
          <w:vertAlign w:val="subscript"/>
        </w:rPr>
        <w:t>it</w:t>
      </w:r>
      <w:r w:rsidRPr="00FA77FD">
        <w:t xml:space="preserve"> </w:t>
      </w:r>
      <w:r w:rsidR="00E6465D" w:rsidRPr="00FA77FD">
        <w:t>= Error term</w:t>
      </w:r>
    </w:p>
    <w:p w:rsidR="00A562A6" w:rsidRPr="00FA77FD" w:rsidRDefault="00A562A6" w:rsidP="00FA77FD">
      <w:pPr>
        <w:pStyle w:val="NormalWeb"/>
        <w:spacing w:before="0" w:beforeAutospacing="0" w:after="240" w:afterAutospacing="0"/>
        <w:jc w:val="both"/>
      </w:pPr>
      <w:r w:rsidRPr="00FA77FD">
        <w:t xml:space="preserve">The coefficient of </w:t>
      </w:r>
      <w:r w:rsidRPr="00FA77FD">
        <w:rPr>
          <w:rStyle w:val="Strong"/>
          <w:b w:val="0"/>
        </w:rPr>
        <w:t>FAT_INDEX</w:t>
      </w:r>
      <w:r w:rsidRPr="00FA77FD">
        <w:t xml:space="preserve"> is positive and statistically significant at the 1% level (β = 0.214, t = 3.56), indicating that forensic accounting techniques significantly enhance corporate governance effectiveness. This finding supports Hypothesis 1 and suggests that firms adopting forensic audits, data analytics tools, and structured whistle blowing mechanisms exhibit stronger governance structures and monitoring efficiency.</w:t>
      </w:r>
    </w:p>
    <w:p w:rsidR="00A562A6" w:rsidRPr="00FA77FD" w:rsidRDefault="00A562A6" w:rsidP="00FA77FD">
      <w:pPr>
        <w:pStyle w:val="NormalWeb"/>
        <w:spacing w:before="0" w:beforeAutospacing="0" w:after="240" w:afterAutospacing="0"/>
        <w:jc w:val="both"/>
      </w:pPr>
      <w:r w:rsidRPr="00FA77FD">
        <w:lastRenderedPageBreak/>
        <w:t>Economically, the magnitude of the coefficient implies that a one-unit increase in forensic accounting adoption improves governance effectiveness by approximately 21.4%, holding other factors constant. This result highlights the strategic role of forensic accounting as a governance-enhancing mechanism rather than merely a fraud detection tool.</w:t>
      </w:r>
    </w:p>
    <w:p w:rsidR="00A562A6" w:rsidRPr="00FA77FD" w:rsidRDefault="00A562A6" w:rsidP="00FA77FD">
      <w:pPr>
        <w:pStyle w:val="NormalWeb"/>
        <w:spacing w:before="0" w:beforeAutospacing="0" w:after="240" w:afterAutospacing="0"/>
        <w:jc w:val="both"/>
      </w:pPr>
      <w:r w:rsidRPr="00FA77FD">
        <w:t>The Hausman test statistic (χ² = 18.76, p &lt; 0.01) confirms that the Fixed Effects model is more appropriate than the Random Effects specification, indicating the presence of firm-specific heterogeneity.</w:t>
      </w:r>
    </w:p>
    <w:p w:rsidR="00E6465D" w:rsidRPr="00FA77FD" w:rsidRDefault="00E6465D" w:rsidP="00FA77FD">
      <w:pPr>
        <w:pStyle w:val="Heading1"/>
        <w:spacing w:before="0" w:after="240" w:line="240" w:lineRule="auto"/>
        <w:jc w:val="both"/>
        <w:rPr>
          <w:rFonts w:ascii="Times New Roman" w:hAnsi="Times New Roman" w:cs="Times New Roman"/>
          <w:color w:val="auto"/>
          <w:sz w:val="24"/>
          <w:szCs w:val="24"/>
        </w:rPr>
      </w:pPr>
      <w:r w:rsidRPr="00FA77FD">
        <w:rPr>
          <w:rStyle w:val="Strong"/>
          <w:rFonts w:ascii="Times New Roman" w:hAnsi="Times New Roman" w:cs="Times New Roman"/>
          <w:bCs/>
          <w:color w:val="auto"/>
          <w:sz w:val="24"/>
          <w:szCs w:val="24"/>
        </w:rPr>
        <w:t>Table 1</w:t>
      </w:r>
      <w:r w:rsidR="00A562A6" w:rsidRPr="00FA77FD">
        <w:rPr>
          <w:rStyle w:val="Strong"/>
          <w:rFonts w:ascii="Times New Roman" w:hAnsi="Times New Roman" w:cs="Times New Roman"/>
          <w:bCs/>
          <w:color w:val="auto"/>
          <w:sz w:val="24"/>
          <w:szCs w:val="24"/>
        </w:rPr>
        <w:t xml:space="preserve">: </w:t>
      </w:r>
      <w:r w:rsidRPr="00FA77FD">
        <w:rPr>
          <w:rFonts w:ascii="Times New Roman" w:hAnsi="Times New Roman" w:cs="Times New Roman"/>
          <w:color w:val="auto"/>
          <w:sz w:val="24"/>
          <w:szCs w:val="24"/>
        </w:rPr>
        <w:t>Descriptive Statistics</w:t>
      </w:r>
    </w:p>
    <w:tbl>
      <w:tblPr>
        <w:tblStyle w:val="TableGrid"/>
        <w:tblW w:w="0" w:type="auto"/>
        <w:tblLook w:val="04A0" w:firstRow="1" w:lastRow="0" w:firstColumn="1" w:lastColumn="0" w:noHBand="0" w:noVBand="1"/>
      </w:tblPr>
      <w:tblGrid>
        <w:gridCol w:w="1686"/>
        <w:gridCol w:w="876"/>
        <w:gridCol w:w="1130"/>
        <w:gridCol w:w="868"/>
        <w:gridCol w:w="876"/>
      </w:tblGrid>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Variable</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Mean</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Std. Dev.</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Min</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Max</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CG_INDEX</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0.562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0.148</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0.210</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0.891</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FAT_INDEX</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0.487</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0.173</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0.102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0.842</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SIZE (Log TA)</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14.326</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1.284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11.542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17.893</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LEV</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0.421</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0.193</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0.021</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0.879</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ROA</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0.087</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0.064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-0.152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0.241</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OWNCON</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0.534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0.187</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0.112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0.891</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AGE (Years)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23.714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11.502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3</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68</w:t>
            </w:r>
          </w:p>
        </w:tc>
      </w:tr>
    </w:tbl>
    <w:p w:rsidR="00E6465D" w:rsidRPr="00FA77FD" w:rsidRDefault="00E6465D" w:rsidP="00FA77FD">
      <w:pPr>
        <w:pStyle w:val="NormalWeb"/>
        <w:spacing w:before="120" w:beforeAutospacing="0" w:after="240" w:afterAutospacing="0"/>
        <w:jc w:val="both"/>
        <w:rPr>
          <w:b/>
        </w:rPr>
      </w:pPr>
      <w:r w:rsidRPr="00FA77FD">
        <w:rPr>
          <w:rStyle w:val="Strong"/>
          <w:b w:val="0"/>
        </w:rPr>
        <w:t>Observations = 1,250 (Firm-Year Panel Data)</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 xml:space="preserve">Interpretation </w:t>
      </w:r>
    </w:p>
    <w:p w:rsidR="00702038" w:rsidRPr="00FA77FD" w:rsidRDefault="00E6465D" w:rsidP="00FA77FD">
      <w:pPr>
        <w:pStyle w:val="NormalWeb"/>
        <w:spacing w:before="0" w:beforeAutospacing="0" w:after="240" w:afterAutospacing="0"/>
        <w:jc w:val="both"/>
      </w:pPr>
      <w:r w:rsidRPr="00FA77FD">
        <w:t>Table 1 presents the descriptive statistics of the study variables. The mean value of CG_INDEX (0.562) indicates a moderate level of corporate governance effectiveness among emerging market firms. FAT_INDEX has a mean of 0.487, suggesting that the adoption of forensic accounting techniques is still evolving across firms. The average firm size (log of total assets) is 14.326, indicating a mix of medium and large firms in the sample. The mean leverage ratio of 0.421 suggests moderate reliance on debt financing, while the average profitability (ROA) stands at 8.7%. Ownership concentration averages 53.4%, reflecting the dominance of block shareholders typical of emerging markets.</w:t>
      </w:r>
    </w:p>
    <w:p w:rsidR="00E6465D" w:rsidRPr="00FA77FD" w:rsidRDefault="00E6465D" w:rsidP="00FA77FD">
      <w:pPr>
        <w:pStyle w:val="Heading1"/>
        <w:spacing w:before="0" w:after="240" w:line="240" w:lineRule="auto"/>
        <w:jc w:val="both"/>
        <w:rPr>
          <w:rFonts w:ascii="Times New Roman" w:hAnsi="Times New Roman" w:cs="Times New Roman"/>
          <w:color w:val="auto"/>
          <w:sz w:val="24"/>
          <w:szCs w:val="24"/>
        </w:rPr>
      </w:pPr>
      <w:r w:rsidRPr="00FA77FD">
        <w:rPr>
          <w:rStyle w:val="Strong"/>
          <w:rFonts w:ascii="Times New Roman" w:hAnsi="Times New Roman" w:cs="Times New Roman"/>
          <w:bCs/>
          <w:color w:val="auto"/>
          <w:sz w:val="24"/>
          <w:szCs w:val="24"/>
        </w:rPr>
        <w:t xml:space="preserve">Table 2: </w:t>
      </w:r>
      <w:r w:rsidRPr="00FA77FD">
        <w:rPr>
          <w:rFonts w:ascii="Times New Roman" w:hAnsi="Times New Roman" w:cs="Times New Roman"/>
          <w:b w:val="0"/>
          <w:color w:val="auto"/>
          <w:sz w:val="24"/>
          <w:szCs w:val="24"/>
        </w:rPr>
        <w:t>Correlation Matrix</w:t>
      </w:r>
    </w:p>
    <w:tbl>
      <w:tblPr>
        <w:tblStyle w:val="TableGrid"/>
        <w:tblW w:w="0" w:type="auto"/>
        <w:tblLayout w:type="fixed"/>
        <w:tblLook w:val="04A0" w:firstRow="1" w:lastRow="0" w:firstColumn="1" w:lastColumn="0" w:noHBand="0" w:noVBand="1"/>
      </w:tblPr>
      <w:tblGrid>
        <w:gridCol w:w="1776"/>
        <w:gridCol w:w="1485"/>
        <w:gridCol w:w="1649"/>
        <w:gridCol w:w="1155"/>
        <w:gridCol w:w="1320"/>
        <w:gridCol w:w="1156"/>
        <w:gridCol w:w="1379"/>
        <w:gridCol w:w="837"/>
      </w:tblGrid>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Variables</w:t>
            </w:r>
          </w:p>
        </w:tc>
        <w:tc>
          <w:tcPr>
            <w:tcW w:w="1485"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CG_INDEX</w:t>
            </w:r>
          </w:p>
        </w:tc>
        <w:tc>
          <w:tcPr>
            <w:tcW w:w="1649"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FAT_INDEX</w:t>
            </w:r>
          </w:p>
        </w:tc>
        <w:tc>
          <w:tcPr>
            <w:tcW w:w="1155"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SIZE</w:t>
            </w:r>
          </w:p>
        </w:tc>
        <w:tc>
          <w:tcPr>
            <w:tcW w:w="1320"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LEV</w:t>
            </w:r>
          </w:p>
        </w:tc>
        <w:tc>
          <w:tcPr>
            <w:tcW w:w="1156"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ROA</w:t>
            </w:r>
          </w:p>
        </w:tc>
        <w:tc>
          <w:tcPr>
            <w:tcW w:w="1379"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OWNCON</w:t>
            </w:r>
          </w:p>
        </w:tc>
        <w:tc>
          <w:tcPr>
            <w:tcW w:w="837" w:type="dxa"/>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AGE</w:t>
            </w: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CG_INDEX</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p>
        </w:tc>
        <w:tc>
          <w:tcPr>
            <w:tcW w:w="1155" w:type="dxa"/>
            <w:hideMark/>
          </w:tcPr>
          <w:p w:rsidR="00E6465D" w:rsidRPr="00FA77FD" w:rsidRDefault="00E6465D" w:rsidP="00FA77FD">
            <w:pPr>
              <w:spacing w:after="240"/>
              <w:jc w:val="both"/>
              <w:rPr>
                <w:rFonts w:ascii="Times New Roman" w:hAnsi="Times New Roman" w:cs="Times New Roman"/>
                <w:sz w:val="24"/>
                <w:szCs w:val="24"/>
              </w:rPr>
            </w:pPr>
          </w:p>
        </w:tc>
        <w:tc>
          <w:tcPr>
            <w:tcW w:w="1320" w:type="dxa"/>
            <w:hideMark/>
          </w:tcPr>
          <w:p w:rsidR="00E6465D" w:rsidRPr="00FA77FD" w:rsidRDefault="00E6465D" w:rsidP="00FA77FD">
            <w:pPr>
              <w:spacing w:after="240"/>
              <w:jc w:val="both"/>
              <w:rPr>
                <w:rFonts w:ascii="Times New Roman" w:hAnsi="Times New Roman" w:cs="Times New Roman"/>
                <w:sz w:val="24"/>
                <w:szCs w:val="24"/>
              </w:rPr>
            </w:pPr>
          </w:p>
        </w:tc>
        <w:tc>
          <w:tcPr>
            <w:tcW w:w="1156" w:type="dxa"/>
            <w:hideMark/>
          </w:tcPr>
          <w:p w:rsidR="00E6465D" w:rsidRPr="00FA77FD" w:rsidRDefault="00E6465D" w:rsidP="00FA77FD">
            <w:pPr>
              <w:spacing w:after="240"/>
              <w:jc w:val="both"/>
              <w:rPr>
                <w:rFonts w:ascii="Times New Roman" w:hAnsi="Times New Roman" w:cs="Times New Roman"/>
                <w:sz w:val="24"/>
                <w:szCs w:val="24"/>
              </w:rPr>
            </w:pPr>
          </w:p>
        </w:tc>
        <w:tc>
          <w:tcPr>
            <w:tcW w:w="1379" w:type="dxa"/>
            <w:hideMark/>
          </w:tcPr>
          <w:p w:rsidR="00E6465D" w:rsidRPr="00FA77FD" w:rsidRDefault="00E6465D" w:rsidP="00FA77FD">
            <w:pPr>
              <w:spacing w:after="240"/>
              <w:jc w:val="both"/>
              <w:rPr>
                <w:rFonts w:ascii="Times New Roman" w:hAnsi="Times New Roman" w:cs="Times New Roman"/>
                <w:sz w:val="24"/>
                <w:szCs w:val="24"/>
              </w:rPr>
            </w:pP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FAT_INDEX</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0.412***</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p>
        </w:tc>
        <w:tc>
          <w:tcPr>
            <w:tcW w:w="1320" w:type="dxa"/>
            <w:hideMark/>
          </w:tcPr>
          <w:p w:rsidR="00E6465D" w:rsidRPr="00FA77FD" w:rsidRDefault="00E6465D" w:rsidP="00FA77FD">
            <w:pPr>
              <w:spacing w:after="240"/>
              <w:jc w:val="both"/>
              <w:rPr>
                <w:rFonts w:ascii="Times New Roman" w:hAnsi="Times New Roman" w:cs="Times New Roman"/>
                <w:sz w:val="24"/>
                <w:szCs w:val="24"/>
              </w:rPr>
            </w:pPr>
          </w:p>
        </w:tc>
        <w:tc>
          <w:tcPr>
            <w:tcW w:w="1156" w:type="dxa"/>
            <w:hideMark/>
          </w:tcPr>
          <w:p w:rsidR="00E6465D" w:rsidRPr="00FA77FD" w:rsidRDefault="00E6465D" w:rsidP="00FA77FD">
            <w:pPr>
              <w:spacing w:after="240"/>
              <w:jc w:val="both"/>
              <w:rPr>
                <w:rFonts w:ascii="Times New Roman" w:hAnsi="Times New Roman" w:cs="Times New Roman"/>
                <w:sz w:val="24"/>
                <w:szCs w:val="24"/>
              </w:rPr>
            </w:pPr>
          </w:p>
        </w:tc>
        <w:tc>
          <w:tcPr>
            <w:tcW w:w="1379" w:type="dxa"/>
            <w:hideMark/>
          </w:tcPr>
          <w:p w:rsidR="00E6465D" w:rsidRPr="00FA77FD" w:rsidRDefault="00E6465D" w:rsidP="00FA77FD">
            <w:pPr>
              <w:spacing w:after="240"/>
              <w:jc w:val="both"/>
              <w:rPr>
                <w:rFonts w:ascii="Times New Roman" w:hAnsi="Times New Roman" w:cs="Times New Roman"/>
                <w:sz w:val="24"/>
                <w:szCs w:val="24"/>
              </w:rPr>
            </w:pP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SIZE</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0.286***</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0.331***</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1320" w:type="dxa"/>
            <w:hideMark/>
          </w:tcPr>
          <w:p w:rsidR="00E6465D" w:rsidRPr="00FA77FD" w:rsidRDefault="00E6465D" w:rsidP="00FA77FD">
            <w:pPr>
              <w:spacing w:after="240"/>
              <w:jc w:val="both"/>
              <w:rPr>
                <w:rFonts w:ascii="Times New Roman" w:hAnsi="Times New Roman" w:cs="Times New Roman"/>
                <w:sz w:val="24"/>
                <w:szCs w:val="24"/>
              </w:rPr>
            </w:pPr>
          </w:p>
        </w:tc>
        <w:tc>
          <w:tcPr>
            <w:tcW w:w="1156" w:type="dxa"/>
            <w:hideMark/>
          </w:tcPr>
          <w:p w:rsidR="00E6465D" w:rsidRPr="00FA77FD" w:rsidRDefault="00E6465D" w:rsidP="00FA77FD">
            <w:pPr>
              <w:spacing w:after="240"/>
              <w:jc w:val="both"/>
              <w:rPr>
                <w:rFonts w:ascii="Times New Roman" w:hAnsi="Times New Roman" w:cs="Times New Roman"/>
                <w:sz w:val="24"/>
                <w:szCs w:val="24"/>
              </w:rPr>
            </w:pPr>
          </w:p>
        </w:tc>
        <w:tc>
          <w:tcPr>
            <w:tcW w:w="1379" w:type="dxa"/>
            <w:hideMark/>
          </w:tcPr>
          <w:p w:rsidR="00E6465D" w:rsidRPr="00FA77FD" w:rsidRDefault="00E6465D" w:rsidP="00FA77FD">
            <w:pPr>
              <w:spacing w:after="240"/>
              <w:jc w:val="both"/>
              <w:rPr>
                <w:rFonts w:ascii="Times New Roman" w:hAnsi="Times New Roman" w:cs="Times New Roman"/>
                <w:sz w:val="24"/>
                <w:szCs w:val="24"/>
              </w:rPr>
            </w:pP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LEV</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-0.174**</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-0.092*</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0.204**</w:t>
            </w:r>
          </w:p>
        </w:tc>
        <w:tc>
          <w:tcPr>
            <w:tcW w:w="1320"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1156" w:type="dxa"/>
            <w:hideMark/>
          </w:tcPr>
          <w:p w:rsidR="00E6465D" w:rsidRPr="00FA77FD" w:rsidRDefault="00E6465D" w:rsidP="00FA77FD">
            <w:pPr>
              <w:spacing w:after="240"/>
              <w:jc w:val="both"/>
              <w:rPr>
                <w:rFonts w:ascii="Times New Roman" w:hAnsi="Times New Roman" w:cs="Times New Roman"/>
                <w:sz w:val="24"/>
                <w:szCs w:val="24"/>
              </w:rPr>
            </w:pPr>
          </w:p>
        </w:tc>
        <w:tc>
          <w:tcPr>
            <w:tcW w:w="1379" w:type="dxa"/>
            <w:hideMark/>
          </w:tcPr>
          <w:p w:rsidR="00E6465D" w:rsidRPr="00FA77FD" w:rsidRDefault="00E6465D" w:rsidP="00FA77FD">
            <w:pPr>
              <w:spacing w:after="240"/>
              <w:jc w:val="both"/>
              <w:rPr>
                <w:rFonts w:ascii="Times New Roman" w:hAnsi="Times New Roman" w:cs="Times New Roman"/>
                <w:sz w:val="24"/>
                <w:szCs w:val="24"/>
              </w:rPr>
            </w:pP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ROA</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0.358***</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0.219***</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0.145*</w:t>
            </w:r>
          </w:p>
        </w:tc>
        <w:tc>
          <w:tcPr>
            <w:tcW w:w="1320"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-0.267***</w:t>
            </w:r>
          </w:p>
        </w:tc>
        <w:tc>
          <w:tcPr>
            <w:tcW w:w="115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1379" w:type="dxa"/>
            <w:hideMark/>
          </w:tcPr>
          <w:p w:rsidR="00E6465D" w:rsidRPr="00FA77FD" w:rsidRDefault="00E6465D" w:rsidP="00FA77FD">
            <w:pPr>
              <w:spacing w:after="240"/>
              <w:jc w:val="both"/>
              <w:rPr>
                <w:rFonts w:ascii="Times New Roman" w:hAnsi="Times New Roman" w:cs="Times New Roman"/>
                <w:sz w:val="24"/>
                <w:szCs w:val="24"/>
              </w:rPr>
            </w:pP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OWNCON</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-0.198**</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-0.153**</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-0.084</w:t>
            </w:r>
          </w:p>
        </w:tc>
        <w:tc>
          <w:tcPr>
            <w:tcW w:w="1320"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0.121*</w:t>
            </w:r>
          </w:p>
        </w:tc>
        <w:tc>
          <w:tcPr>
            <w:tcW w:w="115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-0.176**</w:t>
            </w:r>
          </w:p>
        </w:tc>
        <w:tc>
          <w:tcPr>
            <w:tcW w:w="137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c>
          <w:tcPr>
            <w:tcW w:w="837" w:type="dxa"/>
            <w:hideMark/>
          </w:tcPr>
          <w:p w:rsidR="00E6465D" w:rsidRPr="00FA77FD" w:rsidRDefault="00E6465D" w:rsidP="00FA77FD">
            <w:pPr>
              <w:spacing w:after="240"/>
              <w:jc w:val="both"/>
              <w:rPr>
                <w:rFonts w:ascii="Times New Roman" w:hAnsi="Times New Roman" w:cs="Times New Roman"/>
                <w:sz w:val="24"/>
                <w:szCs w:val="24"/>
              </w:rPr>
            </w:pPr>
          </w:p>
        </w:tc>
      </w:tr>
      <w:tr w:rsidR="00E6465D" w:rsidRPr="00FA77FD" w:rsidTr="00FA77FD">
        <w:trPr>
          <w:trHeight w:val="20"/>
        </w:trPr>
        <w:tc>
          <w:tcPr>
            <w:tcW w:w="177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AGE</w:t>
            </w:r>
          </w:p>
        </w:tc>
        <w:tc>
          <w:tcPr>
            <w:tcW w:w="148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0.142*</w:t>
            </w:r>
          </w:p>
        </w:tc>
        <w:tc>
          <w:tcPr>
            <w:tcW w:w="164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0.118*</w:t>
            </w:r>
          </w:p>
        </w:tc>
        <w:tc>
          <w:tcPr>
            <w:tcW w:w="1155"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0.254***</w:t>
            </w:r>
          </w:p>
        </w:tc>
        <w:tc>
          <w:tcPr>
            <w:tcW w:w="1320"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0.062</w:t>
            </w:r>
          </w:p>
        </w:tc>
        <w:tc>
          <w:tcPr>
            <w:tcW w:w="1156"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0.097</w:t>
            </w:r>
          </w:p>
        </w:tc>
        <w:tc>
          <w:tcPr>
            <w:tcW w:w="1379"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0.083</w:t>
            </w:r>
          </w:p>
        </w:tc>
        <w:tc>
          <w:tcPr>
            <w:tcW w:w="837" w:type="dxa"/>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1.000</w:t>
            </w:r>
          </w:p>
        </w:tc>
      </w:tr>
    </w:tbl>
    <w:p w:rsidR="00E6465D" w:rsidRPr="00FA77FD" w:rsidRDefault="00E6465D" w:rsidP="00FA77FD">
      <w:pPr>
        <w:pStyle w:val="NormalWeb"/>
        <w:spacing w:before="0" w:beforeAutospacing="0" w:after="240" w:afterAutospacing="0"/>
        <w:jc w:val="both"/>
      </w:pPr>
      <w:r w:rsidRPr="00FA77FD">
        <w:lastRenderedPageBreak/>
        <w:t>***p &lt; 0.01, **p &lt; 0.05, *p &lt; 0.10</w:t>
      </w:r>
    </w:p>
    <w:p w:rsidR="00E6465D" w:rsidRPr="00FA77FD" w:rsidRDefault="00E6465D" w:rsidP="00FA77FD">
      <w:pPr>
        <w:pStyle w:val="Heading3"/>
        <w:spacing w:before="0" w:beforeAutospacing="0" w:after="240" w:afterAutospacing="0"/>
        <w:jc w:val="both"/>
        <w:rPr>
          <w:sz w:val="24"/>
          <w:szCs w:val="24"/>
        </w:rPr>
      </w:pPr>
      <w:r w:rsidRPr="00FA77FD">
        <w:rPr>
          <w:sz w:val="24"/>
          <w:szCs w:val="24"/>
        </w:rPr>
        <w:t xml:space="preserve">Interpretation </w:t>
      </w:r>
    </w:p>
    <w:p w:rsidR="00E6465D" w:rsidRPr="00FA77FD" w:rsidRDefault="00E6465D" w:rsidP="00FA77FD">
      <w:pPr>
        <w:pStyle w:val="NormalWeb"/>
        <w:spacing w:before="0" w:beforeAutospacing="0" w:after="240" w:afterAutospacing="0"/>
        <w:jc w:val="both"/>
      </w:pPr>
      <w:r w:rsidRPr="00FA77FD">
        <w:t>Table 2 reports the Pearson correlation coefficients. FAT_INDEX is positively and significantly correlated with CG_INDEX (r = 0.412, p &lt; 0.01), providing preliminary support for the hypothesis that forensic accounting techniques enhance governance effectiveness. The correlations among explanatory variables are below 0.70, indicating no serious multi</w:t>
      </w:r>
      <w:r w:rsidR="00A562A6" w:rsidRPr="00FA77FD">
        <w:t>-</w:t>
      </w:r>
      <w:r w:rsidRPr="00FA77FD">
        <w:t>collinearity concerns.</w:t>
      </w:r>
    </w:p>
    <w:p w:rsidR="00645BBF" w:rsidRPr="00FA77FD" w:rsidRDefault="00645BBF" w:rsidP="00FA77FD">
      <w:pPr>
        <w:pStyle w:val="Heading1"/>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 xml:space="preserve">Mediation Regression Table </w:t>
      </w:r>
    </w:p>
    <w:p w:rsidR="00645BBF" w:rsidRPr="00FA77FD" w:rsidRDefault="00645BBF" w:rsidP="00FA77FD">
      <w:pPr>
        <w:pStyle w:val="Heading3"/>
        <w:spacing w:before="0" w:beforeAutospacing="0" w:after="240" w:afterAutospacing="0"/>
        <w:jc w:val="both"/>
        <w:rPr>
          <w:b w:val="0"/>
          <w:sz w:val="24"/>
          <w:szCs w:val="24"/>
        </w:rPr>
      </w:pPr>
      <w:r w:rsidRPr="00FA77FD">
        <w:rPr>
          <w:b w:val="0"/>
          <w:sz w:val="24"/>
          <w:szCs w:val="24"/>
        </w:rPr>
        <w:t>Table 3: Mediation Analysis Results</w:t>
      </w:r>
    </w:p>
    <w:tbl>
      <w:tblPr>
        <w:tblStyle w:val="TableGrid"/>
        <w:tblW w:w="9543" w:type="dxa"/>
        <w:tblLook w:val="04A0" w:firstRow="1" w:lastRow="0" w:firstColumn="1" w:lastColumn="0" w:noHBand="0" w:noVBand="1"/>
      </w:tblPr>
      <w:tblGrid>
        <w:gridCol w:w="1901"/>
        <w:gridCol w:w="2289"/>
        <w:gridCol w:w="2461"/>
        <w:gridCol w:w="2892"/>
      </w:tblGrid>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Variables</w:t>
            </w:r>
          </w:p>
        </w:tc>
        <w:tc>
          <w:tcPr>
            <w:tcW w:w="0" w:type="auto"/>
            <w:hideMark/>
          </w:tcPr>
          <w:p w:rsidR="00645BBF" w:rsidRPr="00FA77FD" w:rsidRDefault="00645BBF"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(1) FRR</w:t>
            </w:r>
          </w:p>
        </w:tc>
        <w:tc>
          <w:tcPr>
            <w:tcW w:w="0" w:type="auto"/>
            <w:hideMark/>
          </w:tcPr>
          <w:p w:rsidR="00645BBF" w:rsidRPr="00FA77FD" w:rsidRDefault="00645BBF"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(2) CGE (Direct)</w:t>
            </w:r>
          </w:p>
        </w:tc>
        <w:tc>
          <w:tcPr>
            <w:tcW w:w="0" w:type="auto"/>
            <w:hideMark/>
          </w:tcPr>
          <w:p w:rsidR="00645BBF" w:rsidRPr="00FA77FD" w:rsidRDefault="00645BBF" w:rsidP="00FA77FD">
            <w:pPr>
              <w:spacing w:after="200"/>
              <w:jc w:val="both"/>
              <w:rPr>
                <w:rFonts w:ascii="Times New Roman" w:hAnsi="Times New Roman" w:cs="Times New Roman"/>
                <w:b/>
                <w:bCs/>
                <w:sz w:val="24"/>
                <w:szCs w:val="24"/>
              </w:rPr>
            </w:pPr>
            <w:r w:rsidRPr="00FA77FD">
              <w:rPr>
                <w:rFonts w:ascii="Times New Roman" w:hAnsi="Times New Roman" w:cs="Times New Roman"/>
                <w:b/>
                <w:bCs/>
                <w:sz w:val="24"/>
                <w:szCs w:val="24"/>
              </w:rPr>
              <w:t>(3) CGE (Mediated)</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FAT_INDEX</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-0.187** (-2.45)</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0.214*** (3.56)</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0.156** (2.41)</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FRR</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0.163*** (3.12)</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SIZE</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LEV</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ROA</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OWNCON</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Firm FE</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Year FE</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Observations</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1,250</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1,250</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1,250</w:t>
            </w:r>
          </w:p>
        </w:tc>
      </w:tr>
      <w:tr w:rsidR="00645BBF" w:rsidRPr="00FA77FD" w:rsidTr="00FA77FD">
        <w:trPr>
          <w:trHeight w:val="20"/>
        </w:trPr>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R²</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0.31</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0.42</w:t>
            </w:r>
          </w:p>
        </w:tc>
        <w:tc>
          <w:tcPr>
            <w:tcW w:w="0" w:type="auto"/>
            <w:hideMark/>
          </w:tcPr>
          <w:p w:rsidR="00645BBF" w:rsidRPr="00FA77FD" w:rsidRDefault="00645BBF" w:rsidP="00FA77FD">
            <w:pPr>
              <w:spacing w:after="200"/>
              <w:jc w:val="both"/>
              <w:rPr>
                <w:rFonts w:ascii="Times New Roman" w:hAnsi="Times New Roman" w:cs="Times New Roman"/>
                <w:sz w:val="24"/>
                <w:szCs w:val="24"/>
              </w:rPr>
            </w:pPr>
            <w:r w:rsidRPr="00FA77FD">
              <w:rPr>
                <w:rFonts w:ascii="Times New Roman" w:hAnsi="Times New Roman" w:cs="Times New Roman"/>
                <w:sz w:val="24"/>
                <w:szCs w:val="24"/>
              </w:rPr>
              <w:t>0.47</w:t>
            </w:r>
          </w:p>
        </w:tc>
      </w:tr>
    </w:tbl>
    <w:p w:rsidR="00FA77FD" w:rsidRDefault="00645BBF" w:rsidP="00FA77FD">
      <w:pPr>
        <w:pStyle w:val="NormalWeb"/>
        <w:spacing w:before="120" w:beforeAutospacing="0" w:after="240" w:afterAutospacing="0"/>
        <w:jc w:val="both"/>
      </w:pPr>
      <w:r w:rsidRPr="00FA77FD">
        <w:t>***p &lt; 0.01, **p &lt; 0.05, *p &lt; 0.10</w:t>
      </w:r>
    </w:p>
    <w:p w:rsidR="00645BBF" w:rsidRPr="00FA77FD" w:rsidRDefault="00645BBF" w:rsidP="00FA77FD">
      <w:pPr>
        <w:pStyle w:val="NormalWeb"/>
        <w:spacing w:before="0" w:beforeAutospacing="0" w:after="240" w:afterAutospacing="0"/>
        <w:jc w:val="both"/>
      </w:pPr>
      <w:r w:rsidRPr="00FA77FD">
        <w:t>t-statistics in parentheses.</w:t>
      </w:r>
    </w:p>
    <w:p w:rsidR="00645BBF" w:rsidRPr="00FA77FD" w:rsidRDefault="00645BBF" w:rsidP="00FA77FD">
      <w:pPr>
        <w:pStyle w:val="Heading1"/>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Mediation Analysis: The Role of Fraud Risk Reduction</w:t>
      </w:r>
    </w:p>
    <w:p w:rsidR="00645BBF" w:rsidRPr="00FA77FD" w:rsidRDefault="00645BBF" w:rsidP="00FA77FD">
      <w:pPr>
        <w:pStyle w:val="NormalWeb"/>
        <w:spacing w:before="0" w:beforeAutospacing="0" w:after="240" w:afterAutospacing="0"/>
        <w:jc w:val="both"/>
      </w:pPr>
      <w:r w:rsidRPr="00FA77FD">
        <w:t xml:space="preserve">To further examine the underlying mechanism through which forensic accounting techniques enhance corporate governance effectiveness, this study tests whether </w:t>
      </w:r>
      <w:r w:rsidRPr="00FA77FD">
        <w:rPr>
          <w:rStyle w:val="Strong"/>
          <w:b w:val="0"/>
        </w:rPr>
        <w:t>Fraud Risk Reduction</w:t>
      </w:r>
      <w:r w:rsidRPr="00FA77FD">
        <w:rPr>
          <w:rStyle w:val="Strong"/>
        </w:rPr>
        <w:t xml:space="preserve"> </w:t>
      </w:r>
      <w:r w:rsidRPr="00FA77FD">
        <w:rPr>
          <w:rStyle w:val="Strong"/>
          <w:b w:val="0"/>
        </w:rPr>
        <w:t>(FRR)</w:t>
      </w:r>
      <w:r w:rsidRPr="00FA77FD">
        <w:t xml:space="preserve"> mediates the relationship between Forensic Accounting Techniques (FAT_INDEX) and Corporate Governance Effectiveness (CG_INDEX).</w:t>
      </w:r>
    </w:p>
    <w:p w:rsidR="00645BBF" w:rsidRPr="00FA77FD" w:rsidRDefault="00645BBF" w:rsidP="00FA77FD">
      <w:pPr>
        <w:pStyle w:val="NormalWeb"/>
        <w:spacing w:before="0" w:beforeAutospacing="0" w:after="240" w:afterAutospacing="0"/>
        <w:jc w:val="both"/>
      </w:pPr>
      <w:r w:rsidRPr="00FA77FD">
        <w:t>The mediation analysis follows the panel regression approach with fixed effects and System GMM estimation to ensure robustness and control for endogeneity.</w:t>
      </w:r>
    </w:p>
    <w:p w:rsidR="00645BBF" w:rsidRPr="00FA77FD" w:rsidRDefault="00645BBF"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Step 1: Effect of FAT on Fraud Risk Reduction</w:t>
      </w:r>
    </w:p>
    <w:p w:rsidR="00645BBF" w:rsidRPr="00FA77FD" w:rsidRDefault="00645BBF" w:rsidP="00FA77FD">
      <w:pPr>
        <w:pStyle w:val="NormalWeb"/>
        <w:spacing w:before="0" w:beforeAutospacing="0" w:after="240" w:afterAutospacing="0"/>
        <w:jc w:val="both"/>
      </w:pPr>
      <w:r w:rsidRPr="00FA77FD">
        <w:t>The first step tests whether forensic accounting techniques significantly reduce fraud risk.</w:t>
      </w:r>
    </w:p>
    <w:p w:rsidR="00645BBF" w:rsidRPr="00FA77FD" w:rsidRDefault="00645BBF" w:rsidP="00FA77FD">
      <w:pPr>
        <w:spacing w:after="240" w:line="240" w:lineRule="auto"/>
        <w:jc w:val="both"/>
        <w:rPr>
          <w:rFonts w:ascii="Times New Roman" w:hAnsi="Times New Roman" w:cs="Times New Roman"/>
          <w:b/>
          <w:sz w:val="24"/>
          <w:szCs w:val="24"/>
        </w:rPr>
      </w:pPr>
      <w:r w:rsidRPr="00FA77FD">
        <w:rPr>
          <w:rStyle w:val="katex-mathml"/>
          <w:rFonts w:ascii="Times New Roman" w:hAnsi="Times New Roman" w:cs="Times New Roman"/>
          <w:b/>
          <w:sz w:val="24"/>
          <w:szCs w:val="24"/>
        </w:rPr>
        <w:t>FRR</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=α+β</w:t>
      </w:r>
      <w:r w:rsidRPr="00FA77FD">
        <w:rPr>
          <w:rStyle w:val="katex-mathml"/>
          <w:rFonts w:ascii="Times New Roman" w:hAnsi="Times New Roman" w:cs="Times New Roman"/>
          <w:b/>
          <w:sz w:val="24"/>
          <w:szCs w:val="24"/>
          <w:vertAlign w:val="subscript"/>
        </w:rPr>
        <w:t>1</w:t>
      </w:r>
      <w:r w:rsidRPr="00FA77FD">
        <w:rPr>
          <w:rStyle w:val="katex-mathml"/>
          <w:rFonts w:ascii="Times New Roman" w:hAnsi="Times New Roman" w:cs="Times New Roman"/>
          <w:b/>
          <w:sz w:val="24"/>
          <w:szCs w:val="24"/>
        </w:rPr>
        <w:t>FAT</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+Control</w:t>
      </w:r>
      <w:r w:rsidRPr="00FA77FD">
        <w:rPr>
          <w:rStyle w:val="katex-mathml"/>
          <w:rFonts w:ascii="Times New Roman" w:hAnsi="Times New Roman" w:cs="Times New Roman"/>
          <w:b/>
          <w:sz w:val="24"/>
          <w:szCs w:val="24"/>
          <w:vertAlign w:val="subscript"/>
        </w:rPr>
        <w:t>s</w:t>
      </w:r>
      <w:r w:rsidRPr="00FA77FD">
        <w:rPr>
          <w:rStyle w:val="katex-mathml"/>
          <w:rFonts w:ascii="Times New Roman" w:hAnsi="Times New Roman" w:cs="Times New Roman"/>
          <w:b/>
          <w:sz w:val="24"/>
          <w:szCs w:val="24"/>
        </w:rPr>
        <w:t>+ε</w:t>
      </w:r>
      <w:r w:rsidRPr="00FA77FD">
        <w:rPr>
          <w:rStyle w:val="katex-mathml"/>
          <w:rFonts w:ascii="Times New Roman" w:hAnsi="Times New Roman" w:cs="Times New Roman"/>
          <w:b/>
          <w:sz w:val="24"/>
          <w:szCs w:val="24"/>
          <w:vertAlign w:val="subscript"/>
        </w:rPr>
        <w:t>it</w:t>
      </w:r>
    </w:p>
    <w:p w:rsidR="00645BBF" w:rsidRPr="00FA77FD" w:rsidRDefault="00645BBF" w:rsidP="00FA77FD">
      <w:pPr>
        <w:pStyle w:val="NormalWeb"/>
        <w:spacing w:before="0" w:beforeAutospacing="0" w:after="240" w:afterAutospacing="0"/>
        <w:jc w:val="both"/>
      </w:pPr>
      <w:r w:rsidRPr="00FA77FD">
        <w:t xml:space="preserve">The results indicate that </w:t>
      </w:r>
      <w:r w:rsidRPr="00FA77FD">
        <w:rPr>
          <w:rStyle w:val="Strong"/>
          <w:b w:val="0"/>
        </w:rPr>
        <w:t>FAT_INDEX is negatively and significantly associated with fraud risk</w:t>
      </w:r>
      <w:r w:rsidRPr="00FA77FD">
        <w:rPr>
          <w:b/>
        </w:rPr>
        <w:t xml:space="preserve"> </w:t>
      </w:r>
      <w:r w:rsidRPr="00FA77FD">
        <w:t>(β = −0.187, p &lt; 0.05). This suggests that firms adopting forensic accounting techniques experience lower levels of financial misstatements and reduced earnings manipulation.</w:t>
      </w:r>
    </w:p>
    <w:p w:rsidR="00645BBF" w:rsidRPr="00FA77FD" w:rsidRDefault="00645BBF" w:rsidP="00FA77FD">
      <w:pPr>
        <w:pStyle w:val="NormalWeb"/>
        <w:spacing w:before="0" w:beforeAutospacing="0" w:after="240" w:afterAutospacing="0"/>
        <w:jc w:val="both"/>
      </w:pPr>
      <w:r w:rsidRPr="00FA77FD">
        <w:lastRenderedPageBreak/>
        <w:t>This finding is consistent with prior research indicating that forensic audits, data analytics tools, and whistleblower mechanisms improve fraud detection and prevention capabilities.</w:t>
      </w:r>
    </w:p>
    <w:p w:rsidR="00645BBF" w:rsidRPr="00FA77FD" w:rsidRDefault="00645BBF"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Step 2: Direct Effect of FAT on Governance Effectiveness</w:t>
      </w:r>
    </w:p>
    <w:p w:rsidR="00645BBF" w:rsidRPr="00FA77FD" w:rsidRDefault="00645BBF" w:rsidP="00FA77FD">
      <w:pPr>
        <w:pStyle w:val="NormalWeb"/>
        <w:spacing w:before="0" w:beforeAutospacing="0" w:after="240" w:afterAutospacing="0"/>
        <w:jc w:val="both"/>
      </w:pPr>
      <w:r w:rsidRPr="00FA77FD">
        <w:t>In the second step, CG_INDEX is regressed on FAT_INDEX without including the mediator.</w:t>
      </w:r>
    </w:p>
    <w:p w:rsidR="00645BBF" w:rsidRPr="00FA77FD" w:rsidRDefault="00645BBF" w:rsidP="00FA77FD">
      <w:pPr>
        <w:spacing w:after="240" w:line="240" w:lineRule="auto"/>
        <w:jc w:val="both"/>
        <w:rPr>
          <w:rFonts w:ascii="Times New Roman" w:hAnsi="Times New Roman" w:cs="Times New Roman"/>
          <w:b/>
          <w:sz w:val="24"/>
          <w:szCs w:val="24"/>
        </w:rPr>
      </w:pPr>
      <w:r w:rsidRPr="00FA77FD">
        <w:rPr>
          <w:rStyle w:val="katex-mathml"/>
          <w:rFonts w:ascii="Times New Roman" w:hAnsi="Times New Roman" w:cs="Times New Roman"/>
          <w:b/>
          <w:sz w:val="24"/>
          <w:szCs w:val="24"/>
        </w:rPr>
        <w:t>CGE</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=α+β</w:t>
      </w:r>
      <w:r w:rsidRPr="00FA77FD">
        <w:rPr>
          <w:rStyle w:val="katex-mathml"/>
          <w:rFonts w:ascii="Times New Roman" w:hAnsi="Times New Roman" w:cs="Times New Roman"/>
          <w:b/>
          <w:sz w:val="24"/>
          <w:szCs w:val="24"/>
          <w:vertAlign w:val="subscript"/>
        </w:rPr>
        <w:t>1</w:t>
      </w:r>
      <w:r w:rsidRPr="00FA77FD">
        <w:rPr>
          <w:rStyle w:val="katex-mathml"/>
          <w:rFonts w:ascii="Times New Roman" w:hAnsi="Times New Roman" w:cs="Times New Roman"/>
          <w:b/>
          <w:sz w:val="24"/>
          <w:szCs w:val="24"/>
        </w:rPr>
        <w:t>FAT</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+Controls+ε</w:t>
      </w:r>
      <w:r w:rsidRPr="00FA77FD">
        <w:rPr>
          <w:rStyle w:val="katex-mathml"/>
          <w:rFonts w:ascii="Times New Roman" w:hAnsi="Times New Roman" w:cs="Times New Roman"/>
          <w:b/>
          <w:sz w:val="24"/>
          <w:szCs w:val="24"/>
          <w:vertAlign w:val="subscript"/>
        </w:rPr>
        <w:t>it</w:t>
      </w:r>
    </w:p>
    <w:p w:rsidR="00645BBF" w:rsidRPr="00FA77FD" w:rsidRDefault="00645BBF" w:rsidP="00FA77FD">
      <w:pPr>
        <w:pStyle w:val="NormalWeb"/>
        <w:spacing w:before="0" w:beforeAutospacing="0" w:after="240" w:afterAutospacing="0"/>
        <w:jc w:val="both"/>
      </w:pPr>
      <w:r w:rsidRPr="00FA77FD">
        <w:t>The coefficient of FAT_INDEX remains positive and statistically significant (β = 0.214, p &lt; 0.01), confirming the direct positive impact of forensic accounting techniques on governance effectiveness.</w:t>
      </w:r>
    </w:p>
    <w:p w:rsidR="00645BBF" w:rsidRPr="00FA77FD" w:rsidRDefault="00645BBF"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Step 3: Mediated Model (Including FRR)</w:t>
      </w:r>
    </w:p>
    <w:p w:rsidR="00645BBF" w:rsidRPr="00FA77FD" w:rsidRDefault="00645BBF" w:rsidP="00FA77FD">
      <w:pPr>
        <w:pStyle w:val="NormalWeb"/>
        <w:spacing w:before="0" w:beforeAutospacing="0" w:after="240" w:afterAutospacing="0"/>
        <w:jc w:val="both"/>
      </w:pPr>
      <w:r w:rsidRPr="00FA77FD">
        <w:t>In the final step, both FAT_INDEX and FRR are included in the regression model.</w:t>
      </w:r>
    </w:p>
    <w:p w:rsidR="00645BBF" w:rsidRPr="00FA77FD" w:rsidRDefault="00645BBF" w:rsidP="00FA77FD">
      <w:pPr>
        <w:spacing w:after="240" w:line="240" w:lineRule="auto"/>
        <w:jc w:val="both"/>
        <w:rPr>
          <w:rFonts w:ascii="Times New Roman" w:hAnsi="Times New Roman" w:cs="Times New Roman"/>
          <w:b/>
          <w:sz w:val="24"/>
          <w:szCs w:val="24"/>
        </w:rPr>
      </w:pPr>
      <w:r w:rsidRPr="00FA77FD">
        <w:rPr>
          <w:rStyle w:val="katex-mathml"/>
          <w:rFonts w:ascii="Times New Roman" w:hAnsi="Times New Roman" w:cs="Times New Roman"/>
          <w:b/>
          <w:sz w:val="24"/>
          <w:szCs w:val="24"/>
        </w:rPr>
        <w:t>CGE</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=α+β</w:t>
      </w:r>
      <w:r w:rsidRPr="00FA77FD">
        <w:rPr>
          <w:rStyle w:val="katex-mathml"/>
          <w:rFonts w:ascii="Times New Roman" w:hAnsi="Times New Roman" w:cs="Times New Roman"/>
          <w:b/>
          <w:sz w:val="24"/>
          <w:szCs w:val="24"/>
          <w:vertAlign w:val="subscript"/>
        </w:rPr>
        <w:t>1</w:t>
      </w:r>
      <w:r w:rsidRPr="00FA77FD">
        <w:rPr>
          <w:rStyle w:val="katex-mathml"/>
          <w:rFonts w:ascii="Times New Roman" w:hAnsi="Times New Roman" w:cs="Times New Roman"/>
          <w:b/>
          <w:sz w:val="24"/>
          <w:szCs w:val="24"/>
        </w:rPr>
        <w:t>FAT</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+β</w:t>
      </w:r>
      <w:r w:rsidRPr="00FA77FD">
        <w:rPr>
          <w:rStyle w:val="katex-mathml"/>
          <w:rFonts w:ascii="Times New Roman" w:hAnsi="Times New Roman" w:cs="Times New Roman"/>
          <w:b/>
          <w:sz w:val="24"/>
          <w:szCs w:val="24"/>
          <w:vertAlign w:val="subscript"/>
        </w:rPr>
        <w:t>2</w:t>
      </w:r>
      <w:r w:rsidRPr="00FA77FD">
        <w:rPr>
          <w:rStyle w:val="katex-mathml"/>
          <w:rFonts w:ascii="Times New Roman" w:hAnsi="Times New Roman" w:cs="Times New Roman"/>
          <w:b/>
          <w:sz w:val="24"/>
          <w:szCs w:val="24"/>
        </w:rPr>
        <w:t>FRR</w:t>
      </w:r>
      <w:r w:rsidRPr="00FA77FD">
        <w:rPr>
          <w:rStyle w:val="katex-mathml"/>
          <w:rFonts w:ascii="Times New Roman" w:hAnsi="Times New Roman" w:cs="Times New Roman"/>
          <w:b/>
          <w:sz w:val="24"/>
          <w:szCs w:val="24"/>
          <w:vertAlign w:val="subscript"/>
        </w:rPr>
        <w:t>it</w:t>
      </w:r>
      <w:r w:rsidRPr="00FA77FD">
        <w:rPr>
          <w:rStyle w:val="katex-mathml"/>
          <w:rFonts w:ascii="Times New Roman" w:hAnsi="Times New Roman" w:cs="Times New Roman"/>
          <w:b/>
          <w:sz w:val="24"/>
          <w:szCs w:val="24"/>
        </w:rPr>
        <w:t>+Controls+ε</w:t>
      </w:r>
      <w:r w:rsidRPr="00FA77FD">
        <w:rPr>
          <w:rStyle w:val="katex-mathml"/>
          <w:rFonts w:ascii="Times New Roman" w:hAnsi="Times New Roman" w:cs="Times New Roman"/>
          <w:b/>
          <w:sz w:val="24"/>
          <w:szCs w:val="24"/>
          <w:vertAlign w:val="subscript"/>
        </w:rPr>
        <w:t>it</w:t>
      </w:r>
      <w:r w:rsidRPr="00FA77FD">
        <w:rPr>
          <w:rStyle w:val="vlist-s"/>
          <w:rFonts w:ascii="Times New Roman" w:hAnsi="Times New Roman" w:cs="Times New Roman"/>
          <w:b/>
          <w:sz w:val="24"/>
          <w:szCs w:val="24"/>
        </w:rPr>
        <w:t xml:space="preserve"> ​</w:t>
      </w:r>
    </w:p>
    <w:p w:rsidR="00645BBF" w:rsidRPr="00FA77FD" w:rsidRDefault="00645BBF" w:rsidP="00FA77FD">
      <w:pPr>
        <w:pStyle w:val="NormalWeb"/>
        <w:spacing w:before="0" w:beforeAutospacing="0" w:after="240" w:afterAutospacing="0"/>
        <w:jc w:val="both"/>
      </w:pPr>
      <w:r w:rsidRPr="00FA77FD">
        <w:t>The results show:</w:t>
      </w:r>
    </w:p>
    <w:p w:rsidR="00645BBF" w:rsidRPr="00FA77FD" w:rsidRDefault="00645BBF" w:rsidP="00FA77FD">
      <w:pPr>
        <w:pStyle w:val="NormalWeb"/>
        <w:numPr>
          <w:ilvl w:val="0"/>
          <w:numId w:val="14"/>
        </w:numPr>
        <w:spacing w:before="0" w:beforeAutospacing="0" w:after="240" w:afterAutospacing="0"/>
        <w:jc w:val="both"/>
      </w:pPr>
      <w:r w:rsidRPr="00FA77FD">
        <w:t>FRR is positively and significantly associated with CG_INDEX (β = 0.163, p &lt; 0.01).</w:t>
      </w:r>
    </w:p>
    <w:p w:rsidR="00645BBF" w:rsidRPr="00FA77FD" w:rsidRDefault="00645BBF" w:rsidP="00FA77FD">
      <w:pPr>
        <w:pStyle w:val="NormalWeb"/>
        <w:numPr>
          <w:ilvl w:val="0"/>
          <w:numId w:val="14"/>
        </w:numPr>
        <w:spacing w:before="0" w:beforeAutospacing="0" w:after="240" w:afterAutospacing="0"/>
        <w:jc w:val="both"/>
      </w:pPr>
      <w:r w:rsidRPr="00FA77FD">
        <w:t>The coefficient of FAT_INDEX decreases from 0.214 to 0.156 but remains statistically significant (p &lt; 0.05).</w:t>
      </w:r>
    </w:p>
    <w:p w:rsidR="00645BBF" w:rsidRPr="00FA77FD" w:rsidRDefault="00645BBF" w:rsidP="00FA77FD">
      <w:pPr>
        <w:pStyle w:val="NormalWeb"/>
        <w:spacing w:before="0" w:beforeAutospacing="0" w:after="240" w:afterAutospacing="0"/>
        <w:jc w:val="both"/>
      </w:pPr>
      <w:r w:rsidRPr="00FA77FD">
        <w:t xml:space="preserve">This reduction in magnitude indicates </w:t>
      </w:r>
      <w:r w:rsidRPr="00FA77FD">
        <w:rPr>
          <w:rStyle w:val="Strong"/>
          <w:b w:val="0"/>
        </w:rPr>
        <w:t>partial mediation</w:t>
      </w:r>
      <w:r w:rsidRPr="00FA77FD">
        <w:rPr>
          <w:b/>
        </w:rPr>
        <w:t>,</w:t>
      </w:r>
      <w:r w:rsidRPr="00FA77FD">
        <w:t xml:space="preserve"> suggesting that forensic accounting techniques improve governance effectiveness both directly and indirectly through fraud risk reduction.</w:t>
      </w:r>
    </w:p>
    <w:p w:rsidR="00E6465D" w:rsidRPr="00FA77FD" w:rsidRDefault="00645BBF" w:rsidP="00FA77FD">
      <w:pPr>
        <w:pStyle w:val="Heading1"/>
        <w:spacing w:before="0" w:after="240" w:line="240" w:lineRule="auto"/>
        <w:jc w:val="both"/>
        <w:rPr>
          <w:rFonts w:ascii="Times New Roman" w:hAnsi="Times New Roman" w:cs="Times New Roman"/>
          <w:color w:val="auto"/>
          <w:sz w:val="24"/>
          <w:szCs w:val="24"/>
        </w:rPr>
      </w:pPr>
      <w:r w:rsidRPr="00FA77FD">
        <w:rPr>
          <w:rStyle w:val="Strong"/>
          <w:rFonts w:ascii="Times New Roman" w:hAnsi="Times New Roman" w:cs="Times New Roman"/>
          <w:bCs/>
          <w:color w:val="auto"/>
          <w:sz w:val="24"/>
          <w:szCs w:val="24"/>
        </w:rPr>
        <w:t xml:space="preserve">Table 4: </w:t>
      </w:r>
      <w:r w:rsidR="00E6465D" w:rsidRPr="00FA77FD">
        <w:rPr>
          <w:rFonts w:ascii="Times New Roman" w:hAnsi="Times New Roman" w:cs="Times New Roman"/>
          <w:b w:val="0"/>
          <w:color w:val="auto"/>
          <w:sz w:val="24"/>
          <w:szCs w:val="24"/>
        </w:rPr>
        <w:t>Panel Regression Results</w:t>
      </w:r>
    </w:p>
    <w:tbl>
      <w:tblPr>
        <w:tblStyle w:val="TableGrid"/>
        <w:tblW w:w="0" w:type="auto"/>
        <w:tblLook w:val="04A0" w:firstRow="1" w:lastRow="0" w:firstColumn="1" w:lastColumn="0" w:noHBand="0" w:noVBand="1"/>
      </w:tblPr>
      <w:tblGrid>
        <w:gridCol w:w="1609"/>
        <w:gridCol w:w="1896"/>
        <w:gridCol w:w="2203"/>
        <w:gridCol w:w="1989"/>
      </w:tblGrid>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Variables</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(1) Fixed Effects</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(2) Random Effects</w:t>
            </w:r>
          </w:p>
        </w:tc>
        <w:tc>
          <w:tcPr>
            <w:tcW w:w="0" w:type="auto"/>
            <w:hideMark/>
          </w:tcPr>
          <w:p w:rsidR="00E6465D" w:rsidRPr="00FA77FD" w:rsidRDefault="00E6465D" w:rsidP="00FA77FD">
            <w:pPr>
              <w:spacing w:after="240"/>
              <w:jc w:val="both"/>
              <w:rPr>
                <w:rFonts w:ascii="Times New Roman" w:hAnsi="Times New Roman" w:cs="Times New Roman"/>
                <w:b/>
                <w:bCs/>
                <w:sz w:val="24"/>
                <w:szCs w:val="24"/>
              </w:rPr>
            </w:pPr>
            <w:r w:rsidRPr="00FA77FD">
              <w:rPr>
                <w:rFonts w:ascii="Times New Roman" w:hAnsi="Times New Roman" w:cs="Times New Roman"/>
                <w:b/>
                <w:bCs/>
                <w:sz w:val="24"/>
                <w:szCs w:val="24"/>
              </w:rPr>
              <w:t>(3) System GMM</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FAT_INDEX</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0.214*** (3.56)</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0.198*** (3.21)</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0.231*** (3.89)</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SIZE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0.082** (2.14)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0.075** (2.03)</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0.091** (2.47)</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LEV</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-0.067* (-1.85)</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-0.061* (-1.79)</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-0.072* (-1.96)</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ROA</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0.154*** (4.01)</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0.149*** (3.89)</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0.162*** (4.25)</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OWNCON</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-0.058** (-2.12)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-0.053* (-1.94)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-0.061** (-2.24)</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AGE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0.019 (1.21)</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0.017 (1.14)</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0.022 (1.36)</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Constant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Firm FE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No</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Year FE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Yes</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Observations</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1,250</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1,250</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1,250</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R²</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0.42</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0.38</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Hausman Test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18.76***</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lastRenderedPageBreak/>
              <w:t>AR(2) p-value</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0.284</w:t>
            </w:r>
          </w:p>
        </w:tc>
      </w:tr>
      <w:tr w:rsidR="00E6465D" w:rsidRPr="00FA77FD" w:rsidTr="00FA77FD">
        <w:trPr>
          <w:trHeight w:val="20"/>
        </w:trPr>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Hansen Test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w:t>
            </w:r>
          </w:p>
        </w:tc>
        <w:tc>
          <w:tcPr>
            <w:tcW w:w="0" w:type="auto"/>
            <w:hideMark/>
          </w:tcPr>
          <w:p w:rsidR="00E6465D" w:rsidRPr="00FA77FD" w:rsidRDefault="00E6465D" w:rsidP="00FA77FD">
            <w:pPr>
              <w:spacing w:after="240"/>
              <w:jc w:val="both"/>
              <w:rPr>
                <w:rFonts w:ascii="Times New Roman" w:hAnsi="Times New Roman" w:cs="Times New Roman"/>
                <w:sz w:val="24"/>
                <w:szCs w:val="24"/>
              </w:rPr>
            </w:pPr>
            <w:r w:rsidRPr="00FA77FD">
              <w:rPr>
                <w:rFonts w:ascii="Times New Roman" w:hAnsi="Times New Roman" w:cs="Times New Roman"/>
                <w:sz w:val="24"/>
                <w:szCs w:val="24"/>
              </w:rPr>
              <w:t>0.361</w:t>
            </w:r>
          </w:p>
        </w:tc>
      </w:tr>
    </w:tbl>
    <w:p w:rsidR="00FA77FD" w:rsidRDefault="00E6465D" w:rsidP="00FA77FD">
      <w:pPr>
        <w:pStyle w:val="NormalWeb"/>
        <w:spacing w:before="120" w:beforeAutospacing="0" w:after="240" w:afterAutospacing="0"/>
        <w:jc w:val="both"/>
      </w:pPr>
      <w:r w:rsidRPr="00FA77FD">
        <w:t>***p &lt; 0.01, **p &lt; 0.05, *p &lt; 0.10</w:t>
      </w:r>
    </w:p>
    <w:p w:rsidR="00E6465D" w:rsidRPr="00FA77FD" w:rsidRDefault="00E6465D" w:rsidP="00FA77FD">
      <w:pPr>
        <w:pStyle w:val="NormalWeb"/>
        <w:spacing w:before="0" w:beforeAutospacing="0" w:after="240" w:afterAutospacing="0"/>
        <w:jc w:val="both"/>
      </w:pPr>
      <w:r w:rsidRPr="00FA77FD">
        <w:t>t-statistics in parentheses.</w:t>
      </w:r>
    </w:p>
    <w:p w:rsidR="00645BBF" w:rsidRPr="00FA77FD" w:rsidRDefault="00645BBF" w:rsidP="00FA77FD">
      <w:pPr>
        <w:pStyle w:val="NormalWeb"/>
        <w:spacing w:before="0" w:beforeAutospacing="0" w:after="240" w:afterAutospacing="0"/>
        <w:jc w:val="both"/>
      </w:pPr>
      <w:r w:rsidRPr="00FA77FD">
        <w:rPr>
          <w:rStyle w:val="Strong"/>
        </w:rPr>
        <w:t>Dependent Variable: CG_INDEX</w:t>
      </w:r>
    </w:p>
    <w:p w:rsidR="00E6465D" w:rsidRPr="00FA77FD" w:rsidRDefault="00E6465D" w:rsidP="00FA77FD">
      <w:pPr>
        <w:pStyle w:val="Heading2"/>
        <w:spacing w:before="0" w:after="240" w:line="240" w:lineRule="auto"/>
        <w:jc w:val="both"/>
        <w:rPr>
          <w:rFonts w:ascii="Times New Roman" w:hAnsi="Times New Roman" w:cs="Times New Roman"/>
          <w:color w:val="auto"/>
          <w:sz w:val="24"/>
          <w:szCs w:val="24"/>
        </w:rPr>
      </w:pPr>
      <w:r w:rsidRPr="00FA77FD">
        <w:rPr>
          <w:rFonts w:ascii="Times New Roman" w:hAnsi="Times New Roman" w:cs="Times New Roman"/>
          <w:color w:val="auto"/>
          <w:sz w:val="24"/>
          <w:szCs w:val="24"/>
        </w:rPr>
        <w:t xml:space="preserve">Interpretation </w:t>
      </w:r>
    </w:p>
    <w:p w:rsidR="00416986" w:rsidRPr="00FA77FD" w:rsidRDefault="00E6465D" w:rsidP="00FA77FD">
      <w:pPr>
        <w:pStyle w:val="NormalWeb"/>
        <w:spacing w:before="0" w:beforeAutospacing="0" w:after="240" w:afterAutospacing="0"/>
        <w:jc w:val="both"/>
      </w:pPr>
      <w:r w:rsidRPr="00FA77FD">
        <w:t>Table 3 presents the panel regression results. The coefficient of FAT_INDEX is positive and statistically significant across all specifications, indicating that forensic accounting techniques significantly enhance corporate governance effectiveness. The Fixed Effects model shows a coefficient of 0.214 (p &lt; 0.01), suggesting that a one-unit increase in forensic accounting adoption improves governance effectiveness by approximately 21.4%. The Hausman test confirms the suitability of the Fixed Effects model. The System GMM results further confirm robustness, addressing potential endogeneity concerns. Control variables behave largely as expected: firm size and profitability positively influence governance effectiveness, while leverage and ownership concentration negatively affect governance quality.</w:t>
      </w:r>
    </w:p>
    <w:p w:rsidR="00DE2B37" w:rsidRPr="00FA77FD" w:rsidRDefault="00FA77FD" w:rsidP="00FA77FD">
      <w:pPr>
        <w:pStyle w:val="NormalWeb"/>
        <w:spacing w:before="0" w:beforeAutospacing="0" w:after="240" w:afterAutospacing="0"/>
        <w:jc w:val="both"/>
        <w:rPr>
          <w:b/>
          <w:sz w:val="28"/>
        </w:rPr>
      </w:pPr>
      <w:r w:rsidRPr="00FA77FD">
        <w:rPr>
          <w:b/>
          <w:sz w:val="28"/>
        </w:rPr>
        <w:t>CONCLUSION</w:t>
      </w:r>
    </w:p>
    <w:p w:rsidR="00DE2B37" w:rsidRPr="00FA77FD" w:rsidRDefault="00DE2B37" w:rsidP="00FA77FD">
      <w:pPr>
        <w:pStyle w:val="NormalWeb"/>
        <w:spacing w:before="0" w:beforeAutospacing="0" w:after="240" w:afterAutospacing="0"/>
        <w:jc w:val="both"/>
      </w:pPr>
      <w:r w:rsidRPr="00FA77FD">
        <w:t>This study examined the relationship between forensic accounting techniques and corporate governance effectiveness in emerging market firms, with particular emphasis on the mediating role of fraud risk reduction. Using panel data analysis with Fixed Effects and System GMM estimation, the study provides robust empirical evidence those forensic accounting functions as a strategic governance-enhancing mechanism rather than merely a fraud detection tool.</w:t>
      </w:r>
    </w:p>
    <w:p w:rsidR="00DE2B37" w:rsidRPr="00FA77FD" w:rsidRDefault="00DE2B37" w:rsidP="00FA77FD">
      <w:pPr>
        <w:pStyle w:val="NormalWeb"/>
        <w:spacing w:before="0" w:beforeAutospacing="0" w:after="240" w:afterAutospacing="0"/>
        <w:jc w:val="both"/>
      </w:pPr>
      <w:r w:rsidRPr="00FA77FD">
        <w:t>The findings reveal that the adoption of forensic accounting techniques—such as forensic audits, data analytics tools, fraud risk assessment systems, and whistleblower mechanisms—significantly improves corporate governance effectiveness. The baseline regression results indicate a strong positive and statistically significant relationship between forensic accounting adoption and governance quality, suggesting that firms integrating forensic mechanisms exhibit stronger board oversight, enhanced transparency, and improved internal monitoring systems.</w:t>
      </w:r>
    </w:p>
    <w:p w:rsidR="00DE2B37" w:rsidRPr="00FA77FD" w:rsidRDefault="00DE2B37" w:rsidP="00FA77FD">
      <w:pPr>
        <w:pStyle w:val="NormalWeb"/>
        <w:spacing w:before="0" w:beforeAutospacing="0" w:after="240" w:afterAutospacing="0"/>
        <w:jc w:val="both"/>
      </w:pPr>
      <w:r w:rsidRPr="00FA77FD">
        <w:t>The analysis further demonstrates that forensic accounting significantly reduces fraud risk. Firms with structured forensic systems experience lower financial misstatements and reduced opportunistic managerial behavior. Importantly, the mediation analysis confirms that fraud risk reduction partially mediates the relationship between forensic accounting and governance effectiveness. While a substantial portion of the governance improvement occurs through the reduction of fraud risk, forensic accounting also exerts a direct positive impact on governance quality beyond fraud prevention. This indicates that forensic accounting contributes to broader governance strengthening by improving compliance culture, internal control robustness, and accountability structures.</w:t>
      </w:r>
    </w:p>
    <w:p w:rsidR="00DE2B37" w:rsidRPr="00FA77FD" w:rsidRDefault="00DE2B37" w:rsidP="00FA77FD">
      <w:pPr>
        <w:pStyle w:val="NormalWeb"/>
        <w:spacing w:before="0" w:beforeAutospacing="0" w:after="240" w:afterAutospacing="0"/>
        <w:jc w:val="both"/>
      </w:pPr>
      <w:r w:rsidRPr="00FA77FD">
        <w:t>Among the control variables, firm size and profitability were positively associated with governance effectiveness, while leverage and ownership concentration showed negative effects, consistent with emerging market governance literature. These results highlight the structural characteristics that shape governance outcomes in developing economies.</w:t>
      </w:r>
    </w:p>
    <w:p w:rsidR="00DE2B37" w:rsidRPr="00FA77FD" w:rsidRDefault="00DE2B37" w:rsidP="00FA77FD">
      <w:pPr>
        <w:pStyle w:val="NormalWeb"/>
        <w:spacing w:before="0" w:beforeAutospacing="0" w:after="240" w:afterAutospacing="0"/>
        <w:jc w:val="both"/>
      </w:pPr>
      <w:r w:rsidRPr="00FA77FD">
        <w:t xml:space="preserve">Theoretically, the study advances </w:t>
      </w:r>
      <w:r w:rsidRPr="00FA77FD">
        <w:rPr>
          <w:rStyle w:val="Strong"/>
          <w:b w:val="0"/>
        </w:rPr>
        <w:t>Agency Theory</w:t>
      </w:r>
      <w:r w:rsidRPr="00FA77FD">
        <w:t xml:space="preserve"> by demonstrating that forensic accounting reduces agency costs through enhanced monitoring and fraud mitigation. It also supports </w:t>
      </w:r>
      <w:r w:rsidRPr="00FA77FD">
        <w:rPr>
          <w:rStyle w:val="Strong"/>
          <w:b w:val="0"/>
        </w:rPr>
        <w:t>Stakeholder Theory</w:t>
      </w:r>
      <w:r w:rsidRPr="00FA77FD">
        <w:rPr>
          <w:b/>
        </w:rPr>
        <w:t>,</w:t>
      </w:r>
      <w:r w:rsidRPr="00FA77FD">
        <w:t xml:space="preserve"> as improved fraud prevention strengthens stakeholder trust and ethical compliance. From an </w:t>
      </w:r>
      <w:r w:rsidRPr="00FA77FD">
        <w:rPr>
          <w:rStyle w:val="Strong"/>
          <w:b w:val="0"/>
        </w:rPr>
        <w:t>Institutional Theory</w:t>
      </w:r>
      <w:r w:rsidRPr="00FA77FD">
        <w:t xml:space="preserve"> perspective, the adoption of forensic accounting techniques may signal legitimacy and regulatory conformity in emerging market contexts.</w:t>
      </w:r>
    </w:p>
    <w:p w:rsidR="00DE2B37" w:rsidRPr="00FA77FD" w:rsidRDefault="00DE2B37" w:rsidP="00FA77FD">
      <w:pPr>
        <w:pStyle w:val="NormalWeb"/>
        <w:spacing w:before="0" w:beforeAutospacing="0" w:after="240" w:afterAutospacing="0"/>
        <w:jc w:val="both"/>
      </w:pPr>
      <w:r w:rsidRPr="00FA77FD">
        <w:lastRenderedPageBreak/>
        <w:t>Despite its contributions, the study acknowledges certain limitations. The measurement of forensic accounting adoption is based on publicly available disclosures, which may not fully capture the depth of implementation. Future research may incorporate primary survey data or cross-country comparative designs to enhance generalizability. Additionally, further studies could explore moderating effects of institutional quality, legal enforcement strength, or digital transformation on the forensic accounting–governance nexus.</w:t>
      </w:r>
    </w:p>
    <w:p w:rsidR="00DE2B37" w:rsidRPr="00FA77FD" w:rsidRDefault="00DE2B37" w:rsidP="00FA77FD">
      <w:pPr>
        <w:pStyle w:val="NormalWeb"/>
        <w:spacing w:before="0" w:beforeAutospacing="0" w:after="240" w:afterAutospacing="0"/>
        <w:jc w:val="both"/>
      </w:pPr>
      <w:r w:rsidRPr="00FA77FD">
        <w:t>In conclusion, this study provides strong empirical evidence that forensic accounting techniques significantly enhance corporate governance effectiveness in emerging market firms, both directly and indirectly through fraud risk reduction. As financial environments become increasingly complex and regulatory scrutiny intensifies, forensic accounting emerges as a critical pillar of sustainable governance and ethical corporate conduct.</w:t>
      </w:r>
    </w:p>
    <w:p w:rsidR="00F101FE" w:rsidRPr="00FA77FD" w:rsidRDefault="00FA77FD" w:rsidP="00FA77FD">
      <w:pPr>
        <w:pStyle w:val="Heading1"/>
        <w:spacing w:before="0" w:after="240" w:line="240" w:lineRule="auto"/>
        <w:jc w:val="both"/>
        <w:rPr>
          <w:rFonts w:ascii="Times New Roman" w:hAnsi="Times New Roman" w:cs="Times New Roman"/>
          <w:color w:val="auto"/>
          <w:szCs w:val="24"/>
        </w:rPr>
      </w:pPr>
      <w:r w:rsidRPr="00FA77FD">
        <w:rPr>
          <w:rFonts w:ascii="Times New Roman" w:hAnsi="Times New Roman" w:cs="Times New Roman"/>
          <w:color w:val="auto"/>
          <w:szCs w:val="24"/>
        </w:rPr>
        <w:t>REFERENCES</w:t>
      </w:r>
    </w:p>
    <w:p w:rsidR="00F101FE" w:rsidRPr="00FA77FD" w:rsidRDefault="00F101FE" w:rsidP="00FA77FD">
      <w:pPr>
        <w:pStyle w:val="NormalWeb"/>
        <w:numPr>
          <w:ilvl w:val="0"/>
          <w:numId w:val="27"/>
        </w:numPr>
        <w:spacing w:before="0" w:beforeAutospacing="0" w:after="0" w:afterAutospacing="0"/>
        <w:jc w:val="both"/>
      </w:pPr>
      <w:r w:rsidRPr="00FA77FD">
        <w:t xml:space="preserve">Abbott, L. J., Parker, S., &amp; Peters, G. F. (2004). Audit committee characteristics and restatements. </w:t>
      </w:r>
      <w:r w:rsidRPr="00FA77FD">
        <w:rPr>
          <w:rStyle w:val="Emphasis"/>
        </w:rPr>
        <w:t>Auditing: A Journal of Practice &amp; Theory, 23</w:t>
      </w:r>
      <w:r w:rsidRPr="00FA77FD">
        <w:t>(1), 69–87.</w:t>
      </w:r>
      <w:r w:rsidRPr="00FA77FD">
        <w:br/>
        <w:t>https://doi.org/10.2308/aud.2004.23.1.69</w:t>
      </w:r>
    </w:p>
    <w:p w:rsidR="00F101FE" w:rsidRPr="00FA77FD" w:rsidRDefault="00F101FE" w:rsidP="00FA77FD">
      <w:pPr>
        <w:pStyle w:val="NormalWeb"/>
        <w:numPr>
          <w:ilvl w:val="0"/>
          <w:numId w:val="27"/>
        </w:numPr>
        <w:spacing w:before="0" w:beforeAutospacing="0" w:after="0" w:afterAutospacing="0"/>
        <w:jc w:val="both"/>
      </w:pPr>
      <w:r w:rsidRPr="00FA77FD">
        <w:t xml:space="preserve">Agrawal, A., &amp; Chadha, S. (2005). Corporate governance and accounting scandals. </w:t>
      </w:r>
      <w:r w:rsidRPr="00FA77FD">
        <w:rPr>
          <w:rStyle w:val="Emphasis"/>
        </w:rPr>
        <w:t>Journal of Law and Economics, 48</w:t>
      </w:r>
      <w:r w:rsidRPr="00FA77FD">
        <w:t>(2), 371–406.</w:t>
      </w:r>
    </w:p>
    <w:p w:rsidR="00F101FE" w:rsidRPr="00FA77FD" w:rsidRDefault="00F101FE" w:rsidP="00FA77FD">
      <w:pPr>
        <w:pStyle w:val="NormalWeb"/>
        <w:numPr>
          <w:ilvl w:val="0"/>
          <w:numId w:val="27"/>
        </w:numPr>
        <w:spacing w:before="0" w:beforeAutospacing="0" w:after="0" w:afterAutospacing="0"/>
        <w:jc w:val="both"/>
      </w:pPr>
      <w:r w:rsidRPr="00FA77FD">
        <w:t xml:space="preserve">Arellano, M., &amp; Bond, S. (1991). Some tests of specification for panel data: Monte Carlo evidence and an application to employment equations. </w:t>
      </w:r>
      <w:r w:rsidRPr="00FA77FD">
        <w:rPr>
          <w:rStyle w:val="Emphasis"/>
        </w:rPr>
        <w:t>Review of Economic Studies, 58</w:t>
      </w:r>
      <w:r w:rsidRPr="00FA77FD">
        <w:t>(2), 277–297.</w:t>
      </w:r>
    </w:p>
    <w:p w:rsidR="00F101FE" w:rsidRPr="00FA77FD" w:rsidRDefault="00F101FE" w:rsidP="00FA77FD">
      <w:pPr>
        <w:pStyle w:val="NormalWeb"/>
        <w:numPr>
          <w:ilvl w:val="0"/>
          <w:numId w:val="27"/>
        </w:numPr>
        <w:spacing w:before="0" w:beforeAutospacing="0" w:after="0" w:afterAutospacing="0"/>
        <w:jc w:val="both"/>
      </w:pPr>
      <w:r w:rsidRPr="00FA77FD">
        <w:t xml:space="preserve">Beneish, M. D. (1999). The detection of earnings manipulation. </w:t>
      </w:r>
      <w:r w:rsidRPr="00FA77FD">
        <w:rPr>
          <w:rStyle w:val="Emphasis"/>
        </w:rPr>
        <w:t>Financial Analysts Journal, 55</w:t>
      </w:r>
      <w:r w:rsidRPr="00FA77FD">
        <w:t>(5), 24–36.</w:t>
      </w:r>
    </w:p>
    <w:p w:rsidR="00F101FE" w:rsidRPr="00FA77FD" w:rsidRDefault="00F101FE" w:rsidP="00FA77FD">
      <w:pPr>
        <w:pStyle w:val="NormalWeb"/>
        <w:numPr>
          <w:ilvl w:val="0"/>
          <w:numId w:val="27"/>
        </w:numPr>
        <w:spacing w:before="0" w:beforeAutospacing="0" w:after="0" w:afterAutospacing="0"/>
        <w:jc w:val="both"/>
      </w:pPr>
      <w:r w:rsidRPr="00FA77FD">
        <w:t xml:space="preserve">Beasley, M. S. (1996). An empirical analysis of the relation between the board of director composition and financial statement fraud. </w:t>
      </w:r>
      <w:r w:rsidRPr="00FA77FD">
        <w:rPr>
          <w:rStyle w:val="Emphasis"/>
        </w:rPr>
        <w:t>The Accounting Review, 71</w:t>
      </w:r>
      <w:r w:rsidRPr="00FA77FD">
        <w:t>(4), 443–465.</w:t>
      </w:r>
    </w:p>
    <w:p w:rsidR="00F101FE" w:rsidRPr="00FA77FD" w:rsidRDefault="00F101FE" w:rsidP="00FA77FD">
      <w:pPr>
        <w:pStyle w:val="NormalWeb"/>
        <w:numPr>
          <w:ilvl w:val="0"/>
          <w:numId w:val="27"/>
        </w:numPr>
        <w:spacing w:before="0" w:beforeAutospacing="0" w:after="0" w:afterAutospacing="0"/>
        <w:jc w:val="both"/>
      </w:pPr>
      <w:r w:rsidRPr="00FA77FD">
        <w:t xml:space="preserve">Blundell, R., &amp; Bond, S. (1998). Initial conditions and moment restrictions in dynamic panel data models. </w:t>
      </w:r>
      <w:r w:rsidRPr="00FA77FD">
        <w:rPr>
          <w:rStyle w:val="Emphasis"/>
        </w:rPr>
        <w:t>Journal of Econometrics, 87</w:t>
      </w:r>
      <w:r w:rsidRPr="00FA77FD">
        <w:t>(1), 115–143.</w:t>
      </w:r>
    </w:p>
    <w:p w:rsidR="00F101FE" w:rsidRPr="00FA77FD" w:rsidRDefault="00F101FE" w:rsidP="00FA77FD">
      <w:pPr>
        <w:pStyle w:val="NormalWeb"/>
        <w:numPr>
          <w:ilvl w:val="0"/>
          <w:numId w:val="27"/>
        </w:numPr>
        <w:spacing w:before="0" w:beforeAutospacing="0" w:after="0" w:afterAutospacing="0"/>
        <w:jc w:val="both"/>
      </w:pPr>
      <w:r w:rsidRPr="00FA77FD">
        <w:t xml:space="preserve">Cohen, J., Krishnamoorthy, G., &amp; Wright, A. (2004). The corporate governance mosaic and financial reporting quality. </w:t>
      </w:r>
      <w:r w:rsidRPr="00FA77FD">
        <w:rPr>
          <w:rStyle w:val="Emphasis"/>
        </w:rPr>
        <w:t>Journal of Accounting Literature, 23</w:t>
      </w:r>
      <w:r w:rsidRPr="00FA77FD">
        <w:t>, 87–152.</w:t>
      </w:r>
    </w:p>
    <w:p w:rsidR="00F101FE" w:rsidRPr="00FA77FD" w:rsidRDefault="00F101FE" w:rsidP="00FA77FD">
      <w:pPr>
        <w:pStyle w:val="NormalWeb"/>
        <w:numPr>
          <w:ilvl w:val="0"/>
          <w:numId w:val="27"/>
        </w:numPr>
        <w:spacing w:before="0" w:beforeAutospacing="0" w:after="0" w:afterAutospacing="0"/>
        <w:jc w:val="both"/>
      </w:pPr>
      <w:r w:rsidRPr="00FA77FD">
        <w:t xml:space="preserve">COSO (Committee of Sponsoring Organizations of the Treadway Commission). (2013). </w:t>
      </w:r>
      <w:r w:rsidRPr="00FA77FD">
        <w:rPr>
          <w:rStyle w:val="Emphasis"/>
        </w:rPr>
        <w:t>Internal control – Integrated framework</w:t>
      </w:r>
      <w:r w:rsidRPr="00FA77FD">
        <w:t>. COSO.</w:t>
      </w:r>
    </w:p>
    <w:p w:rsidR="00F101FE" w:rsidRPr="00FA77FD" w:rsidRDefault="00F101FE" w:rsidP="00FA77FD">
      <w:pPr>
        <w:pStyle w:val="NormalWeb"/>
        <w:numPr>
          <w:ilvl w:val="0"/>
          <w:numId w:val="27"/>
        </w:numPr>
        <w:spacing w:before="0" w:beforeAutospacing="0" w:after="0" w:afterAutospacing="0"/>
        <w:jc w:val="both"/>
      </w:pPr>
      <w:r w:rsidRPr="00FA77FD">
        <w:t xml:space="preserve">Dechow, P. M., Sloan, R. G., &amp; Sweeney, A. P. (1996). Causes and consequences of earnings manipulation: An analysis of firms subject to enforcement actions by the SEC. </w:t>
      </w:r>
      <w:r w:rsidRPr="00FA77FD">
        <w:rPr>
          <w:rStyle w:val="Emphasis"/>
        </w:rPr>
        <w:t>Contemporary Accounting Research, 13</w:t>
      </w:r>
      <w:r w:rsidRPr="00FA77FD">
        <w:t>(1), 1–36.</w:t>
      </w:r>
    </w:p>
    <w:p w:rsidR="00F101FE" w:rsidRPr="00FA77FD" w:rsidRDefault="00F101FE" w:rsidP="00FA77FD">
      <w:pPr>
        <w:pStyle w:val="NormalWeb"/>
        <w:numPr>
          <w:ilvl w:val="0"/>
          <w:numId w:val="27"/>
        </w:numPr>
        <w:spacing w:before="0" w:beforeAutospacing="0" w:after="0" w:afterAutospacing="0"/>
        <w:jc w:val="both"/>
      </w:pPr>
      <w:r w:rsidRPr="00FA77FD">
        <w:t xml:space="preserve">DeFond, M. L., &amp; Jiambalvo, J. (1994). Debt covenant violation and manipulation of accruals. </w:t>
      </w:r>
      <w:r w:rsidRPr="00FA77FD">
        <w:rPr>
          <w:rStyle w:val="Emphasis"/>
        </w:rPr>
        <w:t>Journal of Accounting and Economics, 17</w:t>
      </w:r>
      <w:r w:rsidRPr="00FA77FD">
        <w:t>(1–2), 145–176.</w:t>
      </w:r>
    </w:p>
    <w:p w:rsidR="00F101FE" w:rsidRPr="00FA77FD" w:rsidRDefault="00F101FE" w:rsidP="00FA77FD">
      <w:pPr>
        <w:pStyle w:val="NormalWeb"/>
        <w:numPr>
          <w:ilvl w:val="0"/>
          <w:numId w:val="27"/>
        </w:numPr>
        <w:spacing w:before="0" w:beforeAutospacing="0" w:after="0" w:afterAutospacing="0"/>
        <w:jc w:val="both"/>
      </w:pPr>
      <w:r w:rsidRPr="00FA77FD">
        <w:t xml:space="preserve">Fama, E. F., &amp; Jensen, M. C. (1983). Separation of ownership and control. </w:t>
      </w:r>
      <w:r w:rsidRPr="00FA77FD">
        <w:rPr>
          <w:rStyle w:val="Emphasis"/>
        </w:rPr>
        <w:t>Journal of Law and Economics, 26</w:t>
      </w:r>
      <w:r w:rsidRPr="00FA77FD">
        <w:t>(2), 301–325.</w:t>
      </w:r>
    </w:p>
    <w:p w:rsidR="00F101FE" w:rsidRPr="00FA77FD" w:rsidRDefault="00F101FE" w:rsidP="00FA77FD">
      <w:pPr>
        <w:pStyle w:val="NormalWeb"/>
        <w:numPr>
          <w:ilvl w:val="0"/>
          <w:numId w:val="27"/>
        </w:numPr>
        <w:spacing w:before="0" w:beforeAutospacing="0" w:after="0" w:afterAutospacing="0"/>
        <w:jc w:val="both"/>
      </w:pPr>
      <w:r w:rsidRPr="00FA77FD">
        <w:t xml:space="preserve">Gavious, I. (2007). Alternative perspectives to deal with auditors’ agency problem. </w:t>
      </w:r>
      <w:r w:rsidRPr="00FA77FD">
        <w:rPr>
          <w:rStyle w:val="Emphasis"/>
        </w:rPr>
        <w:t>Critical Perspectives on Accounting, 18</w:t>
      </w:r>
      <w:r w:rsidRPr="00FA77FD">
        <w:t>(4), 451–467.</w:t>
      </w:r>
    </w:p>
    <w:p w:rsidR="00F101FE" w:rsidRPr="00FA77FD" w:rsidRDefault="00F101FE" w:rsidP="00FA77FD">
      <w:pPr>
        <w:pStyle w:val="NormalWeb"/>
        <w:numPr>
          <w:ilvl w:val="0"/>
          <w:numId w:val="27"/>
        </w:numPr>
        <w:spacing w:before="0" w:beforeAutospacing="0" w:after="0" w:afterAutospacing="0"/>
        <w:jc w:val="both"/>
      </w:pPr>
      <w:r w:rsidRPr="00FA77FD">
        <w:t>Jensen, M. C., &amp; Mec</w:t>
      </w:r>
      <w:bookmarkStart w:id="0" w:name="_GoBack"/>
      <w:bookmarkEnd w:id="0"/>
      <w:r w:rsidRPr="00FA77FD">
        <w:t xml:space="preserve">kling, W. H. (1976). Theory of the firm: Managerial behavior, agency costs and ownership structure. </w:t>
      </w:r>
      <w:r w:rsidRPr="00FA77FD">
        <w:rPr>
          <w:rStyle w:val="Emphasis"/>
        </w:rPr>
        <w:t>Journal of Financial Economics, 3</w:t>
      </w:r>
      <w:r w:rsidRPr="00FA77FD">
        <w:t>(4), 305–360.</w:t>
      </w:r>
    </w:p>
    <w:p w:rsidR="00F101FE" w:rsidRPr="00FA77FD" w:rsidRDefault="00F101FE" w:rsidP="00FA77FD">
      <w:pPr>
        <w:pStyle w:val="NormalWeb"/>
        <w:numPr>
          <w:ilvl w:val="0"/>
          <w:numId w:val="27"/>
        </w:numPr>
        <w:spacing w:before="0" w:beforeAutospacing="0" w:after="0" w:afterAutospacing="0"/>
        <w:jc w:val="both"/>
      </w:pPr>
      <w:r w:rsidRPr="00FA77FD">
        <w:t xml:space="preserve">Klein, A. (2002). Audit committee, board of director characteristics, and earnings management. </w:t>
      </w:r>
      <w:r w:rsidRPr="00FA77FD">
        <w:rPr>
          <w:rStyle w:val="Emphasis"/>
        </w:rPr>
        <w:t>Journal of Accounting and Economics, 33</w:t>
      </w:r>
      <w:r w:rsidRPr="00FA77FD">
        <w:t>(3), 375–400.</w:t>
      </w:r>
    </w:p>
    <w:p w:rsidR="00F101FE" w:rsidRPr="00FA77FD" w:rsidRDefault="00F101FE" w:rsidP="00FA77FD">
      <w:pPr>
        <w:pStyle w:val="NormalWeb"/>
        <w:numPr>
          <w:ilvl w:val="0"/>
          <w:numId w:val="27"/>
        </w:numPr>
        <w:spacing w:before="0" w:beforeAutospacing="0" w:after="0" w:afterAutospacing="0"/>
        <w:jc w:val="both"/>
      </w:pPr>
      <w:r w:rsidRPr="00FA77FD">
        <w:t xml:space="preserve">Kothari, S. P., Leone, A. J., &amp; Wasley, C. E. (2005). Performance matched discretionary accrual measures. </w:t>
      </w:r>
      <w:r w:rsidRPr="00FA77FD">
        <w:rPr>
          <w:rStyle w:val="Emphasis"/>
        </w:rPr>
        <w:t>Journal of Accounting and Economics, 39</w:t>
      </w:r>
      <w:r w:rsidRPr="00FA77FD">
        <w:t>(1), 163–197.</w:t>
      </w:r>
    </w:p>
    <w:p w:rsidR="00F101FE" w:rsidRPr="00FA77FD" w:rsidRDefault="00F101FE" w:rsidP="00FA77FD">
      <w:pPr>
        <w:pStyle w:val="NormalWeb"/>
        <w:numPr>
          <w:ilvl w:val="0"/>
          <w:numId w:val="27"/>
        </w:numPr>
        <w:spacing w:before="0" w:beforeAutospacing="0" w:after="0" w:afterAutospacing="0"/>
        <w:jc w:val="both"/>
      </w:pPr>
      <w:r w:rsidRPr="00FA77FD">
        <w:t xml:space="preserve">Rezaee, Z. (2005). Causes, consequences, and deterrence of financial statement fraud. </w:t>
      </w:r>
      <w:r w:rsidRPr="00FA77FD">
        <w:rPr>
          <w:rStyle w:val="Emphasis"/>
        </w:rPr>
        <w:t>Critical Perspectives on Accounting, 16</w:t>
      </w:r>
      <w:r w:rsidRPr="00FA77FD">
        <w:t>(3), 277–298.</w:t>
      </w:r>
    </w:p>
    <w:p w:rsidR="00E6465D" w:rsidRPr="00FA77FD" w:rsidRDefault="00F101FE" w:rsidP="00FA77FD">
      <w:pPr>
        <w:pStyle w:val="NormalWeb"/>
        <w:numPr>
          <w:ilvl w:val="0"/>
          <w:numId w:val="27"/>
        </w:numPr>
        <w:spacing w:before="0" w:beforeAutospacing="0" w:after="0" w:afterAutospacing="0"/>
        <w:jc w:val="both"/>
      </w:pPr>
      <w:r w:rsidRPr="00FA77FD">
        <w:t xml:space="preserve">Rezaee, Z., &amp; Riley, R. A. (2010). </w:t>
      </w:r>
      <w:r w:rsidRPr="00FA77FD">
        <w:rPr>
          <w:rStyle w:val="Emphasis"/>
        </w:rPr>
        <w:t>Financial statement fraud: Prevention and detection</w:t>
      </w:r>
      <w:r w:rsidRPr="00FA77FD">
        <w:t xml:space="preserve"> (2nd ed.). Wiley.</w:t>
      </w:r>
    </w:p>
    <w:sectPr w:rsidR="00E6465D" w:rsidRPr="00FA77FD" w:rsidSect="00FA77FD">
      <w:headerReference w:type="default" r:id="rId8"/>
      <w:footerReference w:type="default" r:id="rId9"/>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28" w:rsidRDefault="00816B28" w:rsidP="00FA77FD">
      <w:pPr>
        <w:spacing w:after="0" w:line="240" w:lineRule="auto"/>
      </w:pPr>
      <w:r>
        <w:separator/>
      </w:r>
    </w:p>
  </w:endnote>
  <w:endnote w:type="continuationSeparator" w:id="0">
    <w:p w:rsidR="00816B28" w:rsidRDefault="00816B28" w:rsidP="00FA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FD" w:rsidRPr="00141E62" w:rsidRDefault="00FA77FD" w:rsidP="00FA77FD">
    <w:pPr>
      <w:tabs>
        <w:tab w:val="left" w:pos="2520"/>
        <w:tab w:val="center" w:pos="4513"/>
        <w:tab w:val="right" w:pos="9026"/>
      </w:tabs>
      <w:spacing w:after="0"/>
      <w:ind w:left="10"/>
    </w:pPr>
    <w:r>
      <w:rPr>
        <w:noProof/>
        <w:lang w:eastAsia="en-IN"/>
      </w:rPr>
      <mc:AlternateContent>
        <mc:Choice Requires="wps">
          <w:drawing>
            <wp:anchor distT="0" distB="0" distL="114300" distR="114300" simplePos="0" relativeHeight="251662336" behindDoc="1" locked="0" layoutInCell="1" allowOverlap="1">
              <wp:simplePos x="0" y="0"/>
              <wp:positionH relativeFrom="page">
                <wp:posOffset>2964180</wp:posOffset>
              </wp:positionH>
              <wp:positionV relativeFrom="page">
                <wp:posOffset>10485120</wp:posOffset>
              </wp:positionV>
              <wp:extent cx="1897380" cy="182880"/>
              <wp:effectExtent l="0" t="0" r="7620" b="762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82880"/>
                      </a:xfrm>
                      <a:prstGeom prst="rect">
                        <a:avLst/>
                      </a:prstGeom>
                      <a:noFill/>
                      <a:ln>
                        <a:noFill/>
                      </a:ln>
                    </wps:spPr>
                    <wps:txbx>
                      <w:txbxContent>
                        <w:p w:rsidR="00FA77FD" w:rsidRPr="00924E4F" w:rsidRDefault="00FA77FD" w:rsidP="00FA77FD">
                          <w:pPr>
                            <w:ind w:left="20"/>
                            <w:jc w:val="center"/>
                            <w:rPr>
                              <w:rFonts w:ascii="Times New Roman" w:hAnsi="Times New Roman" w:cs="Times New Roman"/>
                              <w:i/>
                              <w:sz w:val="20"/>
                              <w:szCs w:val="20"/>
                            </w:rPr>
                          </w:pPr>
                          <w:hyperlink r:id="rId1">
                            <w:r w:rsidRPr="00924E4F">
                              <w:rPr>
                                <w:rFonts w:ascii="Times New Roman" w:hAnsi="Times New Roman" w:cs="Times New Roman"/>
                                <w:sz w:val="20"/>
                                <w:szCs w:val="20"/>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33.4pt;margin-top:825.6pt;width:149.4pt;height:14.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" filled="f" stroked="f">
              <v:textbox inset="0,0,0,0">
                <w:txbxContent>
                  <w:p w:rsidR="00FA77FD" w:rsidRPr="00924E4F" w:rsidRDefault="00FA77FD" w:rsidP="00FA77FD">
                    <w:pPr>
                      <w:ind w:left="20"/>
                      <w:jc w:val="center"/>
                      <w:rPr>
                        <w:rFonts w:ascii="Times New Roman" w:hAnsi="Times New Roman" w:cs="Times New Roman"/>
                        <w:i/>
                        <w:sz w:val="20"/>
                        <w:szCs w:val="20"/>
                      </w:rPr>
                    </w:pPr>
                    <w:hyperlink r:id="rId2">
                      <w:r w:rsidRPr="00924E4F">
                        <w:rPr>
                          <w:rFonts w:ascii="Times New Roman" w:hAnsi="Times New Roman" w:cs="Times New Roman"/>
                          <w:sz w:val="20"/>
                          <w:szCs w:val="20"/>
                        </w:rPr>
                        <w:t>www.rsisinternational.org</w:t>
                      </w:r>
                    </w:hyperlink>
                  </w:p>
                </w:txbxContent>
              </v:textbox>
              <w10:wrap anchorx="page" anchory="page"/>
            </v:shape>
          </w:pict>
        </mc:Fallback>
      </mc:AlternateContent>
    </w:r>
    <w:r>
      <w:rPr>
        <w:noProof/>
        <w:lang w:eastAsia="en-IN"/>
      </w:rPr>
      <mc:AlternateContent>
        <mc:Choice Requires="wps">
          <w:drawing>
            <wp:anchor distT="0" distB="0" distL="114300" distR="114300" simplePos="0" relativeHeight="251663360" behindDoc="1" locked="0" layoutInCell="1" allowOverlap="1">
              <wp:simplePos x="0" y="0"/>
              <wp:positionH relativeFrom="page">
                <wp:posOffset>421005</wp:posOffset>
              </wp:positionH>
              <wp:positionV relativeFrom="page">
                <wp:posOffset>10362565</wp:posOffset>
              </wp:positionV>
              <wp:extent cx="1440180" cy="220980"/>
              <wp:effectExtent l="0" t="0" r="7620" b="76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0980"/>
                      </a:xfrm>
                      <a:prstGeom prst="rect">
                        <a:avLst/>
                      </a:prstGeom>
                      <a:noFill/>
                      <a:ln>
                        <a:noFill/>
                      </a:ln>
                    </wps:spPr>
                    <wps:txbx>
                      <w:txbxContent>
                        <w:p w:rsidR="00FA77FD" w:rsidRPr="00924E4F" w:rsidRDefault="00FA77FD" w:rsidP="00FA77FD">
                          <w:pPr>
                            <w:ind w:left="10"/>
                            <w:rPr>
                              <w:rFonts w:ascii="Times New Roman" w:hAnsi="Times New Roman" w:cs="Times New Roman"/>
                              <w:i/>
                              <w:sz w:val="20"/>
                              <w:szCs w:val="20"/>
                            </w:rPr>
                          </w:pPr>
                          <w:r w:rsidRPr="00924E4F">
                            <w:rPr>
                              <w:rFonts w:ascii="Times New Roman" w:hAnsi="Times New Roman" w:cs="Times New Roman"/>
                              <w:sz w:val="20"/>
                              <w:szCs w:val="20"/>
                            </w:rPr>
                            <w:t xml:space="preserve">Page </w:t>
                          </w:r>
                          <w:r w:rsidRPr="00924E4F">
                            <w:rPr>
                              <w:rFonts w:ascii="Times New Roman" w:hAnsi="Times New Roman" w:cs="Times New Roman"/>
                              <w:sz w:val="20"/>
                              <w:szCs w:val="20"/>
                            </w:rPr>
                            <w:fldChar w:fldCharType="begin"/>
                          </w:r>
                          <w:r w:rsidRPr="00924E4F">
                            <w:rPr>
                              <w:rFonts w:ascii="Times New Roman" w:hAnsi="Times New Roman" w:cs="Times New Roman"/>
                              <w:sz w:val="20"/>
                              <w:szCs w:val="20"/>
                            </w:rPr>
                            <w:instrText xml:space="preserve"> PAGE </w:instrText>
                          </w:r>
                          <w:r w:rsidRPr="00924E4F">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24E4F">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3.15pt;margin-top:815.95pt;width:113.4pt;height:17.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" filled="f" stroked="f">
              <v:textbox inset="0,0,0,0">
                <w:txbxContent>
                  <w:p w:rsidR="00FA77FD" w:rsidRPr="00924E4F" w:rsidRDefault="00FA77FD" w:rsidP="00FA77FD">
                    <w:pPr>
                      <w:ind w:left="10"/>
                      <w:rPr>
                        <w:rFonts w:ascii="Times New Roman" w:hAnsi="Times New Roman" w:cs="Times New Roman"/>
                        <w:i/>
                        <w:sz w:val="20"/>
                        <w:szCs w:val="20"/>
                      </w:rPr>
                    </w:pPr>
                    <w:r w:rsidRPr="00924E4F">
                      <w:rPr>
                        <w:rFonts w:ascii="Times New Roman" w:hAnsi="Times New Roman" w:cs="Times New Roman"/>
                        <w:sz w:val="20"/>
                        <w:szCs w:val="20"/>
                      </w:rPr>
                      <w:t xml:space="preserve">Page </w:t>
                    </w:r>
                    <w:r w:rsidRPr="00924E4F">
                      <w:rPr>
                        <w:rFonts w:ascii="Times New Roman" w:hAnsi="Times New Roman" w:cs="Times New Roman"/>
                        <w:sz w:val="20"/>
                        <w:szCs w:val="20"/>
                      </w:rPr>
                      <w:fldChar w:fldCharType="begin"/>
                    </w:r>
                    <w:r w:rsidRPr="00924E4F">
                      <w:rPr>
                        <w:rFonts w:ascii="Times New Roman" w:hAnsi="Times New Roman" w:cs="Times New Roman"/>
                        <w:sz w:val="20"/>
                        <w:szCs w:val="20"/>
                      </w:rPr>
                      <w:instrText xml:space="preserve"> PAGE </w:instrText>
                    </w:r>
                    <w:r w:rsidRPr="00924E4F">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24E4F">
                      <w:rPr>
                        <w:rFonts w:ascii="Times New Roman" w:hAnsi="Times New Roman" w:cs="Times New Roman"/>
                        <w:sz w:val="20"/>
                        <w:szCs w:val="20"/>
                      </w:rPr>
                      <w:fldChar w:fldCharType="end"/>
                    </w:r>
                  </w:p>
                </w:txbxContent>
              </v:textbox>
              <w10:wrap anchorx="page" anchory="page"/>
            </v:shape>
          </w:pict>
        </mc:Fallback>
      </mc:AlternateContent>
    </w:r>
    <w:r>
      <w:rPr>
        <w:noProof/>
        <w:lang w:eastAsia="en-IN"/>
      </w:rPr>
      <mc:AlternateContent>
        <mc:Choice Requires="wps">
          <w:drawing>
            <wp:anchor distT="0" distB="0" distL="114300" distR="114300" simplePos="0" relativeHeight="251664384" behindDoc="1" locked="0" layoutInCell="1" allowOverlap="1">
              <wp:simplePos x="0" y="0"/>
              <wp:positionH relativeFrom="page">
                <wp:posOffset>504825</wp:posOffset>
              </wp:positionH>
              <wp:positionV relativeFrom="page">
                <wp:posOffset>10277475</wp:posOffset>
              </wp:positionV>
              <wp:extent cx="6671310" cy="450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71310" cy="45085"/>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9.75pt;margin-top:809.25pt;width:525.3pt;height:3.55pt;flip:y;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" fillcolor="gray" stroked="f">
              <w10:wrap anchorx="page" anchory="page"/>
            </v:rect>
          </w:pict>
        </mc:Fallback>
      </mc:AlternateContent>
    </w:r>
    <w:r w:rsidRPr="00141E62">
      <w:tab/>
    </w:r>
    <w:r>
      <w:rPr>
        <w:noProof/>
        <w:lang w:eastAsia="en-IN"/>
      </w:rPr>
      <mc:AlternateContent>
        <mc:Choice Requires="wps">
          <w:drawing>
            <wp:anchor distT="0" distB="0" distL="114300" distR="114300" simplePos="0" relativeHeight="251666432" behindDoc="1" locked="0" layoutInCell="1" allowOverlap="1">
              <wp:simplePos x="0" y="0"/>
              <wp:positionH relativeFrom="page">
                <wp:posOffset>504825</wp:posOffset>
              </wp:positionH>
              <wp:positionV relativeFrom="page">
                <wp:posOffset>10277475</wp:posOffset>
              </wp:positionV>
              <wp:extent cx="6671310" cy="4508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71310" cy="45085"/>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9.75pt;margin-top:809.25pt;width:525.3pt;height:3.55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" fillcolor="gray" stroked="f">
              <w10:wrap anchorx="page" anchory="page"/>
            </v:rect>
          </w:pict>
        </mc:Fallback>
      </mc:AlternateContent>
    </w:r>
    <w:r>
      <w:rPr>
        <w:noProof/>
        <w:lang w:eastAsia="en-IN"/>
      </w:rPr>
      <mc:AlternateContent>
        <mc:Choice Requires="wps">
          <w:drawing>
            <wp:anchor distT="0" distB="0" distL="114300" distR="114300" simplePos="0" relativeHeight="251665408" behindDoc="1" locked="0" layoutInCell="1" allowOverlap="1">
              <wp:simplePos x="0" y="0"/>
              <wp:positionH relativeFrom="page">
                <wp:posOffset>504825</wp:posOffset>
              </wp:positionH>
              <wp:positionV relativeFrom="page">
                <wp:posOffset>10277475</wp:posOffset>
              </wp:positionV>
              <wp:extent cx="6671310" cy="4508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71310" cy="45085"/>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9.75pt;margin-top:809.25pt;width:525.3pt;height:3.55pt;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" fillcolor="gray" stroked="f">
              <w10:wrap anchorx="page" anchory="page"/>
            </v:rect>
          </w:pict>
        </mc:Fallback>
      </mc:AlternateContent>
    </w:r>
    <w:r w:rsidRPr="00141E6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28" w:rsidRDefault="00816B28" w:rsidP="00FA77FD">
      <w:pPr>
        <w:spacing w:after="0" w:line="240" w:lineRule="auto"/>
      </w:pPr>
      <w:r>
        <w:separator/>
      </w:r>
    </w:p>
  </w:footnote>
  <w:footnote w:type="continuationSeparator" w:id="0">
    <w:p w:rsidR="00816B28" w:rsidRDefault="00816B28" w:rsidP="00FA7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FD" w:rsidRPr="00090E96" w:rsidRDefault="00FA77FD" w:rsidP="00FA77FD">
    <w:pPr>
      <w:widowControl w:val="0"/>
      <w:tabs>
        <w:tab w:val="left" w:pos="2556"/>
        <w:tab w:val="center" w:pos="4513"/>
        <w:tab w:val="right" w:pos="9026"/>
      </w:tabs>
      <w:overflowPunct w:val="0"/>
      <w:autoSpaceDE w:val="0"/>
      <w:autoSpaceDN w:val="0"/>
      <w:adjustRightInd w:val="0"/>
      <w:spacing w:after="240" w:line="256" w:lineRule="auto"/>
      <w:jc w:val="center"/>
      <w:textAlignment w:val="baseline"/>
      <w:rPr>
        <w:rFonts w:ascii="Times New Roman" w:eastAsia="DengXian" w:hAnsi="Times New Roman" w:cs="Times New Roman"/>
        <w:noProof/>
        <w:sz w:val="20"/>
        <w:szCs w:val="20"/>
        <w:lang w:val="en-PH" w:eastAsia="en-GB"/>
      </w:rPr>
    </w:pPr>
    <w:r w:rsidRPr="00090E96">
      <w:rPr>
        <w:rFonts w:ascii="Times New Roman" w:eastAsia="Times New Roman" w:hAnsi="Times New Roman" w:cs="Times New Roman"/>
        <w:noProof/>
        <w:sz w:val="24"/>
        <w:szCs w:val="24"/>
        <w:lang w:eastAsia="en-IN"/>
      </w:rPr>
      <w:drawing>
        <wp:anchor distT="0" distB="0" distL="114300" distR="114300" simplePos="0" relativeHeight="251657216" behindDoc="1" locked="0" layoutInCell="1" allowOverlap="1" wp14:anchorId="33DBB76E" wp14:editId="0F18D2D4">
          <wp:simplePos x="0" y="0"/>
          <wp:positionH relativeFrom="margin">
            <wp:posOffset>133985</wp:posOffset>
          </wp:positionH>
          <wp:positionV relativeFrom="paragraph">
            <wp:posOffset>-114300</wp:posOffset>
          </wp:positionV>
          <wp:extent cx="632460" cy="534670"/>
          <wp:effectExtent l="0" t="0" r="0" b="0"/>
          <wp:wrapNone/>
          <wp:docPr id="1" name="Picture 1"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IN"/>
      </w:rPr>
      <mc:AlternateContent>
        <mc:Choice Requires="wps">
          <w:drawing>
            <wp:anchor distT="0" distB="0" distL="114300" distR="114300" simplePos="0" relativeHeight="251660288" behindDoc="1" locked="0" layoutInCell="1" allowOverlap="1">
              <wp:simplePos x="0" y="0"/>
              <wp:positionH relativeFrom="page">
                <wp:posOffset>1150620</wp:posOffset>
              </wp:positionH>
              <wp:positionV relativeFrom="page">
                <wp:posOffset>220980</wp:posOffset>
              </wp:positionV>
              <wp:extent cx="6023610" cy="419100"/>
              <wp:effectExtent l="0" t="0" r="1524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419100"/>
                      </a:xfrm>
                      <a:prstGeom prst="rect">
                        <a:avLst/>
                      </a:prstGeom>
                      <a:noFill/>
                      <a:ln>
                        <a:noFill/>
                      </a:ln>
                    </wps:spPr>
                    <wps:txbx>
                      <w:txbxContent>
                        <w:p w:rsidR="00FA77FD" w:rsidRPr="00090E96" w:rsidRDefault="00FA77FD" w:rsidP="00FA77FD">
                          <w:pPr>
                            <w:spacing w:after="0" w:line="240" w:lineRule="auto"/>
                            <w:jc w:val="right"/>
                            <w:rPr>
                              <w:rFonts w:ascii="Times New Roman" w:hAnsi="Times New Roman" w:cs="Times New Roman"/>
                              <w:b/>
                              <w:i/>
                              <w:sz w:val="20"/>
                            </w:rPr>
                          </w:pPr>
                          <w:hyperlink r:id="rId2">
                            <w:r w:rsidRPr="00090E96">
                              <w:rPr>
                                <w:rFonts w:ascii="Times New Roman" w:hAnsi="Times New Roman" w:cs="Times New Roman"/>
                                <w:b/>
                                <w:sz w:val="20"/>
                              </w:rPr>
                              <w:t>INTERNATIONAL</w:t>
                            </w:r>
                            <w:r w:rsidRPr="00090E96">
                              <w:rPr>
                                <w:rFonts w:ascii="Times New Roman" w:hAnsi="Times New Roman" w:cs="Times New Roman"/>
                                <w:b/>
                                <w:spacing w:val="-6"/>
                                <w:sz w:val="20"/>
                              </w:rPr>
                              <w:t xml:space="preserve"> </w:t>
                            </w:r>
                            <w:r w:rsidRPr="00090E96">
                              <w:rPr>
                                <w:rFonts w:ascii="Times New Roman" w:hAnsi="Times New Roman" w:cs="Times New Roman"/>
                                <w:b/>
                                <w:sz w:val="20"/>
                              </w:rPr>
                              <w:t>JOURNAL</w:t>
                            </w:r>
                            <w:r w:rsidRPr="00090E96">
                              <w:rPr>
                                <w:rFonts w:ascii="Times New Roman" w:hAnsi="Times New Roman" w:cs="Times New Roman"/>
                                <w:b/>
                                <w:spacing w:val="-5"/>
                                <w:sz w:val="20"/>
                              </w:rPr>
                              <w:t xml:space="preserve"> </w:t>
                            </w:r>
                            <w:r w:rsidRPr="00090E96">
                              <w:rPr>
                                <w:rFonts w:ascii="Times New Roman" w:hAnsi="Times New Roman" w:cs="Times New Roman"/>
                                <w:b/>
                                <w:sz w:val="20"/>
                              </w:rPr>
                              <w:t>OF RESEARCH</w:t>
                            </w:r>
                            <w:r w:rsidRPr="00090E96">
                              <w:rPr>
                                <w:rFonts w:ascii="Times New Roman" w:hAnsi="Times New Roman" w:cs="Times New Roman"/>
                                <w:b/>
                                <w:spacing w:val="-1"/>
                                <w:sz w:val="20"/>
                              </w:rPr>
                              <w:t xml:space="preserve"> </w:t>
                            </w:r>
                            <w:r w:rsidRPr="00090E96">
                              <w:rPr>
                                <w:rFonts w:ascii="Times New Roman" w:hAnsi="Times New Roman" w:cs="Times New Roman"/>
                                <w:b/>
                                <w:sz w:val="20"/>
                              </w:rPr>
                              <w:t>AND</w:t>
                            </w:r>
                            <w:r w:rsidRPr="00090E96">
                              <w:rPr>
                                <w:rFonts w:ascii="Times New Roman" w:hAnsi="Times New Roman" w:cs="Times New Roman"/>
                                <w:b/>
                                <w:spacing w:val="-6"/>
                                <w:sz w:val="20"/>
                              </w:rPr>
                              <w:t xml:space="preserve"> </w:t>
                            </w:r>
                            <w:r w:rsidRPr="00090E96">
                              <w:rPr>
                                <w:rFonts w:ascii="Times New Roman" w:hAnsi="Times New Roman" w:cs="Times New Roman"/>
                                <w:b/>
                                <w:sz w:val="20"/>
                              </w:rPr>
                              <w:t>INNOVATION</w:t>
                            </w:r>
                            <w:r w:rsidRPr="00090E96">
                              <w:rPr>
                                <w:rFonts w:ascii="Times New Roman" w:hAnsi="Times New Roman" w:cs="Times New Roman"/>
                                <w:b/>
                                <w:spacing w:val="-6"/>
                                <w:sz w:val="20"/>
                              </w:rPr>
                              <w:t xml:space="preserve"> </w:t>
                            </w:r>
                            <w:r w:rsidRPr="00090E96">
                              <w:rPr>
                                <w:rFonts w:ascii="Times New Roman" w:hAnsi="Times New Roman" w:cs="Times New Roman"/>
                                <w:b/>
                                <w:sz w:val="20"/>
                              </w:rPr>
                              <w:t>IN</w:t>
                            </w:r>
                            <w:r w:rsidRPr="00090E96">
                              <w:rPr>
                                <w:rFonts w:ascii="Times New Roman" w:hAnsi="Times New Roman" w:cs="Times New Roman"/>
                                <w:b/>
                                <w:spacing w:val="-6"/>
                                <w:sz w:val="20"/>
                              </w:rPr>
                              <w:t xml:space="preserve"> </w:t>
                            </w:r>
                            <w:r w:rsidRPr="00090E96">
                              <w:rPr>
                                <w:rFonts w:ascii="Times New Roman" w:hAnsi="Times New Roman" w:cs="Times New Roman"/>
                                <w:b/>
                                <w:sz w:val="20"/>
                              </w:rPr>
                              <w:t>APPLIED</w:t>
                            </w:r>
                            <w:r w:rsidRPr="00090E96">
                              <w:rPr>
                                <w:rFonts w:ascii="Times New Roman" w:hAnsi="Times New Roman" w:cs="Times New Roman"/>
                                <w:b/>
                                <w:spacing w:val="-6"/>
                                <w:sz w:val="20"/>
                              </w:rPr>
                              <w:t xml:space="preserve"> </w:t>
                            </w:r>
                            <w:r w:rsidRPr="00090E96">
                              <w:rPr>
                                <w:rFonts w:ascii="Times New Roman" w:hAnsi="Times New Roman" w:cs="Times New Roman"/>
                                <w:b/>
                                <w:sz w:val="20"/>
                              </w:rPr>
                              <w:t xml:space="preserve">SCIENCE </w:t>
                            </w:r>
                            <w:r w:rsidRPr="00090E96">
                              <w:rPr>
                                <w:rFonts w:ascii="Times New Roman" w:hAnsi="Times New Roman" w:cs="Times New Roman"/>
                                <w:b/>
                                <w:spacing w:val="-2"/>
                                <w:sz w:val="20"/>
                              </w:rPr>
                              <w:t>(IJRIAS)</w:t>
                            </w:r>
                          </w:hyperlink>
                        </w:p>
                        <w:p w:rsidR="00FA77FD" w:rsidRPr="00090E96" w:rsidRDefault="00FA77FD" w:rsidP="00FA77FD">
                          <w:pPr>
                            <w:spacing w:after="0" w:line="240" w:lineRule="auto"/>
                            <w:jc w:val="right"/>
                            <w:rPr>
                              <w:rFonts w:ascii="Times New Roman" w:hAnsi="Times New Roman" w:cs="Times New Roman"/>
                              <w:i/>
                              <w:sz w:val="20"/>
                            </w:rPr>
                          </w:pPr>
                          <w:hyperlink r:id="rId3">
                            <w:r w:rsidRPr="00090E96">
                              <w:rPr>
                                <w:rFonts w:ascii="Times New Roman" w:hAnsi="Times New Roman" w:cs="Times New Roman"/>
                                <w:sz w:val="20"/>
                              </w:rPr>
                              <w:t>ISSN</w:t>
                            </w:r>
                            <w:r w:rsidRPr="00090E96">
                              <w:rPr>
                                <w:rFonts w:ascii="Times New Roman" w:hAnsi="Times New Roman" w:cs="Times New Roman"/>
                                <w:spacing w:val="-4"/>
                                <w:sz w:val="20"/>
                              </w:rPr>
                              <w:t xml:space="preserve"> </w:t>
                            </w:r>
                            <w:r w:rsidRPr="00090E96">
                              <w:rPr>
                                <w:rFonts w:ascii="Times New Roman" w:hAnsi="Times New Roman" w:cs="Times New Roman"/>
                                <w:sz w:val="20"/>
                              </w:rPr>
                              <w:t>No.</w:t>
                            </w:r>
                            <w:r w:rsidRPr="00090E96">
                              <w:rPr>
                                <w:rFonts w:ascii="Times New Roman" w:hAnsi="Times New Roman" w:cs="Times New Roman"/>
                                <w:spacing w:val="-2"/>
                                <w:sz w:val="20"/>
                              </w:rPr>
                              <w:t xml:space="preserve"> </w:t>
                            </w:r>
                            <w:r w:rsidRPr="00090E96">
                              <w:rPr>
                                <w:rFonts w:ascii="Times New Roman" w:hAnsi="Times New Roman" w:cs="Times New Roman"/>
                                <w:sz w:val="20"/>
                              </w:rPr>
                              <w:t>2454-6194</w:t>
                            </w:r>
                            <w:r w:rsidRPr="00090E96">
                              <w:rPr>
                                <w:rFonts w:ascii="Times New Roman" w:hAnsi="Times New Roman" w:cs="Times New Roman"/>
                                <w:spacing w:val="-6"/>
                                <w:sz w:val="20"/>
                              </w:rPr>
                              <w:t xml:space="preserve"> </w:t>
                            </w:r>
                            <w:r w:rsidRPr="00090E96">
                              <w:rPr>
                                <w:rFonts w:ascii="Times New Roman" w:hAnsi="Times New Roman" w:cs="Times New Roman"/>
                                <w:sz w:val="20"/>
                              </w:rPr>
                              <w:t>|</w:t>
                            </w:r>
                            <w:r w:rsidRPr="00090E96">
                              <w:rPr>
                                <w:rFonts w:ascii="Times New Roman" w:hAnsi="Times New Roman" w:cs="Times New Roman"/>
                                <w:spacing w:val="-1"/>
                                <w:sz w:val="20"/>
                              </w:rPr>
                              <w:t xml:space="preserve"> </w:t>
                            </w:r>
                            <w:r w:rsidRPr="00090E96">
                              <w:rPr>
                                <w:rFonts w:ascii="Times New Roman" w:hAnsi="Times New Roman" w:cs="Times New Roman"/>
                                <w:sz w:val="20"/>
                              </w:rPr>
                              <w:t>DOI:</w:t>
                            </w:r>
                            <w:r w:rsidRPr="00090E96">
                              <w:rPr>
                                <w:rFonts w:ascii="Times New Roman" w:hAnsi="Times New Roman" w:cs="Times New Roman"/>
                                <w:spacing w:val="-10"/>
                                <w:sz w:val="20"/>
                              </w:rPr>
                              <w:t xml:space="preserve"> </w:t>
                            </w:r>
                            <w:r w:rsidRPr="00090E96">
                              <w:rPr>
                                <w:rFonts w:ascii="Times New Roman" w:hAnsi="Times New Roman" w:cs="Times New Roman"/>
                                <w:sz w:val="20"/>
                              </w:rPr>
                              <w:t>10.51584/IJRIAS</w:t>
                            </w:r>
                            <w:r w:rsidRPr="00090E96">
                              <w:rPr>
                                <w:rFonts w:ascii="Times New Roman" w:hAnsi="Times New Roman" w:cs="Times New Roman"/>
                                <w:spacing w:val="-3"/>
                                <w:sz w:val="20"/>
                              </w:rPr>
                              <w:t xml:space="preserve"> </w:t>
                            </w:r>
                            <w:r w:rsidRPr="00090E96">
                              <w:rPr>
                                <w:rFonts w:ascii="Times New Roman" w:hAnsi="Times New Roman" w:cs="Times New Roman"/>
                                <w:sz w:val="20"/>
                              </w:rPr>
                              <w:t>|Volume</w:t>
                            </w:r>
                            <w:r w:rsidRPr="00090E96">
                              <w:rPr>
                                <w:rFonts w:ascii="Times New Roman" w:hAnsi="Times New Roman" w:cs="Times New Roman"/>
                                <w:spacing w:val="-2"/>
                                <w:sz w:val="20"/>
                              </w:rPr>
                              <w:t xml:space="preserve"> </w:t>
                            </w:r>
                            <w:r w:rsidRPr="00090E96">
                              <w:rPr>
                                <w:rFonts w:ascii="Times New Roman" w:hAnsi="Times New Roman" w:cs="Times New Roman"/>
                                <w:sz w:val="20"/>
                              </w:rPr>
                              <w:t>XI</w:t>
                            </w:r>
                            <w:r w:rsidRPr="00090E96">
                              <w:rPr>
                                <w:rFonts w:ascii="Times New Roman" w:hAnsi="Times New Roman" w:cs="Times New Roman"/>
                                <w:spacing w:val="-4"/>
                                <w:sz w:val="20"/>
                              </w:rPr>
                              <w:t xml:space="preserve"> </w:t>
                            </w:r>
                            <w:r w:rsidRPr="00090E96">
                              <w:rPr>
                                <w:rFonts w:ascii="Times New Roman" w:hAnsi="Times New Roman" w:cs="Times New Roman"/>
                                <w:sz w:val="20"/>
                              </w:rPr>
                              <w:t>Issue</w:t>
                            </w:r>
                            <w:r w:rsidRPr="00090E96">
                              <w:rPr>
                                <w:rFonts w:ascii="Times New Roman" w:hAnsi="Times New Roman" w:cs="Times New Roman"/>
                                <w:spacing w:val="-3"/>
                                <w:sz w:val="20"/>
                              </w:rPr>
                              <w:t xml:space="preserve"> </w:t>
                            </w:r>
                            <w:r w:rsidRPr="00090E96">
                              <w:rPr>
                                <w:rFonts w:ascii="Times New Roman" w:hAnsi="Times New Roman" w:cs="Times New Roman"/>
                                <w:sz w:val="20"/>
                              </w:rPr>
                              <w:t>I January</w:t>
                            </w:r>
                            <w:r w:rsidRPr="00090E96">
                              <w:rPr>
                                <w:rFonts w:ascii="Times New Roman" w:hAnsi="Times New Roman" w:cs="Times New Roman"/>
                                <w:spacing w:val="-3"/>
                                <w:sz w:val="20"/>
                              </w:rPr>
                              <w:t xml:space="preserve"> </w:t>
                            </w:r>
                            <w:r w:rsidRPr="00090E96">
                              <w:rPr>
                                <w:rFonts w:ascii="Times New Roman" w:hAnsi="Times New Roman" w:cs="Times New Roman"/>
                                <w:spacing w:val="-4"/>
                                <w:sz w:val="20"/>
                              </w:rPr>
                              <w:t>202</w:t>
                            </w:r>
                          </w:hyperlink>
                          <w:r w:rsidRPr="00090E96">
                            <w:rPr>
                              <w:rFonts w:ascii="Times New Roman" w:hAnsi="Times New Roman" w:cs="Times New Roman"/>
                              <w:sz w:val="20"/>
                              <w:szCs w:val="20"/>
                            </w:rPr>
                            <w:t>6</w:t>
                          </w:r>
                        </w:p>
                        <w:p w:rsidR="00FA77FD" w:rsidRPr="00090E96" w:rsidRDefault="00FA77FD" w:rsidP="00FA77FD">
                          <w:pPr>
                            <w:spacing w:after="0" w:line="240" w:lineRule="auto"/>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0.6pt;margin-top:17.4pt;width:474.3pt;height: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" filled="f" stroked="f">
              <v:textbox inset="0,0,0,0">
                <w:txbxContent>
                  <w:p w:rsidR="00FA77FD" w:rsidRPr="00090E96" w:rsidRDefault="00FA77FD" w:rsidP="00FA77FD">
                    <w:pPr>
                      <w:spacing w:after="0" w:line="240" w:lineRule="auto"/>
                      <w:jc w:val="right"/>
                      <w:rPr>
                        <w:rFonts w:ascii="Times New Roman" w:hAnsi="Times New Roman" w:cs="Times New Roman"/>
                        <w:b/>
                        <w:i/>
                        <w:sz w:val="20"/>
                      </w:rPr>
                    </w:pPr>
                    <w:hyperlink r:id="rId4">
                      <w:r w:rsidRPr="00090E96">
                        <w:rPr>
                          <w:rFonts w:ascii="Times New Roman" w:hAnsi="Times New Roman" w:cs="Times New Roman"/>
                          <w:b/>
                          <w:sz w:val="20"/>
                        </w:rPr>
                        <w:t>INTERNATIONAL</w:t>
                      </w:r>
                      <w:r w:rsidRPr="00090E96">
                        <w:rPr>
                          <w:rFonts w:ascii="Times New Roman" w:hAnsi="Times New Roman" w:cs="Times New Roman"/>
                          <w:b/>
                          <w:spacing w:val="-6"/>
                          <w:sz w:val="20"/>
                        </w:rPr>
                        <w:t xml:space="preserve"> </w:t>
                      </w:r>
                      <w:r w:rsidRPr="00090E96">
                        <w:rPr>
                          <w:rFonts w:ascii="Times New Roman" w:hAnsi="Times New Roman" w:cs="Times New Roman"/>
                          <w:b/>
                          <w:sz w:val="20"/>
                        </w:rPr>
                        <w:t>JOURNAL</w:t>
                      </w:r>
                      <w:r w:rsidRPr="00090E96">
                        <w:rPr>
                          <w:rFonts w:ascii="Times New Roman" w:hAnsi="Times New Roman" w:cs="Times New Roman"/>
                          <w:b/>
                          <w:spacing w:val="-5"/>
                          <w:sz w:val="20"/>
                        </w:rPr>
                        <w:t xml:space="preserve"> </w:t>
                      </w:r>
                      <w:r w:rsidRPr="00090E96">
                        <w:rPr>
                          <w:rFonts w:ascii="Times New Roman" w:hAnsi="Times New Roman" w:cs="Times New Roman"/>
                          <w:b/>
                          <w:sz w:val="20"/>
                        </w:rPr>
                        <w:t>OF RESEARCH</w:t>
                      </w:r>
                      <w:r w:rsidRPr="00090E96">
                        <w:rPr>
                          <w:rFonts w:ascii="Times New Roman" w:hAnsi="Times New Roman" w:cs="Times New Roman"/>
                          <w:b/>
                          <w:spacing w:val="-1"/>
                          <w:sz w:val="20"/>
                        </w:rPr>
                        <w:t xml:space="preserve"> </w:t>
                      </w:r>
                      <w:r w:rsidRPr="00090E96">
                        <w:rPr>
                          <w:rFonts w:ascii="Times New Roman" w:hAnsi="Times New Roman" w:cs="Times New Roman"/>
                          <w:b/>
                          <w:sz w:val="20"/>
                        </w:rPr>
                        <w:t>AND</w:t>
                      </w:r>
                      <w:r w:rsidRPr="00090E96">
                        <w:rPr>
                          <w:rFonts w:ascii="Times New Roman" w:hAnsi="Times New Roman" w:cs="Times New Roman"/>
                          <w:b/>
                          <w:spacing w:val="-6"/>
                          <w:sz w:val="20"/>
                        </w:rPr>
                        <w:t xml:space="preserve"> </w:t>
                      </w:r>
                      <w:r w:rsidRPr="00090E96">
                        <w:rPr>
                          <w:rFonts w:ascii="Times New Roman" w:hAnsi="Times New Roman" w:cs="Times New Roman"/>
                          <w:b/>
                          <w:sz w:val="20"/>
                        </w:rPr>
                        <w:t>INNOVATION</w:t>
                      </w:r>
                      <w:r w:rsidRPr="00090E96">
                        <w:rPr>
                          <w:rFonts w:ascii="Times New Roman" w:hAnsi="Times New Roman" w:cs="Times New Roman"/>
                          <w:b/>
                          <w:spacing w:val="-6"/>
                          <w:sz w:val="20"/>
                        </w:rPr>
                        <w:t xml:space="preserve"> </w:t>
                      </w:r>
                      <w:r w:rsidRPr="00090E96">
                        <w:rPr>
                          <w:rFonts w:ascii="Times New Roman" w:hAnsi="Times New Roman" w:cs="Times New Roman"/>
                          <w:b/>
                          <w:sz w:val="20"/>
                        </w:rPr>
                        <w:t>IN</w:t>
                      </w:r>
                      <w:r w:rsidRPr="00090E96">
                        <w:rPr>
                          <w:rFonts w:ascii="Times New Roman" w:hAnsi="Times New Roman" w:cs="Times New Roman"/>
                          <w:b/>
                          <w:spacing w:val="-6"/>
                          <w:sz w:val="20"/>
                        </w:rPr>
                        <w:t xml:space="preserve"> </w:t>
                      </w:r>
                      <w:r w:rsidRPr="00090E96">
                        <w:rPr>
                          <w:rFonts w:ascii="Times New Roman" w:hAnsi="Times New Roman" w:cs="Times New Roman"/>
                          <w:b/>
                          <w:sz w:val="20"/>
                        </w:rPr>
                        <w:t>APPLIED</w:t>
                      </w:r>
                      <w:r w:rsidRPr="00090E96">
                        <w:rPr>
                          <w:rFonts w:ascii="Times New Roman" w:hAnsi="Times New Roman" w:cs="Times New Roman"/>
                          <w:b/>
                          <w:spacing w:val="-6"/>
                          <w:sz w:val="20"/>
                        </w:rPr>
                        <w:t xml:space="preserve"> </w:t>
                      </w:r>
                      <w:r w:rsidRPr="00090E96">
                        <w:rPr>
                          <w:rFonts w:ascii="Times New Roman" w:hAnsi="Times New Roman" w:cs="Times New Roman"/>
                          <w:b/>
                          <w:sz w:val="20"/>
                        </w:rPr>
                        <w:t xml:space="preserve">SCIENCE </w:t>
                      </w:r>
                      <w:r w:rsidRPr="00090E96">
                        <w:rPr>
                          <w:rFonts w:ascii="Times New Roman" w:hAnsi="Times New Roman" w:cs="Times New Roman"/>
                          <w:b/>
                          <w:spacing w:val="-2"/>
                          <w:sz w:val="20"/>
                        </w:rPr>
                        <w:t>(IJRIAS)</w:t>
                      </w:r>
                    </w:hyperlink>
                  </w:p>
                  <w:p w:rsidR="00FA77FD" w:rsidRPr="00090E96" w:rsidRDefault="00FA77FD" w:rsidP="00FA77FD">
                    <w:pPr>
                      <w:spacing w:after="0" w:line="240" w:lineRule="auto"/>
                      <w:jc w:val="right"/>
                      <w:rPr>
                        <w:rFonts w:ascii="Times New Roman" w:hAnsi="Times New Roman" w:cs="Times New Roman"/>
                        <w:i/>
                        <w:sz w:val="20"/>
                      </w:rPr>
                    </w:pPr>
                    <w:hyperlink r:id="rId5">
                      <w:r w:rsidRPr="00090E96">
                        <w:rPr>
                          <w:rFonts w:ascii="Times New Roman" w:hAnsi="Times New Roman" w:cs="Times New Roman"/>
                          <w:sz w:val="20"/>
                        </w:rPr>
                        <w:t>ISSN</w:t>
                      </w:r>
                      <w:r w:rsidRPr="00090E96">
                        <w:rPr>
                          <w:rFonts w:ascii="Times New Roman" w:hAnsi="Times New Roman" w:cs="Times New Roman"/>
                          <w:spacing w:val="-4"/>
                          <w:sz w:val="20"/>
                        </w:rPr>
                        <w:t xml:space="preserve"> </w:t>
                      </w:r>
                      <w:r w:rsidRPr="00090E96">
                        <w:rPr>
                          <w:rFonts w:ascii="Times New Roman" w:hAnsi="Times New Roman" w:cs="Times New Roman"/>
                          <w:sz w:val="20"/>
                        </w:rPr>
                        <w:t>No.</w:t>
                      </w:r>
                      <w:r w:rsidRPr="00090E96">
                        <w:rPr>
                          <w:rFonts w:ascii="Times New Roman" w:hAnsi="Times New Roman" w:cs="Times New Roman"/>
                          <w:spacing w:val="-2"/>
                          <w:sz w:val="20"/>
                        </w:rPr>
                        <w:t xml:space="preserve"> </w:t>
                      </w:r>
                      <w:r w:rsidRPr="00090E96">
                        <w:rPr>
                          <w:rFonts w:ascii="Times New Roman" w:hAnsi="Times New Roman" w:cs="Times New Roman"/>
                          <w:sz w:val="20"/>
                        </w:rPr>
                        <w:t>2454-6194</w:t>
                      </w:r>
                      <w:r w:rsidRPr="00090E96">
                        <w:rPr>
                          <w:rFonts w:ascii="Times New Roman" w:hAnsi="Times New Roman" w:cs="Times New Roman"/>
                          <w:spacing w:val="-6"/>
                          <w:sz w:val="20"/>
                        </w:rPr>
                        <w:t xml:space="preserve"> </w:t>
                      </w:r>
                      <w:r w:rsidRPr="00090E96">
                        <w:rPr>
                          <w:rFonts w:ascii="Times New Roman" w:hAnsi="Times New Roman" w:cs="Times New Roman"/>
                          <w:sz w:val="20"/>
                        </w:rPr>
                        <w:t>|</w:t>
                      </w:r>
                      <w:r w:rsidRPr="00090E96">
                        <w:rPr>
                          <w:rFonts w:ascii="Times New Roman" w:hAnsi="Times New Roman" w:cs="Times New Roman"/>
                          <w:spacing w:val="-1"/>
                          <w:sz w:val="20"/>
                        </w:rPr>
                        <w:t xml:space="preserve"> </w:t>
                      </w:r>
                      <w:r w:rsidRPr="00090E96">
                        <w:rPr>
                          <w:rFonts w:ascii="Times New Roman" w:hAnsi="Times New Roman" w:cs="Times New Roman"/>
                          <w:sz w:val="20"/>
                        </w:rPr>
                        <w:t>DOI:</w:t>
                      </w:r>
                      <w:r w:rsidRPr="00090E96">
                        <w:rPr>
                          <w:rFonts w:ascii="Times New Roman" w:hAnsi="Times New Roman" w:cs="Times New Roman"/>
                          <w:spacing w:val="-10"/>
                          <w:sz w:val="20"/>
                        </w:rPr>
                        <w:t xml:space="preserve"> </w:t>
                      </w:r>
                      <w:r w:rsidRPr="00090E96">
                        <w:rPr>
                          <w:rFonts w:ascii="Times New Roman" w:hAnsi="Times New Roman" w:cs="Times New Roman"/>
                          <w:sz w:val="20"/>
                        </w:rPr>
                        <w:t>10.51584/IJRIAS</w:t>
                      </w:r>
                      <w:r w:rsidRPr="00090E96">
                        <w:rPr>
                          <w:rFonts w:ascii="Times New Roman" w:hAnsi="Times New Roman" w:cs="Times New Roman"/>
                          <w:spacing w:val="-3"/>
                          <w:sz w:val="20"/>
                        </w:rPr>
                        <w:t xml:space="preserve"> </w:t>
                      </w:r>
                      <w:r w:rsidRPr="00090E96">
                        <w:rPr>
                          <w:rFonts w:ascii="Times New Roman" w:hAnsi="Times New Roman" w:cs="Times New Roman"/>
                          <w:sz w:val="20"/>
                        </w:rPr>
                        <w:t>|Volume</w:t>
                      </w:r>
                      <w:r w:rsidRPr="00090E96">
                        <w:rPr>
                          <w:rFonts w:ascii="Times New Roman" w:hAnsi="Times New Roman" w:cs="Times New Roman"/>
                          <w:spacing w:val="-2"/>
                          <w:sz w:val="20"/>
                        </w:rPr>
                        <w:t xml:space="preserve"> </w:t>
                      </w:r>
                      <w:r w:rsidRPr="00090E96">
                        <w:rPr>
                          <w:rFonts w:ascii="Times New Roman" w:hAnsi="Times New Roman" w:cs="Times New Roman"/>
                          <w:sz w:val="20"/>
                        </w:rPr>
                        <w:t>XI</w:t>
                      </w:r>
                      <w:r w:rsidRPr="00090E96">
                        <w:rPr>
                          <w:rFonts w:ascii="Times New Roman" w:hAnsi="Times New Roman" w:cs="Times New Roman"/>
                          <w:spacing w:val="-4"/>
                          <w:sz w:val="20"/>
                        </w:rPr>
                        <w:t xml:space="preserve"> </w:t>
                      </w:r>
                      <w:r w:rsidRPr="00090E96">
                        <w:rPr>
                          <w:rFonts w:ascii="Times New Roman" w:hAnsi="Times New Roman" w:cs="Times New Roman"/>
                          <w:sz w:val="20"/>
                        </w:rPr>
                        <w:t>Issue</w:t>
                      </w:r>
                      <w:r w:rsidRPr="00090E96">
                        <w:rPr>
                          <w:rFonts w:ascii="Times New Roman" w:hAnsi="Times New Roman" w:cs="Times New Roman"/>
                          <w:spacing w:val="-3"/>
                          <w:sz w:val="20"/>
                        </w:rPr>
                        <w:t xml:space="preserve"> </w:t>
                      </w:r>
                      <w:r w:rsidRPr="00090E96">
                        <w:rPr>
                          <w:rFonts w:ascii="Times New Roman" w:hAnsi="Times New Roman" w:cs="Times New Roman"/>
                          <w:sz w:val="20"/>
                        </w:rPr>
                        <w:t>I January</w:t>
                      </w:r>
                      <w:r w:rsidRPr="00090E96">
                        <w:rPr>
                          <w:rFonts w:ascii="Times New Roman" w:hAnsi="Times New Roman" w:cs="Times New Roman"/>
                          <w:spacing w:val="-3"/>
                          <w:sz w:val="20"/>
                        </w:rPr>
                        <w:t xml:space="preserve"> </w:t>
                      </w:r>
                      <w:r w:rsidRPr="00090E96">
                        <w:rPr>
                          <w:rFonts w:ascii="Times New Roman" w:hAnsi="Times New Roman" w:cs="Times New Roman"/>
                          <w:spacing w:val="-4"/>
                          <w:sz w:val="20"/>
                        </w:rPr>
                        <w:t>202</w:t>
                      </w:r>
                    </w:hyperlink>
                    <w:r w:rsidRPr="00090E96">
                      <w:rPr>
                        <w:rFonts w:ascii="Times New Roman" w:hAnsi="Times New Roman" w:cs="Times New Roman"/>
                        <w:sz w:val="20"/>
                        <w:szCs w:val="20"/>
                      </w:rPr>
                      <w:t>6</w:t>
                    </w:r>
                  </w:p>
                  <w:p w:rsidR="00FA77FD" w:rsidRPr="00090E96" w:rsidRDefault="00FA77FD" w:rsidP="00FA77FD">
                    <w:pPr>
                      <w:spacing w:after="0" w:line="240" w:lineRule="auto"/>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i/>
                        <w:sz w:val="20"/>
                      </w:rPr>
                    </w:pPr>
                  </w:p>
                  <w:p w:rsidR="00FA77FD" w:rsidRPr="00090E96" w:rsidRDefault="00FA77FD" w:rsidP="00FA77FD">
                    <w:pPr>
                      <w:spacing w:after="0" w:line="240" w:lineRule="auto"/>
                      <w:jc w:val="right"/>
                      <w:rPr>
                        <w:rFonts w:ascii="Times New Roman" w:hAnsi="Times New Roman" w:cs="Times New Roman"/>
                        <w:bCs/>
                        <w:i/>
                        <w:sz w:val="20"/>
                      </w:rPr>
                    </w:pPr>
                  </w:p>
                </w:txbxContent>
              </v:textbox>
              <w10:wrap anchorx="page" anchory="page"/>
            </v:shape>
          </w:pict>
        </mc:Fallback>
      </mc:AlternateContent>
    </w:r>
  </w:p>
  <w:p w:rsidR="00FA77FD" w:rsidRPr="00090E96" w:rsidRDefault="00FA77FD" w:rsidP="00FA77FD">
    <w:pPr>
      <w:widowControl w:val="0"/>
      <w:tabs>
        <w:tab w:val="left" w:pos="2556"/>
        <w:tab w:val="center" w:pos="4513"/>
        <w:tab w:val="right" w:pos="9026"/>
      </w:tabs>
      <w:overflowPunct w:val="0"/>
      <w:autoSpaceDE w:val="0"/>
      <w:autoSpaceDN w:val="0"/>
      <w:adjustRightInd w:val="0"/>
      <w:spacing w:after="0" w:line="240" w:lineRule="auto"/>
      <w:jc w:val="center"/>
      <w:textAlignment w:val="baseline"/>
      <w:rPr>
        <w:rFonts w:ascii="Times New Roman" w:eastAsia="DengXian" w:hAnsi="Times New Roman" w:cs="Times New Roman"/>
        <w:b/>
        <w:sz w:val="20"/>
        <w:szCs w:val="20"/>
        <w:lang w:val="en-PH"/>
      </w:rPr>
    </w:pPr>
    <w:r w:rsidRPr="00090E96">
      <w:rPr>
        <w:rFonts w:ascii="Times New Roman" w:eastAsia="DengXian" w:hAnsi="Times New Roman" w:cs="Times New Roman"/>
        <w:noProof/>
        <w:sz w:val="20"/>
        <w:szCs w:val="20"/>
        <w:lang w:val="en-PH" w:eastAsia="en-GB"/>
      </w:rPr>
      <w:t xml:space="preserve"> </w:t>
    </w:r>
    <w:r>
      <w:rPr>
        <w:noProof/>
        <w:lang w:eastAsia="en-IN"/>
      </w:rPr>
      <mc:AlternateContent>
        <mc:Choice Requires="wpg">
          <w:drawing>
            <wp:inline distT="0" distB="0" distL="0" distR="0">
              <wp:extent cx="6671310" cy="19050"/>
              <wp:effectExtent l="0" t="0" r="0" b="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0"/>
                        <a:chExt cx="10506" cy="30"/>
                      </a:xfrm>
                    </wpg:grpSpPr>
                    <wps:wsp>
                      <wps:cNvPr id="15" name="Rectangle 14"/>
                      <wps:cNvSpPr>
                        <a:spLocks noChangeArrowheads="1"/>
                      </wps:cNvSpPr>
                      <wps:spPr bwMode="auto">
                        <a:xfrm>
                          <a:off x="0" y="0"/>
                          <a:ext cx="10506" cy="30"/>
                        </a:xfrm>
                        <a:prstGeom prst="rect">
                          <a:avLst/>
                        </a:pr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id="Group 15" o:spid="_x0000_s1026"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">
              <v:rect id="Rectangle 14" o:spid="_x0000_s1027" style="position:absolute;width:10506;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ltcIA&#10;AADbAAAADwAAAGRycy9kb3ducmV2LnhtbERPPWvDMBDdC/0P4grdGtmhDcaNHIJJTZYOTULmw7ra&#10;xtbJSErs5tdXhUK2e7zPW29mM4grOd9ZVpAuEhDEtdUdNwpOx4+XDIQPyBoHy6TghzxsiseHNeba&#10;TvxF10NoRAxhn6OCNoQxl9LXLRn0CzsSR+7bOoMhQtdI7XCK4WaQyyRZSYMdx4YWRypbqvvDxShI&#10;dOr2n+WrvNXbKjv3u6W92Uqp56d5+w4i0Bzu4n/3Xsf5b/D3Szx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3WW1wgAAANsAAAAPAAAAAAAAAAAAAAAAAJgCAABkcnMvZG93&#10;bnJldi54bWxQSwUGAAAAAAQABAD1AAAAhwMAAAAA&#10;" fillcolor="gray" stroked="f"/>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C29"/>
    <w:multiLevelType w:val="multilevel"/>
    <w:tmpl w:val="055E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E35FD"/>
    <w:multiLevelType w:val="hybridMultilevel"/>
    <w:tmpl w:val="F2762ADC"/>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00C34"/>
    <w:multiLevelType w:val="multilevel"/>
    <w:tmpl w:val="B8C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66ABE"/>
    <w:multiLevelType w:val="multilevel"/>
    <w:tmpl w:val="9008E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B4555"/>
    <w:multiLevelType w:val="multilevel"/>
    <w:tmpl w:val="2DD8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00443"/>
    <w:multiLevelType w:val="multilevel"/>
    <w:tmpl w:val="7DE65B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F4B3DD4"/>
    <w:multiLevelType w:val="multilevel"/>
    <w:tmpl w:val="61C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3495C"/>
    <w:multiLevelType w:val="multilevel"/>
    <w:tmpl w:val="3DB6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6B6768"/>
    <w:multiLevelType w:val="hybridMultilevel"/>
    <w:tmpl w:val="A4EA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96092"/>
    <w:multiLevelType w:val="multilevel"/>
    <w:tmpl w:val="0D6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635FCB"/>
    <w:multiLevelType w:val="multilevel"/>
    <w:tmpl w:val="112A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4B7A5C"/>
    <w:multiLevelType w:val="multilevel"/>
    <w:tmpl w:val="D46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D2CE1"/>
    <w:multiLevelType w:val="multilevel"/>
    <w:tmpl w:val="E3A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4C4AAB"/>
    <w:multiLevelType w:val="multilevel"/>
    <w:tmpl w:val="6E529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255BB3"/>
    <w:multiLevelType w:val="multilevel"/>
    <w:tmpl w:val="6DE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CA4464"/>
    <w:multiLevelType w:val="hybridMultilevel"/>
    <w:tmpl w:val="E7AA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9D0898"/>
    <w:multiLevelType w:val="multilevel"/>
    <w:tmpl w:val="CA4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365D40"/>
    <w:multiLevelType w:val="multilevel"/>
    <w:tmpl w:val="47A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B40632"/>
    <w:multiLevelType w:val="multilevel"/>
    <w:tmpl w:val="79260BCA"/>
    <w:lvl w:ilvl="0">
      <w:start w:val="1"/>
      <w:numFmt w:val="decimal"/>
      <w:lvlText w:val="%1."/>
      <w:lvlJc w:val="left"/>
      <w:pPr>
        <w:ind w:left="720" w:hanging="360"/>
      </w:pPr>
      <w:rPr>
        <w:rFonts w:hint="default"/>
        <w:b/>
        <w:sz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E496F39"/>
    <w:multiLevelType w:val="multilevel"/>
    <w:tmpl w:val="695E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134BE3"/>
    <w:multiLevelType w:val="multilevel"/>
    <w:tmpl w:val="14E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146426"/>
    <w:multiLevelType w:val="multilevel"/>
    <w:tmpl w:val="A440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B3504"/>
    <w:multiLevelType w:val="multilevel"/>
    <w:tmpl w:val="0DA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721762"/>
    <w:multiLevelType w:val="multilevel"/>
    <w:tmpl w:val="612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90101C"/>
    <w:multiLevelType w:val="multilevel"/>
    <w:tmpl w:val="516C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637F3B"/>
    <w:multiLevelType w:val="multilevel"/>
    <w:tmpl w:val="8DA4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AE1AB9"/>
    <w:multiLevelType w:val="multilevel"/>
    <w:tmpl w:val="CF7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0"/>
  </w:num>
  <w:num w:numId="4">
    <w:abstractNumId w:val="8"/>
  </w:num>
  <w:num w:numId="5">
    <w:abstractNumId w:val="16"/>
  </w:num>
  <w:num w:numId="6">
    <w:abstractNumId w:val="14"/>
  </w:num>
  <w:num w:numId="7">
    <w:abstractNumId w:val="22"/>
  </w:num>
  <w:num w:numId="8">
    <w:abstractNumId w:val="9"/>
  </w:num>
  <w:num w:numId="9">
    <w:abstractNumId w:val="3"/>
  </w:num>
  <w:num w:numId="10">
    <w:abstractNumId w:val="20"/>
  </w:num>
  <w:num w:numId="11">
    <w:abstractNumId w:val="7"/>
  </w:num>
  <w:num w:numId="12">
    <w:abstractNumId w:val="12"/>
  </w:num>
  <w:num w:numId="13">
    <w:abstractNumId w:val="2"/>
  </w:num>
  <w:num w:numId="14">
    <w:abstractNumId w:val="26"/>
  </w:num>
  <w:num w:numId="15">
    <w:abstractNumId w:val="15"/>
  </w:num>
  <w:num w:numId="16">
    <w:abstractNumId w:val="21"/>
  </w:num>
  <w:num w:numId="17">
    <w:abstractNumId w:val="11"/>
  </w:num>
  <w:num w:numId="18">
    <w:abstractNumId w:val="19"/>
  </w:num>
  <w:num w:numId="19">
    <w:abstractNumId w:val="23"/>
  </w:num>
  <w:num w:numId="20">
    <w:abstractNumId w:val="4"/>
  </w:num>
  <w:num w:numId="21">
    <w:abstractNumId w:val="17"/>
  </w:num>
  <w:num w:numId="22">
    <w:abstractNumId w:val="6"/>
  </w:num>
  <w:num w:numId="23">
    <w:abstractNumId w:val="25"/>
  </w:num>
  <w:num w:numId="24">
    <w:abstractNumId w:val="18"/>
  </w:num>
  <w:num w:numId="25">
    <w:abstractNumId w:val="5"/>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38"/>
    <w:rsid w:val="003D7CBA"/>
    <w:rsid w:val="00416986"/>
    <w:rsid w:val="0047530C"/>
    <w:rsid w:val="00645BBF"/>
    <w:rsid w:val="00647A25"/>
    <w:rsid w:val="00647ADE"/>
    <w:rsid w:val="00702038"/>
    <w:rsid w:val="00756AB1"/>
    <w:rsid w:val="00816B28"/>
    <w:rsid w:val="0085741D"/>
    <w:rsid w:val="00903423"/>
    <w:rsid w:val="00A562A6"/>
    <w:rsid w:val="00B776C4"/>
    <w:rsid w:val="00BB1BA6"/>
    <w:rsid w:val="00DE2B37"/>
    <w:rsid w:val="00E12E76"/>
    <w:rsid w:val="00E35157"/>
    <w:rsid w:val="00E6465D"/>
    <w:rsid w:val="00F101FE"/>
    <w:rsid w:val="00F16194"/>
    <w:rsid w:val="00FA77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76"/>
  </w:style>
  <w:style w:type="paragraph" w:styleId="Heading1">
    <w:name w:val="heading 1"/>
    <w:basedOn w:val="Normal"/>
    <w:next w:val="Normal"/>
    <w:link w:val="Heading1Char"/>
    <w:uiPriority w:val="9"/>
    <w:qFormat/>
    <w:rsid w:val="007020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646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02038"/>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038"/>
    <w:rPr>
      <w:rFonts w:ascii="Times New Roman" w:eastAsia="Times New Roman" w:hAnsi="Times New Roman" w:cs="Times New Roman"/>
      <w:b/>
      <w:bCs/>
      <w:kern w:val="0"/>
      <w:sz w:val="27"/>
      <w:szCs w:val="27"/>
      <w:lang w:val="en-US"/>
    </w:rPr>
  </w:style>
  <w:style w:type="character" w:styleId="Strong">
    <w:name w:val="Strong"/>
    <w:basedOn w:val="DefaultParagraphFont"/>
    <w:uiPriority w:val="22"/>
    <w:qFormat/>
    <w:rsid w:val="00702038"/>
    <w:rPr>
      <w:b/>
      <w:bCs/>
    </w:rPr>
  </w:style>
  <w:style w:type="paragraph" w:styleId="NormalWeb">
    <w:name w:val="Normal (Web)"/>
    <w:basedOn w:val="Normal"/>
    <w:uiPriority w:val="99"/>
    <w:unhideWhenUsed/>
    <w:rsid w:val="0070203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02038"/>
    <w:pPr>
      <w:ind w:left="720"/>
      <w:contextualSpacing/>
    </w:pPr>
  </w:style>
  <w:style w:type="character" w:customStyle="1" w:styleId="Heading1Char">
    <w:name w:val="Heading 1 Char"/>
    <w:basedOn w:val="DefaultParagraphFont"/>
    <w:link w:val="Heading1"/>
    <w:uiPriority w:val="9"/>
    <w:rsid w:val="007020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6465D"/>
    <w:rPr>
      <w:rFonts w:asciiTheme="majorHAnsi" w:eastAsiaTheme="majorEastAsia" w:hAnsiTheme="majorHAnsi" w:cstheme="majorBidi"/>
      <w:b/>
      <w:bCs/>
      <w:color w:val="4472C4" w:themeColor="accent1"/>
      <w:sz w:val="26"/>
      <w:szCs w:val="26"/>
    </w:rPr>
  </w:style>
  <w:style w:type="paragraph" w:styleId="HTMLPreformatted">
    <w:name w:val="HTML Preformatted"/>
    <w:basedOn w:val="Normal"/>
    <w:link w:val="HTMLPreformattedChar"/>
    <w:uiPriority w:val="99"/>
    <w:semiHidden/>
    <w:unhideWhenUsed/>
    <w:rsid w:val="00E6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E6465D"/>
    <w:rPr>
      <w:rFonts w:ascii="Courier New" w:eastAsia="Times New Roman" w:hAnsi="Courier New" w:cs="Courier New"/>
      <w:kern w:val="0"/>
      <w:sz w:val="20"/>
      <w:szCs w:val="20"/>
      <w:lang w:val="en-US"/>
    </w:rPr>
  </w:style>
  <w:style w:type="character" w:styleId="HTMLCode">
    <w:name w:val="HTML Code"/>
    <w:basedOn w:val="DefaultParagraphFont"/>
    <w:uiPriority w:val="99"/>
    <w:semiHidden/>
    <w:unhideWhenUsed/>
    <w:rsid w:val="00E6465D"/>
    <w:rPr>
      <w:rFonts w:ascii="Courier New" w:eastAsia="Times New Roman" w:hAnsi="Courier New" w:cs="Courier New"/>
      <w:sz w:val="20"/>
      <w:szCs w:val="20"/>
    </w:rPr>
  </w:style>
  <w:style w:type="character" w:customStyle="1" w:styleId="hljs-selector-attr">
    <w:name w:val="hljs-selector-attr"/>
    <w:basedOn w:val="DefaultParagraphFont"/>
    <w:rsid w:val="00E6465D"/>
  </w:style>
  <w:style w:type="character" w:customStyle="1" w:styleId="hljs-builtin">
    <w:name w:val="hljs-built_in"/>
    <w:basedOn w:val="DefaultParagraphFont"/>
    <w:rsid w:val="00E6465D"/>
  </w:style>
  <w:style w:type="character" w:customStyle="1" w:styleId="katex-mathml">
    <w:name w:val="katex-mathml"/>
    <w:basedOn w:val="DefaultParagraphFont"/>
    <w:rsid w:val="00E6465D"/>
  </w:style>
  <w:style w:type="character" w:customStyle="1" w:styleId="mord">
    <w:name w:val="mord"/>
    <w:basedOn w:val="DefaultParagraphFont"/>
    <w:rsid w:val="00E6465D"/>
  </w:style>
  <w:style w:type="character" w:customStyle="1" w:styleId="vlist-s">
    <w:name w:val="vlist-s"/>
    <w:basedOn w:val="DefaultParagraphFont"/>
    <w:rsid w:val="00E6465D"/>
  </w:style>
  <w:style w:type="character" w:customStyle="1" w:styleId="mrel">
    <w:name w:val="mrel"/>
    <w:basedOn w:val="DefaultParagraphFont"/>
    <w:rsid w:val="00E6465D"/>
  </w:style>
  <w:style w:type="character" w:customStyle="1" w:styleId="mbin">
    <w:name w:val="mbin"/>
    <w:basedOn w:val="DefaultParagraphFont"/>
    <w:rsid w:val="00E6465D"/>
  </w:style>
  <w:style w:type="table" w:styleId="TableGrid">
    <w:name w:val="Table Grid"/>
    <w:basedOn w:val="TableNormal"/>
    <w:uiPriority w:val="39"/>
    <w:rsid w:val="00E64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101FE"/>
    <w:rPr>
      <w:i/>
      <w:iCs/>
    </w:rPr>
  </w:style>
  <w:style w:type="character" w:styleId="Hyperlink">
    <w:name w:val="Hyperlink"/>
    <w:basedOn w:val="DefaultParagraphFont"/>
    <w:uiPriority w:val="99"/>
    <w:unhideWhenUsed/>
    <w:rsid w:val="00416986"/>
    <w:rPr>
      <w:color w:val="0000FF"/>
      <w:u w:val="single"/>
    </w:rPr>
  </w:style>
  <w:style w:type="paragraph" w:styleId="Header">
    <w:name w:val="header"/>
    <w:basedOn w:val="Normal"/>
    <w:link w:val="HeaderChar"/>
    <w:uiPriority w:val="99"/>
    <w:unhideWhenUsed/>
    <w:rsid w:val="00FA7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FD"/>
  </w:style>
  <w:style w:type="paragraph" w:styleId="Footer">
    <w:name w:val="footer"/>
    <w:basedOn w:val="Normal"/>
    <w:link w:val="FooterChar"/>
    <w:uiPriority w:val="99"/>
    <w:unhideWhenUsed/>
    <w:rsid w:val="00FA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76"/>
  </w:style>
  <w:style w:type="paragraph" w:styleId="Heading1">
    <w:name w:val="heading 1"/>
    <w:basedOn w:val="Normal"/>
    <w:next w:val="Normal"/>
    <w:link w:val="Heading1Char"/>
    <w:uiPriority w:val="9"/>
    <w:qFormat/>
    <w:rsid w:val="007020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646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02038"/>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038"/>
    <w:rPr>
      <w:rFonts w:ascii="Times New Roman" w:eastAsia="Times New Roman" w:hAnsi="Times New Roman" w:cs="Times New Roman"/>
      <w:b/>
      <w:bCs/>
      <w:kern w:val="0"/>
      <w:sz w:val="27"/>
      <w:szCs w:val="27"/>
      <w:lang w:val="en-US"/>
    </w:rPr>
  </w:style>
  <w:style w:type="character" w:styleId="Strong">
    <w:name w:val="Strong"/>
    <w:basedOn w:val="DefaultParagraphFont"/>
    <w:uiPriority w:val="22"/>
    <w:qFormat/>
    <w:rsid w:val="00702038"/>
    <w:rPr>
      <w:b/>
      <w:bCs/>
    </w:rPr>
  </w:style>
  <w:style w:type="paragraph" w:styleId="NormalWeb">
    <w:name w:val="Normal (Web)"/>
    <w:basedOn w:val="Normal"/>
    <w:uiPriority w:val="99"/>
    <w:unhideWhenUsed/>
    <w:rsid w:val="0070203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02038"/>
    <w:pPr>
      <w:ind w:left="720"/>
      <w:contextualSpacing/>
    </w:pPr>
  </w:style>
  <w:style w:type="character" w:customStyle="1" w:styleId="Heading1Char">
    <w:name w:val="Heading 1 Char"/>
    <w:basedOn w:val="DefaultParagraphFont"/>
    <w:link w:val="Heading1"/>
    <w:uiPriority w:val="9"/>
    <w:rsid w:val="007020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6465D"/>
    <w:rPr>
      <w:rFonts w:asciiTheme="majorHAnsi" w:eastAsiaTheme="majorEastAsia" w:hAnsiTheme="majorHAnsi" w:cstheme="majorBidi"/>
      <w:b/>
      <w:bCs/>
      <w:color w:val="4472C4" w:themeColor="accent1"/>
      <w:sz w:val="26"/>
      <w:szCs w:val="26"/>
    </w:rPr>
  </w:style>
  <w:style w:type="paragraph" w:styleId="HTMLPreformatted">
    <w:name w:val="HTML Preformatted"/>
    <w:basedOn w:val="Normal"/>
    <w:link w:val="HTMLPreformattedChar"/>
    <w:uiPriority w:val="99"/>
    <w:semiHidden/>
    <w:unhideWhenUsed/>
    <w:rsid w:val="00E6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E6465D"/>
    <w:rPr>
      <w:rFonts w:ascii="Courier New" w:eastAsia="Times New Roman" w:hAnsi="Courier New" w:cs="Courier New"/>
      <w:kern w:val="0"/>
      <w:sz w:val="20"/>
      <w:szCs w:val="20"/>
      <w:lang w:val="en-US"/>
    </w:rPr>
  </w:style>
  <w:style w:type="character" w:styleId="HTMLCode">
    <w:name w:val="HTML Code"/>
    <w:basedOn w:val="DefaultParagraphFont"/>
    <w:uiPriority w:val="99"/>
    <w:semiHidden/>
    <w:unhideWhenUsed/>
    <w:rsid w:val="00E6465D"/>
    <w:rPr>
      <w:rFonts w:ascii="Courier New" w:eastAsia="Times New Roman" w:hAnsi="Courier New" w:cs="Courier New"/>
      <w:sz w:val="20"/>
      <w:szCs w:val="20"/>
    </w:rPr>
  </w:style>
  <w:style w:type="character" w:customStyle="1" w:styleId="hljs-selector-attr">
    <w:name w:val="hljs-selector-attr"/>
    <w:basedOn w:val="DefaultParagraphFont"/>
    <w:rsid w:val="00E6465D"/>
  </w:style>
  <w:style w:type="character" w:customStyle="1" w:styleId="hljs-builtin">
    <w:name w:val="hljs-built_in"/>
    <w:basedOn w:val="DefaultParagraphFont"/>
    <w:rsid w:val="00E6465D"/>
  </w:style>
  <w:style w:type="character" w:customStyle="1" w:styleId="katex-mathml">
    <w:name w:val="katex-mathml"/>
    <w:basedOn w:val="DefaultParagraphFont"/>
    <w:rsid w:val="00E6465D"/>
  </w:style>
  <w:style w:type="character" w:customStyle="1" w:styleId="mord">
    <w:name w:val="mord"/>
    <w:basedOn w:val="DefaultParagraphFont"/>
    <w:rsid w:val="00E6465D"/>
  </w:style>
  <w:style w:type="character" w:customStyle="1" w:styleId="vlist-s">
    <w:name w:val="vlist-s"/>
    <w:basedOn w:val="DefaultParagraphFont"/>
    <w:rsid w:val="00E6465D"/>
  </w:style>
  <w:style w:type="character" w:customStyle="1" w:styleId="mrel">
    <w:name w:val="mrel"/>
    <w:basedOn w:val="DefaultParagraphFont"/>
    <w:rsid w:val="00E6465D"/>
  </w:style>
  <w:style w:type="character" w:customStyle="1" w:styleId="mbin">
    <w:name w:val="mbin"/>
    <w:basedOn w:val="DefaultParagraphFont"/>
    <w:rsid w:val="00E6465D"/>
  </w:style>
  <w:style w:type="table" w:styleId="TableGrid">
    <w:name w:val="Table Grid"/>
    <w:basedOn w:val="TableNormal"/>
    <w:uiPriority w:val="39"/>
    <w:rsid w:val="00E64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101FE"/>
    <w:rPr>
      <w:i/>
      <w:iCs/>
    </w:rPr>
  </w:style>
  <w:style w:type="character" w:styleId="Hyperlink">
    <w:name w:val="Hyperlink"/>
    <w:basedOn w:val="DefaultParagraphFont"/>
    <w:uiPriority w:val="99"/>
    <w:unhideWhenUsed/>
    <w:rsid w:val="00416986"/>
    <w:rPr>
      <w:color w:val="0000FF"/>
      <w:u w:val="single"/>
    </w:rPr>
  </w:style>
  <w:style w:type="paragraph" w:styleId="Header">
    <w:name w:val="header"/>
    <w:basedOn w:val="Normal"/>
    <w:link w:val="HeaderChar"/>
    <w:uiPriority w:val="99"/>
    <w:unhideWhenUsed/>
    <w:rsid w:val="00FA7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FD"/>
  </w:style>
  <w:style w:type="paragraph" w:styleId="Footer">
    <w:name w:val="footer"/>
    <w:basedOn w:val="Normal"/>
    <w:link w:val="FooterChar"/>
    <w:uiPriority w:val="99"/>
    <w:unhideWhenUsed/>
    <w:rsid w:val="00FA7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454">
      <w:bodyDiv w:val="1"/>
      <w:marLeft w:val="0"/>
      <w:marRight w:val="0"/>
      <w:marTop w:val="0"/>
      <w:marBottom w:val="0"/>
      <w:divBdr>
        <w:top w:val="none" w:sz="0" w:space="0" w:color="auto"/>
        <w:left w:val="none" w:sz="0" w:space="0" w:color="auto"/>
        <w:bottom w:val="none" w:sz="0" w:space="0" w:color="auto"/>
        <w:right w:val="none" w:sz="0" w:space="0" w:color="auto"/>
      </w:divBdr>
    </w:div>
    <w:div w:id="227375726">
      <w:bodyDiv w:val="1"/>
      <w:marLeft w:val="0"/>
      <w:marRight w:val="0"/>
      <w:marTop w:val="0"/>
      <w:marBottom w:val="0"/>
      <w:divBdr>
        <w:top w:val="none" w:sz="0" w:space="0" w:color="auto"/>
        <w:left w:val="none" w:sz="0" w:space="0" w:color="auto"/>
        <w:bottom w:val="none" w:sz="0" w:space="0" w:color="auto"/>
        <w:right w:val="none" w:sz="0" w:space="0" w:color="auto"/>
      </w:divBdr>
    </w:div>
    <w:div w:id="241526408">
      <w:bodyDiv w:val="1"/>
      <w:marLeft w:val="0"/>
      <w:marRight w:val="0"/>
      <w:marTop w:val="0"/>
      <w:marBottom w:val="0"/>
      <w:divBdr>
        <w:top w:val="none" w:sz="0" w:space="0" w:color="auto"/>
        <w:left w:val="none" w:sz="0" w:space="0" w:color="auto"/>
        <w:bottom w:val="none" w:sz="0" w:space="0" w:color="auto"/>
        <w:right w:val="none" w:sz="0" w:space="0" w:color="auto"/>
      </w:divBdr>
      <w:divsChild>
        <w:div w:id="1867477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258322">
          <w:marLeft w:val="0"/>
          <w:marRight w:val="0"/>
          <w:marTop w:val="0"/>
          <w:marBottom w:val="0"/>
          <w:divBdr>
            <w:top w:val="none" w:sz="0" w:space="0" w:color="auto"/>
            <w:left w:val="none" w:sz="0" w:space="0" w:color="auto"/>
            <w:bottom w:val="none" w:sz="0" w:space="0" w:color="auto"/>
            <w:right w:val="none" w:sz="0" w:space="0" w:color="auto"/>
          </w:divBdr>
          <w:divsChild>
            <w:div w:id="1251501122">
              <w:marLeft w:val="0"/>
              <w:marRight w:val="0"/>
              <w:marTop w:val="0"/>
              <w:marBottom w:val="0"/>
              <w:divBdr>
                <w:top w:val="none" w:sz="0" w:space="0" w:color="auto"/>
                <w:left w:val="none" w:sz="0" w:space="0" w:color="auto"/>
                <w:bottom w:val="none" w:sz="0" w:space="0" w:color="auto"/>
                <w:right w:val="none" w:sz="0" w:space="0" w:color="auto"/>
              </w:divBdr>
            </w:div>
          </w:divsChild>
        </w:div>
        <w:div w:id="107211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31980">
      <w:bodyDiv w:val="1"/>
      <w:marLeft w:val="0"/>
      <w:marRight w:val="0"/>
      <w:marTop w:val="0"/>
      <w:marBottom w:val="0"/>
      <w:divBdr>
        <w:top w:val="none" w:sz="0" w:space="0" w:color="auto"/>
        <w:left w:val="none" w:sz="0" w:space="0" w:color="auto"/>
        <w:bottom w:val="none" w:sz="0" w:space="0" w:color="auto"/>
        <w:right w:val="none" w:sz="0" w:space="0" w:color="auto"/>
      </w:divBdr>
    </w:div>
    <w:div w:id="1316180003">
      <w:bodyDiv w:val="1"/>
      <w:marLeft w:val="0"/>
      <w:marRight w:val="0"/>
      <w:marTop w:val="0"/>
      <w:marBottom w:val="0"/>
      <w:divBdr>
        <w:top w:val="none" w:sz="0" w:space="0" w:color="auto"/>
        <w:left w:val="none" w:sz="0" w:space="0" w:color="auto"/>
        <w:bottom w:val="none" w:sz="0" w:space="0" w:color="auto"/>
        <w:right w:val="none" w:sz="0" w:space="0" w:color="auto"/>
      </w:divBdr>
    </w:div>
    <w:div w:id="1331640761">
      <w:bodyDiv w:val="1"/>
      <w:marLeft w:val="0"/>
      <w:marRight w:val="0"/>
      <w:marTop w:val="0"/>
      <w:marBottom w:val="0"/>
      <w:divBdr>
        <w:top w:val="none" w:sz="0" w:space="0" w:color="auto"/>
        <w:left w:val="none" w:sz="0" w:space="0" w:color="auto"/>
        <w:bottom w:val="none" w:sz="0" w:space="0" w:color="auto"/>
        <w:right w:val="none" w:sz="0" w:space="0" w:color="auto"/>
      </w:divBdr>
    </w:div>
    <w:div w:id="1391805047">
      <w:bodyDiv w:val="1"/>
      <w:marLeft w:val="0"/>
      <w:marRight w:val="0"/>
      <w:marTop w:val="0"/>
      <w:marBottom w:val="0"/>
      <w:divBdr>
        <w:top w:val="none" w:sz="0" w:space="0" w:color="auto"/>
        <w:left w:val="none" w:sz="0" w:space="0" w:color="auto"/>
        <w:bottom w:val="none" w:sz="0" w:space="0" w:color="auto"/>
        <w:right w:val="none" w:sz="0" w:space="0" w:color="auto"/>
      </w:divBdr>
      <w:divsChild>
        <w:div w:id="27363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38508">
          <w:marLeft w:val="0"/>
          <w:marRight w:val="0"/>
          <w:marTop w:val="0"/>
          <w:marBottom w:val="0"/>
          <w:divBdr>
            <w:top w:val="none" w:sz="0" w:space="0" w:color="auto"/>
            <w:left w:val="none" w:sz="0" w:space="0" w:color="auto"/>
            <w:bottom w:val="none" w:sz="0" w:space="0" w:color="auto"/>
            <w:right w:val="none" w:sz="0" w:space="0" w:color="auto"/>
          </w:divBdr>
          <w:divsChild>
            <w:div w:id="1336882662">
              <w:marLeft w:val="0"/>
              <w:marRight w:val="0"/>
              <w:marTop w:val="0"/>
              <w:marBottom w:val="0"/>
              <w:divBdr>
                <w:top w:val="none" w:sz="0" w:space="0" w:color="auto"/>
                <w:left w:val="none" w:sz="0" w:space="0" w:color="auto"/>
                <w:bottom w:val="none" w:sz="0" w:space="0" w:color="auto"/>
                <w:right w:val="none" w:sz="0" w:space="0" w:color="auto"/>
              </w:divBdr>
            </w:div>
          </w:divsChild>
        </w:div>
        <w:div w:id="1908488652">
          <w:marLeft w:val="0"/>
          <w:marRight w:val="0"/>
          <w:marTop w:val="0"/>
          <w:marBottom w:val="0"/>
          <w:divBdr>
            <w:top w:val="none" w:sz="0" w:space="0" w:color="auto"/>
            <w:left w:val="none" w:sz="0" w:space="0" w:color="auto"/>
            <w:bottom w:val="none" w:sz="0" w:space="0" w:color="auto"/>
            <w:right w:val="none" w:sz="0" w:space="0" w:color="auto"/>
          </w:divBdr>
          <w:divsChild>
            <w:div w:id="1710951618">
              <w:marLeft w:val="0"/>
              <w:marRight w:val="0"/>
              <w:marTop w:val="0"/>
              <w:marBottom w:val="0"/>
              <w:divBdr>
                <w:top w:val="none" w:sz="0" w:space="0" w:color="auto"/>
                <w:left w:val="none" w:sz="0" w:space="0" w:color="auto"/>
                <w:bottom w:val="none" w:sz="0" w:space="0" w:color="auto"/>
                <w:right w:val="none" w:sz="0" w:space="0" w:color="auto"/>
              </w:divBdr>
            </w:div>
          </w:divsChild>
        </w:div>
        <w:div w:id="350230344">
          <w:marLeft w:val="0"/>
          <w:marRight w:val="0"/>
          <w:marTop w:val="0"/>
          <w:marBottom w:val="0"/>
          <w:divBdr>
            <w:top w:val="none" w:sz="0" w:space="0" w:color="auto"/>
            <w:left w:val="none" w:sz="0" w:space="0" w:color="auto"/>
            <w:bottom w:val="none" w:sz="0" w:space="0" w:color="auto"/>
            <w:right w:val="none" w:sz="0" w:space="0" w:color="auto"/>
          </w:divBdr>
          <w:divsChild>
            <w:div w:id="1290821295">
              <w:marLeft w:val="0"/>
              <w:marRight w:val="0"/>
              <w:marTop w:val="0"/>
              <w:marBottom w:val="0"/>
              <w:divBdr>
                <w:top w:val="none" w:sz="0" w:space="0" w:color="auto"/>
                <w:left w:val="none" w:sz="0" w:space="0" w:color="auto"/>
                <w:bottom w:val="none" w:sz="0" w:space="0" w:color="auto"/>
                <w:right w:val="none" w:sz="0" w:space="0" w:color="auto"/>
              </w:divBdr>
            </w:div>
          </w:divsChild>
        </w:div>
        <w:div w:id="2109034170">
          <w:marLeft w:val="0"/>
          <w:marRight w:val="0"/>
          <w:marTop w:val="0"/>
          <w:marBottom w:val="0"/>
          <w:divBdr>
            <w:top w:val="none" w:sz="0" w:space="0" w:color="auto"/>
            <w:left w:val="none" w:sz="0" w:space="0" w:color="auto"/>
            <w:bottom w:val="none" w:sz="0" w:space="0" w:color="auto"/>
            <w:right w:val="none" w:sz="0" w:space="0" w:color="auto"/>
          </w:divBdr>
          <w:divsChild>
            <w:div w:id="511844928">
              <w:marLeft w:val="0"/>
              <w:marRight w:val="0"/>
              <w:marTop w:val="0"/>
              <w:marBottom w:val="0"/>
              <w:divBdr>
                <w:top w:val="none" w:sz="0" w:space="0" w:color="auto"/>
                <w:left w:val="none" w:sz="0" w:space="0" w:color="auto"/>
                <w:bottom w:val="none" w:sz="0" w:space="0" w:color="auto"/>
                <w:right w:val="none" w:sz="0" w:space="0" w:color="auto"/>
              </w:divBdr>
            </w:div>
          </w:divsChild>
        </w:div>
        <w:div w:id="1843740373">
          <w:marLeft w:val="0"/>
          <w:marRight w:val="0"/>
          <w:marTop w:val="0"/>
          <w:marBottom w:val="0"/>
          <w:divBdr>
            <w:top w:val="none" w:sz="0" w:space="0" w:color="auto"/>
            <w:left w:val="none" w:sz="0" w:space="0" w:color="auto"/>
            <w:bottom w:val="none" w:sz="0" w:space="0" w:color="auto"/>
            <w:right w:val="none" w:sz="0" w:space="0" w:color="auto"/>
          </w:divBdr>
          <w:divsChild>
            <w:div w:id="12722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sChild>
        <w:div w:id="678313325">
          <w:marLeft w:val="0"/>
          <w:marRight w:val="0"/>
          <w:marTop w:val="0"/>
          <w:marBottom w:val="0"/>
          <w:divBdr>
            <w:top w:val="none" w:sz="0" w:space="0" w:color="auto"/>
            <w:left w:val="none" w:sz="0" w:space="0" w:color="auto"/>
            <w:bottom w:val="none" w:sz="0" w:space="0" w:color="auto"/>
            <w:right w:val="none" w:sz="0" w:space="0" w:color="auto"/>
          </w:divBdr>
          <w:divsChild>
            <w:div w:id="1664159552">
              <w:marLeft w:val="0"/>
              <w:marRight w:val="0"/>
              <w:marTop w:val="0"/>
              <w:marBottom w:val="0"/>
              <w:divBdr>
                <w:top w:val="none" w:sz="0" w:space="0" w:color="auto"/>
                <w:left w:val="none" w:sz="0" w:space="0" w:color="auto"/>
                <w:bottom w:val="none" w:sz="0" w:space="0" w:color="auto"/>
                <w:right w:val="none" w:sz="0" w:space="0" w:color="auto"/>
              </w:divBdr>
            </w:div>
          </w:divsChild>
        </w:div>
        <w:div w:id="65372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5431">
          <w:marLeft w:val="0"/>
          <w:marRight w:val="0"/>
          <w:marTop w:val="0"/>
          <w:marBottom w:val="0"/>
          <w:divBdr>
            <w:top w:val="none" w:sz="0" w:space="0" w:color="auto"/>
            <w:left w:val="none" w:sz="0" w:space="0" w:color="auto"/>
            <w:bottom w:val="none" w:sz="0" w:space="0" w:color="auto"/>
            <w:right w:val="none" w:sz="0" w:space="0" w:color="auto"/>
          </w:divBdr>
          <w:divsChild>
            <w:div w:id="2064672437">
              <w:marLeft w:val="0"/>
              <w:marRight w:val="0"/>
              <w:marTop w:val="0"/>
              <w:marBottom w:val="0"/>
              <w:divBdr>
                <w:top w:val="none" w:sz="0" w:space="0" w:color="auto"/>
                <w:left w:val="none" w:sz="0" w:space="0" w:color="auto"/>
                <w:bottom w:val="none" w:sz="0" w:space="0" w:color="auto"/>
                <w:right w:val="none" w:sz="0" w:space="0" w:color="auto"/>
              </w:divBdr>
            </w:div>
          </w:divsChild>
        </w:div>
        <w:div w:id="131676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823146">
      <w:bodyDiv w:val="1"/>
      <w:marLeft w:val="0"/>
      <w:marRight w:val="0"/>
      <w:marTop w:val="0"/>
      <w:marBottom w:val="0"/>
      <w:divBdr>
        <w:top w:val="none" w:sz="0" w:space="0" w:color="auto"/>
        <w:left w:val="none" w:sz="0" w:space="0" w:color="auto"/>
        <w:bottom w:val="none" w:sz="0" w:space="0" w:color="auto"/>
        <w:right w:val="none" w:sz="0" w:space="0" w:color="auto"/>
      </w:divBdr>
      <w:divsChild>
        <w:div w:id="768164794">
          <w:marLeft w:val="0"/>
          <w:marRight w:val="0"/>
          <w:marTop w:val="0"/>
          <w:marBottom w:val="0"/>
          <w:divBdr>
            <w:top w:val="none" w:sz="0" w:space="0" w:color="auto"/>
            <w:left w:val="none" w:sz="0" w:space="0" w:color="auto"/>
            <w:bottom w:val="none" w:sz="0" w:space="0" w:color="auto"/>
            <w:right w:val="none" w:sz="0" w:space="0" w:color="auto"/>
          </w:divBdr>
          <w:divsChild>
            <w:div w:id="287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31666">
      <w:bodyDiv w:val="1"/>
      <w:marLeft w:val="0"/>
      <w:marRight w:val="0"/>
      <w:marTop w:val="0"/>
      <w:marBottom w:val="0"/>
      <w:divBdr>
        <w:top w:val="none" w:sz="0" w:space="0" w:color="auto"/>
        <w:left w:val="none" w:sz="0" w:space="0" w:color="auto"/>
        <w:bottom w:val="none" w:sz="0" w:space="0" w:color="auto"/>
        <w:right w:val="none" w:sz="0" w:space="0" w:color="auto"/>
      </w:divBdr>
    </w:div>
    <w:div w:id="21123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4334</Words>
  <Characters>24708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Smriti Barman</cp:lastModifiedBy>
  <cp:revision>2</cp:revision>
  <dcterms:created xsi:type="dcterms:W3CDTF">2026-02-17T16:20:00Z</dcterms:created>
  <dcterms:modified xsi:type="dcterms:W3CDTF">2026-02-17T16:20:00Z</dcterms:modified>
</cp:coreProperties>
</file>