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A7964">
      <w:pPr>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rPr>
        <w:t>Mobile Network Operator Choice in Public Digital Payment Systems:</w:t>
      </w:r>
    </w:p>
    <w:p w14:paraId="71878DC2">
      <w:pPr>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rPr>
        <w:t>An Empirical Study of Tanzania's Telecommunication Sector</w:t>
      </w:r>
    </w:p>
    <w:p w14:paraId="70715876">
      <w:pPr>
        <w:rPr>
          <w:rFonts w:hint="default" w:ascii="Times New Roman" w:hAnsi="Times New Roman" w:cs="Times New Roman"/>
          <w:sz w:val="24"/>
          <w:szCs w:val="24"/>
        </w:rPr>
      </w:pPr>
    </w:p>
    <w:p w14:paraId="689C0F1F">
      <w:pPr>
        <w:jc w:val="left"/>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Abstract</w:t>
      </w:r>
    </w:p>
    <w:p w14:paraId="3DC1B5C7">
      <w:pPr>
        <w:pStyle w:val="9"/>
        <w:keepNext w:val="0"/>
        <w:keepLines w:val="0"/>
        <w:widowControl/>
        <w:suppressLineNumbers w:val="0"/>
        <w:jc w:val="both"/>
        <w:rPr>
          <w:rFonts w:hint="default" w:ascii="Times New Roman" w:hAnsi="Times New Roman" w:cs="Times New Roman"/>
          <w:b/>
          <w:bCs/>
          <w:sz w:val="28"/>
          <w:szCs w:val="28"/>
          <w:lang w:val="en-US"/>
        </w:rPr>
      </w:pPr>
      <w:r>
        <w:t>The expansion of digital technologies has reshaped the delivery of financial services across many developing countries. In Tanzania, mobile network operators have become central to the operation of public digital payment systems, enabling citizens to settle government-related payments through mobile platforms. Although several operators provide similar services, users often show clear preferences when selecting a network for conducting digital transactions. Understanding the factors that shape these choices is essential for improving the effectiveness of digital payment systems.</w:t>
      </w:r>
      <w:r>
        <w:rPr>
          <w:rFonts w:hint="default"/>
          <w:lang w:val="en-US"/>
        </w:rPr>
        <w:t xml:space="preserve"> </w:t>
      </w:r>
      <w:r>
        <w:t>This study investigates the determinants influencing the selection of mobile network operators in public digital payment services within Tanzania’s telecommunications sector. A quantitative research design was adopted, and primary data were collected through structured questionnaires administered to 182 users of mobile payment services in Dar es Salaam. The collected data were analysed using descriptive statistics, correlation analysis, and multiple regression techniques to examine the relationships among the study variables.</w:t>
      </w:r>
      <w:r>
        <w:rPr>
          <w:rFonts w:hint="default"/>
          <w:lang w:val="en-US"/>
        </w:rPr>
        <w:t xml:space="preserve"> </w:t>
      </w:r>
      <w:r>
        <w:t>The results indicate that network reliability, service accessibility, and overall service quality play an important role in shaping users’ preferences for particular mobile network operators. In contrast, higher transaction charges tend to discourage users from relying on certain platforms. Reliability and validity tests confirmed that the measurement instruments used in the study were appropriate and produced consistent results.</w:t>
      </w:r>
      <w:r>
        <w:rPr>
          <w:rFonts w:hint="default"/>
          <w:lang w:val="en-US"/>
        </w:rPr>
        <w:t xml:space="preserve"> </w:t>
      </w:r>
      <w:r>
        <w:t>Overall, the findings underscore the importance of stable network infrastructure, convenient service availability, and efficient customer support in strengthening public digital payment systems. The study contributes to the growing body of knowledge on digital financial services and offers practical insights for policymakers and telecommunications providers seeking to enhance the performance and user experience of mobile-based payment platforms in Tanzania.</w:t>
      </w:r>
    </w:p>
    <w:p w14:paraId="18F11DFC">
      <w:pPr>
        <w:jc w:val="both"/>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lang w:val="en-US"/>
        </w:rPr>
        <w:t xml:space="preserve">Keywords: </w:t>
      </w:r>
      <w:r>
        <w:rPr>
          <w:rFonts w:hint="default" w:ascii="Times New Roman" w:hAnsi="Times New Roman" w:cs="Times New Roman"/>
          <w:b w:val="0"/>
          <w:bCs w:val="0"/>
          <w:sz w:val="24"/>
          <w:szCs w:val="24"/>
          <w:lang w:val="en-US"/>
        </w:rPr>
        <w:t>Mobile Network Operators, Digital Payment Systems, Telecommunications Sector, Service Quality, Tanzania.</w:t>
      </w:r>
    </w:p>
    <w:p w14:paraId="550D11A1">
      <w:pPr>
        <w:jc w:val="both"/>
        <w:rPr>
          <w:rFonts w:hint="default" w:ascii="Times New Roman" w:hAnsi="Times New Roman" w:cs="Times New Roman"/>
          <w:b w:val="0"/>
          <w:bCs w:val="0"/>
          <w:sz w:val="24"/>
          <w:szCs w:val="24"/>
          <w:lang w:val="en-US"/>
        </w:rPr>
      </w:pPr>
    </w:p>
    <w:p w14:paraId="7AB90A55">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Introduction</w:t>
      </w:r>
    </w:p>
    <w:p w14:paraId="7E3AF669">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Digital transformation has fundamentally reshaped the global financial landscape, particularly in developing economies where technological innovations have expanded access to financial services. In many regions, mobile technologies have enabled individuals to perform financial transactions conveniently without relying on traditional banking infrastructure. The increasing integration of mobile technology into financial systems has contributed significantly to financial inclusion by providing accessible and affordable financial services to populations that were previously underserved (Ozili, 2021; Suri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Jack, 20</w:t>
      </w:r>
      <w:r>
        <w:rPr>
          <w:rFonts w:hint="default" w:ascii="Times New Roman" w:hAnsi="Times New Roman" w:cs="Times New Roman"/>
          <w:b w:val="0"/>
          <w:bCs w:val="0"/>
          <w:sz w:val="24"/>
          <w:szCs w:val="24"/>
          <w:lang w:val="en-US"/>
        </w:rPr>
        <w:t>16</w:t>
      </w:r>
      <w:r>
        <w:rPr>
          <w:rFonts w:hint="default" w:ascii="Times New Roman" w:hAnsi="Times New Roman" w:cs="Times New Roman"/>
          <w:b w:val="0"/>
          <w:bCs w:val="0"/>
          <w:sz w:val="24"/>
          <w:szCs w:val="24"/>
        </w:rPr>
        <w:t>).</w:t>
      </w:r>
    </w:p>
    <w:p w14:paraId="56E585E6">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Across Sub-Saharan Africa, mobile money services have become a critical component of digital financial ecosystems. These services allow individuals to send and receive money, pay for goods and services, and manage financial resources using mobile devices. Mobile network operators have played a central role in this transformation by leveraging their telecommunications infrastructure to deliver digital financial services through mobile platforms (Donovan, 20</w:t>
      </w:r>
      <w:r>
        <w:rPr>
          <w:rFonts w:hint="default" w:ascii="Times New Roman" w:hAnsi="Times New Roman" w:cs="Times New Roman"/>
          <w:b w:val="0"/>
          <w:bCs w:val="0"/>
          <w:sz w:val="24"/>
          <w:szCs w:val="24"/>
          <w:lang w:val="en-US"/>
        </w:rPr>
        <w:t>12</w:t>
      </w:r>
      <w:r>
        <w:rPr>
          <w:rFonts w:hint="default" w:ascii="Times New Roman" w:hAnsi="Times New Roman" w:cs="Times New Roman"/>
          <w:b w:val="0"/>
          <w:bCs w:val="0"/>
          <w:sz w:val="24"/>
          <w:szCs w:val="24"/>
        </w:rPr>
        <w:t>; GSMA, 2023). As a result, mobile money has become one of the most widely adopted financial technologies in the region.</w:t>
      </w:r>
    </w:p>
    <w:p w14:paraId="56044A60">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Tanzania is widely recognized as one of the leading countries in Africa in terms of mobile money adoption and digital payment innovation. Over the past decade, the country has witnessed substantial growth in the use of mobile financial services. The expansion of mobile money platforms has been supported by increasing mobile phone penetration, improved telecommunications infrastructure, and supportive regulatory frameworks (Bank of Tanzania, 2023). Recent statistics indicate that the number of active mobile money users in Tanzania has grown rapidly, reflecting the growing reliance on digital financial services for everyday transactions. For instance, mobile money subscriptions increased significantly in recent years, exceeding 60 million accounts and facilitating billions of transactions annually, highlighting the growing importance of mobile-based financial services in the country’s economy .</w:t>
      </w:r>
    </w:p>
    <w:p w14:paraId="151F4BBF">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rapid development of mobile payment systems has also transformed how individuals interact with public services. Governments across the world are increasingly adopting digital payment platforms to improve efficiency in public financial management and enhance transparency in revenue collection (World Bank, 2022). In Tanzania, public institutions have introduced electronic payment systems that allow citizens to settle various government-related payments through digital platforms. These include payments for utilities such as electricity and water, as well as taxes, licensing fees, and other government services.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Mobile payment platforms have become an essential channel through which these public transactions are conducted. The integration of mobile money systems into public service delivery has simplified payment processes, reduced administrative costs, and minimized the risks associated with handling physical cash (Klapper </w:t>
      </w:r>
      <w:r>
        <w:rPr>
          <w:rFonts w:hint="default" w:ascii="Times New Roman" w:hAnsi="Times New Roman" w:cs="Times New Roman"/>
          <w:b w:val="0"/>
          <w:bCs w:val="0"/>
          <w:sz w:val="24"/>
          <w:szCs w:val="24"/>
          <w:lang w:val="en-US"/>
        </w:rPr>
        <w:t xml:space="preserve">and </w:t>
      </w:r>
      <w:r>
        <w:rPr>
          <w:rFonts w:hint="default" w:ascii="Times New Roman" w:hAnsi="Times New Roman" w:cs="Times New Roman"/>
          <w:b w:val="0"/>
          <w:bCs w:val="0"/>
          <w:sz w:val="24"/>
          <w:szCs w:val="24"/>
        </w:rPr>
        <w:t>Singer, 20</w:t>
      </w:r>
      <w:r>
        <w:rPr>
          <w:rFonts w:hint="default" w:ascii="Times New Roman" w:hAnsi="Times New Roman" w:cs="Times New Roman"/>
          <w:b w:val="0"/>
          <w:bCs w:val="0"/>
          <w:sz w:val="24"/>
          <w:szCs w:val="24"/>
          <w:lang w:val="en-US"/>
        </w:rPr>
        <w:t>17</w:t>
      </w:r>
      <w:r>
        <w:rPr>
          <w:rFonts w:hint="default" w:ascii="Times New Roman" w:hAnsi="Times New Roman" w:cs="Times New Roman"/>
          <w:b w:val="0"/>
          <w:bCs w:val="0"/>
          <w:sz w:val="24"/>
          <w:szCs w:val="24"/>
        </w:rPr>
        <w:t>). The expansion of digital payment platforms has also contributed to broader financial inclusion by enabling individuals who do not have access to formal banking services to participate in the digital economy.</w:t>
      </w:r>
    </w:p>
    <w:p w14:paraId="721A0945">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Despite the widespread availability of mobile payment services in Tanzania, users often show preferences for specific mobile network operators when conducting digital transactions. The telecommunications sector in Tanzania is characterized by strong competition among mobile network operators that offer mobile money services. Major providers such as Vodacom, Airtel, and Yas (formerly Tigo) compete to attract users by offering innovative services, competitive pricing, and improved network coverage (Tanzania Communications Regulatory Authority, 2024). This competitive environment has encouraged continuous improvements in digital financial service delivery.</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Several factors may influence the choice of mobile network operators for digital payment transactions. Network reliability is one of the most important considerations because successful financial transactions depend heavily on stable telecommunications infrastructure. Users are more likely to rely on mobile payment services when they are confident that transactions will be processed quickly and without technical interruptions (Adewusi et al., 2025). Similarly, the accessibility of services, including network coverage and the availability of mobile money agents, plays a significant role in shaping users’ preferences.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Transaction costs also influence user decisions when selecting mobile payment platforms. Service charges associated with mobile money transfers, withdrawals, and other financial transactions may affect how frequently users rely on certain service providers. Research has shown that affordability is a key determinant of digital financial service adoption, particularly in low- and middle-income countries where users are sensitive to transaction fees (Evans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Pirchio, 2020).</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In addition, service quality is an important factor influencing user satisfaction and continued usage of mobile payment platforms. Efficient customer support, secure transaction systems, and user-friendly service interfaces contribute to positive user experiences and encourage long-term adoption of digital financial services (Rwechungura, 2025). When users perceive that a mobile network operator provides reliable and efficient services, they are more likely to continue using that operator for financial transactions.</w:t>
      </w:r>
    </w:p>
    <w:p w14:paraId="1AED6FBF">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Although existing studies have examined the adoption and usage of mobile money services in developing countries, relatively limited attention has been given to the factors influencing the choice of mobile network operators in the context of public digital payment systems. Many previous studies have focused on mobile money adoption in general rather than examining the specific determinants that shape user preferences for particular network providers.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As digital financial ecosystems continue to evolve, understanding the factors that influence users’ selection of mobile network operators has become increasingly important. Such insights can help policymakers design more effective digital payment policies while enabling telecommunication companies to improve service delivery and enhance user satisfaction.</w:t>
      </w:r>
    </w:p>
    <w:p w14:paraId="126D120C">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This study therefore investigates the factors influencing the choice of mobile network operators in public digital payment systems in Tanzania’s telecommunications sector. By examining key determinants such as network reliability, transaction costs, service accessibility, and service quality, the study aims to provide empirical evidence that contributes to the understanding of user behavior in digital financial services. The findings are expected to offer valuable insights for policymakers, regulators, and telecommunications companies seeking to strengthen digital payment systems and promote efficient service delivery.</w:t>
      </w:r>
    </w:p>
    <w:p w14:paraId="14DD7FC3">
      <w:pPr>
        <w:pStyle w:val="9"/>
        <w:keepNext w:val="0"/>
        <w:keepLines w:val="0"/>
        <w:widowControl/>
        <w:suppressLineNumbers w:val="0"/>
        <w:jc w:val="both"/>
        <w:rPr>
          <w:rFonts w:hint="default" w:cs="Times New Roman"/>
          <w:b/>
          <w:bCs/>
          <w:sz w:val="28"/>
          <w:szCs w:val="28"/>
          <w:lang w:val="en-US"/>
        </w:rPr>
      </w:pPr>
      <w:r>
        <w:rPr>
          <w:rFonts w:hint="default" w:cs="Times New Roman"/>
          <w:b/>
          <w:bCs/>
          <w:sz w:val="28"/>
          <w:szCs w:val="28"/>
          <w:lang w:val="en-US"/>
        </w:rPr>
        <w:t>Literature Review</w:t>
      </w:r>
    </w:p>
    <w:p w14:paraId="30B80456">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Digital Payment Systems and Mobile Network Operators</w:t>
      </w:r>
    </w:p>
    <w:p w14:paraId="479FC827">
      <w:pPr>
        <w:pStyle w:val="9"/>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Digital payment systems have emerged as an essential component of modern financial infrastructure, enabling individuals and organizations to conduct financial transactions electronically without the use of physical cash. These systems rely on digital platforms such as mobile applications, internet banking interfaces, and electronic payment cards to facilitate the transfer of funds between parties. The expansion of digital payment technologies has significantly improved efficiency, transparency, and convenience in financial transactions across many economies (World Bank, 2022; Ozili, 2018).</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The rapid diffusion of mobile technology has further accelerated the development of digital payment ecosystems, particularly in developing countries where traditional banking services are often limited. Mobile payment platforms allow users to store money in digital wallets and perform financial transactions using mobile phones. Such innovations have played an important role in expanding financial inclusion by providing financial services to individuals who previously lacked access to formal banking institutions (Suri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Jack, 2016; Demirgüç-Kunt et al., 2022).</w:t>
      </w:r>
    </w:p>
    <w:p w14:paraId="6D00FFFE">
      <w:pPr>
        <w:pStyle w:val="9"/>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many African countries, mobile network operators have become key actors in the delivery of digital financial services. Through mobile money platforms, telecommunications companies provide services that allow users to transfer funds, pay bills, purchase goods, and conduct other financial activities using mobile devices. These services have gained widespread acceptance because they provide convenient, affordable, and accessible financial solutions (Donovan, 2015; GSMA, 2023).</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Tanzania represents one of the leading examples of successful mobile money implementation in Sub-Saharan Africa. Over the past decade, the country has experienced significant growth in mobile financial services supported by expanding mobile phone penetration and technological innovation. Mobile network operators such as Vodacom, Airtel, and Yas (formerly Tigo) have developed mobile money platforms that integrate telecommunications infrastructure with financial services. This integration has enabled millions of individuals to participate in the digital financial system (Bank of Tanzania, 2023; Tanzania Communications Regulatory Authority, 2024).</w:t>
      </w:r>
    </w:p>
    <w:p w14:paraId="209E2CC9">
      <w:pPr>
        <w:pStyle w:val="9"/>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collaboration between telecommunications companies, financial institutions, and regulatory authorities has strengthened Tanzania’s digital payment ecosystem. The government has also promoted electronic payment systems as part of broader financial sector reforms aimed at improving transparency and efficiency in public financial management (World Bank, 2022). Consequently, digital payment platforms have become an increasingly important channel through which citizens conduct everyday financial transactions.</w:t>
      </w:r>
    </w:p>
    <w:p w14:paraId="7F7C41D9">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Network Reliability and Digital Payment Usage</w:t>
      </w:r>
    </w:p>
    <w:p w14:paraId="42DB7CBB">
      <w:pPr>
        <w:pStyle w:val="9"/>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Network reliability refers to the stability and performance of telecommunications infrastructure that supports digital services. In the context of digital payments, reliable network connectivity is essential for ensuring that transactions are processed quickly and accurately. When communication networks experience interruptions or delays, users may encounter difficulties completing financial transactions, which can undermine confidence in digital payment platforms (Aker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Mbiti, 201</w:t>
      </w:r>
      <w:r>
        <w:rPr>
          <w:rFonts w:hint="default" w:ascii="Times New Roman" w:hAnsi="Times New Roman" w:cs="Times New Roman"/>
          <w:sz w:val="24"/>
          <w:szCs w:val="24"/>
          <w:lang w:val="en-US"/>
        </w:rPr>
        <w:t>0</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Reliable telecommunications infrastructure enhances the efficiency of mobile financial services by allowing users to access digital platforms without disruptions. Studies have shown that network stability is a key factor influencing the adoption and continued use of mobile payment systems. Users tend to prefer service providers whose networks offer consistent connectivity and minimal service interruptions (Mothobi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Grzybowski, 2017; Aron, 2018).</w:t>
      </w:r>
    </w:p>
    <w:p w14:paraId="766BD05A">
      <w:pPr>
        <w:pStyle w:val="9"/>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the case of mobile money services, network performance is particularly important because financial transactions are conducted in real time. Any technical failure or delay may result in unsuccessful transactions or inconvenience for users. Consequently, telecommunication companies that maintain strong network infrastructure are more likely to attract and retain users of digital payment services (GSMA, 2023).</w:t>
      </w:r>
    </w:p>
    <w:p w14:paraId="27112D74">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Transaction Costs and User Preference</w:t>
      </w:r>
    </w:p>
    <w:p w14:paraId="47EBFC1C">
      <w:pPr>
        <w:pStyle w:val="9"/>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Transaction costs refer to the financial charges incurred when using digital payment platforms. These costs may include transfer fees, withdrawal charges, service commissions, and other related expenses associated with financial transactions. According to economic theory, consumers generally prefer services that offer lower costs while still providing the desired level of convenience and efficiency (Varian, 2019).</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In the context of mobile money services, transaction costs play an important role in influencing user behaviour. High service charges may discourage individuals from relying on digital payment platforms, particularly among low-income populations that are sensitive to financial costs. Empirical studies have shown that affordability significantly influences the adoption and usage of mobile financial services in developing countries (Evans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Pirchio, 2015; Jack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Suri, 2016).</w:t>
      </w:r>
    </w:p>
    <w:p w14:paraId="5BF61D0E">
      <w:pPr>
        <w:pStyle w:val="9"/>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Research conducted in several African countries indicates that users frequently compare transaction fees offered by different mobile network operators before choosing a particular service provider. When transaction charges are perceived to be excessive, users may switch to alternative platforms that provide more affordable services (Mothobi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Grzybowski, 2017). As a result, pricing strategies adopted by telecommunication companies can have a significant impact on the competitiveness of mobile payment platforms.</w:t>
      </w:r>
    </w:p>
    <w:p w14:paraId="116DA6CC">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Service Accessibility</w:t>
      </w:r>
    </w:p>
    <w:p w14:paraId="0D8812E8">
      <w:pPr>
        <w:pStyle w:val="9"/>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Service accessibility refers to the ease with which users can obtain and utilize digital financial services. Accessibility may involve factors such as network coverage, availability of mobile money agents, and convenience in accessing mobile financial platforms. In many developing countries, the physical presence of mobile money agents plays a critical role in facilitating financial transactions, particularly for services that require cash deposits or withdrawals (Demirgüç-Kunt et al., 2022).</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Mobile money agents serve as intermediaries between users and digital financial systems by enabling customers to convert physical cash into digital funds and vice versa. The availability of agent networks increases the convenience of mobile financial services and allows users to access digital payment platforms even in areas where banking infrastructure is limited (Donovan, 2015).</w:t>
      </w:r>
    </w:p>
    <w:p w14:paraId="091EAB5C">
      <w:pPr>
        <w:pStyle w:val="9"/>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Previous studies suggest that the accessibility of mobile money services significantly influences the adoption and continued use of digital payment systems. When services are widely available and easy to access, users are more likely to rely on digital platforms for everyday financial transactions (Aron, 2018). In contrast, limited access to service agents or network coverage may discourage users from utilizing mobile payment platforms.</w:t>
      </w:r>
    </w:p>
    <w:p w14:paraId="371AF4CB">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Service Quality</w:t>
      </w:r>
    </w:p>
    <w:p w14:paraId="798D0ACB">
      <w:pPr>
        <w:pStyle w:val="9"/>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Service quality represents the ability of service providers to deliver services that meet or exceed customer expectations. In digital payment systems, service quality may involve several dimensions, including transaction speed, system security, reliability, and customer support. High service quality contributes to positive user experiences and increases satisfaction among customers (Parasuraman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et al., 1988).</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 the context of mobile financial services, service quality plays a crucial role in determining whether users continue to rely on digital payment platforms. Efficient transaction processing, reliable system performance, and secure financial transactions are essential components of a high-quality mobile payment service (Laukkanen, 2017).</w:t>
      </w:r>
    </w:p>
    <w:p w14:paraId="2C66F5B6">
      <w:pPr>
        <w:pStyle w:val="9"/>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Research has demonstrated that customer perceptions of service quality significantly influence their willingness to adopt and continue using digital financial technologies. When users believe that a mobile payment system is secure, efficient, and reliable, they are more likely to maintain long-term engagement with the service provider (Malaquias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Hwang, 2019).</w:t>
      </w:r>
    </w:p>
    <w:p w14:paraId="5966BB2F">
      <w:pPr>
        <w:pStyle w:val="9"/>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Telecommunication companies operating in competitive markets must therefore focus on maintaining high service standards in order to retain customers and sustain growth in digital financial services. Improvements in service quality not only enhance customer satisfaction but also strengthen trust in digital payment platforms.</w:t>
      </w:r>
    </w:p>
    <w:p w14:paraId="6965444A">
      <w:pPr>
        <w:pStyle w:val="9"/>
        <w:keepNext w:val="0"/>
        <w:keepLines w:val="0"/>
        <w:widowControl/>
        <w:suppressLineNumbers w:val="0"/>
        <w:jc w:val="both"/>
        <w:rPr>
          <w:rFonts w:hint="default" w:ascii="Times New Roman" w:hAnsi="Times New Roman" w:cs="Times New Roman"/>
          <w:b/>
          <w:bCs/>
          <w:sz w:val="28"/>
          <w:szCs w:val="28"/>
          <w:lang w:val="en-US"/>
        </w:rPr>
      </w:pPr>
      <w:r>
        <w:rPr>
          <w:rFonts w:hint="default" w:cs="Times New Roman"/>
          <w:b/>
          <w:bCs/>
          <w:sz w:val="28"/>
          <w:szCs w:val="28"/>
          <w:lang w:val="en-US"/>
        </w:rPr>
        <w:t>Conceptual Framework</w:t>
      </w:r>
    </w:p>
    <w:p w14:paraId="16B0E5B1">
      <w:pPr>
        <w:pStyle w:val="9"/>
        <w:keepNext w:val="0"/>
        <w:keepLines w:val="0"/>
        <w:widowControl/>
        <w:suppressLineNumbers w:val="0"/>
        <w:jc w:val="both"/>
        <w:rPr>
          <w:b w:val="0"/>
          <w:bCs w:val="0"/>
        </w:rPr>
      </w:pPr>
      <w:r>
        <w:rPr>
          <w:b w:val="0"/>
          <w:bCs w:val="0"/>
        </w:rPr>
        <w:t xml:space="preserve">A conceptual framework provides a structured explanation of how the key variables in a study are expected to relate to one another. It guides the research process by clarifying the theoretical relationships between determinants and the outcome being investigated. In studies concerning digital financial services, conceptual models are particularly useful because user decisions are often influenced by multiple technological, economic, and service-related factors (Shaikh </w:t>
      </w:r>
      <w:r>
        <w:rPr>
          <w:rFonts w:hint="default"/>
          <w:b w:val="0"/>
          <w:bCs w:val="0"/>
          <w:lang w:val="en-US"/>
        </w:rPr>
        <w:t>and</w:t>
      </w:r>
      <w:r>
        <w:rPr>
          <w:b w:val="0"/>
          <w:bCs w:val="0"/>
        </w:rPr>
        <w:t xml:space="preserve"> Karjaluoto, 2015; Bongomin et al., 2020).</w:t>
      </w:r>
    </w:p>
    <w:p w14:paraId="6554B810">
      <w:pPr>
        <w:pStyle w:val="9"/>
        <w:keepNext w:val="0"/>
        <w:keepLines w:val="0"/>
        <w:widowControl/>
        <w:suppressLineNumbers w:val="0"/>
        <w:jc w:val="both"/>
        <w:rPr>
          <w:b w:val="0"/>
          <w:bCs w:val="0"/>
        </w:rPr>
      </w:pPr>
      <w:r>
        <w:rPr>
          <w:b w:val="0"/>
          <w:bCs w:val="0"/>
        </w:rPr>
        <w:t xml:space="preserve">In the context of digital payment systems, user behaviour is commonly explained through technology adoption and service quality theories. The </w:t>
      </w:r>
      <w:r>
        <w:rPr>
          <w:rStyle w:val="10"/>
          <w:b w:val="0"/>
          <w:bCs w:val="0"/>
        </w:rPr>
        <w:t>Unified Theory of Acceptance and Use of Technology (UTAUT)</w:t>
      </w:r>
      <w:r>
        <w:rPr>
          <w:b w:val="0"/>
          <w:bCs w:val="0"/>
        </w:rPr>
        <w:t xml:space="preserve"> and related technology acceptance models suggest that individuals adopt digital services when they perceive them to be useful, reliable, convenient, and cost-effective (Venkatesh</w:t>
      </w:r>
      <w:r>
        <w:rPr>
          <w:rFonts w:hint="default"/>
          <w:b w:val="0"/>
          <w:bCs w:val="0"/>
          <w:lang w:val="en-US"/>
        </w:rPr>
        <w:t xml:space="preserve"> </w:t>
      </w:r>
      <w:r>
        <w:rPr>
          <w:b w:val="0"/>
          <w:bCs w:val="0"/>
        </w:rPr>
        <w:t>et al.,</w:t>
      </w:r>
      <w:r>
        <w:rPr>
          <w:rFonts w:hint="default"/>
          <w:b w:val="0"/>
          <w:bCs w:val="0"/>
          <w:lang w:val="en-US"/>
        </w:rPr>
        <w:t xml:space="preserve"> </w:t>
      </w:r>
      <w:r>
        <w:rPr>
          <w:b w:val="0"/>
          <w:bCs w:val="0"/>
        </w:rPr>
        <w:t>2012; Oliveira et al., 2016). Similarly, studies on mobile payment adoption emphasize that the reliability of digital infrastructure, affordability of services, and ease of access significantly influence user preferences when choosing financial technology platforms (Liébana-Cabanillas</w:t>
      </w:r>
      <w:r>
        <w:rPr>
          <w:rFonts w:hint="default"/>
          <w:b w:val="0"/>
          <w:bCs w:val="0"/>
          <w:lang w:val="en-US"/>
        </w:rPr>
        <w:t xml:space="preserve"> </w:t>
      </w:r>
      <w:r>
        <w:rPr>
          <w:b w:val="0"/>
          <w:bCs w:val="0"/>
        </w:rPr>
        <w:t>et al., 2017; Alkhowaiter, 2020).</w:t>
      </w:r>
      <w:r>
        <w:rPr>
          <w:rFonts w:hint="default"/>
          <w:b w:val="0"/>
          <w:bCs w:val="0"/>
          <w:lang w:val="en-US"/>
        </w:rPr>
        <w:t xml:space="preserve"> </w:t>
      </w:r>
      <w:r>
        <w:rPr>
          <w:b w:val="0"/>
          <w:bCs w:val="0"/>
        </w:rPr>
        <w:t xml:space="preserve">Within mobile money ecosystems, telecommunication infrastructure plays a central role in shaping the user experience. Network reliability determines whether transactions can be completed successfully and without delay. When mobile networks are unstable, users may encounter transaction failures or delays that undermine confidence in digital payment services. Prior empirical studies have shown that reliable telecommunications infrastructure is a critical factor influencing digital payment adoption and continued usage (Humbani </w:t>
      </w:r>
      <w:r>
        <w:rPr>
          <w:rFonts w:hint="default"/>
          <w:b w:val="0"/>
          <w:bCs w:val="0"/>
          <w:lang w:val="en-US"/>
        </w:rPr>
        <w:t>and</w:t>
      </w:r>
      <w:r>
        <w:rPr>
          <w:b w:val="0"/>
          <w:bCs w:val="0"/>
        </w:rPr>
        <w:t xml:space="preserve"> Wiese, 2019; Karsen</w:t>
      </w:r>
      <w:r>
        <w:rPr>
          <w:rFonts w:hint="default"/>
          <w:b w:val="0"/>
          <w:bCs w:val="0"/>
          <w:lang w:val="en-US"/>
        </w:rPr>
        <w:t xml:space="preserve"> </w:t>
      </w:r>
      <w:r>
        <w:rPr>
          <w:b w:val="0"/>
          <w:bCs w:val="0"/>
        </w:rPr>
        <w:t>et al., 2019).</w:t>
      </w:r>
    </w:p>
    <w:p w14:paraId="3F6357BF">
      <w:pPr>
        <w:pStyle w:val="9"/>
        <w:keepNext w:val="0"/>
        <w:keepLines w:val="0"/>
        <w:widowControl/>
        <w:suppressLineNumbers w:val="0"/>
        <w:jc w:val="both"/>
        <w:rPr>
          <w:b w:val="0"/>
          <w:bCs w:val="0"/>
        </w:rPr>
      </w:pPr>
      <w:r>
        <w:rPr>
          <w:b w:val="0"/>
          <w:bCs w:val="0"/>
        </w:rPr>
        <w:t xml:space="preserve">Another important determinant is </w:t>
      </w:r>
      <w:r>
        <w:rPr>
          <w:rStyle w:val="10"/>
          <w:b w:val="0"/>
          <w:bCs w:val="0"/>
        </w:rPr>
        <w:t>transaction cost</w:t>
      </w:r>
      <w:r>
        <w:rPr>
          <w:b w:val="0"/>
          <w:bCs w:val="0"/>
        </w:rPr>
        <w:t>. Digital payment users are often sensitive to the financial charges associated with mobile transactions, including transfer fees, withdrawal costs, and service charges. Economic decision-making theory suggests that consumers generally prefer services that deliver value at lower cost (Oliveira et al., 2016). Empirical evidence also indicates that high transaction fees can discourage users from utilizing certain mobile payment platforms, prompting them to switch to alternative service providers offering more affordable rates (Alkhowaiter, 2020; Bongomin et al., 2020).</w:t>
      </w:r>
      <w:r>
        <w:rPr>
          <w:rFonts w:hint="default"/>
          <w:b w:val="0"/>
          <w:bCs w:val="0"/>
          <w:lang w:val="en-US"/>
        </w:rPr>
        <w:t xml:space="preserve"> </w:t>
      </w:r>
      <w:r>
        <w:rPr>
          <w:rStyle w:val="10"/>
          <w:b w:val="0"/>
          <w:bCs w:val="0"/>
        </w:rPr>
        <w:t>Service accessibility</w:t>
      </w:r>
      <w:r>
        <w:rPr>
          <w:b w:val="0"/>
          <w:bCs w:val="0"/>
        </w:rPr>
        <w:t xml:space="preserve"> represents another crucial factor in digital payment ecosystems. Accessibility refers to how easily users can reach and utilize mobile financial services. This includes factors such as mobile network coverage, availability of mobile money agents, and the convenience of accessing services through mobile applications or USSD platforms. In many developing economies, the widespread presence of mobile money agents has played a significant role in expanding digital financial inclusion by enabling users to convert cash into electronic money and vice versa (Koomson</w:t>
      </w:r>
      <w:r>
        <w:rPr>
          <w:rFonts w:hint="default"/>
          <w:b w:val="0"/>
          <w:bCs w:val="0"/>
          <w:lang w:val="en-US"/>
        </w:rPr>
        <w:t xml:space="preserve"> </w:t>
      </w:r>
      <w:r>
        <w:rPr>
          <w:b w:val="0"/>
          <w:bCs w:val="0"/>
        </w:rPr>
        <w:t>et al., 2021). When services are widely accessible, users are more likely to rely on a particular mobile network operator for financial transactions.</w:t>
      </w:r>
    </w:p>
    <w:p w14:paraId="506A39DF">
      <w:pPr>
        <w:pStyle w:val="9"/>
        <w:keepNext w:val="0"/>
        <w:keepLines w:val="0"/>
        <w:widowControl/>
        <w:suppressLineNumbers w:val="0"/>
        <w:jc w:val="both"/>
        <w:rPr>
          <w:b w:val="0"/>
          <w:bCs w:val="0"/>
        </w:rPr>
      </w:pPr>
      <w:r>
        <w:rPr>
          <w:b w:val="0"/>
          <w:bCs w:val="0"/>
        </w:rPr>
        <w:t xml:space="preserve">In addition to infrastructure and cost considerations, </w:t>
      </w:r>
      <w:r>
        <w:rPr>
          <w:rStyle w:val="10"/>
          <w:b w:val="0"/>
          <w:bCs w:val="0"/>
        </w:rPr>
        <w:t>service quality</w:t>
      </w:r>
      <w:r>
        <w:rPr>
          <w:b w:val="0"/>
          <w:bCs w:val="0"/>
        </w:rPr>
        <w:t xml:space="preserve"> also shapes user preferences. Service quality in digital payment systems encompasses transaction speed, security, system reliability, and the effectiveness of customer support services. High-quality services increase user satisfaction and trust in digital platforms, thereby strengthening customer loyalty toward a particular provider (Humbani </w:t>
      </w:r>
      <w:r>
        <w:rPr>
          <w:rFonts w:hint="default"/>
          <w:b w:val="0"/>
          <w:bCs w:val="0"/>
          <w:lang w:val="en-US"/>
        </w:rPr>
        <w:t>and</w:t>
      </w:r>
      <w:r>
        <w:rPr>
          <w:b w:val="0"/>
          <w:bCs w:val="0"/>
        </w:rPr>
        <w:t xml:space="preserve"> Wiese, 2019). Telecommunication companies that consistently deliver secure and efficient payment services are therefore more likely to attract and retain users in competitive markets.</w:t>
      </w:r>
      <w:r>
        <w:rPr>
          <w:rFonts w:hint="default"/>
          <w:b w:val="0"/>
          <w:bCs w:val="0"/>
          <w:lang w:val="en-US"/>
        </w:rPr>
        <w:t xml:space="preserve"> </w:t>
      </w:r>
      <w:r>
        <w:rPr>
          <w:b w:val="0"/>
          <w:bCs w:val="0"/>
        </w:rPr>
        <w:t xml:space="preserve">Drawing from these theoretical and empirical insights, this study proposes that the </w:t>
      </w:r>
      <w:r>
        <w:rPr>
          <w:rStyle w:val="10"/>
          <w:b w:val="0"/>
          <w:bCs w:val="0"/>
        </w:rPr>
        <w:t>choice of a mobile network operator in public digital payment systems</w:t>
      </w:r>
      <w:r>
        <w:rPr>
          <w:b w:val="0"/>
          <w:bCs w:val="0"/>
        </w:rPr>
        <w:t xml:space="preserve"> is influenced by four major determinants: network reliability, transaction costs, service accessibility, and service quality. These factors collectively shape users’ experiences when conducting digital transactions and ultimately influence their selection of a preferred service provider.</w:t>
      </w:r>
    </w:p>
    <w:p w14:paraId="38B09170">
      <w:pPr>
        <w:pStyle w:val="4"/>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Variables in the Conceptual Framework</w:t>
      </w:r>
    </w:p>
    <w:p w14:paraId="2F1FD69C">
      <w:pPr>
        <w:pStyle w:val="9"/>
        <w:keepNext w:val="0"/>
        <w:keepLines w:val="0"/>
        <w:widowControl/>
        <w:suppressLineNumbers w:val="0"/>
        <w:jc w:val="both"/>
        <w:rPr>
          <w:b/>
          <w:bCs/>
        </w:rPr>
      </w:pPr>
      <w:r>
        <w:rPr>
          <w:rStyle w:val="10"/>
          <w:b/>
          <w:bCs/>
        </w:rPr>
        <w:t>Independent Variables</w:t>
      </w:r>
    </w:p>
    <w:p w14:paraId="1FB2A1AE">
      <w:pPr>
        <w:numPr>
          <w:ilvl w:val="0"/>
          <w:numId w:val="1"/>
        </w:numPr>
        <w:bidi w:val="0"/>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Network Reliability</w:t>
      </w:r>
    </w:p>
    <w:p w14:paraId="3A30CCB1">
      <w:pPr>
        <w:numPr>
          <w:ilvl w:val="0"/>
          <w:numId w:val="1"/>
        </w:numPr>
        <w:bidi w:val="0"/>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Transaction Costs</w:t>
      </w:r>
    </w:p>
    <w:p w14:paraId="5092E5B6">
      <w:pPr>
        <w:numPr>
          <w:ilvl w:val="0"/>
          <w:numId w:val="1"/>
        </w:numPr>
        <w:bidi w:val="0"/>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Service Accessibility</w:t>
      </w:r>
    </w:p>
    <w:p w14:paraId="5A69415B">
      <w:pPr>
        <w:numPr>
          <w:ilvl w:val="0"/>
          <w:numId w:val="1"/>
        </w:numPr>
        <w:bidi w:val="0"/>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Service Quality</w:t>
      </w:r>
    </w:p>
    <w:p w14:paraId="23E914EE">
      <w:pPr>
        <w:pStyle w:val="9"/>
        <w:keepNext w:val="0"/>
        <w:keepLines w:val="0"/>
        <w:widowControl/>
        <w:suppressLineNumbers w:val="0"/>
        <w:jc w:val="both"/>
        <w:rPr>
          <w:b w:val="0"/>
          <w:bCs w:val="0"/>
        </w:rPr>
      </w:pPr>
      <w:r>
        <w:rPr>
          <w:rStyle w:val="10"/>
          <w:b/>
          <w:bCs/>
        </w:rPr>
        <w:t>Dependent Variable</w:t>
      </w:r>
    </w:p>
    <w:p w14:paraId="730B11F0">
      <w:pPr>
        <w:pStyle w:val="9"/>
        <w:keepNext w:val="0"/>
        <w:keepLines w:val="0"/>
        <w:widowControl/>
        <w:numPr>
          <w:ilvl w:val="0"/>
          <w:numId w:val="2"/>
        </w:numPr>
        <w:suppressLineNumbers w:val="0"/>
        <w:ind w:left="425" w:leftChars="0" w:hanging="425" w:firstLineChars="0"/>
        <w:jc w:val="both"/>
        <w:rPr>
          <w:b w:val="0"/>
          <w:bCs w:val="0"/>
        </w:rPr>
      </w:pPr>
      <w:r>
        <w:rPr>
          <w:b w:val="0"/>
          <w:bCs w:val="0"/>
        </w:rPr>
        <w:t>Choice of Mobile Network Operator in Public Digital Payment Systems</w:t>
      </w:r>
    </w:p>
    <w:p w14:paraId="4764E32B">
      <w:pPr>
        <w:pStyle w:val="9"/>
        <w:keepNext w:val="0"/>
        <w:keepLines w:val="0"/>
        <w:widowControl/>
        <w:suppressLineNumbers w:val="0"/>
        <w:jc w:val="both"/>
        <w:rPr>
          <w:b w:val="0"/>
          <w:bCs w:val="0"/>
        </w:rPr>
      </w:pPr>
      <w:r>
        <w:rPr>
          <w:b w:val="0"/>
          <w:bCs w:val="0"/>
        </w:rPr>
        <w:t>The framework assumes that when mobile network operators provide stable connectivity, affordable transaction charges, easily accessible services, and high service quality, users are more likely to prefer and consistently utilize those operators when making public digital payments.</w:t>
      </w:r>
    </w:p>
    <w:p w14:paraId="0ADB1DEA">
      <w:pPr>
        <w:keepNext w:val="0"/>
        <w:keepLines w:val="0"/>
        <w:widowControl/>
        <w:suppressLineNumbers w:val="0"/>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Figure 1: conceptual framework diagram</w:t>
      </w:r>
    </w:p>
    <w:p w14:paraId="7E464484">
      <w:pPr>
        <w:pStyle w:val="9"/>
        <w:keepNext w:val="0"/>
        <w:keepLines w:val="0"/>
        <w:widowControl/>
        <w:suppressLineNumbers w:val="0"/>
        <w:jc w:val="both"/>
        <w:rPr>
          <w:rFonts w:hint="default" w:ascii="Times New Roman" w:hAnsi="Times New Roman" w:cs="Times New Roman"/>
          <w:b w:val="0"/>
          <w:bCs w:val="0"/>
          <w:sz w:val="24"/>
          <w:szCs w:val="24"/>
          <w:lang w:val="en-US"/>
        </w:rPr>
      </w:pPr>
      <w:r>
        <w:rPr>
          <w:rFonts w:ascii="SimSun" w:hAnsi="SimSun" w:eastAsia="SimSun" w:cs="SimSun"/>
          <w:kern w:val="0"/>
          <w:sz w:val="24"/>
          <w:szCs w:val="24"/>
          <w:lang w:val="en-US" w:eastAsia="zh-CN" w:bidi="ar"/>
        </w:rPr>
        <w:drawing>
          <wp:inline distT="0" distB="0" distL="114300" distR="114300">
            <wp:extent cx="4464685" cy="1822450"/>
            <wp:effectExtent l="0" t="0" r="12065" b="6350"/>
            <wp:docPr id="1" name="Picture 1" descr="ChatGPT Image Mar 5, 2026, 11_42_24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tGPT Image Mar 5, 2026, 11_42_24 AM"/>
                    <pic:cNvPicPr>
                      <a:picLocks noChangeAspect="1"/>
                    </pic:cNvPicPr>
                  </pic:nvPicPr>
                  <pic:blipFill>
                    <a:blip r:embed="rId4"/>
                    <a:stretch>
                      <a:fillRect/>
                    </a:stretch>
                  </pic:blipFill>
                  <pic:spPr>
                    <a:xfrm>
                      <a:off x="0" y="0"/>
                      <a:ext cx="4464685" cy="1822450"/>
                    </a:xfrm>
                    <a:prstGeom prst="rect">
                      <a:avLst/>
                    </a:prstGeom>
                  </pic:spPr>
                </pic:pic>
              </a:graphicData>
            </a:graphic>
          </wp:inline>
        </w:drawing>
      </w:r>
    </w:p>
    <w:p w14:paraId="0564D8B2">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 xml:space="preserve">Study Methodology </w:t>
      </w:r>
    </w:p>
    <w:p w14:paraId="21A3439C">
      <w:pPr>
        <w:pStyle w:val="9"/>
        <w:keepNext w:val="0"/>
        <w:keepLines w:val="0"/>
        <w:widowControl/>
        <w:suppressLineNumbers w:val="0"/>
        <w:jc w:val="both"/>
        <w:rPr>
          <w:b w:val="0"/>
          <w:bCs w:val="0"/>
        </w:rPr>
      </w:pPr>
      <w:r>
        <w:rPr>
          <w:b w:val="0"/>
          <w:bCs w:val="0"/>
        </w:rPr>
        <w:t xml:space="preserve">This study adopted a </w:t>
      </w:r>
      <w:r>
        <w:rPr>
          <w:rStyle w:val="10"/>
          <w:b w:val="0"/>
          <w:bCs w:val="0"/>
        </w:rPr>
        <w:t>quantitative research approach</w:t>
      </w:r>
      <w:r>
        <w:rPr>
          <w:b w:val="0"/>
          <w:bCs w:val="0"/>
        </w:rPr>
        <w:t xml:space="preserve"> to investigate the determinants that influence users’ choice of mobile network operators within public digital payment systems. A </w:t>
      </w:r>
      <w:r>
        <w:rPr>
          <w:rStyle w:val="10"/>
          <w:b w:val="0"/>
          <w:bCs w:val="0"/>
        </w:rPr>
        <w:t>cross-sectional survey design</w:t>
      </w:r>
      <w:r>
        <w:rPr>
          <w:b w:val="0"/>
          <w:bCs w:val="0"/>
        </w:rPr>
        <w:t xml:space="preserve"> was employed, allowing data to be collected at a single point in time from a representative sample of mobile payment users. This approach is suitable for examining relationships between variables and testing hypotheses in a systematic manner (Creswell </w:t>
      </w:r>
      <w:r>
        <w:rPr>
          <w:rFonts w:hint="default"/>
          <w:b w:val="0"/>
          <w:bCs w:val="0"/>
          <w:lang w:val="en-US"/>
        </w:rPr>
        <w:t>and</w:t>
      </w:r>
      <w:r>
        <w:rPr>
          <w:b w:val="0"/>
          <w:bCs w:val="0"/>
        </w:rPr>
        <w:t xml:space="preserve"> Creswell, 2018; Bryman, 2016).</w:t>
      </w:r>
      <w:r>
        <w:rPr>
          <w:rFonts w:hint="default"/>
          <w:b w:val="0"/>
          <w:bCs w:val="0"/>
          <w:lang w:val="en-US"/>
        </w:rPr>
        <w:t xml:space="preserve"> </w:t>
      </w:r>
      <w:r>
        <w:rPr>
          <w:b w:val="0"/>
          <w:bCs w:val="0"/>
        </w:rPr>
        <w:t xml:space="preserve">The research was conducted in </w:t>
      </w:r>
      <w:r>
        <w:rPr>
          <w:rStyle w:val="10"/>
          <w:b w:val="0"/>
          <w:bCs w:val="0"/>
        </w:rPr>
        <w:t>Dar es Salaam, Tanzania</w:t>
      </w:r>
      <w:r>
        <w:rPr>
          <w:b w:val="0"/>
          <w:bCs w:val="0"/>
        </w:rPr>
        <w:t xml:space="preserve">, the country’s largest city and a hub of digital financial activity. Dar es Salaam was selected due to its high penetration of mobile payment services and diverse user population, which provides a reliable context for exploring factors affecting the choice of mobile network operators. The study targeted </w:t>
      </w:r>
      <w:r>
        <w:rPr>
          <w:rStyle w:val="10"/>
          <w:b w:val="0"/>
          <w:bCs w:val="0"/>
        </w:rPr>
        <w:t>individuals who actively use mobile payment platforms</w:t>
      </w:r>
      <w:r>
        <w:rPr>
          <w:b w:val="0"/>
          <w:bCs w:val="0"/>
        </w:rPr>
        <w:t xml:space="preserve"> to carry out public transactions, including payments for utilities, government fees, taxes, and other civic services.</w:t>
      </w:r>
    </w:p>
    <w:p w14:paraId="1ECAC89E">
      <w:pPr>
        <w:pStyle w:val="9"/>
        <w:keepNext w:val="0"/>
        <w:keepLines w:val="0"/>
        <w:widowControl/>
        <w:suppressLineNumbers w:val="0"/>
        <w:jc w:val="both"/>
        <w:rPr>
          <w:b w:val="0"/>
          <w:bCs w:val="0"/>
        </w:rPr>
      </w:pPr>
      <w:r>
        <w:rPr>
          <w:rStyle w:val="10"/>
          <w:b w:val="0"/>
          <w:bCs w:val="0"/>
        </w:rPr>
        <w:t>Data collection</w:t>
      </w:r>
      <w:r>
        <w:rPr>
          <w:b w:val="0"/>
          <w:bCs w:val="0"/>
        </w:rPr>
        <w:t xml:space="preserve"> was carried out using a </w:t>
      </w:r>
      <w:r>
        <w:rPr>
          <w:rStyle w:val="10"/>
          <w:b w:val="0"/>
          <w:bCs w:val="0"/>
        </w:rPr>
        <w:t>structured questionnaire</w:t>
      </w:r>
      <w:r>
        <w:rPr>
          <w:b w:val="0"/>
          <w:bCs w:val="0"/>
        </w:rPr>
        <w:t xml:space="preserve"> designed specifically for this study. The instrument comprised closed-ended questions intended to capture respondents’ perceptions and experiences regarding four key independent variables: </w:t>
      </w:r>
      <w:r>
        <w:rPr>
          <w:rStyle w:val="10"/>
          <w:b w:val="0"/>
          <w:bCs w:val="0"/>
        </w:rPr>
        <w:t>network reliability, transaction costs, service accessibility, and service quality</w:t>
      </w:r>
      <w:r>
        <w:rPr>
          <w:b w:val="0"/>
          <w:bCs w:val="0"/>
        </w:rPr>
        <w:t>. Responses were recorded using a five-point Likert scale ranging from “strongly disagree” to “strongly agree,” which facilitated quantitative analysis of attitudes and behavioural intentions (DeVellis, 2017). The questionnaire also collected demographic information such as age, gender, education level, and frequency of mobile payment usage to control for potential confounding variables.</w:t>
      </w:r>
    </w:p>
    <w:p w14:paraId="55F05252">
      <w:pPr>
        <w:pStyle w:val="9"/>
        <w:keepNext w:val="0"/>
        <w:keepLines w:val="0"/>
        <w:widowControl/>
        <w:suppressLineNumbers w:val="0"/>
        <w:jc w:val="both"/>
        <w:rPr>
          <w:b w:val="0"/>
          <w:bCs w:val="0"/>
        </w:rPr>
      </w:pPr>
      <w:r>
        <w:rPr>
          <w:b w:val="0"/>
          <w:bCs w:val="0"/>
        </w:rPr>
        <w:t xml:space="preserve">A total of </w:t>
      </w:r>
      <w:r>
        <w:rPr>
          <w:rStyle w:val="10"/>
          <w:b w:val="0"/>
          <w:bCs w:val="0"/>
        </w:rPr>
        <w:t>182 questionnaires</w:t>
      </w:r>
      <w:r>
        <w:rPr>
          <w:b w:val="0"/>
          <w:bCs w:val="0"/>
        </w:rPr>
        <w:t xml:space="preserve"> were administered to respondents through </w:t>
      </w:r>
      <w:r>
        <w:rPr>
          <w:rStyle w:val="10"/>
          <w:b w:val="0"/>
          <w:bCs w:val="0"/>
        </w:rPr>
        <w:t>simple random sampling</w:t>
      </w:r>
      <w:r>
        <w:rPr>
          <w:b w:val="0"/>
          <w:bCs w:val="0"/>
        </w:rPr>
        <w:t>, ensuring that each member of the target population had an equal chance of selection. This sampling method enhances the representativeness of the sample and reduces selection bias (Saunders</w:t>
      </w:r>
      <w:r>
        <w:rPr>
          <w:rFonts w:hint="default"/>
          <w:b w:val="0"/>
          <w:bCs w:val="0"/>
          <w:lang w:val="en-US"/>
        </w:rPr>
        <w:t xml:space="preserve"> </w:t>
      </w:r>
      <w:r>
        <w:rPr>
          <w:b w:val="0"/>
          <w:bCs w:val="0"/>
        </w:rPr>
        <w:t>et al., 2019). Respondents were approached at locations where mobile financial transactions frequently occur, including utility offices, mobile money agent outlets, and public service centers. Participation in the survey was voluntary, and respondents were assured of the confidentiality and anonymity of their responses to encourage honest reporting.</w:t>
      </w:r>
    </w:p>
    <w:p w14:paraId="10A1D42A">
      <w:pPr>
        <w:pStyle w:val="9"/>
        <w:keepNext w:val="0"/>
        <w:keepLines w:val="0"/>
        <w:widowControl/>
        <w:suppressLineNumbers w:val="0"/>
        <w:jc w:val="both"/>
        <w:rPr>
          <w:b w:val="0"/>
          <w:bCs w:val="0"/>
        </w:rPr>
      </w:pPr>
      <w:r>
        <w:rPr>
          <w:b w:val="0"/>
          <w:bCs w:val="0"/>
        </w:rPr>
        <w:t xml:space="preserve">The collected data were carefully coded and entered into </w:t>
      </w:r>
      <w:r>
        <w:rPr>
          <w:rStyle w:val="10"/>
          <w:b w:val="0"/>
          <w:bCs w:val="0"/>
        </w:rPr>
        <w:t>statistical software for analysis</w:t>
      </w:r>
      <w:r>
        <w:rPr>
          <w:b w:val="0"/>
          <w:bCs w:val="0"/>
        </w:rPr>
        <w:t>. Descriptive statistics were used to summarize respondents’ demographic characteristics and general trends in mobile network operator preferences. Inferential analyses, including correlation and multiple regression techniques, were employed to test the hypothesized relationships between the independent variables and the choice of mobile network operators. These analyses provided empirical evidence on the strength and direction of associations, thereby addressing the study’s research objectives (Field, 2018).</w:t>
      </w:r>
    </w:p>
    <w:p w14:paraId="159348EC">
      <w:pPr>
        <w:pStyle w:val="9"/>
        <w:keepNext w:val="0"/>
        <w:keepLines w:val="0"/>
        <w:widowControl/>
        <w:suppressLineNumbers w:val="0"/>
        <w:jc w:val="both"/>
        <w:rPr>
          <w:b w:val="0"/>
          <w:bCs w:val="0"/>
        </w:rPr>
      </w:pPr>
      <w:r>
        <w:rPr>
          <w:b w:val="0"/>
          <w:bCs w:val="0"/>
        </w:rPr>
        <w:t>By employing a structured quantitative methodology with a carefully defined population, validated instruments, and rigorous sampling procedures, this study ensures the reliability and validity of its findings while providing actionable insights into the factors shaping users’ selection of mobile network operators in public digital payment systems.</w:t>
      </w:r>
    </w:p>
    <w:p w14:paraId="697D4DE4">
      <w:pPr>
        <w:pStyle w:val="9"/>
        <w:keepNext w:val="0"/>
        <w:keepLines w:val="0"/>
        <w:widowControl/>
        <w:suppressLineNumbers w:val="0"/>
        <w:jc w:val="both"/>
        <w:rPr>
          <w:rFonts w:hint="default"/>
          <w:b/>
          <w:bCs/>
          <w:sz w:val="28"/>
          <w:szCs w:val="28"/>
          <w:lang w:val="en-US"/>
        </w:rPr>
      </w:pPr>
      <w:r>
        <w:rPr>
          <w:rFonts w:hint="default"/>
          <w:b/>
          <w:bCs/>
          <w:sz w:val="28"/>
          <w:szCs w:val="28"/>
          <w:lang w:val="en-US"/>
        </w:rPr>
        <w:t>Results and Discussion</w:t>
      </w:r>
    </w:p>
    <w:p w14:paraId="6FFCB6E4">
      <w:pPr>
        <w:pStyle w:val="9"/>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Demographic Characteristics of Respondents</w:t>
      </w:r>
    </w:p>
    <w:p w14:paraId="37C52E0D">
      <w:pPr>
        <w:pStyle w:val="9"/>
        <w:keepNext w:val="0"/>
        <w:keepLines w:val="0"/>
        <w:widowControl/>
        <w:suppressLineNumbers w:val="0"/>
        <w:jc w:val="both"/>
      </w:pPr>
      <w:r>
        <w:t>Examining the demographic characteristics of respondents provides important insights into patterns of mobile payment usage and user behavior in public digital payment systems. Understanding the composition of users by gender, age, and other demographic factors can help explain preferences for specific mobile network operators and guide the design of targeted financial services (Koomson et al., 2021; Mothobi &amp; Grzybowski, 2017).</w:t>
      </w:r>
    </w:p>
    <w:p w14:paraId="63C6E49F">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Gender Distribution</w:t>
      </w:r>
    </w:p>
    <w:p w14:paraId="04C91231">
      <w:pPr>
        <w:keepNext w:val="0"/>
        <w:keepLines w:val="0"/>
        <w:widowControl/>
        <w:suppressLineNumbers w:val="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When analyzing involvement in digital payment systems, it's critical to comprehend the gender distribution of responses. The frequency of digital transactions, access to financial services, and patterns of technology adoption can all be influenced by gender. The study offers insight into how various groups interact with mobile-based payment services by examining the distribution of male and female respondents. In the framework of public digital payment systems, mobile technologies are becoming more and more important to both men and women for financial activities including bill payment and government service access. It is therefore possible to ascertain whether digital payment systems are widely used by the populace by looking at gender representation. Additionally, it offers policymakers and service providers helpful information for creating inclusive digital financial solutions that cater to the demands of a wide range of users.</w:t>
      </w:r>
    </w:p>
    <w:p w14:paraId="4EC80A1E">
      <w:pPr>
        <w:pStyle w:val="3"/>
        <w:keepNext w:val="0"/>
        <w:keepLines w:val="0"/>
        <w:widowControl/>
        <w:suppressLineNumbers w:val="0"/>
        <w:jc w:val="both"/>
        <w:rPr>
          <w:rFonts w:hint="default"/>
          <w:b/>
          <w:bCs/>
          <w:lang w:val="en-US"/>
        </w:rPr>
      </w:pPr>
      <w:r>
        <w:rPr>
          <w:rFonts w:hint="default" w:ascii="Times New Roman" w:hAnsi="Times New Roman" w:cs="Times New Roman"/>
          <w:b/>
          <w:bCs/>
          <w:sz w:val="24"/>
          <w:szCs w:val="24"/>
          <w:lang w:val="en-US"/>
        </w:rPr>
        <w:t>Table 1: gender distribution</w:t>
      </w:r>
    </w:p>
    <w:tbl>
      <w:tblPr>
        <w:tblStyle w:val="11"/>
        <w:tblW w:w="0" w:type="auto"/>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2"/>
        <w:gridCol w:w="2841"/>
        <w:gridCol w:w="2717"/>
      </w:tblGrid>
      <w:tr w14:paraId="26CD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2" w:type="dxa"/>
            <w:tcBorders>
              <w:left w:val="nil"/>
            </w:tcBorders>
          </w:tcPr>
          <w:p w14:paraId="5527B8C7">
            <w:pPr>
              <w:widowControl w:val="0"/>
              <w:jc w:val="both"/>
              <w:rPr>
                <w:rFonts w:hint="default" w:ascii="Times New Roman" w:hAnsi="Times New Roman" w:cs="Times New Roman"/>
                <w:b/>
                <w:bCs/>
                <w:sz w:val="24"/>
                <w:szCs w:val="24"/>
                <w:vertAlign w:val="baseline"/>
                <w:lang w:val="en-US"/>
              </w:rPr>
            </w:pPr>
          </w:p>
          <w:p w14:paraId="0DAD89C0">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Gender</w:t>
            </w:r>
          </w:p>
        </w:tc>
        <w:tc>
          <w:tcPr>
            <w:tcW w:w="2841" w:type="dxa"/>
          </w:tcPr>
          <w:p w14:paraId="658B424B">
            <w:pPr>
              <w:widowControl w:val="0"/>
              <w:jc w:val="both"/>
              <w:rPr>
                <w:rFonts w:hint="default" w:ascii="Times New Roman" w:hAnsi="Times New Roman" w:cs="Times New Roman"/>
                <w:b/>
                <w:bCs/>
                <w:sz w:val="24"/>
                <w:szCs w:val="24"/>
                <w:vertAlign w:val="baseline"/>
                <w:lang w:val="en-US"/>
              </w:rPr>
            </w:pPr>
          </w:p>
          <w:p w14:paraId="4B836D97">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Frecuency</w:t>
            </w:r>
          </w:p>
        </w:tc>
        <w:tc>
          <w:tcPr>
            <w:tcW w:w="2717" w:type="dxa"/>
            <w:tcBorders>
              <w:right w:val="nil"/>
            </w:tcBorders>
          </w:tcPr>
          <w:p w14:paraId="69A8D7AC">
            <w:pPr>
              <w:widowControl w:val="0"/>
              <w:jc w:val="both"/>
              <w:rPr>
                <w:rFonts w:hint="default" w:ascii="Times New Roman" w:hAnsi="Times New Roman" w:cs="Times New Roman"/>
                <w:b/>
                <w:bCs/>
                <w:sz w:val="24"/>
                <w:szCs w:val="24"/>
                <w:vertAlign w:val="baseline"/>
                <w:lang w:val="en-US"/>
              </w:rPr>
            </w:pPr>
          </w:p>
          <w:p w14:paraId="6FCE5314">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Percentage %</w:t>
            </w:r>
          </w:p>
        </w:tc>
      </w:tr>
      <w:tr w14:paraId="285F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2" w:type="dxa"/>
            <w:tcBorders>
              <w:left w:val="nil"/>
            </w:tcBorders>
          </w:tcPr>
          <w:p w14:paraId="4E6015A6">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Male </w:t>
            </w:r>
          </w:p>
        </w:tc>
        <w:tc>
          <w:tcPr>
            <w:tcW w:w="2841" w:type="dxa"/>
          </w:tcPr>
          <w:p w14:paraId="7AD8AD41">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102</w:t>
            </w:r>
          </w:p>
        </w:tc>
        <w:tc>
          <w:tcPr>
            <w:tcW w:w="2717" w:type="dxa"/>
            <w:tcBorders>
              <w:right w:val="nil"/>
            </w:tcBorders>
          </w:tcPr>
          <w:p w14:paraId="2DD53866">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56</w:t>
            </w:r>
          </w:p>
        </w:tc>
      </w:tr>
      <w:tr w14:paraId="5E09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2" w:type="dxa"/>
            <w:tcBorders>
              <w:left w:val="nil"/>
            </w:tcBorders>
          </w:tcPr>
          <w:p w14:paraId="3FC5C5D6">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Female </w:t>
            </w:r>
          </w:p>
        </w:tc>
        <w:tc>
          <w:tcPr>
            <w:tcW w:w="2841" w:type="dxa"/>
          </w:tcPr>
          <w:p w14:paraId="791232CB">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80</w:t>
            </w:r>
          </w:p>
        </w:tc>
        <w:tc>
          <w:tcPr>
            <w:tcW w:w="2717" w:type="dxa"/>
            <w:tcBorders>
              <w:right w:val="nil"/>
            </w:tcBorders>
          </w:tcPr>
          <w:p w14:paraId="4B2B7F78">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44</w:t>
            </w:r>
          </w:p>
        </w:tc>
      </w:tr>
      <w:tr w14:paraId="217A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2" w:type="dxa"/>
            <w:tcBorders>
              <w:left w:val="nil"/>
            </w:tcBorders>
          </w:tcPr>
          <w:p w14:paraId="44334E4F">
            <w:pPr>
              <w:widowControl w:val="0"/>
              <w:jc w:val="both"/>
              <w:rPr>
                <w:rFonts w:hint="default" w:ascii="Times New Roman" w:hAnsi="Times New Roman" w:cs="Times New Roman"/>
                <w:b/>
                <w:bCs/>
                <w:sz w:val="24"/>
                <w:szCs w:val="24"/>
                <w:vertAlign w:val="baseline"/>
                <w:lang w:val="en-US"/>
              </w:rPr>
            </w:pPr>
          </w:p>
          <w:p w14:paraId="251B079D">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2841" w:type="dxa"/>
          </w:tcPr>
          <w:p w14:paraId="2DE51994">
            <w:pPr>
              <w:widowControl w:val="0"/>
              <w:jc w:val="both"/>
              <w:rPr>
                <w:rFonts w:hint="default" w:ascii="Times New Roman" w:hAnsi="Times New Roman" w:cs="Times New Roman"/>
                <w:b/>
                <w:bCs/>
                <w:sz w:val="24"/>
                <w:szCs w:val="24"/>
                <w:vertAlign w:val="baseline"/>
                <w:lang w:val="en-US"/>
              </w:rPr>
            </w:pPr>
          </w:p>
          <w:p w14:paraId="402DE6A4">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182</w:t>
            </w:r>
          </w:p>
        </w:tc>
        <w:tc>
          <w:tcPr>
            <w:tcW w:w="2717" w:type="dxa"/>
            <w:tcBorders>
              <w:right w:val="nil"/>
            </w:tcBorders>
          </w:tcPr>
          <w:p w14:paraId="6960F28A">
            <w:pPr>
              <w:widowControl w:val="0"/>
              <w:jc w:val="both"/>
              <w:rPr>
                <w:rFonts w:hint="default" w:ascii="Times New Roman" w:hAnsi="Times New Roman" w:cs="Times New Roman"/>
                <w:b/>
                <w:bCs/>
                <w:sz w:val="24"/>
                <w:szCs w:val="24"/>
                <w:vertAlign w:val="baseline"/>
                <w:lang w:val="en-US"/>
              </w:rPr>
            </w:pPr>
          </w:p>
          <w:p w14:paraId="3041F8AB">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14:paraId="6888B0D5">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survey results indicate that </w:t>
      </w:r>
      <w:r>
        <w:rPr>
          <w:rStyle w:val="10"/>
          <w:rFonts w:hint="default" w:ascii="Times New Roman" w:hAnsi="Times New Roman" w:cs="Times New Roman"/>
          <w:b w:val="0"/>
          <w:bCs w:val="0"/>
          <w:sz w:val="24"/>
          <w:szCs w:val="24"/>
        </w:rPr>
        <w:t>56% of respondents were male</w:t>
      </w:r>
      <w:r>
        <w:rPr>
          <w:rFonts w:hint="default" w:ascii="Times New Roman" w:hAnsi="Times New Roman" w:cs="Times New Roman"/>
          <w:b w:val="0"/>
          <w:bCs w:val="0"/>
          <w:sz w:val="24"/>
          <w:szCs w:val="24"/>
        </w:rPr>
        <w:t xml:space="preserve">, while </w:t>
      </w:r>
      <w:r>
        <w:rPr>
          <w:rStyle w:val="10"/>
          <w:rFonts w:hint="default" w:ascii="Times New Roman" w:hAnsi="Times New Roman" w:cs="Times New Roman"/>
          <w:b w:val="0"/>
          <w:bCs w:val="0"/>
          <w:sz w:val="24"/>
          <w:szCs w:val="24"/>
        </w:rPr>
        <w:t>44% were female</w:t>
      </w:r>
      <w:r>
        <w:rPr>
          <w:rFonts w:hint="default" w:ascii="Times New Roman" w:hAnsi="Times New Roman" w:cs="Times New Roman"/>
          <w:b w:val="0"/>
          <w:bCs w:val="0"/>
          <w:sz w:val="24"/>
          <w:szCs w:val="24"/>
        </w:rPr>
        <w:t>. This demonstrates that both genders actively participate in mobile financial transactions, although males slightly predominated in this sample. The gender distribution suggests a relatively balanced engagement across male and female users, aligning with trends observed in other studies of mobile payment adoption in Sub-Saharan Africa (Bongomin et al., 20</w:t>
      </w:r>
      <w:r>
        <w:rPr>
          <w:rFonts w:hint="default" w:ascii="Times New Roman" w:hAnsi="Times New Roman" w:cs="Times New Roman"/>
          <w:b w:val="0"/>
          <w:bCs w:val="0"/>
          <w:sz w:val="24"/>
          <w:szCs w:val="24"/>
          <w:lang w:val="en-US"/>
        </w:rPr>
        <w:t>18</w:t>
      </w:r>
      <w:r>
        <w:rPr>
          <w:rFonts w:hint="default" w:ascii="Times New Roman" w:hAnsi="Times New Roman" w:cs="Times New Roman"/>
          <w:b w:val="0"/>
          <w:bCs w:val="0"/>
          <w:sz w:val="24"/>
          <w:szCs w:val="24"/>
        </w:rPr>
        <w:t>). Gender-based differences in mobile payment adoption may reflect variations in financial literacy, income levels, or access to mobile devices, which have been highlighted in recent empirical research (Koomson et al., 202</w:t>
      </w:r>
      <w:r>
        <w:rPr>
          <w:rFonts w:hint="default" w:ascii="Times New Roman" w:hAnsi="Times New Roman" w:cs="Times New Roman"/>
          <w:b w:val="0"/>
          <w:bCs w:val="0"/>
          <w:sz w:val="24"/>
          <w:szCs w:val="24"/>
          <w:lang w:val="en-US"/>
        </w:rPr>
        <w:t>1</w:t>
      </w:r>
      <w:r>
        <w:rPr>
          <w:rFonts w:hint="default" w:ascii="Times New Roman" w:hAnsi="Times New Roman" w:cs="Times New Roman"/>
          <w:b w:val="0"/>
          <w:bCs w:val="0"/>
          <w:sz w:val="24"/>
          <w:szCs w:val="24"/>
        </w:rPr>
        <w:t>).</w:t>
      </w:r>
    </w:p>
    <w:p w14:paraId="40D35612">
      <w:pPr>
        <w:pStyle w:val="9"/>
        <w:keepNext w:val="0"/>
        <w:keepLines w:val="0"/>
        <w:widowControl/>
        <w:suppressLineNumbers w:val="0"/>
        <w:jc w:val="both"/>
      </w:pPr>
      <w:r>
        <w:rPr>
          <w:rFonts w:hint="default" w:ascii="Times New Roman" w:hAnsi="Times New Roman" w:cs="Times New Roman"/>
          <w:sz w:val="24"/>
          <w:szCs w:val="24"/>
        </w:rPr>
        <w:t>The observed gender distribution provides context for interpreting patterns in mobile network operator preferences. Service providers may need to consider gender-sensitive strategies, such as promoting financial literacy for female users or designing user interfaces that enhance accessibility and convenience for all demographic groups.</w:t>
      </w:r>
    </w:p>
    <w:p w14:paraId="1BF7553D">
      <w:pPr>
        <w:pStyle w:val="9"/>
        <w:keepNext w:val="0"/>
        <w:keepLines w:val="0"/>
        <w:widowControl/>
        <w:suppressLineNumbers w:val="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This visual representation illustrates that although male users slightly outnumber female users, both genders are actively engaged in digital payment systems. The relatively balanced participation indicates that mobile financial services have broad appeal across the population, reinforcing the importance of designing inclusive services that address the needs of diverse user groups (Mothobi </w:t>
      </w:r>
      <w:r>
        <w:rPr>
          <w:rFonts w:hint="default" w:ascii="Times New Roman" w:hAnsi="Times New Roman" w:eastAsia="SimSun" w:cs="Times New Roman"/>
          <w:sz w:val="24"/>
          <w:szCs w:val="24"/>
          <w:lang w:val="en-US"/>
        </w:rPr>
        <w:t>and</w:t>
      </w:r>
      <w:r>
        <w:rPr>
          <w:rFonts w:hint="default" w:ascii="Times New Roman" w:hAnsi="Times New Roman" w:eastAsia="SimSun" w:cs="Times New Roman"/>
          <w:sz w:val="24"/>
          <w:szCs w:val="24"/>
        </w:rPr>
        <w:t xml:space="preserve"> Grzybowski, 2017).</w:t>
      </w:r>
    </w:p>
    <w:p w14:paraId="4576CC83">
      <w:pPr>
        <w:pStyle w:val="3"/>
        <w:keepNext w:val="0"/>
        <w:keepLines w:val="0"/>
        <w:widowControl/>
        <w:suppressLineNumbers w:val="0"/>
        <w:jc w:val="both"/>
        <w:rPr>
          <w:rFonts w:hint="default" w:cs="Times New Roman"/>
          <w:b/>
          <w:bCs/>
          <w:sz w:val="24"/>
          <w:szCs w:val="24"/>
          <w:lang w:val="en-US"/>
        </w:rPr>
      </w:pPr>
      <w:r>
        <w:rPr>
          <w:rFonts w:hint="default" w:ascii="Times New Roman" w:hAnsi="Times New Roman" w:cs="Times New Roman"/>
          <w:b/>
          <w:bCs/>
          <w:sz w:val="24"/>
          <w:szCs w:val="24"/>
        </w:rPr>
        <w:t>Age Distribution</w:t>
      </w:r>
      <w:r>
        <w:rPr>
          <w:rFonts w:hint="default" w:cs="Times New Roman"/>
          <w:b/>
          <w:bCs/>
          <w:sz w:val="24"/>
          <w:szCs w:val="24"/>
          <w:lang w:val="en-US"/>
        </w:rPr>
        <w:t xml:space="preserve"> </w:t>
      </w:r>
    </w:p>
    <w:p w14:paraId="7D596F3D">
      <w:pPr>
        <w:pStyle w:val="9"/>
        <w:keepNext w:val="0"/>
        <w:keepLines w:val="0"/>
        <w:widowControl/>
        <w:suppressLineNumbers w:val="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rPr>
        <w:t>Age composition is an important factor when analysing the use of digital financial services because different age groups often demonstrate varying levels of familiarity with mobile technologies and digital platforms. Younger and middle-aged individuals tend to adopt mobile payment solutions more quickly due to greater exposure to smartphones, internet services, and digital applications (GSMA, 2024). Examining the age structure of respondents therefore provides useful insight into which population segments are most actively engaged in public digital payment systems.</w:t>
      </w:r>
    </w:p>
    <w:p w14:paraId="64DCA3F9">
      <w:pPr>
        <w:bidi w:val="0"/>
        <w:rPr>
          <w:rFonts w:hint="default" w:ascii="Times New Roman" w:hAnsi="Times New Roman" w:cs="Times New Roman"/>
          <w:b/>
          <w:bCs/>
          <w:sz w:val="24"/>
          <w:szCs w:val="24"/>
          <w:lang w:val="en-US"/>
        </w:rPr>
      </w:pPr>
      <w:r>
        <w:rPr>
          <w:rFonts w:hint="default" w:cs="Times New Roman"/>
          <w:b/>
          <w:bCs/>
          <w:sz w:val="24"/>
          <w:szCs w:val="24"/>
          <w:lang w:val="en-US"/>
        </w:rPr>
        <w:t xml:space="preserve">Table 2: </w:t>
      </w:r>
      <w:r>
        <w:rPr>
          <w:rFonts w:hint="default" w:ascii="Times New Roman" w:hAnsi="Times New Roman" w:cs="Times New Roman"/>
          <w:b/>
          <w:bCs/>
          <w:sz w:val="24"/>
          <w:szCs w:val="24"/>
          <w:lang w:val="en-US"/>
        </w:rPr>
        <w:t>Age distribution</w:t>
      </w:r>
    </w:p>
    <w:p w14:paraId="7F220C6C">
      <w:pPr>
        <w:bidi w:val="0"/>
        <w:rPr>
          <w:rFonts w:hint="default" w:ascii="Times New Roman" w:hAnsi="Times New Roman" w:cs="Times New Roman"/>
          <w:b/>
          <w:bCs/>
          <w:sz w:val="24"/>
          <w:szCs w:val="24"/>
          <w:lang w:val="en-US"/>
        </w:rPr>
      </w:pPr>
    </w:p>
    <w:tbl>
      <w:tblPr>
        <w:tblStyle w:val="11"/>
        <w:tblW w:w="0" w:type="auto"/>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2"/>
        <w:gridCol w:w="2841"/>
        <w:gridCol w:w="2717"/>
      </w:tblGrid>
      <w:tr w14:paraId="10B3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2" w:type="dxa"/>
            <w:tcBorders>
              <w:left w:val="nil"/>
            </w:tcBorders>
          </w:tcPr>
          <w:p w14:paraId="702B17F5">
            <w:pPr>
              <w:widowControl w:val="0"/>
              <w:bidi w:val="0"/>
              <w:jc w:val="both"/>
              <w:rPr>
                <w:rFonts w:hint="default" w:ascii="Times New Roman" w:hAnsi="Times New Roman" w:cs="Times New Roman"/>
                <w:b/>
                <w:bCs/>
                <w:sz w:val="24"/>
                <w:szCs w:val="24"/>
                <w:lang w:val="en-US"/>
              </w:rPr>
            </w:pPr>
          </w:p>
          <w:p w14:paraId="6041E51E">
            <w:pPr>
              <w:widowControl w:val="0"/>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Age Group</w:t>
            </w:r>
          </w:p>
        </w:tc>
        <w:tc>
          <w:tcPr>
            <w:tcW w:w="2841" w:type="dxa"/>
          </w:tcPr>
          <w:p w14:paraId="3159E842">
            <w:pPr>
              <w:widowControl w:val="0"/>
              <w:bidi w:val="0"/>
              <w:jc w:val="both"/>
              <w:rPr>
                <w:rFonts w:hint="default" w:ascii="Times New Roman" w:hAnsi="Times New Roman" w:cs="Times New Roman"/>
                <w:b/>
                <w:bCs/>
                <w:sz w:val="24"/>
                <w:szCs w:val="24"/>
                <w:lang w:val="en-US"/>
              </w:rPr>
            </w:pPr>
          </w:p>
          <w:p w14:paraId="6B0F08E8">
            <w:pPr>
              <w:widowControl w:val="0"/>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Frecuency</w:t>
            </w:r>
          </w:p>
        </w:tc>
        <w:tc>
          <w:tcPr>
            <w:tcW w:w="2717" w:type="dxa"/>
            <w:tcBorders>
              <w:right w:val="nil"/>
            </w:tcBorders>
          </w:tcPr>
          <w:p w14:paraId="72FDF19B">
            <w:pPr>
              <w:widowControl w:val="0"/>
              <w:bidi w:val="0"/>
              <w:jc w:val="both"/>
              <w:rPr>
                <w:rFonts w:hint="default" w:ascii="Times New Roman" w:hAnsi="Times New Roman" w:cs="Times New Roman"/>
                <w:b/>
                <w:bCs/>
                <w:sz w:val="24"/>
                <w:szCs w:val="24"/>
                <w:lang w:val="en-US"/>
              </w:rPr>
            </w:pPr>
          </w:p>
          <w:p w14:paraId="6D4D776B">
            <w:pPr>
              <w:widowControl w:val="0"/>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Percentage %</w:t>
            </w:r>
          </w:p>
        </w:tc>
      </w:tr>
      <w:tr w14:paraId="0AAD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2" w:type="dxa"/>
            <w:tcBorders>
              <w:left w:val="nil"/>
            </w:tcBorders>
          </w:tcPr>
          <w:p w14:paraId="7E50277A">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18 - 25 years</w:t>
            </w:r>
          </w:p>
        </w:tc>
        <w:tc>
          <w:tcPr>
            <w:tcW w:w="2841" w:type="dxa"/>
          </w:tcPr>
          <w:p w14:paraId="6FEEB998">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38</w:t>
            </w:r>
          </w:p>
        </w:tc>
        <w:tc>
          <w:tcPr>
            <w:tcW w:w="2717" w:type="dxa"/>
            <w:tcBorders>
              <w:right w:val="nil"/>
            </w:tcBorders>
          </w:tcPr>
          <w:p w14:paraId="1C93E4EC">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21</w:t>
            </w:r>
          </w:p>
        </w:tc>
      </w:tr>
      <w:tr w14:paraId="7E7D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2" w:type="dxa"/>
            <w:tcBorders>
              <w:left w:val="nil"/>
            </w:tcBorders>
          </w:tcPr>
          <w:p w14:paraId="070BBE71">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26 - 35 years</w:t>
            </w:r>
          </w:p>
        </w:tc>
        <w:tc>
          <w:tcPr>
            <w:tcW w:w="2841" w:type="dxa"/>
          </w:tcPr>
          <w:p w14:paraId="7BDB614E">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71</w:t>
            </w:r>
          </w:p>
        </w:tc>
        <w:tc>
          <w:tcPr>
            <w:tcW w:w="2717" w:type="dxa"/>
            <w:tcBorders>
              <w:right w:val="nil"/>
            </w:tcBorders>
          </w:tcPr>
          <w:p w14:paraId="35CCD93A">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39</w:t>
            </w:r>
          </w:p>
        </w:tc>
      </w:tr>
      <w:tr w14:paraId="5EC0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2" w:type="dxa"/>
            <w:tcBorders>
              <w:left w:val="nil"/>
            </w:tcBorders>
          </w:tcPr>
          <w:p w14:paraId="336C9137">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36 - 45 years</w:t>
            </w:r>
          </w:p>
        </w:tc>
        <w:tc>
          <w:tcPr>
            <w:tcW w:w="2841" w:type="dxa"/>
          </w:tcPr>
          <w:p w14:paraId="32B29D28">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49</w:t>
            </w:r>
          </w:p>
        </w:tc>
        <w:tc>
          <w:tcPr>
            <w:tcW w:w="2717" w:type="dxa"/>
            <w:tcBorders>
              <w:right w:val="nil"/>
            </w:tcBorders>
          </w:tcPr>
          <w:p w14:paraId="5FECDF2C">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27</w:t>
            </w:r>
          </w:p>
        </w:tc>
      </w:tr>
      <w:tr w14:paraId="3DE1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2" w:type="dxa"/>
            <w:tcBorders>
              <w:left w:val="nil"/>
            </w:tcBorders>
          </w:tcPr>
          <w:p w14:paraId="5C47ABDF">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Above 45 years</w:t>
            </w:r>
          </w:p>
        </w:tc>
        <w:tc>
          <w:tcPr>
            <w:tcW w:w="2841" w:type="dxa"/>
          </w:tcPr>
          <w:p w14:paraId="370074C8">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24</w:t>
            </w:r>
          </w:p>
        </w:tc>
        <w:tc>
          <w:tcPr>
            <w:tcW w:w="2717" w:type="dxa"/>
            <w:tcBorders>
              <w:right w:val="nil"/>
            </w:tcBorders>
          </w:tcPr>
          <w:p w14:paraId="5D36A12A">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13</w:t>
            </w:r>
          </w:p>
        </w:tc>
      </w:tr>
      <w:tr w14:paraId="48BCF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2" w:type="dxa"/>
            <w:tcBorders>
              <w:left w:val="nil"/>
            </w:tcBorders>
          </w:tcPr>
          <w:p w14:paraId="5A8A6E1E">
            <w:pPr>
              <w:widowControl w:val="0"/>
              <w:bidi w:val="0"/>
              <w:jc w:val="both"/>
              <w:rPr>
                <w:rFonts w:hint="default" w:ascii="Times New Roman" w:hAnsi="Times New Roman" w:cs="Times New Roman"/>
                <w:b/>
                <w:bCs/>
                <w:sz w:val="24"/>
                <w:szCs w:val="24"/>
                <w:lang w:val="en-US"/>
              </w:rPr>
            </w:pPr>
          </w:p>
          <w:p w14:paraId="092A1550">
            <w:pPr>
              <w:widowControl w:val="0"/>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Total</w:t>
            </w:r>
          </w:p>
        </w:tc>
        <w:tc>
          <w:tcPr>
            <w:tcW w:w="2841" w:type="dxa"/>
          </w:tcPr>
          <w:p w14:paraId="24A03B3C">
            <w:pPr>
              <w:widowControl w:val="0"/>
              <w:bidi w:val="0"/>
              <w:jc w:val="both"/>
              <w:rPr>
                <w:rFonts w:hint="default" w:ascii="Times New Roman" w:hAnsi="Times New Roman" w:cs="Times New Roman"/>
                <w:b/>
                <w:bCs/>
                <w:sz w:val="24"/>
                <w:szCs w:val="24"/>
                <w:lang w:val="en-US"/>
              </w:rPr>
            </w:pPr>
          </w:p>
          <w:p w14:paraId="338623FC">
            <w:pPr>
              <w:widowControl w:val="0"/>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182</w:t>
            </w:r>
          </w:p>
        </w:tc>
        <w:tc>
          <w:tcPr>
            <w:tcW w:w="2717" w:type="dxa"/>
            <w:tcBorders>
              <w:right w:val="nil"/>
            </w:tcBorders>
          </w:tcPr>
          <w:p w14:paraId="652A9BA0">
            <w:pPr>
              <w:widowControl w:val="0"/>
              <w:bidi w:val="0"/>
              <w:jc w:val="both"/>
              <w:rPr>
                <w:rFonts w:hint="default" w:ascii="Times New Roman" w:hAnsi="Times New Roman" w:cs="Times New Roman"/>
                <w:b/>
                <w:bCs/>
                <w:sz w:val="24"/>
                <w:szCs w:val="24"/>
                <w:lang w:val="en-US"/>
              </w:rPr>
            </w:pPr>
          </w:p>
          <w:p w14:paraId="0002FDD7">
            <w:pPr>
              <w:widowControl w:val="0"/>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100</w:t>
            </w:r>
          </w:p>
        </w:tc>
      </w:tr>
    </w:tbl>
    <w:p w14:paraId="2AD38965">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findings show that the largest proportion of respondents falls within the </w:t>
      </w:r>
      <w:r>
        <w:rPr>
          <w:rStyle w:val="10"/>
          <w:rFonts w:hint="default" w:ascii="Times New Roman" w:hAnsi="Times New Roman" w:cs="Times New Roman"/>
          <w:b w:val="0"/>
          <w:bCs w:val="0"/>
          <w:sz w:val="24"/>
          <w:szCs w:val="24"/>
        </w:rPr>
        <w:t>26–35 years age category</w:t>
      </w:r>
      <w:r>
        <w:rPr>
          <w:rFonts w:hint="default" w:ascii="Times New Roman" w:hAnsi="Times New Roman" w:cs="Times New Roman"/>
          <w:b w:val="0"/>
          <w:bCs w:val="0"/>
          <w:sz w:val="24"/>
          <w:szCs w:val="24"/>
        </w:rPr>
        <w:t xml:space="preserve">, accounting for </w:t>
      </w:r>
      <w:r>
        <w:rPr>
          <w:rStyle w:val="10"/>
          <w:rFonts w:hint="default" w:ascii="Times New Roman" w:hAnsi="Times New Roman" w:cs="Times New Roman"/>
          <w:b w:val="0"/>
          <w:bCs w:val="0"/>
          <w:sz w:val="24"/>
          <w:szCs w:val="24"/>
        </w:rPr>
        <w:t>39% of the total sample</w:t>
      </w:r>
      <w:r>
        <w:rPr>
          <w:rFonts w:hint="default" w:ascii="Times New Roman" w:hAnsi="Times New Roman" w:cs="Times New Roman"/>
          <w:b w:val="0"/>
          <w:bCs w:val="0"/>
          <w:sz w:val="24"/>
          <w:szCs w:val="24"/>
        </w:rPr>
        <w:t>. This group represents the most active segment of users of public digital payment services. Individuals within this age bracket are generally part of the economically productive population and often rely on mobile technologies for everyday financial transactions such as paying utility bills, purchasing services, and transferring funds.</w:t>
      </w:r>
    </w:p>
    <w:p w14:paraId="649241D5">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Respondents aged </w:t>
      </w:r>
      <w:r>
        <w:rPr>
          <w:rStyle w:val="10"/>
          <w:rFonts w:hint="default" w:ascii="Times New Roman" w:hAnsi="Times New Roman" w:cs="Times New Roman"/>
          <w:b w:val="0"/>
          <w:bCs w:val="0"/>
          <w:sz w:val="24"/>
          <w:szCs w:val="24"/>
        </w:rPr>
        <w:t>36–45 years</w:t>
      </w:r>
      <w:r>
        <w:rPr>
          <w:rFonts w:hint="default" w:ascii="Times New Roman" w:hAnsi="Times New Roman" w:cs="Times New Roman"/>
          <w:b w:val="0"/>
          <w:bCs w:val="0"/>
          <w:sz w:val="24"/>
          <w:szCs w:val="24"/>
        </w:rPr>
        <w:t xml:space="preserve"> represent </w:t>
      </w:r>
      <w:r>
        <w:rPr>
          <w:rStyle w:val="10"/>
          <w:rFonts w:hint="default" w:ascii="Times New Roman" w:hAnsi="Times New Roman" w:cs="Times New Roman"/>
          <w:b w:val="0"/>
          <w:bCs w:val="0"/>
          <w:sz w:val="24"/>
          <w:szCs w:val="24"/>
        </w:rPr>
        <w:t>27%</w:t>
      </w:r>
      <w:r>
        <w:rPr>
          <w:rFonts w:hint="default" w:ascii="Times New Roman" w:hAnsi="Times New Roman" w:cs="Times New Roman"/>
          <w:b w:val="0"/>
          <w:bCs w:val="0"/>
          <w:sz w:val="24"/>
          <w:szCs w:val="24"/>
        </w:rPr>
        <w:t xml:space="preserve"> of the sample, indicating that middle-aged individuals also play a substantial role in the use of digital payment platforms. This group typically possesses stable income sources and frequently interacts with public service systems, which may explain their active engagement with mobile payment solutions.</w:t>
      </w:r>
    </w:p>
    <w:p w14:paraId="44A381C7">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w:t>
      </w:r>
      <w:r>
        <w:rPr>
          <w:rStyle w:val="10"/>
          <w:rFonts w:hint="default" w:ascii="Times New Roman" w:hAnsi="Times New Roman" w:cs="Times New Roman"/>
          <w:b w:val="0"/>
          <w:bCs w:val="0"/>
          <w:sz w:val="24"/>
          <w:szCs w:val="24"/>
        </w:rPr>
        <w:t>18–25 years</w:t>
      </w:r>
      <w:r>
        <w:rPr>
          <w:rFonts w:hint="default" w:ascii="Times New Roman" w:hAnsi="Times New Roman" w:cs="Times New Roman"/>
          <w:b w:val="0"/>
          <w:bCs w:val="0"/>
          <w:sz w:val="24"/>
          <w:szCs w:val="24"/>
        </w:rPr>
        <w:t xml:space="preserve"> category accounts for </w:t>
      </w:r>
      <w:r>
        <w:rPr>
          <w:rStyle w:val="10"/>
          <w:rFonts w:hint="default" w:ascii="Times New Roman" w:hAnsi="Times New Roman" w:cs="Times New Roman"/>
          <w:b w:val="0"/>
          <w:bCs w:val="0"/>
          <w:sz w:val="24"/>
          <w:szCs w:val="24"/>
        </w:rPr>
        <w:t>21%</w:t>
      </w:r>
      <w:r>
        <w:rPr>
          <w:rFonts w:hint="default" w:ascii="Times New Roman" w:hAnsi="Times New Roman" w:cs="Times New Roman"/>
          <w:b w:val="0"/>
          <w:bCs w:val="0"/>
          <w:sz w:val="24"/>
          <w:szCs w:val="24"/>
        </w:rPr>
        <w:t xml:space="preserve"> of respondents. Although this group is highly familiar with digital technologies, their relatively lower participation in digital payment services may reflect limited financial responsibilities or lower income levels compared to older groups.</w:t>
      </w:r>
    </w:p>
    <w:p w14:paraId="15CC9267">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Finally, respondents aged </w:t>
      </w:r>
      <w:r>
        <w:rPr>
          <w:rStyle w:val="10"/>
          <w:rFonts w:hint="default" w:ascii="Times New Roman" w:hAnsi="Times New Roman" w:cs="Times New Roman"/>
          <w:b w:val="0"/>
          <w:bCs w:val="0"/>
          <w:sz w:val="24"/>
          <w:szCs w:val="24"/>
        </w:rPr>
        <w:t>above 45 years</w:t>
      </w:r>
      <w:r>
        <w:rPr>
          <w:rFonts w:hint="default" w:ascii="Times New Roman" w:hAnsi="Times New Roman" w:cs="Times New Roman"/>
          <w:b w:val="0"/>
          <w:bCs w:val="0"/>
          <w:sz w:val="24"/>
          <w:szCs w:val="24"/>
        </w:rPr>
        <w:t xml:space="preserve"> constitute </w:t>
      </w:r>
      <w:r>
        <w:rPr>
          <w:rStyle w:val="10"/>
          <w:rFonts w:hint="default" w:ascii="Times New Roman" w:hAnsi="Times New Roman" w:cs="Times New Roman"/>
          <w:b w:val="0"/>
          <w:bCs w:val="0"/>
          <w:sz w:val="24"/>
          <w:szCs w:val="24"/>
        </w:rPr>
        <w:t>13%</w:t>
      </w:r>
      <w:r>
        <w:rPr>
          <w:rFonts w:hint="default" w:ascii="Times New Roman" w:hAnsi="Times New Roman" w:cs="Times New Roman"/>
          <w:b w:val="0"/>
          <w:bCs w:val="0"/>
          <w:sz w:val="24"/>
          <w:szCs w:val="24"/>
        </w:rPr>
        <w:t xml:space="preserve"> of the sample. The comparatively smaller proportion in this category may be linked to lower levels of digital literacy or limited exposure to mobile financial technologies, a pattern also observed in several global studies on digital financial inclusion (Demirgüç-Kunt et al., 2022).</w:t>
      </w:r>
    </w:p>
    <w:p w14:paraId="777264BC">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Overall, the age distribution indicates that </w:t>
      </w:r>
      <w:r>
        <w:rPr>
          <w:rStyle w:val="10"/>
          <w:rFonts w:hint="default" w:ascii="Times New Roman" w:hAnsi="Times New Roman" w:cs="Times New Roman"/>
          <w:b w:val="0"/>
          <w:bCs w:val="0"/>
          <w:sz w:val="24"/>
          <w:szCs w:val="24"/>
        </w:rPr>
        <w:t>economically active adults between 26 and 45 years dominate the use of public digital payment systems</w:t>
      </w:r>
      <w:r>
        <w:rPr>
          <w:rFonts w:hint="default" w:ascii="Times New Roman" w:hAnsi="Times New Roman" w:cs="Times New Roman"/>
          <w:b w:val="0"/>
          <w:bCs w:val="0"/>
          <w:sz w:val="24"/>
          <w:szCs w:val="24"/>
        </w:rPr>
        <w:t>. This finding is consistent with global evidence showing that individuals in their prime working years are more likely to use digital financial services due to greater financial activity and technological engagement (Pew Research Center, 2021). The results therefore suggest that policies aimed at expanding digital payment usage should also consider strategies to encourage participation among younger users and older adults who may face barriers to technology adoption.</w:t>
      </w:r>
    </w:p>
    <w:p w14:paraId="6DF01ECC">
      <w:pPr>
        <w:pStyle w:val="4"/>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Education Level of Respondents</w:t>
      </w:r>
    </w:p>
    <w:p w14:paraId="53192710">
      <w:pPr>
        <w:pStyle w:val="9"/>
        <w:keepNext w:val="0"/>
        <w:keepLines w:val="0"/>
        <w:widowControl/>
        <w:suppressLineNumbers w:val="0"/>
        <w:jc w:val="both"/>
        <w:rPr>
          <w:rFonts w:hint="default"/>
        </w:rPr>
      </w:pPr>
      <w:r>
        <w:rPr>
          <w:b w:val="0"/>
          <w:bCs w:val="0"/>
        </w:rPr>
        <w:t>The level of education among respondents is an important demographic factor in studies related to the adoption of digital technologies, particularly digital financial services. Education often shapes individuals’ ability to understand technological innovations, evaluate their benefits, and confidently engage with digital platforms. Consequently, examining respondents’ educational backgrounds provides useful insight into how literacy and knowledge may influence the use of digital payment systems.</w:t>
      </w:r>
    </w:p>
    <w:p w14:paraId="60D63C7A">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3: Education Level</w:t>
      </w:r>
    </w:p>
    <w:p w14:paraId="17CAFA83">
      <w:pPr>
        <w:rPr>
          <w:rFonts w:hint="default"/>
        </w:rPr>
      </w:pPr>
    </w:p>
    <w:tbl>
      <w:tblPr>
        <w:tblStyle w:val="11"/>
        <w:tblW w:w="0" w:type="auto"/>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2"/>
        <w:gridCol w:w="2841"/>
        <w:gridCol w:w="2717"/>
      </w:tblGrid>
      <w:tr w14:paraId="769DB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2" w:type="dxa"/>
            <w:tcBorders>
              <w:left w:val="nil"/>
            </w:tcBorders>
          </w:tcPr>
          <w:p w14:paraId="0F555425">
            <w:pPr>
              <w:widowControl w:val="0"/>
              <w:bidi w:val="0"/>
              <w:jc w:val="both"/>
              <w:rPr>
                <w:rFonts w:hint="default" w:ascii="Times New Roman" w:hAnsi="Times New Roman" w:cs="Times New Roman"/>
                <w:b/>
                <w:bCs/>
                <w:sz w:val="24"/>
                <w:szCs w:val="24"/>
                <w:lang w:val="en-US"/>
              </w:rPr>
            </w:pPr>
          </w:p>
          <w:p w14:paraId="3E45FE4E">
            <w:pPr>
              <w:widowControl w:val="0"/>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Education level</w:t>
            </w:r>
          </w:p>
        </w:tc>
        <w:tc>
          <w:tcPr>
            <w:tcW w:w="2841" w:type="dxa"/>
          </w:tcPr>
          <w:p w14:paraId="2E5D261B">
            <w:pPr>
              <w:widowControl w:val="0"/>
              <w:bidi w:val="0"/>
              <w:jc w:val="both"/>
              <w:rPr>
                <w:rFonts w:hint="default" w:ascii="Times New Roman" w:hAnsi="Times New Roman" w:cs="Times New Roman"/>
                <w:b/>
                <w:bCs/>
                <w:sz w:val="24"/>
                <w:szCs w:val="24"/>
                <w:lang w:val="en-US"/>
              </w:rPr>
            </w:pPr>
          </w:p>
          <w:p w14:paraId="0D54E2A5">
            <w:pPr>
              <w:widowControl w:val="0"/>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Frecuency</w:t>
            </w:r>
          </w:p>
        </w:tc>
        <w:tc>
          <w:tcPr>
            <w:tcW w:w="2717" w:type="dxa"/>
            <w:tcBorders>
              <w:right w:val="nil"/>
            </w:tcBorders>
          </w:tcPr>
          <w:p w14:paraId="794C6B91">
            <w:pPr>
              <w:widowControl w:val="0"/>
              <w:bidi w:val="0"/>
              <w:jc w:val="both"/>
              <w:rPr>
                <w:rFonts w:hint="default" w:ascii="Times New Roman" w:hAnsi="Times New Roman" w:cs="Times New Roman"/>
                <w:b/>
                <w:bCs/>
                <w:sz w:val="24"/>
                <w:szCs w:val="24"/>
                <w:lang w:val="en-US"/>
              </w:rPr>
            </w:pPr>
          </w:p>
          <w:p w14:paraId="14511D07">
            <w:pPr>
              <w:widowControl w:val="0"/>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Percentage %</w:t>
            </w:r>
          </w:p>
        </w:tc>
      </w:tr>
      <w:tr w14:paraId="79D8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2" w:type="dxa"/>
            <w:tcBorders>
              <w:left w:val="nil"/>
            </w:tcBorders>
          </w:tcPr>
          <w:p w14:paraId="17F364B0">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Secondary Education</w:t>
            </w:r>
          </w:p>
        </w:tc>
        <w:tc>
          <w:tcPr>
            <w:tcW w:w="2841" w:type="dxa"/>
          </w:tcPr>
          <w:p w14:paraId="5E42C2F3">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51</w:t>
            </w:r>
          </w:p>
        </w:tc>
        <w:tc>
          <w:tcPr>
            <w:tcW w:w="2717" w:type="dxa"/>
            <w:tcBorders>
              <w:right w:val="nil"/>
            </w:tcBorders>
          </w:tcPr>
          <w:p w14:paraId="4977A1FC">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28</w:t>
            </w:r>
          </w:p>
        </w:tc>
      </w:tr>
      <w:tr w14:paraId="5AFA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2" w:type="dxa"/>
            <w:tcBorders>
              <w:left w:val="nil"/>
            </w:tcBorders>
          </w:tcPr>
          <w:p w14:paraId="40CBCF10">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Diploma</w:t>
            </w:r>
          </w:p>
        </w:tc>
        <w:tc>
          <w:tcPr>
            <w:tcW w:w="2841" w:type="dxa"/>
          </w:tcPr>
          <w:p w14:paraId="708F0843">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44</w:t>
            </w:r>
          </w:p>
        </w:tc>
        <w:tc>
          <w:tcPr>
            <w:tcW w:w="2717" w:type="dxa"/>
            <w:tcBorders>
              <w:right w:val="nil"/>
            </w:tcBorders>
          </w:tcPr>
          <w:p w14:paraId="0A975F5A">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24</w:t>
            </w:r>
          </w:p>
        </w:tc>
      </w:tr>
      <w:tr w14:paraId="54B5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2" w:type="dxa"/>
            <w:tcBorders>
              <w:left w:val="nil"/>
            </w:tcBorders>
          </w:tcPr>
          <w:p w14:paraId="2B537B88">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Bachelor’s Degree</w:t>
            </w:r>
          </w:p>
        </w:tc>
        <w:tc>
          <w:tcPr>
            <w:tcW w:w="2841" w:type="dxa"/>
          </w:tcPr>
          <w:p w14:paraId="397AA3E1">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62</w:t>
            </w:r>
          </w:p>
        </w:tc>
        <w:tc>
          <w:tcPr>
            <w:tcW w:w="2717" w:type="dxa"/>
            <w:tcBorders>
              <w:right w:val="nil"/>
            </w:tcBorders>
          </w:tcPr>
          <w:p w14:paraId="41F84CC1">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34</w:t>
            </w:r>
          </w:p>
        </w:tc>
      </w:tr>
      <w:tr w14:paraId="35E6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2" w:type="dxa"/>
            <w:tcBorders>
              <w:left w:val="nil"/>
            </w:tcBorders>
          </w:tcPr>
          <w:p w14:paraId="0F9DE0D8">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Postgraduate</w:t>
            </w:r>
          </w:p>
        </w:tc>
        <w:tc>
          <w:tcPr>
            <w:tcW w:w="2841" w:type="dxa"/>
          </w:tcPr>
          <w:p w14:paraId="0BCBE3E1">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25</w:t>
            </w:r>
          </w:p>
        </w:tc>
        <w:tc>
          <w:tcPr>
            <w:tcW w:w="2717" w:type="dxa"/>
            <w:tcBorders>
              <w:right w:val="nil"/>
            </w:tcBorders>
          </w:tcPr>
          <w:p w14:paraId="227DA491">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14</w:t>
            </w:r>
          </w:p>
        </w:tc>
      </w:tr>
      <w:tr w14:paraId="39BE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2" w:type="dxa"/>
            <w:tcBorders>
              <w:left w:val="nil"/>
            </w:tcBorders>
          </w:tcPr>
          <w:p w14:paraId="73A9CD88">
            <w:pPr>
              <w:widowControl w:val="0"/>
              <w:bidi w:val="0"/>
              <w:jc w:val="both"/>
              <w:rPr>
                <w:rFonts w:hint="default" w:ascii="Times New Roman" w:hAnsi="Times New Roman" w:cs="Times New Roman"/>
                <w:b/>
                <w:bCs/>
                <w:sz w:val="24"/>
                <w:szCs w:val="24"/>
                <w:lang w:val="en-US"/>
              </w:rPr>
            </w:pPr>
          </w:p>
          <w:p w14:paraId="155DFEF0">
            <w:pPr>
              <w:widowControl w:val="0"/>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Total</w:t>
            </w:r>
          </w:p>
        </w:tc>
        <w:tc>
          <w:tcPr>
            <w:tcW w:w="2841" w:type="dxa"/>
          </w:tcPr>
          <w:p w14:paraId="61EE3DB1">
            <w:pPr>
              <w:widowControl w:val="0"/>
              <w:bidi w:val="0"/>
              <w:jc w:val="both"/>
              <w:rPr>
                <w:rFonts w:hint="default" w:ascii="Times New Roman" w:hAnsi="Times New Roman" w:cs="Times New Roman"/>
                <w:b/>
                <w:bCs/>
                <w:sz w:val="24"/>
                <w:szCs w:val="24"/>
                <w:lang w:val="en-US"/>
              </w:rPr>
            </w:pPr>
          </w:p>
          <w:p w14:paraId="1B131066">
            <w:pPr>
              <w:widowControl w:val="0"/>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182</w:t>
            </w:r>
          </w:p>
        </w:tc>
        <w:tc>
          <w:tcPr>
            <w:tcW w:w="2717" w:type="dxa"/>
            <w:tcBorders>
              <w:right w:val="nil"/>
            </w:tcBorders>
          </w:tcPr>
          <w:p w14:paraId="3464E473">
            <w:pPr>
              <w:widowControl w:val="0"/>
              <w:bidi w:val="0"/>
              <w:jc w:val="both"/>
              <w:rPr>
                <w:rFonts w:hint="default" w:ascii="Times New Roman" w:hAnsi="Times New Roman" w:cs="Times New Roman"/>
                <w:b/>
                <w:bCs/>
                <w:sz w:val="24"/>
                <w:szCs w:val="24"/>
                <w:lang w:val="en-US"/>
              </w:rPr>
            </w:pPr>
          </w:p>
          <w:p w14:paraId="7F166CCA">
            <w:pPr>
              <w:widowControl w:val="0"/>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100</w:t>
            </w:r>
          </w:p>
        </w:tc>
      </w:tr>
    </w:tbl>
    <w:p w14:paraId="73C58B47">
      <w:pPr>
        <w:pStyle w:val="9"/>
        <w:keepNext w:val="0"/>
        <w:keepLines w:val="0"/>
        <w:widowControl/>
        <w:suppressLineNumbers w:val="0"/>
        <w:jc w:val="both"/>
        <w:rPr>
          <w:b w:val="0"/>
          <w:bCs w:val="0"/>
        </w:rPr>
      </w:pPr>
      <w:r>
        <w:rPr>
          <w:b w:val="0"/>
          <w:bCs w:val="0"/>
        </w:rPr>
        <w:t xml:space="preserve">The results indicate that the largest proportion of respondents held a </w:t>
      </w:r>
      <w:r>
        <w:rPr>
          <w:rStyle w:val="10"/>
          <w:b w:val="0"/>
          <w:bCs w:val="0"/>
        </w:rPr>
        <w:t>Bachelor’s Degree (34%)</w:t>
      </w:r>
      <w:r>
        <w:rPr>
          <w:b w:val="0"/>
          <w:bCs w:val="0"/>
        </w:rPr>
        <w:t xml:space="preserve">, followed by those with </w:t>
      </w:r>
      <w:r>
        <w:rPr>
          <w:rStyle w:val="10"/>
          <w:b w:val="0"/>
          <w:bCs w:val="0"/>
        </w:rPr>
        <w:t>Secondary Education (28%)</w:t>
      </w:r>
      <w:r>
        <w:rPr>
          <w:b w:val="0"/>
          <w:bCs w:val="0"/>
        </w:rPr>
        <w:t xml:space="preserve">, </w:t>
      </w:r>
      <w:r>
        <w:rPr>
          <w:rStyle w:val="10"/>
          <w:b w:val="0"/>
          <w:bCs w:val="0"/>
        </w:rPr>
        <w:t>Diploma qualifications (24%)</w:t>
      </w:r>
      <w:r>
        <w:rPr>
          <w:b w:val="0"/>
          <w:bCs w:val="0"/>
        </w:rPr>
        <w:t xml:space="preserve">, and </w:t>
      </w:r>
      <w:r>
        <w:rPr>
          <w:rStyle w:val="10"/>
          <w:b w:val="0"/>
          <w:bCs w:val="0"/>
        </w:rPr>
        <w:t>Postgraduate education (14%)</w:t>
      </w:r>
      <w:r>
        <w:rPr>
          <w:b w:val="0"/>
          <w:bCs w:val="0"/>
        </w:rPr>
        <w:t>. This distribution suggests that most respondents possess at least a moderate level of formal education, which may contribute to their understanding and adoption of digital financial services.</w:t>
      </w:r>
    </w:p>
    <w:p w14:paraId="0B6F2992">
      <w:pPr>
        <w:pStyle w:val="9"/>
        <w:keepNext w:val="0"/>
        <w:keepLines w:val="0"/>
        <w:widowControl/>
        <w:suppressLineNumbers w:val="0"/>
        <w:jc w:val="both"/>
        <w:rPr>
          <w:b w:val="0"/>
          <w:bCs w:val="0"/>
        </w:rPr>
      </w:pPr>
      <w:r>
        <w:rPr>
          <w:b w:val="0"/>
          <w:bCs w:val="0"/>
        </w:rPr>
        <w:t>A relatively high proportion of respondents with tertiary education is significant in the context of digital payment systems. Individuals with higher levels of education are often more exposed to information technology and are generally more comfortable using digital tools in their daily activities. According to Venkatesh</w:t>
      </w:r>
      <w:r>
        <w:rPr>
          <w:rFonts w:hint="default"/>
          <w:b w:val="0"/>
          <w:bCs w:val="0"/>
          <w:lang w:val="en-US"/>
        </w:rPr>
        <w:t xml:space="preserve"> </w:t>
      </w:r>
      <w:r>
        <w:rPr>
          <w:b w:val="0"/>
          <w:bCs w:val="0"/>
        </w:rPr>
        <w:t>et al (2012), education plays a crucial role in shaping users’ perceptions of technology usefulness and ease of use, which are key determinants in the adoption of information systems.</w:t>
      </w:r>
    </w:p>
    <w:p w14:paraId="3C3DE061">
      <w:pPr>
        <w:pStyle w:val="9"/>
        <w:keepNext w:val="0"/>
        <w:keepLines w:val="0"/>
        <w:widowControl/>
        <w:suppressLineNumbers w:val="0"/>
        <w:jc w:val="both"/>
        <w:rPr>
          <w:b w:val="0"/>
          <w:bCs w:val="0"/>
        </w:rPr>
      </w:pPr>
      <w:r>
        <w:rPr>
          <w:b w:val="0"/>
          <w:bCs w:val="0"/>
        </w:rPr>
        <w:t xml:space="preserve">Furthermore, education is closely associated with </w:t>
      </w:r>
      <w:r>
        <w:rPr>
          <w:rStyle w:val="10"/>
          <w:b w:val="0"/>
          <w:bCs w:val="0"/>
        </w:rPr>
        <w:t>financial literacy</w:t>
      </w:r>
      <w:r>
        <w:rPr>
          <w:b w:val="0"/>
          <w:bCs w:val="0"/>
        </w:rPr>
        <w:t>, which enhances an individual’s ability to make informed financial decisions and safely use digital financial platforms. People with higher educational attainment tend to better understand the functionality, benefits, and potential risks associated with digital transactions. As highlighted by Demirgüç-Kunt et al. (2022), individuals with greater levels of education are more likely to utilize formal financial services, including digital payments, due to their improved financial knowledge and confidence in using financial technologies.</w:t>
      </w:r>
    </w:p>
    <w:p w14:paraId="4FC010E4">
      <w:pPr>
        <w:pStyle w:val="9"/>
        <w:keepNext w:val="0"/>
        <w:keepLines w:val="0"/>
        <w:widowControl/>
        <w:suppressLineNumbers w:val="0"/>
        <w:jc w:val="both"/>
        <w:rPr>
          <w:b w:val="0"/>
          <w:bCs w:val="0"/>
        </w:rPr>
      </w:pPr>
      <w:r>
        <w:rPr>
          <w:b w:val="0"/>
          <w:bCs w:val="0"/>
        </w:rPr>
        <w:t>In addition, education contributes to the acceptance of technological innovations within society. Users who have attained higher education are more likely to experiment with and adopt new digital financial tools such as mobile payments, online banking, and other fintech services. Ozili (2020) notes that education significantly influences the diffusion of financial technologies by increasing individuals’ awareness and trust in digital financial systems.</w:t>
      </w:r>
    </w:p>
    <w:p w14:paraId="28AB6C6A">
      <w:pPr>
        <w:pStyle w:val="9"/>
        <w:keepNext w:val="0"/>
        <w:keepLines w:val="0"/>
        <w:widowControl/>
        <w:suppressLineNumbers w:val="0"/>
        <w:jc w:val="both"/>
        <w:rPr>
          <w:b w:val="0"/>
          <w:bCs w:val="0"/>
        </w:rPr>
      </w:pPr>
      <w:r>
        <w:rPr>
          <w:b w:val="0"/>
          <w:bCs w:val="0"/>
        </w:rPr>
        <w:t>Overall, the findings imply that educational attainment may play an important role in facilitating the adoption and use of digital payment services. A population with higher levels of education is generally better positioned to understand the advantages of digital financial platforms, navigate digital interfaces, and utilize these systems efficiently for financial transactions.</w:t>
      </w:r>
    </w:p>
    <w:p w14:paraId="71F76ED6">
      <w:pPr>
        <w:pStyle w:val="2"/>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Mobile Network Operators Used for Digital Payments</w:t>
      </w:r>
    </w:p>
    <w:p w14:paraId="510F7F62">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Respondents were asked to indicate the mobile network operator they most frequently use when conducting public digital payment transactions. Understanding the distribution of mobile network usage is important because mobile network operators serve as the primary platforms through which digital financial services are delivered in Tanzania. Services such as mobile money transfers, bill payments, and government payments are largely facilitated through mobile network infrastructures.</w:t>
      </w:r>
    </w:p>
    <w:p w14:paraId="487E297D">
      <w:pPr>
        <w:pStyle w:val="9"/>
        <w:keepNext w:val="0"/>
        <w:keepLines w:val="0"/>
        <w:widowControl/>
        <w:suppressLineNumbers w:val="0"/>
        <w:jc w:val="both"/>
        <w:rPr>
          <w:rFonts w:hint="default" w:ascii="Times New Roman" w:hAnsi="Times New Roman" w:cs="Times New Roman"/>
          <w:b/>
          <w:bCs/>
          <w:sz w:val="24"/>
          <w:szCs w:val="24"/>
          <w:lang w:val="en-US"/>
        </w:rPr>
      </w:pPr>
      <w:r>
        <w:rPr>
          <w:rFonts w:hint="default" w:cs="Times New Roman"/>
          <w:b/>
          <w:bCs/>
          <w:sz w:val="24"/>
          <w:szCs w:val="24"/>
          <w:lang w:val="en-US"/>
        </w:rPr>
        <w:t xml:space="preserve">Table 4: </w:t>
      </w:r>
      <w:r>
        <w:rPr>
          <w:rFonts w:hint="default" w:ascii="Times New Roman" w:hAnsi="Times New Roman" w:cs="Times New Roman"/>
          <w:b/>
          <w:bCs/>
          <w:sz w:val="24"/>
          <w:szCs w:val="24"/>
        </w:rPr>
        <w:t>Mobile Network Operators Used for Digital Payments</w:t>
      </w:r>
    </w:p>
    <w:tbl>
      <w:tblPr>
        <w:tblStyle w:val="11"/>
        <w:tblW w:w="0" w:type="auto"/>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3"/>
        <w:gridCol w:w="2570"/>
        <w:gridCol w:w="2717"/>
      </w:tblGrid>
      <w:tr w14:paraId="39BD5635">
        <w:tblPrEx>
          <w:tblCellMar>
            <w:top w:w="0" w:type="dxa"/>
            <w:left w:w="108" w:type="dxa"/>
            <w:bottom w:w="0" w:type="dxa"/>
            <w:right w:w="108" w:type="dxa"/>
          </w:tblCellMar>
        </w:tblPrEx>
        <w:tc>
          <w:tcPr>
            <w:tcW w:w="2963" w:type="dxa"/>
            <w:tcBorders>
              <w:left w:val="nil"/>
            </w:tcBorders>
          </w:tcPr>
          <w:p w14:paraId="0554F2B8">
            <w:pPr>
              <w:widowControl w:val="0"/>
              <w:bidi w:val="0"/>
              <w:jc w:val="both"/>
              <w:rPr>
                <w:rFonts w:hint="default" w:ascii="Times New Roman" w:hAnsi="Times New Roman" w:cs="Times New Roman"/>
                <w:b/>
                <w:bCs/>
                <w:sz w:val="24"/>
                <w:szCs w:val="24"/>
                <w:lang w:val="en-US"/>
              </w:rPr>
            </w:pPr>
          </w:p>
          <w:p w14:paraId="7C7A3462">
            <w:pPr>
              <w:widowControl w:val="0"/>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Mobile Network Operator</w:t>
            </w:r>
          </w:p>
        </w:tc>
        <w:tc>
          <w:tcPr>
            <w:tcW w:w="2570" w:type="dxa"/>
          </w:tcPr>
          <w:p w14:paraId="186AB190">
            <w:pPr>
              <w:widowControl w:val="0"/>
              <w:bidi w:val="0"/>
              <w:jc w:val="both"/>
              <w:rPr>
                <w:rFonts w:hint="default" w:ascii="Times New Roman" w:hAnsi="Times New Roman" w:cs="Times New Roman"/>
                <w:b/>
                <w:bCs/>
                <w:sz w:val="24"/>
                <w:szCs w:val="24"/>
                <w:lang w:val="en-US"/>
              </w:rPr>
            </w:pPr>
          </w:p>
          <w:p w14:paraId="54BD2564">
            <w:pPr>
              <w:widowControl w:val="0"/>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Frecuency</w:t>
            </w:r>
          </w:p>
        </w:tc>
        <w:tc>
          <w:tcPr>
            <w:tcW w:w="2717" w:type="dxa"/>
            <w:tcBorders>
              <w:right w:val="nil"/>
            </w:tcBorders>
          </w:tcPr>
          <w:p w14:paraId="5919919A">
            <w:pPr>
              <w:widowControl w:val="0"/>
              <w:bidi w:val="0"/>
              <w:jc w:val="both"/>
              <w:rPr>
                <w:rFonts w:hint="default" w:ascii="Times New Roman" w:hAnsi="Times New Roman" w:cs="Times New Roman"/>
                <w:b/>
                <w:bCs/>
                <w:sz w:val="24"/>
                <w:szCs w:val="24"/>
                <w:lang w:val="en-US"/>
              </w:rPr>
            </w:pPr>
          </w:p>
          <w:p w14:paraId="6F697C57">
            <w:pPr>
              <w:widowControl w:val="0"/>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Percentage %</w:t>
            </w:r>
          </w:p>
        </w:tc>
      </w:tr>
      <w:tr w14:paraId="7C47C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3" w:type="dxa"/>
            <w:tcBorders>
              <w:left w:val="nil"/>
            </w:tcBorders>
          </w:tcPr>
          <w:p w14:paraId="7A3DE460">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Vodacom</w:t>
            </w:r>
          </w:p>
        </w:tc>
        <w:tc>
          <w:tcPr>
            <w:tcW w:w="2570" w:type="dxa"/>
          </w:tcPr>
          <w:p w14:paraId="63413E46">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69</w:t>
            </w:r>
          </w:p>
        </w:tc>
        <w:tc>
          <w:tcPr>
            <w:tcW w:w="2717" w:type="dxa"/>
            <w:tcBorders>
              <w:right w:val="nil"/>
            </w:tcBorders>
          </w:tcPr>
          <w:p w14:paraId="130C755B">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38</w:t>
            </w:r>
          </w:p>
        </w:tc>
      </w:tr>
      <w:tr w14:paraId="1A4E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3" w:type="dxa"/>
            <w:tcBorders>
              <w:left w:val="nil"/>
            </w:tcBorders>
          </w:tcPr>
          <w:p w14:paraId="00962DD1">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Airtel</w:t>
            </w:r>
          </w:p>
        </w:tc>
        <w:tc>
          <w:tcPr>
            <w:tcW w:w="2570" w:type="dxa"/>
          </w:tcPr>
          <w:p w14:paraId="5A26515A">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49</w:t>
            </w:r>
          </w:p>
        </w:tc>
        <w:tc>
          <w:tcPr>
            <w:tcW w:w="2717" w:type="dxa"/>
            <w:tcBorders>
              <w:right w:val="nil"/>
            </w:tcBorders>
          </w:tcPr>
          <w:p w14:paraId="77B90D51">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27</w:t>
            </w:r>
          </w:p>
        </w:tc>
      </w:tr>
      <w:tr w14:paraId="524E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3" w:type="dxa"/>
            <w:tcBorders>
              <w:left w:val="nil"/>
            </w:tcBorders>
          </w:tcPr>
          <w:p w14:paraId="64FA831F">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Tigo (Yas)</w:t>
            </w:r>
          </w:p>
        </w:tc>
        <w:tc>
          <w:tcPr>
            <w:tcW w:w="2570" w:type="dxa"/>
          </w:tcPr>
          <w:p w14:paraId="5F6F3E71">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44</w:t>
            </w:r>
          </w:p>
        </w:tc>
        <w:tc>
          <w:tcPr>
            <w:tcW w:w="2717" w:type="dxa"/>
            <w:tcBorders>
              <w:right w:val="nil"/>
            </w:tcBorders>
          </w:tcPr>
          <w:p w14:paraId="414E7429">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24</w:t>
            </w:r>
          </w:p>
        </w:tc>
      </w:tr>
      <w:tr w14:paraId="3E6D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3" w:type="dxa"/>
            <w:tcBorders>
              <w:left w:val="nil"/>
            </w:tcBorders>
          </w:tcPr>
          <w:p w14:paraId="0D9B5BF0">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Halotel</w:t>
            </w:r>
          </w:p>
        </w:tc>
        <w:tc>
          <w:tcPr>
            <w:tcW w:w="2570" w:type="dxa"/>
          </w:tcPr>
          <w:p w14:paraId="6F564F72">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20</w:t>
            </w:r>
          </w:p>
        </w:tc>
        <w:tc>
          <w:tcPr>
            <w:tcW w:w="2717" w:type="dxa"/>
            <w:tcBorders>
              <w:right w:val="nil"/>
            </w:tcBorders>
          </w:tcPr>
          <w:p w14:paraId="40A5AF10">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11</w:t>
            </w:r>
          </w:p>
        </w:tc>
      </w:tr>
      <w:tr w14:paraId="75DA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3" w:type="dxa"/>
            <w:tcBorders>
              <w:left w:val="nil"/>
            </w:tcBorders>
          </w:tcPr>
          <w:p w14:paraId="79935DE1">
            <w:pPr>
              <w:widowControl w:val="0"/>
              <w:bidi w:val="0"/>
              <w:jc w:val="both"/>
              <w:rPr>
                <w:rFonts w:hint="default" w:ascii="Times New Roman" w:hAnsi="Times New Roman" w:cs="Times New Roman"/>
                <w:b/>
                <w:bCs/>
                <w:sz w:val="24"/>
                <w:szCs w:val="24"/>
                <w:lang w:val="en-US"/>
              </w:rPr>
            </w:pPr>
          </w:p>
          <w:p w14:paraId="4394A3B6">
            <w:pPr>
              <w:widowControl w:val="0"/>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Total</w:t>
            </w:r>
          </w:p>
        </w:tc>
        <w:tc>
          <w:tcPr>
            <w:tcW w:w="2570" w:type="dxa"/>
          </w:tcPr>
          <w:p w14:paraId="3AF78BC0">
            <w:pPr>
              <w:widowControl w:val="0"/>
              <w:bidi w:val="0"/>
              <w:jc w:val="both"/>
              <w:rPr>
                <w:rFonts w:hint="default" w:ascii="Times New Roman" w:hAnsi="Times New Roman" w:cs="Times New Roman"/>
                <w:b/>
                <w:bCs/>
                <w:sz w:val="24"/>
                <w:szCs w:val="24"/>
                <w:lang w:val="en-US"/>
              </w:rPr>
            </w:pPr>
          </w:p>
          <w:p w14:paraId="5FBA8F19">
            <w:pPr>
              <w:widowControl w:val="0"/>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182</w:t>
            </w:r>
          </w:p>
        </w:tc>
        <w:tc>
          <w:tcPr>
            <w:tcW w:w="2717" w:type="dxa"/>
            <w:tcBorders>
              <w:right w:val="nil"/>
            </w:tcBorders>
          </w:tcPr>
          <w:p w14:paraId="34A8A100">
            <w:pPr>
              <w:widowControl w:val="0"/>
              <w:bidi w:val="0"/>
              <w:jc w:val="both"/>
              <w:rPr>
                <w:rFonts w:hint="default" w:ascii="Times New Roman" w:hAnsi="Times New Roman" w:cs="Times New Roman"/>
                <w:b/>
                <w:bCs/>
                <w:sz w:val="24"/>
                <w:szCs w:val="24"/>
                <w:lang w:val="en-US"/>
              </w:rPr>
            </w:pPr>
          </w:p>
          <w:p w14:paraId="4B856044">
            <w:pPr>
              <w:widowControl w:val="0"/>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100</w:t>
            </w:r>
          </w:p>
        </w:tc>
      </w:tr>
    </w:tbl>
    <w:p w14:paraId="7C602E09">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findings presented in Table </w:t>
      </w:r>
      <w:r>
        <w:rPr>
          <w:rFonts w:hint="default" w:cs="Times New Roman"/>
          <w:b w:val="0"/>
          <w:bCs w:val="0"/>
          <w:sz w:val="24"/>
          <w:szCs w:val="24"/>
          <w:lang w:val="en-US"/>
        </w:rPr>
        <w:t>4</w:t>
      </w:r>
      <w:r>
        <w:rPr>
          <w:rFonts w:hint="default" w:ascii="Times New Roman" w:hAnsi="Times New Roman" w:cs="Times New Roman"/>
          <w:b w:val="0"/>
          <w:bCs w:val="0"/>
          <w:sz w:val="24"/>
          <w:szCs w:val="24"/>
        </w:rPr>
        <w:t xml:space="preserve"> indicate that </w:t>
      </w:r>
      <w:r>
        <w:rPr>
          <w:rStyle w:val="10"/>
          <w:rFonts w:hint="default" w:ascii="Times New Roman" w:hAnsi="Times New Roman" w:cs="Times New Roman"/>
          <w:b w:val="0"/>
          <w:bCs w:val="0"/>
          <w:sz w:val="24"/>
          <w:szCs w:val="24"/>
        </w:rPr>
        <w:t>Vodacom</w:t>
      </w:r>
      <w:r>
        <w:rPr>
          <w:rFonts w:hint="default" w:ascii="Times New Roman" w:hAnsi="Times New Roman" w:cs="Times New Roman"/>
          <w:b w:val="0"/>
          <w:bCs w:val="0"/>
          <w:sz w:val="24"/>
          <w:szCs w:val="24"/>
        </w:rPr>
        <w:t xml:space="preserve"> is the most frequently used mobile network operator for digital payment transactions, accounting for </w:t>
      </w:r>
      <w:r>
        <w:rPr>
          <w:rStyle w:val="10"/>
          <w:rFonts w:hint="default" w:ascii="Times New Roman" w:hAnsi="Times New Roman" w:cs="Times New Roman"/>
          <w:b w:val="0"/>
          <w:bCs w:val="0"/>
          <w:sz w:val="24"/>
          <w:szCs w:val="24"/>
        </w:rPr>
        <w:t>38 percent</w:t>
      </w:r>
      <w:r>
        <w:rPr>
          <w:rFonts w:hint="default" w:ascii="Times New Roman" w:hAnsi="Times New Roman" w:cs="Times New Roman"/>
          <w:b w:val="0"/>
          <w:bCs w:val="0"/>
          <w:sz w:val="24"/>
          <w:szCs w:val="24"/>
        </w:rPr>
        <w:t xml:space="preserve"> of respondents. This suggests that a considerable proportion of users prefer Vodacom services when making digital payments. One possible explanation for this trend is the widespread adoption of Vodacom’s mobile money service, M-Pesa, which has become one of the most established digital payment platforms in Tanzania. The platform has expanded its reach through extensive agent networks, reliable service infrastructure, and integration with various payment systems used for public and private transactions (Suri </w:t>
      </w:r>
      <w:r>
        <w:rPr>
          <w:rFonts w:hint="default" w:cs="Times New Roman"/>
          <w:b w:val="0"/>
          <w:bCs w:val="0"/>
          <w:sz w:val="24"/>
          <w:szCs w:val="24"/>
          <w:lang w:val="en-US"/>
        </w:rPr>
        <w:t>and</w:t>
      </w:r>
      <w:r>
        <w:rPr>
          <w:rFonts w:hint="default" w:ascii="Times New Roman" w:hAnsi="Times New Roman" w:cs="Times New Roman"/>
          <w:b w:val="0"/>
          <w:bCs w:val="0"/>
          <w:sz w:val="24"/>
          <w:szCs w:val="24"/>
        </w:rPr>
        <w:t xml:space="preserve"> Jack, 2016).</w:t>
      </w:r>
    </w:p>
    <w:p w14:paraId="66273138">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second most frequently used operator in the sample is </w:t>
      </w:r>
      <w:r>
        <w:rPr>
          <w:rStyle w:val="10"/>
          <w:rFonts w:hint="default" w:ascii="Times New Roman" w:hAnsi="Times New Roman" w:cs="Times New Roman"/>
          <w:b w:val="0"/>
          <w:bCs w:val="0"/>
          <w:sz w:val="24"/>
          <w:szCs w:val="24"/>
        </w:rPr>
        <w:t>Airtel</w:t>
      </w:r>
      <w:r>
        <w:rPr>
          <w:rFonts w:hint="default" w:ascii="Times New Roman" w:hAnsi="Times New Roman" w:cs="Times New Roman"/>
          <w:b w:val="0"/>
          <w:bCs w:val="0"/>
          <w:sz w:val="24"/>
          <w:szCs w:val="24"/>
        </w:rPr>
        <w:t xml:space="preserve">, representing </w:t>
      </w:r>
      <w:r>
        <w:rPr>
          <w:rStyle w:val="10"/>
          <w:rFonts w:hint="default" w:ascii="Times New Roman" w:hAnsi="Times New Roman" w:cs="Times New Roman"/>
          <w:b w:val="0"/>
          <w:bCs w:val="0"/>
          <w:sz w:val="24"/>
          <w:szCs w:val="24"/>
        </w:rPr>
        <w:t>27 percent</w:t>
      </w:r>
      <w:r>
        <w:rPr>
          <w:rFonts w:hint="default" w:ascii="Times New Roman" w:hAnsi="Times New Roman" w:cs="Times New Roman"/>
          <w:b w:val="0"/>
          <w:bCs w:val="0"/>
          <w:sz w:val="24"/>
          <w:szCs w:val="24"/>
        </w:rPr>
        <w:t xml:space="preserve"> of respondents. Airtel has steadily expanded its digital financial services through the Airtel Money platform, which supports payments, transfers, and merchant transactions. The growth of Airtel Money can partly be attributed to competitive transaction charges and ongoing innovations designed to attract both urban and rural users. Previous studies have shown that competition among mobile network operators in Tanzania has played an important role in improving service accessibility and reducing the cost of digital transactions (Donovan, 2012).</w:t>
      </w:r>
    </w:p>
    <w:p w14:paraId="670202AE">
      <w:pPr>
        <w:pStyle w:val="9"/>
        <w:keepNext w:val="0"/>
        <w:keepLines w:val="0"/>
        <w:widowControl/>
        <w:suppressLineNumbers w:val="0"/>
        <w:jc w:val="both"/>
        <w:rPr>
          <w:rFonts w:hint="default" w:ascii="Times New Roman" w:hAnsi="Times New Roman" w:cs="Times New Roman"/>
          <w:b w:val="0"/>
          <w:bCs w:val="0"/>
          <w:sz w:val="24"/>
          <w:szCs w:val="24"/>
        </w:rPr>
      </w:pPr>
      <w:r>
        <w:rPr>
          <w:rStyle w:val="10"/>
          <w:rFonts w:hint="default" w:ascii="Times New Roman" w:hAnsi="Times New Roman" w:cs="Times New Roman"/>
          <w:b w:val="0"/>
          <w:bCs w:val="0"/>
          <w:sz w:val="24"/>
          <w:szCs w:val="24"/>
        </w:rPr>
        <w:t>Tigo</w:t>
      </w:r>
      <w:r>
        <w:rPr>
          <w:rFonts w:hint="default" w:ascii="Times New Roman" w:hAnsi="Times New Roman" w:cs="Times New Roman"/>
          <w:b w:val="0"/>
          <w:bCs w:val="0"/>
          <w:sz w:val="24"/>
          <w:szCs w:val="24"/>
        </w:rPr>
        <w:t xml:space="preserve">, currently operating under the brand </w:t>
      </w:r>
      <w:r>
        <w:rPr>
          <w:rStyle w:val="10"/>
          <w:rFonts w:hint="default" w:ascii="Times New Roman" w:hAnsi="Times New Roman" w:cs="Times New Roman"/>
          <w:b w:val="0"/>
          <w:bCs w:val="0"/>
          <w:sz w:val="24"/>
          <w:szCs w:val="24"/>
        </w:rPr>
        <w:t>Yas</w:t>
      </w:r>
      <w:r>
        <w:rPr>
          <w:rFonts w:hint="default" w:ascii="Times New Roman" w:hAnsi="Times New Roman" w:cs="Times New Roman"/>
          <w:b w:val="0"/>
          <w:bCs w:val="0"/>
          <w:sz w:val="24"/>
          <w:szCs w:val="24"/>
        </w:rPr>
        <w:t xml:space="preserve">, accounts for </w:t>
      </w:r>
      <w:r>
        <w:rPr>
          <w:rStyle w:val="10"/>
          <w:rFonts w:hint="default" w:ascii="Times New Roman" w:hAnsi="Times New Roman" w:cs="Times New Roman"/>
          <w:b w:val="0"/>
          <w:bCs w:val="0"/>
          <w:sz w:val="24"/>
          <w:szCs w:val="24"/>
        </w:rPr>
        <w:t>24 percent</w:t>
      </w:r>
      <w:r>
        <w:rPr>
          <w:rFonts w:hint="default" w:ascii="Times New Roman" w:hAnsi="Times New Roman" w:cs="Times New Roman"/>
          <w:b w:val="0"/>
          <w:bCs w:val="0"/>
          <w:sz w:val="24"/>
          <w:szCs w:val="24"/>
        </w:rPr>
        <w:t xml:space="preserve"> of respondents in this study. Tigo has long been recognized as a significant participant in Tanzania’s mobile money ecosystem through its service known as Tigo Pesa, now integrated into the Mixx by Yas platform. The operator has maintained a strong presence in the digital payments landscape, particularly due to its focus on interoperability, which enables users to send and receive funds across different networks. Interoperability has been widely acknowledged as a key factor in expanding digital financial inclusion in Tanzania (Evans </w:t>
      </w:r>
      <w:r>
        <w:rPr>
          <w:rFonts w:hint="default" w:cs="Times New Roman"/>
          <w:b w:val="0"/>
          <w:bCs w:val="0"/>
          <w:sz w:val="24"/>
          <w:szCs w:val="24"/>
          <w:lang w:val="en-US"/>
        </w:rPr>
        <w:t>and</w:t>
      </w:r>
      <w:r>
        <w:rPr>
          <w:rFonts w:hint="default" w:ascii="Times New Roman" w:hAnsi="Times New Roman" w:cs="Times New Roman"/>
          <w:b w:val="0"/>
          <w:bCs w:val="0"/>
          <w:sz w:val="24"/>
          <w:szCs w:val="24"/>
        </w:rPr>
        <w:t xml:space="preserve"> Pirchio, 2015).</w:t>
      </w:r>
    </w:p>
    <w:p w14:paraId="1C643402">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results also show that </w:t>
      </w:r>
      <w:r>
        <w:rPr>
          <w:rStyle w:val="10"/>
          <w:rFonts w:hint="default" w:ascii="Times New Roman" w:hAnsi="Times New Roman" w:cs="Times New Roman"/>
          <w:b w:val="0"/>
          <w:bCs w:val="0"/>
          <w:sz w:val="24"/>
          <w:szCs w:val="24"/>
        </w:rPr>
        <w:t>Halotel</w:t>
      </w:r>
      <w:r>
        <w:rPr>
          <w:rFonts w:hint="default" w:ascii="Times New Roman" w:hAnsi="Times New Roman" w:cs="Times New Roman"/>
          <w:b w:val="0"/>
          <w:bCs w:val="0"/>
          <w:sz w:val="24"/>
          <w:szCs w:val="24"/>
        </w:rPr>
        <w:t xml:space="preserve"> represents </w:t>
      </w:r>
      <w:r>
        <w:rPr>
          <w:rStyle w:val="10"/>
          <w:rFonts w:hint="default" w:ascii="Times New Roman" w:hAnsi="Times New Roman" w:cs="Times New Roman"/>
          <w:b w:val="0"/>
          <w:bCs w:val="0"/>
          <w:sz w:val="24"/>
          <w:szCs w:val="24"/>
        </w:rPr>
        <w:t>11 percent</w:t>
      </w:r>
      <w:r>
        <w:rPr>
          <w:rFonts w:hint="default" w:ascii="Times New Roman" w:hAnsi="Times New Roman" w:cs="Times New Roman"/>
          <w:b w:val="0"/>
          <w:bCs w:val="0"/>
          <w:sz w:val="24"/>
          <w:szCs w:val="24"/>
        </w:rPr>
        <w:t xml:space="preserve"> of the respondents, making it the least used operator for digital payment transactions among those surveyed. Although Halotel offers its own mobile money platform, HaloPesa, its adoption appears to be comparatively lower in this sample. This outcome may reflect differences in network coverage, market penetration, brand familiarity, and the availability of agents across different regions.</w:t>
      </w:r>
    </w:p>
    <w:p w14:paraId="64B7374A">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dominance of Vodacom, Airtel, and Tigo in this study aligns with broader industry statistics showing that these operators collectively control a large share of Tanzania’s mobile money market. Reports from the Tanzania Communications Regulatory Authority (TCRA) indicate that these three providers account for the majority of mobile money subscriptions and transactions in the country (TCRA, 2024). This concentration suggests that users often prefer operators that offer reliable network connectivity, extensive agent networks, and trusted mobile money services.</w:t>
      </w:r>
    </w:p>
    <w:p w14:paraId="4ED95273">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increasing reliance on mobile network operators for digital payments reflects the growing role of mobile money services in promoting financial inclusion across Tanzania. Digital payment platforms enable individuals to conduct financial transactions without requiring access to traditional banking infrastructure. This has been particularly beneficial for populations that were previously excluded from formal financial systems (Demirgüç-Kunt et al., 2022). As digital financial services continue to expand, the role of mobile network operators is expected to remain central in facilitating secure and convenient payment systems.</w:t>
      </w:r>
    </w:p>
    <w:p w14:paraId="62B0A0E1">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Overall, the findings suggest that while multiple mobile network operators participate in Tanzania’s digital payment ecosystem, a few dominant providers attract the majority of users. Factors such as network reliability, transaction costs, service accessibility, and customer trust appear to influence the choice of operator used for digital payments.</w:t>
      </w:r>
    </w:p>
    <w:p w14:paraId="318A7F6E">
      <w:pPr>
        <w:pStyle w:val="4"/>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Descriptive Statistics of Study Variables</w:t>
      </w:r>
    </w:p>
    <w:p w14:paraId="4D8CB181">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Descriptive statistics were employed to provide a clear summary of respondents’ perceptions regarding the main variables examined in this study. In quantitative research, descriptive statistics such as the mean and standard deviation are widely used to describe the central tendency and variability of responses collected from survey participants. The mean indicates the average level of agreement or perception among respondents, while the standard deviation reflects the extent to which individual responses vary from the average value. Together, these measures offer an overview of how respondents evaluate different aspects of the services under investigation and help identify patterns in the data before further statistical analysis is conducted.</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 xml:space="preserve">In the studies on digital payment systems and mobile financial services, descriptive statistics are particularly useful because they provide insights into how users perceive service attributes such as reliability, cost, accessibility, and quality. Understanding these perceptions is important since user experience and satisfaction are often influenced by such service characteristics. Previous studies have emphasized that customer perceptions of service performance play a crucial role in shaping the adoption and continued use of digital financial services (Laudon </w:t>
      </w:r>
      <w:r>
        <w:rPr>
          <w:rFonts w:hint="default" w:cs="Times New Roman"/>
          <w:b w:val="0"/>
          <w:bCs w:val="0"/>
          <w:sz w:val="24"/>
          <w:szCs w:val="24"/>
          <w:lang w:val="en-US"/>
        </w:rPr>
        <w:t>and</w:t>
      </w:r>
      <w:r>
        <w:rPr>
          <w:rFonts w:hint="default" w:ascii="Times New Roman" w:hAnsi="Times New Roman" w:cs="Times New Roman"/>
          <w:b w:val="0"/>
          <w:bCs w:val="0"/>
          <w:sz w:val="24"/>
          <w:szCs w:val="24"/>
        </w:rPr>
        <w:t xml:space="preserve"> Traver, 2021; Rogers, 2003).</w:t>
      </w:r>
    </w:p>
    <w:p w14:paraId="04CB06F3">
      <w:pPr>
        <w:pStyle w:val="4"/>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 xml:space="preserve">Table 5: </w:t>
      </w:r>
      <w:r>
        <w:rPr>
          <w:rFonts w:hint="default" w:ascii="Times New Roman" w:hAnsi="Times New Roman" w:cs="Times New Roman"/>
          <w:b/>
          <w:bCs/>
          <w:sz w:val="24"/>
          <w:szCs w:val="24"/>
        </w:rPr>
        <w:t>Descriptive Statistics of Study Variables (N = 182)</w:t>
      </w:r>
    </w:p>
    <w:tbl>
      <w:tblPr>
        <w:tblStyle w:val="11"/>
        <w:tblW w:w="0" w:type="auto"/>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3"/>
        <w:gridCol w:w="2570"/>
        <w:gridCol w:w="2717"/>
      </w:tblGrid>
      <w:tr w14:paraId="2EB3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3" w:type="dxa"/>
            <w:tcBorders>
              <w:left w:val="nil"/>
            </w:tcBorders>
          </w:tcPr>
          <w:p w14:paraId="457C14D5">
            <w:pPr>
              <w:widowControl w:val="0"/>
              <w:bidi w:val="0"/>
              <w:jc w:val="both"/>
              <w:rPr>
                <w:rFonts w:hint="default" w:ascii="Times New Roman" w:hAnsi="Times New Roman" w:cs="Times New Roman"/>
                <w:b/>
                <w:bCs/>
                <w:sz w:val="24"/>
                <w:szCs w:val="24"/>
                <w:lang w:val="en-US"/>
              </w:rPr>
            </w:pPr>
          </w:p>
          <w:p w14:paraId="4BC8C522">
            <w:pPr>
              <w:widowControl w:val="0"/>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Variables</w:t>
            </w:r>
          </w:p>
        </w:tc>
        <w:tc>
          <w:tcPr>
            <w:tcW w:w="2570" w:type="dxa"/>
          </w:tcPr>
          <w:p w14:paraId="7F74149F">
            <w:pPr>
              <w:widowControl w:val="0"/>
              <w:bidi w:val="0"/>
              <w:jc w:val="both"/>
              <w:rPr>
                <w:rFonts w:hint="default" w:ascii="Times New Roman" w:hAnsi="Times New Roman" w:cs="Times New Roman"/>
                <w:b/>
                <w:bCs/>
                <w:sz w:val="24"/>
                <w:szCs w:val="24"/>
                <w:lang w:val="en-US"/>
              </w:rPr>
            </w:pPr>
          </w:p>
          <w:p w14:paraId="087E8EC4">
            <w:pPr>
              <w:widowControl w:val="0"/>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Mean</w:t>
            </w:r>
          </w:p>
        </w:tc>
        <w:tc>
          <w:tcPr>
            <w:tcW w:w="2717" w:type="dxa"/>
            <w:tcBorders>
              <w:right w:val="nil"/>
            </w:tcBorders>
          </w:tcPr>
          <w:p w14:paraId="02FF26A5">
            <w:pPr>
              <w:widowControl w:val="0"/>
              <w:bidi w:val="0"/>
              <w:jc w:val="both"/>
              <w:rPr>
                <w:rFonts w:hint="default" w:ascii="Times New Roman" w:hAnsi="Times New Roman" w:cs="Times New Roman"/>
                <w:b/>
                <w:bCs/>
                <w:sz w:val="24"/>
                <w:szCs w:val="24"/>
                <w:lang w:val="en-US"/>
              </w:rPr>
            </w:pPr>
          </w:p>
          <w:p w14:paraId="4ED49BE8">
            <w:pPr>
              <w:widowControl w:val="0"/>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Standard Deviation</w:t>
            </w:r>
          </w:p>
        </w:tc>
      </w:tr>
      <w:tr w14:paraId="22FE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3" w:type="dxa"/>
            <w:tcBorders>
              <w:left w:val="nil"/>
            </w:tcBorders>
          </w:tcPr>
          <w:p w14:paraId="1EE9AD77">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Network Reliability</w:t>
            </w:r>
          </w:p>
        </w:tc>
        <w:tc>
          <w:tcPr>
            <w:tcW w:w="2570" w:type="dxa"/>
          </w:tcPr>
          <w:p w14:paraId="763FA3CD">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4.12</w:t>
            </w:r>
          </w:p>
        </w:tc>
        <w:tc>
          <w:tcPr>
            <w:tcW w:w="2717" w:type="dxa"/>
            <w:tcBorders>
              <w:right w:val="nil"/>
            </w:tcBorders>
          </w:tcPr>
          <w:p w14:paraId="21C4E6F1">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0.71</w:t>
            </w:r>
          </w:p>
        </w:tc>
      </w:tr>
      <w:tr w14:paraId="32AD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3" w:type="dxa"/>
            <w:tcBorders>
              <w:left w:val="nil"/>
            </w:tcBorders>
          </w:tcPr>
          <w:p w14:paraId="033BF62E">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Transaction Cost</w:t>
            </w:r>
          </w:p>
        </w:tc>
        <w:tc>
          <w:tcPr>
            <w:tcW w:w="2570" w:type="dxa"/>
          </w:tcPr>
          <w:p w14:paraId="0C1A37BE">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3.78</w:t>
            </w:r>
          </w:p>
        </w:tc>
        <w:tc>
          <w:tcPr>
            <w:tcW w:w="2717" w:type="dxa"/>
            <w:tcBorders>
              <w:right w:val="nil"/>
            </w:tcBorders>
          </w:tcPr>
          <w:p w14:paraId="5B51CF18">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0.83</w:t>
            </w:r>
          </w:p>
        </w:tc>
      </w:tr>
      <w:tr w14:paraId="13E1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3" w:type="dxa"/>
            <w:tcBorders>
              <w:left w:val="nil"/>
            </w:tcBorders>
          </w:tcPr>
          <w:p w14:paraId="52C4C2DC">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Service Accessibility</w:t>
            </w:r>
          </w:p>
        </w:tc>
        <w:tc>
          <w:tcPr>
            <w:tcW w:w="2570" w:type="dxa"/>
          </w:tcPr>
          <w:p w14:paraId="7AB863F6">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4.05</w:t>
            </w:r>
          </w:p>
        </w:tc>
        <w:tc>
          <w:tcPr>
            <w:tcW w:w="2717" w:type="dxa"/>
            <w:tcBorders>
              <w:right w:val="nil"/>
            </w:tcBorders>
          </w:tcPr>
          <w:p w14:paraId="31939280">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0.69</w:t>
            </w:r>
          </w:p>
        </w:tc>
      </w:tr>
      <w:tr w14:paraId="3B04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3" w:type="dxa"/>
            <w:tcBorders>
              <w:left w:val="nil"/>
            </w:tcBorders>
          </w:tcPr>
          <w:p w14:paraId="1C3AC6E6">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Service Quality</w:t>
            </w:r>
          </w:p>
        </w:tc>
        <w:tc>
          <w:tcPr>
            <w:tcW w:w="2570" w:type="dxa"/>
          </w:tcPr>
          <w:p w14:paraId="6F231AF5">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4.18</w:t>
            </w:r>
          </w:p>
        </w:tc>
        <w:tc>
          <w:tcPr>
            <w:tcW w:w="2717" w:type="dxa"/>
            <w:tcBorders>
              <w:right w:val="nil"/>
            </w:tcBorders>
          </w:tcPr>
          <w:p w14:paraId="219B7210">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0.65</w:t>
            </w:r>
          </w:p>
        </w:tc>
      </w:tr>
    </w:tbl>
    <w:p w14:paraId="18CF7153">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results indicate that all variables recorded relatively high mean scores, suggesting that respondents generally hold positive perceptions regarding the performance of mobile network operators in facilitating digital payment services. Since the responses were measured on a Likert scale where higher values represent stronger agreement or more favorable perceptions, mean values above the midpoint indicate that respondents tend to evaluate these service characteristics positively.</w:t>
      </w:r>
    </w:p>
    <w:p w14:paraId="6724FC8B">
      <w:pPr>
        <w:pStyle w:val="5"/>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Service Quality</w:t>
      </w:r>
    </w:p>
    <w:p w14:paraId="45B345D7">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Among the variables examined, </w:t>
      </w:r>
      <w:r>
        <w:rPr>
          <w:rStyle w:val="10"/>
          <w:rFonts w:hint="default" w:ascii="Times New Roman" w:hAnsi="Times New Roman" w:cs="Times New Roman"/>
          <w:b w:val="0"/>
          <w:bCs w:val="0"/>
          <w:sz w:val="24"/>
          <w:szCs w:val="24"/>
        </w:rPr>
        <w:t>service quality</w:t>
      </w:r>
      <w:r>
        <w:rPr>
          <w:rFonts w:hint="default" w:ascii="Times New Roman" w:hAnsi="Times New Roman" w:cs="Times New Roman"/>
          <w:b w:val="0"/>
          <w:bCs w:val="0"/>
          <w:sz w:val="24"/>
          <w:szCs w:val="24"/>
        </w:rPr>
        <w:t xml:space="preserve"> recorded the highest mean score of </w:t>
      </w:r>
      <w:r>
        <w:rPr>
          <w:rStyle w:val="10"/>
          <w:rFonts w:hint="default" w:ascii="Times New Roman" w:hAnsi="Times New Roman" w:cs="Times New Roman"/>
          <w:b w:val="0"/>
          <w:bCs w:val="0"/>
          <w:sz w:val="24"/>
          <w:szCs w:val="24"/>
        </w:rPr>
        <w:t>4.18</w:t>
      </w:r>
      <w:r>
        <w:rPr>
          <w:rFonts w:hint="default" w:ascii="Times New Roman" w:hAnsi="Times New Roman" w:cs="Times New Roman"/>
          <w:b w:val="0"/>
          <w:bCs w:val="0"/>
          <w:sz w:val="24"/>
          <w:szCs w:val="24"/>
        </w:rPr>
        <w:t xml:space="preserve">, with a standard deviation of </w:t>
      </w:r>
      <w:r>
        <w:rPr>
          <w:rStyle w:val="10"/>
          <w:rFonts w:hint="default" w:ascii="Times New Roman" w:hAnsi="Times New Roman" w:cs="Times New Roman"/>
          <w:b w:val="0"/>
          <w:bCs w:val="0"/>
          <w:sz w:val="24"/>
          <w:szCs w:val="24"/>
        </w:rPr>
        <w:t>0.65</w:t>
      </w:r>
      <w:r>
        <w:rPr>
          <w:rFonts w:hint="default" w:ascii="Times New Roman" w:hAnsi="Times New Roman" w:cs="Times New Roman"/>
          <w:b w:val="0"/>
          <w:bCs w:val="0"/>
          <w:sz w:val="24"/>
          <w:szCs w:val="24"/>
        </w:rPr>
        <w:t>. This finding suggests that respondents generally perceive the services offered by mobile network operators to be of satisfactory quality. The relatively low standard deviation indicates that respondents’ views were fairly consistent, meaning that most participants expressed similar perceptions regarding the quality of digital payment services.</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Service quality has been widely recognized as a critical determinant of customer satisfaction and technology adoption in digital service environments. High service quality typically reflects efficient system performance, responsive customer support, and the ability of service providers to meet user expectations. When users perceive service quality to be high, they are more likely to trust the platform and continue using the service for financial transactions. According to Parasuraman</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 xml:space="preserve">et al.,  (2005), perceived service quality in electronic service environments significantly influences users’ satisfaction and their willingness to continue using digital platforms. In the </w:t>
      </w:r>
      <w:r>
        <w:rPr>
          <w:rFonts w:hint="default" w:cs="Times New Roman"/>
          <w:b w:val="0"/>
          <w:bCs w:val="0"/>
          <w:sz w:val="24"/>
          <w:szCs w:val="24"/>
          <w:lang w:val="en-US"/>
        </w:rPr>
        <w:t>situation</w:t>
      </w:r>
      <w:r>
        <w:rPr>
          <w:rFonts w:hint="default" w:ascii="Times New Roman" w:hAnsi="Times New Roman" w:cs="Times New Roman"/>
          <w:b w:val="0"/>
          <w:bCs w:val="0"/>
          <w:sz w:val="24"/>
          <w:szCs w:val="24"/>
        </w:rPr>
        <w:t xml:space="preserve"> of mobile financial services, quality perceptions may also include transaction speed, system stability, and the overall reliability of service delivery.</w:t>
      </w:r>
    </w:p>
    <w:p w14:paraId="0D76EA23">
      <w:pPr>
        <w:pStyle w:val="5"/>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Network Reliability</w:t>
      </w:r>
    </w:p>
    <w:p w14:paraId="38093DF7">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variable </w:t>
      </w:r>
      <w:r>
        <w:rPr>
          <w:rStyle w:val="10"/>
          <w:rFonts w:hint="default" w:ascii="Times New Roman" w:hAnsi="Times New Roman" w:cs="Times New Roman"/>
          <w:b w:val="0"/>
          <w:bCs w:val="0"/>
          <w:sz w:val="24"/>
          <w:szCs w:val="24"/>
        </w:rPr>
        <w:t>network reliability</w:t>
      </w:r>
      <w:r>
        <w:rPr>
          <w:rFonts w:hint="default" w:ascii="Times New Roman" w:hAnsi="Times New Roman" w:cs="Times New Roman"/>
          <w:b w:val="0"/>
          <w:bCs w:val="0"/>
          <w:sz w:val="24"/>
          <w:szCs w:val="24"/>
        </w:rPr>
        <w:t xml:space="preserve"> recorded a mean score of </w:t>
      </w:r>
      <w:r>
        <w:rPr>
          <w:rStyle w:val="10"/>
          <w:rFonts w:hint="default" w:ascii="Times New Roman" w:hAnsi="Times New Roman" w:cs="Times New Roman"/>
          <w:b w:val="0"/>
          <w:bCs w:val="0"/>
          <w:sz w:val="24"/>
          <w:szCs w:val="24"/>
        </w:rPr>
        <w:t>4.12</w:t>
      </w:r>
      <w:r>
        <w:rPr>
          <w:rFonts w:hint="default" w:ascii="Times New Roman" w:hAnsi="Times New Roman" w:cs="Times New Roman"/>
          <w:b w:val="0"/>
          <w:bCs w:val="0"/>
          <w:sz w:val="24"/>
          <w:szCs w:val="24"/>
        </w:rPr>
        <w:t xml:space="preserve"> and a standard deviation of </w:t>
      </w:r>
      <w:r>
        <w:rPr>
          <w:rStyle w:val="10"/>
          <w:rFonts w:hint="default" w:ascii="Times New Roman" w:hAnsi="Times New Roman" w:cs="Times New Roman"/>
          <w:b w:val="0"/>
          <w:bCs w:val="0"/>
          <w:sz w:val="24"/>
          <w:szCs w:val="24"/>
        </w:rPr>
        <w:t>0.71</w:t>
      </w:r>
      <w:r>
        <w:rPr>
          <w:rFonts w:hint="default" w:ascii="Times New Roman" w:hAnsi="Times New Roman" w:cs="Times New Roman"/>
          <w:b w:val="0"/>
          <w:bCs w:val="0"/>
          <w:sz w:val="24"/>
          <w:szCs w:val="24"/>
        </w:rPr>
        <w:t>, indicating that respondents generally consider mobile network services to be reliable for conducting digital payments. Network reliability refers to the ability of the telecommunications infrastructure to provide stable and uninterrupted connectivity during transactions. Reliable networks are essential for digital financial services because payment transactions require real-time communication between users, mobile network operators, and financial institutions.</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The relatively high mean value suggests that most respondents believe the networks they use are dependable enough to support financial transactions such as bill payments, money transfers, and other digital services. The moderate standard deviation shows that although most respondents expressed positive views, there was still some variation in their experiences, which may reflect differences in network coverage across geographical areas or variations in network performance among different service providers.</w:t>
      </w:r>
    </w:p>
    <w:p w14:paraId="4A0533A5">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Scholars studying digital infrastructure have highlighted that network reliability is one of the fundamental enablers of digital financial ecosystems. Without consistent connectivity, users may experience transaction failures, delays, or security concerns, which can reduce trust in digital payment systems (Kshetri, 2017). Therefore, the relatively strong rating observed in this study suggests that the telecommunications infrastructure supporting digital payments is generally functioning effectively from the perspective of users.</w:t>
      </w:r>
    </w:p>
    <w:p w14:paraId="1C30B15A">
      <w:pPr>
        <w:pStyle w:val="5"/>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Service Accessibility</w:t>
      </w:r>
    </w:p>
    <w:p w14:paraId="388B9D26">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variable </w:t>
      </w:r>
      <w:r>
        <w:rPr>
          <w:rStyle w:val="10"/>
          <w:rFonts w:hint="default" w:ascii="Times New Roman" w:hAnsi="Times New Roman" w:cs="Times New Roman"/>
          <w:b w:val="0"/>
          <w:bCs w:val="0"/>
          <w:sz w:val="24"/>
          <w:szCs w:val="24"/>
        </w:rPr>
        <w:t>service accessibility</w:t>
      </w:r>
      <w:r>
        <w:rPr>
          <w:rFonts w:hint="default" w:ascii="Times New Roman" w:hAnsi="Times New Roman" w:cs="Times New Roman"/>
          <w:b w:val="0"/>
          <w:bCs w:val="0"/>
          <w:sz w:val="24"/>
          <w:szCs w:val="24"/>
        </w:rPr>
        <w:t xml:space="preserve"> recorded a mean score of </w:t>
      </w:r>
      <w:r>
        <w:rPr>
          <w:rStyle w:val="10"/>
          <w:rFonts w:hint="default" w:ascii="Times New Roman" w:hAnsi="Times New Roman" w:cs="Times New Roman"/>
          <w:b w:val="0"/>
          <w:bCs w:val="0"/>
          <w:sz w:val="24"/>
          <w:szCs w:val="24"/>
        </w:rPr>
        <w:t>4.05</w:t>
      </w:r>
      <w:r>
        <w:rPr>
          <w:rFonts w:hint="default" w:ascii="Times New Roman" w:hAnsi="Times New Roman" w:cs="Times New Roman"/>
          <w:b w:val="0"/>
          <w:bCs w:val="0"/>
          <w:sz w:val="24"/>
          <w:szCs w:val="24"/>
        </w:rPr>
        <w:t xml:space="preserve"> with a standard deviation of </w:t>
      </w:r>
      <w:r>
        <w:rPr>
          <w:rStyle w:val="10"/>
          <w:rFonts w:hint="default" w:ascii="Times New Roman" w:hAnsi="Times New Roman" w:cs="Times New Roman"/>
          <w:b w:val="0"/>
          <w:bCs w:val="0"/>
          <w:sz w:val="24"/>
          <w:szCs w:val="24"/>
        </w:rPr>
        <w:t>0.69</w:t>
      </w:r>
      <w:r>
        <w:rPr>
          <w:rFonts w:hint="default" w:ascii="Times New Roman" w:hAnsi="Times New Roman" w:cs="Times New Roman"/>
          <w:b w:val="0"/>
          <w:bCs w:val="0"/>
          <w:sz w:val="24"/>
          <w:szCs w:val="24"/>
        </w:rPr>
        <w:t>. This result indicates that respondents generally perceive digital payment services as accessible and easy to use. Accessibility in the context of digital financial services refers to the ease with which users can access platforms, complete transactions, and obtain support when needed.</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A mean value above four suggests that respondents believe mobile payment services are widely available and convenient. Accessibility may be influenced by several factors, including mobile network coverage, availability of mobile money agents, user-friendly interfaces, and the ability to conduct transactions at any time and from different locations. Digital payment platforms that are accessible tend to attract a larger number of users because they reduce the barriers associated with traditional financial systems.</w:t>
      </w:r>
    </w:p>
    <w:p w14:paraId="0F213346">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Research on financial inclusion has consistently emphasized that accessibility plays a central role in expanding the use of digital financial services, especially in developing economies. When digital payment systems are easy to access, individuals who previously lacked access to formal banking services can participate more effectively in the financial system (Demirgüç-Kunt et al., 2022). The relatively high mean score observed in this study therefore reflects the increasing availability of digital payment infrastructure and mobile financial services.</w:t>
      </w:r>
    </w:p>
    <w:p w14:paraId="6E81B8F7">
      <w:pPr>
        <w:pStyle w:val="9"/>
        <w:keepNext w:val="0"/>
        <w:keepLines w:val="0"/>
        <w:widowControl/>
        <w:suppressLineNumbers w:val="0"/>
        <w:jc w:val="both"/>
        <w:rPr>
          <w:rFonts w:hint="default" w:ascii="Times New Roman" w:hAnsi="Times New Roman" w:cs="Times New Roman"/>
          <w:b w:val="0"/>
          <w:bCs w:val="0"/>
          <w:sz w:val="24"/>
          <w:szCs w:val="24"/>
        </w:rPr>
      </w:pPr>
    </w:p>
    <w:p w14:paraId="18639A7B">
      <w:pPr>
        <w:pStyle w:val="9"/>
        <w:keepNext w:val="0"/>
        <w:keepLines w:val="0"/>
        <w:widowControl/>
        <w:suppressLineNumbers w:val="0"/>
        <w:jc w:val="both"/>
        <w:rPr>
          <w:rFonts w:hint="default" w:ascii="Times New Roman" w:hAnsi="Times New Roman" w:cs="Times New Roman"/>
          <w:b w:val="0"/>
          <w:bCs w:val="0"/>
          <w:sz w:val="24"/>
          <w:szCs w:val="24"/>
        </w:rPr>
      </w:pPr>
      <w:bookmarkStart w:id="0" w:name="_GoBack"/>
      <w:bookmarkEnd w:id="0"/>
    </w:p>
    <w:p w14:paraId="0B7F8897">
      <w:pPr>
        <w:pStyle w:val="5"/>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Transaction Costs</w:t>
      </w:r>
    </w:p>
    <w:p w14:paraId="681E9990">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Compared to the other variables, </w:t>
      </w:r>
      <w:r>
        <w:rPr>
          <w:rStyle w:val="10"/>
          <w:rFonts w:hint="default" w:ascii="Times New Roman" w:hAnsi="Times New Roman" w:cs="Times New Roman"/>
          <w:b w:val="0"/>
          <w:bCs w:val="0"/>
          <w:sz w:val="24"/>
          <w:szCs w:val="24"/>
        </w:rPr>
        <w:t>transaction costs</w:t>
      </w:r>
      <w:r>
        <w:rPr>
          <w:rFonts w:hint="default" w:ascii="Times New Roman" w:hAnsi="Times New Roman" w:cs="Times New Roman"/>
          <w:b w:val="0"/>
          <w:bCs w:val="0"/>
          <w:sz w:val="24"/>
          <w:szCs w:val="24"/>
        </w:rPr>
        <w:t xml:space="preserve"> recorded the lowest mean score of </w:t>
      </w:r>
      <w:r>
        <w:rPr>
          <w:rStyle w:val="10"/>
          <w:rFonts w:hint="default" w:ascii="Times New Roman" w:hAnsi="Times New Roman" w:cs="Times New Roman"/>
          <w:b w:val="0"/>
          <w:bCs w:val="0"/>
          <w:sz w:val="24"/>
          <w:szCs w:val="24"/>
        </w:rPr>
        <w:t>3.78</w:t>
      </w:r>
      <w:r>
        <w:rPr>
          <w:rFonts w:hint="default" w:ascii="Times New Roman" w:hAnsi="Times New Roman" w:cs="Times New Roman"/>
          <w:b w:val="0"/>
          <w:bCs w:val="0"/>
          <w:sz w:val="24"/>
          <w:szCs w:val="24"/>
        </w:rPr>
        <w:t xml:space="preserve">, with a standard deviation of </w:t>
      </w:r>
      <w:r>
        <w:rPr>
          <w:rStyle w:val="10"/>
          <w:rFonts w:hint="default" w:ascii="Times New Roman" w:hAnsi="Times New Roman" w:cs="Times New Roman"/>
          <w:b w:val="0"/>
          <w:bCs w:val="0"/>
          <w:sz w:val="24"/>
          <w:szCs w:val="24"/>
        </w:rPr>
        <w:t>0.83</w:t>
      </w:r>
      <w:r>
        <w:rPr>
          <w:rFonts w:hint="default" w:ascii="Times New Roman" w:hAnsi="Times New Roman" w:cs="Times New Roman"/>
          <w:b w:val="0"/>
          <w:bCs w:val="0"/>
          <w:sz w:val="24"/>
          <w:szCs w:val="24"/>
        </w:rPr>
        <w:t>. Although this value is still above the midpoint of the scale, it suggests that respondents are somewhat less satisfied with transaction costs compared to other aspects of the service.</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Transaction costs refer to the fees or charges incurred when users perform digital payment transactions such as money transfers, bill payments, or withdrawals. In many digital financial systems, transaction fees are determined by mobile network operators or financial service providers and may vary depending on the transaction amount or service type.</w:t>
      </w:r>
    </w:p>
    <w:p w14:paraId="6C80C8FD">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slightly lower mean score may indicate that some respondents perceive transaction charges to be relatively high or inconsistent. Higher transaction costs can discourage frequent use of digital payment services, particularly among low-income users who may be sensitive to service fees. Previous studies have found that transaction costs are one of the key factors influencing users’ decisions to adopt and continue using mobile financial services (Donovan, 2012). If fees are perceived as excessive, users may prefer alternative payment methods such as cash transactions.</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 xml:space="preserve">The relatively higher standard deviation of </w:t>
      </w:r>
      <w:r>
        <w:rPr>
          <w:rStyle w:val="10"/>
          <w:rFonts w:hint="default" w:ascii="Times New Roman" w:hAnsi="Times New Roman" w:cs="Times New Roman"/>
          <w:b w:val="0"/>
          <w:bCs w:val="0"/>
          <w:sz w:val="24"/>
          <w:szCs w:val="24"/>
        </w:rPr>
        <w:t>0.83</w:t>
      </w:r>
      <w:r>
        <w:rPr>
          <w:rFonts w:hint="default" w:ascii="Times New Roman" w:hAnsi="Times New Roman" w:cs="Times New Roman"/>
          <w:b w:val="0"/>
          <w:bCs w:val="0"/>
          <w:sz w:val="24"/>
          <w:szCs w:val="24"/>
        </w:rPr>
        <w:t xml:space="preserve"> also indicates greater variability in respondents’ opinions regarding transaction costs. This variation may arise from differences in usage patterns, transaction frequency, or the specific mobile network operators used by respondents.</w:t>
      </w:r>
    </w:p>
    <w:p w14:paraId="005CDFBF">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cs="Times New Roman"/>
          <w:b w:val="0"/>
          <w:bCs w:val="0"/>
          <w:sz w:val="24"/>
          <w:szCs w:val="24"/>
          <w:lang w:val="en-US"/>
        </w:rPr>
        <w:t xml:space="preserve">However </w:t>
      </w:r>
      <w:r>
        <w:rPr>
          <w:rFonts w:hint="default" w:ascii="Times New Roman" w:hAnsi="Times New Roman" w:cs="Times New Roman"/>
          <w:b w:val="0"/>
          <w:bCs w:val="0"/>
          <w:sz w:val="24"/>
          <w:szCs w:val="24"/>
        </w:rPr>
        <w:t>, the descriptive statistics suggest that respondents generally hold favorable perceptions toward the key service characteristics examined in this study. The high mean values observed for service quality, network reliability, and service accessibility indicate that these factors are positively evaluated by users of digital payment services. These findings highlight the importance of maintaining reliable infrastructure, accessible platforms, and high service standards in order to support the continued growth of digital payment systems.</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At the same time, the relatively lower mean score for transaction costs suggests that pricing structures may still represent a concern for some users. Service providers and policymakers may therefore consider reviewing transaction fee structures to ensure that digital financial services remain affordable and inclusive.</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Descriptive statistics serve as an important foundation for further statistical analysis. By summarizing the central tendencies and variations in respondents’ perceptions, they provide a basis for exploring the relationships between service characteristics and the adoption or use of digital payment services in subsequent sections of the study.</w:t>
      </w:r>
    </w:p>
    <w:p w14:paraId="4585AD42">
      <w:pPr>
        <w:pStyle w:val="4"/>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Correlation Analysis</w:t>
      </w:r>
    </w:p>
    <w:p w14:paraId="76167358">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Correlation analysis was conducted to examine the degree and direction of relationships among the key variables included in the study. This statistical technique helps determine whether changes in one variable are associated with changes in another variable and whether such relationships are positive or negative in nature. In social science research, correlation analysis is commonly used as a preliminary step before regression analysis because it provides an initial understanding of the interrelationships among variables (Hair et al., 2019; Pallant, 2020).</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 xml:space="preserve">In this study, </w:t>
      </w:r>
      <w:r>
        <w:rPr>
          <w:rStyle w:val="10"/>
          <w:rFonts w:hint="default" w:ascii="Times New Roman" w:hAnsi="Times New Roman" w:cs="Times New Roman"/>
          <w:b w:val="0"/>
          <w:bCs w:val="0"/>
          <w:sz w:val="24"/>
          <w:szCs w:val="24"/>
        </w:rPr>
        <w:t>Pearson’s correlation coefficient (r)</w:t>
      </w:r>
      <w:r>
        <w:rPr>
          <w:rFonts w:hint="default" w:ascii="Times New Roman" w:hAnsi="Times New Roman" w:cs="Times New Roman"/>
          <w:b w:val="0"/>
          <w:bCs w:val="0"/>
          <w:sz w:val="24"/>
          <w:szCs w:val="24"/>
        </w:rPr>
        <w:t xml:space="preserve"> was used to measure the strength and direction of relationships among the independent variables: network reliability, transaction costs, service accessibility, and service quality. Pearson’s correlation coefficient ranges from </w:t>
      </w:r>
      <w:r>
        <w:rPr>
          <w:rStyle w:val="10"/>
          <w:rFonts w:hint="default" w:ascii="Times New Roman" w:hAnsi="Times New Roman" w:cs="Times New Roman"/>
          <w:b w:val="0"/>
          <w:bCs w:val="0"/>
          <w:sz w:val="24"/>
          <w:szCs w:val="24"/>
        </w:rPr>
        <w:t>–1 to +1</w:t>
      </w:r>
      <w:r>
        <w:rPr>
          <w:rFonts w:hint="default" w:ascii="Times New Roman" w:hAnsi="Times New Roman" w:cs="Times New Roman"/>
          <w:b w:val="0"/>
          <w:bCs w:val="0"/>
          <w:sz w:val="24"/>
          <w:szCs w:val="24"/>
        </w:rPr>
        <w:t xml:space="preserve">, where values close to </w:t>
      </w:r>
      <w:r>
        <w:rPr>
          <w:rStyle w:val="10"/>
          <w:rFonts w:hint="default" w:ascii="Times New Roman" w:hAnsi="Times New Roman" w:cs="Times New Roman"/>
          <w:b w:val="0"/>
          <w:bCs w:val="0"/>
          <w:sz w:val="24"/>
          <w:szCs w:val="24"/>
        </w:rPr>
        <w:t>+1 indicate strong positive relationships</w:t>
      </w:r>
      <w:r>
        <w:rPr>
          <w:rFonts w:hint="default" w:ascii="Times New Roman" w:hAnsi="Times New Roman" w:cs="Times New Roman"/>
          <w:b w:val="0"/>
          <w:bCs w:val="0"/>
          <w:sz w:val="24"/>
          <w:szCs w:val="24"/>
        </w:rPr>
        <w:t xml:space="preserve">, values close to </w:t>
      </w:r>
      <w:r>
        <w:rPr>
          <w:rStyle w:val="10"/>
          <w:rFonts w:hint="default" w:ascii="Times New Roman" w:hAnsi="Times New Roman" w:cs="Times New Roman"/>
          <w:b w:val="0"/>
          <w:bCs w:val="0"/>
          <w:sz w:val="24"/>
          <w:szCs w:val="24"/>
        </w:rPr>
        <w:t>–1 indicate strong negative relationships</w:t>
      </w:r>
      <w:r>
        <w:rPr>
          <w:rFonts w:hint="default" w:ascii="Times New Roman" w:hAnsi="Times New Roman" w:cs="Times New Roman"/>
          <w:b w:val="0"/>
          <w:bCs w:val="0"/>
          <w:sz w:val="24"/>
          <w:szCs w:val="24"/>
        </w:rPr>
        <w:t xml:space="preserve">, and values near </w:t>
      </w:r>
      <w:r>
        <w:rPr>
          <w:rStyle w:val="10"/>
          <w:rFonts w:hint="default" w:ascii="Times New Roman" w:hAnsi="Times New Roman" w:cs="Times New Roman"/>
          <w:b w:val="0"/>
          <w:bCs w:val="0"/>
          <w:sz w:val="24"/>
          <w:szCs w:val="24"/>
        </w:rPr>
        <w:t>zero indicate weak or no linear relationship</w:t>
      </w:r>
      <w:r>
        <w:rPr>
          <w:rFonts w:hint="default" w:ascii="Times New Roman" w:hAnsi="Times New Roman" w:cs="Times New Roman"/>
          <w:b w:val="0"/>
          <w:bCs w:val="0"/>
          <w:sz w:val="24"/>
          <w:szCs w:val="24"/>
        </w:rPr>
        <w:t xml:space="preserve"> (Field, 2018).</w:t>
      </w:r>
    </w:p>
    <w:p w14:paraId="354F9A7B">
      <w:pPr>
        <w:pStyle w:val="5"/>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6: Correlation Matrix of Study Variables</w:t>
      </w:r>
    </w:p>
    <w:tbl>
      <w:tblPr>
        <w:tblStyle w:val="11"/>
        <w:tblW w:w="0" w:type="auto"/>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275"/>
        <w:gridCol w:w="1300"/>
        <w:gridCol w:w="1213"/>
        <w:gridCol w:w="1250"/>
      </w:tblGrid>
      <w:tr w14:paraId="462A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dxa"/>
            <w:tcBorders>
              <w:left w:val="nil"/>
            </w:tcBorders>
          </w:tcPr>
          <w:p w14:paraId="3413A71E">
            <w:pPr>
              <w:widowControl w:val="0"/>
              <w:bidi w:val="0"/>
              <w:jc w:val="both"/>
              <w:rPr>
                <w:rFonts w:hint="default" w:ascii="Times New Roman" w:hAnsi="Times New Roman" w:cs="Times New Roman"/>
                <w:b/>
                <w:bCs/>
                <w:sz w:val="24"/>
                <w:szCs w:val="24"/>
                <w:lang w:val="en-US"/>
              </w:rPr>
            </w:pPr>
          </w:p>
          <w:p w14:paraId="4A9896C8">
            <w:pPr>
              <w:widowControl w:val="0"/>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Variables</w:t>
            </w:r>
          </w:p>
        </w:tc>
        <w:tc>
          <w:tcPr>
            <w:tcW w:w="1275" w:type="dxa"/>
          </w:tcPr>
          <w:p w14:paraId="4FF59D47">
            <w:pPr>
              <w:widowControl w:val="0"/>
              <w:bidi w:val="0"/>
              <w:jc w:val="both"/>
              <w:rPr>
                <w:rFonts w:hint="default" w:ascii="Times New Roman" w:hAnsi="Times New Roman" w:cs="Times New Roman"/>
                <w:b/>
                <w:bCs/>
                <w:sz w:val="24"/>
                <w:szCs w:val="24"/>
                <w:lang w:val="en-US"/>
              </w:rPr>
            </w:pPr>
          </w:p>
          <w:p w14:paraId="5115692F">
            <w:pPr>
              <w:widowControl w:val="0"/>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w:t>
            </w:r>
          </w:p>
        </w:tc>
        <w:tc>
          <w:tcPr>
            <w:tcW w:w="1300" w:type="dxa"/>
            <w:tcBorders>
              <w:right w:val="nil"/>
            </w:tcBorders>
          </w:tcPr>
          <w:p w14:paraId="73BDC1CB">
            <w:pPr>
              <w:widowControl w:val="0"/>
              <w:bidi w:val="0"/>
              <w:jc w:val="both"/>
              <w:rPr>
                <w:rFonts w:hint="default" w:ascii="Times New Roman" w:hAnsi="Times New Roman" w:cs="Times New Roman"/>
                <w:b/>
                <w:bCs/>
                <w:sz w:val="24"/>
                <w:szCs w:val="24"/>
                <w:lang w:val="en-US"/>
              </w:rPr>
            </w:pPr>
          </w:p>
          <w:p w14:paraId="24A544C1">
            <w:pPr>
              <w:widowControl w:val="0"/>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w:t>
            </w:r>
          </w:p>
        </w:tc>
        <w:tc>
          <w:tcPr>
            <w:tcW w:w="1213" w:type="dxa"/>
            <w:tcBorders>
              <w:right w:val="nil"/>
            </w:tcBorders>
          </w:tcPr>
          <w:p w14:paraId="703E2581">
            <w:pPr>
              <w:widowControl w:val="0"/>
              <w:bidi w:val="0"/>
              <w:jc w:val="both"/>
              <w:rPr>
                <w:rFonts w:hint="default" w:ascii="Times New Roman" w:hAnsi="Times New Roman" w:cs="Times New Roman"/>
                <w:b/>
                <w:bCs/>
                <w:sz w:val="24"/>
                <w:szCs w:val="24"/>
                <w:lang w:val="en-US"/>
              </w:rPr>
            </w:pPr>
          </w:p>
          <w:p w14:paraId="33A0AE1B">
            <w:pPr>
              <w:widowControl w:val="0"/>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3</w:t>
            </w:r>
          </w:p>
        </w:tc>
        <w:tc>
          <w:tcPr>
            <w:tcW w:w="1250" w:type="dxa"/>
            <w:tcBorders>
              <w:right w:val="nil"/>
            </w:tcBorders>
          </w:tcPr>
          <w:p w14:paraId="43F3B249">
            <w:pPr>
              <w:widowControl w:val="0"/>
              <w:bidi w:val="0"/>
              <w:jc w:val="both"/>
              <w:rPr>
                <w:rFonts w:hint="default" w:ascii="Times New Roman" w:hAnsi="Times New Roman" w:cs="Times New Roman"/>
                <w:b/>
                <w:bCs/>
                <w:sz w:val="24"/>
                <w:szCs w:val="24"/>
                <w:lang w:val="en-US"/>
              </w:rPr>
            </w:pPr>
          </w:p>
          <w:p w14:paraId="77FCA120">
            <w:pPr>
              <w:widowControl w:val="0"/>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4</w:t>
            </w:r>
          </w:p>
        </w:tc>
      </w:tr>
      <w:tr w14:paraId="1902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dxa"/>
            <w:tcBorders>
              <w:left w:val="nil"/>
            </w:tcBorders>
          </w:tcPr>
          <w:p w14:paraId="2D453DE5">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Network Reliability</w:t>
            </w:r>
          </w:p>
        </w:tc>
        <w:tc>
          <w:tcPr>
            <w:tcW w:w="1275" w:type="dxa"/>
          </w:tcPr>
          <w:p w14:paraId="4F3A77A2">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1.000</w:t>
            </w:r>
          </w:p>
        </w:tc>
        <w:tc>
          <w:tcPr>
            <w:tcW w:w="1300" w:type="dxa"/>
            <w:tcBorders>
              <w:right w:val="nil"/>
            </w:tcBorders>
          </w:tcPr>
          <w:p w14:paraId="41EAF15A">
            <w:pPr>
              <w:widowControl w:val="0"/>
              <w:bidi w:val="0"/>
              <w:jc w:val="both"/>
              <w:rPr>
                <w:rFonts w:hint="default" w:ascii="Times New Roman" w:hAnsi="Times New Roman" w:cs="Times New Roman"/>
                <w:sz w:val="24"/>
                <w:szCs w:val="24"/>
                <w:lang w:val="en-US"/>
              </w:rPr>
            </w:pPr>
          </w:p>
        </w:tc>
        <w:tc>
          <w:tcPr>
            <w:tcW w:w="1213" w:type="dxa"/>
            <w:tcBorders>
              <w:right w:val="nil"/>
            </w:tcBorders>
          </w:tcPr>
          <w:p w14:paraId="13395726">
            <w:pPr>
              <w:widowControl w:val="0"/>
              <w:bidi w:val="0"/>
              <w:jc w:val="both"/>
              <w:rPr>
                <w:rFonts w:hint="default" w:ascii="Times New Roman" w:hAnsi="Times New Roman" w:cs="Times New Roman"/>
                <w:sz w:val="24"/>
                <w:szCs w:val="24"/>
                <w:lang w:val="en-US"/>
              </w:rPr>
            </w:pPr>
          </w:p>
        </w:tc>
        <w:tc>
          <w:tcPr>
            <w:tcW w:w="1250" w:type="dxa"/>
            <w:tcBorders>
              <w:right w:val="nil"/>
            </w:tcBorders>
          </w:tcPr>
          <w:p w14:paraId="721B2661">
            <w:pPr>
              <w:widowControl w:val="0"/>
              <w:bidi w:val="0"/>
              <w:jc w:val="both"/>
              <w:rPr>
                <w:rFonts w:hint="default" w:ascii="Times New Roman" w:hAnsi="Times New Roman" w:cs="Times New Roman"/>
                <w:sz w:val="24"/>
                <w:szCs w:val="24"/>
                <w:lang w:val="en-US"/>
              </w:rPr>
            </w:pPr>
          </w:p>
        </w:tc>
      </w:tr>
      <w:tr w14:paraId="372C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dxa"/>
            <w:tcBorders>
              <w:left w:val="nil"/>
            </w:tcBorders>
          </w:tcPr>
          <w:p w14:paraId="2FE8596B">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Transaction Cost</w:t>
            </w:r>
          </w:p>
        </w:tc>
        <w:tc>
          <w:tcPr>
            <w:tcW w:w="1275" w:type="dxa"/>
          </w:tcPr>
          <w:p w14:paraId="7A4964E5">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0.41</w:t>
            </w:r>
          </w:p>
        </w:tc>
        <w:tc>
          <w:tcPr>
            <w:tcW w:w="1300" w:type="dxa"/>
            <w:tcBorders>
              <w:right w:val="nil"/>
            </w:tcBorders>
          </w:tcPr>
          <w:p w14:paraId="1F0C6672">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1.000</w:t>
            </w:r>
          </w:p>
        </w:tc>
        <w:tc>
          <w:tcPr>
            <w:tcW w:w="1213" w:type="dxa"/>
            <w:tcBorders>
              <w:right w:val="nil"/>
            </w:tcBorders>
          </w:tcPr>
          <w:p w14:paraId="17188E16">
            <w:pPr>
              <w:widowControl w:val="0"/>
              <w:bidi w:val="0"/>
              <w:jc w:val="both"/>
              <w:rPr>
                <w:rFonts w:hint="default" w:ascii="Times New Roman" w:hAnsi="Times New Roman" w:cs="Times New Roman"/>
                <w:sz w:val="24"/>
                <w:szCs w:val="24"/>
                <w:lang w:val="en-US"/>
              </w:rPr>
            </w:pPr>
          </w:p>
        </w:tc>
        <w:tc>
          <w:tcPr>
            <w:tcW w:w="1250" w:type="dxa"/>
            <w:tcBorders>
              <w:right w:val="nil"/>
            </w:tcBorders>
          </w:tcPr>
          <w:p w14:paraId="2CA63443">
            <w:pPr>
              <w:widowControl w:val="0"/>
              <w:bidi w:val="0"/>
              <w:jc w:val="both"/>
              <w:rPr>
                <w:rFonts w:hint="default" w:ascii="Times New Roman" w:hAnsi="Times New Roman" w:cs="Times New Roman"/>
                <w:sz w:val="24"/>
                <w:szCs w:val="24"/>
                <w:lang w:val="en-US"/>
              </w:rPr>
            </w:pPr>
          </w:p>
        </w:tc>
      </w:tr>
      <w:tr w14:paraId="05892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dxa"/>
            <w:tcBorders>
              <w:left w:val="nil"/>
            </w:tcBorders>
          </w:tcPr>
          <w:p w14:paraId="5452D8C7">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Service Accessibility</w:t>
            </w:r>
          </w:p>
        </w:tc>
        <w:tc>
          <w:tcPr>
            <w:tcW w:w="1275" w:type="dxa"/>
          </w:tcPr>
          <w:p w14:paraId="3575B402">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0.46</w:t>
            </w:r>
          </w:p>
        </w:tc>
        <w:tc>
          <w:tcPr>
            <w:tcW w:w="1300" w:type="dxa"/>
            <w:tcBorders>
              <w:right w:val="nil"/>
            </w:tcBorders>
          </w:tcPr>
          <w:p w14:paraId="0D599BB6">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0.38</w:t>
            </w:r>
          </w:p>
        </w:tc>
        <w:tc>
          <w:tcPr>
            <w:tcW w:w="1213" w:type="dxa"/>
            <w:tcBorders>
              <w:right w:val="nil"/>
            </w:tcBorders>
          </w:tcPr>
          <w:p w14:paraId="53350BCB">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1.000</w:t>
            </w:r>
          </w:p>
        </w:tc>
        <w:tc>
          <w:tcPr>
            <w:tcW w:w="1250" w:type="dxa"/>
            <w:tcBorders>
              <w:right w:val="nil"/>
            </w:tcBorders>
          </w:tcPr>
          <w:p w14:paraId="327F27FA">
            <w:pPr>
              <w:widowControl w:val="0"/>
              <w:bidi w:val="0"/>
              <w:jc w:val="both"/>
              <w:rPr>
                <w:rFonts w:hint="default" w:ascii="Times New Roman" w:hAnsi="Times New Roman" w:cs="Times New Roman"/>
                <w:sz w:val="24"/>
                <w:szCs w:val="24"/>
                <w:lang w:val="en-US"/>
              </w:rPr>
            </w:pPr>
          </w:p>
        </w:tc>
      </w:tr>
      <w:tr w14:paraId="7F01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dxa"/>
            <w:tcBorders>
              <w:left w:val="nil"/>
            </w:tcBorders>
          </w:tcPr>
          <w:p w14:paraId="109ADBE3">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Service Quality</w:t>
            </w:r>
          </w:p>
        </w:tc>
        <w:tc>
          <w:tcPr>
            <w:tcW w:w="1275" w:type="dxa"/>
          </w:tcPr>
          <w:p w14:paraId="4E4500CF">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0.52</w:t>
            </w:r>
          </w:p>
        </w:tc>
        <w:tc>
          <w:tcPr>
            <w:tcW w:w="1300" w:type="dxa"/>
            <w:tcBorders>
              <w:right w:val="nil"/>
            </w:tcBorders>
          </w:tcPr>
          <w:p w14:paraId="2D08054C">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0.44</w:t>
            </w:r>
          </w:p>
        </w:tc>
        <w:tc>
          <w:tcPr>
            <w:tcW w:w="1213" w:type="dxa"/>
            <w:tcBorders>
              <w:right w:val="nil"/>
            </w:tcBorders>
          </w:tcPr>
          <w:p w14:paraId="27F5901E">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0.47</w:t>
            </w:r>
          </w:p>
        </w:tc>
        <w:tc>
          <w:tcPr>
            <w:tcW w:w="1250" w:type="dxa"/>
            <w:tcBorders>
              <w:right w:val="nil"/>
            </w:tcBorders>
          </w:tcPr>
          <w:p w14:paraId="03B93CDA">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1.000</w:t>
            </w:r>
          </w:p>
        </w:tc>
      </w:tr>
    </w:tbl>
    <w:p w14:paraId="36A724DC">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findings reveal that </w:t>
      </w:r>
      <w:r>
        <w:rPr>
          <w:rStyle w:val="10"/>
          <w:rFonts w:hint="default" w:ascii="Times New Roman" w:hAnsi="Times New Roman" w:cs="Times New Roman"/>
          <w:b w:val="0"/>
          <w:bCs w:val="0"/>
          <w:sz w:val="24"/>
          <w:szCs w:val="24"/>
        </w:rPr>
        <w:t>all correlations among the study variables are positive</w:t>
      </w:r>
      <w:r>
        <w:rPr>
          <w:rFonts w:hint="default" w:ascii="Times New Roman" w:hAnsi="Times New Roman" w:cs="Times New Roman"/>
          <w:b w:val="0"/>
          <w:bCs w:val="0"/>
          <w:sz w:val="24"/>
          <w:szCs w:val="24"/>
        </w:rPr>
        <w:t xml:space="preserve">, suggesting that improvements in one service attribute tend to be associated with improvements in others. Positive relationships among service-related factors are common in digital service environments because various elements of service delivery often operate together to shape user experiences (Laukkanen, 2017; Koul </w:t>
      </w:r>
      <w:r>
        <w:rPr>
          <w:rFonts w:hint="default" w:cs="Times New Roman"/>
          <w:b w:val="0"/>
          <w:bCs w:val="0"/>
          <w:sz w:val="24"/>
          <w:szCs w:val="24"/>
          <w:lang w:val="en-US"/>
        </w:rPr>
        <w:t>and</w:t>
      </w:r>
      <w:r>
        <w:rPr>
          <w:rFonts w:hint="default" w:ascii="Times New Roman" w:hAnsi="Times New Roman" w:cs="Times New Roman"/>
          <w:b w:val="0"/>
          <w:bCs w:val="0"/>
          <w:sz w:val="24"/>
          <w:szCs w:val="24"/>
        </w:rPr>
        <w:t xml:space="preserve"> Eydgahi, 2020).</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 xml:space="preserve">The </w:t>
      </w:r>
      <w:r>
        <w:rPr>
          <w:rStyle w:val="10"/>
          <w:rFonts w:hint="default" w:ascii="Times New Roman" w:hAnsi="Times New Roman" w:cs="Times New Roman"/>
          <w:b w:val="0"/>
          <w:bCs w:val="0"/>
          <w:sz w:val="24"/>
          <w:szCs w:val="24"/>
        </w:rPr>
        <w:t>strongest relationship observed in the correlation matrix is between service quality and network reliability (r = 0.52)</w:t>
      </w:r>
      <w:r>
        <w:rPr>
          <w:rFonts w:hint="default" w:ascii="Times New Roman" w:hAnsi="Times New Roman" w:cs="Times New Roman"/>
          <w:b w:val="0"/>
          <w:bCs w:val="0"/>
          <w:sz w:val="24"/>
          <w:szCs w:val="24"/>
        </w:rPr>
        <w:t>. This result suggests that when network infrastructure is stable and dependable, users are more likely to perceive the overall quality of digital payment services as high. Reliable network connectivity ensures that transactions are processed quickly and without interruptions, which contributes significantly to user satisfaction and trust in digital payment platforms (Kim et al., 2020; Shaikh et al., 2020).</w:t>
      </w:r>
    </w:p>
    <w:p w14:paraId="29C6C922">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 </w:t>
      </w:r>
      <w:r>
        <w:rPr>
          <w:rStyle w:val="10"/>
          <w:rFonts w:hint="default" w:ascii="Times New Roman" w:hAnsi="Times New Roman" w:cs="Times New Roman"/>
          <w:b w:val="0"/>
          <w:bCs w:val="0"/>
          <w:sz w:val="24"/>
          <w:szCs w:val="24"/>
        </w:rPr>
        <w:t>moderate positive relationship was also found between service quality and service accessibility (r = 0.47)</w:t>
      </w:r>
      <w:r>
        <w:rPr>
          <w:rFonts w:hint="default" w:ascii="Times New Roman" w:hAnsi="Times New Roman" w:cs="Times New Roman"/>
          <w:b w:val="0"/>
          <w:bCs w:val="0"/>
          <w:sz w:val="24"/>
          <w:szCs w:val="24"/>
        </w:rPr>
        <w:t>. This indicates that when users can easily access mobile payment services through wide network coverage and readily available agents, they tend to evaluate the quality of those services more favorably. Accessibility enhances convenience and reduces the time required to complete financial transactions, thereby improving the perceived value of digital payment systems (Suri, 2017; Bongomin et al., 2018).</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 xml:space="preserve">Similarly, </w:t>
      </w:r>
      <w:r>
        <w:rPr>
          <w:rStyle w:val="10"/>
          <w:rFonts w:hint="default" w:ascii="Times New Roman" w:hAnsi="Times New Roman" w:cs="Times New Roman"/>
          <w:b w:val="0"/>
          <w:bCs w:val="0"/>
          <w:sz w:val="24"/>
          <w:szCs w:val="24"/>
        </w:rPr>
        <w:t>network reliability shows a moderate positive relationship with service accessibility (r</w:t>
      </w:r>
      <w:r>
        <w:rPr>
          <w:rStyle w:val="10"/>
          <w:rFonts w:hint="default" w:cs="Times New Roman"/>
          <w:b w:val="0"/>
          <w:bCs w:val="0"/>
          <w:sz w:val="24"/>
          <w:szCs w:val="24"/>
          <w:lang w:val="en-US"/>
        </w:rPr>
        <w:t xml:space="preserve"> </w:t>
      </w:r>
      <w:r>
        <w:rPr>
          <w:rStyle w:val="10"/>
          <w:rFonts w:hint="default" w:ascii="Times New Roman" w:hAnsi="Times New Roman" w:cs="Times New Roman"/>
          <w:b w:val="0"/>
          <w:bCs w:val="0"/>
          <w:sz w:val="24"/>
          <w:szCs w:val="24"/>
        </w:rPr>
        <w:t>= 0.46)</w:t>
      </w:r>
      <w:r>
        <w:rPr>
          <w:rFonts w:hint="default" w:ascii="Times New Roman" w:hAnsi="Times New Roman" w:cs="Times New Roman"/>
          <w:b w:val="0"/>
          <w:bCs w:val="0"/>
          <w:sz w:val="24"/>
          <w:szCs w:val="24"/>
        </w:rPr>
        <w:t>. This relationship suggests that reliable telecommunications infrastructure often supports broader service availability and coverage. In practice, strong network performance allows users to access digital payment platforms more consistently across different geographic areas.</w:t>
      </w:r>
    </w:p>
    <w:p w14:paraId="6F80262F">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correlation between </w:t>
      </w:r>
      <w:r>
        <w:rPr>
          <w:rStyle w:val="10"/>
          <w:rFonts w:hint="default" w:ascii="Times New Roman" w:hAnsi="Times New Roman" w:cs="Times New Roman"/>
          <w:b w:val="0"/>
          <w:bCs w:val="0"/>
          <w:sz w:val="24"/>
          <w:szCs w:val="24"/>
        </w:rPr>
        <w:t>transaction costs and service quality (r = 0.44)</w:t>
      </w:r>
      <w:r>
        <w:rPr>
          <w:rFonts w:hint="default" w:ascii="Times New Roman" w:hAnsi="Times New Roman" w:cs="Times New Roman"/>
          <w:b w:val="0"/>
          <w:bCs w:val="0"/>
          <w:sz w:val="24"/>
          <w:szCs w:val="24"/>
        </w:rPr>
        <w:t xml:space="preserve"> also indicates a moderate positive association. This finding implies that when users perceive digital payment services as offering reasonable or affordable transaction charges, they tend to evaluate the service quality more positively. Previous studies have noted that pricing structures influence user satisfaction and the continued use of digital financial services (Donovan, 2012; GSMA, 2023).</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 xml:space="preserve">Additionally, the relationship between </w:t>
      </w:r>
      <w:r>
        <w:rPr>
          <w:rStyle w:val="10"/>
          <w:rFonts w:hint="default" w:ascii="Times New Roman" w:hAnsi="Times New Roman" w:cs="Times New Roman"/>
          <w:b w:val="0"/>
          <w:bCs w:val="0"/>
          <w:sz w:val="24"/>
          <w:szCs w:val="24"/>
        </w:rPr>
        <w:t>transaction costs and network reliability (r = 0.41)</w:t>
      </w:r>
      <w:r>
        <w:rPr>
          <w:rFonts w:hint="default" w:ascii="Times New Roman" w:hAnsi="Times New Roman" w:cs="Times New Roman"/>
          <w:b w:val="0"/>
          <w:bCs w:val="0"/>
          <w:sz w:val="24"/>
          <w:szCs w:val="24"/>
        </w:rPr>
        <w:t xml:space="preserve"> suggests that users may associate well-performing networks with more efficient transaction processes that reduce hidden costs such as failed transactions or delays. The lowest correlation observed in the table is between </w:t>
      </w:r>
      <w:r>
        <w:rPr>
          <w:rStyle w:val="10"/>
          <w:rFonts w:hint="default" w:ascii="Times New Roman" w:hAnsi="Times New Roman" w:cs="Times New Roman"/>
          <w:b w:val="0"/>
          <w:bCs w:val="0"/>
          <w:sz w:val="24"/>
          <w:szCs w:val="24"/>
        </w:rPr>
        <w:t>transaction costs and service accessibility (r = 0.38)</w:t>
      </w:r>
      <w:r>
        <w:rPr>
          <w:rFonts w:hint="default" w:ascii="Times New Roman" w:hAnsi="Times New Roman" w:cs="Times New Roman"/>
          <w:b w:val="0"/>
          <w:bCs w:val="0"/>
          <w:sz w:val="24"/>
          <w:szCs w:val="24"/>
        </w:rPr>
        <w:t>, although the relationship remains positive and moderate in strength.</w:t>
      </w:r>
    </w:p>
    <w:p w14:paraId="4BA3B05A">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Importantly, none of the correlation coefficients exceed </w:t>
      </w:r>
      <w:r>
        <w:rPr>
          <w:rStyle w:val="10"/>
          <w:rFonts w:hint="default" w:ascii="Times New Roman" w:hAnsi="Times New Roman" w:cs="Times New Roman"/>
          <w:b w:val="0"/>
          <w:bCs w:val="0"/>
          <w:sz w:val="24"/>
          <w:szCs w:val="24"/>
        </w:rPr>
        <w:t>0.70</w:t>
      </w:r>
      <w:r>
        <w:rPr>
          <w:rFonts w:hint="default" w:ascii="Times New Roman" w:hAnsi="Times New Roman" w:cs="Times New Roman"/>
          <w:b w:val="0"/>
          <w:bCs w:val="0"/>
          <w:sz w:val="24"/>
          <w:szCs w:val="24"/>
        </w:rPr>
        <w:t xml:space="preserve">, which indicates that </w:t>
      </w:r>
      <w:r>
        <w:rPr>
          <w:rStyle w:val="10"/>
          <w:rFonts w:hint="default" w:ascii="Times New Roman" w:hAnsi="Times New Roman" w:cs="Times New Roman"/>
          <w:b w:val="0"/>
          <w:bCs w:val="0"/>
          <w:sz w:val="24"/>
          <w:szCs w:val="24"/>
        </w:rPr>
        <w:t>multicollinearity is unlikely to be a serious concern in the regression analysis</w:t>
      </w:r>
      <w:r>
        <w:rPr>
          <w:rFonts w:hint="default" w:ascii="Times New Roman" w:hAnsi="Times New Roman" w:cs="Times New Roman"/>
          <w:b w:val="0"/>
          <w:bCs w:val="0"/>
          <w:sz w:val="24"/>
          <w:szCs w:val="24"/>
        </w:rPr>
        <w:t>. According to methodological guidelines, correlation values above 0.70 may indicate redundancy among variables and potential multicollinearity problems (Hair et al., 2019). The moderate correlations observed in this study therefore suggest that the variables are related but still capture distinct aspects of digital payment service performance.</w:t>
      </w:r>
    </w:p>
    <w:p w14:paraId="1BE1A43D">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cs="Times New Roman"/>
          <w:b w:val="0"/>
          <w:bCs w:val="0"/>
          <w:sz w:val="24"/>
          <w:szCs w:val="24"/>
          <w:lang w:val="en-US"/>
        </w:rPr>
        <w:t>Moreover</w:t>
      </w:r>
      <w:r>
        <w:rPr>
          <w:rFonts w:hint="default" w:ascii="Times New Roman" w:hAnsi="Times New Roman" w:cs="Times New Roman"/>
          <w:b w:val="0"/>
          <w:bCs w:val="0"/>
          <w:sz w:val="24"/>
          <w:szCs w:val="24"/>
        </w:rPr>
        <w:t xml:space="preserve">, the correlation results provide preliminary evidence that the examined service attributes are interrelated and jointly contribute to users’ experiences with digital payment systems. These findings justify the inclusion of the variables in the subsequent regression analysis, which further examines how these factors influence the </w:t>
      </w:r>
      <w:r>
        <w:rPr>
          <w:rStyle w:val="10"/>
          <w:rFonts w:hint="default" w:ascii="Times New Roman" w:hAnsi="Times New Roman" w:cs="Times New Roman"/>
          <w:b w:val="0"/>
          <w:bCs w:val="0"/>
          <w:sz w:val="24"/>
          <w:szCs w:val="24"/>
        </w:rPr>
        <w:t>choice of mobile network operators in public digital payment systems</w:t>
      </w:r>
      <w:r>
        <w:rPr>
          <w:rFonts w:hint="default" w:ascii="Times New Roman" w:hAnsi="Times New Roman" w:cs="Times New Roman"/>
          <w:b w:val="0"/>
          <w:bCs w:val="0"/>
          <w:sz w:val="24"/>
          <w:szCs w:val="24"/>
        </w:rPr>
        <w:t>.</w:t>
      </w:r>
    </w:p>
    <w:p w14:paraId="201610B3">
      <w:pPr>
        <w:pStyle w:val="4"/>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Regression Analysis</w:t>
      </w:r>
    </w:p>
    <w:p w14:paraId="11E80951">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Multiple regression analysis was conducted to examine the extent to which the independent variables influence the </w:t>
      </w:r>
      <w:r>
        <w:rPr>
          <w:rStyle w:val="10"/>
          <w:rFonts w:hint="default" w:ascii="Times New Roman" w:hAnsi="Times New Roman" w:cs="Times New Roman"/>
          <w:b w:val="0"/>
          <w:bCs w:val="0"/>
          <w:sz w:val="24"/>
          <w:szCs w:val="24"/>
        </w:rPr>
        <w:t>choice of mobile network operators in public digital payment systems</w:t>
      </w:r>
      <w:r>
        <w:rPr>
          <w:rFonts w:hint="default" w:ascii="Times New Roman" w:hAnsi="Times New Roman" w:cs="Times New Roman"/>
          <w:b w:val="0"/>
          <w:bCs w:val="0"/>
          <w:sz w:val="24"/>
          <w:szCs w:val="24"/>
        </w:rPr>
        <w:t xml:space="preserve">. Regression analysis is widely used in quantitative research to assess the predictive power of several independent variables on a single dependent variable and to determine the relative contribution of each factor within the model (Wooldridge, 2020; Gujarati </w:t>
      </w:r>
      <w:r>
        <w:rPr>
          <w:rFonts w:hint="default" w:cs="Times New Roman"/>
          <w:b w:val="0"/>
          <w:bCs w:val="0"/>
          <w:sz w:val="24"/>
          <w:szCs w:val="24"/>
          <w:lang w:val="en-US"/>
        </w:rPr>
        <w:t>and</w:t>
      </w:r>
      <w:r>
        <w:rPr>
          <w:rFonts w:hint="default" w:ascii="Times New Roman" w:hAnsi="Times New Roman" w:cs="Times New Roman"/>
          <w:b w:val="0"/>
          <w:bCs w:val="0"/>
          <w:sz w:val="24"/>
          <w:szCs w:val="24"/>
        </w:rPr>
        <w:t xml:space="preserve"> Porter, 2021). In this study, the analysis focused on four explanatory variables: </w:t>
      </w:r>
      <w:r>
        <w:rPr>
          <w:rStyle w:val="10"/>
          <w:rFonts w:hint="default" w:ascii="Times New Roman" w:hAnsi="Times New Roman" w:cs="Times New Roman"/>
          <w:b w:val="0"/>
          <w:bCs w:val="0"/>
          <w:sz w:val="24"/>
          <w:szCs w:val="24"/>
        </w:rPr>
        <w:t>network reliability, transaction costs, service accessibility, and service quality</w:t>
      </w:r>
      <w:r>
        <w:rPr>
          <w:rFonts w:hint="default" w:ascii="Times New Roman" w:hAnsi="Times New Roman" w:cs="Times New Roman"/>
          <w:b w:val="0"/>
          <w:bCs w:val="0"/>
          <w:sz w:val="24"/>
          <w:szCs w:val="24"/>
        </w:rPr>
        <w:t>.</w:t>
      </w:r>
    </w:p>
    <w:p w14:paraId="62E372F3">
      <w:pPr>
        <w:pStyle w:val="5"/>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Table </w:t>
      </w:r>
      <w:r>
        <w:rPr>
          <w:rFonts w:hint="default" w:ascii="Times New Roman" w:hAnsi="Times New Roman" w:cs="Times New Roman"/>
          <w:b/>
          <w:bCs/>
          <w:sz w:val="24"/>
          <w:szCs w:val="24"/>
          <w:lang w:val="en-US"/>
        </w:rPr>
        <w:t>7</w:t>
      </w:r>
      <w:r>
        <w:rPr>
          <w:rFonts w:hint="default" w:ascii="Times New Roman" w:hAnsi="Times New Roman" w:cs="Times New Roman"/>
          <w:b/>
          <w:bCs/>
          <w:sz w:val="24"/>
          <w:szCs w:val="24"/>
        </w:rPr>
        <w:t>: Model Summary</w:t>
      </w:r>
    </w:p>
    <w:tbl>
      <w:tblPr>
        <w:tblStyle w:val="11"/>
        <w:tblW w:w="0" w:type="auto"/>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0"/>
        <w:gridCol w:w="4212"/>
      </w:tblGrid>
      <w:tr w14:paraId="6F64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0" w:type="dxa"/>
            <w:tcBorders>
              <w:left w:val="nil"/>
            </w:tcBorders>
          </w:tcPr>
          <w:p w14:paraId="6F62AC43">
            <w:pPr>
              <w:widowControl w:val="0"/>
              <w:bidi w:val="0"/>
              <w:jc w:val="both"/>
              <w:rPr>
                <w:rFonts w:hint="default" w:ascii="Times New Roman" w:hAnsi="Times New Roman" w:cs="Times New Roman"/>
                <w:b/>
                <w:bCs/>
                <w:sz w:val="24"/>
                <w:szCs w:val="24"/>
                <w:lang w:val="en-US"/>
              </w:rPr>
            </w:pPr>
          </w:p>
          <w:p w14:paraId="5BC9DEFE">
            <w:pPr>
              <w:widowControl w:val="0"/>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Statistic</w:t>
            </w:r>
          </w:p>
        </w:tc>
        <w:tc>
          <w:tcPr>
            <w:tcW w:w="4212" w:type="dxa"/>
            <w:tcBorders>
              <w:right w:val="nil"/>
            </w:tcBorders>
          </w:tcPr>
          <w:p w14:paraId="39D92F99">
            <w:pPr>
              <w:widowControl w:val="0"/>
              <w:bidi w:val="0"/>
              <w:jc w:val="both"/>
              <w:rPr>
                <w:rFonts w:hint="default" w:ascii="Times New Roman" w:hAnsi="Times New Roman" w:cs="Times New Roman"/>
                <w:b/>
                <w:bCs/>
                <w:sz w:val="24"/>
                <w:szCs w:val="24"/>
                <w:lang w:val="en-US"/>
              </w:rPr>
            </w:pPr>
          </w:p>
          <w:p w14:paraId="71FE5CD2">
            <w:pPr>
              <w:widowControl w:val="0"/>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Value</w:t>
            </w:r>
          </w:p>
        </w:tc>
      </w:tr>
      <w:tr w14:paraId="3275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0" w:type="dxa"/>
            <w:tcBorders>
              <w:left w:val="nil"/>
            </w:tcBorders>
          </w:tcPr>
          <w:p w14:paraId="5149F7DE">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R</w:t>
            </w:r>
          </w:p>
        </w:tc>
        <w:tc>
          <w:tcPr>
            <w:tcW w:w="4212" w:type="dxa"/>
            <w:tcBorders>
              <w:right w:val="nil"/>
            </w:tcBorders>
          </w:tcPr>
          <w:p w14:paraId="48C836EF">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0.67</w:t>
            </w:r>
          </w:p>
        </w:tc>
      </w:tr>
      <w:tr w14:paraId="44C7D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0" w:type="dxa"/>
            <w:tcBorders>
              <w:left w:val="nil"/>
            </w:tcBorders>
          </w:tcPr>
          <w:p w14:paraId="092929CB">
            <w:pPr>
              <w:widowControl w:val="0"/>
              <w:bidi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lang w:val="en-US"/>
              </w:rPr>
              <w:t>R</w:t>
            </w:r>
            <w:r>
              <w:rPr>
                <w:rFonts w:hint="default" w:ascii="Times New Roman" w:hAnsi="Times New Roman" w:cs="Times New Roman"/>
                <w:sz w:val="24"/>
                <w:szCs w:val="24"/>
                <w:vertAlign w:val="superscript"/>
                <w:lang w:val="en-US"/>
              </w:rPr>
              <w:t>2</w:t>
            </w:r>
          </w:p>
        </w:tc>
        <w:tc>
          <w:tcPr>
            <w:tcW w:w="4212" w:type="dxa"/>
            <w:tcBorders>
              <w:right w:val="nil"/>
            </w:tcBorders>
          </w:tcPr>
          <w:p w14:paraId="53966751">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0.45</w:t>
            </w:r>
          </w:p>
        </w:tc>
      </w:tr>
      <w:tr w14:paraId="04E2B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0" w:type="dxa"/>
            <w:tcBorders>
              <w:left w:val="nil"/>
            </w:tcBorders>
          </w:tcPr>
          <w:p w14:paraId="6217B11D">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Adjusted R</w:t>
            </w:r>
            <w:r>
              <w:rPr>
                <w:rFonts w:hint="default" w:ascii="Times New Roman" w:hAnsi="Times New Roman" w:cs="Times New Roman"/>
                <w:sz w:val="24"/>
                <w:szCs w:val="24"/>
                <w:vertAlign w:val="superscript"/>
                <w:lang w:val="en-US"/>
              </w:rPr>
              <w:t>2</w:t>
            </w:r>
          </w:p>
        </w:tc>
        <w:tc>
          <w:tcPr>
            <w:tcW w:w="4212" w:type="dxa"/>
            <w:tcBorders>
              <w:right w:val="nil"/>
            </w:tcBorders>
          </w:tcPr>
          <w:p w14:paraId="44B85D8D">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0.43</w:t>
            </w:r>
          </w:p>
        </w:tc>
      </w:tr>
    </w:tbl>
    <w:p w14:paraId="6AA8C643">
      <w:pPr>
        <w:jc w:val="both"/>
        <w:rPr>
          <w:rFonts w:hint="default" w:ascii="Times New Roman" w:hAnsi="Times New Roman" w:cs="Times New Roman"/>
          <w:b/>
          <w:bCs/>
          <w:sz w:val="24"/>
          <w:szCs w:val="24"/>
        </w:rPr>
      </w:pPr>
    </w:p>
    <w:p w14:paraId="498FD24A">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model summary indicates that the </w:t>
      </w:r>
      <w:r>
        <w:rPr>
          <w:rStyle w:val="10"/>
          <w:rFonts w:hint="default" w:ascii="Times New Roman" w:hAnsi="Times New Roman" w:cs="Times New Roman"/>
          <w:b w:val="0"/>
          <w:bCs w:val="0"/>
          <w:sz w:val="24"/>
          <w:szCs w:val="24"/>
        </w:rPr>
        <w:t>correlation coefficient (R) is 0.67</w:t>
      </w:r>
      <w:r>
        <w:rPr>
          <w:rFonts w:hint="default" w:ascii="Times New Roman" w:hAnsi="Times New Roman" w:cs="Times New Roman"/>
          <w:b w:val="0"/>
          <w:bCs w:val="0"/>
          <w:sz w:val="24"/>
          <w:szCs w:val="24"/>
        </w:rPr>
        <w:t>, suggesting a moderately strong relationship between the set of independent variables and the dependent variable. This implies that the combined effect of network reliability, transaction costs, service accessibility, and service quality is meaningfully associated with users’ choices of mobile network operators for digital payments.</w:t>
      </w:r>
    </w:p>
    <w:p w14:paraId="079009A4">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w:t>
      </w:r>
      <w:r>
        <w:rPr>
          <w:rStyle w:val="10"/>
          <w:rFonts w:hint="default" w:ascii="Times New Roman" w:hAnsi="Times New Roman" w:cs="Times New Roman"/>
          <w:b w:val="0"/>
          <w:bCs w:val="0"/>
          <w:sz w:val="24"/>
          <w:szCs w:val="24"/>
        </w:rPr>
        <w:t>coefficient of determination (R² = 0.45)</w:t>
      </w:r>
      <w:r>
        <w:rPr>
          <w:rFonts w:hint="default" w:ascii="Times New Roman" w:hAnsi="Times New Roman" w:cs="Times New Roman"/>
          <w:b w:val="0"/>
          <w:bCs w:val="0"/>
          <w:sz w:val="24"/>
          <w:szCs w:val="24"/>
        </w:rPr>
        <w:t xml:space="preserve"> shows that approximately </w:t>
      </w:r>
      <w:r>
        <w:rPr>
          <w:rStyle w:val="10"/>
          <w:rFonts w:hint="default" w:ascii="Times New Roman" w:hAnsi="Times New Roman" w:cs="Times New Roman"/>
          <w:b w:val="0"/>
          <w:bCs w:val="0"/>
          <w:sz w:val="24"/>
          <w:szCs w:val="24"/>
        </w:rPr>
        <w:t>45 percent of the variation in users’ choice of mobile network operators</w:t>
      </w:r>
      <w:r>
        <w:rPr>
          <w:rFonts w:hint="default" w:ascii="Times New Roman" w:hAnsi="Times New Roman" w:cs="Times New Roman"/>
          <w:b w:val="0"/>
          <w:bCs w:val="0"/>
          <w:sz w:val="24"/>
          <w:szCs w:val="24"/>
        </w:rPr>
        <w:t xml:space="preserve"> can be explained by the variables included in the model. In other words, nearly half of the decision-making behavior of users regarding mobile network operators in public digital payment systems is influenced by the four service-related factors examined in this study. The </w:t>
      </w:r>
      <w:r>
        <w:rPr>
          <w:rStyle w:val="10"/>
          <w:rFonts w:hint="default" w:ascii="Times New Roman" w:hAnsi="Times New Roman" w:cs="Times New Roman"/>
          <w:b w:val="0"/>
          <w:bCs w:val="0"/>
          <w:sz w:val="24"/>
          <w:szCs w:val="24"/>
        </w:rPr>
        <w:t>Adjusted R² value of 0.43</w:t>
      </w:r>
      <w:r>
        <w:rPr>
          <w:rFonts w:hint="default" w:ascii="Times New Roman" w:hAnsi="Times New Roman" w:cs="Times New Roman"/>
          <w:b w:val="0"/>
          <w:bCs w:val="0"/>
          <w:sz w:val="24"/>
          <w:szCs w:val="24"/>
        </w:rPr>
        <w:t xml:space="preserve"> further confirms that the explanatory power of the model remains relatively strong even after adjusting for the number of predictors used in the analysis (Montgomery et al., 2021).</w:t>
      </w:r>
    </w:p>
    <w:p w14:paraId="079FCA7D">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Although the model explains a substantial proportion of the variation, the remaining </w:t>
      </w:r>
      <w:r>
        <w:rPr>
          <w:rStyle w:val="10"/>
          <w:rFonts w:hint="default" w:ascii="Times New Roman" w:hAnsi="Times New Roman" w:cs="Times New Roman"/>
          <w:b w:val="0"/>
          <w:bCs w:val="0"/>
          <w:sz w:val="24"/>
          <w:szCs w:val="24"/>
        </w:rPr>
        <w:t>55 percent may be influenced by other factors</w:t>
      </w:r>
      <w:r>
        <w:rPr>
          <w:rFonts w:hint="default" w:ascii="Times New Roman" w:hAnsi="Times New Roman" w:cs="Times New Roman"/>
          <w:b w:val="0"/>
          <w:bCs w:val="0"/>
          <w:sz w:val="24"/>
          <w:szCs w:val="24"/>
        </w:rPr>
        <w:t xml:space="preserve"> not included in this study, such as brand reputation, promotional incentives, technological innovation, and user trust in digital financial systems. Similar findings have been reported in studies examining mobile financial service adoption, where technological and service-related attributes significantly influence user preferences (Alalwan et al., 2017; Oliveira et al., 2016).</w:t>
      </w:r>
    </w:p>
    <w:p w14:paraId="6DE13489">
      <w:pPr>
        <w:pStyle w:val="4"/>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 Regression Coefficients</w:t>
      </w:r>
    </w:p>
    <w:p w14:paraId="31C8F6F5">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To better understand the individual influence of each explanatory variable, the regression coefficients were examined. The results are presented in </w:t>
      </w:r>
      <w:r>
        <w:rPr>
          <w:rStyle w:val="10"/>
          <w:rFonts w:hint="default" w:ascii="Times New Roman" w:hAnsi="Times New Roman" w:cs="Times New Roman"/>
          <w:b w:val="0"/>
          <w:bCs w:val="0"/>
          <w:sz w:val="24"/>
          <w:szCs w:val="24"/>
        </w:rPr>
        <w:t>Table</w:t>
      </w:r>
      <w:r>
        <w:rPr>
          <w:rStyle w:val="10"/>
          <w:rFonts w:hint="default" w:cs="Times New Roman"/>
          <w:b w:val="0"/>
          <w:bCs w:val="0"/>
          <w:sz w:val="24"/>
          <w:szCs w:val="24"/>
          <w:lang w:val="en-US"/>
        </w:rPr>
        <w:t xml:space="preserve"> 8</w:t>
      </w:r>
      <w:r>
        <w:rPr>
          <w:rFonts w:hint="default" w:ascii="Times New Roman" w:hAnsi="Times New Roman" w:cs="Times New Roman"/>
          <w:b w:val="0"/>
          <w:bCs w:val="0"/>
          <w:sz w:val="24"/>
          <w:szCs w:val="24"/>
        </w:rPr>
        <w:t>.</w:t>
      </w:r>
    </w:p>
    <w:p w14:paraId="4A47A883">
      <w:pPr>
        <w:pStyle w:val="5"/>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Table </w:t>
      </w:r>
      <w:r>
        <w:rPr>
          <w:rFonts w:hint="default" w:ascii="Times New Roman" w:hAnsi="Times New Roman" w:cs="Times New Roman"/>
          <w:b/>
          <w:bCs/>
          <w:sz w:val="24"/>
          <w:szCs w:val="24"/>
          <w:lang w:val="en-US"/>
        </w:rPr>
        <w:t>8</w:t>
      </w:r>
      <w:r>
        <w:rPr>
          <w:rFonts w:hint="default" w:ascii="Times New Roman" w:hAnsi="Times New Roman" w:cs="Times New Roman"/>
          <w:b/>
          <w:bCs/>
          <w:sz w:val="24"/>
          <w:szCs w:val="24"/>
        </w:rPr>
        <w:t>: Regression Coefficients</w:t>
      </w:r>
    </w:p>
    <w:tbl>
      <w:tblPr>
        <w:tblStyle w:val="11"/>
        <w:tblW w:w="0" w:type="auto"/>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5"/>
        <w:gridCol w:w="1913"/>
        <w:gridCol w:w="1062"/>
        <w:gridCol w:w="2525"/>
      </w:tblGrid>
      <w:tr w14:paraId="5D4C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5" w:type="dxa"/>
            <w:tcBorders>
              <w:left w:val="nil"/>
            </w:tcBorders>
          </w:tcPr>
          <w:p w14:paraId="0D502C60">
            <w:pPr>
              <w:widowControl w:val="0"/>
              <w:bidi w:val="0"/>
              <w:jc w:val="both"/>
              <w:rPr>
                <w:rFonts w:hint="default" w:ascii="Times New Roman" w:hAnsi="Times New Roman" w:cs="Times New Roman"/>
                <w:b/>
                <w:bCs/>
                <w:sz w:val="24"/>
                <w:szCs w:val="24"/>
                <w:lang w:val="en-US"/>
              </w:rPr>
            </w:pPr>
          </w:p>
          <w:p w14:paraId="5490F002">
            <w:pPr>
              <w:widowControl w:val="0"/>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Variables</w:t>
            </w:r>
          </w:p>
        </w:tc>
        <w:tc>
          <w:tcPr>
            <w:tcW w:w="1913" w:type="dxa"/>
          </w:tcPr>
          <w:p w14:paraId="1B69566E">
            <w:pPr>
              <w:widowControl w:val="0"/>
              <w:bidi w:val="0"/>
              <w:jc w:val="both"/>
              <w:rPr>
                <w:rFonts w:hint="default" w:ascii="Times New Roman" w:hAnsi="Times New Roman" w:cs="Times New Roman"/>
                <w:b/>
                <w:bCs/>
                <w:sz w:val="24"/>
                <w:szCs w:val="24"/>
                <w:lang w:val="en-US"/>
              </w:rPr>
            </w:pPr>
          </w:p>
          <w:p w14:paraId="58F8BE79">
            <w:pPr>
              <w:widowControl w:val="0"/>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Beta Coefficient</w:t>
            </w:r>
          </w:p>
        </w:tc>
        <w:tc>
          <w:tcPr>
            <w:tcW w:w="1062" w:type="dxa"/>
            <w:tcBorders>
              <w:right w:val="nil"/>
            </w:tcBorders>
          </w:tcPr>
          <w:p w14:paraId="58196C87">
            <w:pPr>
              <w:widowControl w:val="0"/>
              <w:bidi w:val="0"/>
              <w:jc w:val="both"/>
              <w:rPr>
                <w:rFonts w:hint="default" w:ascii="Times New Roman" w:hAnsi="Times New Roman" w:cs="Times New Roman"/>
                <w:b/>
                <w:bCs/>
                <w:sz w:val="24"/>
                <w:szCs w:val="24"/>
                <w:lang w:val="en-US"/>
              </w:rPr>
            </w:pPr>
          </w:p>
          <w:p w14:paraId="7C4EE445">
            <w:pPr>
              <w:widowControl w:val="0"/>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t-value</w:t>
            </w:r>
          </w:p>
        </w:tc>
        <w:tc>
          <w:tcPr>
            <w:tcW w:w="2525" w:type="dxa"/>
            <w:tcBorders>
              <w:right w:val="nil"/>
            </w:tcBorders>
          </w:tcPr>
          <w:p w14:paraId="02BC4160">
            <w:pPr>
              <w:widowControl w:val="0"/>
              <w:bidi w:val="0"/>
              <w:jc w:val="both"/>
              <w:rPr>
                <w:rFonts w:hint="default" w:ascii="Times New Roman" w:hAnsi="Times New Roman" w:cs="Times New Roman"/>
                <w:b/>
                <w:bCs/>
                <w:sz w:val="24"/>
                <w:szCs w:val="24"/>
                <w:lang w:val="en-US"/>
              </w:rPr>
            </w:pPr>
          </w:p>
          <w:p w14:paraId="4C736A2A">
            <w:pPr>
              <w:widowControl w:val="0"/>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Significance (p-value)</w:t>
            </w:r>
          </w:p>
        </w:tc>
      </w:tr>
      <w:tr w14:paraId="0879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5" w:type="dxa"/>
            <w:tcBorders>
              <w:left w:val="nil"/>
            </w:tcBorders>
          </w:tcPr>
          <w:p w14:paraId="3225E6C1">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Network Reliability</w:t>
            </w:r>
          </w:p>
        </w:tc>
        <w:tc>
          <w:tcPr>
            <w:tcW w:w="1913" w:type="dxa"/>
          </w:tcPr>
          <w:p w14:paraId="190D8777">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0.31</w:t>
            </w:r>
          </w:p>
        </w:tc>
        <w:tc>
          <w:tcPr>
            <w:tcW w:w="1062" w:type="dxa"/>
            <w:tcBorders>
              <w:right w:val="nil"/>
            </w:tcBorders>
          </w:tcPr>
          <w:p w14:paraId="33B34BCD">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4.86</w:t>
            </w:r>
          </w:p>
        </w:tc>
        <w:tc>
          <w:tcPr>
            <w:tcW w:w="2525" w:type="dxa"/>
            <w:tcBorders>
              <w:right w:val="nil"/>
            </w:tcBorders>
          </w:tcPr>
          <w:p w14:paraId="3DA8EA31">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0.000</w:t>
            </w:r>
          </w:p>
        </w:tc>
      </w:tr>
      <w:tr w14:paraId="5039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5" w:type="dxa"/>
            <w:tcBorders>
              <w:left w:val="nil"/>
            </w:tcBorders>
          </w:tcPr>
          <w:p w14:paraId="1F109EBA">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Transaction Cost</w:t>
            </w:r>
          </w:p>
        </w:tc>
        <w:tc>
          <w:tcPr>
            <w:tcW w:w="1913" w:type="dxa"/>
          </w:tcPr>
          <w:p w14:paraId="06A159E2">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-0.24</w:t>
            </w:r>
          </w:p>
        </w:tc>
        <w:tc>
          <w:tcPr>
            <w:tcW w:w="1062" w:type="dxa"/>
            <w:tcBorders>
              <w:right w:val="nil"/>
            </w:tcBorders>
          </w:tcPr>
          <w:p w14:paraId="2BC2A441">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-3.91</w:t>
            </w:r>
          </w:p>
        </w:tc>
        <w:tc>
          <w:tcPr>
            <w:tcW w:w="2525" w:type="dxa"/>
            <w:tcBorders>
              <w:right w:val="nil"/>
            </w:tcBorders>
          </w:tcPr>
          <w:p w14:paraId="0AB4D189">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0.001</w:t>
            </w:r>
          </w:p>
        </w:tc>
      </w:tr>
      <w:tr w14:paraId="42CC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5" w:type="dxa"/>
            <w:tcBorders>
              <w:left w:val="nil"/>
            </w:tcBorders>
          </w:tcPr>
          <w:p w14:paraId="08AE6DF8">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Service Accessibility</w:t>
            </w:r>
          </w:p>
        </w:tc>
        <w:tc>
          <w:tcPr>
            <w:tcW w:w="1913" w:type="dxa"/>
          </w:tcPr>
          <w:p w14:paraId="35FCFD18">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0.27</w:t>
            </w:r>
          </w:p>
        </w:tc>
        <w:tc>
          <w:tcPr>
            <w:tcW w:w="1062" w:type="dxa"/>
            <w:tcBorders>
              <w:right w:val="nil"/>
            </w:tcBorders>
          </w:tcPr>
          <w:p w14:paraId="6EC243E2">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4.22</w:t>
            </w:r>
          </w:p>
        </w:tc>
        <w:tc>
          <w:tcPr>
            <w:tcW w:w="2525" w:type="dxa"/>
            <w:tcBorders>
              <w:right w:val="nil"/>
            </w:tcBorders>
          </w:tcPr>
          <w:p w14:paraId="4AB348E9">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0.000</w:t>
            </w:r>
          </w:p>
        </w:tc>
      </w:tr>
      <w:tr w14:paraId="3B1A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5" w:type="dxa"/>
            <w:tcBorders>
              <w:left w:val="nil"/>
            </w:tcBorders>
          </w:tcPr>
          <w:p w14:paraId="5FEF905F">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Service Quality</w:t>
            </w:r>
          </w:p>
        </w:tc>
        <w:tc>
          <w:tcPr>
            <w:tcW w:w="1913" w:type="dxa"/>
          </w:tcPr>
          <w:p w14:paraId="4FD36A7E">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0.29</w:t>
            </w:r>
          </w:p>
        </w:tc>
        <w:tc>
          <w:tcPr>
            <w:tcW w:w="1062" w:type="dxa"/>
            <w:tcBorders>
              <w:right w:val="nil"/>
            </w:tcBorders>
          </w:tcPr>
          <w:p w14:paraId="26A8D5CF">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4.55</w:t>
            </w:r>
          </w:p>
        </w:tc>
        <w:tc>
          <w:tcPr>
            <w:tcW w:w="2525" w:type="dxa"/>
            <w:tcBorders>
              <w:right w:val="nil"/>
            </w:tcBorders>
          </w:tcPr>
          <w:p w14:paraId="18776EB7">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0.000</w:t>
            </w:r>
          </w:p>
        </w:tc>
      </w:tr>
    </w:tbl>
    <w:p w14:paraId="57126ECD">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results reveal that </w:t>
      </w:r>
      <w:r>
        <w:rPr>
          <w:rStyle w:val="10"/>
          <w:rFonts w:hint="default" w:ascii="Times New Roman" w:hAnsi="Times New Roman" w:cs="Times New Roman"/>
          <w:b w:val="0"/>
          <w:bCs w:val="0"/>
          <w:sz w:val="24"/>
          <w:szCs w:val="24"/>
        </w:rPr>
        <w:t>network reliability has a positive and statistically significant effect</w:t>
      </w:r>
      <w:r>
        <w:rPr>
          <w:rFonts w:hint="default" w:ascii="Times New Roman" w:hAnsi="Times New Roman" w:cs="Times New Roman"/>
          <w:b w:val="0"/>
          <w:bCs w:val="0"/>
          <w:sz w:val="24"/>
          <w:szCs w:val="24"/>
        </w:rPr>
        <w:t xml:space="preserve"> on the choice of mobile network operators (β = 0.31, p &lt; 0.001). This finding indicates that users are more likely to select mobile network operators that provide stable and dependable network connectivity when conducting digital payment transactions. Reliable telecommunications infrastructure ensures that transactions are processed quickly and without interruptions, which enhances user confidence in digital financial platforms (Shaikh et al., 2022; Dahlberg et al., 2015).</w:t>
      </w:r>
    </w:p>
    <w:p w14:paraId="444916D7">
      <w:pPr>
        <w:pStyle w:val="9"/>
        <w:keepNext w:val="0"/>
        <w:keepLines w:val="0"/>
        <w:widowControl/>
        <w:suppressLineNumbers w:val="0"/>
        <w:jc w:val="both"/>
        <w:rPr>
          <w:rFonts w:hint="default" w:ascii="Times New Roman" w:hAnsi="Times New Roman" w:cs="Times New Roman"/>
          <w:b w:val="0"/>
          <w:bCs w:val="0"/>
          <w:sz w:val="24"/>
          <w:szCs w:val="24"/>
        </w:rPr>
      </w:pPr>
      <w:r>
        <w:rPr>
          <w:rStyle w:val="10"/>
          <w:rFonts w:hint="default" w:ascii="Times New Roman" w:hAnsi="Times New Roman" w:cs="Times New Roman"/>
          <w:b w:val="0"/>
          <w:bCs w:val="0"/>
          <w:sz w:val="24"/>
          <w:szCs w:val="24"/>
        </w:rPr>
        <w:t>Service quality also demonstrates a strong positive influence</w:t>
      </w:r>
      <w:r>
        <w:rPr>
          <w:rFonts w:hint="default" w:ascii="Times New Roman" w:hAnsi="Times New Roman" w:cs="Times New Roman"/>
          <w:b w:val="0"/>
          <w:bCs w:val="0"/>
          <w:sz w:val="24"/>
          <w:szCs w:val="24"/>
        </w:rPr>
        <w:t xml:space="preserve"> on users’ choices (β = 0.29, p &lt; 0.001). High service quality typically involves efficient transaction processing, system security, responsive customer support, and minimal system errors. When users perceive a digital payment platform as reliable and efficient, they are more inclined to continue using services offered by that particular mobile network operator. Studies on digital financial services consistently highlight service quality as a critical determinant of technology acceptance and customer loyalty (Alalwan et al., 2017; Karjaluoto et al., 2021).</w:t>
      </w:r>
    </w:p>
    <w:p w14:paraId="2F748494">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Similarly, </w:t>
      </w:r>
      <w:r>
        <w:rPr>
          <w:rStyle w:val="10"/>
          <w:rFonts w:hint="default" w:ascii="Times New Roman" w:hAnsi="Times New Roman" w:cs="Times New Roman"/>
          <w:b w:val="0"/>
          <w:bCs w:val="0"/>
          <w:sz w:val="24"/>
          <w:szCs w:val="24"/>
        </w:rPr>
        <w:t>service accessibility has a positive and statistically significant relationship</w:t>
      </w:r>
      <w:r>
        <w:rPr>
          <w:rFonts w:hint="default" w:ascii="Times New Roman" w:hAnsi="Times New Roman" w:cs="Times New Roman"/>
          <w:b w:val="0"/>
          <w:bCs w:val="0"/>
          <w:sz w:val="24"/>
          <w:szCs w:val="24"/>
        </w:rPr>
        <w:t xml:space="preserve"> with the dependent variable (β = 0.27, p &lt; 0.001). This result suggests that users prefer mobile network operators whose services are easily accessible through wide network coverage, convenient mobile interfaces, and readily available mobile money agents. Accessibility reduces transaction barriers and enhances the convenience associated with digital financial services, thereby encouraging greater usage (Suri </w:t>
      </w:r>
      <w:r>
        <w:rPr>
          <w:rFonts w:hint="default" w:cs="Times New Roman"/>
          <w:b w:val="0"/>
          <w:bCs w:val="0"/>
          <w:sz w:val="24"/>
          <w:szCs w:val="24"/>
          <w:lang w:val="en-US"/>
        </w:rPr>
        <w:t>and</w:t>
      </w:r>
      <w:r>
        <w:rPr>
          <w:rFonts w:hint="default" w:ascii="Times New Roman" w:hAnsi="Times New Roman" w:cs="Times New Roman"/>
          <w:b w:val="0"/>
          <w:bCs w:val="0"/>
          <w:sz w:val="24"/>
          <w:szCs w:val="24"/>
        </w:rPr>
        <w:t xml:space="preserve"> Jack, 2016).</w:t>
      </w:r>
    </w:p>
    <w:p w14:paraId="5667B773">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 contrast, </w:t>
      </w:r>
      <w:r>
        <w:rPr>
          <w:rStyle w:val="10"/>
          <w:rFonts w:hint="default" w:ascii="Times New Roman" w:hAnsi="Times New Roman" w:cs="Times New Roman"/>
          <w:b w:val="0"/>
          <w:bCs w:val="0"/>
          <w:sz w:val="24"/>
          <w:szCs w:val="24"/>
        </w:rPr>
        <w:t>transaction costs show a negative and statistically significant relationship</w:t>
      </w:r>
      <w:r>
        <w:rPr>
          <w:rFonts w:hint="default" w:ascii="Times New Roman" w:hAnsi="Times New Roman" w:cs="Times New Roman"/>
          <w:b w:val="0"/>
          <w:bCs w:val="0"/>
          <w:sz w:val="24"/>
          <w:szCs w:val="24"/>
        </w:rPr>
        <w:t xml:space="preserve"> with the choice of mobile network operators (β = -0.24, p = 0.001). This finding implies that higher transaction charges reduce the likelihood that users will prefer a particular mobile network operator for digital payments. When fees associated with transfers, bill payments, or withdrawals are perceived as expensive, users may switch to alternative providers offering more affordable pricing structures. Previous research on mobile financial services has similarly demonstrated that transaction costs play a crucial role in shaping consumer behavior in digital payment ecosystems (Evans </w:t>
      </w:r>
      <w:r>
        <w:rPr>
          <w:rFonts w:hint="default" w:cs="Times New Roman"/>
          <w:b w:val="0"/>
          <w:bCs w:val="0"/>
          <w:sz w:val="24"/>
          <w:szCs w:val="24"/>
          <w:lang w:val="en-US"/>
        </w:rPr>
        <w:t>and</w:t>
      </w:r>
      <w:r>
        <w:rPr>
          <w:rFonts w:hint="default" w:ascii="Times New Roman" w:hAnsi="Times New Roman" w:cs="Times New Roman"/>
          <w:b w:val="0"/>
          <w:bCs w:val="0"/>
          <w:sz w:val="24"/>
          <w:szCs w:val="24"/>
        </w:rPr>
        <w:t xml:space="preserve"> Pirchio, 2015; Arner et al., 2020).</w:t>
      </w:r>
    </w:p>
    <w:p w14:paraId="02EE2755">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cs="Times New Roman"/>
          <w:b w:val="0"/>
          <w:bCs w:val="0"/>
          <w:sz w:val="24"/>
          <w:szCs w:val="24"/>
          <w:lang w:val="en-US"/>
        </w:rPr>
        <w:t>Furthermore</w:t>
      </w:r>
      <w:r>
        <w:rPr>
          <w:rFonts w:hint="default" w:ascii="Times New Roman" w:hAnsi="Times New Roman" w:cs="Times New Roman"/>
          <w:b w:val="0"/>
          <w:bCs w:val="0"/>
          <w:sz w:val="24"/>
          <w:szCs w:val="24"/>
        </w:rPr>
        <w:t xml:space="preserve">, the regression results confirm that </w:t>
      </w:r>
      <w:r>
        <w:rPr>
          <w:rStyle w:val="10"/>
          <w:rFonts w:hint="default" w:ascii="Times New Roman" w:hAnsi="Times New Roman" w:cs="Times New Roman"/>
          <w:b w:val="0"/>
          <w:bCs w:val="0"/>
          <w:sz w:val="24"/>
          <w:szCs w:val="24"/>
        </w:rPr>
        <w:t>service-related attributes significantly influence users’ decisions when selecting mobile network operators for digital payments</w:t>
      </w:r>
      <w:r>
        <w:rPr>
          <w:rFonts w:hint="default" w:ascii="Times New Roman" w:hAnsi="Times New Roman" w:cs="Times New Roman"/>
          <w:b w:val="0"/>
          <w:bCs w:val="0"/>
          <w:sz w:val="24"/>
          <w:szCs w:val="24"/>
        </w:rPr>
        <w:t xml:space="preserve">. Among the variables examined, </w:t>
      </w:r>
      <w:r>
        <w:rPr>
          <w:rStyle w:val="10"/>
          <w:rFonts w:hint="default" w:ascii="Times New Roman" w:hAnsi="Times New Roman" w:cs="Times New Roman"/>
          <w:b w:val="0"/>
          <w:bCs w:val="0"/>
          <w:sz w:val="24"/>
          <w:szCs w:val="24"/>
        </w:rPr>
        <w:t>network reliability appears to exert the strongest influence</w:t>
      </w:r>
      <w:r>
        <w:rPr>
          <w:rFonts w:hint="default" w:ascii="Times New Roman" w:hAnsi="Times New Roman" w:cs="Times New Roman"/>
          <w:b w:val="0"/>
          <w:bCs w:val="0"/>
          <w:sz w:val="24"/>
          <w:szCs w:val="24"/>
        </w:rPr>
        <w:t xml:space="preserve">, followed closely by </w:t>
      </w:r>
      <w:r>
        <w:rPr>
          <w:rStyle w:val="10"/>
          <w:rFonts w:hint="default" w:ascii="Times New Roman" w:hAnsi="Times New Roman" w:cs="Times New Roman"/>
          <w:b w:val="0"/>
          <w:bCs w:val="0"/>
          <w:sz w:val="24"/>
          <w:szCs w:val="24"/>
        </w:rPr>
        <w:t>service quality and service accessibility</w:t>
      </w:r>
      <w:r>
        <w:rPr>
          <w:rFonts w:hint="default" w:ascii="Times New Roman" w:hAnsi="Times New Roman" w:cs="Times New Roman"/>
          <w:b w:val="0"/>
          <w:bCs w:val="0"/>
          <w:sz w:val="24"/>
          <w:szCs w:val="24"/>
        </w:rPr>
        <w:t xml:space="preserve">, while </w:t>
      </w:r>
      <w:r>
        <w:rPr>
          <w:rStyle w:val="10"/>
          <w:rFonts w:hint="default" w:ascii="Times New Roman" w:hAnsi="Times New Roman" w:cs="Times New Roman"/>
          <w:b w:val="0"/>
          <w:bCs w:val="0"/>
          <w:sz w:val="24"/>
          <w:szCs w:val="24"/>
        </w:rPr>
        <w:t>transaction costs negatively affect user preference</w:t>
      </w:r>
      <w:r>
        <w:rPr>
          <w:rFonts w:hint="default" w:ascii="Times New Roman" w:hAnsi="Times New Roman" w:cs="Times New Roman"/>
          <w:b w:val="0"/>
          <w:bCs w:val="0"/>
          <w:sz w:val="24"/>
          <w:szCs w:val="24"/>
        </w:rPr>
        <w:t>. These findings highlight the importance for telecommunication companies to invest in reliable infrastructure, maintain high service standards, and offer competitive transaction fees in order to attract and retain digital payment users.</w:t>
      </w:r>
    </w:p>
    <w:p w14:paraId="7519FC37">
      <w:pPr>
        <w:pStyle w:val="4"/>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Reliability Test</w:t>
      </w:r>
    </w:p>
    <w:p w14:paraId="4E55FE6B">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Assessing the reliability of research instruments is an important step in quantitative studies because it ensures that the measurement items consistently capture the constructs they are intended to measure. Reliability refers to the degree to which a set of indicators produces stable and consistent results when measuring a particular concept (Hair et al., 2019). In survey-based research, internal consistency reliability is commonly evaluated using </w:t>
      </w:r>
      <w:r>
        <w:rPr>
          <w:rStyle w:val="10"/>
          <w:rFonts w:hint="default" w:ascii="Times New Roman" w:hAnsi="Times New Roman" w:cs="Times New Roman"/>
          <w:b w:val="0"/>
          <w:bCs w:val="0"/>
          <w:sz w:val="24"/>
          <w:szCs w:val="24"/>
        </w:rPr>
        <w:t>Cronbach’s Alpha coefficient</w:t>
      </w:r>
      <w:r>
        <w:rPr>
          <w:rFonts w:hint="default" w:ascii="Times New Roman" w:hAnsi="Times New Roman" w:cs="Times New Roman"/>
          <w:b w:val="0"/>
          <w:bCs w:val="0"/>
          <w:sz w:val="24"/>
          <w:szCs w:val="24"/>
        </w:rPr>
        <w:t>, which measures how closely related a group of items are within a scale.</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 xml:space="preserve">In this study, Cronbach’s Alpha was calculated to determine the internal consistency of the measurement items used to capture the main variables of the research: </w:t>
      </w:r>
      <w:r>
        <w:rPr>
          <w:rStyle w:val="10"/>
          <w:rFonts w:hint="default" w:ascii="Times New Roman" w:hAnsi="Times New Roman" w:cs="Times New Roman"/>
          <w:b w:val="0"/>
          <w:bCs w:val="0"/>
          <w:sz w:val="24"/>
          <w:szCs w:val="24"/>
        </w:rPr>
        <w:t>network reliability, transaction costs, service accessibility, service quality, and the choice of mobile network operator</w:t>
      </w:r>
      <w:r>
        <w:rPr>
          <w:rFonts w:hint="default" w:ascii="Times New Roman" w:hAnsi="Times New Roman" w:cs="Times New Roman"/>
          <w:b w:val="0"/>
          <w:bCs w:val="0"/>
          <w:sz w:val="24"/>
          <w:szCs w:val="24"/>
        </w:rPr>
        <w:t xml:space="preserve">. According to methodological literature, a Cronbach’s Alpha value of </w:t>
      </w:r>
      <w:r>
        <w:rPr>
          <w:rStyle w:val="10"/>
          <w:rFonts w:hint="default" w:ascii="Times New Roman" w:hAnsi="Times New Roman" w:cs="Times New Roman"/>
          <w:b w:val="0"/>
          <w:bCs w:val="0"/>
          <w:sz w:val="24"/>
          <w:szCs w:val="24"/>
        </w:rPr>
        <w:t>0.70 or higher</w:t>
      </w:r>
      <w:r>
        <w:rPr>
          <w:rFonts w:hint="default" w:ascii="Times New Roman" w:hAnsi="Times New Roman" w:cs="Times New Roman"/>
          <w:b w:val="0"/>
          <w:bCs w:val="0"/>
          <w:sz w:val="24"/>
          <w:szCs w:val="24"/>
        </w:rPr>
        <w:t xml:space="preserve"> is generally considered acceptable for exploratory and applied research, while higher values indicate stronger internal consistency among measurement items (Taber, 2018; Hair et al., 2019).</w:t>
      </w:r>
    </w:p>
    <w:p w14:paraId="35A54A77">
      <w:pPr>
        <w:pStyle w:val="5"/>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9: Reliability Statistics (Cronbach’s Alpha)</w:t>
      </w:r>
    </w:p>
    <w:tbl>
      <w:tblPr>
        <w:tblStyle w:val="11"/>
        <w:tblW w:w="0" w:type="auto"/>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5"/>
        <w:gridCol w:w="2550"/>
        <w:gridCol w:w="2950"/>
      </w:tblGrid>
      <w:tr w14:paraId="42E6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5" w:type="dxa"/>
            <w:tcBorders>
              <w:left w:val="nil"/>
            </w:tcBorders>
          </w:tcPr>
          <w:p w14:paraId="033721A4">
            <w:pPr>
              <w:widowControl w:val="0"/>
              <w:bidi w:val="0"/>
              <w:jc w:val="both"/>
              <w:rPr>
                <w:rFonts w:hint="default" w:ascii="Times New Roman" w:hAnsi="Times New Roman" w:cs="Times New Roman"/>
                <w:b/>
                <w:bCs/>
                <w:sz w:val="24"/>
                <w:szCs w:val="24"/>
                <w:lang w:val="en-US"/>
              </w:rPr>
            </w:pPr>
          </w:p>
          <w:p w14:paraId="7687F71F">
            <w:pPr>
              <w:widowControl w:val="0"/>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Variables</w:t>
            </w:r>
          </w:p>
        </w:tc>
        <w:tc>
          <w:tcPr>
            <w:tcW w:w="2550" w:type="dxa"/>
          </w:tcPr>
          <w:p w14:paraId="75E94CF6">
            <w:pPr>
              <w:widowControl w:val="0"/>
              <w:bidi w:val="0"/>
              <w:jc w:val="both"/>
              <w:rPr>
                <w:rFonts w:hint="default" w:ascii="Times New Roman" w:hAnsi="Times New Roman" w:cs="Times New Roman"/>
                <w:b/>
                <w:bCs/>
                <w:sz w:val="24"/>
                <w:szCs w:val="24"/>
                <w:lang w:val="en-US"/>
              </w:rPr>
            </w:pPr>
          </w:p>
          <w:p w14:paraId="5C1731AE">
            <w:pPr>
              <w:widowControl w:val="0"/>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Number of Items</w:t>
            </w:r>
          </w:p>
        </w:tc>
        <w:tc>
          <w:tcPr>
            <w:tcW w:w="2950" w:type="dxa"/>
            <w:tcBorders>
              <w:right w:val="nil"/>
            </w:tcBorders>
          </w:tcPr>
          <w:p w14:paraId="10E24033">
            <w:pPr>
              <w:widowControl w:val="0"/>
              <w:bidi w:val="0"/>
              <w:jc w:val="both"/>
              <w:rPr>
                <w:rFonts w:hint="default" w:ascii="Times New Roman" w:hAnsi="Times New Roman" w:cs="Times New Roman"/>
                <w:b/>
                <w:bCs/>
                <w:sz w:val="24"/>
                <w:szCs w:val="24"/>
                <w:lang w:val="en-US"/>
              </w:rPr>
            </w:pPr>
          </w:p>
          <w:p w14:paraId="52269752">
            <w:pPr>
              <w:widowControl w:val="0"/>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Cronbach’s Alpha</w:t>
            </w:r>
          </w:p>
        </w:tc>
      </w:tr>
      <w:tr w14:paraId="52D0A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5" w:type="dxa"/>
            <w:tcBorders>
              <w:left w:val="nil"/>
            </w:tcBorders>
          </w:tcPr>
          <w:p w14:paraId="496E41F2">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Network Reliability</w:t>
            </w:r>
          </w:p>
        </w:tc>
        <w:tc>
          <w:tcPr>
            <w:tcW w:w="2550" w:type="dxa"/>
          </w:tcPr>
          <w:p w14:paraId="5226447A">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w:t>
            </w:r>
          </w:p>
        </w:tc>
        <w:tc>
          <w:tcPr>
            <w:tcW w:w="2950" w:type="dxa"/>
            <w:tcBorders>
              <w:right w:val="nil"/>
            </w:tcBorders>
          </w:tcPr>
          <w:p w14:paraId="70D39319">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0.82</w:t>
            </w:r>
          </w:p>
        </w:tc>
      </w:tr>
      <w:tr w14:paraId="0F9F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5" w:type="dxa"/>
            <w:tcBorders>
              <w:left w:val="nil"/>
            </w:tcBorders>
          </w:tcPr>
          <w:p w14:paraId="3C636150">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Transaction Cost</w:t>
            </w:r>
          </w:p>
        </w:tc>
        <w:tc>
          <w:tcPr>
            <w:tcW w:w="2550" w:type="dxa"/>
          </w:tcPr>
          <w:p w14:paraId="76981A6E">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w:t>
            </w:r>
          </w:p>
        </w:tc>
        <w:tc>
          <w:tcPr>
            <w:tcW w:w="2950" w:type="dxa"/>
            <w:tcBorders>
              <w:right w:val="nil"/>
            </w:tcBorders>
          </w:tcPr>
          <w:p w14:paraId="0BDF5617">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0.79</w:t>
            </w:r>
          </w:p>
        </w:tc>
      </w:tr>
      <w:tr w14:paraId="77EC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5" w:type="dxa"/>
            <w:tcBorders>
              <w:left w:val="nil"/>
            </w:tcBorders>
          </w:tcPr>
          <w:p w14:paraId="4BA71834">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Service Accessibility</w:t>
            </w:r>
          </w:p>
        </w:tc>
        <w:tc>
          <w:tcPr>
            <w:tcW w:w="2550" w:type="dxa"/>
          </w:tcPr>
          <w:p w14:paraId="695F7605">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w:t>
            </w:r>
          </w:p>
        </w:tc>
        <w:tc>
          <w:tcPr>
            <w:tcW w:w="2950" w:type="dxa"/>
            <w:tcBorders>
              <w:right w:val="nil"/>
            </w:tcBorders>
          </w:tcPr>
          <w:p w14:paraId="2E7AFF18">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0.84</w:t>
            </w:r>
          </w:p>
        </w:tc>
      </w:tr>
      <w:tr w14:paraId="1DCF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5" w:type="dxa"/>
            <w:tcBorders>
              <w:left w:val="nil"/>
            </w:tcBorders>
          </w:tcPr>
          <w:p w14:paraId="18BF5F0D">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Service Quality</w:t>
            </w:r>
          </w:p>
        </w:tc>
        <w:tc>
          <w:tcPr>
            <w:tcW w:w="2550" w:type="dxa"/>
          </w:tcPr>
          <w:p w14:paraId="1DD8CA99">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w:t>
            </w:r>
          </w:p>
        </w:tc>
        <w:tc>
          <w:tcPr>
            <w:tcW w:w="2950" w:type="dxa"/>
            <w:tcBorders>
              <w:right w:val="nil"/>
            </w:tcBorders>
          </w:tcPr>
          <w:p w14:paraId="30908F99">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0.87</w:t>
            </w:r>
          </w:p>
        </w:tc>
      </w:tr>
      <w:tr w14:paraId="2D48F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5" w:type="dxa"/>
            <w:tcBorders>
              <w:left w:val="nil"/>
            </w:tcBorders>
          </w:tcPr>
          <w:p w14:paraId="1999BD44">
            <w:pPr>
              <w:widowControl w:val="0"/>
              <w:bidi w:val="0"/>
              <w:jc w:val="both"/>
              <w:rPr>
                <w:rFonts w:hint="default" w:ascii="Times New Roman" w:hAnsi="Times New Roman" w:cs="Times New Roman"/>
                <w:sz w:val="24"/>
                <w:szCs w:val="24"/>
                <w:lang w:val="en-US"/>
              </w:rPr>
            </w:pPr>
            <w:r>
              <w:rPr>
                <w:rFonts w:hint="default" w:ascii="Times New Roman" w:hAnsi="Times New Roman" w:eastAsia="SimSun" w:cs="Times New Roman"/>
                <w:b w:val="0"/>
                <w:bCs w:val="0"/>
                <w:kern w:val="0"/>
                <w:sz w:val="24"/>
                <w:szCs w:val="24"/>
                <w:lang w:val="en-US" w:eastAsia="zh-CN" w:bidi="ar"/>
              </w:rPr>
              <w:t>Operator Choice</w:t>
            </w:r>
          </w:p>
        </w:tc>
        <w:tc>
          <w:tcPr>
            <w:tcW w:w="2550" w:type="dxa"/>
          </w:tcPr>
          <w:p w14:paraId="5BB0C7BB">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w:t>
            </w:r>
          </w:p>
        </w:tc>
        <w:tc>
          <w:tcPr>
            <w:tcW w:w="2950" w:type="dxa"/>
            <w:tcBorders>
              <w:right w:val="nil"/>
            </w:tcBorders>
          </w:tcPr>
          <w:p w14:paraId="0CC284A4">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0.76</w:t>
            </w:r>
          </w:p>
        </w:tc>
      </w:tr>
    </w:tbl>
    <w:p w14:paraId="381DA231">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findings indicate that </w:t>
      </w:r>
      <w:r>
        <w:rPr>
          <w:rStyle w:val="10"/>
          <w:rFonts w:hint="default" w:ascii="Times New Roman" w:hAnsi="Times New Roman" w:cs="Times New Roman"/>
          <w:b w:val="0"/>
          <w:bCs w:val="0"/>
          <w:sz w:val="24"/>
          <w:szCs w:val="24"/>
        </w:rPr>
        <w:t>all constructs demonstrate acceptable levels of reliability</w:t>
      </w:r>
      <w:r>
        <w:rPr>
          <w:rFonts w:hint="default" w:ascii="Times New Roman" w:hAnsi="Times New Roman" w:cs="Times New Roman"/>
          <w:b w:val="0"/>
          <w:bCs w:val="0"/>
          <w:sz w:val="24"/>
          <w:szCs w:val="24"/>
        </w:rPr>
        <w:t xml:space="preserve">, as their Cronbach’s Alpha values exceed the commonly recommended threshold of 0.70. Among the variables examined, </w:t>
      </w:r>
      <w:r>
        <w:rPr>
          <w:rStyle w:val="10"/>
          <w:rFonts w:hint="default" w:ascii="Times New Roman" w:hAnsi="Times New Roman" w:cs="Times New Roman"/>
          <w:b w:val="0"/>
          <w:bCs w:val="0"/>
          <w:sz w:val="24"/>
          <w:szCs w:val="24"/>
        </w:rPr>
        <w:t>service quality recorded the highest reliability coefficient (α = 0.87)</w:t>
      </w:r>
      <w:r>
        <w:rPr>
          <w:rFonts w:hint="default" w:ascii="Times New Roman" w:hAnsi="Times New Roman" w:cs="Times New Roman"/>
          <w:b w:val="0"/>
          <w:bCs w:val="0"/>
          <w:sz w:val="24"/>
          <w:szCs w:val="24"/>
        </w:rPr>
        <w:t>, suggesting a strong level of internal consistency among the items used to measure respondents’ perceptions of service performance.</w:t>
      </w:r>
      <w:r>
        <w:rPr>
          <w:rFonts w:hint="default" w:cs="Times New Roman"/>
          <w:b w:val="0"/>
          <w:bCs w:val="0"/>
          <w:sz w:val="24"/>
          <w:szCs w:val="24"/>
          <w:lang w:val="en-US"/>
        </w:rPr>
        <w:t xml:space="preserve"> Likewise</w:t>
      </w:r>
      <w:r>
        <w:rPr>
          <w:rFonts w:hint="default" w:ascii="Times New Roman" w:hAnsi="Times New Roman" w:cs="Times New Roman"/>
          <w:b w:val="0"/>
          <w:bCs w:val="0"/>
          <w:sz w:val="24"/>
          <w:szCs w:val="24"/>
        </w:rPr>
        <w:t xml:space="preserve">, </w:t>
      </w:r>
      <w:r>
        <w:rPr>
          <w:rStyle w:val="10"/>
          <w:rFonts w:hint="default" w:ascii="Times New Roman" w:hAnsi="Times New Roman" w:cs="Times New Roman"/>
          <w:b w:val="0"/>
          <w:bCs w:val="0"/>
          <w:sz w:val="24"/>
          <w:szCs w:val="24"/>
        </w:rPr>
        <w:t>service accessibility (α = 0.84)</w:t>
      </w:r>
      <w:r>
        <w:rPr>
          <w:rFonts w:hint="default" w:ascii="Times New Roman" w:hAnsi="Times New Roman" w:cs="Times New Roman"/>
          <w:b w:val="0"/>
          <w:bCs w:val="0"/>
          <w:sz w:val="24"/>
          <w:szCs w:val="24"/>
        </w:rPr>
        <w:t xml:space="preserve"> and </w:t>
      </w:r>
      <w:r>
        <w:rPr>
          <w:rStyle w:val="10"/>
          <w:rFonts w:hint="default" w:ascii="Times New Roman" w:hAnsi="Times New Roman" w:cs="Times New Roman"/>
          <w:b w:val="0"/>
          <w:bCs w:val="0"/>
          <w:sz w:val="24"/>
          <w:szCs w:val="24"/>
        </w:rPr>
        <w:t>network reliability (α = 0.82)</w:t>
      </w:r>
      <w:r>
        <w:rPr>
          <w:rFonts w:hint="default" w:ascii="Times New Roman" w:hAnsi="Times New Roman" w:cs="Times New Roman"/>
          <w:b w:val="0"/>
          <w:bCs w:val="0"/>
          <w:sz w:val="24"/>
          <w:szCs w:val="24"/>
        </w:rPr>
        <w:t xml:space="preserve"> also show high reliability values, indicating that the questionnaire items designed to measure these constructs were well aligned and captured consistent responses from participants. </w:t>
      </w:r>
      <w:r>
        <w:rPr>
          <w:rStyle w:val="10"/>
          <w:rFonts w:hint="default" w:ascii="Times New Roman" w:hAnsi="Times New Roman" w:cs="Times New Roman"/>
          <w:b w:val="0"/>
          <w:bCs w:val="0"/>
          <w:sz w:val="24"/>
          <w:szCs w:val="24"/>
        </w:rPr>
        <w:t>Transaction costs (α = 0.79)</w:t>
      </w:r>
      <w:r>
        <w:rPr>
          <w:rFonts w:hint="default" w:ascii="Times New Roman" w:hAnsi="Times New Roman" w:cs="Times New Roman"/>
          <w:b w:val="0"/>
          <w:bCs w:val="0"/>
          <w:sz w:val="24"/>
          <w:szCs w:val="24"/>
        </w:rPr>
        <w:t xml:space="preserve"> and </w:t>
      </w:r>
      <w:r>
        <w:rPr>
          <w:rStyle w:val="10"/>
          <w:rFonts w:hint="default" w:ascii="Times New Roman" w:hAnsi="Times New Roman" w:cs="Times New Roman"/>
          <w:b w:val="0"/>
          <w:bCs w:val="0"/>
          <w:sz w:val="24"/>
          <w:szCs w:val="24"/>
        </w:rPr>
        <w:t>operator choice (α = 0.76)</w:t>
      </w:r>
      <w:r>
        <w:rPr>
          <w:rFonts w:hint="default" w:ascii="Times New Roman" w:hAnsi="Times New Roman" w:cs="Times New Roman"/>
          <w:b w:val="0"/>
          <w:bCs w:val="0"/>
          <w:sz w:val="24"/>
          <w:szCs w:val="24"/>
        </w:rPr>
        <w:t xml:space="preserve"> also fall within acceptable reliability ranges, demonstrating that the measurement scales used in this study are dependable for analyzing user perceptions related to digital payment services.</w:t>
      </w:r>
    </w:p>
    <w:p w14:paraId="21902139">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cs="Times New Roman"/>
          <w:b w:val="0"/>
          <w:bCs w:val="0"/>
          <w:sz w:val="24"/>
          <w:szCs w:val="24"/>
          <w:lang w:val="en-US"/>
        </w:rPr>
        <w:t>In general</w:t>
      </w:r>
      <w:r>
        <w:rPr>
          <w:rFonts w:hint="default" w:ascii="Times New Roman" w:hAnsi="Times New Roman" w:cs="Times New Roman"/>
          <w:b w:val="0"/>
          <w:bCs w:val="0"/>
          <w:sz w:val="24"/>
          <w:szCs w:val="24"/>
        </w:rPr>
        <w:t xml:space="preserve">, the reliability results confirm that the survey instrument used in this research provides </w:t>
      </w:r>
      <w:r>
        <w:rPr>
          <w:rStyle w:val="10"/>
          <w:rFonts w:hint="default" w:ascii="Times New Roman" w:hAnsi="Times New Roman" w:cs="Times New Roman"/>
          <w:b w:val="0"/>
          <w:bCs w:val="0"/>
          <w:sz w:val="24"/>
          <w:szCs w:val="24"/>
        </w:rPr>
        <w:t>consistent and dependable measurements</w:t>
      </w:r>
      <w:r>
        <w:rPr>
          <w:rFonts w:hint="default" w:ascii="Times New Roman" w:hAnsi="Times New Roman" w:cs="Times New Roman"/>
          <w:b w:val="0"/>
          <w:bCs w:val="0"/>
          <w:sz w:val="24"/>
          <w:szCs w:val="24"/>
        </w:rPr>
        <w:t>, making it suitable for further statistical analyses such as correlation and regression modeling. Ensuring high internal consistency strengthens the credibility of the study findings and increases confidence in the interpretation of the results (Boateng et al., 2018).</w:t>
      </w:r>
    </w:p>
    <w:p w14:paraId="22D1F78E">
      <w:pPr>
        <w:pStyle w:val="4"/>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Validity Test</w:t>
      </w:r>
    </w:p>
    <w:p w14:paraId="0D53C9D6">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 addition to reliability, it is essential to assess the </w:t>
      </w:r>
      <w:r>
        <w:rPr>
          <w:rStyle w:val="10"/>
          <w:rFonts w:hint="default" w:ascii="Times New Roman" w:hAnsi="Times New Roman" w:cs="Times New Roman"/>
          <w:b w:val="0"/>
          <w:bCs w:val="0"/>
          <w:sz w:val="24"/>
          <w:szCs w:val="24"/>
        </w:rPr>
        <w:t>validity of the measurement instrument</w:t>
      </w:r>
      <w:r>
        <w:rPr>
          <w:rFonts w:hint="default" w:ascii="Times New Roman" w:hAnsi="Times New Roman" w:cs="Times New Roman"/>
          <w:b w:val="0"/>
          <w:bCs w:val="0"/>
          <w:sz w:val="24"/>
          <w:szCs w:val="24"/>
        </w:rPr>
        <w:t>, which refers to the extent to which the survey items accurately measure the theoretical constructs they are intended to represent. Construct validity ensures that the variables included in the study appropriately reflect the underlying concepts being investigated (Field, 2018).</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 xml:space="preserve">To evaluate the suitability of the dataset for factor analysis and to confirm the adequacy of the measurement structure, this study employed two widely used statistical tests: the </w:t>
      </w:r>
      <w:r>
        <w:rPr>
          <w:rStyle w:val="10"/>
          <w:rFonts w:hint="default" w:ascii="Times New Roman" w:hAnsi="Times New Roman" w:cs="Times New Roman"/>
          <w:b w:val="0"/>
          <w:bCs w:val="0"/>
          <w:sz w:val="24"/>
          <w:szCs w:val="24"/>
        </w:rPr>
        <w:t>Kaiser–Meyer–Olkin (KMO) Measure of Sampling Adequacy</w:t>
      </w:r>
      <w:r>
        <w:rPr>
          <w:rFonts w:hint="default" w:ascii="Times New Roman" w:hAnsi="Times New Roman" w:cs="Times New Roman"/>
          <w:b w:val="0"/>
          <w:bCs w:val="0"/>
          <w:sz w:val="24"/>
          <w:szCs w:val="24"/>
        </w:rPr>
        <w:t xml:space="preserve"> and </w:t>
      </w:r>
      <w:r>
        <w:rPr>
          <w:rStyle w:val="10"/>
          <w:rFonts w:hint="default" w:ascii="Times New Roman" w:hAnsi="Times New Roman" w:cs="Times New Roman"/>
          <w:b w:val="0"/>
          <w:bCs w:val="0"/>
          <w:sz w:val="24"/>
          <w:szCs w:val="24"/>
        </w:rPr>
        <w:t>Bartlett’s Test of Sphericity</w:t>
      </w:r>
      <w:r>
        <w:rPr>
          <w:rFonts w:hint="default" w:ascii="Times New Roman" w:hAnsi="Times New Roman" w:cs="Times New Roman"/>
          <w:b w:val="0"/>
          <w:bCs w:val="0"/>
          <w:sz w:val="24"/>
          <w:szCs w:val="24"/>
        </w:rPr>
        <w:t>.</w:t>
      </w:r>
    </w:p>
    <w:p w14:paraId="4A801CB1">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KMO test examines whether the sample size and correlations among variables are sufficient for performing factor analysis. KMO values range between 0 and 1, where values above </w:t>
      </w:r>
      <w:r>
        <w:rPr>
          <w:rStyle w:val="10"/>
          <w:rFonts w:hint="default" w:ascii="Times New Roman" w:hAnsi="Times New Roman" w:cs="Times New Roman"/>
          <w:b w:val="0"/>
          <w:bCs w:val="0"/>
          <w:sz w:val="24"/>
          <w:szCs w:val="24"/>
        </w:rPr>
        <w:t>0.60 are considered acceptable</w:t>
      </w:r>
      <w:r>
        <w:rPr>
          <w:rFonts w:hint="default" w:ascii="Times New Roman" w:hAnsi="Times New Roman" w:cs="Times New Roman"/>
          <w:b w:val="0"/>
          <w:bCs w:val="0"/>
          <w:sz w:val="24"/>
          <w:szCs w:val="24"/>
        </w:rPr>
        <w:t xml:space="preserve">, values above </w:t>
      </w:r>
      <w:r>
        <w:rPr>
          <w:rStyle w:val="10"/>
          <w:rFonts w:hint="default" w:ascii="Times New Roman" w:hAnsi="Times New Roman" w:cs="Times New Roman"/>
          <w:b w:val="0"/>
          <w:bCs w:val="0"/>
          <w:sz w:val="24"/>
          <w:szCs w:val="24"/>
        </w:rPr>
        <w:t>0.70 are considered good</w:t>
      </w:r>
      <w:r>
        <w:rPr>
          <w:rFonts w:hint="default" w:ascii="Times New Roman" w:hAnsi="Times New Roman" w:cs="Times New Roman"/>
          <w:b w:val="0"/>
          <w:bCs w:val="0"/>
          <w:sz w:val="24"/>
          <w:szCs w:val="24"/>
        </w:rPr>
        <w:t xml:space="preserve">, and values above </w:t>
      </w:r>
      <w:r>
        <w:rPr>
          <w:rStyle w:val="10"/>
          <w:rFonts w:hint="default" w:ascii="Times New Roman" w:hAnsi="Times New Roman" w:cs="Times New Roman"/>
          <w:b w:val="0"/>
          <w:bCs w:val="0"/>
          <w:sz w:val="24"/>
          <w:szCs w:val="24"/>
        </w:rPr>
        <w:t>0.80 indicate strong sampling adequacy (Kaiser, 1974; Hair et al., 2019)</w:t>
      </w:r>
      <w:r>
        <w:rPr>
          <w:rFonts w:hint="default" w:ascii="Times New Roman" w:hAnsi="Times New Roman" w:cs="Times New Roman"/>
          <w:b w:val="0"/>
          <w:bCs w:val="0"/>
          <w:sz w:val="24"/>
          <w:szCs w:val="24"/>
        </w:rPr>
        <w:t>.</w:t>
      </w:r>
      <w:r>
        <w:rPr>
          <w:rFonts w:hint="default" w:cs="Times New Roman"/>
          <w:b w:val="0"/>
          <w:bCs w:val="0"/>
          <w:sz w:val="24"/>
          <w:szCs w:val="24"/>
          <w:lang w:val="en-US"/>
        </w:rPr>
        <w:t xml:space="preserve"> While, </w:t>
      </w:r>
      <w:r>
        <w:rPr>
          <w:rFonts w:hint="default" w:ascii="Times New Roman" w:hAnsi="Times New Roman" w:cs="Times New Roman"/>
          <w:b w:val="0"/>
          <w:bCs w:val="0"/>
          <w:sz w:val="24"/>
          <w:szCs w:val="24"/>
        </w:rPr>
        <w:t>Bartlett’s Test of Sphericity, on the other hand, evaluates whether the correlation matrix significantly differs from an identity matrix. A statistically significant Bartlett’s test (p &lt; 0.05) indicates that the variables are sufficiently correlated to justify factor analysis (Field, 2018).</w:t>
      </w:r>
    </w:p>
    <w:p w14:paraId="274CDD53">
      <w:pPr>
        <w:pStyle w:val="5"/>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10: KMO and Bartlett’s Test of Sampling Adequacy</w:t>
      </w:r>
    </w:p>
    <w:tbl>
      <w:tblPr>
        <w:tblStyle w:val="11"/>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5"/>
        <w:gridCol w:w="3900"/>
      </w:tblGrid>
      <w:tr w14:paraId="1F70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5" w:type="dxa"/>
            <w:tcBorders>
              <w:left w:val="nil"/>
            </w:tcBorders>
          </w:tcPr>
          <w:p w14:paraId="66CB3C09">
            <w:pPr>
              <w:widowControl w:val="0"/>
              <w:bidi w:val="0"/>
              <w:jc w:val="both"/>
              <w:rPr>
                <w:rFonts w:hint="default" w:ascii="Times New Roman" w:hAnsi="Times New Roman" w:cs="Times New Roman"/>
                <w:b/>
                <w:bCs/>
                <w:sz w:val="24"/>
                <w:szCs w:val="24"/>
                <w:lang w:val="en-US"/>
              </w:rPr>
            </w:pPr>
          </w:p>
          <w:p w14:paraId="67E815BB">
            <w:pPr>
              <w:widowControl w:val="0"/>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Test</w:t>
            </w:r>
          </w:p>
        </w:tc>
        <w:tc>
          <w:tcPr>
            <w:tcW w:w="3900" w:type="dxa"/>
            <w:tcBorders>
              <w:right w:val="nil"/>
            </w:tcBorders>
          </w:tcPr>
          <w:p w14:paraId="2F0B9491">
            <w:pPr>
              <w:widowControl w:val="0"/>
              <w:bidi w:val="0"/>
              <w:jc w:val="both"/>
              <w:rPr>
                <w:rFonts w:hint="default" w:ascii="Times New Roman" w:hAnsi="Times New Roman" w:cs="Times New Roman"/>
                <w:b/>
                <w:bCs/>
                <w:sz w:val="24"/>
                <w:szCs w:val="24"/>
                <w:lang w:val="en-US"/>
              </w:rPr>
            </w:pPr>
          </w:p>
          <w:p w14:paraId="50D48FC2">
            <w:pPr>
              <w:widowControl w:val="0"/>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Value</w:t>
            </w:r>
          </w:p>
        </w:tc>
      </w:tr>
      <w:tr w14:paraId="2294E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5" w:type="dxa"/>
            <w:tcBorders>
              <w:left w:val="nil"/>
            </w:tcBorders>
          </w:tcPr>
          <w:p w14:paraId="4E628D10">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Kaiser-Meyer-Olkin (KMO) Measure</w:t>
            </w:r>
          </w:p>
        </w:tc>
        <w:tc>
          <w:tcPr>
            <w:tcW w:w="3900" w:type="dxa"/>
            <w:tcBorders>
              <w:right w:val="nil"/>
            </w:tcBorders>
          </w:tcPr>
          <w:p w14:paraId="2F6934C2">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0.823</w:t>
            </w:r>
          </w:p>
        </w:tc>
      </w:tr>
      <w:tr w14:paraId="404F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5" w:type="dxa"/>
            <w:tcBorders>
              <w:left w:val="nil"/>
            </w:tcBorders>
          </w:tcPr>
          <w:p w14:paraId="3935F207">
            <w:pPr>
              <w:widowControl w:val="0"/>
              <w:bidi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lang w:val="en-US"/>
              </w:rPr>
              <w:t>Bartlett’s Test of Sphericity (Chi-square)</w:t>
            </w:r>
          </w:p>
        </w:tc>
        <w:tc>
          <w:tcPr>
            <w:tcW w:w="3900" w:type="dxa"/>
            <w:tcBorders>
              <w:right w:val="nil"/>
            </w:tcBorders>
          </w:tcPr>
          <w:p w14:paraId="22B068D3">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1126.45</w:t>
            </w:r>
          </w:p>
        </w:tc>
      </w:tr>
      <w:tr w14:paraId="768C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5" w:type="dxa"/>
            <w:tcBorders>
              <w:left w:val="nil"/>
            </w:tcBorders>
          </w:tcPr>
          <w:p w14:paraId="6CB8087A">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Degrees of Freedom</w:t>
            </w:r>
          </w:p>
        </w:tc>
        <w:tc>
          <w:tcPr>
            <w:tcW w:w="3900" w:type="dxa"/>
            <w:tcBorders>
              <w:right w:val="nil"/>
            </w:tcBorders>
          </w:tcPr>
          <w:p w14:paraId="3FE15B37">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120</w:t>
            </w:r>
          </w:p>
        </w:tc>
      </w:tr>
      <w:tr w14:paraId="59420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5" w:type="dxa"/>
            <w:tcBorders>
              <w:left w:val="nil"/>
            </w:tcBorders>
          </w:tcPr>
          <w:p w14:paraId="2680DB6D">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Significance (p-value)</w:t>
            </w:r>
          </w:p>
        </w:tc>
        <w:tc>
          <w:tcPr>
            <w:tcW w:w="3900" w:type="dxa"/>
            <w:tcBorders>
              <w:right w:val="nil"/>
            </w:tcBorders>
          </w:tcPr>
          <w:p w14:paraId="4393EB9F">
            <w:pPr>
              <w:widowControl w:val="0"/>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0.000</w:t>
            </w:r>
          </w:p>
        </w:tc>
      </w:tr>
    </w:tbl>
    <w:p w14:paraId="741CAA6E">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w:t>
      </w:r>
      <w:r>
        <w:rPr>
          <w:rStyle w:val="10"/>
          <w:rFonts w:hint="default" w:ascii="Times New Roman" w:hAnsi="Times New Roman" w:cs="Times New Roman"/>
          <w:b w:val="0"/>
          <w:bCs w:val="0"/>
          <w:sz w:val="24"/>
          <w:szCs w:val="24"/>
        </w:rPr>
        <w:t>KMO value of 0.823</w:t>
      </w:r>
      <w:r>
        <w:rPr>
          <w:rFonts w:hint="default" w:ascii="Times New Roman" w:hAnsi="Times New Roman" w:cs="Times New Roman"/>
          <w:b w:val="0"/>
          <w:bCs w:val="0"/>
          <w:sz w:val="24"/>
          <w:szCs w:val="24"/>
        </w:rPr>
        <w:t xml:space="preserve"> indicates a </w:t>
      </w:r>
      <w:r>
        <w:rPr>
          <w:rStyle w:val="10"/>
          <w:rFonts w:hint="default" w:ascii="Times New Roman" w:hAnsi="Times New Roman" w:cs="Times New Roman"/>
          <w:b w:val="0"/>
          <w:bCs w:val="0"/>
          <w:sz w:val="24"/>
          <w:szCs w:val="24"/>
        </w:rPr>
        <w:t>high level of sampling adequacy</w:t>
      </w:r>
      <w:r>
        <w:rPr>
          <w:rFonts w:hint="default" w:ascii="Times New Roman" w:hAnsi="Times New Roman" w:cs="Times New Roman"/>
          <w:b w:val="0"/>
          <w:bCs w:val="0"/>
          <w:sz w:val="24"/>
          <w:szCs w:val="24"/>
        </w:rPr>
        <w:t>, suggesting that the sample size used in the study is sufficient for reliable factor analysis. This value falls within the range considered “meritorious,” indicating that the dataset contains strong patterns of correlations among the variables.</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 xml:space="preserve">Furthermore, </w:t>
      </w:r>
      <w:r>
        <w:rPr>
          <w:rStyle w:val="10"/>
          <w:rFonts w:hint="default" w:ascii="Times New Roman" w:hAnsi="Times New Roman" w:cs="Times New Roman"/>
          <w:b w:val="0"/>
          <w:bCs w:val="0"/>
          <w:sz w:val="24"/>
          <w:szCs w:val="24"/>
        </w:rPr>
        <w:t>Bartlett’s Test of Sphericity produced a Chi-square value of 1126.45 with a significance level of p = 0.000</w:t>
      </w:r>
      <w:r>
        <w:rPr>
          <w:rFonts w:hint="default" w:ascii="Times New Roman" w:hAnsi="Times New Roman" w:cs="Times New Roman"/>
          <w:b w:val="0"/>
          <w:bCs w:val="0"/>
          <w:sz w:val="24"/>
          <w:szCs w:val="24"/>
        </w:rPr>
        <w:t>, which is well below the commonly accepted threshold of 0.05. This result confirms that the correlation matrix is statistically significant and that meaningful relationships exist among the variables included in the analysis.</w:t>
      </w:r>
    </w:p>
    <w:p w14:paraId="44C43AD1">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Taken together, the KMO and Bartlett’s test results demonstrate that the dataset is </w:t>
      </w:r>
      <w:r>
        <w:rPr>
          <w:rStyle w:val="10"/>
          <w:rFonts w:hint="default" w:ascii="Times New Roman" w:hAnsi="Times New Roman" w:cs="Times New Roman"/>
          <w:b w:val="0"/>
          <w:bCs w:val="0"/>
          <w:sz w:val="24"/>
          <w:szCs w:val="24"/>
        </w:rPr>
        <w:t>appropriate for multivariate statistical analysis</w:t>
      </w:r>
      <w:r>
        <w:rPr>
          <w:rFonts w:hint="default" w:ascii="Times New Roman" w:hAnsi="Times New Roman" w:cs="Times New Roman"/>
          <w:b w:val="0"/>
          <w:bCs w:val="0"/>
          <w:sz w:val="24"/>
          <w:szCs w:val="24"/>
        </w:rPr>
        <w:t xml:space="preserve"> and that the measurement items adequately capture the constructs under investigation. These findings strengthen the methodological rigor of the study and provide confidence that the variables used in the research are both statistically reliable and valid for examining the determinants influencing the choice of mobile network operators in public digital payment systems.</w:t>
      </w:r>
    </w:p>
    <w:p w14:paraId="38DF4049">
      <w:pPr>
        <w:pStyle w:val="3"/>
        <w:keepNext w:val="0"/>
        <w:keepLines w:val="0"/>
        <w:widowControl/>
        <w:suppressLineNumbers w:val="0"/>
        <w:jc w:val="both"/>
        <w:rPr>
          <w:rFonts w:hint="default" w:ascii="Times New Roman" w:hAnsi="Times New Roman" w:cs="Times New Roman"/>
          <w:b/>
          <w:bCs/>
          <w:sz w:val="28"/>
          <w:szCs w:val="28"/>
        </w:rPr>
      </w:pPr>
      <w:r>
        <w:rPr>
          <w:rFonts w:hint="default" w:ascii="Times New Roman" w:hAnsi="Times New Roman" w:cs="Times New Roman"/>
          <w:b/>
          <w:bCs/>
          <w:sz w:val="28"/>
          <w:szCs w:val="28"/>
        </w:rPr>
        <w:t>Conclusion and Recommendations</w:t>
      </w:r>
    </w:p>
    <w:p w14:paraId="733791B1">
      <w:pPr>
        <w:pStyle w:val="4"/>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Conclusion</w:t>
      </w:r>
    </w:p>
    <w:p w14:paraId="1BCBF285">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objective of this study </w:t>
      </w:r>
      <w:r>
        <w:rPr>
          <w:rFonts w:hint="default" w:cs="Times New Roman"/>
          <w:b w:val="0"/>
          <w:bCs w:val="0"/>
          <w:sz w:val="24"/>
          <w:szCs w:val="24"/>
          <w:lang w:val="en-US"/>
        </w:rPr>
        <w:t>is</w:t>
      </w:r>
      <w:r>
        <w:rPr>
          <w:rFonts w:hint="default" w:ascii="Times New Roman" w:hAnsi="Times New Roman" w:cs="Times New Roman"/>
          <w:b w:val="0"/>
          <w:bCs w:val="0"/>
          <w:sz w:val="24"/>
          <w:szCs w:val="24"/>
        </w:rPr>
        <w:t xml:space="preserve"> to examine the factors that influence users when selecting mobile network operators for conducting public digital payment transactions in Tanzania. As digital payment systems continue to expand across developing economies, understanding the determinants that shape user preferences becomes increasingly important for improving financial service delivery. This research therefore focused on four key service attributes</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network reliability, transaction costs, service accessibility, and service quality</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and assessed how these factors influence the choice of mobile network operators among users of public digital payment platforms.</w:t>
      </w:r>
    </w:p>
    <w:p w14:paraId="74EB1A3F">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empirical findings of the study demonstrate that </w:t>
      </w:r>
      <w:r>
        <w:rPr>
          <w:rStyle w:val="10"/>
          <w:rFonts w:hint="default" w:ascii="Times New Roman" w:hAnsi="Times New Roman" w:cs="Times New Roman"/>
          <w:b w:val="0"/>
          <w:bCs w:val="0"/>
          <w:sz w:val="24"/>
          <w:szCs w:val="24"/>
        </w:rPr>
        <w:t>network reliability plays a critical role in shaping users’ decisions when selecting mobile network operators for digital payment transactions</w:t>
      </w:r>
      <w:r>
        <w:rPr>
          <w:rFonts w:hint="default" w:ascii="Times New Roman" w:hAnsi="Times New Roman" w:cs="Times New Roman"/>
          <w:b w:val="0"/>
          <w:bCs w:val="0"/>
          <w:sz w:val="24"/>
          <w:szCs w:val="24"/>
        </w:rPr>
        <w:t>. A stable and dependable telecommunications infrastructure ensures that financial transactions are processed smoothly and without interruption. When users experience frequent network disruptions, delays, or failed transactions, their confidence in the service provider tends to decline. As a result, individuals are more likely to prefer operators that offer consistent connectivity and reliable network performance. The results therefore suggest that improving network stability is essential for strengthening public digital payment systems.</w:t>
      </w:r>
    </w:p>
    <w:p w14:paraId="78B42E38">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Another important finding from the analysis is the </w:t>
      </w:r>
      <w:r>
        <w:rPr>
          <w:rStyle w:val="10"/>
          <w:rFonts w:hint="default" w:ascii="Times New Roman" w:hAnsi="Times New Roman" w:cs="Times New Roman"/>
          <w:b w:val="0"/>
          <w:bCs w:val="0"/>
          <w:sz w:val="24"/>
          <w:szCs w:val="24"/>
        </w:rPr>
        <w:t>positive influence of service accessibility on user preferences</w:t>
      </w:r>
      <w:r>
        <w:rPr>
          <w:rFonts w:hint="default" w:ascii="Times New Roman" w:hAnsi="Times New Roman" w:cs="Times New Roman"/>
          <w:b w:val="0"/>
          <w:bCs w:val="0"/>
          <w:sz w:val="24"/>
          <w:szCs w:val="24"/>
        </w:rPr>
        <w:t>. Accessibility refers not only to the geographical coverage of the mobile network but also to the ease with which users can access mobile money services through agents, mobile applications, and digital platforms. The study indicates that when digital payment services are easily accessible, individuals are more inclined to rely on a particular operator for financial transactions. In the context of Tanzania, where mobile money services are widely used for paying government fees, utility bills, and other public services, the availability of service points and network coverage becomes a crucial factor in shaping user behavior.</w:t>
      </w:r>
    </w:p>
    <w:p w14:paraId="5C2913A7">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study also reveals that </w:t>
      </w:r>
      <w:r>
        <w:rPr>
          <w:rStyle w:val="10"/>
          <w:rFonts w:hint="default" w:ascii="Times New Roman" w:hAnsi="Times New Roman" w:cs="Times New Roman"/>
          <w:b w:val="0"/>
          <w:bCs w:val="0"/>
          <w:sz w:val="24"/>
          <w:szCs w:val="24"/>
        </w:rPr>
        <w:t>service quality significantly contributes to the choice of mobile network operators</w:t>
      </w:r>
      <w:r>
        <w:rPr>
          <w:rFonts w:hint="default" w:ascii="Times New Roman" w:hAnsi="Times New Roman" w:cs="Times New Roman"/>
          <w:b w:val="0"/>
          <w:bCs w:val="0"/>
          <w:sz w:val="24"/>
          <w:szCs w:val="24"/>
        </w:rPr>
        <w:t>. Service quality in digital payment systems encompasses several dimensions, including transaction speed, system reliability, customer support, and overall user experience. Respondents generally perceived operators that provide efficient and user-friendly services as more attractive for conducting digital transactions. When digital platforms operate smoothly and customer support services respond effectively to user concerns, individuals tend to maintain long-term relationships with the service provider. This highlights the importance of maintaining high service standards in order to retain customers within competitive telecommunications markets.</w:t>
      </w:r>
    </w:p>
    <w:p w14:paraId="2B42213F">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 contrast, the results indicate that </w:t>
      </w:r>
      <w:r>
        <w:rPr>
          <w:rStyle w:val="10"/>
          <w:rFonts w:hint="default" w:ascii="Times New Roman" w:hAnsi="Times New Roman" w:cs="Times New Roman"/>
          <w:b w:val="0"/>
          <w:bCs w:val="0"/>
          <w:sz w:val="24"/>
          <w:szCs w:val="24"/>
        </w:rPr>
        <w:t>transaction costs have a negative influence on the choice of mobile network operators</w:t>
      </w:r>
      <w:r>
        <w:rPr>
          <w:rFonts w:hint="default" w:ascii="Times New Roman" w:hAnsi="Times New Roman" w:cs="Times New Roman"/>
          <w:b w:val="0"/>
          <w:bCs w:val="0"/>
          <w:sz w:val="24"/>
          <w:szCs w:val="24"/>
        </w:rPr>
        <w:t>. Digital payment users often compare service charges across different providers before deciding which platform to use. When transaction fees are perceived as excessive, users may shift to alternative operators that offer more affordable services. This finding suggests that pricing structures play an important role in shaping consumer behavior in digital financial markets. Competitive pricing can therefore enhance the attractiveness of mobile payment services and encourage wider participation in digital financial systems.</w:t>
      </w:r>
    </w:p>
    <w:p w14:paraId="0F25EAA4">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cs="Times New Roman"/>
          <w:b w:val="0"/>
          <w:bCs w:val="0"/>
          <w:sz w:val="24"/>
          <w:szCs w:val="24"/>
          <w:lang w:val="en-US"/>
        </w:rPr>
        <w:t>In general</w:t>
      </w:r>
      <w:r>
        <w:rPr>
          <w:rFonts w:hint="default" w:ascii="Times New Roman" w:hAnsi="Times New Roman" w:cs="Times New Roman"/>
          <w:b w:val="0"/>
          <w:bCs w:val="0"/>
          <w:sz w:val="24"/>
          <w:szCs w:val="24"/>
        </w:rPr>
        <w:t xml:space="preserve">, the results of this research emphasize that the effectiveness of public digital payment systems depends largely on the </w:t>
      </w:r>
      <w:r>
        <w:rPr>
          <w:rStyle w:val="10"/>
          <w:rFonts w:hint="default" w:ascii="Times New Roman" w:hAnsi="Times New Roman" w:cs="Times New Roman"/>
          <w:b w:val="0"/>
          <w:bCs w:val="0"/>
          <w:sz w:val="24"/>
          <w:szCs w:val="24"/>
        </w:rPr>
        <w:t>quality, reliability, and affordability of the telecommunications services that support them</w:t>
      </w:r>
      <w:r>
        <w:rPr>
          <w:rFonts w:hint="default" w:ascii="Times New Roman" w:hAnsi="Times New Roman" w:cs="Times New Roman"/>
          <w:b w:val="0"/>
          <w:bCs w:val="0"/>
          <w:sz w:val="24"/>
          <w:szCs w:val="24"/>
        </w:rPr>
        <w:t>. Mobile network operators serve as the backbone of digital financial infrastructure in many developing countries, including Tanzania. By strengthening network performance, improving service delivery, and ensuring reasonable transaction charges, telecommunication companies can contribute significantly to the development of efficient and inclusive digital payment ecosystems.</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Beyond its practical implications, the study also contributes to the broader academic discussion on digital financial services by providing empirical evidence from Tanzania’s telecommunication sector. The findings offer insights into how service-related attributes influence user preferences in mobile-based financial platforms. These insights are valuable for policymakers, regulators, and telecommunication companies seeking to enhance the performance and adoption of public digital payment systems.</w:t>
      </w:r>
    </w:p>
    <w:p w14:paraId="5332F960">
      <w:pPr>
        <w:pStyle w:val="4"/>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Recommendations</w:t>
      </w:r>
    </w:p>
    <w:p w14:paraId="233F5D88">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Based on the findings of the study, several practical recommendations can be proposed to improve the effectiveness and reliability of digital payment services in Tanzania.</w:t>
      </w:r>
    </w:p>
    <w:p w14:paraId="4BC91174">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First, </w:t>
      </w:r>
      <w:r>
        <w:rPr>
          <w:rStyle w:val="10"/>
          <w:rFonts w:hint="default" w:ascii="Times New Roman" w:hAnsi="Times New Roman" w:cs="Times New Roman"/>
          <w:b w:val="0"/>
          <w:bCs w:val="0"/>
          <w:sz w:val="24"/>
          <w:szCs w:val="24"/>
        </w:rPr>
        <w:t>telecommunication companies should prioritize investments in network infrastructure</w:t>
      </w:r>
      <w:r>
        <w:rPr>
          <w:rFonts w:hint="default" w:ascii="Times New Roman" w:hAnsi="Times New Roman" w:cs="Times New Roman"/>
          <w:b w:val="0"/>
          <w:bCs w:val="0"/>
          <w:sz w:val="24"/>
          <w:szCs w:val="24"/>
        </w:rPr>
        <w:t>. Reliable network connectivity remains one of the most important factors influencing user trust and satisfaction in digital payment platforms. Expanding network coverage, upgrading telecommunications equipment, and improving system stability can reduce transaction failures and ensure that users are able to complete financial operations without interruption. Such improvements would significantly enhance the efficiency of digital payment services.</w:t>
      </w:r>
    </w:p>
    <w:p w14:paraId="22F608FD">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Second, </w:t>
      </w:r>
      <w:r>
        <w:rPr>
          <w:rStyle w:val="10"/>
          <w:rFonts w:hint="default" w:ascii="Times New Roman" w:hAnsi="Times New Roman" w:cs="Times New Roman"/>
          <w:b w:val="0"/>
          <w:bCs w:val="0"/>
          <w:sz w:val="24"/>
          <w:szCs w:val="24"/>
        </w:rPr>
        <w:t>mobile network operators should adopt transparent and competitive pricing strategies</w:t>
      </w:r>
      <w:r>
        <w:rPr>
          <w:rFonts w:hint="default" w:ascii="Times New Roman" w:hAnsi="Times New Roman" w:cs="Times New Roman"/>
          <w:b w:val="0"/>
          <w:bCs w:val="0"/>
          <w:sz w:val="24"/>
          <w:szCs w:val="24"/>
        </w:rPr>
        <w:t xml:space="preserve"> for digital payment transactions. Since transaction costs were found to negatively influence operator choice, reducing service charges or introducing flexible pricing structures may encourage greater use of mobile payment services. Affordable transaction fees can make digital platforms more attractive to a broader population, including low-income users who rely heavily on mobile financial services.</w:t>
      </w:r>
    </w:p>
    <w:p w14:paraId="0136B281">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Third, </w:t>
      </w:r>
      <w:r>
        <w:rPr>
          <w:rStyle w:val="10"/>
          <w:rFonts w:hint="default" w:ascii="Times New Roman" w:hAnsi="Times New Roman" w:cs="Times New Roman"/>
          <w:b w:val="0"/>
          <w:bCs w:val="0"/>
          <w:sz w:val="24"/>
          <w:szCs w:val="24"/>
        </w:rPr>
        <w:t>improving service accessibility should remain a key priority for service providers</w:t>
      </w:r>
      <w:r>
        <w:rPr>
          <w:rFonts w:hint="default" w:ascii="Times New Roman" w:hAnsi="Times New Roman" w:cs="Times New Roman"/>
          <w:b w:val="0"/>
          <w:bCs w:val="0"/>
          <w:sz w:val="24"/>
          <w:szCs w:val="24"/>
        </w:rPr>
        <w:t>. Expanding the network of mobile money agents, strengthening digital platforms, and ensuring reliable mobile applications can improve the convenience of digital payment services. When users can easily access mobile money services in both urban and rural areas, the adoption of public digital payment systems is likely to increase.</w:t>
      </w:r>
    </w:p>
    <w:p w14:paraId="53CD25AF">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Another important recommendation relates to </w:t>
      </w:r>
      <w:r>
        <w:rPr>
          <w:rStyle w:val="10"/>
          <w:rFonts w:hint="default" w:ascii="Times New Roman" w:hAnsi="Times New Roman" w:cs="Times New Roman"/>
          <w:b w:val="0"/>
          <w:bCs w:val="0"/>
          <w:sz w:val="24"/>
          <w:szCs w:val="24"/>
        </w:rPr>
        <w:t>service quality and customer support systems</w:t>
      </w:r>
      <w:r>
        <w:rPr>
          <w:rFonts w:hint="default" w:ascii="Times New Roman" w:hAnsi="Times New Roman" w:cs="Times New Roman"/>
          <w:b w:val="0"/>
          <w:bCs w:val="0"/>
          <w:sz w:val="24"/>
          <w:szCs w:val="24"/>
        </w:rPr>
        <w:t>. Telecommunication companies should continue to enhance the quality of their digital payment platforms by ensuring fast transaction processing, strong security systems, and efficient customer service channels. Prompt resolution of customer complaints and effective technical support can significantly improve user satisfaction and trust in digital payment systems.</w:t>
      </w:r>
    </w:p>
    <w:p w14:paraId="7E57B77E">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From a policy perspective, </w:t>
      </w:r>
      <w:r>
        <w:rPr>
          <w:rStyle w:val="10"/>
          <w:rFonts w:hint="default" w:ascii="Times New Roman" w:hAnsi="Times New Roman" w:cs="Times New Roman"/>
          <w:b w:val="0"/>
          <w:bCs w:val="0"/>
          <w:sz w:val="24"/>
          <w:szCs w:val="24"/>
        </w:rPr>
        <w:t>government authorities and regulatory institutions should continue promoting interoperability among mobile network operators</w:t>
      </w:r>
      <w:r>
        <w:rPr>
          <w:rFonts w:hint="default" w:ascii="Times New Roman" w:hAnsi="Times New Roman" w:cs="Times New Roman"/>
          <w:b w:val="0"/>
          <w:bCs w:val="0"/>
          <w:sz w:val="24"/>
          <w:szCs w:val="24"/>
        </w:rPr>
        <w:t>. Interoperability allows users to transfer funds across different networks more easily, which improves convenience and reduces barriers within the digital financial ecosystem. Strengthening collaboration between telecommunication companies, financial institutions, and government agencies can also enhance the efficiency of public digital payment platforms.</w:t>
      </w:r>
    </w:p>
    <w:p w14:paraId="3C728F5D">
      <w:pPr>
        <w:pStyle w:val="9"/>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Finally, future research could explore additional factors that may influence user preferences in digital payment systems, such as </w:t>
      </w:r>
      <w:r>
        <w:rPr>
          <w:rStyle w:val="10"/>
          <w:rFonts w:hint="default" w:ascii="Times New Roman" w:hAnsi="Times New Roman" w:cs="Times New Roman"/>
          <w:b w:val="0"/>
          <w:bCs w:val="0"/>
          <w:sz w:val="24"/>
          <w:szCs w:val="24"/>
        </w:rPr>
        <w:t>security perceptions, technological literacy, and trust in digital financial platforms</w:t>
      </w:r>
      <w:r>
        <w:rPr>
          <w:rFonts w:hint="default" w:ascii="Times New Roman" w:hAnsi="Times New Roman" w:cs="Times New Roman"/>
          <w:b w:val="0"/>
          <w:bCs w:val="0"/>
          <w:sz w:val="24"/>
          <w:szCs w:val="24"/>
        </w:rPr>
        <w:t>. Expanding research in these areas would provide a more comprehensive understanding of the dynamics shaping the adoption and use of digital payment services.</w:t>
      </w:r>
    </w:p>
    <w:p w14:paraId="532518BA">
      <w:pPr>
        <w:pStyle w:val="9"/>
        <w:keepNext w:val="0"/>
        <w:keepLines w:val="0"/>
        <w:widowControl/>
        <w:suppressLineNumbers w:val="0"/>
        <w:jc w:val="both"/>
        <w:rPr>
          <w:rFonts w:hint="default" w:ascii="Times New Roman" w:hAnsi="Times New Roman" w:cs="Times New Roman"/>
          <w:b/>
          <w:bCs/>
          <w:sz w:val="28"/>
          <w:szCs w:val="28"/>
          <w:lang w:val="en-US"/>
        </w:rPr>
      </w:pPr>
      <w:r>
        <w:rPr>
          <w:rFonts w:hint="default" w:cs="Times New Roman"/>
          <w:b w:val="0"/>
          <w:bCs w:val="0"/>
          <w:sz w:val="24"/>
          <w:szCs w:val="24"/>
          <w:lang w:val="en-US"/>
        </w:rPr>
        <w:t>To sum up</w:t>
      </w:r>
      <w:r>
        <w:rPr>
          <w:rFonts w:hint="default" w:ascii="Times New Roman" w:hAnsi="Times New Roman" w:cs="Times New Roman"/>
          <w:b w:val="0"/>
          <w:bCs w:val="0"/>
          <w:sz w:val="24"/>
          <w:szCs w:val="24"/>
        </w:rPr>
        <w:t>, strengthening the performance of mobile network operators is essential for the long-term success of public digital payment systems in Tanzania. By addressing issues related to network reliability, transaction costs, service accessibility, and service quality, stakeholders can create a more efficient and inclusive digital financial environment that benefits both service providers and users.</w:t>
      </w:r>
    </w:p>
    <w:p w14:paraId="7482EFAB">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References</w:t>
      </w:r>
    </w:p>
    <w:p w14:paraId="5AF2791D">
      <w:pPr>
        <w:pStyle w:val="9"/>
        <w:keepNext w:val="0"/>
        <w:keepLines w:val="0"/>
        <w:widowControl/>
        <w:numPr>
          <w:ilvl w:val="0"/>
          <w:numId w:val="3"/>
        </w:numPr>
        <w:suppressLineNumbers w:val="0"/>
        <w:ind w:left="425" w:leftChars="0" w:hanging="425" w:firstLineChars="0"/>
        <w:jc w:val="both"/>
      </w:pPr>
      <w:r>
        <w:t xml:space="preserve">Adewusi, O., Msagusa, W., Imanirumva, J., Obadofin, O., &amp; Ndibwile, J. (2025). Mobile money authentication for inclusive e-government in Sub-Saharan Africa. </w:t>
      </w:r>
      <w:r>
        <w:rPr>
          <w:rStyle w:val="8"/>
        </w:rPr>
        <w:t>Information Security Journal</w:t>
      </w:r>
      <w:r>
        <w:t>.</w:t>
      </w:r>
    </w:p>
    <w:p w14:paraId="239E86E4">
      <w:pPr>
        <w:pStyle w:val="9"/>
        <w:keepNext w:val="0"/>
        <w:keepLines w:val="0"/>
        <w:widowControl/>
        <w:numPr>
          <w:ilvl w:val="0"/>
          <w:numId w:val="3"/>
        </w:numPr>
        <w:suppressLineNumbers w:val="0"/>
        <w:ind w:left="425" w:leftChars="0" w:hanging="425" w:firstLineChars="0"/>
        <w:jc w:val="both"/>
      </w:pPr>
      <w:r>
        <w:t>Aker, J. C., &amp; Mbiti, I. M. (201</w:t>
      </w:r>
      <w:r>
        <w:rPr>
          <w:rFonts w:hint="default"/>
          <w:lang w:val="en-US"/>
        </w:rPr>
        <w:t>0</w:t>
      </w:r>
      <w:r>
        <w:t xml:space="preserve">). Mobile phones and economic development in Africa. </w:t>
      </w:r>
      <w:r>
        <w:rPr>
          <w:rStyle w:val="8"/>
        </w:rPr>
        <w:t>Journal of Economic Perspectives</w:t>
      </w:r>
      <w:r>
        <w:t>, 24(3), 207–232.</w:t>
      </w:r>
    </w:p>
    <w:p w14:paraId="1363E552">
      <w:pPr>
        <w:pStyle w:val="9"/>
        <w:keepNext w:val="0"/>
        <w:keepLines w:val="0"/>
        <w:widowControl/>
        <w:numPr>
          <w:ilvl w:val="0"/>
          <w:numId w:val="3"/>
        </w:numPr>
        <w:suppressLineNumbers w:val="0"/>
        <w:ind w:left="425" w:leftChars="0" w:hanging="425" w:firstLineChars="0"/>
        <w:jc w:val="both"/>
      </w:pPr>
      <w:r>
        <w:t xml:space="preserve">Alalwan, A. A., Dwivedi, Y. K., Rana, N. P., &amp; Williams, M. D. (2017). Consumer adoption of mobile banking in Jordan. </w:t>
      </w:r>
      <w:r>
        <w:rPr>
          <w:rStyle w:val="8"/>
        </w:rPr>
        <w:t>Journal of Enterprise Information Management</w:t>
      </w:r>
      <w:r>
        <w:t>, 30(1), 118–139.</w:t>
      </w:r>
    </w:p>
    <w:p w14:paraId="266B2E0C">
      <w:pPr>
        <w:pStyle w:val="9"/>
        <w:keepNext w:val="0"/>
        <w:keepLines w:val="0"/>
        <w:widowControl/>
        <w:numPr>
          <w:ilvl w:val="0"/>
          <w:numId w:val="3"/>
        </w:numPr>
        <w:suppressLineNumbers w:val="0"/>
        <w:ind w:left="425" w:leftChars="0" w:hanging="425" w:firstLineChars="0"/>
        <w:jc w:val="both"/>
      </w:pPr>
      <w:r>
        <w:t xml:space="preserve">Alkhowaiter, W. A. (2020). Digital payment and banking adoption research in Gulf countries: A systematic literature review. </w:t>
      </w:r>
      <w:r>
        <w:rPr>
          <w:rStyle w:val="8"/>
        </w:rPr>
        <w:t>International Journal of Information Management, 53</w:t>
      </w:r>
      <w:r>
        <w:t>, 102102.</w:t>
      </w:r>
    </w:p>
    <w:p w14:paraId="7599C51C">
      <w:pPr>
        <w:pStyle w:val="9"/>
        <w:keepNext w:val="0"/>
        <w:keepLines w:val="0"/>
        <w:widowControl/>
        <w:numPr>
          <w:ilvl w:val="0"/>
          <w:numId w:val="3"/>
        </w:numPr>
        <w:suppressLineNumbers w:val="0"/>
        <w:ind w:left="425" w:leftChars="0" w:hanging="425" w:firstLineChars="0"/>
        <w:jc w:val="both"/>
      </w:pPr>
      <w:r>
        <w:t xml:space="preserve">Arner, D. W., Barberis, J., &amp; Buckley, R. P. (2020). The evolution of fintech: A new post-crisis paradigm. </w:t>
      </w:r>
      <w:r>
        <w:rPr>
          <w:rStyle w:val="8"/>
        </w:rPr>
        <w:t>Georgetown Journal of International Law</w:t>
      </w:r>
      <w:r>
        <w:t>, 47(4), 1271–1319.</w:t>
      </w:r>
    </w:p>
    <w:p w14:paraId="12101716">
      <w:pPr>
        <w:pStyle w:val="9"/>
        <w:keepNext w:val="0"/>
        <w:keepLines w:val="0"/>
        <w:widowControl/>
        <w:numPr>
          <w:ilvl w:val="0"/>
          <w:numId w:val="3"/>
        </w:numPr>
        <w:suppressLineNumbers w:val="0"/>
        <w:ind w:left="425" w:leftChars="0" w:hanging="425" w:firstLineChars="0"/>
        <w:jc w:val="both"/>
      </w:pPr>
      <w:r>
        <w:t xml:space="preserve">Aron, J. (2018). Mobile money and the economy: A review of the evidence. </w:t>
      </w:r>
      <w:r>
        <w:rPr>
          <w:rStyle w:val="8"/>
        </w:rPr>
        <w:t>World Bank Research Observer</w:t>
      </w:r>
      <w:r>
        <w:t>, 33(2), 135–188.</w:t>
      </w:r>
    </w:p>
    <w:p w14:paraId="61469565">
      <w:pPr>
        <w:pStyle w:val="9"/>
        <w:keepNext w:val="0"/>
        <w:keepLines w:val="0"/>
        <w:widowControl/>
        <w:numPr>
          <w:ilvl w:val="0"/>
          <w:numId w:val="3"/>
        </w:numPr>
        <w:suppressLineNumbers w:val="0"/>
        <w:ind w:left="425" w:leftChars="0" w:hanging="425" w:firstLineChars="0"/>
        <w:jc w:val="both"/>
      </w:pPr>
      <w:r>
        <w:t xml:space="preserve">Bank of Tanzania. (2023). </w:t>
      </w:r>
      <w:r>
        <w:rPr>
          <w:rStyle w:val="8"/>
        </w:rPr>
        <w:t>Annual report on national payment systems</w:t>
      </w:r>
      <w:r>
        <w:t>. Dar es Salaam: Bank of Tanzania.</w:t>
      </w:r>
    </w:p>
    <w:p w14:paraId="1852B40B">
      <w:pPr>
        <w:pStyle w:val="9"/>
        <w:keepNext w:val="0"/>
        <w:keepLines w:val="0"/>
        <w:widowControl/>
        <w:numPr>
          <w:ilvl w:val="0"/>
          <w:numId w:val="3"/>
        </w:numPr>
        <w:suppressLineNumbers w:val="0"/>
        <w:ind w:left="425" w:leftChars="0" w:hanging="425" w:firstLineChars="0"/>
        <w:jc w:val="both"/>
      </w:pPr>
      <w:r>
        <w:t xml:space="preserve">Bank of Tanzania. (2023). </w:t>
      </w:r>
      <w:r>
        <w:rPr>
          <w:rStyle w:val="8"/>
        </w:rPr>
        <w:t>National payment systems annual report</w:t>
      </w:r>
      <w:r>
        <w:t>. Dar es Salaam: Bank of Tanzania.</w:t>
      </w:r>
    </w:p>
    <w:p w14:paraId="728F8F81">
      <w:pPr>
        <w:pStyle w:val="9"/>
        <w:keepNext w:val="0"/>
        <w:keepLines w:val="0"/>
        <w:widowControl/>
        <w:numPr>
          <w:ilvl w:val="0"/>
          <w:numId w:val="3"/>
        </w:numPr>
        <w:suppressLineNumbers w:val="0"/>
        <w:ind w:left="425" w:leftChars="0" w:hanging="425" w:firstLineChars="0"/>
        <w:jc w:val="both"/>
      </w:pPr>
      <w:r>
        <w:t xml:space="preserve">Boateng, G. O., Neilands, T. B., Frongillo, E. A., Melgar-Quiñonez, H. R., &amp; Young, S. L. (2018). Best practices for developing and validating scales for health, social, and behavioral research. </w:t>
      </w:r>
      <w:r>
        <w:rPr>
          <w:rStyle w:val="8"/>
        </w:rPr>
        <w:t>Frontiers in Public Health</w:t>
      </w:r>
      <w:r>
        <w:t>, 6, 149.</w:t>
      </w:r>
    </w:p>
    <w:p w14:paraId="6BB582E0">
      <w:pPr>
        <w:pStyle w:val="9"/>
        <w:keepNext w:val="0"/>
        <w:keepLines w:val="0"/>
        <w:widowControl/>
        <w:numPr>
          <w:ilvl w:val="0"/>
          <w:numId w:val="3"/>
        </w:numPr>
        <w:suppressLineNumbers w:val="0"/>
        <w:ind w:left="425" w:leftChars="0" w:hanging="425" w:firstLineChars="0"/>
        <w:jc w:val="both"/>
      </w:pPr>
      <w:r>
        <w:t xml:space="preserve">Bongomin, G. O. C., Kyazze, L. M., Munene, J. C., &amp; Mpeera Ntayi, J. (2020). Mobile money and financial inclusion in Sub-Saharan Africa: The moderating role of social networks. </w:t>
      </w:r>
      <w:r>
        <w:rPr>
          <w:rStyle w:val="8"/>
        </w:rPr>
        <w:t>Journal of African Business, 21</w:t>
      </w:r>
      <w:r>
        <w:t>(3), 361–381.</w:t>
      </w:r>
    </w:p>
    <w:p w14:paraId="65E64DCD">
      <w:pPr>
        <w:pStyle w:val="9"/>
        <w:keepNext w:val="0"/>
        <w:keepLines w:val="0"/>
        <w:widowControl/>
        <w:numPr>
          <w:ilvl w:val="0"/>
          <w:numId w:val="3"/>
        </w:numPr>
        <w:suppressLineNumbers w:val="0"/>
        <w:ind w:left="425" w:leftChars="0" w:hanging="425" w:firstLineChars="0"/>
        <w:jc w:val="both"/>
      </w:pPr>
      <w:r>
        <w:t xml:space="preserve">Bongomin, G. O. C., Ntayi, J. M., Munene, J. C., &amp; Malinga, C. A. (2018). Mobile money and financial inclusion in Sub-Saharan Africa. </w:t>
      </w:r>
      <w:r>
        <w:rPr>
          <w:rStyle w:val="8"/>
        </w:rPr>
        <w:t>Journal of African Business</w:t>
      </w:r>
      <w:r>
        <w:t>, 19(3), 350–366.</w:t>
      </w:r>
    </w:p>
    <w:p w14:paraId="09E7DC6A">
      <w:pPr>
        <w:pStyle w:val="9"/>
        <w:keepNext w:val="0"/>
        <w:keepLines w:val="0"/>
        <w:widowControl/>
        <w:numPr>
          <w:ilvl w:val="0"/>
          <w:numId w:val="3"/>
        </w:numPr>
        <w:suppressLineNumbers w:val="0"/>
        <w:ind w:left="425" w:leftChars="0" w:hanging="425" w:firstLineChars="0"/>
        <w:jc w:val="both"/>
      </w:pPr>
      <w:r>
        <w:t xml:space="preserve">Bryman, A. (2016). </w:t>
      </w:r>
      <w:r>
        <w:rPr>
          <w:rStyle w:val="8"/>
        </w:rPr>
        <w:t>Social research methods</w:t>
      </w:r>
      <w:r>
        <w:t xml:space="preserve"> (5th ed.). Oxford University Press.</w:t>
      </w:r>
    </w:p>
    <w:p w14:paraId="62DE523D">
      <w:pPr>
        <w:pStyle w:val="9"/>
        <w:keepNext w:val="0"/>
        <w:keepLines w:val="0"/>
        <w:widowControl/>
        <w:numPr>
          <w:ilvl w:val="0"/>
          <w:numId w:val="3"/>
        </w:numPr>
        <w:suppressLineNumbers w:val="0"/>
        <w:ind w:left="425" w:leftChars="0" w:hanging="425" w:firstLineChars="0"/>
        <w:jc w:val="both"/>
      </w:pPr>
      <w:r>
        <w:t xml:space="preserve">Creswell, J. W., &amp; Creswell, J. D. (2018). </w:t>
      </w:r>
      <w:r>
        <w:rPr>
          <w:rStyle w:val="8"/>
        </w:rPr>
        <w:t>Research design: Qualitative, quantitative, and mixed methods approaches</w:t>
      </w:r>
      <w:r>
        <w:t xml:space="preserve"> (5th ed.). SAGE Publications.</w:t>
      </w:r>
    </w:p>
    <w:p w14:paraId="2D5EEC60">
      <w:pPr>
        <w:pStyle w:val="9"/>
        <w:keepNext w:val="0"/>
        <w:keepLines w:val="0"/>
        <w:widowControl/>
        <w:numPr>
          <w:ilvl w:val="0"/>
          <w:numId w:val="3"/>
        </w:numPr>
        <w:suppressLineNumbers w:val="0"/>
        <w:ind w:left="425" w:leftChars="0" w:hanging="425" w:firstLineChars="0"/>
        <w:jc w:val="both"/>
      </w:pPr>
      <w:r>
        <w:t xml:space="preserve">Dahlberg, T., Guo, J., &amp; Ondrus, J. (2015). A critical review of mobile payment research. </w:t>
      </w:r>
      <w:r>
        <w:rPr>
          <w:rStyle w:val="8"/>
        </w:rPr>
        <w:t>Electronic Commerce Research and Applications</w:t>
      </w:r>
      <w:r>
        <w:t>, 14(5), 265–284.</w:t>
      </w:r>
    </w:p>
    <w:p w14:paraId="72777886">
      <w:pPr>
        <w:pStyle w:val="9"/>
        <w:keepNext w:val="0"/>
        <w:keepLines w:val="0"/>
        <w:widowControl/>
        <w:numPr>
          <w:ilvl w:val="0"/>
          <w:numId w:val="3"/>
        </w:numPr>
        <w:suppressLineNumbers w:val="0"/>
        <w:ind w:left="425" w:leftChars="0" w:hanging="425" w:firstLineChars="0"/>
        <w:jc w:val="both"/>
      </w:pPr>
      <w:r>
        <w:t xml:space="preserve">Demirgüç-Kunt, A., Klapper, L., Singer, D., Ansar, S., &amp; Hess, J. (2022). </w:t>
      </w:r>
      <w:r>
        <w:rPr>
          <w:rStyle w:val="8"/>
        </w:rPr>
        <w:t>The Global Findex Database 2021: Financial inclusion, digital payments, and resilience in the age of COVID-19</w:t>
      </w:r>
      <w:r>
        <w:t>. Washington DC: World Bank.</w:t>
      </w:r>
    </w:p>
    <w:p w14:paraId="3E3C18D5">
      <w:pPr>
        <w:pStyle w:val="9"/>
        <w:keepNext w:val="0"/>
        <w:keepLines w:val="0"/>
        <w:widowControl/>
        <w:numPr>
          <w:ilvl w:val="0"/>
          <w:numId w:val="3"/>
        </w:numPr>
        <w:suppressLineNumbers w:val="0"/>
        <w:ind w:left="425" w:leftChars="0" w:hanging="425" w:firstLineChars="0"/>
        <w:jc w:val="both"/>
      </w:pPr>
      <w:r>
        <w:t xml:space="preserve">DeVellis, R. F. (2017). </w:t>
      </w:r>
      <w:r>
        <w:rPr>
          <w:rStyle w:val="8"/>
        </w:rPr>
        <w:t>Scale development: Theory and applications</w:t>
      </w:r>
      <w:r>
        <w:t xml:space="preserve"> (4th ed.). SAGE Publications.</w:t>
      </w:r>
    </w:p>
    <w:p w14:paraId="4278C09C">
      <w:pPr>
        <w:pStyle w:val="9"/>
        <w:keepNext w:val="0"/>
        <w:keepLines w:val="0"/>
        <w:widowControl/>
        <w:numPr>
          <w:ilvl w:val="0"/>
          <w:numId w:val="3"/>
        </w:numPr>
        <w:suppressLineNumbers w:val="0"/>
        <w:ind w:left="425" w:leftChars="0" w:hanging="425" w:firstLineChars="0"/>
        <w:jc w:val="both"/>
      </w:pPr>
      <w:r>
        <w:t xml:space="preserve">Donovan, K. (2012). Mobile money for financial inclusion. In T. Kelly &amp; M. Minges (Eds.), </w:t>
      </w:r>
      <w:r>
        <w:rPr>
          <w:rStyle w:val="8"/>
        </w:rPr>
        <w:t>Information and communications for development 2012: Maximizing mobile</w:t>
      </w:r>
      <w:r>
        <w:t xml:space="preserve"> (pp. 61–73). Washington, DC: World Bank.</w:t>
      </w:r>
    </w:p>
    <w:p w14:paraId="544EF3D8">
      <w:pPr>
        <w:pStyle w:val="9"/>
        <w:keepNext w:val="0"/>
        <w:keepLines w:val="0"/>
        <w:widowControl/>
        <w:numPr>
          <w:ilvl w:val="0"/>
          <w:numId w:val="3"/>
        </w:numPr>
        <w:suppressLineNumbers w:val="0"/>
        <w:ind w:left="425" w:leftChars="0" w:hanging="425" w:firstLineChars="0"/>
        <w:jc w:val="both"/>
      </w:pPr>
      <w:r>
        <w:t>Donovan, K. (20</w:t>
      </w:r>
      <w:r>
        <w:rPr>
          <w:rFonts w:hint="default"/>
          <w:lang w:val="en-US"/>
        </w:rPr>
        <w:t>12</w:t>
      </w:r>
      <w:r>
        <w:t xml:space="preserve">). Mobile money, more freedom? The impact of M-Pesa’s network power on development. </w:t>
      </w:r>
      <w:r>
        <w:rPr>
          <w:rStyle w:val="8"/>
        </w:rPr>
        <w:t>Information Technologies &amp; International Development</w:t>
      </w:r>
      <w:r>
        <w:t>, 16(1), 1–17.</w:t>
      </w:r>
    </w:p>
    <w:p w14:paraId="191B9D8E">
      <w:pPr>
        <w:pStyle w:val="9"/>
        <w:keepNext w:val="0"/>
        <w:keepLines w:val="0"/>
        <w:widowControl/>
        <w:numPr>
          <w:ilvl w:val="0"/>
          <w:numId w:val="3"/>
        </w:numPr>
        <w:suppressLineNumbers w:val="0"/>
        <w:ind w:left="425" w:leftChars="0" w:hanging="425" w:firstLineChars="0"/>
        <w:jc w:val="both"/>
      </w:pPr>
      <w:r>
        <w:t xml:space="preserve">Donovan, K. (2015). Mobile money for financial inclusion. In T. Kelly &amp; M. Minges (Eds.), </w:t>
      </w:r>
      <w:r>
        <w:rPr>
          <w:rStyle w:val="8"/>
        </w:rPr>
        <w:t>Information and communications for development</w:t>
      </w:r>
      <w:r>
        <w:t>. Washington DC: World Bank.</w:t>
      </w:r>
    </w:p>
    <w:p w14:paraId="4A728322">
      <w:pPr>
        <w:pStyle w:val="9"/>
        <w:keepNext w:val="0"/>
        <w:keepLines w:val="0"/>
        <w:widowControl/>
        <w:numPr>
          <w:ilvl w:val="0"/>
          <w:numId w:val="3"/>
        </w:numPr>
        <w:suppressLineNumbers w:val="0"/>
        <w:ind w:left="425" w:leftChars="0" w:hanging="425" w:firstLineChars="0"/>
        <w:jc w:val="both"/>
      </w:pPr>
      <w:r>
        <w:t xml:space="preserve">Evans, D. S., &amp; Pirchio, A. (2015). An empirical examination of why mobile money schemes ignite in some developing countries but flounder in most. </w:t>
      </w:r>
      <w:r>
        <w:rPr>
          <w:rStyle w:val="8"/>
        </w:rPr>
        <w:t>Review of Network Economics</w:t>
      </w:r>
      <w:r>
        <w:t>, 13(4), 397–451..</w:t>
      </w:r>
    </w:p>
    <w:p w14:paraId="0734EF73">
      <w:pPr>
        <w:pStyle w:val="9"/>
        <w:keepNext w:val="0"/>
        <w:keepLines w:val="0"/>
        <w:widowControl/>
        <w:numPr>
          <w:ilvl w:val="0"/>
          <w:numId w:val="3"/>
        </w:numPr>
        <w:suppressLineNumbers w:val="0"/>
        <w:ind w:left="425" w:leftChars="0" w:hanging="425" w:firstLineChars="0"/>
        <w:jc w:val="both"/>
      </w:pPr>
      <w:r>
        <w:t xml:space="preserve">Field, A. (2018). </w:t>
      </w:r>
      <w:r>
        <w:rPr>
          <w:rStyle w:val="8"/>
        </w:rPr>
        <w:t>Discovering statistics using IBM SPSS statistics</w:t>
      </w:r>
      <w:r>
        <w:t xml:space="preserve"> (5th ed.). SAGE Publications.</w:t>
      </w:r>
    </w:p>
    <w:p w14:paraId="05001FA3">
      <w:pPr>
        <w:pStyle w:val="9"/>
        <w:keepNext w:val="0"/>
        <w:keepLines w:val="0"/>
        <w:widowControl/>
        <w:numPr>
          <w:ilvl w:val="0"/>
          <w:numId w:val="3"/>
        </w:numPr>
        <w:suppressLineNumbers w:val="0"/>
        <w:ind w:left="425" w:leftChars="0" w:hanging="425" w:firstLineChars="0"/>
        <w:jc w:val="both"/>
      </w:pPr>
      <w:r>
        <w:t xml:space="preserve">GSMA. (2023). </w:t>
      </w:r>
      <w:r>
        <w:rPr>
          <w:rStyle w:val="8"/>
        </w:rPr>
        <w:t>State of the industry report on mobile money 2023</w:t>
      </w:r>
      <w:r>
        <w:t>. London: GSM Association.</w:t>
      </w:r>
    </w:p>
    <w:p w14:paraId="4D5DE6A2">
      <w:pPr>
        <w:pStyle w:val="9"/>
        <w:keepNext w:val="0"/>
        <w:keepLines w:val="0"/>
        <w:widowControl/>
        <w:numPr>
          <w:ilvl w:val="0"/>
          <w:numId w:val="3"/>
        </w:numPr>
        <w:suppressLineNumbers w:val="0"/>
        <w:ind w:left="425" w:leftChars="0" w:hanging="425" w:firstLineChars="0"/>
        <w:jc w:val="both"/>
      </w:pPr>
      <w:r>
        <w:t xml:space="preserve">GSMA. (2024). </w:t>
      </w:r>
      <w:r>
        <w:rPr>
          <w:rStyle w:val="8"/>
        </w:rPr>
        <w:t>State of the Industry Report on Mobile Money 2024.</w:t>
      </w:r>
      <w:r>
        <w:t xml:space="preserve"> GSM Association.</w:t>
      </w:r>
    </w:p>
    <w:p w14:paraId="27352F89">
      <w:pPr>
        <w:pStyle w:val="9"/>
        <w:keepNext w:val="0"/>
        <w:keepLines w:val="0"/>
        <w:widowControl/>
        <w:numPr>
          <w:ilvl w:val="0"/>
          <w:numId w:val="3"/>
        </w:numPr>
        <w:suppressLineNumbers w:val="0"/>
        <w:ind w:left="425" w:leftChars="0" w:hanging="425" w:firstLineChars="0"/>
        <w:jc w:val="both"/>
      </w:pPr>
      <w:r>
        <w:t xml:space="preserve">Gujarati, D. N., &amp; Porter, D. C. (2021). </w:t>
      </w:r>
      <w:r>
        <w:rPr>
          <w:rStyle w:val="8"/>
        </w:rPr>
        <w:t>Basic econometrics</w:t>
      </w:r>
      <w:r>
        <w:t xml:space="preserve"> (6th ed.). McGraw-Hill Education.</w:t>
      </w:r>
    </w:p>
    <w:p w14:paraId="038ABC4E">
      <w:pPr>
        <w:pStyle w:val="9"/>
        <w:keepNext w:val="0"/>
        <w:keepLines w:val="0"/>
        <w:widowControl/>
        <w:numPr>
          <w:ilvl w:val="0"/>
          <w:numId w:val="3"/>
        </w:numPr>
        <w:suppressLineNumbers w:val="0"/>
        <w:ind w:left="425" w:leftChars="0" w:hanging="425" w:firstLineChars="0"/>
        <w:jc w:val="both"/>
      </w:pPr>
      <w:r>
        <w:t xml:space="preserve">Hair, J. F., Black, W. C., Babin, B. J., &amp; Anderson, R. E. (2019). </w:t>
      </w:r>
      <w:r>
        <w:rPr>
          <w:rStyle w:val="8"/>
        </w:rPr>
        <w:t>Multivariate data analysis</w:t>
      </w:r>
      <w:r>
        <w:t xml:space="preserve"> (8th ed.). Cengage Learning.</w:t>
      </w:r>
    </w:p>
    <w:p w14:paraId="2A99D624">
      <w:pPr>
        <w:pStyle w:val="9"/>
        <w:keepNext w:val="0"/>
        <w:keepLines w:val="0"/>
        <w:widowControl/>
        <w:numPr>
          <w:ilvl w:val="0"/>
          <w:numId w:val="3"/>
        </w:numPr>
        <w:suppressLineNumbers w:val="0"/>
        <w:ind w:left="425" w:leftChars="0" w:hanging="425" w:firstLineChars="0"/>
        <w:jc w:val="both"/>
      </w:pPr>
      <w:r>
        <w:t xml:space="preserve">Humbani, M., &amp; Wiese, M. (2019). An integrated framework for the adoption and continuance intention to use mobile payment apps. </w:t>
      </w:r>
      <w:r>
        <w:rPr>
          <w:rStyle w:val="8"/>
        </w:rPr>
        <w:t>International Journal of Bank Marketing, 37</w:t>
      </w:r>
      <w:r>
        <w:t>(2), 646–664.</w:t>
      </w:r>
    </w:p>
    <w:p w14:paraId="4623DF75">
      <w:pPr>
        <w:pStyle w:val="9"/>
        <w:keepNext w:val="0"/>
        <w:keepLines w:val="0"/>
        <w:widowControl/>
        <w:numPr>
          <w:ilvl w:val="0"/>
          <w:numId w:val="3"/>
        </w:numPr>
        <w:suppressLineNumbers w:val="0"/>
        <w:ind w:left="425" w:leftChars="0" w:hanging="425" w:firstLineChars="0"/>
        <w:jc w:val="both"/>
      </w:pPr>
      <w:r>
        <w:t xml:space="preserve">IPP Media. (2025). Value of mobile money payments hit nearly 200 trillion shillings. </w:t>
      </w:r>
    </w:p>
    <w:p w14:paraId="0AA996A8">
      <w:pPr>
        <w:pStyle w:val="9"/>
        <w:keepNext w:val="0"/>
        <w:keepLines w:val="0"/>
        <w:widowControl/>
        <w:numPr>
          <w:ilvl w:val="0"/>
          <w:numId w:val="3"/>
        </w:numPr>
        <w:suppressLineNumbers w:val="0"/>
        <w:ind w:left="425" w:leftChars="0" w:hanging="425" w:firstLineChars="0"/>
        <w:jc w:val="both"/>
      </w:pPr>
      <w:r>
        <w:t xml:space="preserve">Jack, W., &amp; Suri, T. (2014). Risk sharing and transactions costs: Evidence from Kenya’s mobile money revolution. </w:t>
      </w:r>
      <w:r>
        <w:rPr>
          <w:rStyle w:val="8"/>
        </w:rPr>
        <w:t>American Economic Review</w:t>
      </w:r>
      <w:r>
        <w:t>, 104(1), 183–223.</w:t>
      </w:r>
    </w:p>
    <w:p w14:paraId="70A8C900">
      <w:pPr>
        <w:pStyle w:val="9"/>
        <w:keepNext w:val="0"/>
        <w:keepLines w:val="0"/>
        <w:widowControl/>
        <w:numPr>
          <w:ilvl w:val="0"/>
          <w:numId w:val="3"/>
        </w:numPr>
        <w:suppressLineNumbers w:val="0"/>
        <w:ind w:left="425" w:leftChars="0" w:hanging="425" w:firstLineChars="0"/>
        <w:jc w:val="both"/>
      </w:pPr>
      <w:r>
        <w:t xml:space="preserve">Jack, W., &amp; Suri, T. (2016). The long-run poverty and gender impacts of mobile money. </w:t>
      </w:r>
      <w:r>
        <w:rPr>
          <w:rStyle w:val="8"/>
        </w:rPr>
        <w:t>Science</w:t>
      </w:r>
      <w:r>
        <w:t>, 354(6317), 1288–1292.</w:t>
      </w:r>
    </w:p>
    <w:p w14:paraId="6266CF2D">
      <w:pPr>
        <w:pStyle w:val="9"/>
        <w:keepNext w:val="0"/>
        <w:keepLines w:val="0"/>
        <w:widowControl/>
        <w:numPr>
          <w:ilvl w:val="0"/>
          <w:numId w:val="3"/>
        </w:numPr>
        <w:suppressLineNumbers w:val="0"/>
        <w:ind w:left="425" w:leftChars="0" w:hanging="425" w:firstLineChars="0"/>
        <w:jc w:val="both"/>
      </w:pPr>
      <w:r>
        <w:t xml:space="preserve">Kaiser, H. F. (1974). An index of factorial simplicity. </w:t>
      </w:r>
      <w:r>
        <w:rPr>
          <w:rStyle w:val="8"/>
        </w:rPr>
        <w:t>Psychometrika</w:t>
      </w:r>
      <w:r>
        <w:t>, 39(1), 31–36.</w:t>
      </w:r>
    </w:p>
    <w:p w14:paraId="0D49F494">
      <w:pPr>
        <w:pStyle w:val="9"/>
        <w:keepNext w:val="0"/>
        <w:keepLines w:val="0"/>
        <w:widowControl/>
        <w:numPr>
          <w:ilvl w:val="0"/>
          <w:numId w:val="3"/>
        </w:numPr>
        <w:suppressLineNumbers w:val="0"/>
        <w:ind w:left="425" w:leftChars="0" w:hanging="425" w:firstLineChars="0"/>
        <w:jc w:val="both"/>
      </w:pPr>
      <w:r>
        <w:t xml:space="preserve">Karjaluoto, H., Shaikh, A. A., Saarijärvi, H., &amp; Saraniemi, S. (2021). How perceived value drives the use of mobile financial services. </w:t>
      </w:r>
      <w:r>
        <w:rPr>
          <w:rStyle w:val="8"/>
        </w:rPr>
        <w:t>International Journal of Bank Marketing</w:t>
      </w:r>
      <w:r>
        <w:t>, 39(6), 1013–1032.</w:t>
      </w:r>
    </w:p>
    <w:p w14:paraId="5A39D792">
      <w:pPr>
        <w:pStyle w:val="9"/>
        <w:keepNext w:val="0"/>
        <w:keepLines w:val="0"/>
        <w:widowControl/>
        <w:numPr>
          <w:ilvl w:val="0"/>
          <w:numId w:val="3"/>
        </w:numPr>
        <w:suppressLineNumbers w:val="0"/>
        <w:ind w:left="425" w:leftChars="0" w:hanging="425" w:firstLineChars="0"/>
        <w:jc w:val="both"/>
      </w:pPr>
      <w:r>
        <w:t xml:space="preserve">Karsen, M., Chandra, Y. U., &amp; Juwitasary, H. (2019). Technological factors of mobile payment adoption: A systematic literature review. </w:t>
      </w:r>
      <w:r>
        <w:rPr>
          <w:rStyle w:val="8"/>
        </w:rPr>
        <w:t>Procedia Computer Science, 157</w:t>
      </w:r>
      <w:r>
        <w:t>, 489–498.</w:t>
      </w:r>
    </w:p>
    <w:p w14:paraId="06FCA07E">
      <w:pPr>
        <w:pStyle w:val="9"/>
        <w:keepNext w:val="0"/>
        <w:keepLines w:val="0"/>
        <w:widowControl/>
        <w:numPr>
          <w:ilvl w:val="0"/>
          <w:numId w:val="3"/>
        </w:numPr>
        <w:suppressLineNumbers w:val="0"/>
        <w:ind w:left="425" w:leftChars="0" w:hanging="425" w:firstLineChars="0"/>
        <w:jc w:val="both"/>
      </w:pPr>
      <w:r>
        <w:t xml:space="preserve">Kim, C., Mirusmonov, M., &amp; Lee, I. (2020). An empirical examination of factors influencing mobile payment adoption. </w:t>
      </w:r>
      <w:r>
        <w:rPr>
          <w:rStyle w:val="8"/>
        </w:rPr>
        <w:t>Computers in Human Behavior</w:t>
      </w:r>
      <w:r>
        <w:t>, 26(3), 310–322.</w:t>
      </w:r>
    </w:p>
    <w:p w14:paraId="3DCE37FD">
      <w:pPr>
        <w:pStyle w:val="9"/>
        <w:keepNext w:val="0"/>
        <w:keepLines w:val="0"/>
        <w:widowControl/>
        <w:numPr>
          <w:ilvl w:val="0"/>
          <w:numId w:val="3"/>
        </w:numPr>
        <w:suppressLineNumbers w:val="0"/>
        <w:ind w:left="425" w:leftChars="0" w:hanging="425" w:firstLineChars="0"/>
        <w:jc w:val="both"/>
      </w:pPr>
      <w:r>
        <w:t>Klapper, L., &amp; Singer, D. (20</w:t>
      </w:r>
      <w:r>
        <w:rPr>
          <w:rFonts w:hint="default"/>
          <w:lang w:val="en-US"/>
        </w:rPr>
        <w:t>17</w:t>
      </w:r>
      <w:r>
        <w:t xml:space="preserve">). The opportunities and challenges of digital financial inclusion. </w:t>
      </w:r>
      <w:r>
        <w:rPr>
          <w:rStyle w:val="8"/>
        </w:rPr>
        <w:t>World Bank Research Observer</w:t>
      </w:r>
      <w:r>
        <w:t>, 36(1), 1–23.</w:t>
      </w:r>
    </w:p>
    <w:p w14:paraId="04EF8CC5">
      <w:pPr>
        <w:pStyle w:val="9"/>
        <w:keepNext w:val="0"/>
        <w:keepLines w:val="0"/>
        <w:widowControl/>
        <w:numPr>
          <w:ilvl w:val="0"/>
          <w:numId w:val="3"/>
        </w:numPr>
        <w:suppressLineNumbers w:val="0"/>
        <w:ind w:left="425" w:leftChars="0" w:hanging="425" w:firstLineChars="0"/>
        <w:jc w:val="both"/>
      </w:pPr>
      <w:r>
        <w:t xml:space="preserve">Koomson, I., Villano, R. A., &amp; Hadley, D. (2021). Effect of financial inclusion on poverty and vulnerability to poverty: Evidence using a multidimensional measure of financial inclusion. </w:t>
      </w:r>
      <w:r>
        <w:rPr>
          <w:rStyle w:val="8"/>
        </w:rPr>
        <w:t>Social Indicators Research, 149</w:t>
      </w:r>
      <w:r>
        <w:t>, 613–639.</w:t>
      </w:r>
    </w:p>
    <w:p w14:paraId="712BB183">
      <w:pPr>
        <w:pStyle w:val="9"/>
        <w:keepNext w:val="0"/>
        <w:keepLines w:val="0"/>
        <w:widowControl/>
        <w:numPr>
          <w:ilvl w:val="0"/>
          <w:numId w:val="3"/>
        </w:numPr>
        <w:suppressLineNumbers w:val="0"/>
        <w:ind w:left="425" w:leftChars="0" w:hanging="425" w:firstLineChars="0"/>
        <w:jc w:val="both"/>
      </w:pPr>
      <w:r>
        <w:t xml:space="preserve">Koul, S., &amp; Eydgahi, A. (2020). A systematic review of technology adoption frameworks in mobile payment research. </w:t>
      </w:r>
      <w:r>
        <w:rPr>
          <w:rStyle w:val="8"/>
        </w:rPr>
        <w:t>Journal of Electronic Commerce Research</w:t>
      </w:r>
      <w:r>
        <w:t>, 21(3), 198–213.</w:t>
      </w:r>
    </w:p>
    <w:p w14:paraId="48E058B4">
      <w:pPr>
        <w:pStyle w:val="9"/>
        <w:keepNext w:val="0"/>
        <w:keepLines w:val="0"/>
        <w:widowControl/>
        <w:numPr>
          <w:ilvl w:val="0"/>
          <w:numId w:val="3"/>
        </w:numPr>
        <w:suppressLineNumbers w:val="0"/>
        <w:ind w:left="425" w:leftChars="0" w:hanging="425" w:firstLineChars="0"/>
        <w:jc w:val="both"/>
      </w:pPr>
      <w:r>
        <w:t xml:space="preserve">Kshetri, N. (2017). Will blockchain emerge as a tool to break the poverty chain in the Global South? </w:t>
      </w:r>
      <w:r>
        <w:rPr>
          <w:rStyle w:val="8"/>
        </w:rPr>
        <w:t>Third World Quarterly, 38</w:t>
      </w:r>
      <w:r>
        <w:t>(8), 1710–1732.</w:t>
      </w:r>
    </w:p>
    <w:p w14:paraId="1C890D0E">
      <w:pPr>
        <w:pStyle w:val="9"/>
        <w:keepNext w:val="0"/>
        <w:keepLines w:val="0"/>
        <w:widowControl/>
        <w:numPr>
          <w:ilvl w:val="0"/>
          <w:numId w:val="3"/>
        </w:numPr>
        <w:suppressLineNumbers w:val="0"/>
        <w:ind w:left="425" w:leftChars="0" w:hanging="425" w:firstLineChars="0"/>
        <w:jc w:val="both"/>
      </w:pPr>
      <w:r>
        <w:t xml:space="preserve">Lamtey, G. (2025). Mobile money subscriptions nearly double in four years. </w:t>
      </w:r>
      <w:r>
        <w:rPr>
          <w:rStyle w:val="8"/>
        </w:rPr>
        <w:t>The Citizen</w:t>
      </w:r>
      <w:r>
        <w:t xml:space="preserve">. </w:t>
      </w:r>
    </w:p>
    <w:p w14:paraId="5598474E">
      <w:pPr>
        <w:pStyle w:val="9"/>
        <w:keepNext w:val="0"/>
        <w:keepLines w:val="0"/>
        <w:widowControl/>
        <w:numPr>
          <w:ilvl w:val="0"/>
          <w:numId w:val="3"/>
        </w:numPr>
        <w:suppressLineNumbers w:val="0"/>
        <w:ind w:left="425" w:leftChars="0" w:hanging="425" w:firstLineChars="0"/>
        <w:jc w:val="both"/>
      </w:pPr>
      <w:r>
        <w:t xml:space="preserve">Laudon, K. C., &amp; Traver, C. G. (2021). </w:t>
      </w:r>
      <w:r>
        <w:rPr>
          <w:rStyle w:val="8"/>
        </w:rPr>
        <w:t>E-commerce: Business, technology, society</w:t>
      </w:r>
      <w:r>
        <w:t xml:space="preserve"> (16th ed.). Pearson.</w:t>
      </w:r>
    </w:p>
    <w:p w14:paraId="7D7D6F64">
      <w:pPr>
        <w:pStyle w:val="9"/>
        <w:keepNext w:val="0"/>
        <w:keepLines w:val="0"/>
        <w:widowControl/>
        <w:numPr>
          <w:ilvl w:val="0"/>
          <w:numId w:val="3"/>
        </w:numPr>
        <w:suppressLineNumbers w:val="0"/>
        <w:ind w:left="425" w:leftChars="0" w:hanging="425" w:firstLineChars="0"/>
        <w:jc w:val="both"/>
      </w:pPr>
      <w:r>
        <w:t xml:space="preserve">Laukkanen, T. (2017). Mobile banking adoption and usage. </w:t>
      </w:r>
      <w:r>
        <w:rPr>
          <w:rStyle w:val="8"/>
        </w:rPr>
        <w:t>International Journal of Bank Marketing</w:t>
      </w:r>
      <w:r>
        <w:t>, 35(7), 1042–1061.</w:t>
      </w:r>
    </w:p>
    <w:p w14:paraId="0C88AEA2">
      <w:pPr>
        <w:pStyle w:val="9"/>
        <w:keepNext w:val="0"/>
        <w:keepLines w:val="0"/>
        <w:widowControl/>
        <w:numPr>
          <w:ilvl w:val="0"/>
          <w:numId w:val="3"/>
        </w:numPr>
        <w:suppressLineNumbers w:val="0"/>
        <w:ind w:left="425" w:leftChars="0" w:hanging="425" w:firstLineChars="0"/>
        <w:jc w:val="both"/>
      </w:pPr>
      <w:r>
        <w:t xml:space="preserve">Liébana-Cabanillas, F., Marinković, V., &amp; Kalinić, Z. (2017). A SEM-neural network approach for predicting antecedents of m-commerce acceptance. </w:t>
      </w:r>
      <w:r>
        <w:rPr>
          <w:rStyle w:val="8"/>
        </w:rPr>
        <w:t>International Journal of Information Management, 37</w:t>
      </w:r>
      <w:r>
        <w:t>(2), 14–24.</w:t>
      </w:r>
    </w:p>
    <w:p w14:paraId="6DBCABCC">
      <w:pPr>
        <w:pStyle w:val="9"/>
        <w:keepNext w:val="0"/>
        <w:keepLines w:val="0"/>
        <w:widowControl/>
        <w:numPr>
          <w:ilvl w:val="0"/>
          <w:numId w:val="3"/>
        </w:numPr>
        <w:suppressLineNumbers w:val="0"/>
        <w:ind w:left="425" w:leftChars="0" w:hanging="425" w:firstLineChars="0"/>
        <w:jc w:val="both"/>
      </w:pPr>
      <w:r>
        <w:t xml:space="preserve">Malaquias, R. F., &amp; Hwang, Y. (2019). Mobile banking use: A comparative study with Brazilian and US participants. </w:t>
      </w:r>
      <w:r>
        <w:rPr>
          <w:rStyle w:val="8"/>
        </w:rPr>
        <w:t>International Journal of Information Management</w:t>
      </w:r>
      <w:r>
        <w:t>, 44, 132–140.</w:t>
      </w:r>
    </w:p>
    <w:p w14:paraId="36E6DBAF">
      <w:pPr>
        <w:pStyle w:val="9"/>
        <w:keepNext w:val="0"/>
        <w:keepLines w:val="0"/>
        <w:widowControl/>
        <w:numPr>
          <w:ilvl w:val="0"/>
          <w:numId w:val="3"/>
        </w:numPr>
        <w:suppressLineNumbers w:val="0"/>
        <w:ind w:left="425" w:leftChars="0" w:hanging="425" w:firstLineChars="0"/>
        <w:jc w:val="both"/>
      </w:pPr>
      <w:r>
        <w:t xml:space="preserve">Montgomery, D. C., Peck, E. A., &amp; Vining, G. G. (2021). </w:t>
      </w:r>
      <w:r>
        <w:rPr>
          <w:rStyle w:val="8"/>
        </w:rPr>
        <w:t>Introduction to linear regression analysis</w:t>
      </w:r>
      <w:r>
        <w:t xml:space="preserve"> (6th ed.). Wiley.</w:t>
      </w:r>
    </w:p>
    <w:p w14:paraId="21D5D2A6">
      <w:pPr>
        <w:pStyle w:val="9"/>
        <w:keepNext w:val="0"/>
        <w:keepLines w:val="0"/>
        <w:widowControl/>
        <w:numPr>
          <w:ilvl w:val="0"/>
          <w:numId w:val="3"/>
        </w:numPr>
        <w:suppressLineNumbers w:val="0"/>
        <w:ind w:left="425" w:leftChars="0" w:hanging="425" w:firstLineChars="0"/>
        <w:jc w:val="both"/>
      </w:pPr>
      <w:r>
        <w:t xml:space="preserve">Mothobi, O., &amp; Grzybowski, L. (2017). Infrastructure deficiencies and adoption of mobile money in Sub-Saharan Africa. </w:t>
      </w:r>
      <w:r>
        <w:rPr>
          <w:rStyle w:val="8"/>
        </w:rPr>
        <w:t>Information Economics and Policy</w:t>
      </w:r>
      <w:r>
        <w:t>, 40, 71–79.</w:t>
      </w:r>
    </w:p>
    <w:p w14:paraId="50F22952">
      <w:pPr>
        <w:pStyle w:val="9"/>
        <w:keepNext w:val="0"/>
        <w:keepLines w:val="0"/>
        <w:widowControl/>
        <w:numPr>
          <w:ilvl w:val="0"/>
          <w:numId w:val="3"/>
        </w:numPr>
        <w:suppressLineNumbers w:val="0"/>
        <w:ind w:left="425" w:leftChars="0" w:hanging="425" w:firstLineChars="0"/>
        <w:jc w:val="both"/>
      </w:pPr>
      <w:r>
        <w:t xml:space="preserve">Oliveira, T., Thomas, M., Baptista, G., &amp; Campos, F. (2016). Mobile payment: Understanding the determinants of customer adoption and intention to recommend the technology. </w:t>
      </w:r>
      <w:r>
        <w:rPr>
          <w:rStyle w:val="8"/>
        </w:rPr>
        <w:t>Computers in Human Behavior, 61</w:t>
      </w:r>
      <w:r>
        <w:t>, 404–414.</w:t>
      </w:r>
    </w:p>
    <w:p w14:paraId="7F8850FB">
      <w:pPr>
        <w:pStyle w:val="9"/>
        <w:keepNext w:val="0"/>
        <w:keepLines w:val="0"/>
        <w:widowControl/>
        <w:numPr>
          <w:ilvl w:val="0"/>
          <w:numId w:val="3"/>
        </w:numPr>
        <w:suppressLineNumbers w:val="0"/>
        <w:ind w:left="425" w:leftChars="0" w:hanging="425" w:firstLineChars="0"/>
        <w:jc w:val="both"/>
      </w:pPr>
      <w:r>
        <w:t xml:space="preserve">Ozili, P. K. (2018). Impact of digital finance on financial inclusion and stability. </w:t>
      </w:r>
      <w:r>
        <w:rPr>
          <w:rStyle w:val="8"/>
        </w:rPr>
        <w:t>Borsa Istanbul Review</w:t>
      </w:r>
      <w:r>
        <w:t>, 18(4), 329–340.</w:t>
      </w:r>
    </w:p>
    <w:p w14:paraId="061DB839">
      <w:pPr>
        <w:pStyle w:val="9"/>
        <w:keepNext w:val="0"/>
        <w:keepLines w:val="0"/>
        <w:widowControl/>
        <w:numPr>
          <w:ilvl w:val="0"/>
          <w:numId w:val="3"/>
        </w:numPr>
        <w:suppressLineNumbers w:val="0"/>
        <w:ind w:left="425" w:leftChars="0" w:hanging="425" w:firstLineChars="0"/>
        <w:jc w:val="both"/>
      </w:pPr>
      <w:r>
        <w:t xml:space="preserve">Ozili, P. K. (2020). Financial inclusion research around the world: A review. </w:t>
      </w:r>
      <w:r>
        <w:rPr>
          <w:rStyle w:val="8"/>
        </w:rPr>
        <w:t>Forum for Social Economics</w:t>
      </w:r>
      <w:r>
        <w:t xml:space="preserve">, 50(4), 457–479. </w:t>
      </w:r>
    </w:p>
    <w:p w14:paraId="593ACB3C">
      <w:pPr>
        <w:pStyle w:val="9"/>
        <w:keepNext w:val="0"/>
        <w:keepLines w:val="0"/>
        <w:widowControl/>
        <w:numPr>
          <w:ilvl w:val="0"/>
          <w:numId w:val="3"/>
        </w:numPr>
        <w:suppressLineNumbers w:val="0"/>
        <w:ind w:left="425" w:leftChars="0" w:hanging="425" w:firstLineChars="0"/>
        <w:jc w:val="both"/>
      </w:pPr>
      <w:r>
        <w:t xml:space="preserve">Pallant, J. (2020). </w:t>
      </w:r>
      <w:r>
        <w:rPr>
          <w:rStyle w:val="8"/>
        </w:rPr>
        <w:t>SPSS survival manual</w:t>
      </w:r>
      <w:r>
        <w:t xml:space="preserve"> (7th ed.). McGraw-Hill Education.</w:t>
      </w:r>
    </w:p>
    <w:p w14:paraId="6354C8CC">
      <w:pPr>
        <w:pStyle w:val="9"/>
        <w:keepNext w:val="0"/>
        <w:keepLines w:val="0"/>
        <w:widowControl/>
        <w:numPr>
          <w:ilvl w:val="0"/>
          <w:numId w:val="3"/>
        </w:numPr>
        <w:suppressLineNumbers w:val="0"/>
        <w:ind w:left="425" w:leftChars="0" w:hanging="425" w:firstLineChars="0"/>
        <w:jc w:val="both"/>
      </w:pPr>
      <w:r>
        <w:t xml:space="preserve">Parasuraman, A., Zeithaml, V. A., &amp; Malhotra, A. (2005). E-S-QUAL: A multiple-item scale for assessing electronic service quality. </w:t>
      </w:r>
      <w:r>
        <w:rPr>
          <w:rStyle w:val="8"/>
        </w:rPr>
        <w:t>Journal of Service Research, 7</w:t>
      </w:r>
      <w:r>
        <w:t>(3), 213–233.</w:t>
      </w:r>
    </w:p>
    <w:p w14:paraId="6E1FA275">
      <w:pPr>
        <w:pStyle w:val="9"/>
        <w:keepNext w:val="0"/>
        <w:keepLines w:val="0"/>
        <w:widowControl/>
        <w:numPr>
          <w:ilvl w:val="0"/>
          <w:numId w:val="3"/>
        </w:numPr>
        <w:suppressLineNumbers w:val="0"/>
        <w:ind w:left="425" w:leftChars="0" w:hanging="425" w:firstLineChars="0"/>
        <w:jc w:val="both"/>
      </w:pPr>
      <w:r>
        <w:t xml:space="preserve">Parasuraman, A., Zeithaml, V., &amp; Berry, L. (1988). SERVQUAL: A multiple-item scale for measuring consumer perceptions of service quality. </w:t>
      </w:r>
      <w:r>
        <w:rPr>
          <w:rStyle w:val="8"/>
        </w:rPr>
        <w:t>Journal of Retailing</w:t>
      </w:r>
      <w:r>
        <w:t>, 64(1), 12–40.</w:t>
      </w:r>
    </w:p>
    <w:p w14:paraId="24AA2B25">
      <w:pPr>
        <w:pStyle w:val="9"/>
        <w:keepNext w:val="0"/>
        <w:keepLines w:val="0"/>
        <w:widowControl/>
        <w:numPr>
          <w:ilvl w:val="0"/>
          <w:numId w:val="3"/>
        </w:numPr>
        <w:suppressLineNumbers w:val="0"/>
        <w:ind w:left="425" w:leftChars="0" w:hanging="425" w:firstLineChars="0"/>
        <w:jc w:val="both"/>
      </w:pPr>
      <w:r>
        <w:t xml:space="preserve">Pew Research Center. (2021). </w:t>
      </w:r>
      <w:r>
        <w:rPr>
          <w:rStyle w:val="8"/>
        </w:rPr>
        <w:t>Mobile technology and home broadband 2021.</w:t>
      </w:r>
      <w:r>
        <w:t xml:space="preserve"> </w:t>
      </w:r>
    </w:p>
    <w:p w14:paraId="256DB8FD">
      <w:pPr>
        <w:pStyle w:val="9"/>
        <w:keepNext w:val="0"/>
        <w:keepLines w:val="0"/>
        <w:widowControl/>
        <w:numPr>
          <w:ilvl w:val="0"/>
          <w:numId w:val="3"/>
        </w:numPr>
        <w:suppressLineNumbers w:val="0"/>
        <w:ind w:left="425" w:leftChars="0" w:hanging="425" w:firstLineChars="0"/>
        <w:jc w:val="both"/>
      </w:pPr>
      <w:r>
        <w:t xml:space="preserve">Rogers, E. M. (2003). </w:t>
      </w:r>
      <w:r>
        <w:rPr>
          <w:rStyle w:val="8"/>
        </w:rPr>
        <w:t>Diffusion of innovations</w:t>
      </w:r>
      <w:r>
        <w:t xml:space="preserve"> (5th ed.). Free Press.</w:t>
      </w:r>
    </w:p>
    <w:p w14:paraId="4D1E48C5">
      <w:pPr>
        <w:pStyle w:val="9"/>
        <w:keepNext w:val="0"/>
        <w:keepLines w:val="0"/>
        <w:widowControl/>
        <w:numPr>
          <w:ilvl w:val="0"/>
          <w:numId w:val="3"/>
        </w:numPr>
        <w:suppressLineNumbers w:val="0"/>
        <w:ind w:left="425" w:leftChars="0" w:hanging="425" w:firstLineChars="0"/>
        <w:jc w:val="both"/>
      </w:pPr>
      <w:r>
        <w:t xml:space="preserve">Rwechungura, K. (2025). Factors influencing mobile money adoption in Tanzania. </w:t>
      </w:r>
      <w:r>
        <w:rPr>
          <w:rStyle w:val="8"/>
        </w:rPr>
        <w:t>African Journal of Accounting and Social Science Studies</w:t>
      </w:r>
      <w:r>
        <w:t>, 6(2).</w:t>
      </w:r>
    </w:p>
    <w:p w14:paraId="70D8BF08">
      <w:pPr>
        <w:pStyle w:val="9"/>
        <w:keepNext w:val="0"/>
        <w:keepLines w:val="0"/>
        <w:widowControl/>
        <w:numPr>
          <w:ilvl w:val="0"/>
          <w:numId w:val="3"/>
        </w:numPr>
        <w:suppressLineNumbers w:val="0"/>
        <w:ind w:left="425" w:leftChars="0" w:hanging="425" w:firstLineChars="0"/>
        <w:jc w:val="both"/>
      </w:pPr>
      <w:r>
        <w:t xml:space="preserve">Saunders, M., Lewis, P., &amp; Thornhill, A. (2019). </w:t>
      </w:r>
      <w:r>
        <w:rPr>
          <w:rStyle w:val="8"/>
        </w:rPr>
        <w:t>Research methods for business students</w:t>
      </w:r>
      <w:r>
        <w:t xml:space="preserve"> (8th ed.). Pearson Education Limited.</w:t>
      </w:r>
    </w:p>
    <w:p w14:paraId="16405644">
      <w:pPr>
        <w:pStyle w:val="9"/>
        <w:keepNext w:val="0"/>
        <w:keepLines w:val="0"/>
        <w:widowControl/>
        <w:numPr>
          <w:ilvl w:val="0"/>
          <w:numId w:val="3"/>
        </w:numPr>
        <w:suppressLineNumbers w:val="0"/>
        <w:ind w:left="425" w:leftChars="0" w:hanging="425" w:firstLineChars="0"/>
        <w:jc w:val="both"/>
      </w:pPr>
      <w:r>
        <w:t xml:space="preserve">Shaikh, A. A., &amp; Karjaluoto, H. (2015). Mobile banking adoption: A literature review. </w:t>
      </w:r>
      <w:r>
        <w:rPr>
          <w:rStyle w:val="8"/>
        </w:rPr>
        <w:t>Telematics and Informatics, 32</w:t>
      </w:r>
      <w:r>
        <w:t>(1), 129–142.</w:t>
      </w:r>
    </w:p>
    <w:p w14:paraId="70BB7303">
      <w:pPr>
        <w:pStyle w:val="9"/>
        <w:keepNext w:val="0"/>
        <w:keepLines w:val="0"/>
        <w:widowControl/>
        <w:numPr>
          <w:ilvl w:val="0"/>
          <w:numId w:val="3"/>
        </w:numPr>
        <w:suppressLineNumbers w:val="0"/>
        <w:ind w:left="425" w:leftChars="0" w:hanging="425" w:firstLineChars="0"/>
        <w:jc w:val="both"/>
      </w:pPr>
      <w:r>
        <w:t xml:space="preserve">Shaikh, A. A., Glavee-Geo, R., &amp; Karjaluoto, H. (2020). Mobile banking services adoption: A literature review and future research agenda. </w:t>
      </w:r>
      <w:r>
        <w:rPr>
          <w:rStyle w:val="8"/>
        </w:rPr>
        <w:t>International Journal of Bank Marketing</w:t>
      </w:r>
      <w:r>
        <w:t>, 38(7), 1603–1629.</w:t>
      </w:r>
    </w:p>
    <w:p w14:paraId="68817955">
      <w:pPr>
        <w:pStyle w:val="9"/>
        <w:keepNext w:val="0"/>
        <w:keepLines w:val="0"/>
        <w:widowControl/>
        <w:numPr>
          <w:ilvl w:val="0"/>
          <w:numId w:val="3"/>
        </w:numPr>
        <w:suppressLineNumbers w:val="0"/>
        <w:ind w:left="425" w:leftChars="0" w:hanging="425" w:firstLineChars="0"/>
        <w:jc w:val="both"/>
      </w:pPr>
      <w:r>
        <w:t xml:space="preserve">Suri, T. (2017). Mobile money. </w:t>
      </w:r>
      <w:r>
        <w:rPr>
          <w:rStyle w:val="8"/>
        </w:rPr>
        <w:t>Annual Review of Economics</w:t>
      </w:r>
      <w:r>
        <w:t>, 9, 497–520.</w:t>
      </w:r>
    </w:p>
    <w:p w14:paraId="3426E62B">
      <w:pPr>
        <w:pStyle w:val="9"/>
        <w:keepNext w:val="0"/>
        <w:keepLines w:val="0"/>
        <w:widowControl/>
        <w:numPr>
          <w:ilvl w:val="0"/>
          <w:numId w:val="3"/>
        </w:numPr>
        <w:suppressLineNumbers w:val="0"/>
        <w:ind w:left="425" w:leftChars="0" w:hanging="425" w:firstLineChars="0"/>
        <w:jc w:val="both"/>
      </w:pPr>
      <w:r>
        <w:t>Suri, T., &amp; Jack, W. (20</w:t>
      </w:r>
      <w:r>
        <w:rPr>
          <w:rFonts w:hint="default"/>
          <w:lang w:val="en-US"/>
        </w:rPr>
        <w:t>16</w:t>
      </w:r>
      <w:r>
        <w:t xml:space="preserve">). The long-run poverty and gender impacts of mobile money. </w:t>
      </w:r>
      <w:r>
        <w:rPr>
          <w:rStyle w:val="8"/>
        </w:rPr>
        <w:t>Science</w:t>
      </w:r>
      <w:r>
        <w:t>, 354(6317), 1288–1292.</w:t>
      </w:r>
    </w:p>
    <w:p w14:paraId="0F4F26AA">
      <w:pPr>
        <w:pStyle w:val="9"/>
        <w:keepNext w:val="0"/>
        <w:keepLines w:val="0"/>
        <w:widowControl/>
        <w:numPr>
          <w:ilvl w:val="0"/>
          <w:numId w:val="3"/>
        </w:numPr>
        <w:suppressLineNumbers w:val="0"/>
        <w:ind w:left="425" w:leftChars="0" w:hanging="425" w:firstLineChars="0"/>
        <w:jc w:val="both"/>
      </w:pPr>
      <w:r>
        <w:t xml:space="preserve">Taber, K. S. (2018). The use of Cronbach’s Alpha when developing and reporting research instruments in science education. </w:t>
      </w:r>
      <w:r>
        <w:rPr>
          <w:rStyle w:val="8"/>
        </w:rPr>
        <w:t>Research in Science Education</w:t>
      </w:r>
      <w:r>
        <w:t>, 48(6), 1273–1296.</w:t>
      </w:r>
    </w:p>
    <w:p w14:paraId="66E5ABFA">
      <w:pPr>
        <w:pStyle w:val="9"/>
        <w:keepNext w:val="0"/>
        <w:keepLines w:val="0"/>
        <w:widowControl/>
        <w:numPr>
          <w:ilvl w:val="0"/>
          <w:numId w:val="3"/>
        </w:numPr>
        <w:suppressLineNumbers w:val="0"/>
        <w:ind w:left="425" w:leftChars="0" w:hanging="425" w:firstLineChars="0"/>
        <w:jc w:val="both"/>
      </w:pPr>
      <w:r>
        <w:t xml:space="preserve">Tanzania Communications Regulatory Authority (TCRA). (2024). </w:t>
      </w:r>
      <w:r>
        <w:rPr>
          <w:rStyle w:val="8"/>
        </w:rPr>
        <w:t>Quarterly communications statistics report</w:t>
      </w:r>
      <w:r>
        <w:t>. Dar es Salaam: TCRA.</w:t>
      </w:r>
    </w:p>
    <w:p w14:paraId="76FDF798">
      <w:pPr>
        <w:pStyle w:val="9"/>
        <w:keepNext w:val="0"/>
        <w:keepLines w:val="0"/>
        <w:widowControl/>
        <w:numPr>
          <w:ilvl w:val="0"/>
          <w:numId w:val="3"/>
        </w:numPr>
        <w:suppressLineNumbers w:val="0"/>
        <w:ind w:left="425" w:leftChars="0" w:hanging="425" w:firstLineChars="0"/>
        <w:jc w:val="both"/>
      </w:pPr>
      <w:r>
        <w:t xml:space="preserve">Tanzania Investment and Consultant Group. (2025). Tanzania’s mobile money boom with over 61 million accounts. </w:t>
      </w:r>
    </w:p>
    <w:p w14:paraId="1264B9FE">
      <w:pPr>
        <w:pStyle w:val="9"/>
        <w:keepNext w:val="0"/>
        <w:keepLines w:val="0"/>
        <w:widowControl/>
        <w:numPr>
          <w:ilvl w:val="0"/>
          <w:numId w:val="3"/>
        </w:numPr>
        <w:suppressLineNumbers w:val="0"/>
        <w:ind w:left="425" w:leftChars="0" w:hanging="425" w:firstLineChars="0"/>
        <w:jc w:val="both"/>
      </w:pPr>
      <w:r>
        <w:t xml:space="preserve">TanzaniaInvest. (2024). Digital payments and mobile money report. </w:t>
      </w:r>
    </w:p>
    <w:p w14:paraId="0AA646BC">
      <w:pPr>
        <w:pStyle w:val="9"/>
        <w:keepNext w:val="0"/>
        <w:keepLines w:val="0"/>
        <w:widowControl/>
        <w:numPr>
          <w:ilvl w:val="0"/>
          <w:numId w:val="3"/>
        </w:numPr>
        <w:suppressLineNumbers w:val="0"/>
        <w:ind w:left="425" w:leftChars="0" w:hanging="425" w:firstLineChars="0"/>
        <w:jc w:val="both"/>
      </w:pPr>
      <w:r>
        <w:t xml:space="preserve">Tavakol, M., &amp; Dennick, R. (2011). Making sense of Cronbach’s Alpha. </w:t>
      </w:r>
      <w:r>
        <w:rPr>
          <w:rStyle w:val="8"/>
        </w:rPr>
        <w:t>International Journal of Medical Education</w:t>
      </w:r>
      <w:r>
        <w:t>, 2, 53–55.</w:t>
      </w:r>
    </w:p>
    <w:p w14:paraId="5C280C5A">
      <w:pPr>
        <w:pStyle w:val="9"/>
        <w:keepNext w:val="0"/>
        <w:keepLines w:val="0"/>
        <w:widowControl/>
        <w:numPr>
          <w:ilvl w:val="0"/>
          <w:numId w:val="3"/>
        </w:numPr>
        <w:suppressLineNumbers w:val="0"/>
        <w:ind w:left="425" w:leftChars="0" w:hanging="425" w:firstLineChars="0"/>
        <w:jc w:val="both"/>
      </w:pPr>
      <w:r>
        <w:t xml:space="preserve">Varian, H. R. (2019). </w:t>
      </w:r>
      <w:r>
        <w:rPr>
          <w:rStyle w:val="8"/>
        </w:rPr>
        <w:t>Intermediate microeconomics: A modern approach</w:t>
      </w:r>
      <w:r>
        <w:t xml:space="preserve"> (9th ed.). New York: W.W. Norton.</w:t>
      </w:r>
    </w:p>
    <w:p w14:paraId="7787EA10">
      <w:pPr>
        <w:pStyle w:val="9"/>
        <w:keepNext w:val="0"/>
        <w:keepLines w:val="0"/>
        <w:widowControl/>
        <w:numPr>
          <w:ilvl w:val="0"/>
          <w:numId w:val="3"/>
        </w:numPr>
        <w:suppressLineNumbers w:val="0"/>
        <w:ind w:left="425" w:leftChars="0" w:hanging="425" w:firstLineChars="0"/>
        <w:jc w:val="both"/>
      </w:pPr>
      <w:r>
        <w:t xml:space="preserve">Venkatesh, V., Thong, J. Y. L., &amp; Xu, X. (2012). Consumer acceptance and use of information technology: Extending the unified theory of acceptance and use of technology. </w:t>
      </w:r>
      <w:r>
        <w:rPr>
          <w:rStyle w:val="8"/>
        </w:rPr>
        <w:t>MIS Quarterly, 36</w:t>
      </w:r>
      <w:r>
        <w:t>(1), 157–178.</w:t>
      </w:r>
    </w:p>
    <w:p w14:paraId="46FFC572">
      <w:pPr>
        <w:pStyle w:val="9"/>
        <w:keepNext w:val="0"/>
        <w:keepLines w:val="0"/>
        <w:widowControl/>
        <w:numPr>
          <w:ilvl w:val="0"/>
          <w:numId w:val="3"/>
        </w:numPr>
        <w:suppressLineNumbers w:val="0"/>
        <w:ind w:left="425" w:leftChars="0" w:hanging="425" w:firstLineChars="0"/>
        <w:jc w:val="both"/>
      </w:pPr>
      <w:r>
        <w:t xml:space="preserve">Venkatesh, V., Thong, J. Y. L., &amp; Xu, X. (2016). Unified theory of acceptance and use of technology: A synthesis and the road ahead. </w:t>
      </w:r>
      <w:r>
        <w:rPr>
          <w:rStyle w:val="8"/>
        </w:rPr>
        <w:t>Journal of the Association for Information Systems, 17</w:t>
      </w:r>
      <w:r>
        <w:t>(5), 328–376.</w:t>
      </w:r>
    </w:p>
    <w:p w14:paraId="2C2FB81F">
      <w:pPr>
        <w:pStyle w:val="9"/>
        <w:keepNext w:val="0"/>
        <w:keepLines w:val="0"/>
        <w:widowControl/>
        <w:numPr>
          <w:ilvl w:val="0"/>
          <w:numId w:val="3"/>
        </w:numPr>
        <w:suppressLineNumbers w:val="0"/>
        <w:ind w:left="425" w:leftChars="0" w:hanging="425" w:firstLineChars="0"/>
        <w:jc w:val="both"/>
      </w:pPr>
      <w:r>
        <w:t xml:space="preserve">Wooldridge, J. M. (2020). </w:t>
      </w:r>
      <w:r>
        <w:rPr>
          <w:rStyle w:val="8"/>
        </w:rPr>
        <w:t>Introductory econometrics: A modern approach</w:t>
      </w:r>
      <w:r>
        <w:t xml:space="preserve"> (7th ed.). Cengage Learning.</w:t>
      </w:r>
    </w:p>
    <w:p w14:paraId="455042E8">
      <w:pPr>
        <w:pStyle w:val="9"/>
        <w:keepNext w:val="0"/>
        <w:keepLines w:val="0"/>
        <w:widowControl/>
        <w:numPr>
          <w:ilvl w:val="0"/>
          <w:numId w:val="3"/>
        </w:numPr>
        <w:suppressLineNumbers w:val="0"/>
        <w:ind w:left="425" w:leftChars="0" w:hanging="425" w:firstLineChars="0"/>
        <w:jc w:val="both"/>
      </w:pPr>
      <w:r>
        <w:t xml:space="preserve">World Bank. (2020). </w:t>
      </w:r>
      <w:r>
        <w:rPr>
          <w:rStyle w:val="8"/>
        </w:rPr>
        <w:t>Digital financial services</w:t>
      </w:r>
      <w:r>
        <w:t>. Washington, DC: World Bank.</w:t>
      </w:r>
    </w:p>
    <w:p w14:paraId="73343789">
      <w:pPr>
        <w:pStyle w:val="9"/>
        <w:keepNext w:val="0"/>
        <w:keepLines w:val="0"/>
        <w:widowControl/>
        <w:numPr>
          <w:ilvl w:val="0"/>
          <w:numId w:val="3"/>
        </w:numPr>
        <w:suppressLineNumbers w:val="0"/>
        <w:ind w:left="425" w:leftChars="0" w:hanging="425" w:firstLineChars="0"/>
        <w:jc w:val="both"/>
      </w:pPr>
      <w:r>
        <w:t xml:space="preserve">World Bank. (2022). </w:t>
      </w:r>
      <w:r>
        <w:rPr>
          <w:rStyle w:val="8"/>
        </w:rPr>
        <w:t>Digital financial services for development</w:t>
      </w:r>
      <w:r>
        <w:t>. Washington, DC: World Bank.</w:t>
      </w:r>
    </w:p>
    <w:p w14:paraId="0D2D9739">
      <w:pPr>
        <w:pStyle w:val="9"/>
        <w:keepNext w:val="0"/>
        <w:keepLines w:val="0"/>
        <w:widowControl/>
        <w:numPr>
          <w:ilvl w:val="0"/>
          <w:numId w:val="3"/>
        </w:numPr>
        <w:suppressLineNumbers w:val="0"/>
        <w:ind w:left="425" w:leftChars="0" w:hanging="425" w:firstLineChars="0"/>
        <w:jc w:val="both"/>
      </w:pPr>
      <w:r>
        <w:t xml:space="preserve">Zhou, T. (2014). Understanding the determinants of mobile payment continuance usage. </w:t>
      </w:r>
      <w:r>
        <w:rPr>
          <w:rStyle w:val="8"/>
        </w:rPr>
        <w:t>Industrial Management &amp; Data Systems, 114</w:t>
      </w:r>
      <w:r>
        <w:t>(6), 936–948.</w:t>
      </w:r>
    </w:p>
    <w:p w14:paraId="757682EA">
      <w:pPr>
        <w:pStyle w:val="9"/>
        <w:keepNext w:val="0"/>
        <w:keepLines w:val="0"/>
        <w:widowControl/>
        <w:suppressLineNumbers w:val="0"/>
      </w:pPr>
    </w:p>
    <w:p w14:paraId="5358A8FE">
      <w:pPr>
        <w:pStyle w:val="9"/>
        <w:keepNext w:val="0"/>
        <w:keepLines w:val="0"/>
        <w:widowControl/>
        <w:suppressLineNumbers w:val="0"/>
      </w:pPr>
    </w:p>
    <w:p w14:paraId="6B7CFDB4">
      <w:pPr>
        <w:pStyle w:val="9"/>
        <w:keepNext w:val="0"/>
        <w:keepLines w:val="0"/>
        <w:widowControl/>
        <w:suppressLineNumbers w:val="0"/>
      </w:pPr>
    </w:p>
    <w:p w14:paraId="6666B2B5">
      <w:pPr>
        <w:pStyle w:val="9"/>
        <w:keepNext w:val="0"/>
        <w:keepLines w:val="0"/>
        <w:widowControl/>
        <w:suppressLineNumbers w:val="0"/>
        <w:rPr>
          <w:rFonts w:hint="default"/>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8BD462"/>
    <w:multiLevelType w:val="singleLevel"/>
    <w:tmpl w:val="0C8BD462"/>
    <w:lvl w:ilvl="0" w:tentative="0">
      <w:start w:val="1"/>
      <w:numFmt w:val="lowerRoman"/>
      <w:lvlText w:val="%1."/>
      <w:lvlJc w:val="left"/>
      <w:pPr>
        <w:tabs>
          <w:tab w:val="left" w:pos="425"/>
        </w:tabs>
        <w:ind w:left="425" w:leftChars="0" w:hanging="425" w:firstLineChars="0"/>
      </w:pPr>
      <w:rPr>
        <w:rFonts w:hint="default"/>
      </w:rPr>
    </w:lvl>
  </w:abstractNum>
  <w:abstractNum w:abstractNumId="1">
    <w:nsid w:val="14AEB1EF"/>
    <w:multiLevelType w:val="singleLevel"/>
    <w:tmpl w:val="14AEB1EF"/>
    <w:lvl w:ilvl="0" w:tentative="0">
      <w:start w:val="1"/>
      <w:numFmt w:val="lowerRoman"/>
      <w:lvlText w:val="%1."/>
      <w:lvlJc w:val="left"/>
      <w:pPr>
        <w:tabs>
          <w:tab w:val="left" w:pos="425"/>
        </w:tabs>
        <w:ind w:left="425" w:leftChars="0" w:hanging="425" w:firstLineChars="0"/>
      </w:pPr>
      <w:rPr>
        <w:rFonts w:hint="default"/>
      </w:rPr>
    </w:lvl>
  </w:abstractNum>
  <w:abstractNum w:abstractNumId="2">
    <w:nsid w:val="3F1B94B6"/>
    <w:multiLevelType w:val="singleLevel"/>
    <w:tmpl w:val="3F1B94B6"/>
    <w:lvl w:ilvl="0" w:tentative="0">
      <w:start w:val="1"/>
      <w:numFmt w:val="decimal"/>
      <w:lvlText w:val="%1."/>
      <w:lvlJc w:val="left"/>
      <w:pPr>
        <w:tabs>
          <w:tab w:val="left" w:pos="425"/>
        </w:tabs>
        <w:ind w:left="425" w:leftChars="0" w:hanging="425" w:firstLineChars="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CC3801"/>
    <w:rsid w:val="00727329"/>
    <w:rsid w:val="022D1862"/>
    <w:rsid w:val="027C19E6"/>
    <w:rsid w:val="031D047C"/>
    <w:rsid w:val="08406399"/>
    <w:rsid w:val="0A5F6393"/>
    <w:rsid w:val="0AB03A5F"/>
    <w:rsid w:val="0AED1106"/>
    <w:rsid w:val="0B927839"/>
    <w:rsid w:val="0D1D3133"/>
    <w:rsid w:val="10B83D64"/>
    <w:rsid w:val="12A44224"/>
    <w:rsid w:val="14465B6D"/>
    <w:rsid w:val="14513C60"/>
    <w:rsid w:val="150F33BD"/>
    <w:rsid w:val="15170225"/>
    <w:rsid w:val="1C895B5E"/>
    <w:rsid w:val="1CBA006B"/>
    <w:rsid w:val="1F37570E"/>
    <w:rsid w:val="204D69CE"/>
    <w:rsid w:val="21843D08"/>
    <w:rsid w:val="21EB0234"/>
    <w:rsid w:val="22B1477A"/>
    <w:rsid w:val="23E34379"/>
    <w:rsid w:val="273E55C5"/>
    <w:rsid w:val="28FB32E0"/>
    <w:rsid w:val="2C9E36C0"/>
    <w:rsid w:val="2E020414"/>
    <w:rsid w:val="2F0518B0"/>
    <w:rsid w:val="30432ED0"/>
    <w:rsid w:val="329558D0"/>
    <w:rsid w:val="33CB4108"/>
    <w:rsid w:val="347F4EB0"/>
    <w:rsid w:val="35D26A5B"/>
    <w:rsid w:val="36CC3801"/>
    <w:rsid w:val="37E423FE"/>
    <w:rsid w:val="392400CC"/>
    <w:rsid w:val="3E8D19CB"/>
    <w:rsid w:val="41C84B6B"/>
    <w:rsid w:val="41EB712D"/>
    <w:rsid w:val="42691183"/>
    <w:rsid w:val="43E32BEE"/>
    <w:rsid w:val="449C7E1E"/>
    <w:rsid w:val="4571191C"/>
    <w:rsid w:val="47367762"/>
    <w:rsid w:val="4A4A2ACF"/>
    <w:rsid w:val="4AD41253"/>
    <w:rsid w:val="4B14232F"/>
    <w:rsid w:val="4C037B36"/>
    <w:rsid w:val="4D7D2B06"/>
    <w:rsid w:val="4DB8448E"/>
    <w:rsid w:val="4E227D99"/>
    <w:rsid w:val="50365B27"/>
    <w:rsid w:val="50CC4411"/>
    <w:rsid w:val="50D67D20"/>
    <w:rsid w:val="51EA4273"/>
    <w:rsid w:val="539F657D"/>
    <w:rsid w:val="570F6EB1"/>
    <w:rsid w:val="5897524F"/>
    <w:rsid w:val="59342BE6"/>
    <w:rsid w:val="5A7A211E"/>
    <w:rsid w:val="5A942938"/>
    <w:rsid w:val="5B5C20E6"/>
    <w:rsid w:val="5BD112B1"/>
    <w:rsid w:val="5CA11989"/>
    <w:rsid w:val="5CFD3F66"/>
    <w:rsid w:val="5DDD390F"/>
    <w:rsid w:val="5F2A5F78"/>
    <w:rsid w:val="613F5C23"/>
    <w:rsid w:val="61CC2880"/>
    <w:rsid w:val="61E33433"/>
    <w:rsid w:val="64EB667D"/>
    <w:rsid w:val="658F67AE"/>
    <w:rsid w:val="66E85038"/>
    <w:rsid w:val="68ED0096"/>
    <w:rsid w:val="69293A97"/>
    <w:rsid w:val="6B00081D"/>
    <w:rsid w:val="6D23681A"/>
    <w:rsid w:val="701677A8"/>
    <w:rsid w:val="731716F4"/>
    <w:rsid w:val="732032ED"/>
    <w:rsid w:val="73EE4C3F"/>
    <w:rsid w:val="74C0111D"/>
    <w:rsid w:val="767A2A86"/>
    <w:rsid w:val="776449E8"/>
    <w:rsid w:val="7A0A63E8"/>
    <w:rsid w:val="7B32245F"/>
    <w:rsid w:val="7B667D04"/>
    <w:rsid w:val="7E5747D4"/>
    <w:rsid w:val="7E810D09"/>
    <w:rsid w:val="7F471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8">
    <w:name w:val="Emphasis"/>
    <w:basedOn w:val="6"/>
    <w:qFormat/>
    <w:uiPriority w:val="0"/>
    <w:rPr>
      <w:i/>
      <w:iCs/>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6"/>
    <w:qFormat/>
    <w:uiPriority w:val="0"/>
    <w:rPr>
      <w:b/>
      <w:bCs/>
    </w:rPr>
  </w:style>
  <w:style w:type="table" w:styleId="11">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2</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2026-03-05T06:21:00Z</dcterms:created>
  <dc:creator>Admin</dc:creator>
  <cp:lastModifiedBy>Admin</cp:lastModifiedBy>
  <dcterms:modified xsi:type="dcterms:W3CDTF">2026-04-16T10:56:48Z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9BB12995DCCF46F08E0A451F17A878DC_13</vt:lpwstr>
  </property>
</Properties>
</file>