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150856"/>
        <w:docPartObj>
          <w:docPartGallery w:val="Cover Pages"/>
          <w:docPartUnique/>
        </w:docPartObj>
      </w:sdtPr>
      <w:sdtEndPr>
        <w:rPr>
          <w:b/>
          <w:bCs/>
          <w:sz w:val="28"/>
          <w:szCs w:val="28"/>
        </w:rPr>
      </w:sdtEndPr>
      <w:sdtContent>
        <w:p w14:paraId="4DF80F84" w14:textId="77777777" w:rsidR="00AE00C9" w:rsidRDefault="00AE00C9" w:rsidP="000600B3">
          <w:pPr>
            <w:spacing w:line="360" w:lineRule="auto"/>
          </w:pPr>
        </w:p>
        <w:tbl>
          <w:tblPr>
            <w:tblStyle w:val="PlainTable4"/>
            <w:tblpPr w:leftFromText="180" w:rightFromText="180" w:vertAnchor="text" w:horzAnchor="margin" w:tblpY="7022"/>
            <w:tblW w:w="9132" w:type="dxa"/>
            <w:tblLook w:val="04A0" w:firstRow="1" w:lastRow="0" w:firstColumn="1" w:lastColumn="0" w:noHBand="0" w:noVBand="1"/>
          </w:tblPr>
          <w:tblGrid>
            <w:gridCol w:w="1673"/>
            <w:gridCol w:w="2437"/>
            <w:gridCol w:w="2283"/>
            <w:gridCol w:w="2739"/>
          </w:tblGrid>
          <w:tr w:rsidR="00CF1E28" w:rsidRPr="00212209" w14:paraId="5F247CFC" w14:textId="77777777" w:rsidTr="00CF1E28">
            <w:trPr>
              <w:cnfStyle w:val="100000000000" w:firstRow="1" w:lastRow="0" w:firstColumn="0" w:lastColumn="0" w:oddVBand="0" w:evenVBand="0" w:oddHBand="0"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1673" w:type="dxa"/>
              </w:tcPr>
              <w:p w14:paraId="356819BA" w14:textId="77777777" w:rsidR="00CF1E28" w:rsidRPr="00212209" w:rsidRDefault="00CF1E28" w:rsidP="000600B3">
                <w:pPr>
                  <w:spacing w:after="240" w:line="360" w:lineRule="auto"/>
                  <w:rPr>
                    <w:rFonts w:eastAsiaTheme="majorEastAsia"/>
                    <w:b w:val="0"/>
                    <w:bCs w:val="0"/>
                  </w:rPr>
                </w:pPr>
                <w:r>
                  <w:rPr>
                    <w:rFonts w:eastAsiaTheme="majorEastAsia"/>
                    <w:b w:val="0"/>
                    <w:bCs w:val="0"/>
                  </w:rPr>
                  <w:t>Author:</w:t>
                </w:r>
              </w:p>
              <w:p w14:paraId="75AFC03F" w14:textId="77777777" w:rsidR="00CF1E28" w:rsidRPr="00212209" w:rsidRDefault="00CF1E28" w:rsidP="000600B3">
                <w:pPr>
                  <w:spacing w:after="240" w:line="360" w:lineRule="auto"/>
                  <w:rPr>
                    <w:rFonts w:eastAsiaTheme="majorEastAsia"/>
                    <w:b w:val="0"/>
                    <w:bCs w:val="0"/>
                  </w:rPr>
                </w:pPr>
                <w:r>
                  <w:rPr>
                    <w:rFonts w:eastAsiaTheme="majorEastAsia"/>
                    <w:b w:val="0"/>
                    <w:bCs w:val="0"/>
                  </w:rPr>
                  <w:t>Email:</w:t>
                </w:r>
              </w:p>
            </w:tc>
            <w:tc>
              <w:tcPr>
                <w:tcW w:w="2437" w:type="dxa"/>
              </w:tcPr>
              <w:p w14:paraId="726F1C42" w14:textId="77777777" w:rsidR="00CF1E28" w:rsidRPr="00212209" w:rsidRDefault="00CF1E28" w:rsidP="000600B3">
                <w:pPr>
                  <w:spacing w:after="240" w:line="360" w:lineRule="auto"/>
                  <w:cnfStyle w:val="100000000000" w:firstRow="1" w:lastRow="0" w:firstColumn="0" w:lastColumn="0" w:oddVBand="0" w:evenVBand="0" w:oddHBand="0" w:evenHBand="0" w:firstRowFirstColumn="0" w:firstRowLastColumn="0" w:lastRowFirstColumn="0" w:lastRowLastColumn="0"/>
                  <w:rPr>
                    <w:rFonts w:eastAsiaTheme="majorEastAsia"/>
                  </w:rPr>
                </w:pPr>
                <w:r>
                  <w:rPr>
                    <w:rFonts w:eastAsiaTheme="majorEastAsia"/>
                  </w:rPr>
                  <w:t>Tsitsi Chaparika</w:t>
                </w:r>
              </w:p>
              <w:p w14:paraId="2B9BF50E" w14:textId="77777777" w:rsidR="00CF1E28" w:rsidRPr="00212209" w:rsidRDefault="00CF1E28" w:rsidP="000600B3">
                <w:pPr>
                  <w:spacing w:after="240" w:line="360" w:lineRule="auto"/>
                  <w:cnfStyle w:val="100000000000" w:firstRow="1" w:lastRow="0" w:firstColumn="0" w:lastColumn="0" w:oddVBand="0" w:evenVBand="0" w:oddHBand="0" w:evenHBand="0" w:firstRowFirstColumn="0" w:firstRowLastColumn="0" w:lastRowFirstColumn="0" w:lastRowLastColumn="0"/>
                  <w:rPr>
                    <w:rFonts w:eastAsiaTheme="majorEastAsia"/>
                  </w:rPr>
                </w:pPr>
                <w:r>
                  <w:rPr>
                    <w:rFonts w:eastAsiaTheme="majorEastAsia"/>
                  </w:rPr>
                  <w:t>h240586c@hit.ac.zw</w:t>
                </w:r>
              </w:p>
            </w:tc>
            <w:tc>
              <w:tcPr>
                <w:tcW w:w="2283" w:type="dxa"/>
              </w:tcPr>
              <w:p w14:paraId="1914F547" w14:textId="77777777" w:rsidR="00CF1E28" w:rsidRPr="00212209" w:rsidRDefault="00CF1E28" w:rsidP="000600B3">
                <w:pPr>
                  <w:spacing w:after="240" w:line="360" w:lineRule="auto"/>
                  <w:cnfStyle w:val="100000000000" w:firstRow="1" w:lastRow="0" w:firstColumn="0" w:lastColumn="0" w:oddVBand="0" w:evenVBand="0" w:oddHBand="0" w:evenHBand="0" w:firstRowFirstColumn="0" w:firstRowLastColumn="0" w:lastRowFirstColumn="0" w:lastRowLastColumn="0"/>
                  <w:rPr>
                    <w:rFonts w:eastAsiaTheme="majorEastAsia"/>
                    <w:b w:val="0"/>
                    <w:bCs w:val="0"/>
                  </w:rPr>
                </w:pPr>
                <w:r>
                  <w:rPr>
                    <w:rFonts w:eastAsiaTheme="majorEastAsia"/>
                    <w:b w:val="0"/>
                    <w:bCs w:val="0"/>
                  </w:rPr>
                  <w:t>University/Institution Name</w:t>
                </w:r>
              </w:p>
            </w:tc>
            <w:tc>
              <w:tcPr>
                <w:tcW w:w="2739" w:type="dxa"/>
              </w:tcPr>
              <w:p w14:paraId="54125A71" w14:textId="77777777" w:rsidR="00CF1E28" w:rsidRPr="00212209" w:rsidRDefault="00CF1E28" w:rsidP="000600B3">
                <w:pPr>
                  <w:spacing w:after="240" w:line="360" w:lineRule="auto"/>
                  <w:jc w:val="left"/>
                  <w:cnfStyle w:val="100000000000" w:firstRow="1" w:lastRow="0" w:firstColumn="0" w:lastColumn="0" w:oddVBand="0" w:evenVBand="0" w:oddHBand="0" w:evenHBand="0" w:firstRowFirstColumn="0" w:firstRowLastColumn="0" w:lastRowFirstColumn="0" w:lastRowLastColumn="0"/>
                  <w:rPr>
                    <w:rFonts w:eastAsiaTheme="majorEastAsia"/>
                  </w:rPr>
                </w:pPr>
                <w:r>
                  <w:rPr>
                    <w:rFonts w:eastAsiaTheme="majorEastAsia"/>
                  </w:rPr>
                  <w:t>Harare Institute of Technology</w:t>
                </w:r>
              </w:p>
            </w:tc>
          </w:tr>
          <w:tr w:rsidR="00CF1E28" w:rsidRPr="00212209" w14:paraId="159187F5" w14:textId="77777777" w:rsidTr="00CF1E28">
            <w:trPr>
              <w:cnfStyle w:val="000000100000" w:firstRow="0" w:lastRow="0" w:firstColumn="0" w:lastColumn="0" w:oddVBand="0" w:evenVBand="0" w:oddHBand="1"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1673" w:type="dxa"/>
              </w:tcPr>
              <w:p w14:paraId="15DBCAE2" w14:textId="77777777" w:rsidR="00CF1E28" w:rsidRPr="00212209" w:rsidRDefault="00CF1E28" w:rsidP="000600B3">
                <w:pPr>
                  <w:spacing w:after="240" w:line="360" w:lineRule="auto"/>
                  <w:rPr>
                    <w:rFonts w:eastAsiaTheme="majorEastAsia"/>
                    <w:b w:val="0"/>
                    <w:bCs w:val="0"/>
                  </w:rPr>
                </w:pPr>
                <w:r>
                  <w:rPr>
                    <w:rFonts w:eastAsiaTheme="majorEastAsia"/>
                    <w:b w:val="0"/>
                    <w:bCs w:val="0"/>
                  </w:rPr>
                  <w:t>Corresponding Author:</w:t>
                </w:r>
              </w:p>
              <w:p w14:paraId="2C02F2D4" w14:textId="77777777" w:rsidR="00CF1E28" w:rsidRPr="00212209" w:rsidRDefault="00CF1E28" w:rsidP="000600B3">
                <w:pPr>
                  <w:spacing w:after="240" w:line="360" w:lineRule="auto"/>
                  <w:rPr>
                    <w:rFonts w:eastAsiaTheme="majorEastAsia"/>
                    <w:b w:val="0"/>
                    <w:bCs w:val="0"/>
                  </w:rPr>
                </w:pPr>
                <w:r>
                  <w:rPr>
                    <w:rFonts w:eastAsiaTheme="majorEastAsia"/>
                    <w:b w:val="0"/>
                    <w:bCs w:val="0"/>
                  </w:rPr>
                  <w:t xml:space="preserve">Email: </w:t>
                </w:r>
              </w:p>
            </w:tc>
            <w:tc>
              <w:tcPr>
                <w:tcW w:w="2437" w:type="dxa"/>
              </w:tcPr>
              <w:p w14:paraId="082A87BC" w14:textId="77777777" w:rsidR="00CF1E28" w:rsidRPr="00212209" w:rsidRDefault="00CF1E28" w:rsidP="000600B3">
                <w:pPr>
                  <w:spacing w:after="240" w:line="360" w:lineRule="auto"/>
                  <w:cnfStyle w:val="000000100000" w:firstRow="0" w:lastRow="0" w:firstColumn="0" w:lastColumn="0" w:oddVBand="0" w:evenVBand="0" w:oddHBand="1" w:evenHBand="0" w:firstRowFirstColumn="0" w:firstRowLastColumn="0" w:lastRowFirstColumn="0" w:lastRowLastColumn="0"/>
                  <w:rPr>
                    <w:rFonts w:eastAsiaTheme="majorEastAsia"/>
                    <w:b/>
                    <w:bCs/>
                  </w:rPr>
                </w:pPr>
                <w:r>
                  <w:rPr>
                    <w:rFonts w:eastAsiaTheme="majorEastAsia"/>
                    <w:b/>
                    <w:bCs/>
                  </w:rPr>
                  <w:t>Monika Gondo</w:t>
                </w:r>
              </w:p>
              <w:p w14:paraId="62A5ED2B" w14:textId="77777777" w:rsidR="00CF1E28" w:rsidRPr="00212209" w:rsidRDefault="00CF1E28" w:rsidP="000600B3">
                <w:pPr>
                  <w:spacing w:after="240" w:line="360" w:lineRule="auto"/>
                  <w:cnfStyle w:val="000000100000" w:firstRow="0" w:lastRow="0" w:firstColumn="0" w:lastColumn="0" w:oddVBand="0" w:evenVBand="0" w:oddHBand="1" w:evenHBand="0" w:firstRowFirstColumn="0" w:firstRowLastColumn="0" w:lastRowFirstColumn="0" w:lastRowLastColumn="0"/>
                  <w:rPr>
                    <w:rFonts w:eastAsiaTheme="majorEastAsia"/>
                    <w:b/>
                    <w:bCs/>
                  </w:rPr>
                </w:pPr>
                <w:r>
                  <w:rPr>
                    <w:rFonts w:eastAsiaTheme="majorEastAsia"/>
                    <w:b/>
                    <w:bCs/>
                  </w:rPr>
                  <w:t>mgondo@hit.ac.zw</w:t>
                </w:r>
              </w:p>
            </w:tc>
            <w:tc>
              <w:tcPr>
                <w:tcW w:w="2283" w:type="dxa"/>
              </w:tcPr>
              <w:p w14:paraId="12887B77" w14:textId="77777777" w:rsidR="00CF1E28" w:rsidRPr="00212209" w:rsidRDefault="00CF1E28" w:rsidP="000600B3">
                <w:pPr>
                  <w:spacing w:after="240" w:line="360" w:lineRule="auto"/>
                  <w:cnfStyle w:val="000000100000" w:firstRow="0" w:lastRow="0" w:firstColumn="0" w:lastColumn="0" w:oddVBand="0" w:evenVBand="0" w:oddHBand="1" w:evenHBand="0" w:firstRowFirstColumn="0" w:firstRowLastColumn="0" w:lastRowFirstColumn="0" w:lastRowLastColumn="0"/>
                  <w:rPr>
                    <w:rFonts w:eastAsiaTheme="majorEastAsia"/>
                  </w:rPr>
                </w:pPr>
                <w:r>
                  <w:rPr>
                    <w:rFonts w:eastAsiaTheme="majorEastAsia"/>
                  </w:rPr>
                  <w:t xml:space="preserve">School Name: </w:t>
                </w:r>
              </w:p>
            </w:tc>
            <w:tc>
              <w:tcPr>
                <w:tcW w:w="2739" w:type="dxa"/>
              </w:tcPr>
              <w:p w14:paraId="18F54CD7" w14:textId="77777777" w:rsidR="00CF1E28" w:rsidRPr="00212209" w:rsidRDefault="00CF1E28" w:rsidP="000600B3">
                <w:pPr>
                  <w:spacing w:after="240" w:line="360" w:lineRule="auto"/>
                  <w:cnfStyle w:val="000000100000" w:firstRow="0" w:lastRow="0" w:firstColumn="0" w:lastColumn="0" w:oddVBand="0" w:evenVBand="0" w:oddHBand="1" w:evenHBand="0" w:firstRowFirstColumn="0" w:firstRowLastColumn="0" w:lastRowFirstColumn="0" w:lastRowLastColumn="0"/>
                  <w:rPr>
                    <w:rFonts w:eastAsiaTheme="majorEastAsia"/>
                    <w:b/>
                    <w:bCs/>
                  </w:rPr>
                </w:pPr>
                <w:r>
                  <w:rPr>
                    <w:rFonts w:eastAsiaTheme="majorEastAsia"/>
                    <w:b/>
                    <w:bCs/>
                  </w:rPr>
                  <w:t>School Of Information Sciences and Technology</w:t>
                </w:r>
              </w:p>
            </w:tc>
          </w:tr>
          <w:tr w:rsidR="00CF1E28" w:rsidRPr="00212209" w14:paraId="1AF0145A" w14:textId="77777777" w:rsidTr="00CF1E28">
            <w:trPr>
              <w:trHeight w:val="13"/>
            </w:trPr>
            <w:tc>
              <w:tcPr>
                <w:cnfStyle w:val="001000000000" w:firstRow="0" w:lastRow="0" w:firstColumn="1" w:lastColumn="0" w:oddVBand="0" w:evenVBand="0" w:oddHBand="0" w:evenHBand="0" w:firstRowFirstColumn="0" w:firstRowLastColumn="0" w:lastRowFirstColumn="0" w:lastRowLastColumn="0"/>
                <w:tcW w:w="1673" w:type="dxa"/>
              </w:tcPr>
              <w:p w14:paraId="0B199028" w14:textId="77777777" w:rsidR="00CF1E28" w:rsidRPr="00212209" w:rsidRDefault="00CF1E28" w:rsidP="000600B3">
                <w:pPr>
                  <w:spacing w:after="240" w:line="360" w:lineRule="auto"/>
                  <w:rPr>
                    <w:rFonts w:eastAsiaTheme="majorEastAsia"/>
                    <w:b w:val="0"/>
                    <w:bCs w:val="0"/>
                  </w:rPr>
                </w:pPr>
                <w:r>
                  <w:rPr>
                    <w:rFonts w:eastAsiaTheme="majorEastAsia"/>
                    <w:b w:val="0"/>
                    <w:bCs w:val="0"/>
                  </w:rPr>
                  <w:t xml:space="preserve">City </w:t>
                </w:r>
              </w:p>
            </w:tc>
            <w:tc>
              <w:tcPr>
                <w:tcW w:w="2437" w:type="dxa"/>
              </w:tcPr>
              <w:p w14:paraId="6EBC1350" w14:textId="77777777" w:rsidR="00CF1E28" w:rsidRPr="00212209" w:rsidRDefault="00CF1E28" w:rsidP="000600B3">
                <w:pPr>
                  <w:spacing w:after="240" w:line="360" w:lineRule="auto"/>
                  <w:cnfStyle w:val="000000000000" w:firstRow="0" w:lastRow="0" w:firstColumn="0" w:lastColumn="0" w:oddVBand="0" w:evenVBand="0" w:oddHBand="0" w:evenHBand="0" w:firstRowFirstColumn="0" w:firstRowLastColumn="0" w:lastRowFirstColumn="0" w:lastRowLastColumn="0"/>
                  <w:rPr>
                    <w:rFonts w:eastAsiaTheme="majorEastAsia"/>
                    <w:b/>
                    <w:bCs/>
                  </w:rPr>
                </w:pPr>
                <w:r>
                  <w:rPr>
                    <w:rFonts w:eastAsiaTheme="majorEastAsia"/>
                    <w:b/>
                    <w:bCs/>
                  </w:rPr>
                  <w:t>Harare</w:t>
                </w:r>
              </w:p>
            </w:tc>
            <w:tc>
              <w:tcPr>
                <w:tcW w:w="2283" w:type="dxa"/>
              </w:tcPr>
              <w:p w14:paraId="403DDA86" w14:textId="77777777" w:rsidR="00CF1E28" w:rsidRPr="00212209" w:rsidRDefault="00CF1E28" w:rsidP="000600B3">
                <w:pPr>
                  <w:spacing w:after="240" w:line="360" w:lineRule="auto"/>
                  <w:cnfStyle w:val="000000000000" w:firstRow="0" w:lastRow="0" w:firstColumn="0" w:lastColumn="0" w:oddVBand="0" w:evenVBand="0" w:oddHBand="0" w:evenHBand="0" w:firstRowFirstColumn="0" w:firstRowLastColumn="0" w:lastRowFirstColumn="0" w:lastRowLastColumn="0"/>
                  <w:rPr>
                    <w:rFonts w:eastAsiaTheme="majorEastAsia"/>
                  </w:rPr>
                </w:pPr>
                <w:r>
                  <w:rPr>
                    <w:rFonts w:eastAsiaTheme="majorEastAsia"/>
                  </w:rPr>
                  <w:t xml:space="preserve">Department Name: </w:t>
                </w:r>
              </w:p>
            </w:tc>
            <w:tc>
              <w:tcPr>
                <w:tcW w:w="2739" w:type="dxa"/>
              </w:tcPr>
              <w:p w14:paraId="1FF52744" w14:textId="77777777" w:rsidR="00CF1E28" w:rsidRPr="00212209" w:rsidRDefault="00CF1E28" w:rsidP="000600B3">
                <w:pPr>
                  <w:spacing w:after="240" w:line="360" w:lineRule="auto"/>
                  <w:jc w:val="left"/>
                  <w:cnfStyle w:val="000000000000" w:firstRow="0" w:lastRow="0" w:firstColumn="0" w:lastColumn="0" w:oddVBand="0" w:evenVBand="0" w:oddHBand="0" w:evenHBand="0" w:firstRowFirstColumn="0" w:firstRowLastColumn="0" w:lastRowFirstColumn="0" w:lastRowLastColumn="0"/>
                  <w:rPr>
                    <w:rFonts w:eastAsiaTheme="majorEastAsia"/>
                    <w:b/>
                    <w:bCs/>
                  </w:rPr>
                </w:pPr>
                <w:r>
                  <w:rPr>
                    <w:rFonts w:eastAsiaTheme="majorEastAsia"/>
                    <w:b/>
                    <w:bCs/>
                  </w:rPr>
                  <w:t>Mtech Cloud Computing</w:t>
                </w:r>
              </w:p>
            </w:tc>
          </w:tr>
          <w:tr w:rsidR="00CF1E28" w:rsidRPr="00212209" w14:paraId="7735157D" w14:textId="77777777" w:rsidTr="00CF1E28">
            <w:trPr>
              <w:gridAfter w:val="2"/>
              <w:cnfStyle w:val="000000100000" w:firstRow="0" w:lastRow="0" w:firstColumn="0" w:lastColumn="0" w:oddVBand="0" w:evenVBand="0" w:oddHBand="1" w:evenHBand="0" w:firstRowFirstColumn="0" w:firstRowLastColumn="0" w:lastRowFirstColumn="0" w:lastRowLastColumn="0"/>
              <w:wAfter w:w="5022" w:type="dxa"/>
              <w:trHeight w:val="13"/>
            </w:trPr>
            <w:tc>
              <w:tcPr>
                <w:cnfStyle w:val="001000000000" w:firstRow="0" w:lastRow="0" w:firstColumn="1" w:lastColumn="0" w:oddVBand="0" w:evenVBand="0" w:oddHBand="0" w:evenHBand="0" w:firstRowFirstColumn="0" w:firstRowLastColumn="0" w:lastRowFirstColumn="0" w:lastRowLastColumn="0"/>
                <w:tcW w:w="1673" w:type="dxa"/>
              </w:tcPr>
              <w:p w14:paraId="07498077" w14:textId="77777777" w:rsidR="00CF1E28" w:rsidRPr="00212209" w:rsidRDefault="00CF1E28" w:rsidP="000600B3">
                <w:pPr>
                  <w:spacing w:after="240" w:line="360" w:lineRule="auto"/>
                  <w:rPr>
                    <w:rFonts w:eastAsiaTheme="majorEastAsia"/>
                    <w:b w:val="0"/>
                    <w:bCs w:val="0"/>
                  </w:rPr>
                </w:pPr>
                <w:r>
                  <w:rPr>
                    <w:rFonts w:eastAsiaTheme="majorEastAsia"/>
                    <w:b w:val="0"/>
                    <w:bCs w:val="0"/>
                  </w:rPr>
                  <w:t xml:space="preserve">Country </w:t>
                </w:r>
              </w:p>
            </w:tc>
            <w:tc>
              <w:tcPr>
                <w:tcW w:w="2437" w:type="dxa"/>
              </w:tcPr>
              <w:p w14:paraId="29D1F873" w14:textId="77777777" w:rsidR="00CF1E28" w:rsidRPr="00212209" w:rsidRDefault="00CF1E28" w:rsidP="000600B3">
                <w:pPr>
                  <w:spacing w:after="240" w:line="360" w:lineRule="auto"/>
                  <w:cnfStyle w:val="000000100000" w:firstRow="0" w:lastRow="0" w:firstColumn="0" w:lastColumn="0" w:oddVBand="0" w:evenVBand="0" w:oddHBand="1" w:evenHBand="0" w:firstRowFirstColumn="0" w:firstRowLastColumn="0" w:lastRowFirstColumn="0" w:lastRowLastColumn="0"/>
                  <w:rPr>
                    <w:rFonts w:eastAsiaTheme="majorEastAsia"/>
                    <w:b/>
                    <w:bCs/>
                  </w:rPr>
                </w:pPr>
                <w:r>
                  <w:rPr>
                    <w:rFonts w:eastAsiaTheme="majorEastAsia"/>
                    <w:b/>
                    <w:bCs/>
                  </w:rPr>
                  <w:t>Zimbabwe</w:t>
                </w:r>
              </w:p>
            </w:tc>
          </w:tr>
        </w:tbl>
        <w:p w14:paraId="40780B5A" w14:textId="77777777" w:rsidR="00453CA7" w:rsidRDefault="00AE00C9" w:rsidP="000600B3">
          <w:pPr>
            <w:spacing w:line="360" w:lineRule="auto"/>
            <w:rPr>
              <w:b/>
              <w:bCs/>
              <w:sz w:val="28"/>
              <w:szCs w:val="28"/>
            </w:rPr>
          </w:pPr>
          <w:r>
            <w:rPr>
              <w:noProof/>
            </w:rPr>
            <mc:AlternateContent>
              <mc:Choice Requires="wps">
                <w:drawing>
                  <wp:anchor distT="0" distB="0" distL="114300" distR="114300" simplePos="0" relativeHeight="251659264" behindDoc="0" locked="0" layoutInCell="1" allowOverlap="1" wp14:anchorId="3431E47F" wp14:editId="183D3EC5">
                    <wp:simplePos x="0" y="0"/>
                    <wp:positionH relativeFrom="page">
                      <wp:posOffset>-655320</wp:posOffset>
                    </wp:positionH>
                    <wp:positionV relativeFrom="page">
                      <wp:posOffset>1402080</wp:posOffset>
                    </wp:positionV>
                    <wp:extent cx="8289290" cy="3698240"/>
                    <wp:effectExtent l="0" t="0" r="0" b="0"/>
                    <wp:wrapSquare wrapText="bothSides"/>
                    <wp:docPr id="154" name="Text Box 163"/>
                    <wp:cNvGraphicFramePr/>
                    <a:graphic xmlns:a="http://schemas.openxmlformats.org/drawingml/2006/main">
                      <a:graphicData uri="http://schemas.microsoft.com/office/word/2010/wordprocessingShape">
                        <wps:wsp>
                          <wps:cNvSpPr txBox="1"/>
                          <wps:spPr>
                            <a:xfrm>
                              <a:off x="0" y="0"/>
                              <a:ext cx="8289290" cy="3698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29451F" w14:textId="30D3585C" w:rsidR="00AE00C9" w:rsidRDefault="00000000" w:rsidP="00CF1E28">
                                <w:pPr>
                                  <w:spacing w:line="480" w:lineRule="auto"/>
                                  <w:jc w:val="center"/>
                                  <w:rPr>
                                    <w:color w:val="156082" w:themeColor="accent1"/>
                                    <w:sz w:val="64"/>
                                    <w:szCs w:val="64"/>
                                  </w:rPr>
                                </w:pPr>
                                <w:sdt>
                                  <w:sdtPr>
                                    <w:rPr>
                                      <w:caps/>
                                      <w:color w:val="156082"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CB0ED4">
                                      <w:rPr>
                                        <w:caps/>
                                        <w:color w:val="156082" w:themeColor="accent1"/>
                                        <w:sz w:val="44"/>
                                        <w:szCs w:val="44"/>
                                      </w:rPr>
                                      <w:t>Internet of Things and Artificial Intelligence for Carbon Emissions Monitoring and Forecasting</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554D6A43" w14:textId="77777777" w:rsidR="00AE00C9" w:rsidRDefault="00AE00C9" w:rsidP="00CF1E28">
                                    <w:pPr>
                                      <w:spacing w:line="480" w:lineRule="auto"/>
                                      <w:jc w:val="center"/>
                                      <w:rPr>
                                        <w:smallCaps/>
                                        <w:color w:val="404040" w:themeColor="text1" w:themeTint="BF"/>
                                        <w:sz w:val="36"/>
                                        <w:szCs w:val="36"/>
                                      </w:rPr>
                                    </w:pPr>
                                    <w:r>
                                      <w:rPr>
                                        <w:color w:val="404040" w:themeColor="text1" w:themeTint="BF"/>
                                        <w:sz w:val="36"/>
                                        <w:szCs w:val="36"/>
                                      </w:rPr>
                                      <w:t>A SYSTEMATIC REVIEW OF SMART ENVIRONMENTAL ACCOUNTING SYSTEMS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31E47F" id="_x0000_t202" coordsize="21600,21600" o:spt="202" path="m,l,21600r21600,l21600,xe">
                    <v:stroke joinstyle="miter"/>
                    <v:path gradientshapeok="t" o:connecttype="rect"/>
                  </v:shapetype>
                  <v:shape id="Text Box 163" o:spid="_x0000_s1026" type="#_x0000_t202" style="position:absolute;left:0;text-align:left;margin-left:-51.6pt;margin-top:110.4pt;width:652.7pt;height:29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" filled="f" stroked="f" strokeweight=".5pt">
                    <v:textbox inset="126pt,0,54pt,0">
                      <w:txbxContent>
                        <w:p w14:paraId="0729451F" w14:textId="30D3585C" w:rsidR="00AE00C9" w:rsidRDefault="00000000" w:rsidP="00CF1E28">
                          <w:pPr>
                            <w:spacing w:line="480" w:lineRule="auto"/>
                            <w:jc w:val="center"/>
                            <w:rPr>
                              <w:color w:val="156082" w:themeColor="accent1"/>
                              <w:sz w:val="64"/>
                              <w:szCs w:val="64"/>
                            </w:rPr>
                          </w:pPr>
                          <w:sdt>
                            <w:sdtPr>
                              <w:rPr>
                                <w:caps/>
                                <w:color w:val="156082"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CB0ED4">
                                <w:rPr>
                                  <w:caps/>
                                  <w:color w:val="156082" w:themeColor="accent1"/>
                                  <w:sz w:val="44"/>
                                  <w:szCs w:val="44"/>
                                </w:rPr>
                                <w:t>Internet of Things and Artificial Intelligence for Carbon Emissions Monitoring and Forecasting</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554D6A43" w14:textId="77777777" w:rsidR="00AE00C9" w:rsidRDefault="00AE00C9" w:rsidP="00CF1E28">
                              <w:pPr>
                                <w:spacing w:line="480" w:lineRule="auto"/>
                                <w:jc w:val="center"/>
                                <w:rPr>
                                  <w:smallCaps/>
                                  <w:color w:val="404040" w:themeColor="text1" w:themeTint="BF"/>
                                  <w:sz w:val="36"/>
                                  <w:szCs w:val="36"/>
                                </w:rPr>
                              </w:pPr>
                              <w:r>
                                <w:rPr>
                                  <w:color w:val="404040" w:themeColor="text1" w:themeTint="BF"/>
                                  <w:sz w:val="36"/>
                                  <w:szCs w:val="36"/>
                                </w:rPr>
                                <w:t>A SYSTEMATIC REVIEW OF SMART ENVIRONMENTAL ACCOUNTING SYSTEMS</w:t>
                              </w:r>
                            </w:p>
                          </w:sdtContent>
                        </w:sdt>
                      </w:txbxContent>
                    </v:textbox>
                    <w10:wrap type="square" anchorx="page" anchory="page"/>
                  </v:shape>
                </w:pict>
              </mc:Fallback>
            </mc:AlternateContent>
          </w:r>
          <w:r>
            <w:rPr>
              <w:b/>
              <w:bCs/>
              <w:sz w:val="28"/>
              <w:szCs w:val="28"/>
            </w:rPr>
            <w:br w:type="page"/>
          </w:r>
        </w:p>
      </w:sdtContent>
    </w:sdt>
    <w:p w14:paraId="585851B6" w14:textId="77777777" w:rsidR="00B85822" w:rsidRPr="00453CA7" w:rsidRDefault="00000000" w:rsidP="000600B3">
      <w:pPr>
        <w:pStyle w:val="Heading1"/>
        <w:spacing w:line="360" w:lineRule="auto"/>
        <w:jc w:val="both"/>
      </w:pPr>
      <w:r>
        <w:lastRenderedPageBreak/>
        <w:t>Abstract</w:t>
      </w:r>
    </w:p>
    <w:p w14:paraId="2F796B5B" w14:textId="77777777" w:rsidR="007A0F25" w:rsidRPr="007A0F25" w:rsidRDefault="007A0F25" w:rsidP="005462DA">
      <w:pPr>
        <w:pStyle w:val="Heading1"/>
        <w:spacing w:line="360" w:lineRule="auto"/>
        <w:jc w:val="both"/>
        <w:rPr>
          <w:b w:val="0"/>
          <w:bCs w:val="0"/>
          <w:color w:val="auto"/>
          <w:sz w:val="24"/>
          <w:szCs w:val="24"/>
        </w:rPr>
      </w:pPr>
      <w:r w:rsidRPr="007A0F25">
        <w:rPr>
          <w:b w:val="0"/>
          <w:bCs w:val="0"/>
          <w:color w:val="auto"/>
          <w:sz w:val="24"/>
          <w:szCs w:val="24"/>
        </w:rPr>
        <w:t>Climate governance relies on emissions data, yet this information is often delayed and incomplete due to legacy accounting systems based on manual cycles, periodic audits, and static emission factors ill-suited to today’s transparency requirements. This review systematically searched five academic databases, screening 843 records and retaining 100 peer-reviewed studies (2021–2025) in accordance with PRISMA 2020 guidelines. Studies were evenly distributed across four themes: IoT-based monitoring, AI emissions forecasting, carbon accounting and MRV frameworks, and integrated IoT–AI carbon management (25 per theme). In key application domains such as smart buildings, industry, and agriculture, continuous IoT sensor monitoring was shown to consistently outperform periodic methods in both spatial and temporal resolution. Hybrid AI models, particularly those combining LSTM, CNN, random forest, and extreme learning machines, demonstrated strong predictive accuracy but remained dependent on data quality and local validation for generalisability. Most carbon accounting and MRV frameworks reviewed still rely on periodic manual aggregation instead of continuous digital data streams. The review finds that a persistent and significant integration gap remains: only a minority of studies achieve comprehensive linkage across IoT data acquisition, AI-driven analytics, and the production of standardised, verifiable accounting outputs. Rather than a peripheral issue, this lack of end-to-end system integration represents the primary structural challenge in digital carbon management. This review addresses the integration gap as its central analytical focus, proposes a conceptual IoT–AI–MRV framework, and identifies interoperability, sensor calibration, regulatory acceptance, and cross-organisational data governance as key barriers to the scalability and credibility of integrated carbon management systems.</w:t>
      </w:r>
    </w:p>
    <w:p w14:paraId="1497B1DE" w14:textId="77777777" w:rsidR="007A0F25" w:rsidRDefault="007A0F25" w:rsidP="000600B3">
      <w:pPr>
        <w:pStyle w:val="Heading1"/>
        <w:spacing w:line="360" w:lineRule="auto"/>
        <w:jc w:val="both"/>
        <w:rPr>
          <w:b w:val="0"/>
          <w:bCs w:val="0"/>
          <w:color w:val="auto"/>
          <w:sz w:val="24"/>
          <w:szCs w:val="24"/>
        </w:rPr>
      </w:pPr>
      <w:r w:rsidRPr="000600B3">
        <w:rPr>
          <w:color w:val="auto"/>
          <w:sz w:val="24"/>
          <w:szCs w:val="24"/>
        </w:rPr>
        <w:t>Keywords:</w:t>
      </w:r>
      <w:r w:rsidRPr="007A0F25">
        <w:rPr>
          <w:b w:val="0"/>
          <w:bCs w:val="0"/>
          <w:color w:val="auto"/>
          <w:sz w:val="24"/>
          <w:szCs w:val="24"/>
        </w:rPr>
        <w:t xml:space="preserve"> Internet of Things (IoT); Carbon Emissions Monitoring; Artificial Intelligence; Carbon Accounting; Measurement, Reporting and Verification (MRV); Systematic Review; Smart Environmental Monitoring; Deep Learning; Greenhouse Gas Forecasting</w:t>
      </w:r>
    </w:p>
    <w:p w14:paraId="242EF937" w14:textId="77777777" w:rsidR="00C25BB1" w:rsidRDefault="00C25BB1" w:rsidP="000600B3">
      <w:pPr>
        <w:pStyle w:val="Heading1"/>
        <w:spacing w:line="360" w:lineRule="auto"/>
        <w:jc w:val="both"/>
        <w:rPr>
          <w:b w:val="0"/>
          <w:bCs w:val="0"/>
          <w:color w:val="auto"/>
          <w:sz w:val="24"/>
          <w:szCs w:val="24"/>
        </w:rPr>
      </w:pPr>
    </w:p>
    <w:p w14:paraId="0C2BC18B" w14:textId="77777777" w:rsidR="00C25BB1" w:rsidRDefault="00C25BB1" w:rsidP="000600B3">
      <w:pPr>
        <w:pStyle w:val="Heading1"/>
        <w:spacing w:line="360" w:lineRule="auto"/>
        <w:jc w:val="both"/>
        <w:rPr>
          <w:b w:val="0"/>
          <w:bCs w:val="0"/>
          <w:color w:val="auto"/>
          <w:sz w:val="24"/>
          <w:szCs w:val="24"/>
        </w:rPr>
      </w:pPr>
    </w:p>
    <w:p w14:paraId="5670F4EF" w14:textId="5E44E87B" w:rsidR="00B85822" w:rsidRDefault="00000000" w:rsidP="000600B3">
      <w:pPr>
        <w:pStyle w:val="Heading1"/>
        <w:spacing w:line="360" w:lineRule="auto"/>
        <w:jc w:val="both"/>
      </w:pPr>
      <w:r>
        <w:lastRenderedPageBreak/>
        <w:t>1. Introduction</w:t>
      </w:r>
    </w:p>
    <w:p w14:paraId="46715ACD" w14:textId="77777777" w:rsidR="00B85822" w:rsidRDefault="00000000" w:rsidP="000600B3">
      <w:pPr>
        <w:pStyle w:val="Heading2"/>
        <w:spacing w:line="360" w:lineRule="auto"/>
        <w:jc w:val="both"/>
      </w:pPr>
      <w:r>
        <w:t>1.1 Background of Carbon Emissions Monitoring</w:t>
      </w:r>
    </w:p>
    <w:p w14:paraId="2E241EE7" w14:textId="77777777" w:rsidR="00B4309F" w:rsidRPr="00B4309F" w:rsidRDefault="00B4309F" w:rsidP="000600B3">
      <w:pPr>
        <w:spacing w:after="120" w:line="360" w:lineRule="auto"/>
      </w:pPr>
      <w:r w:rsidRPr="00B4309F">
        <w:t>Monitoring carbon emissions has moved from a technical nicety to a core requirement of global climate governance, driven by the recognition that greenhouse gas concentrations are the chief mechanism of anthropogenic climate change (Singh et al., 2023). Governments and environmental organisations depend on reliable emissions data to evaluate mitigation measures, track climate commitments, and plan reduction strategies (Angelotti et al., 2024). The Paris Agreement formalised this requirement by requiring countries to regularly measure and report their greenhouse gas inventories (Skendžić et al., 2021). The problem is that conventional monitoring methods, built on manual reporting, energy consumption estimates, and periodic audits, routinely produce data that is delayed, incomplete, and difficult to verify (Rosenzweig et al., 2020). As climate risks compound, the case for moving toward continuous, data-driven monitoring systems has only gotten stronger (Chakraborty &amp; Newton, 2021).</w:t>
      </w:r>
    </w:p>
    <w:p w14:paraId="3AC23DFD" w14:textId="77777777" w:rsidR="00B4309F" w:rsidRPr="00B4309F" w:rsidRDefault="00B4309F" w:rsidP="000600B3">
      <w:pPr>
        <w:spacing w:after="120" w:line="360" w:lineRule="auto"/>
      </w:pPr>
      <w:r w:rsidRPr="00B4309F">
        <w:t>IoT sensor networks have changed what continuous environmental monitoring actually looks like in practice. Distributed devices now measure CO₂ concentration, methane, temperature, and energy consumption in near real time, transmitting data to centralised platforms for analysis and visualisation (Ma et al., 2022; Lahlali et al., 2024), offering considerably finer spatial and temporal resolution than anything achievable through periodic field sampling (Skelsey et al., 2020). Layered on top of this, AI analytics have opened up the possibility of pattern recognition, predictive forecasting, and anomaly detection at a scale that earlier monitoring approaches simply could not support (Xia et al., 2025; Shah et al., 2025). MRV frameworks, meanwhile, provide the institutional architecture for converting monitored data into standardised, verifiable emissions reports that support carbon market participation and regulatory compliance (Wepprich et al., 2025; van Baaren et al., 2025). The question that motivates this review is whether these three components have actually been brought together in ways that work.</w:t>
      </w:r>
    </w:p>
    <w:p w14:paraId="48D0E3FB" w14:textId="77777777" w:rsidR="00B4309F" w:rsidRPr="00B4309F" w:rsidRDefault="00B4309F" w:rsidP="000600B3">
      <w:pPr>
        <w:pStyle w:val="Heading2"/>
        <w:spacing w:line="360" w:lineRule="auto"/>
      </w:pPr>
      <w:r w:rsidRPr="00B4309F">
        <w:t>1.2 Emergence of Smart Environmental Monitoring and Research Motivation</w:t>
      </w:r>
    </w:p>
    <w:p w14:paraId="10C7028E" w14:textId="77777777" w:rsidR="00B4309F" w:rsidRDefault="00B4309F" w:rsidP="000600B3">
      <w:pPr>
        <w:spacing w:after="120" w:line="360" w:lineRule="auto"/>
      </w:pPr>
      <w:r w:rsidRPr="00B4309F">
        <w:t xml:space="preserve">Digital technologies have enabled continuous, real-time observation of greenhouse gas concentrations for environmental monitoring. Traditional approaches relied on manual sampling at discrete intervals, whereas IoT infrastructures now facilitate persistent monitoring through </w:t>
      </w:r>
      <w:r w:rsidRPr="00B4309F">
        <w:lastRenderedPageBreak/>
        <w:t>integrated sensor networks, communication systems, and cloud platforms (Fay &amp; Corcoran, 2024; Popescu et al., 2024). AI and big data analytics further enhance forecasting capabilities and support more informed environmental decision-making (Li et al., 2024). However, carbon accounting structures have not kept pace with these technological advancements. Most systems continue to rely on disaggregated reporting: periodic, manually compiled, and structurally disconnected from the continuous data streams enabled by IoT-AI monitoring (Wepprich et al., 2025; Yang, 2025). This institutional lag constitutes a central challenge addressed in this review.</w:t>
      </w:r>
    </w:p>
    <w:p w14:paraId="3DB9CA6B" w14:textId="77777777" w:rsidR="00B4309F" w:rsidRPr="00B4309F" w:rsidRDefault="00B4309F" w:rsidP="000600B3">
      <w:pPr>
        <w:pStyle w:val="Heading2"/>
        <w:spacing w:line="360" w:lineRule="auto"/>
      </w:pPr>
      <w:r w:rsidRPr="00B4309F">
        <w:t>1.3 Contribution of this Review</w:t>
      </w:r>
    </w:p>
    <w:p w14:paraId="1B9733A1" w14:textId="77777777" w:rsidR="00B4309F" w:rsidRPr="00B4309F" w:rsidRDefault="00B4309F" w:rsidP="000600B3">
      <w:pPr>
        <w:spacing w:after="120" w:line="360" w:lineRule="auto"/>
      </w:pPr>
      <w:r w:rsidRPr="00B4309F">
        <w:t>Previous systematic and narrative reviews have typically examined IoT-based environmental monitoring or AI-based carbon forecasting in isolation. This review differs in three key respects. First, it organises evidence around four analytical dimensions of digital carbon management: data acquisition, emission estimation, verification and governance, and end-to-end integration, rather than by technology silo. Whereas prior reviews evaluate IoT, AI, and MRV frameworks separately, this review treats the gaps between them as the primary subject of analysis. Second, it presents a conceptual IoT-AI-MRV framework that identifies the sensor-to-accounting translation layer as the principal structural bottleneck in integrated digital carbon management, reframing the problem from a technical shortfall to a governance and standardisation challenge. Third, the review explicitly addresses the near-total absence of Sub-Saharan African and Zimbabwean contexts from the indexed literature on IoT carbon monitoring, AI emission forecasting, and digital MRV, treating this geographic deficit as a substantive barrier to the equitable global application of digital carbon governance tools. Collectively, these contributions position this review as a foundation for both technical system design and policy-oriented research in integrated digital carbon management, particularly in data-sparse governance environments.</w:t>
      </w:r>
    </w:p>
    <w:p w14:paraId="12A46947" w14:textId="77777777" w:rsidR="00B4309F" w:rsidRPr="00B4309F" w:rsidRDefault="00B4309F" w:rsidP="000600B3">
      <w:pPr>
        <w:pStyle w:val="Heading2"/>
        <w:spacing w:line="360" w:lineRule="auto"/>
      </w:pPr>
      <w:r w:rsidRPr="00B4309F">
        <w:t>1.4 PICOS Framework and Research Question</w:t>
      </w:r>
    </w:p>
    <w:p w14:paraId="48678EB3" w14:textId="77777777" w:rsidR="00B4309F" w:rsidRDefault="00B4309F" w:rsidP="000600B3">
      <w:pPr>
        <w:spacing w:after="120" w:line="360" w:lineRule="auto"/>
      </w:pPr>
      <w:r w:rsidRPr="00B4309F">
        <w:t>This review is guided by the following research question: To what extent have IoT sensor networks, AI analytics, and carbon accounting frameworks been developed and integrated to support accurate, real-time carbon emissions monitoring and forecasting? The review is structured using the PICOS framework as outlined below:</w:t>
      </w:r>
    </w:p>
    <w:p w14:paraId="2467C008" w14:textId="77777777" w:rsidR="000600B3" w:rsidRPr="00B4309F" w:rsidRDefault="000600B3" w:rsidP="000600B3">
      <w:pPr>
        <w:spacing w:after="120" w:line="36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70"/>
        <w:gridCol w:w="8190"/>
      </w:tblGrid>
      <w:tr w:rsidR="00B85822" w14:paraId="104C02BF" w14:textId="77777777" w:rsidTr="00C25BB1">
        <w:tc>
          <w:tcPr>
            <w:tcW w:w="1170" w:type="dxa"/>
            <w:tcBorders>
              <w:top w:val="single" w:sz="1" w:space="0" w:color="AAAAAA"/>
              <w:left w:val="single" w:sz="1" w:space="0" w:color="AAAAAA"/>
              <w:bottom w:val="single" w:sz="1" w:space="0" w:color="AAAAAA"/>
              <w:right w:val="single" w:sz="1" w:space="0" w:color="AAAAAA"/>
            </w:tcBorders>
            <w:shd w:val="clear" w:color="auto" w:fill="2E5090"/>
            <w:tcMar>
              <w:top w:w="80" w:type="dxa"/>
              <w:left w:w="120" w:type="dxa"/>
              <w:bottom w:w="80" w:type="dxa"/>
              <w:right w:w="120" w:type="dxa"/>
            </w:tcMar>
          </w:tcPr>
          <w:p w14:paraId="5C71827E" w14:textId="77777777" w:rsidR="00B85822" w:rsidRDefault="00000000" w:rsidP="000600B3">
            <w:pPr>
              <w:spacing w:line="360" w:lineRule="auto"/>
            </w:pPr>
            <w:r>
              <w:rPr>
                <w:b/>
                <w:bCs/>
                <w:color w:val="FFFFFF"/>
                <w:sz w:val="18"/>
                <w:szCs w:val="18"/>
              </w:rPr>
              <w:lastRenderedPageBreak/>
              <w:t>Element</w:t>
            </w:r>
          </w:p>
        </w:tc>
        <w:tc>
          <w:tcPr>
            <w:tcW w:w="8190" w:type="dxa"/>
            <w:tcBorders>
              <w:top w:val="single" w:sz="1" w:space="0" w:color="AAAAAA"/>
              <w:left w:val="single" w:sz="1" w:space="0" w:color="AAAAAA"/>
              <w:bottom w:val="single" w:sz="1" w:space="0" w:color="AAAAAA"/>
              <w:right w:val="single" w:sz="1" w:space="0" w:color="AAAAAA"/>
            </w:tcBorders>
            <w:shd w:val="clear" w:color="auto" w:fill="2E5090"/>
            <w:tcMar>
              <w:top w:w="80" w:type="dxa"/>
              <w:left w:w="120" w:type="dxa"/>
              <w:bottom w:w="80" w:type="dxa"/>
              <w:right w:w="120" w:type="dxa"/>
            </w:tcMar>
          </w:tcPr>
          <w:p w14:paraId="09A81576" w14:textId="77777777" w:rsidR="00B85822" w:rsidRDefault="00000000" w:rsidP="000600B3">
            <w:pPr>
              <w:spacing w:line="360" w:lineRule="auto"/>
            </w:pPr>
            <w:r>
              <w:rPr>
                <w:b/>
                <w:bCs/>
                <w:color w:val="FFFFFF"/>
                <w:sz w:val="18"/>
                <w:szCs w:val="18"/>
              </w:rPr>
              <w:t>Description</w:t>
            </w:r>
          </w:p>
        </w:tc>
      </w:tr>
      <w:tr w:rsidR="00B85822" w14:paraId="516B8AB2" w14:textId="77777777" w:rsidTr="00C25BB1">
        <w:tc>
          <w:tcPr>
            <w:tcW w:w="117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F1219AD" w14:textId="77777777" w:rsidR="00B85822" w:rsidRDefault="00000000" w:rsidP="000600B3">
            <w:pPr>
              <w:spacing w:line="360" w:lineRule="auto"/>
            </w:pPr>
            <w:r>
              <w:rPr>
                <w:color w:val="000000"/>
                <w:sz w:val="18"/>
                <w:szCs w:val="18"/>
              </w:rPr>
              <w:t>Population (P)</w:t>
            </w:r>
          </w:p>
        </w:tc>
        <w:tc>
          <w:tcPr>
            <w:tcW w:w="81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46FD5D9" w14:textId="77777777" w:rsidR="00B85822" w:rsidRDefault="00000000" w:rsidP="000600B3">
            <w:pPr>
              <w:spacing w:line="360" w:lineRule="auto"/>
            </w:pPr>
            <w:r>
              <w:rPr>
                <w:color w:val="000000"/>
                <w:sz w:val="18"/>
                <w:szCs w:val="18"/>
              </w:rPr>
              <w:t>Studies focusing on environments generating or influenced by carbon emissions, including industrial facilities, smart buildings, urban areas, agricultural systems and energy infrastructure.</w:t>
            </w:r>
          </w:p>
        </w:tc>
      </w:tr>
      <w:tr w:rsidR="00B85822" w14:paraId="0A08DA9B" w14:textId="77777777" w:rsidTr="00C25BB1">
        <w:tc>
          <w:tcPr>
            <w:tcW w:w="117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B4B697" w14:textId="77777777" w:rsidR="00B85822" w:rsidRDefault="00000000" w:rsidP="000600B3">
            <w:pPr>
              <w:spacing w:line="360" w:lineRule="auto"/>
            </w:pPr>
            <w:r>
              <w:rPr>
                <w:color w:val="000000"/>
                <w:sz w:val="18"/>
                <w:szCs w:val="18"/>
              </w:rPr>
              <w:t>Intervention (I)</w:t>
            </w:r>
          </w:p>
        </w:tc>
        <w:tc>
          <w:tcPr>
            <w:tcW w:w="81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0CD9639" w14:textId="77777777" w:rsidR="00B85822" w:rsidRDefault="00000000" w:rsidP="000600B3">
            <w:pPr>
              <w:spacing w:line="360" w:lineRule="auto"/>
            </w:pPr>
            <w:r>
              <w:rPr>
                <w:color w:val="000000"/>
                <w:sz w:val="18"/>
                <w:szCs w:val="18"/>
              </w:rPr>
              <w:t>Application of IoT sensor networks and/or artificial intelligence (AI) analytics, including machine learning and deep learning, for carbon emissions monitoring, prediction, or accounting.</w:t>
            </w:r>
          </w:p>
        </w:tc>
      </w:tr>
      <w:tr w:rsidR="00B85822" w14:paraId="6521D2D7" w14:textId="77777777" w:rsidTr="00C25BB1">
        <w:tc>
          <w:tcPr>
            <w:tcW w:w="117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0B7343E" w14:textId="77777777" w:rsidR="00B85822" w:rsidRDefault="00000000" w:rsidP="000600B3">
            <w:pPr>
              <w:spacing w:line="360" w:lineRule="auto"/>
            </w:pPr>
            <w:r>
              <w:rPr>
                <w:color w:val="000000"/>
                <w:sz w:val="18"/>
                <w:szCs w:val="18"/>
              </w:rPr>
              <w:t>Comparators (C)</w:t>
            </w:r>
          </w:p>
        </w:tc>
        <w:tc>
          <w:tcPr>
            <w:tcW w:w="81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F5BF062" w14:textId="77777777" w:rsidR="00B85822" w:rsidRDefault="00000000" w:rsidP="000600B3">
            <w:pPr>
              <w:spacing w:line="360" w:lineRule="auto"/>
            </w:pPr>
            <w:r>
              <w:rPr>
                <w:color w:val="000000"/>
                <w:sz w:val="18"/>
                <w:szCs w:val="18"/>
              </w:rPr>
              <w:t>Traditional carbon monitoring methods (manual reporting, periodic assessments, conventional statistical models) or systems lacking IoT/AI integration.</w:t>
            </w:r>
          </w:p>
        </w:tc>
      </w:tr>
      <w:tr w:rsidR="00B85822" w14:paraId="2AE7578C" w14:textId="77777777" w:rsidTr="00C25BB1">
        <w:tc>
          <w:tcPr>
            <w:tcW w:w="117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DA269E1" w14:textId="77777777" w:rsidR="00B85822" w:rsidRDefault="00000000" w:rsidP="000600B3">
            <w:pPr>
              <w:spacing w:line="360" w:lineRule="auto"/>
            </w:pPr>
            <w:r>
              <w:rPr>
                <w:color w:val="000000"/>
                <w:sz w:val="18"/>
                <w:szCs w:val="18"/>
              </w:rPr>
              <w:t>Outcomes (O)</w:t>
            </w:r>
          </w:p>
        </w:tc>
        <w:tc>
          <w:tcPr>
            <w:tcW w:w="81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C4CC88" w14:textId="77777777" w:rsidR="00B85822" w:rsidRDefault="00000000" w:rsidP="000600B3">
            <w:pPr>
              <w:spacing w:line="360" w:lineRule="auto"/>
            </w:pPr>
            <w:r>
              <w:rPr>
                <w:color w:val="000000"/>
                <w:sz w:val="18"/>
                <w:szCs w:val="18"/>
              </w:rPr>
              <w:t>Accuracy, reliability and scalability of emissions monitoring; predictive performance of AI models; effectiveness of carbon accounting and MRV frameworks; degree of IoT–AI system integration.</w:t>
            </w:r>
          </w:p>
        </w:tc>
      </w:tr>
      <w:tr w:rsidR="00B85822" w14:paraId="52F968A4" w14:textId="77777777" w:rsidTr="00C25BB1">
        <w:tc>
          <w:tcPr>
            <w:tcW w:w="117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8165D0C" w14:textId="77777777" w:rsidR="00B85822" w:rsidRDefault="00000000" w:rsidP="000600B3">
            <w:pPr>
              <w:spacing w:line="360" w:lineRule="auto"/>
            </w:pPr>
            <w:r>
              <w:rPr>
                <w:color w:val="000000"/>
                <w:sz w:val="18"/>
                <w:szCs w:val="18"/>
              </w:rPr>
              <w:t>Study Designs (S)</w:t>
            </w:r>
          </w:p>
        </w:tc>
        <w:tc>
          <w:tcPr>
            <w:tcW w:w="81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CFC37E6" w14:textId="77777777" w:rsidR="00B85822" w:rsidRDefault="00000000" w:rsidP="000600B3">
            <w:pPr>
              <w:spacing w:line="360" w:lineRule="auto"/>
            </w:pPr>
            <w:r>
              <w:rPr>
                <w:color w:val="000000"/>
                <w:sz w:val="18"/>
                <w:szCs w:val="18"/>
              </w:rPr>
              <w:t>Peer-reviewed empirical studies, experimental prototypes, framework developments, systematic reviews and literature reviews published in English from 2021 to 2025.</w:t>
            </w:r>
          </w:p>
        </w:tc>
      </w:tr>
    </w:tbl>
    <w:p w14:paraId="45303F9B" w14:textId="77777777" w:rsidR="00B85822" w:rsidRDefault="00B85822" w:rsidP="000600B3">
      <w:pPr>
        <w:spacing w:before="120" w:line="360" w:lineRule="auto"/>
      </w:pPr>
    </w:p>
    <w:p w14:paraId="670509F4" w14:textId="77777777" w:rsidR="00B85822" w:rsidRDefault="00000000" w:rsidP="000600B3">
      <w:pPr>
        <w:spacing w:after="120" w:line="360" w:lineRule="auto"/>
      </w:pPr>
      <w:r>
        <w:t>This review adheres to the PRISMA (Preferred Reporting Items for Systematic Reviews and Meta-Analyses) reporting guidelines. No systematic review protocol was pre-registered.</w:t>
      </w:r>
    </w:p>
    <w:p w14:paraId="475BBE04" w14:textId="77777777" w:rsidR="00B85822" w:rsidRDefault="00000000" w:rsidP="000600B3">
      <w:pPr>
        <w:pStyle w:val="Heading2"/>
        <w:spacing w:line="360" w:lineRule="auto"/>
        <w:jc w:val="both"/>
      </w:pPr>
      <w:r>
        <w:t>1.5 Research Objectives</w:t>
      </w:r>
    </w:p>
    <w:p w14:paraId="25957A45" w14:textId="77777777" w:rsidR="00B85822" w:rsidRDefault="00000000" w:rsidP="000600B3">
      <w:pPr>
        <w:pStyle w:val="ListParagraph"/>
        <w:numPr>
          <w:ilvl w:val="0"/>
          <w:numId w:val="2"/>
        </w:numPr>
        <w:spacing w:after="80" w:line="360" w:lineRule="auto"/>
        <w:jc w:val="both"/>
      </w:pPr>
      <w:r>
        <w:t>To examine IoT-based carbon monitoring systems and their architectural approaches</w:t>
      </w:r>
    </w:p>
    <w:p w14:paraId="7280623C" w14:textId="77777777" w:rsidR="00B85822" w:rsidRDefault="00000000" w:rsidP="000600B3">
      <w:pPr>
        <w:pStyle w:val="ListParagraph"/>
        <w:numPr>
          <w:ilvl w:val="0"/>
          <w:numId w:val="2"/>
        </w:numPr>
        <w:spacing w:after="80" w:line="360" w:lineRule="auto"/>
        <w:jc w:val="both"/>
      </w:pPr>
      <w:r>
        <w:t>To analyse AI and machine learning models used for carbon emission forecasting</w:t>
      </w:r>
    </w:p>
    <w:p w14:paraId="42458857" w14:textId="77777777" w:rsidR="00B85822" w:rsidRDefault="00000000" w:rsidP="000600B3">
      <w:pPr>
        <w:pStyle w:val="ListParagraph"/>
        <w:numPr>
          <w:ilvl w:val="0"/>
          <w:numId w:val="2"/>
        </w:numPr>
        <w:spacing w:after="80" w:line="360" w:lineRule="auto"/>
        <w:jc w:val="both"/>
      </w:pPr>
      <w:r>
        <w:t>To evaluate carbon accounting and MRV frameworks and their digital implementations</w:t>
      </w:r>
    </w:p>
    <w:p w14:paraId="008C44DB" w14:textId="77777777" w:rsidR="00B85822" w:rsidRDefault="00000000" w:rsidP="000600B3">
      <w:pPr>
        <w:pStyle w:val="ListParagraph"/>
        <w:numPr>
          <w:ilvl w:val="0"/>
          <w:numId w:val="2"/>
        </w:numPr>
        <w:spacing w:after="80" w:line="360" w:lineRule="auto"/>
        <w:jc w:val="both"/>
      </w:pPr>
      <w:r>
        <w:t>To identify research gaps in integrated IoT-AI carbon management systems</w:t>
      </w:r>
    </w:p>
    <w:p w14:paraId="203A3178" w14:textId="77777777" w:rsidR="00B85822" w:rsidRDefault="00000000" w:rsidP="000600B3">
      <w:pPr>
        <w:pStyle w:val="Heading2"/>
        <w:spacing w:line="360" w:lineRule="auto"/>
        <w:jc w:val="both"/>
      </w:pPr>
      <w:r>
        <w:t>1.6 Structure of the Paper</w:t>
      </w:r>
    </w:p>
    <w:p w14:paraId="60C76A01" w14:textId="77777777" w:rsidR="00FB584B" w:rsidRDefault="00FB584B" w:rsidP="000600B3">
      <w:pPr>
        <w:spacing w:line="360" w:lineRule="auto"/>
      </w:pPr>
      <w:r w:rsidRPr="007C25E6">
        <w:t>Section 2 describes the methodology used to identify and analyse relevant literature. Sections 3 to 6 present synthesised findings organised around four analytical dimensions of digital carbon management: data acquisition and sensing (Section 3), emission estimation and forecasting (Section 4), verification, reporting, and governance (Section 5), and end-to-end system integration (Section 6). Section 7 outlines research gaps, Section 8 introduces the conceptual framework, and Section 9 provides the Discussion, including a summary of main findings, limitations, and conclusions.</w:t>
      </w:r>
    </w:p>
    <w:p w14:paraId="3AB65FCB" w14:textId="77777777" w:rsidR="000600B3" w:rsidRPr="007C25E6" w:rsidRDefault="000600B3" w:rsidP="000600B3">
      <w:pPr>
        <w:spacing w:line="360" w:lineRule="auto"/>
      </w:pPr>
    </w:p>
    <w:p w14:paraId="58963E7C" w14:textId="77777777" w:rsidR="00B85822" w:rsidRDefault="00000000" w:rsidP="000600B3">
      <w:pPr>
        <w:pStyle w:val="Heading1"/>
        <w:spacing w:line="360" w:lineRule="auto"/>
        <w:jc w:val="both"/>
      </w:pPr>
      <w:r>
        <w:lastRenderedPageBreak/>
        <w:t>2. Methods</w:t>
      </w:r>
    </w:p>
    <w:p w14:paraId="16E7F87C" w14:textId="77777777" w:rsidR="00B85822" w:rsidRDefault="00000000" w:rsidP="000600B3">
      <w:pPr>
        <w:pStyle w:val="Heading2"/>
        <w:spacing w:line="360" w:lineRule="auto"/>
        <w:jc w:val="both"/>
      </w:pPr>
      <w:r>
        <w:t>2.1 Study Design</w:t>
      </w:r>
    </w:p>
    <w:p w14:paraId="635044DB" w14:textId="2F4A7B6E" w:rsidR="00BA58AB" w:rsidRDefault="00FB584B" w:rsidP="000600B3">
      <w:pPr>
        <w:spacing w:line="360" w:lineRule="auto"/>
        <w:rPr>
          <w:b/>
          <w:bCs/>
        </w:rPr>
      </w:pPr>
      <w:r w:rsidRPr="007C25E6">
        <w:t>This study used a systematic literature review (SLR) methodology to identify, assess, and synthesise academic evidence on the application of digital technologies to carbon emissions monitoring and forecasting. Systematic reviews provide transparent, reproducible processes for analysing large bodies of literature and are widely adopted in environmental and information systems research (Kitchenham et al., 2021). This review was designed and reported in full accordance with the PRISMA 2020 guidelines (Page et al., 2021). No review protocol was pre-registered prior to commencement</w:t>
      </w:r>
    </w:p>
    <w:p w14:paraId="3B42F2BC" w14:textId="77777777" w:rsidR="00B85822" w:rsidRDefault="00000000" w:rsidP="000600B3">
      <w:pPr>
        <w:pStyle w:val="Heading2"/>
        <w:spacing w:line="360" w:lineRule="auto"/>
        <w:jc w:val="both"/>
      </w:pPr>
      <w:r>
        <w:t>2.2 Search Strategy and Data Sources</w:t>
      </w:r>
    </w:p>
    <w:p w14:paraId="61F9782A" w14:textId="77777777" w:rsidR="00820421" w:rsidRDefault="00820421" w:rsidP="000600B3">
      <w:pPr>
        <w:pStyle w:val="font-claude-response-body"/>
        <w:spacing w:line="360" w:lineRule="auto"/>
      </w:pPr>
      <w:r w:rsidRPr="00820421">
        <w:t>The review was guided by the following primary research question: To what extent have IoT sensor networks, artificial intelligence analytics, and carbon accounting frameworks been developed and integrated to support accurate, real-time carbon emissions monitoring and forecasting? The review scope was structured using the PICOS framework as follows:</w:t>
      </w:r>
    </w:p>
    <w:p w14:paraId="6A44F1DC" w14:textId="77777777" w:rsidR="00973BD8" w:rsidRDefault="007F4C8E" w:rsidP="000600B3">
      <w:pPr>
        <w:pStyle w:val="font-claude-response-body"/>
        <w:numPr>
          <w:ilvl w:val="0"/>
          <w:numId w:val="3"/>
        </w:numPr>
        <w:spacing w:line="360" w:lineRule="auto"/>
      </w:pPr>
      <w:r>
        <w:rPr>
          <w:rStyle w:val="Strong"/>
        </w:rPr>
        <w:t>Population (P):</w:t>
      </w:r>
      <w:r>
        <w:t xml:space="preserve"> Environments generating or influenced by carbon emissions, including smart buildings, industrial facilities, urban areas, agricultural systems, and energy infrastructure.</w:t>
      </w:r>
    </w:p>
    <w:p w14:paraId="2EF9BD56" w14:textId="45BC7799" w:rsidR="007F4C8E" w:rsidRDefault="007F4C8E" w:rsidP="000600B3">
      <w:pPr>
        <w:pStyle w:val="font-claude-response-body"/>
        <w:numPr>
          <w:ilvl w:val="0"/>
          <w:numId w:val="3"/>
        </w:numPr>
        <w:spacing w:line="360" w:lineRule="auto"/>
      </w:pPr>
      <w:r>
        <w:rPr>
          <w:rStyle w:val="Strong"/>
        </w:rPr>
        <w:t>Intervention (I):</w:t>
      </w:r>
      <w:r>
        <w:t xml:space="preserve"> Application of IoT sensor networks and/or AI analytics, including machine learning and deep learning, for carbon emissions monitoring, prediction, or accounting.</w:t>
      </w:r>
    </w:p>
    <w:p w14:paraId="3DE1657B" w14:textId="77777777" w:rsidR="007F4C8E" w:rsidRDefault="007F4C8E" w:rsidP="000600B3">
      <w:pPr>
        <w:pStyle w:val="font-claude-response-body"/>
        <w:numPr>
          <w:ilvl w:val="0"/>
          <w:numId w:val="3"/>
        </w:numPr>
        <w:spacing w:line="360" w:lineRule="auto"/>
      </w:pPr>
      <w:r>
        <w:rPr>
          <w:rStyle w:val="Strong"/>
        </w:rPr>
        <w:t>Comparators (C):</w:t>
      </w:r>
      <w:r>
        <w:t xml:space="preserve"> Traditional carbon monitoring methods or systems lacking IoT/AI integration.</w:t>
      </w:r>
    </w:p>
    <w:p w14:paraId="4394A9E3" w14:textId="77777777" w:rsidR="00973BD8" w:rsidRPr="00973BD8" w:rsidRDefault="007F4C8E" w:rsidP="00973BD8">
      <w:pPr>
        <w:pStyle w:val="font-claude-response-body"/>
        <w:numPr>
          <w:ilvl w:val="0"/>
          <w:numId w:val="3"/>
        </w:numPr>
        <w:spacing w:line="360" w:lineRule="auto"/>
      </w:pPr>
      <w:r>
        <w:rPr>
          <w:rStyle w:val="Strong"/>
        </w:rPr>
        <w:t>Outcomes (O):</w:t>
      </w:r>
      <w:r>
        <w:t xml:space="preserve"> </w:t>
      </w:r>
      <w:r w:rsidR="00973BD8" w:rsidRPr="00973BD8">
        <w:t>Accuracy, reliability, and upscalability of emissions monitoring; predictive performance of AI models; effectiveness of carbon accounting and MRV frameworks; degree of IoT–AI integration.</w:t>
      </w:r>
    </w:p>
    <w:p w14:paraId="0AFF0657" w14:textId="39463DE9" w:rsidR="007F4C8E" w:rsidRDefault="007F4C8E" w:rsidP="00973BD8">
      <w:pPr>
        <w:pStyle w:val="font-claude-response-body"/>
        <w:spacing w:line="360" w:lineRule="auto"/>
        <w:ind w:left="720"/>
      </w:pPr>
    </w:p>
    <w:p w14:paraId="74A2E53C" w14:textId="77777777" w:rsidR="007F4C8E" w:rsidRDefault="007F4C8E" w:rsidP="000600B3">
      <w:pPr>
        <w:pStyle w:val="font-claude-response-body"/>
        <w:numPr>
          <w:ilvl w:val="0"/>
          <w:numId w:val="3"/>
        </w:numPr>
        <w:spacing w:line="360" w:lineRule="auto"/>
      </w:pPr>
      <w:r>
        <w:rPr>
          <w:rStyle w:val="Strong"/>
        </w:rPr>
        <w:lastRenderedPageBreak/>
        <w:t>Study Designs (S):</w:t>
      </w:r>
      <w:r>
        <w:t xml:space="preserve"> Peer-reviewed empirical studies, experimental prototypes, framework developments, and literature reviews published in English from 2021 to 2025.</w:t>
      </w:r>
    </w:p>
    <w:p w14:paraId="28412064" w14:textId="77777777" w:rsidR="00B85822" w:rsidRDefault="00000000" w:rsidP="000600B3">
      <w:pPr>
        <w:pStyle w:val="Heading2"/>
        <w:spacing w:line="360" w:lineRule="auto"/>
        <w:jc w:val="both"/>
      </w:pPr>
      <w:r>
        <w:t>2.3 Inclusion and Exclusion Criteria</w:t>
      </w:r>
    </w:p>
    <w:p w14:paraId="19A7504C" w14:textId="77777777" w:rsidR="00973BD8" w:rsidRDefault="00973BD8" w:rsidP="00973BD8">
      <w:pPr>
        <w:pStyle w:val="font-claude-response-body"/>
        <w:spacing w:line="360" w:lineRule="auto"/>
      </w:pPr>
      <w:r w:rsidRPr="00973BD8">
        <w:t>A structured database search was conducted from January to March 2025 across five academic databases: Scopus, Web of Science, ScienceDirect, IEEE Xplore, and Google Scholar. The following keyword combinations were applied using Boolean operators (AND/OR):</w:t>
      </w:r>
    </w:p>
    <w:p w14:paraId="2212CB32" w14:textId="39AC14D0" w:rsidR="007F4C8E" w:rsidRDefault="007F4C8E" w:rsidP="000600B3">
      <w:pPr>
        <w:pStyle w:val="font-claude-response-body"/>
        <w:numPr>
          <w:ilvl w:val="0"/>
          <w:numId w:val="4"/>
        </w:numPr>
        <w:spacing w:line="360" w:lineRule="auto"/>
      </w:pPr>
      <w:r>
        <w:t>("Internet of Things" OR "IoT") AND ("carbon emission" OR "greenhouse gas" OR "CO2 monitoring")</w:t>
      </w:r>
    </w:p>
    <w:p w14:paraId="460A0F10" w14:textId="77777777" w:rsidR="007F4C8E" w:rsidRDefault="007F4C8E" w:rsidP="000600B3">
      <w:pPr>
        <w:pStyle w:val="font-claude-response-body"/>
        <w:numPr>
          <w:ilvl w:val="0"/>
          <w:numId w:val="4"/>
        </w:numPr>
        <w:spacing w:line="360" w:lineRule="auto"/>
      </w:pPr>
      <w:r>
        <w:t>("machine learning" OR "deep learning" OR "artificial intelligence") AND ("carbon forecasting" OR "emission prediction")</w:t>
      </w:r>
    </w:p>
    <w:p w14:paraId="0AF0A0BF" w14:textId="77777777" w:rsidR="007F4C8E" w:rsidRDefault="007F4C8E" w:rsidP="000600B3">
      <w:pPr>
        <w:pStyle w:val="font-claude-response-body"/>
        <w:numPr>
          <w:ilvl w:val="0"/>
          <w:numId w:val="4"/>
        </w:numPr>
        <w:spacing w:line="360" w:lineRule="auto"/>
      </w:pPr>
      <w:r>
        <w:t>("carbon accounting" OR "MRV" OR "measurement reporting verification") AND ("digital" OR "blockchain" OR "automated")</w:t>
      </w:r>
    </w:p>
    <w:p w14:paraId="4C538140" w14:textId="77777777" w:rsidR="007F4C8E" w:rsidRDefault="007F4C8E" w:rsidP="000600B3">
      <w:pPr>
        <w:pStyle w:val="font-claude-response-body"/>
        <w:numPr>
          <w:ilvl w:val="0"/>
          <w:numId w:val="4"/>
        </w:numPr>
        <w:spacing w:line="360" w:lineRule="auto"/>
      </w:pPr>
      <w:r>
        <w:t>("IoT" AND "AI") AND ("carbon management" OR "carbon accounting" OR "emissions monitoring")</w:t>
      </w:r>
    </w:p>
    <w:p w14:paraId="3A924121" w14:textId="77777777" w:rsidR="007F4C8E" w:rsidRDefault="007F4C8E" w:rsidP="000600B3">
      <w:pPr>
        <w:pStyle w:val="font-claude-response-body"/>
        <w:spacing w:line="360" w:lineRule="auto"/>
      </w:pPr>
      <w:r>
        <w:t>Searches were limited to English-language publications from January 2021 to March 2025. No language other than English was included. Grey literature, theses, dissertations, and editorial commentary were excluded.</w:t>
      </w:r>
    </w:p>
    <w:p w14:paraId="17D95067" w14:textId="77777777" w:rsidR="007F4C8E" w:rsidRDefault="007F4C8E" w:rsidP="000600B3">
      <w:pPr>
        <w:pStyle w:val="Heading2"/>
        <w:spacing w:line="360" w:lineRule="auto"/>
        <w:jc w:val="both"/>
        <w:rPr>
          <w:rStyle w:val="Strong"/>
          <w:b/>
          <w:bCs/>
        </w:rPr>
      </w:pPr>
      <w:r>
        <w:rPr>
          <w:rStyle w:val="Strong"/>
          <w:b/>
          <w:bCs/>
        </w:rPr>
        <w:t>2.4 Study Selection and PRISMA Flow</w:t>
      </w:r>
    </w:p>
    <w:p w14:paraId="55D333CF" w14:textId="77777777" w:rsidR="00AC6DA9" w:rsidRDefault="00AC6DA9" w:rsidP="000600B3">
      <w:pPr>
        <w:spacing w:line="360" w:lineRule="auto"/>
      </w:pPr>
      <w:r w:rsidRPr="007C25E6">
        <w:t>Following initial database searches, 843 records were identified. After removing 196 duplicates, 647 records were screened at the title and abstract stage. Of these, 389 were excluded: 189 were off-topic or irrelevant to the review question, 92 were not peer-reviewed or were grey literature, 76 were published outside the specified date range, and 32 were in non-English languages. The remaining 258 records were retrieved in full text and assessed for eligibility. A further 158 were excluded: 62 due to insufficient methodological detail, 51 due to low methodological quality, and 45 due to being out of scope upon full-text review. A total of 100 peer-reviewed studies were included in the final review. The study selection process is illustrated in Figure 1 in accordance with PRISMA 2020 reporting requirements.</w:t>
      </w:r>
    </w:p>
    <w:p w14:paraId="71DEC259" w14:textId="77777777" w:rsidR="006A1DA9" w:rsidRDefault="006A1DA9" w:rsidP="000600B3">
      <w:pPr>
        <w:spacing w:line="360" w:lineRule="auto"/>
      </w:pPr>
    </w:p>
    <w:p w14:paraId="1FFE6520" w14:textId="77777777" w:rsidR="006A1DA9" w:rsidRDefault="006A1DA9" w:rsidP="000600B3">
      <w:pPr>
        <w:spacing w:line="360" w:lineRule="auto"/>
      </w:pPr>
    </w:p>
    <w:p w14:paraId="5DFCBF8C" w14:textId="77777777" w:rsidR="006A1DA9" w:rsidRDefault="006A1DA9" w:rsidP="000600B3">
      <w:pPr>
        <w:spacing w:line="360" w:lineRule="auto"/>
      </w:pPr>
    </w:p>
    <w:p w14:paraId="4C6DCC1B" w14:textId="77777777" w:rsidR="006A1DA9" w:rsidRDefault="006A1DA9" w:rsidP="006A1DA9">
      <w:pPr>
        <w:spacing w:line="360" w:lineRule="auto"/>
        <w:jc w:val="center"/>
      </w:pPr>
      <w:r>
        <w:rPr>
          <w:i/>
          <w:iCs/>
        </w:rPr>
        <w:t>Figure 1: PRISMA 2020 Flow Diagram of Study Selection</w:t>
      </w:r>
    </w:p>
    <w:p w14:paraId="2B8D5992" w14:textId="49782110" w:rsidR="006A1DA9" w:rsidRDefault="00722047" w:rsidP="000600B3">
      <w:pPr>
        <w:spacing w:line="360" w:lineRule="auto"/>
      </w:pPr>
      <w:r>
        <w:rPr>
          <w:noProof/>
        </w:rPr>
        <w:drawing>
          <wp:inline distT="0" distB="0" distL="0" distR="0" wp14:anchorId="2099395B" wp14:editId="4B467DA1">
            <wp:extent cx="5943600" cy="7232603"/>
            <wp:effectExtent l="0" t="0" r="0" b="6985"/>
            <wp:docPr id="865423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232603"/>
                    </a:xfrm>
                    <a:prstGeom prst="rect">
                      <a:avLst/>
                    </a:prstGeom>
                    <a:noFill/>
                  </pic:spPr>
                </pic:pic>
              </a:graphicData>
            </a:graphic>
          </wp:inline>
        </w:drawing>
      </w:r>
    </w:p>
    <w:p w14:paraId="4ADFC5A3" w14:textId="77777777" w:rsidR="007F4C8E" w:rsidRPr="003D0060" w:rsidRDefault="007F4C8E" w:rsidP="000600B3">
      <w:pPr>
        <w:pStyle w:val="Heading2"/>
        <w:spacing w:line="360" w:lineRule="auto"/>
        <w:jc w:val="both"/>
        <w:rPr>
          <w:b w:val="0"/>
          <w:bCs w:val="0"/>
        </w:rPr>
      </w:pPr>
      <w:r>
        <w:rPr>
          <w:rStyle w:val="Strong"/>
          <w:b/>
          <w:bCs/>
        </w:rPr>
        <w:lastRenderedPageBreak/>
        <w:t>2.5 Data Extraction</w:t>
      </w:r>
    </w:p>
    <w:p w14:paraId="0393FE21" w14:textId="77777777" w:rsidR="00722047" w:rsidRDefault="00722047" w:rsidP="000600B3">
      <w:pPr>
        <w:pStyle w:val="Heading2"/>
        <w:spacing w:line="360" w:lineRule="auto"/>
        <w:jc w:val="both"/>
        <w:rPr>
          <w:b w:val="0"/>
          <w:bCs w:val="0"/>
          <w:color w:val="auto"/>
        </w:rPr>
      </w:pPr>
      <w:r w:rsidRPr="00722047">
        <w:rPr>
          <w:b w:val="0"/>
          <w:bCs w:val="0"/>
          <w:color w:val="auto"/>
        </w:rPr>
        <w:t>Data were extracted systematically from each included study using a structured extraction framework. For each study, the following variables were recorded: author(s), year of publication, study methodology, application context, key findings, principal implications, and DOI. The complete study characteristics matrix, covering all 100 included studies across the four thematic categories, is provided as a supplementary file (SUP-8082-92457555) accompanying this manuscript. Extraction was conducted by the primary reviewer. Where inclusion decisions were borderline, the primary reviewer applied the stated PICOS criteria and documented the rationale in the extraction log. No formal inter-reviewer agreement procedure was employed, as this review was conducted by a single researcher; this is acknowledged as a limitation.</w:t>
      </w:r>
    </w:p>
    <w:p w14:paraId="7C823D82" w14:textId="076D34EC" w:rsidR="007F4C8E" w:rsidRPr="003D0060" w:rsidRDefault="007F4C8E" w:rsidP="000600B3">
      <w:pPr>
        <w:pStyle w:val="Heading2"/>
        <w:spacing w:line="360" w:lineRule="auto"/>
        <w:jc w:val="both"/>
        <w:rPr>
          <w:b w:val="0"/>
          <w:bCs w:val="0"/>
        </w:rPr>
      </w:pPr>
      <w:r>
        <w:rPr>
          <w:rStyle w:val="Strong"/>
          <w:b/>
          <w:bCs/>
        </w:rPr>
        <w:t>2.6 Quality Assessment and Risk of Bias</w:t>
      </w:r>
    </w:p>
    <w:p w14:paraId="1270CF29" w14:textId="77777777" w:rsidR="00005DD3" w:rsidRDefault="00005DD3" w:rsidP="000600B3">
      <w:pPr>
        <w:pStyle w:val="Heading2"/>
        <w:spacing w:line="360" w:lineRule="auto"/>
        <w:jc w:val="both"/>
        <w:rPr>
          <w:b w:val="0"/>
          <w:bCs w:val="0"/>
          <w:color w:val="auto"/>
        </w:rPr>
      </w:pPr>
      <w:r w:rsidRPr="00005DD3">
        <w:rPr>
          <w:b w:val="0"/>
          <w:bCs w:val="0"/>
          <w:color w:val="auto"/>
        </w:rPr>
        <w:t>Study quality and risk of bias were assessed using a custom appraisal rubric adapted from the Mixed Methods Appraisal Tool (MMAT). Each included study was evaluated against four criteria: (1) clearness and appropriateness of research design; (2) quality and the representativeness of data sources; (3) rigour of analysis and result interpretation; and (4) generalisability of findings. Studies were rated Low, Moderate, or High risk of bias by the primary reviewer. Across the 100 included studies, 54% were rated Low risk, 36% Moderate risk, and 10% High risk. Studies rated Moderate or High risk of bias were mostly framework proposals, pilot-scale deployments, or conceptual analyses lacking evidence-based validation, a pattern acknowledged in the interpretation of findings throughout this review. The risk of bias assessment by thematic category is presented in Table 2.</w:t>
      </w:r>
    </w:p>
    <w:p w14:paraId="34C19E59" w14:textId="7D71D121" w:rsidR="007F4C8E" w:rsidRPr="003D0060" w:rsidRDefault="007F4C8E" w:rsidP="000600B3">
      <w:pPr>
        <w:pStyle w:val="Heading2"/>
        <w:spacing w:line="360" w:lineRule="auto"/>
        <w:jc w:val="both"/>
        <w:rPr>
          <w:b w:val="0"/>
          <w:bCs w:val="0"/>
        </w:rPr>
      </w:pPr>
      <w:r>
        <w:rPr>
          <w:rStyle w:val="Strong"/>
          <w:b/>
          <w:bCs/>
        </w:rPr>
        <w:t>2.7 Thematic Analysis and Synthesis</w:t>
      </w:r>
    </w:p>
    <w:p w14:paraId="680CEB86" w14:textId="77777777" w:rsidR="000600B3" w:rsidRDefault="007F4C8E" w:rsidP="000600B3">
      <w:pPr>
        <w:pStyle w:val="font-claude-response-body"/>
        <w:spacing w:line="360" w:lineRule="auto"/>
        <w:rPr>
          <w:noProof/>
        </w:rPr>
      </w:pPr>
      <w:r>
        <w:t xml:space="preserve">Included studies were organised into four thematic categories: (1) IoT-based carbon emissions monitoring systems (n=25); (2) artificial intelligence for carbon emission prediction (n=25); (3) carbon accounting and MRV frameworks (n=25); and (4) integration of IoT, AI, and carbon accounting systems (n=25). Within each theme, studies were synthesised narratively, with analysis focused on identifying dominant methodological approaches, key empirical findings, performance </w:t>
      </w:r>
      <w:r>
        <w:lastRenderedPageBreak/>
        <w:t xml:space="preserve">metrics reported, degree of system integration achieved, and recurring limitations. Where quantitative performance data were reported, such as prediction accuracy, sensor error rates, or </w:t>
      </w:r>
    </w:p>
    <w:p w14:paraId="5B42FE4D" w14:textId="564E62BB" w:rsidR="00DB3142" w:rsidRDefault="007F4C8E" w:rsidP="000600B3">
      <w:pPr>
        <w:pStyle w:val="font-claude-response-body"/>
        <w:spacing w:line="360" w:lineRule="auto"/>
      </w:pPr>
      <w:r>
        <w:t xml:space="preserve">detection latency, these are noted within the relevant thematic sections. A quantitative meta-analysis was not conducted, given the heterogeneity of study contexts, methodologies, and outcome measures across the included literature. To support cross-study comparison, key quantitative patterns are noted where the evidence permits: of the 25 integration studies reviewed, </w:t>
      </w:r>
      <w:r w:rsidR="00C25BB1" w:rsidRPr="00C25BB1">
        <w:t>3 demonstrated AI models built on live IoT data rather than historical inventories, and none presented a fully verified regulatory carbon accounting output as a primary deliverable.</w:t>
      </w:r>
    </w:p>
    <w:p w14:paraId="4FE11D51" w14:textId="17A27FCC" w:rsidR="00B85822" w:rsidRDefault="00000000" w:rsidP="000600B3">
      <w:pPr>
        <w:pStyle w:val="Heading2"/>
        <w:spacing w:line="360" w:lineRule="auto"/>
        <w:jc w:val="both"/>
      </w:pPr>
      <w:r>
        <w:t>2.8 Risk of Bias Assessment: Results by Thematic Category</w:t>
      </w:r>
    </w:p>
    <w:p w14:paraId="0A2E8B70" w14:textId="77777777" w:rsidR="00B85822" w:rsidRDefault="00000000" w:rsidP="000600B3">
      <w:pPr>
        <w:spacing w:after="120" w:line="360" w:lineRule="auto"/>
      </w:pPr>
      <w:r>
        <w:t>Study quality and risk of bias were assessed using a custom appraisal rubric adapted from the Mixed Methods Appraisal Tool (MMAT). Each study was evaluated on four criteria: (1) clarity and appropriateness of research design; (2) quality and representativeness of data sources; (3) rigour of analysis and result interpretation; and (4) generalisability of findings. Studies were rated as Low, Moderate, or High risk of bias. The results of this assessment are presented in Table 2 below, summarised by thematic category.</w:t>
      </w:r>
    </w:p>
    <w:p w14:paraId="36A80774" w14:textId="77777777" w:rsidR="00B85822" w:rsidRDefault="00000000" w:rsidP="000600B3">
      <w:pPr>
        <w:spacing w:before="80" w:after="80" w:line="360" w:lineRule="auto"/>
      </w:pPr>
      <w:r>
        <w:rPr>
          <w:b/>
          <w:bCs/>
        </w:rPr>
        <w:t>Table 2: Assessment of Risk of Bias by Thematic Category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900"/>
        <w:gridCol w:w="1200"/>
        <w:gridCol w:w="1560"/>
        <w:gridCol w:w="793"/>
        <w:gridCol w:w="3407"/>
      </w:tblGrid>
      <w:tr w:rsidR="00B85822" w14:paraId="114A44FC" w14:textId="77777777" w:rsidTr="00005DD3">
        <w:tc>
          <w:tcPr>
            <w:tcW w:w="1500" w:type="dxa"/>
            <w:tcBorders>
              <w:top w:val="single" w:sz="1" w:space="0" w:color="AAAAAA"/>
              <w:left w:val="single" w:sz="1" w:space="0" w:color="AAAAAA"/>
              <w:bottom w:val="single" w:sz="1" w:space="0" w:color="AAAAAA"/>
              <w:right w:val="single" w:sz="1" w:space="0" w:color="AAAAAA"/>
            </w:tcBorders>
            <w:shd w:val="clear" w:color="auto" w:fill="2E5090"/>
            <w:tcMar>
              <w:top w:w="80" w:type="dxa"/>
              <w:left w:w="120" w:type="dxa"/>
              <w:bottom w:w="80" w:type="dxa"/>
              <w:right w:w="120" w:type="dxa"/>
            </w:tcMar>
          </w:tcPr>
          <w:p w14:paraId="6732B6B8" w14:textId="77777777" w:rsidR="00B85822" w:rsidRDefault="00000000" w:rsidP="000600B3">
            <w:pPr>
              <w:spacing w:line="360" w:lineRule="auto"/>
            </w:pPr>
            <w:r>
              <w:rPr>
                <w:b/>
                <w:bCs/>
                <w:color w:val="FFFFFF"/>
                <w:sz w:val="18"/>
                <w:szCs w:val="18"/>
              </w:rPr>
              <w:t>Theme</w:t>
            </w:r>
          </w:p>
        </w:tc>
        <w:tc>
          <w:tcPr>
            <w:tcW w:w="900" w:type="dxa"/>
            <w:tcBorders>
              <w:top w:val="single" w:sz="1" w:space="0" w:color="AAAAAA"/>
              <w:left w:val="single" w:sz="1" w:space="0" w:color="AAAAAA"/>
              <w:bottom w:val="single" w:sz="1" w:space="0" w:color="AAAAAA"/>
              <w:right w:val="single" w:sz="1" w:space="0" w:color="AAAAAA"/>
            </w:tcBorders>
            <w:shd w:val="clear" w:color="auto" w:fill="2E5090"/>
            <w:tcMar>
              <w:top w:w="80" w:type="dxa"/>
              <w:left w:w="120" w:type="dxa"/>
              <w:bottom w:w="80" w:type="dxa"/>
              <w:right w:w="120" w:type="dxa"/>
            </w:tcMar>
          </w:tcPr>
          <w:p w14:paraId="1F9898EC" w14:textId="77777777" w:rsidR="00B85822" w:rsidRDefault="00000000" w:rsidP="000600B3">
            <w:pPr>
              <w:spacing w:line="360" w:lineRule="auto"/>
            </w:pPr>
            <w:r>
              <w:rPr>
                <w:b/>
                <w:bCs/>
                <w:color w:val="FFFFFF"/>
                <w:sz w:val="18"/>
                <w:szCs w:val="18"/>
              </w:rPr>
              <w:t>Studies (n)</w:t>
            </w:r>
          </w:p>
        </w:tc>
        <w:tc>
          <w:tcPr>
            <w:tcW w:w="1200" w:type="dxa"/>
            <w:tcBorders>
              <w:top w:val="single" w:sz="1" w:space="0" w:color="AAAAAA"/>
              <w:left w:val="single" w:sz="1" w:space="0" w:color="AAAAAA"/>
              <w:bottom w:val="single" w:sz="1" w:space="0" w:color="AAAAAA"/>
              <w:right w:val="single" w:sz="1" w:space="0" w:color="AAAAAA"/>
            </w:tcBorders>
            <w:shd w:val="clear" w:color="auto" w:fill="2E5090"/>
            <w:tcMar>
              <w:top w:w="80" w:type="dxa"/>
              <w:left w:w="120" w:type="dxa"/>
              <w:bottom w:w="80" w:type="dxa"/>
              <w:right w:w="120" w:type="dxa"/>
            </w:tcMar>
          </w:tcPr>
          <w:p w14:paraId="3C2F54AD" w14:textId="77777777" w:rsidR="00B85822" w:rsidRDefault="00000000" w:rsidP="000600B3">
            <w:pPr>
              <w:spacing w:line="360" w:lineRule="auto"/>
            </w:pPr>
            <w:r>
              <w:rPr>
                <w:b/>
                <w:bCs/>
                <w:color w:val="FFFFFF"/>
                <w:sz w:val="18"/>
                <w:szCs w:val="18"/>
              </w:rPr>
              <w:t>Low Risk (%)</w:t>
            </w:r>
          </w:p>
        </w:tc>
        <w:tc>
          <w:tcPr>
            <w:tcW w:w="1560" w:type="dxa"/>
            <w:tcBorders>
              <w:top w:val="single" w:sz="1" w:space="0" w:color="AAAAAA"/>
              <w:left w:val="single" w:sz="1" w:space="0" w:color="AAAAAA"/>
              <w:bottom w:val="single" w:sz="1" w:space="0" w:color="AAAAAA"/>
              <w:right w:val="single" w:sz="1" w:space="0" w:color="AAAAAA"/>
            </w:tcBorders>
            <w:shd w:val="clear" w:color="auto" w:fill="2E5090"/>
            <w:tcMar>
              <w:top w:w="80" w:type="dxa"/>
              <w:left w:w="120" w:type="dxa"/>
              <w:bottom w:w="80" w:type="dxa"/>
              <w:right w:w="120" w:type="dxa"/>
            </w:tcMar>
          </w:tcPr>
          <w:p w14:paraId="7ED03A80" w14:textId="77777777" w:rsidR="00B85822" w:rsidRDefault="00000000" w:rsidP="000600B3">
            <w:pPr>
              <w:spacing w:line="360" w:lineRule="auto"/>
            </w:pPr>
            <w:r>
              <w:rPr>
                <w:b/>
                <w:bCs/>
                <w:color w:val="FFFFFF"/>
                <w:sz w:val="18"/>
                <w:szCs w:val="18"/>
              </w:rPr>
              <w:t>Moderate Risk (%)</w:t>
            </w:r>
          </w:p>
        </w:tc>
        <w:tc>
          <w:tcPr>
            <w:tcW w:w="793" w:type="dxa"/>
            <w:tcBorders>
              <w:top w:val="single" w:sz="1" w:space="0" w:color="AAAAAA"/>
              <w:left w:val="single" w:sz="1" w:space="0" w:color="AAAAAA"/>
              <w:bottom w:val="single" w:sz="1" w:space="0" w:color="AAAAAA"/>
              <w:right w:val="single" w:sz="1" w:space="0" w:color="AAAAAA"/>
            </w:tcBorders>
            <w:shd w:val="clear" w:color="auto" w:fill="2E5090"/>
            <w:tcMar>
              <w:top w:w="80" w:type="dxa"/>
              <w:left w:w="120" w:type="dxa"/>
              <w:bottom w:w="80" w:type="dxa"/>
              <w:right w:w="120" w:type="dxa"/>
            </w:tcMar>
          </w:tcPr>
          <w:p w14:paraId="15612F8C" w14:textId="17D2F7A2" w:rsidR="00B85822" w:rsidRDefault="00000000" w:rsidP="000600B3">
            <w:pPr>
              <w:spacing w:line="360" w:lineRule="auto"/>
            </w:pPr>
            <w:r>
              <w:rPr>
                <w:b/>
                <w:bCs/>
                <w:color w:val="FFFFFF"/>
                <w:sz w:val="18"/>
                <w:szCs w:val="18"/>
              </w:rPr>
              <w:t>High Risk (%)</w:t>
            </w:r>
          </w:p>
        </w:tc>
        <w:tc>
          <w:tcPr>
            <w:tcW w:w="3407" w:type="dxa"/>
            <w:tcBorders>
              <w:top w:val="single" w:sz="1" w:space="0" w:color="AAAAAA"/>
              <w:left w:val="single" w:sz="1" w:space="0" w:color="AAAAAA"/>
              <w:bottom w:val="single" w:sz="1" w:space="0" w:color="AAAAAA"/>
              <w:right w:val="single" w:sz="1" w:space="0" w:color="AAAAAA"/>
            </w:tcBorders>
            <w:shd w:val="clear" w:color="auto" w:fill="2E5090"/>
            <w:tcMar>
              <w:top w:w="80" w:type="dxa"/>
              <w:left w:w="120" w:type="dxa"/>
              <w:bottom w:w="80" w:type="dxa"/>
              <w:right w:w="120" w:type="dxa"/>
            </w:tcMar>
          </w:tcPr>
          <w:p w14:paraId="4C69C8D4" w14:textId="77777777" w:rsidR="00B85822" w:rsidRDefault="00000000" w:rsidP="000600B3">
            <w:pPr>
              <w:spacing w:line="360" w:lineRule="auto"/>
            </w:pPr>
            <w:r>
              <w:rPr>
                <w:b/>
                <w:bCs/>
                <w:color w:val="FFFFFF"/>
                <w:sz w:val="18"/>
                <w:szCs w:val="18"/>
              </w:rPr>
              <w:t>Notes</w:t>
            </w:r>
          </w:p>
        </w:tc>
      </w:tr>
      <w:tr w:rsidR="00B85822" w14:paraId="5CDDAF4B" w14:textId="77777777" w:rsidTr="00005DD3">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9453476" w14:textId="77777777" w:rsidR="00B85822" w:rsidRDefault="00000000" w:rsidP="000600B3">
            <w:pPr>
              <w:spacing w:line="360" w:lineRule="auto"/>
            </w:pPr>
            <w:r>
              <w:rPr>
                <w:color w:val="000000"/>
                <w:sz w:val="18"/>
                <w:szCs w:val="18"/>
              </w:rPr>
              <w:t>IoT Monitoring</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EFA868F" w14:textId="77777777" w:rsidR="00B85822" w:rsidRDefault="00000000" w:rsidP="000600B3">
            <w:pPr>
              <w:spacing w:line="360" w:lineRule="auto"/>
            </w:pPr>
            <w:r>
              <w:rPr>
                <w:color w:val="000000"/>
                <w:sz w:val="18"/>
                <w:szCs w:val="18"/>
              </w:rPr>
              <w:t>25</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C08E0D0" w14:textId="77777777" w:rsidR="00B85822" w:rsidRDefault="00000000" w:rsidP="000600B3">
            <w:pPr>
              <w:spacing w:line="360" w:lineRule="auto"/>
            </w:pPr>
            <w:r>
              <w:rPr>
                <w:color w:val="000000"/>
                <w:sz w:val="18"/>
                <w:szCs w:val="18"/>
              </w:rPr>
              <w:t>52%</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BA53C44" w14:textId="77777777" w:rsidR="00B85822" w:rsidRDefault="00000000" w:rsidP="000600B3">
            <w:pPr>
              <w:spacing w:line="360" w:lineRule="auto"/>
            </w:pPr>
            <w:r>
              <w:rPr>
                <w:color w:val="000000"/>
                <w:sz w:val="18"/>
                <w:szCs w:val="18"/>
              </w:rPr>
              <w:t>36%</w:t>
            </w:r>
          </w:p>
        </w:tc>
        <w:tc>
          <w:tcPr>
            <w:tcW w:w="79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D05D918" w14:textId="77777777" w:rsidR="00B85822" w:rsidRDefault="00000000" w:rsidP="000600B3">
            <w:pPr>
              <w:spacing w:line="360" w:lineRule="auto"/>
            </w:pPr>
            <w:r>
              <w:rPr>
                <w:color w:val="000000"/>
                <w:sz w:val="18"/>
                <w:szCs w:val="18"/>
              </w:rPr>
              <w:t>12%</w:t>
            </w:r>
          </w:p>
        </w:tc>
        <w:tc>
          <w:tcPr>
            <w:tcW w:w="3407"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4661FC6" w14:textId="77777777" w:rsidR="00B85822" w:rsidRDefault="00000000" w:rsidP="000600B3">
            <w:pPr>
              <w:spacing w:line="360" w:lineRule="auto"/>
            </w:pPr>
            <w:r>
              <w:rPr>
                <w:color w:val="000000"/>
                <w:sz w:val="18"/>
                <w:szCs w:val="18"/>
              </w:rPr>
              <w:t>Low-cost sensor studies carry calibration uncertainty; prototype deployments lack longitudinal validation.</w:t>
            </w:r>
          </w:p>
        </w:tc>
      </w:tr>
      <w:tr w:rsidR="00B85822" w14:paraId="27C4C6B6" w14:textId="77777777" w:rsidTr="00005DD3">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F9AAB36" w14:textId="77777777" w:rsidR="00B85822" w:rsidRDefault="00000000" w:rsidP="000600B3">
            <w:pPr>
              <w:spacing w:line="360" w:lineRule="auto"/>
            </w:pPr>
            <w:r>
              <w:rPr>
                <w:color w:val="000000"/>
                <w:sz w:val="18"/>
                <w:szCs w:val="18"/>
              </w:rPr>
              <w:t>AI Forecasting</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BA6FDBA" w14:textId="77777777" w:rsidR="00B85822" w:rsidRDefault="00000000" w:rsidP="000600B3">
            <w:pPr>
              <w:spacing w:line="360" w:lineRule="auto"/>
            </w:pPr>
            <w:r>
              <w:rPr>
                <w:color w:val="000000"/>
                <w:sz w:val="18"/>
                <w:szCs w:val="18"/>
              </w:rPr>
              <w:t>25</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0608A82" w14:textId="77777777" w:rsidR="00B85822" w:rsidRDefault="00000000" w:rsidP="000600B3">
            <w:pPr>
              <w:spacing w:line="360" w:lineRule="auto"/>
            </w:pPr>
            <w:r>
              <w:rPr>
                <w:color w:val="000000"/>
                <w:sz w:val="18"/>
                <w:szCs w:val="18"/>
              </w:rPr>
              <w:t>60%</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2AE7112" w14:textId="77777777" w:rsidR="00B85822" w:rsidRDefault="00000000" w:rsidP="000600B3">
            <w:pPr>
              <w:spacing w:line="360" w:lineRule="auto"/>
            </w:pPr>
            <w:r>
              <w:rPr>
                <w:color w:val="000000"/>
                <w:sz w:val="18"/>
                <w:szCs w:val="18"/>
              </w:rPr>
              <w:t>32%</w:t>
            </w:r>
          </w:p>
        </w:tc>
        <w:tc>
          <w:tcPr>
            <w:tcW w:w="79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934A333" w14:textId="77777777" w:rsidR="00B85822" w:rsidRDefault="00000000" w:rsidP="000600B3">
            <w:pPr>
              <w:spacing w:line="360" w:lineRule="auto"/>
            </w:pPr>
            <w:r>
              <w:rPr>
                <w:color w:val="000000"/>
                <w:sz w:val="18"/>
                <w:szCs w:val="18"/>
              </w:rPr>
              <w:t>8%</w:t>
            </w:r>
          </w:p>
        </w:tc>
        <w:tc>
          <w:tcPr>
            <w:tcW w:w="3407"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3657EF8" w14:textId="77777777" w:rsidR="00B85822" w:rsidRDefault="00000000" w:rsidP="000600B3">
            <w:pPr>
              <w:spacing w:line="360" w:lineRule="auto"/>
            </w:pPr>
            <w:r>
              <w:rPr>
                <w:color w:val="000000"/>
                <w:sz w:val="18"/>
                <w:szCs w:val="18"/>
              </w:rPr>
              <w:t>Deep learning studies generally well-reported; some lack external validation datasets or geographic transferability.</w:t>
            </w:r>
          </w:p>
        </w:tc>
      </w:tr>
      <w:tr w:rsidR="00B85822" w14:paraId="7A437377" w14:textId="77777777" w:rsidTr="00005DD3">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3080D0F" w14:textId="77777777" w:rsidR="00B85822" w:rsidRDefault="00000000" w:rsidP="000600B3">
            <w:pPr>
              <w:spacing w:line="360" w:lineRule="auto"/>
            </w:pPr>
            <w:r>
              <w:rPr>
                <w:color w:val="000000"/>
                <w:sz w:val="18"/>
                <w:szCs w:val="18"/>
              </w:rPr>
              <w:t>Carbon Accounting / MRV</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6E9C33B" w14:textId="77777777" w:rsidR="00B85822" w:rsidRDefault="00000000" w:rsidP="000600B3">
            <w:pPr>
              <w:spacing w:line="360" w:lineRule="auto"/>
            </w:pPr>
            <w:r>
              <w:rPr>
                <w:color w:val="000000"/>
                <w:sz w:val="18"/>
                <w:szCs w:val="18"/>
              </w:rPr>
              <w:t>25</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0F36C8C" w14:textId="77777777" w:rsidR="00B85822" w:rsidRDefault="00000000" w:rsidP="000600B3">
            <w:pPr>
              <w:spacing w:line="360" w:lineRule="auto"/>
            </w:pPr>
            <w:r>
              <w:rPr>
                <w:color w:val="000000"/>
                <w:sz w:val="18"/>
                <w:szCs w:val="18"/>
              </w:rPr>
              <w:t>56%</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59826F4" w14:textId="77777777" w:rsidR="00B85822" w:rsidRDefault="00000000" w:rsidP="000600B3">
            <w:pPr>
              <w:spacing w:line="360" w:lineRule="auto"/>
            </w:pPr>
            <w:r>
              <w:rPr>
                <w:color w:val="000000"/>
                <w:sz w:val="18"/>
                <w:szCs w:val="18"/>
              </w:rPr>
              <w:t>36%</w:t>
            </w:r>
          </w:p>
        </w:tc>
        <w:tc>
          <w:tcPr>
            <w:tcW w:w="79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91B2E49" w14:textId="77777777" w:rsidR="00B85822" w:rsidRDefault="00000000" w:rsidP="000600B3">
            <w:pPr>
              <w:spacing w:line="360" w:lineRule="auto"/>
            </w:pPr>
            <w:r>
              <w:rPr>
                <w:color w:val="000000"/>
                <w:sz w:val="18"/>
                <w:szCs w:val="18"/>
              </w:rPr>
              <w:t>8%</w:t>
            </w:r>
          </w:p>
        </w:tc>
        <w:tc>
          <w:tcPr>
            <w:tcW w:w="3407"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2CBA9F2" w14:textId="77777777" w:rsidR="00B85822" w:rsidRDefault="00000000" w:rsidP="000600B3">
            <w:pPr>
              <w:spacing w:line="360" w:lineRule="auto"/>
            </w:pPr>
            <w:r>
              <w:rPr>
                <w:color w:val="000000"/>
                <w:sz w:val="18"/>
                <w:szCs w:val="18"/>
              </w:rPr>
              <w:t>Empirical governance studies strong; framework proposals carry higher risk due to lack of empirical testing.</w:t>
            </w:r>
          </w:p>
        </w:tc>
      </w:tr>
      <w:tr w:rsidR="00B85822" w14:paraId="40A23D60" w14:textId="77777777" w:rsidTr="00005DD3">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8B1922C" w14:textId="77777777" w:rsidR="00B85822" w:rsidRDefault="00000000" w:rsidP="000600B3">
            <w:pPr>
              <w:spacing w:line="360" w:lineRule="auto"/>
            </w:pPr>
            <w:r>
              <w:rPr>
                <w:color w:val="000000"/>
                <w:sz w:val="18"/>
                <w:szCs w:val="18"/>
              </w:rPr>
              <w:t>IoT–AI Integration</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F4151DE" w14:textId="77777777" w:rsidR="00B85822" w:rsidRDefault="00000000" w:rsidP="000600B3">
            <w:pPr>
              <w:spacing w:line="360" w:lineRule="auto"/>
            </w:pPr>
            <w:r>
              <w:rPr>
                <w:color w:val="000000"/>
                <w:sz w:val="18"/>
                <w:szCs w:val="18"/>
              </w:rPr>
              <w:t>25</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7EE67C0" w14:textId="77777777" w:rsidR="00B85822" w:rsidRDefault="00000000" w:rsidP="000600B3">
            <w:pPr>
              <w:spacing w:line="360" w:lineRule="auto"/>
            </w:pPr>
            <w:r>
              <w:rPr>
                <w:color w:val="000000"/>
                <w:sz w:val="18"/>
                <w:szCs w:val="18"/>
              </w:rPr>
              <w:t>48%</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00EE9C6" w14:textId="77777777" w:rsidR="00B85822" w:rsidRDefault="00000000" w:rsidP="000600B3">
            <w:pPr>
              <w:spacing w:line="360" w:lineRule="auto"/>
            </w:pPr>
            <w:r>
              <w:rPr>
                <w:color w:val="000000"/>
                <w:sz w:val="18"/>
                <w:szCs w:val="18"/>
              </w:rPr>
              <w:t>40%</w:t>
            </w:r>
          </w:p>
        </w:tc>
        <w:tc>
          <w:tcPr>
            <w:tcW w:w="79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72B0D2C" w14:textId="77777777" w:rsidR="00B85822" w:rsidRDefault="00000000" w:rsidP="000600B3">
            <w:pPr>
              <w:spacing w:line="360" w:lineRule="auto"/>
            </w:pPr>
            <w:r>
              <w:rPr>
                <w:color w:val="000000"/>
                <w:sz w:val="18"/>
                <w:szCs w:val="18"/>
              </w:rPr>
              <w:t>12%</w:t>
            </w:r>
          </w:p>
        </w:tc>
        <w:tc>
          <w:tcPr>
            <w:tcW w:w="3407"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9A52C53" w14:textId="77777777" w:rsidR="00B85822" w:rsidRDefault="00000000" w:rsidP="000600B3">
            <w:pPr>
              <w:spacing w:line="360" w:lineRule="auto"/>
            </w:pPr>
            <w:r>
              <w:rPr>
                <w:color w:val="000000"/>
                <w:sz w:val="18"/>
                <w:szCs w:val="18"/>
              </w:rPr>
              <w:t>Integration studies are often conceptual or pilot-scale; limited large-scale empirical evidence of combined system performance.</w:t>
            </w:r>
          </w:p>
        </w:tc>
      </w:tr>
    </w:tbl>
    <w:p w14:paraId="2B1961D2" w14:textId="77777777" w:rsidR="00B85822" w:rsidRDefault="00B85822" w:rsidP="000600B3">
      <w:pPr>
        <w:spacing w:before="120" w:line="360" w:lineRule="auto"/>
      </w:pPr>
    </w:p>
    <w:p w14:paraId="07CA75E2" w14:textId="338C19C6" w:rsidR="00B85822" w:rsidRDefault="003D0060" w:rsidP="000600B3">
      <w:pPr>
        <w:spacing w:after="120" w:line="360" w:lineRule="auto"/>
      </w:pPr>
      <w:r>
        <w:t>Most included studies (54% overall) were rated as low risk of bias, indicating sound methodological quality. Moderate risk (36%) was most common among framework development and prototype studies, where empirical validation was limited to controlled or small-scale settings. Studies rated high risk (10%) were mainly conceptual analyses lacking empirical testing. These findings are considered in the interpretation of synthesised evidence throughout this review.</w:t>
      </w:r>
    </w:p>
    <w:p w14:paraId="7D19023D" w14:textId="32CB1B88" w:rsidR="00B85822" w:rsidRDefault="00000000" w:rsidP="000600B3">
      <w:pPr>
        <w:pStyle w:val="Heading1"/>
        <w:spacing w:line="360" w:lineRule="auto"/>
        <w:jc w:val="both"/>
      </w:pPr>
      <w:r>
        <w:t>3. Data Acquisition and Sensing</w:t>
      </w:r>
    </w:p>
    <w:p w14:paraId="4377E5A1" w14:textId="77777777" w:rsidR="00B85822" w:rsidRDefault="00000000" w:rsidP="000600B3">
      <w:pPr>
        <w:pStyle w:val="Heading2"/>
        <w:spacing w:line="360" w:lineRule="auto"/>
        <w:jc w:val="both"/>
      </w:pPr>
      <w:r>
        <w:t>3.1 Sensor Capabilities, Types, and Application Domains</w:t>
      </w:r>
    </w:p>
    <w:p w14:paraId="69B13AE9" w14:textId="77777777" w:rsidR="00B85822" w:rsidRDefault="00000000" w:rsidP="000600B3">
      <w:pPr>
        <w:spacing w:before="200" w:after="60" w:line="360" w:lineRule="auto"/>
      </w:pPr>
      <w:r>
        <w:rPr>
          <w:b/>
          <w:bCs/>
          <w:sz w:val="20"/>
          <w:szCs w:val="20"/>
        </w:rPr>
        <w:t>Table 3: Summary of Data Acquisition Studies by Application Domain (n=25)</w:t>
      </w:r>
    </w:p>
    <w:tbl>
      <w:tblPr>
        <w:tblStyle w:val="TableGrid"/>
        <w:tblW w:w="9776"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ook w:val="0000" w:firstRow="0" w:lastRow="0" w:firstColumn="0" w:lastColumn="0" w:noHBand="0" w:noVBand="0"/>
      </w:tblPr>
      <w:tblGrid>
        <w:gridCol w:w="1830"/>
        <w:gridCol w:w="845"/>
        <w:gridCol w:w="1737"/>
        <w:gridCol w:w="1676"/>
        <w:gridCol w:w="1729"/>
        <w:gridCol w:w="1959"/>
      </w:tblGrid>
      <w:tr w:rsidR="00C26415" w:rsidRPr="009445A2" w14:paraId="4C942760" w14:textId="77777777" w:rsidTr="00233E34">
        <w:tc>
          <w:tcPr>
            <w:tcW w:w="1830" w:type="dxa"/>
            <w:shd w:val="clear" w:color="auto" w:fill="D9E2F3"/>
            <w:tcMar>
              <w:top w:w="60" w:type="dxa"/>
              <w:left w:w="80" w:type="dxa"/>
              <w:bottom w:w="60" w:type="dxa"/>
              <w:right w:w="80" w:type="dxa"/>
            </w:tcMar>
          </w:tcPr>
          <w:p w14:paraId="4F2DEC49" w14:textId="77777777" w:rsidR="00C26415" w:rsidRPr="009445A2" w:rsidRDefault="00000000" w:rsidP="00233E34">
            <w:pPr>
              <w:spacing w:line="360" w:lineRule="auto"/>
              <w:jc w:val="left"/>
              <w:rPr>
                <w:sz w:val="22"/>
                <w:szCs w:val="22"/>
              </w:rPr>
            </w:pPr>
            <w:r w:rsidRPr="009445A2">
              <w:rPr>
                <w:b/>
                <w:bCs/>
                <w:sz w:val="22"/>
                <w:szCs w:val="22"/>
              </w:rPr>
              <w:t>Application Domain</w:t>
            </w:r>
          </w:p>
        </w:tc>
        <w:tc>
          <w:tcPr>
            <w:tcW w:w="845" w:type="dxa"/>
            <w:shd w:val="clear" w:color="auto" w:fill="D9E2F3"/>
            <w:tcMar>
              <w:top w:w="60" w:type="dxa"/>
              <w:left w:w="80" w:type="dxa"/>
              <w:bottom w:w="60" w:type="dxa"/>
              <w:right w:w="80" w:type="dxa"/>
            </w:tcMar>
          </w:tcPr>
          <w:p w14:paraId="2FCE9F16" w14:textId="77777777" w:rsidR="00C26415" w:rsidRPr="009445A2" w:rsidRDefault="00000000" w:rsidP="000600B3">
            <w:pPr>
              <w:spacing w:line="360" w:lineRule="auto"/>
              <w:rPr>
                <w:sz w:val="22"/>
                <w:szCs w:val="22"/>
              </w:rPr>
            </w:pPr>
            <w:r w:rsidRPr="009445A2">
              <w:rPr>
                <w:b/>
                <w:bCs/>
                <w:sz w:val="22"/>
                <w:szCs w:val="22"/>
              </w:rPr>
              <w:t>Studies (n)</w:t>
            </w:r>
          </w:p>
        </w:tc>
        <w:tc>
          <w:tcPr>
            <w:tcW w:w="1737" w:type="dxa"/>
            <w:shd w:val="clear" w:color="auto" w:fill="D9E2F3"/>
            <w:tcMar>
              <w:top w:w="60" w:type="dxa"/>
              <w:left w:w="80" w:type="dxa"/>
              <w:bottom w:w="60" w:type="dxa"/>
              <w:right w:w="80" w:type="dxa"/>
            </w:tcMar>
          </w:tcPr>
          <w:p w14:paraId="24B9DE6B" w14:textId="77777777" w:rsidR="00C26415" w:rsidRPr="009445A2" w:rsidRDefault="00000000" w:rsidP="000600B3">
            <w:pPr>
              <w:spacing w:line="360" w:lineRule="auto"/>
              <w:rPr>
                <w:sz w:val="22"/>
                <w:szCs w:val="22"/>
              </w:rPr>
            </w:pPr>
            <w:r w:rsidRPr="009445A2">
              <w:rPr>
                <w:b/>
                <w:bCs/>
                <w:sz w:val="22"/>
                <w:szCs w:val="22"/>
              </w:rPr>
              <w:t>Sensor Types</w:t>
            </w:r>
          </w:p>
        </w:tc>
        <w:tc>
          <w:tcPr>
            <w:tcW w:w="1676" w:type="dxa"/>
            <w:shd w:val="clear" w:color="auto" w:fill="D9E2F3"/>
            <w:tcMar>
              <w:top w:w="60" w:type="dxa"/>
              <w:left w:w="80" w:type="dxa"/>
              <w:bottom w:w="60" w:type="dxa"/>
              <w:right w:w="80" w:type="dxa"/>
            </w:tcMar>
          </w:tcPr>
          <w:p w14:paraId="09967708" w14:textId="77777777" w:rsidR="00C26415" w:rsidRPr="009445A2" w:rsidRDefault="00000000" w:rsidP="000600B3">
            <w:pPr>
              <w:spacing w:line="360" w:lineRule="auto"/>
              <w:rPr>
                <w:sz w:val="22"/>
                <w:szCs w:val="22"/>
              </w:rPr>
            </w:pPr>
            <w:r w:rsidRPr="009445A2">
              <w:rPr>
                <w:b/>
                <w:bCs/>
                <w:sz w:val="22"/>
                <w:szCs w:val="22"/>
              </w:rPr>
              <w:t>Communication</w:t>
            </w:r>
          </w:p>
        </w:tc>
        <w:tc>
          <w:tcPr>
            <w:tcW w:w="1729" w:type="dxa"/>
            <w:shd w:val="clear" w:color="auto" w:fill="D9E2F3"/>
            <w:tcMar>
              <w:top w:w="60" w:type="dxa"/>
              <w:left w:w="80" w:type="dxa"/>
              <w:bottom w:w="60" w:type="dxa"/>
              <w:right w:w="80" w:type="dxa"/>
            </w:tcMar>
          </w:tcPr>
          <w:p w14:paraId="6C611E4F" w14:textId="77777777" w:rsidR="00C26415" w:rsidRPr="009445A2" w:rsidRDefault="00000000" w:rsidP="000600B3">
            <w:pPr>
              <w:spacing w:line="360" w:lineRule="auto"/>
              <w:rPr>
                <w:sz w:val="22"/>
                <w:szCs w:val="22"/>
              </w:rPr>
            </w:pPr>
            <w:r w:rsidRPr="009445A2">
              <w:rPr>
                <w:b/>
                <w:bCs/>
                <w:sz w:val="22"/>
                <w:szCs w:val="22"/>
              </w:rPr>
              <w:t>Integration Level</w:t>
            </w:r>
          </w:p>
        </w:tc>
        <w:tc>
          <w:tcPr>
            <w:tcW w:w="1959" w:type="dxa"/>
            <w:shd w:val="clear" w:color="auto" w:fill="D9E2F3"/>
            <w:tcMar>
              <w:top w:w="60" w:type="dxa"/>
              <w:left w:w="80" w:type="dxa"/>
              <w:bottom w:w="60" w:type="dxa"/>
              <w:right w:w="80" w:type="dxa"/>
            </w:tcMar>
          </w:tcPr>
          <w:p w14:paraId="64D4A393" w14:textId="77777777" w:rsidR="00C26415" w:rsidRPr="009445A2" w:rsidRDefault="00000000" w:rsidP="000600B3">
            <w:pPr>
              <w:spacing w:line="360" w:lineRule="auto"/>
              <w:rPr>
                <w:sz w:val="22"/>
                <w:szCs w:val="22"/>
              </w:rPr>
            </w:pPr>
            <w:r w:rsidRPr="009445A2">
              <w:rPr>
                <w:b/>
                <w:bCs/>
                <w:sz w:val="22"/>
                <w:szCs w:val="22"/>
              </w:rPr>
              <w:t>Key Limitation</w:t>
            </w:r>
          </w:p>
        </w:tc>
      </w:tr>
      <w:tr w:rsidR="00C26415" w:rsidRPr="009445A2" w14:paraId="1CEFBEF6" w14:textId="77777777" w:rsidTr="00233E34">
        <w:tc>
          <w:tcPr>
            <w:tcW w:w="1830" w:type="dxa"/>
            <w:tcMar>
              <w:top w:w="60" w:type="dxa"/>
              <w:left w:w="80" w:type="dxa"/>
              <w:bottom w:w="60" w:type="dxa"/>
              <w:right w:w="80" w:type="dxa"/>
            </w:tcMar>
          </w:tcPr>
          <w:p w14:paraId="6AB77A12" w14:textId="77777777" w:rsidR="00C26415" w:rsidRPr="009445A2" w:rsidRDefault="00000000" w:rsidP="00233E34">
            <w:pPr>
              <w:spacing w:line="360" w:lineRule="auto"/>
              <w:jc w:val="left"/>
              <w:rPr>
                <w:sz w:val="22"/>
                <w:szCs w:val="22"/>
              </w:rPr>
            </w:pPr>
            <w:r w:rsidRPr="009445A2">
              <w:rPr>
                <w:sz w:val="22"/>
                <w:szCs w:val="22"/>
              </w:rPr>
              <w:t>Indoor buildings (residential, educational, commercial)</w:t>
            </w:r>
          </w:p>
        </w:tc>
        <w:tc>
          <w:tcPr>
            <w:tcW w:w="845" w:type="dxa"/>
            <w:tcMar>
              <w:top w:w="60" w:type="dxa"/>
              <w:left w:w="80" w:type="dxa"/>
              <w:bottom w:w="60" w:type="dxa"/>
              <w:right w:w="80" w:type="dxa"/>
            </w:tcMar>
          </w:tcPr>
          <w:p w14:paraId="1BD2E978" w14:textId="77777777" w:rsidR="00C26415" w:rsidRPr="009445A2" w:rsidRDefault="00000000" w:rsidP="000600B3">
            <w:pPr>
              <w:spacing w:line="360" w:lineRule="auto"/>
              <w:rPr>
                <w:sz w:val="22"/>
                <w:szCs w:val="22"/>
              </w:rPr>
            </w:pPr>
            <w:r w:rsidRPr="009445A2">
              <w:rPr>
                <w:sz w:val="22"/>
                <w:szCs w:val="22"/>
              </w:rPr>
              <w:t>10</w:t>
            </w:r>
          </w:p>
        </w:tc>
        <w:tc>
          <w:tcPr>
            <w:tcW w:w="1737" w:type="dxa"/>
            <w:tcMar>
              <w:top w:w="60" w:type="dxa"/>
              <w:left w:w="80" w:type="dxa"/>
              <w:bottom w:w="60" w:type="dxa"/>
              <w:right w:w="80" w:type="dxa"/>
            </w:tcMar>
          </w:tcPr>
          <w:p w14:paraId="05536DC6" w14:textId="77777777" w:rsidR="00C26415" w:rsidRPr="009445A2" w:rsidRDefault="00000000" w:rsidP="00233E34">
            <w:pPr>
              <w:spacing w:line="360" w:lineRule="auto"/>
              <w:jc w:val="left"/>
              <w:rPr>
                <w:sz w:val="22"/>
                <w:szCs w:val="22"/>
              </w:rPr>
            </w:pPr>
            <w:r w:rsidRPr="009445A2">
              <w:rPr>
                <w:sz w:val="22"/>
                <w:szCs w:val="22"/>
              </w:rPr>
              <w:t>NDIR, electrochemical CO2 sensors</w:t>
            </w:r>
          </w:p>
        </w:tc>
        <w:tc>
          <w:tcPr>
            <w:tcW w:w="1676" w:type="dxa"/>
            <w:tcMar>
              <w:top w:w="60" w:type="dxa"/>
              <w:left w:w="80" w:type="dxa"/>
              <w:bottom w:w="60" w:type="dxa"/>
              <w:right w:w="80" w:type="dxa"/>
            </w:tcMar>
          </w:tcPr>
          <w:p w14:paraId="6CA6FBDA" w14:textId="77777777" w:rsidR="00C26415" w:rsidRPr="009445A2" w:rsidRDefault="00000000" w:rsidP="00233E34">
            <w:pPr>
              <w:spacing w:line="360" w:lineRule="auto"/>
              <w:jc w:val="left"/>
              <w:rPr>
                <w:sz w:val="22"/>
                <w:szCs w:val="22"/>
              </w:rPr>
            </w:pPr>
            <w:r w:rsidRPr="009445A2">
              <w:rPr>
                <w:sz w:val="22"/>
                <w:szCs w:val="22"/>
              </w:rPr>
              <w:t>Wi-Fi, cloud platforms</w:t>
            </w:r>
          </w:p>
        </w:tc>
        <w:tc>
          <w:tcPr>
            <w:tcW w:w="1729" w:type="dxa"/>
            <w:tcMar>
              <w:top w:w="60" w:type="dxa"/>
              <w:left w:w="80" w:type="dxa"/>
              <w:bottom w:w="60" w:type="dxa"/>
              <w:right w:w="80" w:type="dxa"/>
            </w:tcMar>
          </w:tcPr>
          <w:p w14:paraId="5D18B981" w14:textId="77777777" w:rsidR="00C26415" w:rsidRPr="009445A2" w:rsidRDefault="00000000" w:rsidP="00233E34">
            <w:pPr>
              <w:spacing w:line="360" w:lineRule="auto"/>
              <w:jc w:val="left"/>
              <w:rPr>
                <w:sz w:val="22"/>
                <w:szCs w:val="22"/>
              </w:rPr>
            </w:pPr>
            <w:r w:rsidRPr="009445A2">
              <w:rPr>
                <w:sz w:val="22"/>
                <w:szCs w:val="22"/>
              </w:rPr>
              <w:t>Monitoring only; no accounting link</w:t>
            </w:r>
          </w:p>
        </w:tc>
        <w:tc>
          <w:tcPr>
            <w:tcW w:w="1959" w:type="dxa"/>
            <w:tcMar>
              <w:top w:w="60" w:type="dxa"/>
              <w:left w:w="80" w:type="dxa"/>
              <w:bottom w:w="60" w:type="dxa"/>
              <w:right w:w="80" w:type="dxa"/>
            </w:tcMar>
          </w:tcPr>
          <w:p w14:paraId="18916581" w14:textId="0300927C" w:rsidR="00C26415" w:rsidRPr="009445A2" w:rsidRDefault="00000000" w:rsidP="00233E34">
            <w:pPr>
              <w:spacing w:line="360" w:lineRule="auto"/>
              <w:jc w:val="left"/>
              <w:rPr>
                <w:sz w:val="22"/>
                <w:szCs w:val="22"/>
              </w:rPr>
            </w:pPr>
            <w:r w:rsidRPr="009445A2">
              <w:rPr>
                <w:sz w:val="22"/>
                <w:szCs w:val="22"/>
              </w:rPr>
              <w:t>Calibration drift;</w:t>
            </w:r>
            <w:r w:rsidR="00233E34">
              <w:rPr>
                <w:sz w:val="22"/>
                <w:szCs w:val="22"/>
              </w:rPr>
              <w:t xml:space="preserve"> </w:t>
            </w:r>
            <w:r w:rsidRPr="009445A2">
              <w:rPr>
                <w:sz w:val="22"/>
                <w:szCs w:val="22"/>
              </w:rPr>
              <w:t>no regulatory standard</w:t>
            </w:r>
          </w:p>
        </w:tc>
      </w:tr>
      <w:tr w:rsidR="00C26415" w:rsidRPr="009445A2" w14:paraId="2870B7B5" w14:textId="77777777" w:rsidTr="00233E34">
        <w:tc>
          <w:tcPr>
            <w:tcW w:w="1830" w:type="dxa"/>
            <w:tcMar>
              <w:top w:w="60" w:type="dxa"/>
              <w:left w:w="80" w:type="dxa"/>
              <w:bottom w:w="60" w:type="dxa"/>
              <w:right w:w="80" w:type="dxa"/>
            </w:tcMar>
          </w:tcPr>
          <w:p w14:paraId="347DA694" w14:textId="77777777" w:rsidR="00C26415" w:rsidRPr="009445A2" w:rsidRDefault="00000000" w:rsidP="00233E34">
            <w:pPr>
              <w:spacing w:line="360" w:lineRule="auto"/>
              <w:jc w:val="left"/>
              <w:rPr>
                <w:sz w:val="22"/>
                <w:szCs w:val="22"/>
              </w:rPr>
            </w:pPr>
            <w:r w:rsidRPr="009445A2">
              <w:rPr>
                <w:sz w:val="22"/>
                <w:szCs w:val="22"/>
              </w:rPr>
              <w:t>Smart cities &amp; urban environments</w:t>
            </w:r>
          </w:p>
        </w:tc>
        <w:tc>
          <w:tcPr>
            <w:tcW w:w="845" w:type="dxa"/>
            <w:tcMar>
              <w:top w:w="60" w:type="dxa"/>
              <w:left w:w="80" w:type="dxa"/>
              <w:bottom w:w="60" w:type="dxa"/>
              <w:right w:w="80" w:type="dxa"/>
            </w:tcMar>
          </w:tcPr>
          <w:p w14:paraId="536C52FB" w14:textId="77777777" w:rsidR="00C26415" w:rsidRPr="009445A2" w:rsidRDefault="00000000" w:rsidP="000600B3">
            <w:pPr>
              <w:spacing w:line="360" w:lineRule="auto"/>
              <w:rPr>
                <w:sz w:val="22"/>
                <w:szCs w:val="22"/>
              </w:rPr>
            </w:pPr>
            <w:r w:rsidRPr="009445A2">
              <w:rPr>
                <w:sz w:val="22"/>
                <w:szCs w:val="22"/>
              </w:rPr>
              <w:t>5</w:t>
            </w:r>
          </w:p>
        </w:tc>
        <w:tc>
          <w:tcPr>
            <w:tcW w:w="1737" w:type="dxa"/>
            <w:tcMar>
              <w:top w:w="60" w:type="dxa"/>
              <w:left w:w="80" w:type="dxa"/>
              <w:bottom w:w="60" w:type="dxa"/>
              <w:right w:w="80" w:type="dxa"/>
            </w:tcMar>
          </w:tcPr>
          <w:p w14:paraId="7DB85181" w14:textId="77777777" w:rsidR="00C26415" w:rsidRPr="009445A2" w:rsidRDefault="00000000" w:rsidP="00233E34">
            <w:pPr>
              <w:spacing w:line="360" w:lineRule="auto"/>
              <w:jc w:val="left"/>
              <w:rPr>
                <w:sz w:val="22"/>
                <w:szCs w:val="22"/>
              </w:rPr>
            </w:pPr>
            <w:r w:rsidRPr="009445A2">
              <w:rPr>
                <w:sz w:val="22"/>
                <w:szCs w:val="22"/>
              </w:rPr>
              <w:t>Multi-gas arrays, distributed nodes</w:t>
            </w:r>
          </w:p>
        </w:tc>
        <w:tc>
          <w:tcPr>
            <w:tcW w:w="1676" w:type="dxa"/>
            <w:tcMar>
              <w:top w:w="60" w:type="dxa"/>
              <w:left w:w="80" w:type="dxa"/>
              <w:bottom w:w="60" w:type="dxa"/>
              <w:right w:w="80" w:type="dxa"/>
            </w:tcMar>
          </w:tcPr>
          <w:p w14:paraId="231BB867" w14:textId="77777777" w:rsidR="00C26415" w:rsidRPr="009445A2" w:rsidRDefault="00000000" w:rsidP="00233E34">
            <w:pPr>
              <w:spacing w:line="360" w:lineRule="auto"/>
              <w:jc w:val="left"/>
              <w:rPr>
                <w:sz w:val="22"/>
                <w:szCs w:val="22"/>
              </w:rPr>
            </w:pPr>
            <w:r w:rsidRPr="009445A2">
              <w:rPr>
                <w:sz w:val="22"/>
                <w:szCs w:val="22"/>
              </w:rPr>
              <w:t>Cellular, LoRaWAN, cloud</w:t>
            </w:r>
          </w:p>
        </w:tc>
        <w:tc>
          <w:tcPr>
            <w:tcW w:w="1729" w:type="dxa"/>
            <w:tcMar>
              <w:top w:w="60" w:type="dxa"/>
              <w:left w:w="80" w:type="dxa"/>
              <w:bottom w:w="60" w:type="dxa"/>
              <w:right w:w="80" w:type="dxa"/>
            </w:tcMar>
          </w:tcPr>
          <w:p w14:paraId="797E08AD" w14:textId="77777777" w:rsidR="00C26415" w:rsidRPr="009445A2" w:rsidRDefault="00000000" w:rsidP="00233E34">
            <w:pPr>
              <w:spacing w:line="360" w:lineRule="auto"/>
              <w:jc w:val="left"/>
              <w:rPr>
                <w:sz w:val="22"/>
                <w:szCs w:val="22"/>
              </w:rPr>
            </w:pPr>
            <w:r w:rsidRPr="009445A2">
              <w:rPr>
                <w:sz w:val="22"/>
                <w:szCs w:val="22"/>
              </w:rPr>
              <w:t>Partial (IoT + BIM or digital twin)</w:t>
            </w:r>
          </w:p>
        </w:tc>
        <w:tc>
          <w:tcPr>
            <w:tcW w:w="1959" w:type="dxa"/>
            <w:tcMar>
              <w:top w:w="60" w:type="dxa"/>
              <w:left w:w="80" w:type="dxa"/>
              <w:bottom w:w="60" w:type="dxa"/>
              <w:right w:w="80" w:type="dxa"/>
            </w:tcMar>
          </w:tcPr>
          <w:p w14:paraId="731FDD11" w14:textId="77777777" w:rsidR="00C26415" w:rsidRPr="009445A2" w:rsidRDefault="00000000" w:rsidP="00233E34">
            <w:pPr>
              <w:spacing w:line="360" w:lineRule="auto"/>
              <w:jc w:val="left"/>
              <w:rPr>
                <w:sz w:val="22"/>
                <w:szCs w:val="22"/>
              </w:rPr>
            </w:pPr>
            <w:r w:rsidRPr="009445A2">
              <w:rPr>
                <w:sz w:val="22"/>
                <w:szCs w:val="22"/>
              </w:rPr>
              <w:t>Interoperability across jurisdictions</w:t>
            </w:r>
          </w:p>
        </w:tc>
      </w:tr>
      <w:tr w:rsidR="00C26415" w:rsidRPr="009445A2" w14:paraId="155FDFF9" w14:textId="77777777" w:rsidTr="00233E34">
        <w:tc>
          <w:tcPr>
            <w:tcW w:w="1830" w:type="dxa"/>
            <w:tcMar>
              <w:top w:w="60" w:type="dxa"/>
              <w:left w:w="80" w:type="dxa"/>
              <w:bottom w:w="60" w:type="dxa"/>
              <w:right w:w="80" w:type="dxa"/>
            </w:tcMar>
          </w:tcPr>
          <w:p w14:paraId="07446F34" w14:textId="77777777" w:rsidR="00C26415" w:rsidRPr="009445A2" w:rsidRDefault="00000000" w:rsidP="00233E34">
            <w:pPr>
              <w:spacing w:line="360" w:lineRule="auto"/>
              <w:jc w:val="left"/>
              <w:rPr>
                <w:sz w:val="22"/>
                <w:szCs w:val="22"/>
              </w:rPr>
            </w:pPr>
            <w:r w:rsidRPr="009445A2">
              <w:rPr>
                <w:sz w:val="22"/>
                <w:szCs w:val="22"/>
              </w:rPr>
              <w:t>Agriculture &amp; livestock</w:t>
            </w:r>
          </w:p>
        </w:tc>
        <w:tc>
          <w:tcPr>
            <w:tcW w:w="845" w:type="dxa"/>
            <w:tcMar>
              <w:top w:w="60" w:type="dxa"/>
              <w:left w:w="80" w:type="dxa"/>
              <w:bottom w:w="60" w:type="dxa"/>
              <w:right w:w="80" w:type="dxa"/>
            </w:tcMar>
          </w:tcPr>
          <w:p w14:paraId="676AC633" w14:textId="77777777" w:rsidR="00C26415" w:rsidRPr="009445A2" w:rsidRDefault="00000000" w:rsidP="000600B3">
            <w:pPr>
              <w:spacing w:line="360" w:lineRule="auto"/>
              <w:rPr>
                <w:sz w:val="22"/>
                <w:szCs w:val="22"/>
              </w:rPr>
            </w:pPr>
            <w:r w:rsidRPr="009445A2">
              <w:rPr>
                <w:sz w:val="22"/>
                <w:szCs w:val="22"/>
              </w:rPr>
              <w:t>5</w:t>
            </w:r>
          </w:p>
        </w:tc>
        <w:tc>
          <w:tcPr>
            <w:tcW w:w="1737" w:type="dxa"/>
            <w:tcMar>
              <w:top w:w="60" w:type="dxa"/>
              <w:left w:w="80" w:type="dxa"/>
              <w:bottom w:w="60" w:type="dxa"/>
              <w:right w:w="80" w:type="dxa"/>
            </w:tcMar>
          </w:tcPr>
          <w:p w14:paraId="06428818" w14:textId="77777777" w:rsidR="00C26415" w:rsidRPr="009445A2" w:rsidRDefault="00000000" w:rsidP="00233E34">
            <w:pPr>
              <w:spacing w:line="360" w:lineRule="auto"/>
              <w:jc w:val="left"/>
              <w:rPr>
                <w:sz w:val="22"/>
                <w:szCs w:val="22"/>
              </w:rPr>
            </w:pPr>
            <w:r w:rsidRPr="009445A2">
              <w:rPr>
                <w:sz w:val="22"/>
                <w:szCs w:val="22"/>
              </w:rPr>
              <w:t>CH4, CO2, NH3 sensors</w:t>
            </w:r>
          </w:p>
        </w:tc>
        <w:tc>
          <w:tcPr>
            <w:tcW w:w="1676" w:type="dxa"/>
            <w:tcMar>
              <w:top w:w="60" w:type="dxa"/>
              <w:left w:w="80" w:type="dxa"/>
              <w:bottom w:w="60" w:type="dxa"/>
              <w:right w:w="80" w:type="dxa"/>
            </w:tcMar>
          </w:tcPr>
          <w:p w14:paraId="416BB3F8" w14:textId="77777777" w:rsidR="00C26415" w:rsidRPr="009445A2" w:rsidRDefault="00000000" w:rsidP="00233E34">
            <w:pPr>
              <w:spacing w:line="360" w:lineRule="auto"/>
              <w:jc w:val="left"/>
              <w:rPr>
                <w:sz w:val="22"/>
                <w:szCs w:val="22"/>
              </w:rPr>
            </w:pPr>
            <w:r w:rsidRPr="009445A2">
              <w:rPr>
                <w:sz w:val="22"/>
                <w:szCs w:val="22"/>
              </w:rPr>
              <w:t>LoRaWAN, cellular</w:t>
            </w:r>
          </w:p>
        </w:tc>
        <w:tc>
          <w:tcPr>
            <w:tcW w:w="1729" w:type="dxa"/>
            <w:tcMar>
              <w:top w:w="60" w:type="dxa"/>
              <w:left w:w="80" w:type="dxa"/>
              <w:bottom w:w="60" w:type="dxa"/>
              <w:right w:w="80" w:type="dxa"/>
            </w:tcMar>
          </w:tcPr>
          <w:p w14:paraId="5BE41439" w14:textId="77777777" w:rsidR="00C26415" w:rsidRPr="009445A2" w:rsidRDefault="00000000" w:rsidP="00233E34">
            <w:pPr>
              <w:spacing w:line="360" w:lineRule="auto"/>
              <w:jc w:val="left"/>
              <w:rPr>
                <w:sz w:val="22"/>
                <w:szCs w:val="22"/>
              </w:rPr>
            </w:pPr>
            <w:r w:rsidRPr="009445A2">
              <w:rPr>
                <w:sz w:val="22"/>
                <w:szCs w:val="22"/>
              </w:rPr>
              <w:t>Monitoring only</w:t>
            </w:r>
          </w:p>
        </w:tc>
        <w:tc>
          <w:tcPr>
            <w:tcW w:w="1959" w:type="dxa"/>
            <w:tcMar>
              <w:top w:w="60" w:type="dxa"/>
              <w:left w:w="80" w:type="dxa"/>
              <w:bottom w:w="60" w:type="dxa"/>
              <w:right w:w="80" w:type="dxa"/>
            </w:tcMar>
          </w:tcPr>
          <w:p w14:paraId="57E8B475" w14:textId="77777777" w:rsidR="00C26415" w:rsidRPr="009445A2" w:rsidRDefault="00000000" w:rsidP="00233E34">
            <w:pPr>
              <w:spacing w:line="360" w:lineRule="auto"/>
              <w:jc w:val="left"/>
              <w:rPr>
                <w:sz w:val="22"/>
                <w:szCs w:val="22"/>
              </w:rPr>
            </w:pPr>
            <w:r w:rsidRPr="009445A2">
              <w:rPr>
                <w:sz w:val="22"/>
                <w:szCs w:val="22"/>
              </w:rPr>
              <w:t>Field-scale deployment gaps</w:t>
            </w:r>
          </w:p>
        </w:tc>
      </w:tr>
      <w:tr w:rsidR="00C26415" w:rsidRPr="009445A2" w14:paraId="33F19E54" w14:textId="77777777" w:rsidTr="00233E34">
        <w:tc>
          <w:tcPr>
            <w:tcW w:w="1830" w:type="dxa"/>
            <w:tcMar>
              <w:top w:w="60" w:type="dxa"/>
              <w:left w:w="80" w:type="dxa"/>
              <w:bottom w:w="60" w:type="dxa"/>
              <w:right w:w="80" w:type="dxa"/>
            </w:tcMar>
          </w:tcPr>
          <w:p w14:paraId="1A20036A" w14:textId="77777777" w:rsidR="00C26415" w:rsidRPr="009445A2" w:rsidRDefault="00000000" w:rsidP="00233E34">
            <w:pPr>
              <w:spacing w:line="360" w:lineRule="auto"/>
              <w:jc w:val="left"/>
              <w:rPr>
                <w:sz w:val="22"/>
                <w:szCs w:val="22"/>
              </w:rPr>
            </w:pPr>
            <w:r w:rsidRPr="009445A2">
              <w:rPr>
                <w:sz w:val="22"/>
                <w:szCs w:val="22"/>
              </w:rPr>
              <w:t>Industrial &amp; factory settings</w:t>
            </w:r>
          </w:p>
        </w:tc>
        <w:tc>
          <w:tcPr>
            <w:tcW w:w="845" w:type="dxa"/>
            <w:tcMar>
              <w:top w:w="60" w:type="dxa"/>
              <w:left w:w="80" w:type="dxa"/>
              <w:bottom w:w="60" w:type="dxa"/>
              <w:right w:w="80" w:type="dxa"/>
            </w:tcMar>
          </w:tcPr>
          <w:p w14:paraId="592FB693" w14:textId="77777777" w:rsidR="00C26415" w:rsidRPr="009445A2" w:rsidRDefault="00000000" w:rsidP="000600B3">
            <w:pPr>
              <w:spacing w:line="360" w:lineRule="auto"/>
              <w:rPr>
                <w:sz w:val="22"/>
                <w:szCs w:val="22"/>
              </w:rPr>
            </w:pPr>
            <w:r w:rsidRPr="009445A2">
              <w:rPr>
                <w:sz w:val="22"/>
                <w:szCs w:val="22"/>
              </w:rPr>
              <w:t>3</w:t>
            </w:r>
          </w:p>
        </w:tc>
        <w:tc>
          <w:tcPr>
            <w:tcW w:w="1737" w:type="dxa"/>
            <w:tcMar>
              <w:top w:w="60" w:type="dxa"/>
              <w:left w:w="80" w:type="dxa"/>
              <w:bottom w:w="60" w:type="dxa"/>
              <w:right w:w="80" w:type="dxa"/>
            </w:tcMar>
          </w:tcPr>
          <w:p w14:paraId="167C00AB" w14:textId="77777777" w:rsidR="00C26415" w:rsidRPr="009445A2" w:rsidRDefault="00000000" w:rsidP="00233E34">
            <w:pPr>
              <w:spacing w:line="360" w:lineRule="auto"/>
              <w:jc w:val="left"/>
              <w:rPr>
                <w:sz w:val="22"/>
                <w:szCs w:val="22"/>
              </w:rPr>
            </w:pPr>
            <w:r w:rsidRPr="009445A2">
              <w:rPr>
                <w:sz w:val="22"/>
                <w:szCs w:val="22"/>
              </w:rPr>
              <w:t>CEMS, multi-gas industrial sensors</w:t>
            </w:r>
          </w:p>
        </w:tc>
        <w:tc>
          <w:tcPr>
            <w:tcW w:w="1676" w:type="dxa"/>
            <w:tcMar>
              <w:top w:w="60" w:type="dxa"/>
              <w:left w:w="80" w:type="dxa"/>
              <w:bottom w:w="60" w:type="dxa"/>
              <w:right w:w="80" w:type="dxa"/>
            </w:tcMar>
          </w:tcPr>
          <w:p w14:paraId="2E325CBD" w14:textId="77777777" w:rsidR="00C26415" w:rsidRPr="009445A2" w:rsidRDefault="00000000" w:rsidP="00233E34">
            <w:pPr>
              <w:spacing w:line="360" w:lineRule="auto"/>
              <w:jc w:val="left"/>
              <w:rPr>
                <w:sz w:val="22"/>
                <w:szCs w:val="22"/>
              </w:rPr>
            </w:pPr>
            <w:r w:rsidRPr="009445A2">
              <w:rPr>
                <w:sz w:val="22"/>
                <w:szCs w:val="22"/>
              </w:rPr>
              <w:t>Wired + cellular</w:t>
            </w:r>
          </w:p>
        </w:tc>
        <w:tc>
          <w:tcPr>
            <w:tcW w:w="1729" w:type="dxa"/>
            <w:tcMar>
              <w:top w:w="60" w:type="dxa"/>
              <w:left w:w="80" w:type="dxa"/>
              <w:bottom w:w="60" w:type="dxa"/>
              <w:right w:w="80" w:type="dxa"/>
            </w:tcMar>
          </w:tcPr>
          <w:p w14:paraId="5D1C967A" w14:textId="77777777" w:rsidR="00C26415" w:rsidRPr="009445A2" w:rsidRDefault="00000000" w:rsidP="00233E34">
            <w:pPr>
              <w:spacing w:line="360" w:lineRule="auto"/>
              <w:jc w:val="left"/>
              <w:rPr>
                <w:sz w:val="22"/>
                <w:szCs w:val="22"/>
              </w:rPr>
            </w:pPr>
            <w:r w:rsidRPr="009445A2">
              <w:rPr>
                <w:sz w:val="22"/>
                <w:szCs w:val="22"/>
              </w:rPr>
              <w:t>Partial (CEMS to emissions ledger)</w:t>
            </w:r>
          </w:p>
        </w:tc>
        <w:tc>
          <w:tcPr>
            <w:tcW w:w="1959" w:type="dxa"/>
            <w:tcMar>
              <w:top w:w="60" w:type="dxa"/>
              <w:left w:w="80" w:type="dxa"/>
              <w:bottom w:w="60" w:type="dxa"/>
              <w:right w:w="80" w:type="dxa"/>
            </w:tcMar>
          </w:tcPr>
          <w:p w14:paraId="2CC59BAA" w14:textId="77777777" w:rsidR="00C26415" w:rsidRPr="009445A2" w:rsidRDefault="00000000" w:rsidP="00233E34">
            <w:pPr>
              <w:spacing w:line="360" w:lineRule="auto"/>
              <w:jc w:val="left"/>
              <w:rPr>
                <w:sz w:val="22"/>
                <w:szCs w:val="22"/>
              </w:rPr>
            </w:pPr>
            <w:r w:rsidRPr="009445A2">
              <w:rPr>
                <w:sz w:val="22"/>
                <w:szCs w:val="22"/>
              </w:rPr>
              <w:t>Data quality assurance pipeline</w:t>
            </w:r>
          </w:p>
        </w:tc>
      </w:tr>
      <w:tr w:rsidR="00C26415" w:rsidRPr="009445A2" w14:paraId="44F23A57" w14:textId="77777777" w:rsidTr="00233E34">
        <w:tc>
          <w:tcPr>
            <w:tcW w:w="1830" w:type="dxa"/>
            <w:tcMar>
              <w:top w:w="60" w:type="dxa"/>
              <w:left w:w="80" w:type="dxa"/>
              <w:bottom w:w="60" w:type="dxa"/>
              <w:right w:w="80" w:type="dxa"/>
            </w:tcMar>
          </w:tcPr>
          <w:p w14:paraId="5753C0A0" w14:textId="77777777" w:rsidR="00C26415" w:rsidRPr="009445A2" w:rsidRDefault="00000000" w:rsidP="00233E34">
            <w:pPr>
              <w:spacing w:line="360" w:lineRule="auto"/>
              <w:jc w:val="left"/>
              <w:rPr>
                <w:sz w:val="22"/>
                <w:szCs w:val="22"/>
              </w:rPr>
            </w:pPr>
            <w:r w:rsidRPr="009445A2">
              <w:rPr>
                <w:sz w:val="22"/>
                <w:szCs w:val="22"/>
              </w:rPr>
              <w:t>Construction &amp; built environment</w:t>
            </w:r>
          </w:p>
        </w:tc>
        <w:tc>
          <w:tcPr>
            <w:tcW w:w="845" w:type="dxa"/>
            <w:tcMar>
              <w:top w:w="60" w:type="dxa"/>
              <w:left w:w="80" w:type="dxa"/>
              <w:bottom w:w="60" w:type="dxa"/>
              <w:right w:w="80" w:type="dxa"/>
            </w:tcMar>
          </w:tcPr>
          <w:p w14:paraId="4311983C" w14:textId="77777777" w:rsidR="00C26415" w:rsidRPr="009445A2" w:rsidRDefault="00000000" w:rsidP="000600B3">
            <w:pPr>
              <w:spacing w:line="360" w:lineRule="auto"/>
              <w:rPr>
                <w:sz w:val="22"/>
                <w:szCs w:val="22"/>
              </w:rPr>
            </w:pPr>
            <w:r w:rsidRPr="009445A2">
              <w:rPr>
                <w:sz w:val="22"/>
                <w:szCs w:val="22"/>
              </w:rPr>
              <w:t>2</w:t>
            </w:r>
          </w:p>
        </w:tc>
        <w:tc>
          <w:tcPr>
            <w:tcW w:w="1737" w:type="dxa"/>
            <w:tcMar>
              <w:top w:w="60" w:type="dxa"/>
              <w:left w:w="80" w:type="dxa"/>
              <w:bottom w:w="60" w:type="dxa"/>
              <w:right w:w="80" w:type="dxa"/>
            </w:tcMar>
          </w:tcPr>
          <w:p w14:paraId="150A1509" w14:textId="77777777" w:rsidR="00C26415" w:rsidRPr="009445A2" w:rsidRDefault="00000000" w:rsidP="00233E34">
            <w:pPr>
              <w:spacing w:line="360" w:lineRule="auto"/>
              <w:jc w:val="left"/>
              <w:rPr>
                <w:sz w:val="22"/>
                <w:szCs w:val="22"/>
              </w:rPr>
            </w:pPr>
            <w:r w:rsidRPr="009445A2">
              <w:rPr>
                <w:sz w:val="22"/>
                <w:szCs w:val="22"/>
              </w:rPr>
              <w:t>Energy meters, CO2 sensors</w:t>
            </w:r>
          </w:p>
        </w:tc>
        <w:tc>
          <w:tcPr>
            <w:tcW w:w="1676" w:type="dxa"/>
            <w:tcMar>
              <w:top w:w="60" w:type="dxa"/>
              <w:left w:w="80" w:type="dxa"/>
              <w:bottom w:w="60" w:type="dxa"/>
              <w:right w:w="80" w:type="dxa"/>
            </w:tcMar>
          </w:tcPr>
          <w:p w14:paraId="3ED5A893" w14:textId="77777777" w:rsidR="00C26415" w:rsidRPr="009445A2" w:rsidRDefault="00000000" w:rsidP="00233E34">
            <w:pPr>
              <w:spacing w:line="360" w:lineRule="auto"/>
              <w:jc w:val="left"/>
              <w:rPr>
                <w:sz w:val="22"/>
                <w:szCs w:val="22"/>
              </w:rPr>
            </w:pPr>
            <w:r w:rsidRPr="009445A2">
              <w:rPr>
                <w:sz w:val="22"/>
                <w:szCs w:val="22"/>
              </w:rPr>
              <w:t>BIM-integrated</w:t>
            </w:r>
          </w:p>
        </w:tc>
        <w:tc>
          <w:tcPr>
            <w:tcW w:w="1729" w:type="dxa"/>
            <w:tcMar>
              <w:top w:w="60" w:type="dxa"/>
              <w:left w:w="80" w:type="dxa"/>
              <w:bottom w:w="60" w:type="dxa"/>
              <w:right w:w="80" w:type="dxa"/>
            </w:tcMar>
          </w:tcPr>
          <w:p w14:paraId="25B0F2FC" w14:textId="77777777" w:rsidR="00C26415" w:rsidRPr="009445A2" w:rsidRDefault="00000000" w:rsidP="00233E34">
            <w:pPr>
              <w:spacing w:line="360" w:lineRule="auto"/>
              <w:jc w:val="left"/>
              <w:rPr>
                <w:sz w:val="22"/>
                <w:szCs w:val="22"/>
              </w:rPr>
            </w:pPr>
            <w:r w:rsidRPr="009445A2">
              <w:rPr>
                <w:sz w:val="22"/>
                <w:szCs w:val="22"/>
              </w:rPr>
              <w:t>Partial (BIM-IoT carbon tracking)</w:t>
            </w:r>
          </w:p>
        </w:tc>
        <w:tc>
          <w:tcPr>
            <w:tcW w:w="1959" w:type="dxa"/>
            <w:tcMar>
              <w:top w:w="60" w:type="dxa"/>
              <w:left w:w="80" w:type="dxa"/>
              <w:bottom w:w="60" w:type="dxa"/>
              <w:right w:w="80" w:type="dxa"/>
            </w:tcMar>
          </w:tcPr>
          <w:p w14:paraId="10667063" w14:textId="77777777" w:rsidR="00C26415" w:rsidRPr="009445A2" w:rsidRDefault="00000000" w:rsidP="00233E34">
            <w:pPr>
              <w:spacing w:line="360" w:lineRule="auto"/>
              <w:jc w:val="left"/>
              <w:rPr>
                <w:sz w:val="22"/>
                <w:szCs w:val="22"/>
              </w:rPr>
            </w:pPr>
            <w:r w:rsidRPr="009445A2">
              <w:rPr>
                <w:sz w:val="22"/>
                <w:szCs w:val="22"/>
              </w:rPr>
              <w:t>Boundary definition inconsistency</w:t>
            </w:r>
          </w:p>
        </w:tc>
      </w:tr>
    </w:tbl>
    <w:p w14:paraId="7B65C915" w14:textId="77777777" w:rsidR="00A40545" w:rsidRDefault="00233E34" w:rsidP="00233E34">
      <w:pPr>
        <w:pStyle w:val="font-claude-response-body"/>
        <w:spacing w:line="360" w:lineRule="auto"/>
      </w:pPr>
      <w:r>
        <w:t xml:space="preserve">Data acquisition </w:t>
      </w:r>
      <w:r w:rsidR="00F87FA0">
        <w:t>underpins digital carbon management systems, requiring continuous and reliable sensor measurements</w:t>
      </w:r>
      <w:r>
        <w:t xml:space="preserve">. IoT sensor networks </w:t>
      </w:r>
      <w:r w:rsidR="00F87FA0">
        <w:t>enable real-time monitoring of</w:t>
      </w:r>
      <w:r>
        <w:t xml:space="preserve"> CO₂ concentration, methane levels, temperature, and energy </w:t>
      </w:r>
      <w:r w:rsidR="00A40545">
        <w:t xml:space="preserve">use across distributed environments, significantly </w:t>
      </w:r>
      <w:r w:rsidR="00A40545">
        <w:lastRenderedPageBreak/>
        <w:t>improving spatial and temporal resolution compared to periodic manual approaches</w:t>
      </w:r>
      <w:r>
        <w:t xml:space="preserve">. (Ma et al., 2022; Fay &amp; Corcoran, 2024; Xiao et al., 2025). </w:t>
      </w:r>
    </w:p>
    <w:p w14:paraId="2B67FC54" w14:textId="78855C55" w:rsidR="00A11235" w:rsidRDefault="00A11235" w:rsidP="00FB0554">
      <w:pPr>
        <w:pStyle w:val="font-claude-response-body"/>
        <w:spacing w:line="360" w:lineRule="auto"/>
      </w:pPr>
      <w:r w:rsidRPr="00A11235">
        <w:t>Application domain strongly shapes deployment patterns. Indoor building environments dominate the literature, accounting for 10 of 25 reviewed studies focused on CO₂ monitoring in residential, educational, and commercial settings (Kuncoro et al., 2022; Di Gilio et al., 2021; Gabriel et al., 2024; Kim et al., 2023; Rus et al., 2025). Agricultural and industrial contexts remain underrepresented, with limited studies addressing livestock, dairy, and factory emissions (Dadallage et al., 2025; Jaya et al., 2025; D’Urso et al., 2025; Wu &amp; Gao, 2021; Xiao et al., 2025), indicating a gap in field-scale deployment research.</w:t>
      </w:r>
    </w:p>
    <w:p w14:paraId="6206ADEF" w14:textId="77777777" w:rsidR="00A11235" w:rsidRDefault="00A11235" w:rsidP="00A11235">
      <w:pPr>
        <w:pStyle w:val="Heading2"/>
        <w:spacing w:line="360" w:lineRule="auto"/>
        <w:jc w:val="both"/>
        <w:rPr>
          <w:b w:val="0"/>
          <w:bCs w:val="0"/>
          <w:color w:val="auto"/>
        </w:rPr>
      </w:pPr>
      <w:r w:rsidRPr="00A11235">
        <w:rPr>
          <w:b w:val="0"/>
          <w:bCs w:val="0"/>
          <w:color w:val="auto"/>
        </w:rPr>
        <w:t>Sensor reliability remains a key constraint. While low-cost NDIR and electrochemical sensors can achieve acceptable accuracy under controlled conditions (Marquez-Zepeda et al., 2025; Zhu et al., 2023), extended deployments reveal calibration drift and environmental sensitivity (Rus et al., 2025; Gabriel et al., 2024). No standardised validation framework for carbon monitoring applications is established in the literature.</w:t>
      </w:r>
    </w:p>
    <w:p w14:paraId="2D5BC362" w14:textId="1F9CEB96" w:rsidR="00B85822" w:rsidRDefault="00000000" w:rsidP="00FB0554">
      <w:pPr>
        <w:pStyle w:val="Heading2"/>
      </w:pPr>
      <w:r>
        <w:t>3.2 Communication Architectures and Data Transmission</w:t>
      </w:r>
    </w:p>
    <w:p w14:paraId="6D1C2358" w14:textId="77777777" w:rsidR="00F83B29" w:rsidRPr="00F83B29" w:rsidRDefault="00F83B29" w:rsidP="00F83B29">
      <w:pPr>
        <w:pStyle w:val="Heading2"/>
        <w:spacing w:line="360" w:lineRule="auto"/>
        <w:jc w:val="both"/>
        <w:rPr>
          <w:b w:val="0"/>
          <w:bCs w:val="0"/>
          <w:color w:val="auto"/>
        </w:rPr>
      </w:pPr>
      <w:r w:rsidRPr="00F83B29">
        <w:rPr>
          <w:b w:val="0"/>
          <w:bCs w:val="0"/>
          <w:color w:val="auto"/>
        </w:rPr>
        <w:t>Communication architectures vary by deployment context. Wi-Fi and cloud-based platforms dominate indoor systems (Mota et al., 2025; Zhu et al., 2023), while LoRaWAN and cellular networks are more common in outdoor and agricultural settings (Sabando-Bravo et al., 2025; Dadallage et al., 2025). This heterogeneity introduces interoperability challenges when integrating data across platforms and jurisdictions.</w:t>
      </w:r>
    </w:p>
    <w:p w14:paraId="102CF69A" w14:textId="77777777" w:rsidR="00F83B29" w:rsidRDefault="00F83B29" w:rsidP="00F83B29">
      <w:pPr>
        <w:pStyle w:val="Heading2"/>
        <w:spacing w:line="360" w:lineRule="auto"/>
        <w:jc w:val="both"/>
        <w:rPr>
          <w:b w:val="0"/>
          <w:bCs w:val="0"/>
          <w:color w:val="auto"/>
        </w:rPr>
      </w:pPr>
      <w:r w:rsidRPr="00F83B29">
        <w:rPr>
          <w:b w:val="0"/>
          <w:bCs w:val="0"/>
          <w:color w:val="auto"/>
        </w:rPr>
        <w:t>Recent developments include integration with BIM, blockchain, and digital twin systems. BIM-IoT frameworks enable real-time construction carbon tracking (Li et al., 2025), while multi-layer IoT architectures support embodied carbon assessment and city-scale monitoring (Xu et al., 2022; Zhang et al., 2021). However, most systems remain focused on data collection and transmission, with limited connection to standardised carbon accounting metrics</w:t>
      </w:r>
    </w:p>
    <w:p w14:paraId="3284C292" w14:textId="77777777" w:rsidR="00BA145C" w:rsidRDefault="00BA145C" w:rsidP="00F83B29">
      <w:pPr>
        <w:pStyle w:val="Heading2"/>
        <w:spacing w:line="360" w:lineRule="auto"/>
        <w:jc w:val="both"/>
        <w:rPr>
          <w:b w:val="0"/>
          <w:bCs w:val="0"/>
          <w:color w:val="auto"/>
        </w:rPr>
      </w:pPr>
    </w:p>
    <w:p w14:paraId="176EB343" w14:textId="77777777" w:rsidR="00BA145C" w:rsidRDefault="00BA145C" w:rsidP="00F83B29">
      <w:pPr>
        <w:pStyle w:val="Heading2"/>
        <w:spacing w:line="360" w:lineRule="auto"/>
        <w:jc w:val="both"/>
        <w:rPr>
          <w:b w:val="0"/>
          <w:bCs w:val="0"/>
          <w:color w:val="auto"/>
        </w:rPr>
      </w:pPr>
    </w:p>
    <w:p w14:paraId="17C4DDC1" w14:textId="24634A7A" w:rsidR="00B85822" w:rsidRDefault="00000000" w:rsidP="00F83B29">
      <w:pPr>
        <w:pStyle w:val="Heading2"/>
        <w:spacing w:line="360" w:lineRule="auto"/>
        <w:jc w:val="both"/>
      </w:pPr>
      <w:r>
        <w:lastRenderedPageBreak/>
        <w:t>3.3 Sensor Reliability, Geographic Gaps, and Accounting Readiness</w:t>
      </w:r>
    </w:p>
    <w:p w14:paraId="4DF75316" w14:textId="77777777" w:rsidR="00BA145C" w:rsidRPr="00BA145C" w:rsidRDefault="00BA145C" w:rsidP="00DA289F">
      <w:pPr>
        <w:pStyle w:val="Heading1"/>
        <w:spacing w:line="360" w:lineRule="auto"/>
        <w:jc w:val="both"/>
        <w:rPr>
          <w:b w:val="0"/>
          <w:bCs w:val="0"/>
          <w:color w:val="auto"/>
          <w:sz w:val="24"/>
          <w:szCs w:val="24"/>
        </w:rPr>
      </w:pPr>
      <w:r w:rsidRPr="00BA145C">
        <w:rPr>
          <w:b w:val="0"/>
          <w:bCs w:val="0"/>
          <w:color w:val="auto"/>
          <w:sz w:val="24"/>
          <w:szCs w:val="24"/>
        </w:rPr>
        <w:t>Several structural limitations constrain the readiness of IoT systems for regulatory carbon accounting. First, there is a pronounced geographic imbalance in the literature, with most studies conducted in China, Europe, and North America, and minimal representation from Sub-Saharan Africa. In Zimbabwe, emissions data is largely held by agencies such as EMA and ZIMSTAT and is rarely available in indexed research, limiting contextual applicability of existing findings.</w:t>
      </w:r>
    </w:p>
    <w:p w14:paraId="12DF8EF7" w14:textId="77777777" w:rsidR="00BA145C" w:rsidRPr="00BA145C" w:rsidRDefault="00BA145C" w:rsidP="00DA289F">
      <w:pPr>
        <w:pStyle w:val="Heading1"/>
        <w:spacing w:line="360" w:lineRule="auto"/>
        <w:jc w:val="both"/>
        <w:rPr>
          <w:b w:val="0"/>
          <w:bCs w:val="0"/>
          <w:color w:val="auto"/>
          <w:sz w:val="24"/>
          <w:szCs w:val="24"/>
        </w:rPr>
      </w:pPr>
      <w:r w:rsidRPr="00BA145C">
        <w:rPr>
          <w:b w:val="0"/>
          <w:bCs w:val="0"/>
          <w:color w:val="auto"/>
          <w:sz w:val="24"/>
          <w:szCs w:val="24"/>
        </w:rPr>
        <w:t>Second, sensor reliability remains insufficient for regulatory applications. Low-cost sensors are prone to calibration drift and environmental interference, requiring frequent recalibration to maintain accuracy (Rus et al., 2025; Di Gilio et al., 2021). The precision required for formal carbon accounting exceeds what current large-scale IoT deployments consistently achieve.</w:t>
      </w:r>
    </w:p>
    <w:p w14:paraId="302B9394" w14:textId="77777777" w:rsidR="00BA145C" w:rsidRPr="00BA145C" w:rsidRDefault="00BA145C" w:rsidP="00DA289F">
      <w:pPr>
        <w:pStyle w:val="Heading1"/>
        <w:spacing w:line="360" w:lineRule="auto"/>
        <w:jc w:val="both"/>
        <w:rPr>
          <w:b w:val="0"/>
          <w:bCs w:val="0"/>
          <w:color w:val="auto"/>
          <w:sz w:val="24"/>
          <w:szCs w:val="24"/>
        </w:rPr>
      </w:pPr>
      <w:r w:rsidRPr="00BA145C">
        <w:rPr>
          <w:b w:val="0"/>
          <w:bCs w:val="0"/>
          <w:color w:val="auto"/>
          <w:sz w:val="24"/>
          <w:szCs w:val="24"/>
        </w:rPr>
        <w:t>Third, communication infrastructure introduces additional constraints. Continuous monitoring depends on reliable wireless connectivity and scalable cloud processing, yet data gaps and transmission failures remain common in large-area deployments (Zhu et al., 2023; Mota et al., 2025), particularly in infrastructure-limited regions.</w:t>
      </w:r>
    </w:p>
    <w:p w14:paraId="58A02A04" w14:textId="519CE4E6" w:rsidR="00F92B0F" w:rsidRDefault="00BA145C" w:rsidP="00DA289F">
      <w:pPr>
        <w:pStyle w:val="Heading1"/>
        <w:spacing w:line="360" w:lineRule="auto"/>
        <w:jc w:val="both"/>
        <w:rPr>
          <w:b w:val="0"/>
          <w:bCs w:val="0"/>
          <w:color w:val="auto"/>
          <w:sz w:val="24"/>
          <w:szCs w:val="24"/>
        </w:rPr>
      </w:pPr>
      <w:r w:rsidRPr="00BA145C">
        <w:rPr>
          <w:b w:val="0"/>
          <w:bCs w:val="0"/>
          <w:color w:val="auto"/>
          <w:sz w:val="24"/>
          <w:szCs w:val="24"/>
        </w:rPr>
        <w:t>Most critically, IoT systems lack a functional link to carbon accounting frameworks. While sensors provide accurate environmental measurements, they do not inherently produce standardised emissions metrics required for regulatory reporting. Bridging this gap requires additional analytical layers, standardised data models, and interoperable system architectures (Marquez-Zepeda et al., 2025; Li et al., 2025). This disconnect between measurement and accounting represents the primary limitation of current IoT-based carbon monitoring systems and motivates the integration analysis presented in Section 6.</w:t>
      </w:r>
    </w:p>
    <w:p w14:paraId="5C0334DD" w14:textId="77777777" w:rsidR="00E320F2" w:rsidRDefault="00E320F2" w:rsidP="00DA289F">
      <w:pPr>
        <w:pStyle w:val="Heading1"/>
        <w:spacing w:line="360" w:lineRule="auto"/>
        <w:jc w:val="both"/>
        <w:rPr>
          <w:b w:val="0"/>
          <w:bCs w:val="0"/>
          <w:color w:val="auto"/>
          <w:sz w:val="24"/>
          <w:szCs w:val="24"/>
        </w:rPr>
      </w:pPr>
    </w:p>
    <w:p w14:paraId="2C2DC265" w14:textId="77777777" w:rsidR="00E320F2" w:rsidRDefault="00E320F2" w:rsidP="00DA289F">
      <w:pPr>
        <w:pStyle w:val="Heading1"/>
        <w:spacing w:line="360" w:lineRule="auto"/>
        <w:jc w:val="both"/>
        <w:rPr>
          <w:b w:val="0"/>
          <w:bCs w:val="0"/>
          <w:color w:val="auto"/>
          <w:sz w:val="24"/>
          <w:szCs w:val="24"/>
        </w:rPr>
      </w:pPr>
    </w:p>
    <w:p w14:paraId="4CEDB265" w14:textId="77777777" w:rsidR="00E320F2" w:rsidRDefault="00E320F2" w:rsidP="00DA289F">
      <w:pPr>
        <w:pStyle w:val="Heading1"/>
        <w:spacing w:line="360" w:lineRule="auto"/>
        <w:jc w:val="both"/>
        <w:rPr>
          <w:b w:val="0"/>
          <w:bCs w:val="0"/>
          <w:color w:val="auto"/>
          <w:sz w:val="24"/>
          <w:szCs w:val="24"/>
        </w:rPr>
      </w:pPr>
    </w:p>
    <w:p w14:paraId="068178A3" w14:textId="77777777" w:rsidR="00E320F2" w:rsidRDefault="00E320F2" w:rsidP="00DA289F">
      <w:pPr>
        <w:pStyle w:val="Heading1"/>
        <w:spacing w:line="360" w:lineRule="auto"/>
        <w:jc w:val="both"/>
        <w:rPr>
          <w:b w:val="0"/>
          <w:bCs w:val="0"/>
          <w:color w:val="auto"/>
          <w:sz w:val="24"/>
          <w:szCs w:val="24"/>
        </w:rPr>
      </w:pPr>
    </w:p>
    <w:p w14:paraId="28ECA965" w14:textId="537AE1DD" w:rsidR="00B85822" w:rsidRDefault="00000000" w:rsidP="000600B3">
      <w:pPr>
        <w:pStyle w:val="Heading1"/>
        <w:spacing w:line="360" w:lineRule="auto"/>
        <w:jc w:val="both"/>
      </w:pPr>
      <w:r>
        <w:lastRenderedPageBreak/>
        <w:t>4. Emission Estimation and Forecasting</w:t>
      </w:r>
    </w:p>
    <w:p w14:paraId="1A2B523F" w14:textId="7077CB6B" w:rsidR="00B85822" w:rsidRDefault="00000000" w:rsidP="000600B3">
      <w:pPr>
        <w:pStyle w:val="Heading2"/>
        <w:spacing w:line="360" w:lineRule="auto"/>
        <w:jc w:val="both"/>
      </w:pPr>
      <w:r>
        <w:t>4.1 AI Model</w:t>
      </w:r>
      <w:r w:rsidR="00E4600B">
        <w:t xml:space="preserve"> Designs</w:t>
      </w:r>
      <w:r>
        <w:t xml:space="preserve"> and Comparative Performance</w:t>
      </w:r>
    </w:p>
    <w:p w14:paraId="0AFF0A77" w14:textId="77777777" w:rsidR="00B85822" w:rsidRDefault="00000000" w:rsidP="000600B3">
      <w:pPr>
        <w:spacing w:before="200" w:after="60" w:line="360" w:lineRule="auto"/>
      </w:pPr>
      <w:r>
        <w:rPr>
          <w:b/>
          <w:bCs/>
          <w:sz w:val="20"/>
          <w:szCs w:val="20"/>
        </w:rPr>
        <w:t>Table 4: Summary of Emission Estimation and Forecasting Models by Architecture (n=25)</w:t>
      </w:r>
    </w:p>
    <w:tbl>
      <w:tblPr>
        <w:tblStyle w:val="TableGrid"/>
        <w:tblW w:w="936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ook w:val="0000" w:firstRow="0" w:lastRow="0" w:firstColumn="0" w:lastColumn="0" w:noHBand="0" w:noVBand="0"/>
      </w:tblPr>
      <w:tblGrid>
        <w:gridCol w:w="1560"/>
        <w:gridCol w:w="1412"/>
        <w:gridCol w:w="1708"/>
        <w:gridCol w:w="1560"/>
        <w:gridCol w:w="1560"/>
        <w:gridCol w:w="1560"/>
      </w:tblGrid>
      <w:tr w:rsidR="00C26415" w:rsidRPr="00F92B0F" w14:paraId="73DEBC32" w14:textId="77777777" w:rsidTr="00F92B0F">
        <w:tc>
          <w:tcPr>
            <w:tcW w:w="1560" w:type="dxa"/>
            <w:shd w:val="clear" w:color="auto" w:fill="D9E2F3"/>
            <w:tcMar>
              <w:top w:w="60" w:type="dxa"/>
              <w:left w:w="80" w:type="dxa"/>
              <w:bottom w:w="60" w:type="dxa"/>
              <w:right w:w="80" w:type="dxa"/>
            </w:tcMar>
          </w:tcPr>
          <w:p w14:paraId="754126F5" w14:textId="77777777" w:rsidR="00C26415" w:rsidRPr="00F92B0F" w:rsidRDefault="00000000" w:rsidP="00F92B0F">
            <w:pPr>
              <w:spacing w:line="360" w:lineRule="auto"/>
              <w:jc w:val="left"/>
              <w:rPr>
                <w:sz w:val="22"/>
                <w:szCs w:val="22"/>
              </w:rPr>
            </w:pPr>
            <w:r w:rsidRPr="00F92B0F">
              <w:rPr>
                <w:b/>
                <w:bCs/>
                <w:sz w:val="22"/>
                <w:szCs w:val="22"/>
              </w:rPr>
              <w:t>Model Architecture</w:t>
            </w:r>
          </w:p>
        </w:tc>
        <w:tc>
          <w:tcPr>
            <w:tcW w:w="1412" w:type="dxa"/>
            <w:shd w:val="clear" w:color="auto" w:fill="D9E2F3"/>
            <w:tcMar>
              <w:top w:w="60" w:type="dxa"/>
              <w:left w:w="80" w:type="dxa"/>
              <w:bottom w:w="60" w:type="dxa"/>
              <w:right w:w="80" w:type="dxa"/>
            </w:tcMar>
          </w:tcPr>
          <w:p w14:paraId="5F8079E4" w14:textId="77777777" w:rsidR="00C26415" w:rsidRPr="00F92B0F" w:rsidRDefault="00000000" w:rsidP="00F92B0F">
            <w:pPr>
              <w:spacing w:line="360" w:lineRule="auto"/>
              <w:jc w:val="left"/>
              <w:rPr>
                <w:sz w:val="22"/>
                <w:szCs w:val="22"/>
              </w:rPr>
            </w:pPr>
            <w:r w:rsidRPr="00F92B0F">
              <w:rPr>
                <w:b/>
                <w:bCs/>
                <w:sz w:val="22"/>
                <w:szCs w:val="22"/>
              </w:rPr>
              <w:t>Studies (n)</w:t>
            </w:r>
          </w:p>
        </w:tc>
        <w:tc>
          <w:tcPr>
            <w:tcW w:w="1708" w:type="dxa"/>
            <w:shd w:val="clear" w:color="auto" w:fill="D9E2F3"/>
            <w:tcMar>
              <w:top w:w="60" w:type="dxa"/>
              <w:left w:w="80" w:type="dxa"/>
              <w:bottom w:w="60" w:type="dxa"/>
              <w:right w:w="80" w:type="dxa"/>
            </w:tcMar>
          </w:tcPr>
          <w:p w14:paraId="5ED10774" w14:textId="77777777" w:rsidR="00C26415" w:rsidRPr="00F92B0F" w:rsidRDefault="00000000" w:rsidP="00F92B0F">
            <w:pPr>
              <w:spacing w:line="360" w:lineRule="auto"/>
              <w:jc w:val="left"/>
              <w:rPr>
                <w:sz w:val="22"/>
                <w:szCs w:val="22"/>
              </w:rPr>
            </w:pPr>
            <w:r w:rsidRPr="00F92B0F">
              <w:rPr>
                <w:b/>
                <w:bCs/>
                <w:sz w:val="22"/>
                <w:szCs w:val="22"/>
              </w:rPr>
              <w:t>Sector / Geographic Focus</w:t>
            </w:r>
          </w:p>
        </w:tc>
        <w:tc>
          <w:tcPr>
            <w:tcW w:w="1560" w:type="dxa"/>
            <w:shd w:val="clear" w:color="auto" w:fill="D9E2F3"/>
            <w:tcMar>
              <w:top w:w="60" w:type="dxa"/>
              <w:left w:w="80" w:type="dxa"/>
              <w:bottom w:w="60" w:type="dxa"/>
              <w:right w:w="80" w:type="dxa"/>
            </w:tcMar>
          </w:tcPr>
          <w:p w14:paraId="1417CF00" w14:textId="77777777" w:rsidR="00C26415" w:rsidRPr="00F92B0F" w:rsidRDefault="00000000" w:rsidP="00F92B0F">
            <w:pPr>
              <w:spacing w:line="360" w:lineRule="auto"/>
              <w:jc w:val="left"/>
              <w:rPr>
                <w:sz w:val="22"/>
                <w:szCs w:val="22"/>
              </w:rPr>
            </w:pPr>
            <w:r w:rsidRPr="00F92B0F">
              <w:rPr>
                <w:b/>
                <w:bCs/>
                <w:sz w:val="22"/>
                <w:szCs w:val="22"/>
              </w:rPr>
              <w:t>Validation Method</w:t>
            </w:r>
          </w:p>
        </w:tc>
        <w:tc>
          <w:tcPr>
            <w:tcW w:w="1560" w:type="dxa"/>
            <w:shd w:val="clear" w:color="auto" w:fill="D9E2F3"/>
            <w:tcMar>
              <w:top w:w="60" w:type="dxa"/>
              <w:left w:w="80" w:type="dxa"/>
              <w:bottom w:w="60" w:type="dxa"/>
              <w:right w:w="80" w:type="dxa"/>
            </w:tcMar>
          </w:tcPr>
          <w:p w14:paraId="706CEF04" w14:textId="77777777" w:rsidR="00C26415" w:rsidRPr="00F92B0F" w:rsidRDefault="00000000" w:rsidP="00F92B0F">
            <w:pPr>
              <w:spacing w:line="360" w:lineRule="auto"/>
              <w:jc w:val="left"/>
              <w:rPr>
                <w:sz w:val="22"/>
                <w:szCs w:val="22"/>
              </w:rPr>
            </w:pPr>
            <w:r w:rsidRPr="00F92B0F">
              <w:rPr>
                <w:b/>
                <w:bCs/>
                <w:sz w:val="22"/>
                <w:szCs w:val="22"/>
              </w:rPr>
              <w:t>Performance Reported</w:t>
            </w:r>
          </w:p>
        </w:tc>
        <w:tc>
          <w:tcPr>
            <w:tcW w:w="1560" w:type="dxa"/>
            <w:shd w:val="clear" w:color="auto" w:fill="D9E2F3"/>
            <w:tcMar>
              <w:top w:w="60" w:type="dxa"/>
              <w:left w:w="80" w:type="dxa"/>
              <w:bottom w:w="60" w:type="dxa"/>
              <w:right w:w="80" w:type="dxa"/>
            </w:tcMar>
          </w:tcPr>
          <w:p w14:paraId="1E1A5940" w14:textId="77777777" w:rsidR="00C26415" w:rsidRPr="00F92B0F" w:rsidRDefault="00000000" w:rsidP="00F92B0F">
            <w:pPr>
              <w:spacing w:line="360" w:lineRule="auto"/>
              <w:jc w:val="left"/>
              <w:rPr>
                <w:sz w:val="22"/>
                <w:szCs w:val="22"/>
              </w:rPr>
            </w:pPr>
            <w:r w:rsidRPr="00F92B0F">
              <w:rPr>
                <w:b/>
                <w:bCs/>
                <w:sz w:val="22"/>
                <w:szCs w:val="22"/>
              </w:rPr>
              <w:t>Key Limitation</w:t>
            </w:r>
          </w:p>
        </w:tc>
      </w:tr>
      <w:tr w:rsidR="00C26415" w:rsidRPr="00F92B0F" w14:paraId="318EE242" w14:textId="77777777" w:rsidTr="00F92B0F">
        <w:tc>
          <w:tcPr>
            <w:tcW w:w="1560" w:type="dxa"/>
            <w:tcMar>
              <w:top w:w="60" w:type="dxa"/>
              <w:left w:w="80" w:type="dxa"/>
              <w:bottom w:w="60" w:type="dxa"/>
              <w:right w:w="80" w:type="dxa"/>
            </w:tcMar>
          </w:tcPr>
          <w:p w14:paraId="42E6C319" w14:textId="77777777" w:rsidR="00C26415" w:rsidRPr="00F92B0F" w:rsidRDefault="00000000" w:rsidP="00EB5B10">
            <w:pPr>
              <w:spacing w:line="360" w:lineRule="auto"/>
              <w:jc w:val="left"/>
              <w:rPr>
                <w:sz w:val="22"/>
                <w:szCs w:val="22"/>
              </w:rPr>
            </w:pPr>
            <w:r w:rsidRPr="00F92B0F">
              <w:rPr>
                <w:sz w:val="22"/>
                <w:szCs w:val="22"/>
              </w:rPr>
              <w:t>Hybrid deep learning (CNN-LSTM, PSO-LSTM)</w:t>
            </w:r>
          </w:p>
        </w:tc>
        <w:tc>
          <w:tcPr>
            <w:tcW w:w="1412" w:type="dxa"/>
            <w:tcMar>
              <w:top w:w="60" w:type="dxa"/>
              <w:left w:w="80" w:type="dxa"/>
              <w:bottom w:w="60" w:type="dxa"/>
              <w:right w:w="80" w:type="dxa"/>
            </w:tcMar>
          </w:tcPr>
          <w:p w14:paraId="29D77684" w14:textId="77777777" w:rsidR="00C26415" w:rsidRPr="00F92B0F" w:rsidRDefault="00000000" w:rsidP="00EB5B10">
            <w:pPr>
              <w:spacing w:line="360" w:lineRule="auto"/>
              <w:jc w:val="left"/>
              <w:rPr>
                <w:sz w:val="22"/>
                <w:szCs w:val="22"/>
              </w:rPr>
            </w:pPr>
            <w:r w:rsidRPr="00F92B0F">
              <w:rPr>
                <w:sz w:val="22"/>
                <w:szCs w:val="22"/>
              </w:rPr>
              <w:t>8</w:t>
            </w:r>
          </w:p>
        </w:tc>
        <w:tc>
          <w:tcPr>
            <w:tcW w:w="1708" w:type="dxa"/>
            <w:tcMar>
              <w:top w:w="60" w:type="dxa"/>
              <w:left w:w="80" w:type="dxa"/>
              <w:bottom w:w="60" w:type="dxa"/>
              <w:right w:w="80" w:type="dxa"/>
            </w:tcMar>
          </w:tcPr>
          <w:p w14:paraId="49EA7706" w14:textId="77777777" w:rsidR="00C26415" w:rsidRPr="00F92B0F" w:rsidRDefault="00000000" w:rsidP="00EB5B10">
            <w:pPr>
              <w:spacing w:line="360" w:lineRule="auto"/>
              <w:jc w:val="left"/>
              <w:rPr>
                <w:sz w:val="22"/>
                <w:szCs w:val="22"/>
              </w:rPr>
            </w:pPr>
            <w:r w:rsidRPr="00F92B0F">
              <w:rPr>
                <w:sz w:val="22"/>
                <w:szCs w:val="22"/>
              </w:rPr>
              <w:t>Provincial / national (China dominant)</w:t>
            </w:r>
          </w:p>
        </w:tc>
        <w:tc>
          <w:tcPr>
            <w:tcW w:w="1560" w:type="dxa"/>
            <w:tcMar>
              <w:top w:w="60" w:type="dxa"/>
              <w:left w:w="80" w:type="dxa"/>
              <w:bottom w:w="60" w:type="dxa"/>
              <w:right w:w="80" w:type="dxa"/>
            </w:tcMar>
          </w:tcPr>
          <w:p w14:paraId="42E50F8D" w14:textId="77777777" w:rsidR="00C26415" w:rsidRPr="00F92B0F" w:rsidRDefault="00000000" w:rsidP="00EB5B10">
            <w:pPr>
              <w:spacing w:line="360" w:lineRule="auto"/>
              <w:jc w:val="left"/>
              <w:rPr>
                <w:sz w:val="22"/>
                <w:szCs w:val="22"/>
              </w:rPr>
            </w:pPr>
            <w:r w:rsidRPr="00F92B0F">
              <w:rPr>
                <w:sz w:val="22"/>
                <w:szCs w:val="22"/>
              </w:rPr>
              <w:t>Train-test split on historical data</w:t>
            </w:r>
          </w:p>
        </w:tc>
        <w:tc>
          <w:tcPr>
            <w:tcW w:w="1560" w:type="dxa"/>
            <w:tcMar>
              <w:top w:w="60" w:type="dxa"/>
              <w:left w:w="80" w:type="dxa"/>
              <w:bottom w:w="60" w:type="dxa"/>
              <w:right w:w="80" w:type="dxa"/>
            </w:tcMar>
          </w:tcPr>
          <w:p w14:paraId="68925D0D" w14:textId="77777777" w:rsidR="00C26415" w:rsidRPr="00F92B0F" w:rsidRDefault="00000000" w:rsidP="00EB5B10">
            <w:pPr>
              <w:spacing w:line="360" w:lineRule="auto"/>
              <w:jc w:val="left"/>
              <w:rPr>
                <w:sz w:val="22"/>
                <w:szCs w:val="22"/>
              </w:rPr>
            </w:pPr>
            <w:r w:rsidRPr="00F92B0F">
              <w:rPr>
                <w:sz w:val="22"/>
                <w:szCs w:val="22"/>
              </w:rPr>
              <w:t>RMSE, MAE, R2, MAPE reported; high accuracy</w:t>
            </w:r>
          </w:p>
        </w:tc>
        <w:tc>
          <w:tcPr>
            <w:tcW w:w="1560" w:type="dxa"/>
            <w:tcMar>
              <w:top w:w="60" w:type="dxa"/>
              <w:left w:w="80" w:type="dxa"/>
              <w:bottom w:w="60" w:type="dxa"/>
              <w:right w:w="80" w:type="dxa"/>
            </w:tcMar>
          </w:tcPr>
          <w:p w14:paraId="5208AAD7" w14:textId="77777777" w:rsidR="00C26415" w:rsidRPr="00F92B0F" w:rsidRDefault="00000000" w:rsidP="00EB5B10">
            <w:pPr>
              <w:spacing w:line="360" w:lineRule="auto"/>
              <w:jc w:val="left"/>
              <w:rPr>
                <w:sz w:val="22"/>
                <w:szCs w:val="22"/>
              </w:rPr>
            </w:pPr>
            <w:r w:rsidRPr="00F92B0F">
              <w:rPr>
                <w:sz w:val="22"/>
                <w:szCs w:val="22"/>
              </w:rPr>
              <w:t>No external validation; limited transferability</w:t>
            </w:r>
          </w:p>
        </w:tc>
      </w:tr>
      <w:tr w:rsidR="00C26415" w:rsidRPr="00F92B0F" w14:paraId="39C14292" w14:textId="77777777" w:rsidTr="00F92B0F">
        <w:tc>
          <w:tcPr>
            <w:tcW w:w="1560" w:type="dxa"/>
            <w:tcMar>
              <w:top w:w="60" w:type="dxa"/>
              <w:left w:w="80" w:type="dxa"/>
              <w:bottom w:w="60" w:type="dxa"/>
              <w:right w:w="80" w:type="dxa"/>
            </w:tcMar>
          </w:tcPr>
          <w:p w14:paraId="518AC3E2" w14:textId="77777777" w:rsidR="00C26415" w:rsidRPr="00F92B0F" w:rsidRDefault="00000000" w:rsidP="00EB5B10">
            <w:pPr>
              <w:spacing w:line="360" w:lineRule="auto"/>
              <w:jc w:val="left"/>
              <w:rPr>
                <w:sz w:val="22"/>
                <w:szCs w:val="22"/>
              </w:rPr>
            </w:pPr>
            <w:r w:rsidRPr="00F92B0F">
              <w:rPr>
                <w:sz w:val="22"/>
                <w:szCs w:val="22"/>
              </w:rPr>
              <w:t>Single LSTM / GRU</w:t>
            </w:r>
          </w:p>
        </w:tc>
        <w:tc>
          <w:tcPr>
            <w:tcW w:w="1412" w:type="dxa"/>
            <w:tcMar>
              <w:top w:w="60" w:type="dxa"/>
              <w:left w:w="80" w:type="dxa"/>
              <w:bottom w:w="60" w:type="dxa"/>
              <w:right w:w="80" w:type="dxa"/>
            </w:tcMar>
          </w:tcPr>
          <w:p w14:paraId="5389A0FF" w14:textId="77777777" w:rsidR="00C26415" w:rsidRPr="00F92B0F" w:rsidRDefault="00000000" w:rsidP="00EB5B10">
            <w:pPr>
              <w:spacing w:line="360" w:lineRule="auto"/>
              <w:jc w:val="left"/>
              <w:rPr>
                <w:sz w:val="22"/>
                <w:szCs w:val="22"/>
              </w:rPr>
            </w:pPr>
            <w:r w:rsidRPr="00F92B0F">
              <w:rPr>
                <w:sz w:val="22"/>
                <w:szCs w:val="22"/>
              </w:rPr>
              <w:t>5</w:t>
            </w:r>
          </w:p>
        </w:tc>
        <w:tc>
          <w:tcPr>
            <w:tcW w:w="1708" w:type="dxa"/>
            <w:tcMar>
              <w:top w:w="60" w:type="dxa"/>
              <w:left w:w="80" w:type="dxa"/>
              <w:bottom w:w="60" w:type="dxa"/>
              <w:right w:w="80" w:type="dxa"/>
            </w:tcMar>
          </w:tcPr>
          <w:p w14:paraId="61F2460E" w14:textId="77777777" w:rsidR="00C26415" w:rsidRPr="00F92B0F" w:rsidRDefault="00000000" w:rsidP="00EB5B10">
            <w:pPr>
              <w:spacing w:line="360" w:lineRule="auto"/>
              <w:jc w:val="left"/>
              <w:rPr>
                <w:sz w:val="22"/>
                <w:szCs w:val="22"/>
              </w:rPr>
            </w:pPr>
            <w:r w:rsidRPr="00F92B0F">
              <w:rPr>
                <w:sz w:val="22"/>
                <w:szCs w:val="22"/>
              </w:rPr>
              <w:t>Buildings, energy sector</w:t>
            </w:r>
          </w:p>
        </w:tc>
        <w:tc>
          <w:tcPr>
            <w:tcW w:w="1560" w:type="dxa"/>
            <w:tcMar>
              <w:top w:w="60" w:type="dxa"/>
              <w:left w:w="80" w:type="dxa"/>
              <w:bottom w:w="60" w:type="dxa"/>
              <w:right w:w="80" w:type="dxa"/>
            </w:tcMar>
          </w:tcPr>
          <w:p w14:paraId="267664C0" w14:textId="77777777" w:rsidR="00C26415" w:rsidRPr="00F92B0F" w:rsidRDefault="00000000" w:rsidP="00EB5B10">
            <w:pPr>
              <w:spacing w:line="360" w:lineRule="auto"/>
              <w:jc w:val="left"/>
              <w:rPr>
                <w:sz w:val="22"/>
                <w:szCs w:val="22"/>
              </w:rPr>
            </w:pPr>
            <w:r w:rsidRPr="00F92B0F">
              <w:rPr>
                <w:sz w:val="22"/>
                <w:szCs w:val="22"/>
              </w:rPr>
              <w:t>Train-test split</w:t>
            </w:r>
          </w:p>
        </w:tc>
        <w:tc>
          <w:tcPr>
            <w:tcW w:w="1560" w:type="dxa"/>
            <w:tcMar>
              <w:top w:w="60" w:type="dxa"/>
              <w:left w:w="80" w:type="dxa"/>
              <w:bottom w:w="60" w:type="dxa"/>
              <w:right w:w="80" w:type="dxa"/>
            </w:tcMar>
          </w:tcPr>
          <w:p w14:paraId="2703CF2D" w14:textId="77777777" w:rsidR="00C26415" w:rsidRPr="00F92B0F" w:rsidRDefault="00000000" w:rsidP="00EB5B10">
            <w:pPr>
              <w:spacing w:line="360" w:lineRule="auto"/>
              <w:jc w:val="left"/>
              <w:rPr>
                <w:sz w:val="22"/>
                <w:szCs w:val="22"/>
              </w:rPr>
            </w:pPr>
            <w:r w:rsidRPr="00F92B0F">
              <w:rPr>
                <w:sz w:val="22"/>
                <w:szCs w:val="22"/>
              </w:rPr>
              <w:t>R2 &gt; 0.90 reported in most studies</w:t>
            </w:r>
          </w:p>
        </w:tc>
        <w:tc>
          <w:tcPr>
            <w:tcW w:w="1560" w:type="dxa"/>
            <w:tcMar>
              <w:top w:w="60" w:type="dxa"/>
              <w:left w:w="80" w:type="dxa"/>
              <w:bottom w:w="60" w:type="dxa"/>
              <w:right w:w="80" w:type="dxa"/>
            </w:tcMar>
          </w:tcPr>
          <w:p w14:paraId="582FB861" w14:textId="77777777" w:rsidR="00C26415" w:rsidRPr="00F92B0F" w:rsidRDefault="00000000" w:rsidP="00EB5B10">
            <w:pPr>
              <w:spacing w:line="360" w:lineRule="auto"/>
              <w:jc w:val="left"/>
              <w:rPr>
                <w:sz w:val="22"/>
                <w:szCs w:val="22"/>
              </w:rPr>
            </w:pPr>
            <w:r w:rsidRPr="00F92B0F">
              <w:rPr>
                <w:sz w:val="22"/>
                <w:szCs w:val="22"/>
              </w:rPr>
              <w:t>Trained on inventory, not live IoT data</w:t>
            </w:r>
          </w:p>
        </w:tc>
      </w:tr>
      <w:tr w:rsidR="00C26415" w:rsidRPr="00F92B0F" w14:paraId="4824BE5B" w14:textId="77777777" w:rsidTr="00F92B0F">
        <w:tc>
          <w:tcPr>
            <w:tcW w:w="1560" w:type="dxa"/>
            <w:tcMar>
              <w:top w:w="60" w:type="dxa"/>
              <w:left w:w="80" w:type="dxa"/>
              <w:bottom w:w="60" w:type="dxa"/>
              <w:right w:w="80" w:type="dxa"/>
            </w:tcMar>
          </w:tcPr>
          <w:p w14:paraId="4623B301" w14:textId="77777777" w:rsidR="00C26415" w:rsidRPr="00F92B0F" w:rsidRDefault="00000000" w:rsidP="00EB5B10">
            <w:pPr>
              <w:spacing w:line="360" w:lineRule="auto"/>
              <w:jc w:val="left"/>
              <w:rPr>
                <w:sz w:val="22"/>
                <w:szCs w:val="22"/>
              </w:rPr>
            </w:pPr>
            <w:r w:rsidRPr="00F92B0F">
              <w:rPr>
                <w:sz w:val="22"/>
                <w:szCs w:val="22"/>
              </w:rPr>
              <w:t>Random forest / ensemble</w:t>
            </w:r>
          </w:p>
        </w:tc>
        <w:tc>
          <w:tcPr>
            <w:tcW w:w="1412" w:type="dxa"/>
            <w:tcMar>
              <w:top w:w="60" w:type="dxa"/>
              <w:left w:w="80" w:type="dxa"/>
              <w:bottom w:w="60" w:type="dxa"/>
              <w:right w:w="80" w:type="dxa"/>
            </w:tcMar>
          </w:tcPr>
          <w:p w14:paraId="629710A4" w14:textId="77777777" w:rsidR="00C26415" w:rsidRPr="00F92B0F" w:rsidRDefault="00000000" w:rsidP="00EB5B10">
            <w:pPr>
              <w:spacing w:line="360" w:lineRule="auto"/>
              <w:jc w:val="left"/>
              <w:rPr>
                <w:sz w:val="22"/>
                <w:szCs w:val="22"/>
              </w:rPr>
            </w:pPr>
            <w:r w:rsidRPr="00F92B0F">
              <w:rPr>
                <w:sz w:val="22"/>
                <w:szCs w:val="22"/>
              </w:rPr>
              <w:t>5</w:t>
            </w:r>
          </w:p>
        </w:tc>
        <w:tc>
          <w:tcPr>
            <w:tcW w:w="1708" w:type="dxa"/>
            <w:tcMar>
              <w:top w:w="60" w:type="dxa"/>
              <w:left w:w="80" w:type="dxa"/>
              <w:bottom w:w="60" w:type="dxa"/>
              <w:right w:w="80" w:type="dxa"/>
            </w:tcMar>
          </w:tcPr>
          <w:p w14:paraId="58665744" w14:textId="77777777" w:rsidR="00C26415" w:rsidRPr="00F92B0F" w:rsidRDefault="00000000" w:rsidP="00EB5B10">
            <w:pPr>
              <w:spacing w:line="360" w:lineRule="auto"/>
              <w:jc w:val="left"/>
              <w:rPr>
                <w:sz w:val="22"/>
                <w:szCs w:val="22"/>
              </w:rPr>
            </w:pPr>
            <w:r w:rsidRPr="00F92B0F">
              <w:rPr>
                <w:sz w:val="22"/>
                <w:szCs w:val="22"/>
              </w:rPr>
              <w:t>Multi-sector, multi-country</w:t>
            </w:r>
          </w:p>
        </w:tc>
        <w:tc>
          <w:tcPr>
            <w:tcW w:w="1560" w:type="dxa"/>
            <w:tcMar>
              <w:top w:w="60" w:type="dxa"/>
              <w:left w:w="80" w:type="dxa"/>
              <w:bottom w:w="60" w:type="dxa"/>
              <w:right w:w="80" w:type="dxa"/>
            </w:tcMar>
          </w:tcPr>
          <w:p w14:paraId="692EB6EC" w14:textId="77777777" w:rsidR="00C26415" w:rsidRPr="00F92B0F" w:rsidRDefault="00000000" w:rsidP="00EB5B10">
            <w:pPr>
              <w:spacing w:line="360" w:lineRule="auto"/>
              <w:jc w:val="left"/>
              <w:rPr>
                <w:sz w:val="22"/>
                <w:szCs w:val="22"/>
              </w:rPr>
            </w:pPr>
            <w:r w:rsidRPr="00F92B0F">
              <w:rPr>
                <w:sz w:val="22"/>
                <w:szCs w:val="22"/>
              </w:rPr>
              <w:t>Cross-validation</w:t>
            </w:r>
          </w:p>
        </w:tc>
        <w:tc>
          <w:tcPr>
            <w:tcW w:w="1560" w:type="dxa"/>
            <w:tcMar>
              <w:top w:w="60" w:type="dxa"/>
              <w:left w:w="80" w:type="dxa"/>
              <w:bottom w:w="60" w:type="dxa"/>
              <w:right w:w="80" w:type="dxa"/>
            </w:tcMar>
          </w:tcPr>
          <w:p w14:paraId="402C792A" w14:textId="77777777" w:rsidR="00C26415" w:rsidRPr="00F92B0F" w:rsidRDefault="00000000" w:rsidP="00EB5B10">
            <w:pPr>
              <w:spacing w:line="360" w:lineRule="auto"/>
              <w:jc w:val="left"/>
              <w:rPr>
                <w:sz w:val="22"/>
                <w:szCs w:val="22"/>
              </w:rPr>
            </w:pPr>
            <w:r w:rsidRPr="00F92B0F">
              <w:rPr>
                <w:sz w:val="22"/>
                <w:szCs w:val="22"/>
              </w:rPr>
              <w:t>Competitive vs deep learning on structured data</w:t>
            </w:r>
          </w:p>
        </w:tc>
        <w:tc>
          <w:tcPr>
            <w:tcW w:w="1560" w:type="dxa"/>
            <w:tcMar>
              <w:top w:w="60" w:type="dxa"/>
              <w:left w:w="80" w:type="dxa"/>
              <w:bottom w:w="60" w:type="dxa"/>
              <w:right w:w="80" w:type="dxa"/>
            </w:tcMar>
          </w:tcPr>
          <w:p w14:paraId="05311CA6" w14:textId="77777777" w:rsidR="00C26415" w:rsidRPr="00F92B0F" w:rsidRDefault="00000000" w:rsidP="00EB5B10">
            <w:pPr>
              <w:spacing w:line="360" w:lineRule="auto"/>
              <w:jc w:val="left"/>
              <w:rPr>
                <w:sz w:val="22"/>
                <w:szCs w:val="22"/>
              </w:rPr>
            </w:pPr>
            <w:r w:rsidRPr="00F92B0F">
              <w:rPr>
                <w:sz w:val="22"/>
                <w:szCs w:val="22"/>
              </w:rPr>
              <w:t>Black-box; low regulatory credibility</w:t>
            </w:r>
          </w:p>
        </w:tc>
      </w:tr>
      <w:tr w:rsidR="00C26415" w:rsidRPr="00F92B0F" w14:paraId="79451B79" w14:textId="77777777" w:rsidTr="00F92B0F">
        <w:tc>
          <w:tcPr>
            <w:tcW w:w="1560" w:type="dxa"/>
            <w:tcMar>
              <w:top w:w="60" w:type="dxa"/>
              <w:left w:w="80" w:type="dxa"/>
              <w:bottom w:w="60" w:type="dxa"/>
              <w:right w:w="80" w:type="dxa"/>
            </w:tcMar>
          </w:tcPr>
          <w:p w14:paraId="44A78FC9" w14:textId="77777777" w:rsidR="00C26415" w:rsidRPr="00F92B0F" w:rsidRDefault="00000000" w:rsidP="00EB5B10">
            <w:pPr>
              <w:spacing w:line="360" w:lineRule="auto"/>
              <w:jc w:val="left"/>
              <w:rPr>
                <w:sz w:val="22"/>
                <w:szCs w:val="22"/>
              </w:rPr>
            </w:pPr>
            <w:r w:rsidRPr="00F92B0F">
              <w:rPr>
                <w:sz w:val="22"/>
                <w:szCs w:val="22"/>
              </w:rPr>
              <w:t>Explainable AI (XAI frameworks)</w:t>
            </w:r>
          </w:p>
        </w:tc>
        <w:tc>
          <w:tcPr>
            <w:tcW w:w="1412" w:type="dxa"/>
            <w:tcMar>
              <w:top w:w="60" w:type="dxa"/>
              <w:left w:w="80" w:type="dxa"/>
              <w:bottom w:w="60" w:type="dxa"/>
              <w:right w:w="80" w:type="dxa"/>
            </w:tcMar>
          </w:tcPr>
          <w:p w14:paraId="6B43ECFB" w14:textId="77777777" w:rsidR="00C26415" w:rsidRPr="00F92B0F" w:rsidRDefault="00000000" w:rsidP="00EB5B10">
            <w:pPr>
              <w:spacing w:line="360" w:lineRule="auto"/>
              <w:jc w:val="left"/>
              <w:rPr>
                <w:sz w:val="22"/>
                <w:szCs w:val="22"/>
              </w:rPr>
            </w:pPr>
            <w:r w:rsidRPr="00F92B0F">
              <w:rPr>
                <w:sz w:val="22"/>
                <w:szCs w:val="22"/>
              </w:rPr>
              <w:t>3</w:t>
            </w:r>
          </w:p>
        </w:tc>
        <w:tc>
          <w:tcPr>
            <w:tcW w:w="1708" w:type="dxa"/>
            <w:tcMar>
              <w:top w:w="60" w:type="dxa"/>
              <w:left w:w="80" w:type="dxa"/>
              <w:bottom w:w="60" w:type="dxa"/>
              <w:right w:w="80" w:type="dxa"/>
            </w:tcMar>
          </w:tcPr>
          <w:p w14:paraId="27E746A8" w14:textId="77777777" w:rsidR="00C26415" w:rsidRPr="00F92B0F" w:rsidRDefault="00000000" w:rsidP="00EB5B10">
            <w:pPr>
              <w:spacing w:line="360" w:lineRule="auto"/>
              <w:jc w:val="left"/>
              <w:rPr>
                <w:sz w:val="22"/>
                <w:szCs w:val="22"/>
              </w:rPr>
            </w:pPr>
            <w:r w:rsidRPr="00F92B0F">
              <w:rPr>
                <w:sz w:val="22"/>
                <w:szCs w:val="22"/>
              </w:rPr>
              <w:t>Building sector, agriculture</w:t>
            </w:r>
          </w:p>
        </w:tc>
        <w:tc>
          <w:tcPr>
            <w:tcW w:w="1560" w:type="dxa"/>
            <w:tcMar>
              <w:top w:w="60" w:type="dxa"/>
              <w:left w:w="80" w:type="dxa"/>
              <w:bottom w:w="60" w:type="dxa"/>
              <w:right w:w="80" w:type="dxa"/>
            </w:tcMar>
          </w:tcPr>
          <w:p w14:paraId="6E8E5D0A" w14:textId="77777777" w:rsidR="00C26415" w:rsidRPr="00F92B0F" w:rsidRDefault="00000000" w:rsidP="00EB5B10">
            <w:pPr>
              <w:spacing w:line="360" w:lineRule="auto"/>
              <w:jc w:val="left"/>
              <w:rPr>
                <w:sz w:val="22"/>
                <w:szCs w:val="22"/>
              </w:rPr>
            </w:pPr>
            <w:r w:rsidRPr="00F92B0F">
              <w:rPr>
                <w:sz w:val="22"/>
                <w:szCs w:val="22"/>
              </w:rPr>
              <w:t>Feature importance + predictive metrics</w:t>
            </w:r>
          </w:p>
        </w:tc>
        <w:tc>
          <w:tcPr>
            <w:tcW w:w="1560" w:type="dxa"/>
            <w:tcMar>
              <w:top w:w="60" w:type="dxa"/>
              <w:left w:w="80" w:type="dxa"/>
              <w:bottom w:w="60" w:type="dxa"/>
              <w:right w:w="80" w:type="dxa"/>
            </w:tcMar>
          </w:tcPr>
          <w:p w14:paraId="669449CF" w14:textId="77777777" w:rsidR="00C26415" w:rsidRPr="00F92B0F" w:rsidRDefault="00000000" w:rsidP="00EB5B10">
            <w:pPr>
              <w:spacing w:line="360" w:lineRule="auto"/>
              <w:jc w:val="left"/>
              <w:rPr>
                <w:sz w:val="22"/>
                <w:szCs w:val="22"/>
              </w:rPr>
            </w:pPr>
            <w:r w:rsidRPr="00F92B0F">
              <w:rPr>
                <w:sz w:val="22"/>
                <w:szCs w:val="22"/>
              </w:rPr>
              <w:t>Balanced interpretability and accuracy</w:t>
            </w:r>
          </w:p>
        </w:tc>
        <w:tc>
          <w:tcPr>
            <w:tcW w:w="1560" w:type="dxa"/>
            <w:tcMar>
              <w:top w:w="60" w:type="dxa"/>
              <w:left w:w="80" w:type="dxa"/>
              <w:bottom w:w="60" w:type="dxa"/>
              <w:right w:w="80" w:type="dxa"/>
            </w:tcMar>
          </w:tcPr>
          <w:p w14:paraId="61E069BB" w14:textId="77777777" w:rsidR="00C26415" w:rsidRPr="00F92B0F" w:rsidRDefault="00000000" w:rsidP="00EB5B10">
            <w:pPr>
              <w:spacing w:line="360" w:lineRule="auto"/>
              <w:jc w:val="left"/>
              <w:rPr>
                <w:sz w:val="22"/>
                <w:szCs w:val="22"/>
              </w:rPr>
            </w:pPr>
            <w:r w:rsidRPr="00F92B0F">
              <w:rPr>
                <w:sz w:val="22"/>
                <w:szCs w:val="22"/>
              </w:rPr>
              <w:t>Minority in literature; not yet regulatory-accepted</w:t>
            </w:r>
          </w:p>
        </w:tc>
      </w:tr>
      <w:tr w:rsidR="00C26415" w:rsidRPr="00F92B0F" w14:paraId="5BF3C1E6" w14:textId="77777777" w:rsidTr="00F92B0F">
        <w:tc>
          <w:tcPr>
            <w:tcW w:w="1560" w:type="dxa"/>
            <w:tcMar>
              <w:top w:w="60" w:type="dxa"/>
              <w:left w:w="80" w:type="dxa"/>
              <w:bottom w:w="60" w:type="dxa"/>
              <w:right w:w="80" w:type="dxa"/>
            </w:tcMar>
          </w:tcPr>
          <w:p w14:paraId="6B3BEA6A" w14:textId="77777777" w:rsidR="00C26415" w:rsidRPr="00F92B0F" w:rsidRDefault="00000000" w:rsidP="00EB5B10">
            <w:pPr>
              <w:spacing w:line="360" w:lineRule="auto"/>
              <w:jc w:val="left"/>
              <w:rPr>
                <w:sz w:val="22"/>
                <w:szCs w:val="22"/>
              </w:rPr>
            </w:pPr>
            <w:r w:rsidRPr="00F92B0F">
              <w:rPr>
                <w:sz w:val="22"/>
                <w:szCs w:val="22"/>
              </w:rPr>
              <w:t>Classical ML (SVM, ELM, regression)</w:t>
            </w:r>
          </w:p>
        </w:tc>
        <w:tc>
          <w:tcPr>
            <w:tcW w:w="1412" w:type="dxa"/>
            <w:tcMar>
              <w:top w:w="60" w:type="dxa"/>
              <w:left w:w="80" w:type="dxa"/>
              <w:bottom w:w="60" w:type="dxa"/>
              <w:right w:w="80" w:type="dxa"/>
            </w:tcMar>
          </w:tcPr>
          <w:p w14:paraId="749CCF47" w14:textId="77777777" w:rsidR="00C26415" w:rsidRPr="00F92B0F" w:rsidRDefault="00000000" w:rsidP="00EB5B10">
            <w:pPr>
              <w:spacing w:line="360" w:lineRule="auto"/>
              <w:jc w:val="left"/>
              <w:rPr>
                <w:sz w:val="22"/>
                <w:szCs w:val="22"/>
              </w:rPr>
            </w:pPr>
            <w:r w:rsidRPr="00F92B0F">
              <w:rPr>
                <w:sz w:val="22"/>
                <w:szCs w:val="22"/>
              </w:rPr>
              <w:t>4</w:t>
            </w:r>
          </w:p>
        </w:tc>
        <w:tc>
          <w:tcPr>
            <w:tcW w:w="1708" w:type="dxa"/>
            <w:tcMar>
              <w:top w:w="60" w:type="dxa"/>
              <w:left w:w="80" w:type="dxa"/>
              <w:bottom w:w="60" w:type="dxa"/>
              <w:right w:w="80" w:type="dxa"/>
            </w:tcMar>
          </w:tcPr>
          <w:p w14:paraId="3EC8D0DA" w14:textId="77777777" w:rsidR="00C26415" w:rsidRPr="00F92B0F" w:rsidRDefault="00000000" w:rsidP="00EB5B10">
            <w:pPr>
              <w:spacing w:line="360" w:lineRule="auto"/>
              <w:jc w:val="left"/>
              <w:rPr>
                <w:sz w:val="22"/>
                <w:szCs w:val="22"/>
              </w:rPr>
            </w:pPr>
            <w:r w:rsidRPr="00F92B0F">
              <w:rPr>
                <w:sz w:val="22"/>
                <w:szCs w:val="22"/>
              </w:rPr>
              <w:t>National / sectoral (Turkey, India, EU)</w:t>
            </w:r>
          </w:p>
        </w:tc>
        <w:tc>
          <w:tcPr>
            <w:tcW w:w="1560" w:type="dxa"/>
            <w:tcMar>
              <w:top w:w="60" w:type="dxa"/>
              <w:left w:w="80" w:type="dxa"/>
              <w:bottom w:w="60" w:type="dxa"/>
              <w:right w:w="80" w:type="dxa"/>
            </w:tcMar>
          </w:tcPr>
          <w:p w14:paraId="390110FD" w14:textId="77777777" w:rsidR="00C26415" w:rsidRPr="00F92B0F" w:rsidRDefault="00000000" w:rsidP="00EB5B10">
            <w:pPr>
              <w:spacing w:line="360" w:lineRule="auto"/>
              <w:jc w:val="left"/>
              <w:rPr>
                <w:sz w:val="22"/>
                <w:szCs w:val="22"/>
              </w:rPr>
            </w:pPr>
            <w:r w:rsidRPr="00F92B0F">
              <w:rPr>
                <w:sz w:val="22"/>
                <w:szCs w:val="22"/>
              </w:rPr>
              <w:t>Comparative multi-model study</w:t>
            </w:r>
          </w:p>
        </w:tc>
        <w:tc>
          <w:tcPr>
            <w:tcW w:w="1560" w:type="dxa"/>
            <w:tcMar>
              <w:top w:w="60" w:type="dxa"/>
              <w:left w:w="80" w:type="dxa"/>
              <w:bottom w:w="60" w:type="dxa"/>
              <w:right w:w="80" w:type="dxa"/>
            </w:tcMar>
          </w:tcPr>
          <w:p w14:paraId="78F592EC" w14:textId="77777777" w:rsidR="00C26415" w:rsidRPr="00F92B0F" w:rsidRDefault="00000000" w:rsidP="00EB5B10">
            <w:pPr>
              <w:spacing w:line="360" w:lineRule="auto"/>
              <w:jc w:val="left"/>
              <w:rPr>
                <w:sz w:val="22"/>
                <w:szCs w:val="22"/>
              </w:rPr>
            </w:pPr>
            <w:r w:rsidRPr="00F92B0F">
              <w:rPr>
                <w:sz w:val="22"/>
                <w:szCs w:val="22"/>
              </w:rPr>
              <w:t>Outperformed by nonlinear models generally</w:t>
            </w:r>
          </w:p>
        </w:tc>
        <w:tc>
          <w:tcPr>
            <w:tcW w:w="1560" w:type="dxa"/>
            <w:tcMar>
              <w:top w:w="60" w:type="dxa"/>
              <w:left w:w="80" w:type="dxa"/>
              <w:bottom w:w="60" w:type="dxa"/>
              <w:right w:w="80" w:type="dxa"/>
            </w:tcMar>
          </w:tcPr>
          <w:p w14:paraId="00125FD9" w14:textId="77777777" w:rsidR="00C26415" w:rsidRPr="00F92B0F" w:rsidRDefault="00000000" w:rsidP="00EB5B10">
            <w:pPr>
              <w:spacing w:line="360" w:lineRule="auto"/>
              <w:jc w:val="left"/>
              <w:rPr>
                <w:sz w:val="22"/>
                <w:szCs w:val="22"/>
              </w:rPr>
            </w:pPr>
            <w:r w:rsidRPr="00F92B0F">
              <w:rPr>
                <w:sz w:val="22"/>
                <w:szCs w:val="22"/>
              </w:rPr>
              <w:t>Poor on non-stationary emission series</w:t>
            </w:r>
          </w:p>
        </w:tc>
      </w:tr>
    </w:tbl>
    <w:p w14:paraId="7CACF372" w14:textId="77777777" w:rsidR="00AD709D" w:rsidRPr="00AD709D" w:rsidRDefault="00AB5E97" w:rsidP="00AD709D">
      <w:pPr>
        <w:pStyle w:val="Heading2"/>
        <w:spacing w:line="360" w:lineRule="auto"/>
        <w:rPr>
          <w:b w:val="0"/>
          <w:bCs w:val="0"/>
          <w:color w:val="auto"/>
        </w:rPr>
      </w:pPr>
      <w:r w:rsidRPr="00AB5E97">
        <w:rPr>
          <w:b w:val="0"/>
          <w:bCs w:val="0"/>
          <w:color w:val="auto"/>
        </w:rPr>
        <w:t xml:space="preserve">Once raw sensor data is acquired, the next analytical challenge is to turn it into emission estimates and forecasts that decision-makers can act on. </w:t>
      </w:r>
      <w:r w:rsidR="00AD709D" w:rsidRPr="00AD709D">
        <w:rPr>
          <w:b w:val="0"/>
          <w:bCs w:val="0"/>
          <w:color w:val="auto"/>
        </w:rPr>
        <w:t xml:space="preserve">AI and machine learning models are central to emission estimation and forecasting, with architectures ranging from ensemble methods to deep learning. Comparative studies consistently show that nonlinear and hybrid </w:t>
      </w:r>
      <w:r w:rsidR="00AD709D" w:rsidRPr="00AD709D">
        <w:rPr>
          <w:b w:val="0"/>
          <w:bCs w:val="0"/>
          <w:color w:val="auto"/>
        </w:rPr>
        <w:lastRenderedPageBreak/>
        <w:t>models outperform traditional statistical approaches, although performance is highly context-dependent. Ajala et al. (2025) and Ene Yalcın (2024) both demonstrate that no single model is universally optimal, with predictive accuracy varying significantly across datasets, sectors, and economic contexts.</w:t>
      </w:r>
    </w:p>
    <w:p w14:paraId="12046529" w14:textId="77777777" w:rsidR="00AD709D" w:rsidRPr="00AD709D" w:rsidRDefault="00AD709D" w:rsidP="00AD709D">
      <w:pPr>
        <w:pStyle w:val="Heading2"/>
        <w:spacing w:line="360" w:lineRule="auto"/>
        <w:rPr>
          <w:b w:val="0"/>
          <w:bCs w:val="0"/>
          <w:color w:val="auto"/>
        </w:rPr>
      </w:pPr>
    </w:p>
    <w:p w14:paraId="37869CCB" w14:textId="0E32D16E" w:rsidR="00AB5E97" w:rsidRDefault="00AD709D" w:rsidP="00AD709D">
      <w:pPr>
        <w:pStyle w:val="Heading2"/>
        <w:spacing w:line="360" w:lineRule="auto"/>
        <w:jc w:val="both"/>
        <w:rPr>
          <w:b w:val="0"/>
          <w:bCs w:val="0"/>
          <w:color w:val="auto"/>
        </w:rPr>
      </w:pPr>
      <w:r w:rsidRPr="00AD709D">
        <w:rPr>
          <w:b w:val="0"/>
          <w:bCs w:val="0"/>
          <w:color w:val="auto"/>
        </w:rPr>
        <w:t>Hybrid deep learning models, particularly CNN-LSTM and PSO-LSTM architectures, are frequently reported as high-performing. Han et al. (2023) and Hu et al. (2024) show improved accuracy over single-model approaches in provincial and building-level forecasting. However, three limitations constrain these findings: reliance on national or provincial datasets with limited generalisability</w:t>
      </w:r>
      <w:r>
        <w:rPr>
          <w:b w:val="0"/>
          <w:bCs w:val="0"/>
          <w:color w:val="auto"/>
        </w:rPr>
        <w:t xml:space="preserve"> to different economic or geographic contexts</w:t>
      </w:r>
      <w:r w:rsidRPr="00AD709D">
        <w:rPr>
          <w:b w:val="0"/>
          <w:bCs w:val="0"/>
          <w:color w:val="auto"/>
        </w:rPr>
        <w:t>; dependence on train-test validation rather than external validation; and inconsistent evaluation metrics across studies. As a result, reported performance should be interpreted as context-specific rather than universally transferable.</w:t>
      </w:r>
      <w:r w:rsidR="00AB5E97" w:rsidRPr="00AB5E97">
        <w:rPr>
          <w:b w:val="0"/>
          <w:bCs w:val="0"/>
          <w:color w:val="auto"/>
        </w:rPr>
        <w:t xml:space="preserve"> </w:t>
      </w:r>
    </w:p>
    <w:p w14:paraId="696653C4" w14:textId="445CCF39" w:rsidR="00B85822" w:rsidRDefault="00000000" w:rsidP="00880923">
      <w:pPr>
        <w:pStyle w:val="Heading2"/>
        <w:spacing w:line="360" w:lineRule="auto"/>
        <w:jc w:val="both"/>
      </w:pPr>
      <w:r>
        <w:t>4.2 Sectoral Coverage, Explainability, and Live-Data Disconnection</w:t>
      </w:r>
    </w:p>
    <w:p w14:paraId="091E2AB7" w14:textId="3D2EF4B2" w:rsidR="00B95B99" w:rsidRPr="00B95B99" w:rsidRDefault="00E442E4" w:rsidP="00C97DB3">
      <w:pPr>
        <w:pStyle w:val="Heading2"/>
        <w:spacing w:line="360" w:lineRule="auto"/>
        <w:jc w:val="both"/>
        <w:rPr>
          <w:b w:val="0"/>
          <w:bCs w:val="0"/>
          <w:color w:val="auto"/>
        </w:rPr>
      </w:pPr>
      <w:r w:rsidRPr="00E442E4">
        <w:rPr>
          <w:b w:val="0"/>
          <w:bCs w:val="0"/>
          <w:color w:val="auto"/>
        </w:rPr>
        <w:t>Explainable AI (XAI) approaches are emerging as a response to the limitations of black-box models. Studies by Chen et al. (2024) and Jamei et al. (2025) demonstrate that interpretability can be improved without substantial loss of predictive accuracy, although such approaches remain underrepresented in the literature.</w:t>
      </w:r>
      <w:r>
        <w:rPr>
          <w:b w:val="0"/>
          <w:bCs w:val="0"/>
          <w:color w:val="auto"/>
        </w:rPr>
        <w:t xml:space="preserve"> </w:t>
      </w:r>
      <w:r w:rsidR="00B95B99" w:rsidRPr="00B95B99">
        <w:rPr>
          <w:b w:val="0"/>
          <w:bCs w:val="0"/>
          <w:color w:val="auto"/>
        </w:rPr>
        <w:t>This matters for regulatory applications where black-box outputs carry limited credibility.</w:t>
      </w:r>
    </w:p>
    <w:p w14:paraId="341AC2A1" w14:textId="085547DD" w:rsidR="00B95B99" w:rsidRPr="00B95B99" w:rsidRDefault="00B95B99" w:rsidP="00563F61">
      <w:pPr>
        <w:pStyle w:val="Heading2"/>
        <w:spacing w:line="360" w:lineRule="auto"/>
        <w:jc w:val="both"/>
        <w:rPr>
          <w:b w:val="0"/>
          <w:bCs w:val="0"/>
          <w:color w:val="auto"/>
        </w:rPr>
      </w:pPr>
      <w:r w:rsidRPr="00B95B99">
        <w:rPr>
          <w:b w:val="0"/>
          <w:bCs w:val="0"/>
          <w:color w:val="auto"/>
        </w:rPr>
        <w:t>Sectoral coverage is uneven</w:t>
      </w:r>
      <w:r w:rsidR="00E442E4">
        <w:rPr>
          <w:b w:val="0"/>
          <w:bCs w:val="0"/>
          <w:color w:val="auto"/>
        </w:rPr>
        <w:t xml:space="preserve">. </w:t>
      </w:r>
      <w:r w:rsidRPr="00B95B99">
        <w:rPr>
          <w:b w:val="0"/>
          <w:bCs w:val="0"/>
          <w:color w:val="auto"/>
        </w:rPr>
        <w:t>Buildings and construction dominate, with eight studies addressing operational or embodied carbon prediction in built environments (Yan et al., 2023; Hu et al., 2024; Wang et al., 2025; Zheng et al., 2024; Das, 2025; Arun et al., 2024; Yang, 2025; Zhang et al., 2025). Provincial and national-scale forecasting studies account for a further ten, with transport and agriculture underrepresented. Geographically,</w:t>
      </w:r>
      <w:r w:rsidR="005F306B">
        <w:rPr>
          <w:b w:val="0"/>
          <w:bCs w:val="0"/>
          <w:color w:val="auto"/>
        </w:rPr>
        <w:t xml:space="preserve"> t</w:t>
      </w:r>
      <w:r w:rsidR="005F306B" w:rsidRPr="005F306B">
        <w:rPr>
          <w:b w:val="0"/>
          <w:bCs w:val="0"/>
          <w:color w:val="auto"/>
        </w:rPr>
        <w:t>he literature is heavily concentrated in China, with limited representation from the Global South and no indexed studies focused on Zimbabwe</w:t>
      </w:r>
      <w:r w:rsidRPr="00B95B99">
        <w:rPr>
          <w:b w:val="0"/>
          <w:bCs w:val="0"/>
          <w:color w:val="auto"/>
        </w:rPr>
        <w:t>, a gap addressed in Section 4.3.</w:t>
      </w:r>
    </w:p>
    <w:p w14:paraId="0A1065FD" w14:textId="77777777" w:rsidR="005F306B" w:rsidRDefault="005F306B" w:rsidP="00C97DB3">
      <w:pPr>
        <w:pStyle w:val="Heading2"/>
        <w:spacing w:line="360" w:lineRule="auto"/>
        <w:jc w:val="both"/>
        <w:rPr>
          <w:b w:val="0"/>
          <w:bCs w:val="0"/>
          <w:color w:val="auto"/>
        </w:rPr>
      </w:pPr>
      <w:r w:rsidRPr="005F306B">
        <w:rPr>
          <w:b w:val="0"/>
          <w:bCs w:val="0"/>
          <w:color w:val="auto"/>
        </w:rPr>
        <w:t>A key structural gap is the disconnect between AI forecasting models and operational monitoring systems. Most models are trained on historical emissions inventories or energy statistics rather than real-time IoT sensor data. Only a small subset of studies (e.g., Zhu et al., 2023; Marquez-</w:t>
      </w:r>
      <w:r w:rsidRPr="005F306B">
        <w:rPr>
          <w:b w:val="0"/>
          <w:bCs w:val="0"/>
          <w:color w:val="auto"/>
        </w:rPr>
        <w:lastRenderedPageBreak/>
        <w:t>Zepeda et al., 2025) demonstrate AI systems operating on live data streams. This separation limits the feasibility of integrated, real-time carbon management systems.</w:t>
      </w:r>
    </w:p>
    <w:p w14:paraId="1AB5ABD6" w14:textId="2C851F59" w:rsidR="00B85822" w:rsidRDefault="00000000" w:rsidP="00C97DB3">
      <w:pPr>
        <w:pStyle w:val="Heading2"/>
        <w:spacing w:line="360" w:lineRule="auto"/>
        <w:jc w:val="both"/>
      </w:pPr>
      <w:r>
        <w:t xml:space="preserve">4.3 </w:t>
      </w:r>
      <w:r w:rsidR="00B95B99">
        <w:t xml:space="preserve">Sustained </w:t>
      </w:r>
      <w:r>
        <w:t>Challenges in AI-Based Emission Forecasting</w:t>
      </w:r>
    </w:p>
    <w:p w14:paraId="181ED2E6" w14:textId="77777777" w:rsidR="00563F61" w:rsidRDefault="00563F61" w:rsidP="00B95B99">
      <w:pPr>
        <w:pStyle w:val="Heading1"/>
        <w:spacing w:line="360" w:lineRule="auto"/>
        <w:rPr>
          <w:b w:val="0"/>
          <w:bCs w:val="0"/>
          <w:color w:val="auto"/>
          <w:sz w:val="24"/>
          <w:szCs w:val="24"/>
        </w:rPr>
      </w:pPr>
      <w:r w:rsidRPr="00563F61">
        <w:rPr>
          <w:b w:val="0"/>
          <w:bCs w:val="0"/>
          <w:color w:val="auto"/>
          <w:sz w:val="24"/>
          <w:szCs w:val="24"/>
        </w:rPr>
        <w:t>AI-based carbon forecasting faces four persistent challenges that constrain its operational use in carbon governance.</w:t>
      </w:r>
    </w:p>
    <w:p w14:paraId="0656537F" w14:textId="4DE5B81D" w:rsidR="00774922" w:rsidRPr="00B95B99" w:rsidRDefault="00B95B99" w:rsidP="00774922">
      <w:pPr>
        <w:pStyle w:val="Heading1"/>
        <w:spacing w:line="360" w:lineRule="auto"/>
        <w:jc w:val="both"/>
        <w:rPr>
          <w:b w:val="0"/>
          <w:bCs w:val="0"/>
          <w:color w:val="auto"/>
          <w:sz w:val="24"/>
          <w:szCs w:val="24"/>
        </w:rPr>
      </w:pPr>
      <w:r w:rsidRPr="00B95B99">
        <w:rPr>
          <w:b w:val="0"/>
          <w:bCs w:val="0"/>
          <w:color w:val="auto"/>
          <w:sz w:val="24"/>
          <w:szCs w:val="24"/>
        </w:rPr>
        <w:t xml:space="preserve">The first and most widely reported challenge is data quality and availability. </w:t>
      </w:r>
      <w:r w:rsidR="00774922" w:rsidRPr="00774922">
        <w:rPr>
          <w:b w:val="0"/>
          <w:bCs w:val="0"/>
          <w:color w:val="auto"/>
          <w:sz w:val="24"/>
          <w:szCs w:val="24"/>
        </w:rPr>
        <w:t>Model performance is highly sensitive to dataset completeness, consistency, and temporal resolution (Kumari &amp; Singh, 2023; Ajala et al., 2025). This constraint is particularly severe in low- and middle-income contexts, where emissions data is often incomplete or inaccessible. In Zimbabwe, the absence of granular, publicly available emissions datasets prevents direct training or validation of AI models, limiting the applicability of approaches developed in data-rich environments.</w:t>
      </w:r>
      <w:r w:rsidR="00774922">
        <w:rPr>
          <w:b w:val="0"/>
          <w:bCs w:val="0"/>
          <w:color w:val="auto"/>
          <w:sz w:val="24"/>
          <w:szCs w:val="24"/>
        </w:rPr>
        <w:t xml:space="preserve"> A </w:t>
      </w:r>
      <w:r w:rsidR="00774922" w:rsidRPr="00B95B99">
        <w:rPr>
          <w:b w:val="0"/>
          <w:bCs w:val="0"/>
          <w:color w:val="auto"/>
          <w:sz w:val="24"/>
          <w:szCs w:val="24"/>
        </w:rPr>
        <w:t xml:space="preserve"> structural barrier that the reviewed literature does not acknowledge but that directly constrains the transferability of these methods to African carbon governance contexts. At the design stage, this becomes difficult because the choice is not between a good dataset and a better one — it is between proceeding with reconstructed activity data and not building the system at all.</w:t>
      </w:r>
    </w:p>
    <w:p w14:paraId="673F89A0" w14:textId="77777777" w:rsidR="009E52A6" w:rsidRPr="00B95B99" w:rsidRDefault="00B95B99" w:rsidP="009E52A6">
      <w:pPr>
        <w:pStyle w:val="Heading1"/>
        <w:spacing w:line="360" w:lineRule="auto"/>
        <w:jc w:val="both"/>
        <w:rPr>
          <w:b w:val="0"/>
          <w:bCs w:val="0"/>
          <w:color w:val="auto"/>
          <w:sz w:val="24"/>
          <w:szCs w:val="24"/>
        </w:rPr>
      </w:pPr>
      <w:r w:rsidRPr="00B95B99">
        <w:rPr>
          <w:b w:val="0"/>
          <w:bCs w:val="0"/>
          <w:color w:val="auto"/>
          <w:sz w:val="24"/>
          <w:szCs w:val="24"/>
        </w:rPr>
        <w:t>The second challenge is model comprehensibility</w:t>
      </w:r>
      <w:r w:rsidR="00352016">
        <w:rPr>
          <w:b w:val="0"/>
          <w:bCs w:val="0"/>
          <w:color w:val="auto"/>
          <w:sz w:val="24"/>
          <w:szCs w:val="24"/>
        </w:rPr>
        <w:t xml:space="preserve"> which remains unresolved</w:t>
      </w:r>
      <w:r w:rsidRPr="00B95B99">
        <w:rPr>
          <w:b w:val="0"/>
          <w:bCs w:val="0"/>
          <w:color w:val="auto"/>
          <w:sz w:val="24"/>
          <w:szCs w:val="24"/>
        </w:rPr>
        <w:t xml:space="preserve">. </w:t>
      </w:r>
      <w:r w:rsidR="00352016">
        <w:rPr>
          <w:b w:val="0"/>
          <w:bCs w:val="0"/>
          <w:color w:val="auto"/>
          <w:sz w:val="24"/>
          <w:szCs w:val="24"/>
        </w:rPr>
        <w:t xml:space="preserve"> </w:t>
      </w:r>
      <w:r w:rsidR="00352016" w:rsidRPr="00352016">
        <w:rPr>
          <w:b w:val="0"/>
          <w:bCs w:val="0"/>
          <w:color w:val="auto"/>
          <w:sz w:val="24"/>
          <w:szCs w:val="24"/>
        </w:rPr>
        <w:t>Many high-performing models operate as black-box systems, limiting their regulatory credibility.</w:t>
      </w:r>
      <w:r w:rsidR="005F1A30">
        <w:rPr>
          <w:b w:val="0"/>
          <w:bCs w:val="0"/>
          <w:color w:val="auto"/>
          <w:sz w:val="24"/>
          <w:szCs w:val="24"/>
        </w:rPr>
        <w:t xml:space="preserve"> </w:t>
      </w:r>
      <w:r w:rsidR="005F1A30" w:rsidRPr="00B95B99">
        <w:rPr>
          <w:b w:val="0"/>
          <w:bCs w:val="0"/>
          <w:color w:val="auto"/>
          <w:sz w:val="24"/>
          <w:szCs w:val="24"/>
        </w:rPr>
        <w:t>This vagueness limits their regulatory credibility and policy utility, since decision-makers require not only accurate predictions but explainable causal relationships between emission drivers and outcomes. Chen et al. (2024) and Jamei et al. (2025)</w:t>
      </w:r>
      <w:r w:rsidR="009E52A6">
        <w:rPr>
          <w:b w:val="0"/>
          <w:bCs w:val="0"/>
          <w:color w:val="auto"/>
          <w:sz w:val="24"/>
          <w:szCs w:val="24"/>
        </w:rPr>
        <w:t>.</w:t>
      </w:r>
      <w:r w:rsidR="00352016" w:rsidRPr="00352016">
        <w:rPr>
          <w:b w:val="0"/>
          <w:bCs w:val="0"/>
          <w:color w:val="auto"/>
          <w:sz w:val="24"/>
          <w:szCs w:val="24"/>
        </w:rPr>
        <w:t xml:space="preserve"> While explainable AI approaches partially address this issue, they remain a minority, and no reviewed study demonstrates formal regulatory adoption of AI-generated emission forecasts</w:t>
      </w:r>
      <w:r w:rsidR="009E52A6">
        <w:rPr>
          <w:b w:val="0"/>
          <w:bCs w:val="0"/>
          <w:color w:val="auto"/>
          <w:sz w:val="24"/>
          <w:szCs w:val="24"/>
        </w:rPr>
        <w:t xml:space="preserve"> </w:t>
      </w:r>
      <w:r w:rsidR="009E52A6" w:rsidRPr="00B95B99">
        <w:rPr>
          <w:b w:val="0"/>
          <w:bCs w:val="0"/>
          <w:color w:val="auto"/>
          <w:sz w:val="24"/>
          <w:szCs w:val="24"/>
        </w:rPr>
        <w:t>as a primary input to compliance reporting.</w:t>
      </w:r>
    </w:p>
    <w:p w14:paraId="6D039839" w14:textId="50297D06" w:rsidR="00B95B99" w:rsidRPr="00B95B99" w:rsidRDefault="001A5EA8" w:rsidP="000807C0">
      <w:pPr>
        <w:pStyle w:val="Heading1"/>
        <w:spacing w:line="360" w:lineRule="auto"/>
        <w:jc w:val="both"/>
        <w:rPr>
          <w:b w:val="0"/>
          <w:bCs w:val="0"/>
          <w:color w:val="auto"/>
          <w:sz w:val="24"/>
          <w:szCs w:val="24"/>
        </w:rPr>
      </w:pPr>
      <w:r>
        <w:rPr>
          <w:b w:val="0"/>
          <w:bCs w:val="0"/>
          <w:color w:val="auto"/>
          <w:sz w:val="24"/>
          <w:szCs w:val="24"/>
        </w:rPr>
        <w:t xml:space="preserve">Third, </w:t>
      </w:r>
      <w:r w:rsidR="00B95B99" w:rsidRPr="00B95B99">
        <w:rPr>
          <w:b w:val="0"/>
          <w:bCs w:val="0"/>
          <w:color w:val="auto"/>
          <w:sz w:val="24"/>
          <w:szCs w:val="24"/>
        </w:rPr>
        <w:t>geographic transferability</w:t>
      </w:r>
      <w:r>
        <w:rPr>
          <w:b w:val="0"/>
          <w:bCs w:val="0"/>
          <w:color w:val="auto"/>
          <w:sz w:val="24"/>
          <w:szCs w:val="24"/>
        </w:rPr>
        <w:t xml:space="preserve"> is limited</w:t>
      </w:r>
      <w:r w:rsidR="00B95B99" w:rsidRPr="00B95B99">
        <w:rPr>
          <w:b w:val="0"/>
          <w:bCs w:val="0"/>
          <w:color w:val="auto"/>
          <w:sz w:val="24"/>
          <w:szCs w:val="24"/>
        </w:rPr>
        <w:t xml:space="preserve">. </w:t>
      </w:r>
      <w:r w:rsidRPr="001A5EA8">
        <w:rPr>
          <w:b w:val="0"/>
          <w:bCs w:val="0"/>
          <w:color w:val="auto"/>
          <w:sz w:val="24"/>
          <w:szCs w:val="24"/>
        </w:rPr>
        <w:t>Models trained in one region typically require recalibration when applied elsewhere due to differences in energy systems, economic structures, and data environments (Zhao et al., 2022; Ene Yalcın, 2024). This limitation is particularly pronounced between high-income and low-income contexts, constraining the global applicability of existing models</w:t>
      </w:r>
      <w:r w:rsidR="00B95B99" w:rsidRPr="00B95B99">
        <w:rPr>
          <w:b w:val="0"/>
          <w:bCs w:val="0"/>
          <w:color w:val="auto"/>
          <w:sz w:val="24"/>
          <w:szCs w:val="24"/>
        </w:rPr>
        <w:t xml:space="preserve">. This is where the limitation appears for a system designed for the Zimbabwean </w:t>
      </w:r>
      <w:r w:rsidR="00B95B99" w:rsidRPr="00B95B99">
        <w:rPr>
          <w:b w:val="0"/>
          <w:bCs w:val="0"/>
          <w:color w:val="auto"/>
          <w:sz w:val="24"/>
          <w:szCs w:val="24"/>
        </w:rPr>
        <w:lastRenderedPageBreak/>
        <w:t>context: a model that performs well on Chinese provincial data has not been shown to perform well on a different energy mix, a different sectoral composition, and a different reporting cadence, and assuming it would is the kind of design shortcut the framework in Section 8 is intended to discipline against.</w:t>
      </w:r>
    </w:p>
    <w:p w14:paraId="25FD9D5F" w14:textId="77777777" w:rsidR="00CA0A16" w:rsidRDefault="000807C0" w:rsidP="005A69DB">
      <w:pPr>
        <w:pStyle w:val="Heading1"/>
        <w:spacing w:line="360" w:lineRule="auto"/>
        <w:jc w:val="both"/>
        <w:rPr>
          <w:b w:val="0"/>
          <w:bCs w:val="0"/>
          <w:color w:val="auto"/>
          <w:sz w:val="24"/>
          <w:szCs w:val="24"/>
        </w:rPr>
      </w:pPr>
      <w:r w:rsidRPr="000807C0">
        <w:rPr>
          <w:b w:val="0"/>
          <w:bCs w:val="0"/>
          <w:color w:val="auto"/>
          <w:sz w:val="24"/>
          <w:szCs w:val="24"/>
        </w:rPr>
        <w:t xml:space="preserve">Fourth, AI forecasting remains largely disconnected from live monitoring infrastructure. </w:t>
      </w:r>
      <w:r w:rsidR="00B95B99" w:rsidRPr="00B95B99">
        <w:rPr>
          <w:b w:val="0"/>
          <w:bCs w:val="0"/>
          <w:color w:val="auto"/>
          <w:sz w:val="24"/>
          <w:szCs w:val="24"/>
        </w:rPr>
        <w:t xml:space="preserve"> As noted in Section 4.2, </w:t>
      </w:r>
      <w:r w:rsidRPr="00B95B99">
        <w:rPr>
          <w:b w:val="0"/>
          <w:bCs w:val="0"/>
          <w:color w:val="auto"/>
          <w:sz w:val="24"/>
          <w:szCs w:val="24"/>
        </w:rPr>
        <w:t>most</w:t>
      </w:r>
      <w:r w:rsidR="00B95B99" w:rsidRPr="00B95B99">
        <w:rPr>
          <w:b w:val="0"/>
          <w:bCs w:val="0"/>
          <w:color w:val="auto"/>
          <w:sz w:val="24"/>
          <w:szCs w:val="24"/>
        </w:rPr>
        <w:t xml:space="preserve"> reviewed AI models are trained on historical inventory datasets rather than real-time IoT sensor streams. This means that even the most accurate forecasting models reviewed operate on data that is already outdated by the time predictions are generated, a fundamental limitation for applications requiring continuous or near-real-time carbon oversight</w:t>
      </w:r>
      <w:r w:rsidRPr="000807C0">
        <w:rPr>
          <w:b w:val="0"/>
          <w:bCs w:val="0"/>
          <w:color w:val="auto"/>
          <w:sz w:val="24"/>
          <w:szCs w:val="24"/>
        </w:rPr>
        <w:t>.</w:t>
      </w:r>
    </w:p>
    <w:p w14:paraId="3A1914DA" w14:textId="77777777" w:rsidR="00CA0A16" w:rsidRDefault="000807C0" w:rsidP="005A69DB">
      <w:pPr>
        <w:pStyle w:val="Heading1"/>
        <w:spacing w:line="360" w:lineRule="auto"/>
        <w:jc w:val="both"/>
        <w:rPr>
          <w:b w:val="0"/>
          <w:bCs w:val="0"/>
          <w:color w:val="auto"/>
          <w:sz w:val="24"/>
          <w:szCs w:val="24"/>
        </w:rPr>
      </w:pPr>
      <w:r w:rsidRPr="000807C0">
        <w:rPr>
          <w:b w:val="0"/>
          <w:bCs w:val="0"/>
          <w:color w:val="auto"/>
          <w:sz w:val="24"/>
          <w:szCs w:val="24"/>
        </w:rPr>
        <w:t xml:space="preserve"> Bridging this gap requires integration with sensor data pipelines and the development of models capable of handling high-frequency, noisy data streams, which current literature has not demonstrated at operational scale.</w:t>
      </w:r>
      <w:r w:rsidR="00CA0A16">
        <w:rPr>
          <w:b w:val="0"/>
          <w:bCs w:val="0"/>
          <w:color w:val="auto"/>
          <w:sz w:val="24"/>
          <w:szCs w:val="24"/>
        </w:rPr>
        <w:t xml:space="preserve"> </w:t>
      </w:r>
      <w:r w:rsidR="00CA0A16" w:rsidRPr="00B95B99">
        <w:rPr>
          <w:b w:val="0"/>
          <w:bCs w:val="0"/>
          <w:color w:val="auto"/>
          <w:sz w:val="24"/>
          <w:szCs w:val="24"/>
        </w:rPr>
        <w:t>Progress on each is necessary, though not individually sufficient, for AI forecasting to function as a validated, operationally credible component of integrated digital carbon management systems.</w:t>
      </w:r>
    </w:p>
    <w:p w14:paraId="591ED746" w14:textId="5F418EB2" w:rsidR="00B85822" w:rsidRDefault="00000000" w:rsidP="00CA0A16">
      <w:pPr>
        <w:pStyle w:val="Heading1"/>
        <w:spacing w:line="360" w:lineRule="auto"/>
      </w:pPr>
      <w:r>
        <w:t>5. Verification, Reporting, and Governance</w:t>
      </w:r>
    </w:p>
    <w:p w14:paraId="0F357F3C" w14:textId="77777777" w:rsidR="00B85822" w:rsidRDefault="00000000" w:rsidP="000600B3">
      <w:pPr>
        <w:pStyle w:val="Heading2"/>
        <w:spacing w:line="360" w:lineRule="auto"/>
        <w:jc w:val="both"/>
      </w:pPr>
      <w:r>
        <w:t>5.1 Carbon Accounting: Principles and Governance Foundations</w:t>
      </w:r>
    </w:p>
    <w:p w14:paraId="125EDC5E" w14:textId="77777777" w:rsidR="00B85822" w:rsidRDefault="00000000" w:rsidP="000600B3">
      <w:pPr>
        <w:spacing w:before="200" w:after="60" w:line="360" w:lineRule="auto"/>
      </w:pPr>
      <w:r>
        <w:rPr>
          <w:b/>
          <w:bCs/>
          <w:sz w:val="20"/>
          <w:szCs w:val="20"/>
        </w:rPr>
        <w:t>Table 5: Summary of Verification, Reporting, and Governance Studies by Context (n=25)</w:t>
      </w:r>
    </w:p>
    <w:tbl>
      <w:tblPr>
        <w:tblStyle w:val="TableGrid"/>
        <w:tblW w:w="936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ook w:val="0000" w:firstRow="0" w:lastRow="0" w:firstColumn="0" w:lastColumn="0" w:noHBand="0" w:noVBand="0"/>
      </w:tblPr>
      <w:tblGrid>
        <w:gridCol w:w="1536"/>
        <w:gridCol w:w="783"/>
        <w:gridCol w:w="1787"/>
        <w:gridCol w:w="1843"/>
        <w:gridCol w:w="1559"/>
        <w:gridCol w:w="1852"/>
      </w:tblGrid>
      <w:tr w:rsidR="00C26415" w14:paraId="22D624D8" w14:textId="77777777" w:rsidTr="00451DD8">
        <w:tc>
          <w:tcPr>
            <w:tcW w:w="1536" w:type="dxa"/>
            <w:shd w:val="clear" w:color="auto" w:fill="D9E2F3"/>
            <w:tcMar>
              <w:top w:w="60" w:type="dxa"/>
              <w:left w:w="80" w:type="dxa"/>
              <w:bottom w:w="60" w:type="dxa"/>
              <w:right w:w="80" w:type="dxa"/>
            </w:tcMar>
          </w:tcPr>
          <w:p w14:paraId="5C38C522" w14:textId="77777777" w:rsidR="00C26415" w:rsidRPr="00BF6B85" w:rsidRDefault="00000000" w:rsidP="00BF6B85">
            <w:pPr>
              <w:spacing w:line="360" w:lineRule="auto"/>
              <w:jc w:val="left"/>
              <w:rPr>
                <w:sz w:val="20"/>
                <w:szCs w:val="20"/>
              </w:rPr>
            </w:pPr>
            <w:r w:rsidRPr="00BF6B85">
              <w:rPr>
                <w:b/>
                <w:bCs/>
                <w:sz w:val="20"/>
                <w:szCs w:val="20"/>
              </w:rPr>
              <w:t>MRV Context</w:t>
            </w:r>
          </w:p>
        </w:tc>
        <w:tc>
          <w:tcPr>
            <w:tcW w:w="783" w:type="dxa"/>
            <w:shd w:val="clear" w:color="auto" w:fill="D9E2F3"/>
            <w:tcMar>
              <w:top w:w="60" w:type="dxa"/>
              <w:left w:w="80" w:type="dxa"/>
              <w:bottom w:w="60" w:type="dxa"/>
              <w:right w:w="80" w:type="dxa"/>
            </w:tcMar>
          </w:tcPr>
          <w:p w14:paraId="08EF9208" w14:textId="77777777" w:rsidR="00C26415" w:rsidRPr="00BF6B85" w:rsidRDefault="00000000" w:rsidP="00BF6B85">
            <w:pPr>
              <w:spacing w:line="360" w:lineRule="auto"/>
              <w:jc w:val="left"/>
              <w:rPr>
                <w:sz w:val="20"/>
                <w:szCs w:val="20"/>
              </w:rPr>
            </w:pPr>
            <w:r w:rsidRPr="00BF6B85">
              <w:rPr>
                <w:b/>
                <w:bCs/>
                <w:sz w:val="20"/>
                <w:szCs w:val="20"/>
              </w:rPr>
              <w:t>Studies (n)</w:t>
            </w:r>
          </w:p>
        </w:tc>
        <w:tc>
          <w:tcPr>
            <w:tcW w:w="1787" w:type="dxa"/>
            <w:shd w:val="clear" w:color="auto" w:fill="D9E2F3"/>
            <w:tcMar>
              <w:top w:w="60" w:type="dxa"/>
              <w:left w:w="80" w:type="dxa"/>
              <w:bottom w:w="60" w:type="dxa"/>
              <w:right w:w="80" w:type="dxa"/>
            </w:tcMar>
          </w:tcPr>
          <w:p w14:paraId="69C1E6DD" w14:textId="77777777" w:rsidR="00C26415" w:rsidRPr="00BF6B85" w:rsidRDefault="00000000" w:rsidP="00BF6B85">
            <w:pPr>
              <w:spacing w:line="360" w:lineRule="auto"/>
              <w:jc w:val="left"/>
              <w:rPr>
                <w:sz w:val="20"/>
                <w:szCs w:val="20"/>
              </w:rPr>
            </w:pPr>
            <w:r w:rsidRPr="00BF6B85">
              <w:rPr>
                <w:b/>
                <w:bCs/>
                <w:sz w:val="20"/>
                <w:szCs w:val="20"/>
              </w:rPr>
              <w:t>Framework / Standard</w:t>
            </w:r>
          </w:p>
        </w:tc>
        <w:tc>
          <w:tcPr>
            <w:tcW w:w="1843" w:type="dxa"/>
            <w:shd w:val="clear" w:color="auto" w:fill="D9E2F3"/>
            <w:tcMar>
              <w:top w:w="60" w:type="dxa"/>
              <w:left w:w="80" w:type="dxa"/>
              <w:bottom w:w="60" w:type="dxa"/>
              <w:right w:w="80" w:type="dxa"/>
            </w:tcMar>
          </w:tcPr>
          <w:p w14:paraId="4EC2A1B2" w14:textId="77777777" w:rsidR="00C26415" w:rsidRPr="00BF6B85" w:rsidRDefault="00000000" w:rsidP="00BF6B85">
            <w:pPr>
              <w:spacing w:line="360" w:lineRule="auto"/>
              <w:jc w:val="left"/>
              <w:rPr>
                <w:sz w:val="20"/>
                <w:szCs w:val="20"/>
              </w:rPr>
            </w:pPr>
            <w:r w:rsidRPr="00BF6B85">
              <w:rPr>
                <w:b/>
                <w:bCs/>
                <w:sz w:val="20"/>
                <w:szCs w:val="20"/>
              </w:rPr>
              <w:t>Digital Infrastructure</w:t>
            </w:r>
          </w:p>
        </w:tc>
        <w:tc>
          <w:tcPr>
            <w:tcW w:w="1559" w:type="dxa"/>
            <w:shd w:val="clear" w:color="auto" w:fill="D9E2F3"/>
            <w:tcMar>
              <w:top w:w="60" w:type="dxa"/>
              <w:left w:w="80" w:type="dxa"/>
              <w:bottom w:w="60" w:type="dxa"/>
              <w:right w:w="80" w:type="dxa"/>
            </w:tcMar>
          </w:tcPr>
          <w:p w14:paraId="1BC21BB5" w14:textId="77777777" w:rsidR="00C26415" w:rsidRPr="00BF6B85" w:rsidRDefault="00000000" w:rsidP="00BF6B85">
            <w:pPr>
              <w:spacing w:line="360" w:lineRule="auto"/>
              <w:jc w:val="left"/>
              <w:rPr>
                <w:sz w:val="20"/>
                <w:szCs w:val="20"/>
              </w:rPr>
            </w:pPr>
            <w:r w:rsidRPr="00BF6B85">
              <w:rPr>
                <w:b/>
                <w:bCs/>
                <w:sz w:val="20"/>
                <w:szCs w:val="20"/>
              </w:rPr>
              <w:t>Verification Approach</w:t>
            </w:r>
          </w:p>
        </w:tc>
        <w:tc>
          <w:tcPr>
            <w:tcW w:w="1852" w:type="dxa"/>
            <w:shd w:val="clear" w:color="auto" w:fill="D9E2F3"/>
            <w:tcMar>
              <w:top w:w="60" w:type="dxa"/>
              <w:left w:w="80" w:type="dxa"/>
              <w:bottom w:w="60" w:type="dxa"/>
              <w:right w:w="80" w:type="dxa"/>
            </w:tcMar>
          </w:tcPr>
          <w:p w14:paraId="00ADB3C4" w14:textId="77777777" w:rsidR="00C26415" w:rsidRPr="00BF6B85" w:rsidRDefault="00000000" w:rsidP="00BF6B85">
            <w:pPr>
              <w:spacing w:line="360" w:lineRule="auto"/>
              <w:jc w:val="left"/>
              <w:rPr>
                <w:sz w:val="20"/>
                <w:szCs w:val="20"/>
              </w:rPr>
            </w:pPr>
            <w:r w:rsidRPr="00BF6B85">
              <w:rPr>
                <w:b/>
                <w:bCs/>
                <w:sz w:val="20"/>
                <w:szCs w:val="20"/>
              </w:rPr>
              <w:t>Key Limitation</w:t>
            </w:r>
          </w:p>
        </w:tc>
      </w:tr>
      <w:tr w:rsidR="00C26415" w14:paraId="5AD036AA" w14:textId="77777777" w:rsidTr="00451DD8">
        <w:tc>
          <w:tcPr>
            <w:tcW w:w="1536" w:type="dxa"/>
            <w:tcMar>
              <w:top w:w="60" w:type="dxa"/>
              <w:left w:w="80" w:type="dxa"/>
              <w:bottom w:w="60" w:type="dxa"/>
              <w:right w:w="80" w:type="dxa"/>
            </w:tcMar>
          </w:tcPr>
          <w:p w14:paraId="0C50469E" w14:textId="77777777" w:rsidR="00C26415" w:rsidRPr="00BF6B85" w:rsidRDefault="00000000" w:rsidP="00BF6B85">
            <w:pPr>
              <w:spacing w:line="360" w:lineRule="auto"/>
              <w:jc w:val="left"/>
              <w:rPr>
                <w:sz w:val="20"/>
                <w:szCs w:val="20"/>
              </w:rPr>
            </w:pPr>
            <w:r w:rsidRPr="00BF6B85">
              <w:rPr>
                <w:sz w:val="20"/>
                <w:szCs w:val="20"/>
              </w:rPr>
              <w:t>Corporate &amp; organisational carbon accounting</w:t>
            </w:r>
          </w:p>
        </w:tc>
        <w:tc>
          <w:tcPr>
            <w:tcW w:w="783" w:type="dxa"/>
            <w:tcMar>
              <w:top w:w="60" w:type="dxa"/>
              <w:left w:w="80" w:type="dxa"/>
              <w:bottom w:w="60" w:type="dxa"/>
              <w:right w:w="80" w:type="dxa"/>
            </w:tcMar>
          </w:tcPr>
          <w:p w14:paraId="7EB1D9B3" w14:textId="77777777" w:rsidR="00C26415" w:rsidRPr="00BF6B85" w:rsidRDefault="00000000" w:rsidP="00BF6B85">
            <w:pPr>
              <w:spacing w:line="360" w:lineRule="auto"/>
              <w:jc w:val="left"/>
              <w:rPr>
                <w:sz w:val="20"/>
                <w:szCs w:val="20"/>
              </w:rPr>
            </w:pPr>
            <w:r w:rsidRPr="00BF6B85">
              <w:rPr>
                <w:sz w:val="20"/>
                <w:szCs w:val="20"/>
              </w:rPr>
              <w:t>6</w:t>
            </w:r>
          </w:p>
        </w:tc>
        <w:tc>
          <w:tcPr>
            <w:tcW w:w="1787" w:type="dxa"/>
            <w:tcMar>
              <w:top w:w="60" w:type="dxa"/>
              <w:left w:w="80" w:type="dxa"/>
              <w:bottom w:w="60" w:type="dxa"/>
              <w:right w:w="80" w:type="dxa"/>
            </w:tcMar>
          </w:tcPr>
          <w:p w14:paraId="07F9965D" w14:textId="77777777" w:rsidR="00C26415" w:rsidRPr="00BF6B85" w:rsidRDefault="00000000" w:rsidP="00BF6B85">
            <w:pPr>
              <w:spacing w:line="360" w:lineRule="auto"/>
              <w:jc w:val="left"/>
              <w:rPr>
                <w:sz w:val="20"/>
                <w:szCs w:val="20"/>
              </w:rPr>
            </w:pPr>
            <w:r w:rsidRPr="00BF6B85">
              <w:rPr>
                <w:sz w:val="20"/>
                <w:szCs w:val="20"/>
              </w:rPr>
              <w:t>GHG Protocol, MMAT rubric</w:t>
            </w:r>
          </w:p>
        </w:tc>
        <w:tc>
          <w:tcPr>
            <w:tcW w:w="1843" w:type="dxa"/>
            <w:tcMar>
              <w:top w:w="60" w:type="dxa"/>
              <w:left w:w="80" w:type="dxa"/>
              <w:bottom w:w="60" w:type="dxa"/>
              <w:right w:w="80" w:type="dxa"/>
            </w:tcMar>
          </w:tcPr>
          <w:p w14:paraId="0D0A2011" w14:textId="77777777" w:rsidR="00C26415" w:rsidRPr="00BF6B85" w:rsidRDefault="00000000" w:rsidP="00BF6B85">
            <w:pPr>
              <w:spacing w:line="360" w:lineRule="auto"/>
              <w:jc w:val="left"/>
              <w:rPr>
                <w:sz w:val="20"/>
                <w:szCs w:val="20"/>
              </w:rPr>
            </w:pPr>
            <w:r w:rsidRPr="00BF6B85">
              <w:rPr>
                <w:sz w:val="20"/>
                <w:szCs w:val="20"/>
              </w:rPr>
              <w:t>ERP systems, periodic reporting</w:t>
            </w:r>
          </w:p>
        </w:tc>
        <w:tc>
          <w:tcPr>
            <w:tcW w:w="1559" w:type="dxa"/>
            <w:tcMar>
              <w:top w:w="60" w:type="dxa"/>
              <w:left w:w="80" w:type="dxa"/>
              <w:bottom w:w="60" w:type="dxa"/>
              <w:right w:w="80" w:type="dxa"/>
            </w:tcMar>
          </w:tcPr>
          <w:p w14:paraId="587CDB14" w14:textId="77777777" w:rsidR="00C26415" w:rsidRPr="00BF6B85" w:rsidRDefault="00000000" w:rsidP="00BF6B85">
            <w:pPr>
              <w:spacing w:line="360" w:lineRule="auto"/>
              <w:jc w:val="left"/>
              <w:rPr>
                <w:sz w:val="20"/>
                <w:szCs w:val="20"/>
              </w:rPr>
            </w:pPr>
            <w:r w:rsidRPr="00BF6B85">
              <w:rPr>
                <w:sz w:val="20"/>
                <w:szCs w:val="20"/>
              </w:rPr>
              <w:t>Internal audit + third-party verification</w:t>
            </w:r>
          </w:p>
        </w:tc>
        <w:tc>
          <w:tcPr>
            <w:tcW w:w="1852" w:type="dxa"/>
            <w:tcMar>
              <w:top w:w="60" w:type="dxa"/>
              <w:left w:w="80" w:type="dxa"/>
              <w:bottom w:w="60" w:type="dxa"/>
              <w:right w:w="80" w:type="dxa"/>
            </w:tcMar>
          </w:tcPr>
          <w:p w14:paraId="48ED833A" w14:textId="77777777" w:rsidR="00C26415" w:rsidRPr="00BF6B85" w:rsidRDefault="00000000" w:rsidP="00BF6B85">
            <w:pPr>
              <w:spacing w:line="360" w:lineRule="auto"/>
              <w:jc w:val="left"/>
              <w:rPr>
                <w:sz w:val="20"/>
                <w:szCs w:val="20"/>
              </w:rPr>
            </w:pPr>
            <w:r w:rsidRPr="00BF6B85">
              <w:rPr>
                <w:sz w:val="20"/>
                <w:szCs w:val="20"/>
              </w:rPr>
              <w:t>Governance quality &gt; technology adoption</w:t>
            </w:r>
          </w:p>
        </w:tc>
      </w:tr>
      <w:tr w:rsidR="00C26415" w14:paraId="042487A7" w14:textId="77777777" w:rsidTr="00451DD8">
        <w:tc>
          <w:tcPr>
            <w:tcW w:w="1536" w:type="dxa"/>
            <w:tcMar>
              <w:top w:w="60" w:type="dxa"/>
              <w:left w:w="80" w:type="dxa"/>
              <w:bottom w:w="60" w:type="dxa"/>
              <w:right w:w="80" w:type="dxa"/>
            </w:tcMar>
          </w:tcPr>
          <w:p w14:paraId="00CDF57F" w14:textId="77777777" w:rsidR="00C26415" w:rsidRPr="00BF6B85" w:rsidRDefault="00000000" w:rsidP="00BF6B85">
            <w:pPr>
              <w:spacing w:line="360" w:lineRule="auto"/>
              <w:jc w:val="left"/>
              <w:rPr>
                <w:sz w:val="20"/>
                <w:szCs w:val="20"/>
              </w:rPr>
            </w:pPr>
            <w:r w:rsidRPr="00BF6B85">
              <w:rPr>
                <w:sz w:val="20"/>
                <w:szCs w:val="20"/>
              </w:rPr>
              <w:t>Blockchain-based MRV platforms</w:t>
            </w:r>
          </w:p>
        </w:tc>
        <w:tc>
          <w:tcPr>
            <w:tcW w:w="783" w:type="dxa"/>
            <w:tcMar>
              <w:top w:w="60" w:type="dxa"/>
              <w:left w:w="80" w:type="dxa"/>
              <w:bottom w:w="60" w:type="dxa"/>
              <w:right w:w="80" w:type="dxa"/>
            </w:tcMar>
          </w:tcPr>
          <w:p w14:paraId="784FC587" w14:textId="77777777" w:rsidR="00C26415" w:rsidRPr="00BF6B85" w:rsidRDefault="00000000" w:rsidP="00BF6B85">
            <w:pPr>
              <w:spacing w:line="360" w:lineRule="auto"/>
              <w:jc w:val="left"/>
              <w:rPr>
                <w:sz w:val="20"/>
                <w:szCs w:val="20"/>
              </w:rPr>
            </w:pPr>
            <w:r w:rsidRPr="00BF6B85">
              <w:rPr>
                <w:sz w:val="20"/>
                <w:szCs w:val="20"/>
              </w:rPr>
              <w:t>5</w:t>
            </w:r>
          </w:p>
        </w:tc>
        <w:tc>
          <w:tcPr>
            <w:tcW w:w="1787" w:type="dxa"/>
            <w:tcMar>
              <w:top w:w="60" w:type="dxa"/>
              <w:left w:w="80" w:type="dxa"/>
              <w:bottom w:w="60" w:type="dxa"/>
              <w:right w:w="80" w:type="dxa"/>
            </w:tcMar>
          </w:tcPr>
          <w:p w14:paraId="2759B552" w14:textId="77777777" w:rsidR="00C26415" w:rsidRPr="00BF6B85" w:rsidRDefault="00000000" w:rsidP="00BF6B85">
            <w:pPr>
              <w:spacing w:line="360" w:lineRule="auto"/>
              <w:jc w:val="left"/>
              <w:rPr>
                <w:sz w:val="20"/>
                <w:szCs w:val="20"/>
              </w:rPr>
            </w:pPr>
            <w:r w:rsidRPr="00BF6B85">
              <w:rPr>
                <w:sz w:val="20"/>
                <w:szCs w:val="20"/>
              </w:rPr>
              <w:t>Custom smart contract frameworks</w:t>
            </w:r>
          </w:p>
        </w:tc>
        <w:tc>
          <w:tcPr>
            <w:tcW w:w="1843" w:type="dxa"/>
            <w:tcMar>
              <w:top w:w="60" w:type="dxa"/>
              <w:left w:w="80" w:type="dxa"/>
              <w:bottom w:w="60" w:type="dxa"/>
              <w:right w:w="80" w:type="dxa"/>
            </w:tcMar>
          </w:tcPr>
          <w:p w14:paraId="378DD1BF" w14:textId="77777777" w:rsidR="00C26415" w:rsidRPr="00BF6B85" w:rsidRDefault="00000000" w:rsidP="00BF6B85">
            <w:pPr>
              <w:spacing w:line="360" w:lineRule="auto"/>
              <w:jc w:val="left"/>
              <w:rPr>
                <w:sz w:val="20"/>
                <w:szCs w:val="20"/>
              </w:rPr>
            </w:pPr>
            <w:r w:rsidRPr="00BF6B85">
              <w:rPr>
                <w:sz w:val="20"/>
                <w:szCs w:val="20"/>
              </w:rPr>
              <w:t>Distributed ledger, immutable records</w:t>
            </w:r>
          </w:p>
        </w:tc>
        <w:tc>
          <w:tcPr>
            <w:tcW w:w="1559" w:type="dxa"/>
            <w:tcMar>
              <w:top w:w="60" w:type="dxa"/>
              <w:left w:w="80" w:type="dxa"/>
              <w:bottom w:w="60" w:type="dxa"/>
              <w:right w:w="80" w:type="dxa"/>
            </w:tcMar>
          </w:tcPr>
          <w:p w14:paraId="56B466C0" w14:textId="77777777" w:rsidR="00C26415" w:rsidRPr="00BF6B85" w:rsidRDefault="00000000" w:rsidP="00BF6B85">
            <w:pPr>
              <w:spacing w:line="360" w:lineRule="auto"/>
              <w:jc w:val="left"/>
              <w:rPr>
                <w:sz w:val="20"/>
                <w:szCs w:val="20"/>
              </w:rPr>
            </w:pPr>
            <w:r w:rsidRPr="00BF6B85">
              <w:rPr>
                <w:sz w:val="20"/>
                <w:szCs w:val="20"/>
              </w:rPr>
              <w:t>Automated cross-check + audit trail</w:t>
            </w:r>
          </w:p>
        </w:tc>
        <w:tc>
          <w:tcPr>
            <w:tcW w:w="1852" w:type="dxa"/>
            <w:tcMar>
              <w:top w:w="60" w:type="dxa"/>
              <w:left w:w="80" w:type="dxa"/>
              <w:bottom w:w="60" w:type="dxa"/>
              <w:right w:w="80" w:type="dxa"/>
            </w:tcMar>
          </w:tcPr>
          <w:p w14:paraId="61D6AFD6" w14:textId="77777777" w:rsidR="00C26415" w:rsidRPr="00BF6B85" w:rsidRDefault="00000000" w:rsidP="00BF6B85">
            <w:pPr>
              <w:spacing w:line="360" w:lineRule="auto"/>
              <w:jc w:val="left"/>
              <w:rPr>
                <w:sz w:val="20"/>
                <w:szCs w:val="20"/>
              </w:rPr>
            </w:pPr>
            <w:r w:rsidRPr="00BF6B85">
              <w:rPr>
                <w:sz w:val="20"/>
                <w:szCs w:val="20"/>
              </w:rPr>
              <w:t>Pilot-scale only; no national-scale validation</w:t>
            </w:r>
          </w:p>
        </w:tc>
      </w:tr>
      <w:tr w:rsidR="00C26415" w14:paraId="7DFC8F98" w14:textId="77777777" w:rsidTr="00451DD8">
        <w:tc>
          <w:tcPr>
            <w:tcW w:w="1536" w:type="dxa"/>
            <w:tcMar>
              <w:top w:w="60" w:type="dxa"/>
              <w:left w:w="80" w:type="dxa"/>
              <w:bottom w:w="60" w:type="dxa"/>
              <w:right w:w="80" w:type="dxa"/>
            </w:tcMar>
          </w:tcPr>
          <w:p w14:paraId="0874BC28" w14:textId="77777777" w:rsidR="00C26415" w:rsidRPr="00BF6B85" w:rsidRDefault="00000000" w:rsidP="00BF6B85">
            <w:pPr>
              <w:spacing w:line="360" w:lineRule="auto"/>
              <w:jc w:val="left"/>
              <w:rPr>
                <w:sz w:val="20"/>
                <w:szCs w:val="20"/>
              </w:rPr>
            </w:pPr>
            <w:r w:rsidRPr="00BF6B85">
              <w:rPr>
                <w:sz w:val="20"/>
                <w:szCs w:val="20"/>
              </w:rPr>
              <w:lastRenderedPageBreak/>
              <w:t>Agricultural &amp; land-use carbon</w:t>
            </w:r>
          </w:p>
        </w:tc>
        <w:tc>
          <w:tcPr>
            <w:tcW w:w="783" w:type="dxa"/>
            <w:tcMar>
              <w:top w:w="60" w:type="dxa"/>
              <w:left w:w="80" w:type="dxa"/>
              <w:bottom w:w="60" w:type="dxa"/>
              <w:right w:w="80" w:type="dxa"/>
            </w:tcMar>
          </w:tcPr>
          <w:p w14:paraId="0162FDA3" w14:textId="77777777" w:rsidR="00C26415" w:rsidRPr="00BF6B85" w:rsidRDefault="00000000" w:rsidP="00BF6B85">
            <w:pPr>
              <w:spacing w:line="360" w:lineRule="auto"/>
              <w:jc w:val="left"/>
              <w:rPr>
                <w:sz w:val="20"/>
                <w:szCs w:val="20"/>
              </w:rPr>
            </w:pPr>
            <w:r w:rsidRPr="00BF6B85">
              <w:rPr>
                <w:sz w:val="20"/>
                <w:szCs w:val="20"/>
              </w:rPr>
              <w:t>6</w:t>
            </w:r>
          </w:p>
        </w:tc>
        <w:tc>
          <w:tcPr>
            <w:tcW w:w="1787" w:type="dxa"/>
            <w:tcMar>
              <w:top w:w="60" w:type="dxa"/>
              <w:left w:w="80" w:type="dxa"/>
              <w:bottom w:w="60" w:type="dxa"/>
              <w:right w:w="80" w:type="dxa"/>
            </w:tcMar>
          </w:tcPr>
          <w:p w14:paraId="4DA9050B" w14:textId="77777777" w:rsidR="00C26415" w:rsidRPr="00BF6B85" w:rsidRDefault="00000000" w:rsidP="00BF6B85">
            <w:pPr>
              <w:spacing w:line="360" w:lineRule="auto"/>
              <w:jc w:val="left"/>
              <w:rPr>
                <w:sz w:val="20"/>
                <w:szCs w:val="20"/>
              </w:rPr>
            </w:pPr>
            <w:r w:rsidRPr="00BF6B85">
              <w:rPr>
                <w:sz w:val="20"/>
                <w:szCs w:val="20"/>
              </w:rPr>
              <w:t>Verra, Gold Standard, soil carbon protocols</w:t>
            </w:r>
          </w:p>
        </w:tc>
        <w:tc>
          <w:tcPr>
            <w:tcW w:w="1843" w:type="dxa"/>
            <w:tcMar>
              <w:top w:w="60" w:type="dxa"/>
              <w:left w:w="80" w:type="dxa"/>
              <w:bottom w:w="60" w:type="dxa"/>
              <w:right w:w="80" w:type="dxa"/>
            </w:tcMar>
          </w:tcPr>
          <w:p w14:paraId="683364FD" w14:textId="77777777" w:rsidR="00C26415" w:rsidRPr="00BF6B85" w:rsidRDefault="00000000" w:rsidP="00BF6B85">
            <w:pPr>
              <w:spacing w:line="360" w:lineRule="auto"/>
              <w:jc w:val="left"/>
              <w:rPr>
                <w:sz w:val="20"/>
                <w:szCs w:val="20"/>
              </w:rPr>
            </w:pPr>
            <w:r w:rsidRPr="00BF6B85">
              <w:rPr>
                <w:sz w:val="20"/>
                <w:szCs w:val="20"/>
              </w:rPr>
              <w:t>Multiproxy field measurement</w:t>
            </w:r>
          </w:p>
        </w:tc>
        <w:tc>
          <w:tcPr>
            <w:tcW w:w="1559" w:type="dxa"/>
            <w:tcMar>
              <w:top w:w="60" w:type="dxa"/>
              <w:left w:w="80" w:type="dxa"/>
              <w:bottom w:w="60" w:type="dxa"/>
              <w:right w:w="80" w:type="dxa"/>
            </w:tcMar>
          </w:tcPr>
          <w:p w14:paraId="16B63C18" w14:textId="77777777" w:rsidR="00C26415" w:rsidRPr="00BF6B85" w:rsidRDefault="00000000" w:rsidP="00BF6B85">
            <w:pPr>
              <w:spacing w:line="360" w:lineRule="auto"/>
              <w:jc w:val="left"/>
              <w:rPr>
                <w:sz w:val="20"/>
                <w:szCs w:val="20"/>
              </w:rPr>
            </w:pPr>
            <w:r w:rsidRPr="00BF6B85">
              <w:rPr>
                <w:sz w:val="20"/>
                <w:szCs w:val="20"/>
              </w:rPr>
              <w:t>Conservative uncertainty quantification</w:t>
            </w:r>
          </w:p>
        </w:tc>
        <w:tc>
          <w:tcPr>
            <w:tcW w:w="1852" w:type="dxa"/>
            <w:tcMar>
              <w:top w:w="60" w:type="dxa"/>
              <w:left w:w="80" w:type="dxa"/>
              <w:bottom w:w="60" w:type="dxa"/>
              <w:right w:w="80" w:type="dxa"/>
            </w:tcMar>
          </w:tcPr>
          <w:p w14:paraId="682C13B2" w14:textId="77777777" w:rsidR="00C26415" w:rsidRPr="00BF6B85" w:rsidRDefault="00000000" w:rsidP="00BF6B85">
            <w:pPr>
              <w:spacing w:line="360" w:lineRule="auto"/>
              <w:jc w:val="left"/>
              <w:rPr>
                <w:sz w:val="20"/>
                <w:szCs w:val="20"/>
              </w:rPr>
            </w:pPr>
            <w:r w:rsidRPr="00BF6B85">
              <w:rPr>
                <w:sz w:val="20"/>
                <w:szCs w:val="20"/>
              </w:rPr>
              <w:t>High measurement uncertainty in biological systems</w:t>
            </w:r>
          </w:p>
        </w:tc>
      </w:tr>
      <w:tr w:rsidR="00C26415" w14:paraId="303292E8" w14:textId="77777777" w:rsidTr="00451DD8">
        <w:tc>
          <w:tcPr>
            <w:tcW w:w="1536" w:type="dxa"/>
            <w:tcMar>
              <w:top w:w="60" w:type="dxa"/>
              <w:left w:w="80" w:type="dxa"/>
              <w:bottom w:w="60" w:type="dxa"/>
              <w:right w:w="80" w:type="dxa"/>
            </w:tcMar>
          </w:tcPr>
          <w:p w14:paraId="5D1DA4B1" w14:textId="77777777" w:rsidR="00C26415" w:rsidRPr="00BF6B85" w:rsidRDefault="00000000" w:rsidP="00BF6B85">
            <w:pPr>
              <w:spacing w:line="360" w:lineRule="auto"/>
              <w:jc w:val="left"/>
              <w:rPr>
                <w:sz w:val="20"/>
                <w:szCs w:val="20"/>
              </w:rPr>
            </w:pPr>
            <w:r w:rsidRPr="00BF6B85">
              <w:rPr>
                <w:sz w:val="20"/>
                <w:szCs w:val="20"/>
              </w:rPr>
              <w:t>Maritime &amp; transport MRV</w:t>
            </w:r>
          </w:p>
        </w:tc>
        <w:tc>
          <w:tcPr>
            <w:tcW w:w="783" w:type="dxa"/>
            <w:tcMar>
              <w:top w:w="60" w:type="dxa"/>
              <w:left w:w="80" w:type="dxa"/>
              <w:bottom w:w="60" w:type="dxa"/>
              <w:right w:w="80" w:type="dxa"/>
            </w:tcMar>
          </w:tcPr>
          <w:p w14:paraId="5543F87C" w14:textId="77777777" w:rsidR="00C26415" w:rsidRPr="00BF6B85" w:rsidRDefault="00000000" w:rsidP="00BF6B85">
            <w:pPr>
              <w:spacing w:line="360" w:lineRule="auto"/>
              <w:jc w:val="left"/>
              <w:rPr>
                <w:sz w:val="20"/>
                <w:szCs w:val="20"/>
              </w:rPr>
            </w:pPr>
            <w:r w:rsidRPr="00BF6B85">
              <w:rPr>
                <w:sz w:val="20"/>
                <w:szCs w:val="20"/>
              </w:rPr>
              <w:t>3</w:t>
            </w:r>
          </w:p>
        </w:tc>
        <w:tc>
          <w:tcPr>
            <w:tcW w:w="1787" w:type="dxa"/>
            <w:tcMar>
              <w:top w:w="60" w:type="dxa"/>
              <w:left w:w="80" w:type="dxa"/>
              <w:bottom w:w="60" w:type="dxa"/>
              <w:right w:w="80" w:type="dxa"/>
            </w:tcMar>
          </w:tcPr>
          <w:p w14:paraId="2BA09340" w14:textId="77777777" w:rsidR="00C26415" w:rsidRPr="00BF6B85" w:rsidRDefault="00000000" w:rsidP="00BF6B85">
            <w:pPr>
              <w:spacing w:line="360" w:lineRule="auto"/>
              <w:jc w:val="left"/>
              <w:rPr>
                <w:sz w:val="20"/>
                <w:szCs w:val="20"/>
              </w:rPr>
            </w:pPr>
            <w:r w:rsidRPr="00BF6B85">
              <w:rPr>
                <w:sz w:val="20"/>
                <w:szCs w:val="20"/>
              </w:rPr>
              <w:t>IMO MRV, EU MRV regulation</w:t>
            </w:r>
          </w:p>
        </w:tc>
        <w:tc>
          <w:tcPr>
            <w:tcW w:w="1843" w:type="dxa"/>
            <w:tcMar>
              <w:top w:w="60" w:type="dxa"/>
              <w:left w:w="80" w:type="dxa"/>
              <w:bottom w:w="60" w:type="dxa"/>
              <w:right w:w="80" w:type="dxa"/>
            </w:tcMar>
          </w:tcPr>
          <w:p w14:paraId="4A3DCECC" w14:textId="77777777" w:rsidR="00C26415" w:rsidRPr="00BF6B85" w:rsidRDefault="00000000" w:rsidP="00BF6B85">
            <w:pPr>
              <w:spacing w:line="360" w:lineRule="auto"/>
              <w:jc w:val="left"/>
              <w:rPr>
                <w:sz w:val="20"/>
                <w:szCs w:val="20"/>
              </w:rPr>
            </w:pPr>
            <w:r w:rsidRPr="00BF6B85">
              <w:rPr>
                <w:sz w:val="20"/>
                <w:szCs w:val="20"/>
              </w:rPr>
              <w:t>Near-real-time 15-min interval data</w:t>
            </w:r>
          </w:p>
        </w:tc>
        <w:tc>
          <w:tcPr>
            <w:tcW w:w="1559" w:type="dxa"/>
            <w:tcMar>
              <w:top w:w="60" w:type="dxa"/>
              <w:left w:w="80" w:type="dxa"/>
              <w:bottom w:w="60" w:type="dxa"/>
              <w:right w:w="80" w:type="dxa"/>
            </w:tcMar>
          </w:tcPr>
          <w:p w14:paraId="40334C10" w14:textId="77777777" w:rsidR="00C26415" w:rsidRPr="00BF6B85" w:rsidRDefault="00000000" w:rsidP="00BF6B85">
            <w:pPr>
              <w:spacing w:line="360" w:lineRule="auto"/>
              <w:jc w:val="left"/>
              <w:rPr>
                <w:sz w:val="20"/>
                <w:szCs w:val="20"/>
              </w:rPr>
            </w:pPr>
            <w:r w:rsidRPr="00BF6B85">
              <w:rPr>
                <w:sz w:val="20"/>
                <w:szCs w:val="20"/>
              </w:rPr>
              <w:t>Structured operational data + flag authority</w:t>
            </w:r>
          </w:p>
        </w:tc>
        <w:tc>
          <w:tcPr>
            <w:tcW w:w="1852" w:type="dxa"/>
            <w:tcMar>
              <w:top w:w="60" w:type="dxa"/>
              <w:left w:w="80" w:type="dxa"/>
              <w:bottom w:w="60" w:type="dxa"/>
              <w:right w:w="80" w:type="dxa"/>
            </w:tcMar>
          </w:tcPr>
          <w:p w14:paraId="0AF9E77E" w14:textId="77777777" w:rsidR="00C26415" w:rsidRPr="00BF6B85" w:rsidRDefault="00000000" w:rsidP="00BF6B85">
            <w:pPr>
              <w:spacing w:line="360" w:lineRule="auto"/>
              <w:jc w:val="left"/>
              <w:rPr>
                <w:sz w:val="20"/>
                <w:szCs w:val="20"/>
              </w:rPr>
            </w:pPr>
            <w:r w:rsidRPr="00BF6B85">
              <w:rPr>
                <w:sz w:val="20"/>
                <w:szCs w:val="20"/>
              </w:rPr>
              <w:t>Exceeds current regulatory cadence</w:t>
            </w:r>
          </w:p>
        </w:tc>
      </w:tr>
      <w:tr w:rsidR="00C26415" w14:paraId="45E7A482" w14:textId="77777777" w:rsidTr="00451DD8">
        <w:tc>
          <w:tcPr>
            <w:tcW w:w="1536" w:type="dxa"/>
            <w:tcMar>
              <w:top w:w="60" w:type="dxa"/>
              <w:left w:w="80" w:type="dxa"/>
              <w:bottom w:w="60" w:type="dxa"/>
              <w:right w:w="80" w:type="dxa"/>
            </w:tcMar>
          </w:tcPr>
          <w:p w14:paraId="1F3AA8B9" w14:textId="77777777" w:rsidR="00C26415" w:rsidRPr="00BF6B85" w:rsidRDefault="00000000" w:rsidP="00BF6B85">
            <w:pPr>
              <w:spacing w:line="360" w:lineRule="auto"/>
              <w:jc w:val="left"/>
              <w:rPr>
                <w:sz w:val="20"/>
                <w:szCs w:val="20"/>
              </w:rPr>
            </w:pPr>
            <w:r w:rsidRPr="00BF6B85">
              <w:rPr>
                <w:sz w:val="20"/>
                <w:szCs w:val="20"/>
              </w:rPr>
              <w:t>Carbon dioxide removal (CDR)</w:t>
            </w:r>
          </w:p>
        </w:tc>
        <w:tc>
          <w:tcPr>
            <w:tcW w:w="783" w:type="dxa"/>
            <w:tcMar>
              <w:top w:w="60" w:type="dxa"/>
              <w:left w:w="80" w:type="dxa"/>
              <w:bottom w:w="60" w:type="dxa"/>
              <w:right w:w="80" w:type="dxa"/>
            </w:tcMar>
          </w:tcPr>
          <w:p w14:paraId="28677DE7" w14:textId="77777777" w:rsidR="00C26415" w:rsidRPr="00BF6B85" w:rsidRDefault="00000000" w:rsidP="00BF6B85">
            <w:pPr>
              <w:spacing w:line="360" w:lineRule="auto"/>
              <w:jc w:val="left"/>
              <w:rPr>
                <w:sz w:val="20"/>
                <w:szCs w:val="20"/>
              </w:rPr>
            </w:pPr>
            <w:r w:rsidRPr="00BF6B85">
              <w:rPr>
                <w:sz w:val="20"/>
                <w:szCs w:val="20"/>
              </w:rPr>
              <w:t>5</w:t>
            </w:r>
          </w:p>
        </w:tc>
        <w:tc>
          <w:tcPr>
            <w:tcW w:w="1787" w:type="dxa"/>
            <w:tcMar>
              <w:top w:w="60" w:type="dxa"/>
              <w:left w:w="80" w:type="dxa"/>
              <w:bottom w:w="60" w:type="dxa"/>
              <w:right w:w="80" w:type="dxa"/>
            </w:tcMar>
          </w:tcPr>
          <w:p w14:paraId="2555BF57" w14:textId="77777777" w:rsidR="00C26415" w:rsidRPr="00BF6B85" w:rsidRDefault="00000000" w:rsidP="00BF6B85">
            <w:pPr>
              <w:spacing w:line="360" w:lineRule="auto"/>
              <w:jc w:val="left"/>
              <w:rPr>
                <w:sz w:val="20"/>
                <w:szCs w:val="20"/>
              </w:rPr>
            </w:pPr>
            <w:r w:rsidRPr="00BF6B85">
              <w:rPr>
                <w:sz w:val="20"/>
                <w:szCs w:val="20"/>
              </w:rPr>
              <w:t>Enhanced weathering, BECCS protocols</w:t>
            </w:r>
          </w:p>
        </w:tc>
        <w:tc>
          <w:tcPr>
            <w:tcW w:w="1843" w:type="dxa"/>
            <w:tcMar>
              <w:top w:w="60" w:type="dxa"/>
              <w:left w:w="80" w:type="dxa"/>
              <w:bottom w:w="60" w:type="dxa"/>
              <w:right w:w="80" w:type="dxa"/>
            </w:tcMar>
          </w:tcPr>
          <w:p w14:paraId="659A3DD3" w14:textId="77777777" w:rsidR="00C26415" w:rsidRPr="00BF6B85" w:rsidRDefault="00000000" w:rsidP="00BF6B85">
            <w:pPr>
              <w:spacing w:line="360" w:lineRule="auto"/>
              <w:jc w:val="left"/>
              <w:rPr>
                <w:sz w:val="20"/>
                <w:szCs w:val="20"/>
              </w:rPr>
            </w:pPr>
            <w:r w:rsidRPr="00BF6B85">
              <w:rPr>
                <w:sz w:val="20"/>
                <w:szCs w:val="20"/>
              </w:rPr>
              <w:t>Field sensors + lab analysis</w:t>
            </w:r>
          </w:p>
        </w:tc>
        <w:tc>
          <w:tcPr>
            <w:tcW w:w="1559" w:type="dxa"/>
            <w:tcMar>
              <w:top w:w="60" w:type="dxa"/>
              <w:left w:w="80" w:type="dxa"/>
              <w:bottom w:w="60" w:type="dxa"/>
              <w:right w:w="80" w:type="dxa"/>
            </w:tcMar>
          </w:tcPr>
          <w:p w14:paraId="6942C3F5" w14:textId="77777777" w:rsidR="00C26415" w:rsidRPr="00BF6B85" w:rsidRDefault="00000000" w:rsidP="00BF6B85">
            <w:pPr>
              <w:spacing w:line="360" w:lineRule="auto"/>
              <w:jc w:val="left"/>
              <w:rPr>
                <w:sz w:val="20"/>
                <w:szCs w:val="20"/>
              </w:rPr>
            </w:pPr>
            <w:r w:rsidRPr="00BF6B85">
              <w:rPr>
                <w:sz w:val="20"/>
                <w:szCs w:val="20"/>
              </w:rPr>
              <w:t>Mass balance + multiproxy</w:t>
            </w:r>
          </w:p>
        </w:tc>
        <w:tc>
          <w:tcPr>
            <w:tcW w:w="1852" w:type="dxa"/>
            <w:tcMar>
              <w:top w:w="60" w:type="dxa"/>
              <w:left w:w="80" w:type="dxa"/>
              <w:bottom w:w="60" w:type="dxa"/>
              <w:right w:w="80" w:type="dxa"/>
            </w:tcMar>
          </w:tcPr>
          <w:p w14:paraId="416474F5" w14:textId="77777777" w:rsidR="00C26415" w:rsidRPr="00BF6B85" w:rsidRDefault="00000000" w:rsidP="00BF6B85">
            <w:pPr>
              <w:spacing w:line="360" w:lineRule="auto"/>
              <w:jc w:val="left"/>
              <w:rPr>
                <w:sz w:val="20"/>
                <w:szCs w:val="20"/>
              </w:rPr>
            </w:pPr>
            <w:r w:rsidRPr="00BF6B85">
              <w:rPr>
                <w:sz w:val="20"/>
                <w:szCs w:val="20"/>
              </w:rPr>
              <w:t>No standardised field protocol yet accepted</w:t>
            </w:r>
          </w:p>
        </w:tc>
      </w:tr>
    </w:tbl>
    <w:p w14:paraId="629EF055" w14:textId="77777777" w:rsidR="00B85822" w:rsidRDefault="00B85822" w:rsidP="000600B3">
      <w:pPr>
        <w:spacing w:after="120" w:line="360" w:lineRule="auto"/>
      </w:pPr>
    </w:p>
    <w:p w14:paraId="69CEB6DD" w14:textId="49DBF927" w:rsidR="00D04B0F" w:rsidRDefault="001B2A5B" w:rsidP="00D04B0F">
      <w:pPr>
        <w:spacing w:after="120" w:line="360" w:lineRule="auto"/>
      </w:pPr>
      <w:r w:rsidRPr="001B2A5B">
        <w:t>Carbon accounting formalises emissions data into verified and reportable outputs for regulatory and market use. The reviewed literature shows that accounting quality depends primarily on data reliability, boundary definition, and institutional governance rather than the sophistication of reporting tools (Cordova et al., 2021; Ong et al., 2021, 2022).</w:t>
      </w:r>
    </w:p>
    <w:p w14:paraId="49FFDB9D" w14:textId="6B09FFF5" w:rsidR="00D04B0F" w:rsidRDefault="001B2A5B" w:rsidP="00D04B0F">
      <w:pPr>
        <w:spacing w:after="120" w:line="360" w:lineRule="auto"/>
      </w:pPr>
      <w:r w:rsidRPr="001B2A5B">
        <w:t>A key limitation is the lack of comparability across accounting frameworks. Differences in system boundaries and calculation approaches can produce divergent emission estimates from the same underlying data (Li et al., 2024; Brown &amp; MacAskill, 2025). While tools such as the Carbon Integrity Index (Traub et al., 2025) attempt to standardise reporting quality, no widely accepted cross-sector or cross-jurisdiction framework exists, limiting consistency in carbon accounting outputs.</w:t>
      </w:r>
      <w:r w:rsidR="00E431FB">
        <w:t xml:space="preserve"> </w:t>
      </w:r>
      <w:r w:rsidR="00E431FB">
        <w:t>T</w:t>
      </w:r>
      <w:r w:rsidR="00E431FB">
        <w:t>he reviewed literature does not offer consensus on how accounting boundary decisions should be harmonised across different regulatory contexts.</w:t>
      </w:r>
    </w:p>
    <w:p w14:paraId="2F6769E4" w14:textId="77777777" w:rsidR="00B85822" w:rsidRDefault="00000000" w:rsidP="000600B3">
      <w:pPr>
        <w:pStyle w:val="Heading2"/>
        <w:spacing w:line="360" w:lineRule="auto"/>
        <w:jc w:val="both"/>
      </w:pPr>
      <w:r>
        <w:t>5.2 MRV Institutional Infrastructure and the Digital Transition</w:t>
      </w:r>
    </w:p>
    <w:p w14:paraId="7AAF7985" w14:textId="3D80C4A5" w:rsidR="00D04B0F" w:rsidRPr="00D04B0F" w:rsidRDefault="00E431FB" w:rsidP="00526A64">
      <w:pPr>
        <w:pStyle w:val="Heading2"/>
        <w:spacing w:line="360" w:lineRule="auto"/>
        <w:jc w:val="both"/>
        <w:rPr>
          <w:b w:val="0"/>
          <w:bCs w:val="0"/>
          <w:color w:val="auto"/>
        </w:rPr>
      </w:pPr>
      <w:r w:rsidRPr="00E431FB">
        <w:rPr>
          <w:b w:val="0"/>
          <w:bCs w:val="0"/>
          <w:color w:val="auto"/>
        </w:rPr>
        <w:t>MRV frameworks convert monitored data into standardised and verifiable emissions reports. Measurement approaches vary by sector, ranging from structured operational data in maritime systems to multiproxy field measurements in agriculture (Batjes et al., 2024; Li et al., 2024; Perosa et al., 2023).</w:t>
      </w:r>
    </w:p>
    <w:p w14:paraId="1561CB22" w14:textId="77777777" w:rsidR="00C86D46" w:rsidRDefault="00C86D46" w:rsidP="00526A64">
      <w:pPr>
        <w:pStyle w:val="Heading2"/>
        <w:spacing w:line="360" w:lineRule="auto"/>
        <w:jc w:val="both"/>
        <w:rPr>
          <w:b w:val="0"/>
          <w:bCs w:val="0"/>
          <w:color w:val="auto"/>
        </w:rPr>
      </w:pPr>
      <w:r w:rsidRPr="00C86D46">
        <w:rPr>
          <w:b w:val="0"/>
          <w:bCs w:val="0"/>
          <w:color w:val="auto"/>
        </w:rPr>
        <w:t>Digital MRV systems, particularly blockchain-based platforms, are increasingly used to enhance transparency and auditability. These systems can generate immutable records and automated verification processes (Woo et al., 2021; Körner et al., 2025; Merlo et al., 2025).</w:t>
      </w:r>
    </w:p>
    <w:p w14:paraId="2A66966F" w14:textId="4DF1930B" w:rsidR="00D04B0F" w:rsidRDefault="00C86D46" w:rsidP="00526A64">
      <w:pPr>
        <w:pStyle w:val="Heading2"/>
        <w:spacing w:line="360" w:lineRule="auto"/>
        <w:jc w:val="both"/>
        <w:rPr>
          <w:b w:val="0"/>
          <w:bCs w:val="0"/>
          <w:color w:val="auto"/>
        </w:rPr>
      </w:pPr>
      <w:r w:rsidRPr="00C86D46">
        <w:rPr>
          <w:b w:val="0"/>
          <w:bCs w:val="0"/>
          <w:color w:val="auto"/>
        </w:rPr>
        <w:lastRenderedPageBreak/>
        <w:t>However, most implementations remain at pilot scale, and governance challenges</w:t>
      </w:r>
      <w:r>
        <w:rPr>
          <w:b w:val="0"/>
          <w:bCs w:val="0"/>
          <w:color w:val="auto"/>
        </w:rPr>
        <w:t>-</w:t>
      </w:r>
      <w:r w:rsidRPr="00C86D46">
        <w:rPr>
          <w:b w:val="0"/>
          <w:bCs w:val="0"/>
          <w:color w:val="auto"/>
        </w:rPr>
        <w:t>such as data ownership, regulatory acceptance, and liability for errors</w:t>
      </w:r>
      <w:r>
        <w:rPr>
          <w:b w:val="0"/>
          <w:bCs w:val="0"/>
          <w:color w:val="auto"/>
        </w:rPr>
        <w:t xml:space="preserve">- </w:t>
      </w:r>
      <w:r w:rsidRPr="00C86D46">
        <w:rPr>
          <w:b w:val="0"/>
          <w:bCs w:val="0"/>
          <w:color w:val="auto"/>
        </w:rPr>
        <w:t>remain unresolved</w:t>
      </w:r>
      <w:r>
        <w:rPr>
          <w:b w:val="0"/>
          <w:bCs w:val="0"/>
          <w:color w:val="auto"/>
        </w:rPr>
        <w:t xml:space="preserve">. </w:t>
      </w:r>
    </w:p>
    <w:p w14:paraId="5FDBB417" w14:textId="0C80205F" w:rsidR="00B85822" w:rsidRDefault="008A2A0C" w:rsidP="00D04B0F">
      <w:pPr>
        <w:pStyle w:val="Heading2"/>
        <w:spacing w:line="360" w:lineRule="auto"/>
      </w:pPr>
      <w:r>
        <w:t>5.3 Carbon Credit Accounting and Digital Verification</w:t>
      </w:r>
    </w:p>
    <w:p w14:paraId="14B611B4" w14:textId="2423398B" w:rsidR="00526A64" w:rsidRDefault="00526A64" w:rsidP="000600B3">
      <w:pPr>
        <w:pStyle w:val="Heading2"/>
        <w:spacing w:line="360" w:lineRule="auto"/>
        <w:jc w:val="both"/>
        <w:rPr>
          <w:b w:val="0"/>
          <w:bCs w:val="0"/>
          <w:color w:val="auto"/>
        </w:rPr>
      </w:pPr>
      <w:r w:rsidRPr="00526A64">
        <w:rPr>
          <w:b w:val="0"/>
          <w:bCs w:val="0"/>
          <w:color w:val="auto"/>
        </w:rPr>
        <w:t xml:space="preserve">Carbon credit systems require rigorous monitoring, reporting, and verification to ensure credibility. While digital tools, including blockchain platforms, improve transparency and reduce risks such as </w:t>
      </w:r>
      <w:r w:rsidRPr="00526A64">
        <w:rPr>
          <w:b w:val="0"/>
          <w:bCs w:val="0"/>
          <w:color w:val="auto"/>
        </w:rPr>
        <w:t>double counting</w:t>
      </w:r>
      <w:r w:rsidRPr="00526A64">
        <w:rPr>
          <w:b w:val="0"/>
          <w:bCs w:val="0"/>
          <w:color w:val="auto"/>
        </w:rPr>
        <w:t xml:space="preserve"> (Luo et al., 2024; Xu et al., 2024), the integrity of carbon credits ultimately depends on the robustness of underlying accounting methods rather than the technology used to record them.</w:t>
      </w:r>
    </w:p>
    <w:p w14:paraId="20F3C596" w14:textId="3F2BF72B" w:rsidR="00F81B10" w:rsidRPr="00F81B10" w:rsidRDefault="00F81B10" w:rsidP="000600B3">
      <w:pPr>
        <w:pStyle w:val="Heading2"/>
        <w:spacing w:line="360" w:lineRule="auto"/>
        <w:jc w:val="both"/>
      </w:pPr>
      <w:r>
        <w:t>5.4 Specialised Verification Contexts: Agriculture, CDR, and Maritime</w:t>
      </w:r>
    </w:p>
    <w:p w14:paraId="564AD80B" w14:textId="22074680" w:rsidR="009A5643" w:rsidRPr="009A5643" w:rsidRDefault="009A5643" w:rsidP="008474E3">
      <w:pPr>
        <w:pStyle w:val="Heading2"/>
        <w:spacing w:line="360" w:lineRule="auto"/>
        <w:jc w:val="both"/>
        <w:rPr>
          <w:b w:val="0"/>
          <w:bCs w:val="0"/>
          <w:color w:val="auto"/>
        </w:rPr>
      </w:pPr>
      <w:r w:rsidRPr="009A5643">
        <w:rPr>
          <w:b w:val="0"/>
          <w:bCs w:val="0"/>
          <w:color w:val="auto"/>
        </w:rPr>
        <w:t xml:space="preserve">A sizeable portion of the MRV literature addresses specialised measurement contexts that present distinct technical challenges not captured by standard carbon accounting frameworks. Perosa et al. (2023), Batjes et al. (2024), Knapp et al. (2023), Reershemius et al. (2023), Wolf et al. (2024), and Clarkson et al. (2024), collectively highlight that carbon measurement in biological systems is inherently </w:t>
      </w:r>
      <w:r w:rsidR="000D2633" w:rsidRPr="000D2633">
        <w:rPr>
          <w:b w:val="0"/>
          <w:bCs w:val="0"/>
          <w:color w:val="auto"/>
        </w:rPr>
        <w:t>uncertain due to biological variability, requiring multiproxy methods and conservative accounting approach</w:t>
      </w:r>
      <w:r w:rsidR="000D2633">
        <w:rPr>
          <w:b w:val="0"/>
          <w:bCs w:val="0"/>
          <w:color w:val="auto"/>
        </w:rPr>
        <w:t xml:space="preserve">. </w:t>
      </w:r>
      <w:r w:rsidRPr="009A5643">
        <w:rPr>
          <w:b w:val="0"/>
          <w:bCs w:val="0"/>
          <w:color w:val="auto"/>
        </w:rPr>
        <w:t>This uncertainty is consequential:</w:t>
      </w:r>
      <w:r w:rsidR="000D2633">
        <w:rPr>
          <w:b w:val="0"/>
          <w:bCs w:val="0"/>
          <w:color w:val="auto"/>
        </w:rPr>
        <w:t xml:space="preserve"> these studies </w:t>
      </w:r>
      <w:r w:rsidRPr="009A5643">
        <w:rPr>
          <w:b w:val="0"/>
          <w:bCs w:val="0"/>
          <w:color w:val="auto"/>
        </w:rPr>
        <w:t>show that even well-designed field measurement protocols carry non-trivial uncertainty ranges that affect the credibility of resulting carbon credits.</w:t>
      </w:r>
    </w:p>
    <w:p w14:paraId="2330E81F" w14:textId="6A3CF6EA" w:rsidR="008474E3" w:rsidRDefault="008474E3" w:rsidP="008474E3">
      <w:pPr>
        <w:pStyle w:val="Heading2"/>
        <w:spacing w:line="360" w:lineRule="auto"/>
        <w:jc w:val="both"/>
        <w:rPr>
          <w:b w:val="0"/>
          <w:bCs w:val="0"/>
          <w:color w:val="auto"/>
        </w:rPr>
      </w:pPr>
      <w:r w:rsidRPr="008474E3">
        <w:rPr>
          <w:b w:val="0"/>
          <w:bCs w:val="0"/>
          <w:color w:val="auto"/>
        </w:rPr>
        <w:t>Carbon dioxide removal (CDR) systems face similar challenges, with limited standardised field protocols and evolving measurement methodologies (Clarkson et al., 2024; Yao &amp; Zhang, 2025).</w:t>
      </w:r>
      <w:r>
        <w:rPr>
          <w:b w:val="0"/>
          <w:bCs w:val="0"/>
          <w:color w:val="auto"/>
        </w:rPr>
        <w:t xml:space="preserve"> </w:t>
      </w:r>
      <w:r w:rsidRPr="008474E3">
        <w:rPr>
          <w:b w:val="0"/>
          <w:bCs w:val="0"/>
          <w:color w:val="auto"/>
        </w:rPr>
        <w:t>In contrast, sectors such as maritime transport demonstrate the technical feasibility of near-real-time emissions tracking, although such approaches are not yet widely adopted in regulatory frameworks (Li et al., 2024).</w:t>
      </w:r>
      <w:r>
        <w:rPr>
          <w:b w:val="0"/>
          <w:bCs w:val="0"/>
          <w:color w:val="auto"/>
        </w:rPr>
        <w:t xml:space="preserve"> </w:t>
      </w:r>
      <w:r w:rsidRPr="008474E3">
        <w:rPr>
          <w:b w:val="0"/>
          <w:bCs w:val="0"/>
          <w:color w:val="auto"/>
        </w:rPr>
        <w:t>Across these contexts, implementation challenges in Global South regions are driven less by methodological limitations than by data infrastructure and institutional capacity constraints (Thornbush &amp; Govind, 2025).</w:t>
      </w:r>
    </w:p>
    <w:p w14:paraId="46AB0D6D" w14:textId="3264E9ED" w:rsidR="00B85822" w:rsidRDefault="00000000" w:rsidP="009A5643">
      <w:pPr>
        <w:pStyle w:val="Heading2"/>
        <w:spacing w:line="360" w:lineRule="auto"/>
        <w:jc w:val="both"/>
      </w:pPr>
      <w:r>
        <w:t>5.5 The Disconnection Between MRV Frameworks and Real-Time Monitoring</w:t>
      </w:r>
    </w:p>
    <w:p w14:paraId="429CA354" w14:textId="401FDE86" w:rsidR="009A5643" w:rsidRDefault="00AD70E4" w:rsidP="009A5643">
      <w:pPr>
        <w:spacing w:after="120" w:line="360" w:lineRule="auto"/>
      </w:pPr>
      <w:r w:rsidRPr="00AD70E4">
        <w:t xml:space="preserve">A central limitation across the reviewed literature is the disconnect between carbon accounting frameworks and real-time monitoring systems. Most MRV approaches rely on periodically </w:t>
      </w:r>
      <w:r w:rsidRPr="00AD70E4">
        <w:lastRenderedPageBreak/>
        <w:t>aggregated data rather than continuous sensor-derived inputs, limiting their responsiveness and operational relevance (Körner et al., 2025; Brown &amp; MacAskill, 2025).</w:t>
      </w:r>
    </w:p>
    <w:p w14:paraId="75636613" w14:textId="62CC3C78" w:rsidR="00F56A6F" w:rsidRDefault="00AD70E4" w:rsidP="009A5643">
      <w:pPr>
        <w:spacing w:after="120" w:line="360" w:lineRule="auto"/>
      </w:pPr>
      <w:r w:rsidRPr="00AD70E4">
        <w:t>Although real-time accounting is technically feasible in specific contexts, it is not yet standard practice. Bridging this gap requires both technical integration of IoT data streams into MRV systems and regulatory recognition of sensor-derived data as valid inputs for formal carbon accounting. This integration remains largely unimplemented at scale and represents a critical barrier to fully digital carbon governance systems.</w:t>
      </w:r>
      <w:r>
        <w:t xml:space="preserve"> </w:t>
      </w:r>
      <w:r w:rsidR="009A5643">
        <w:t>This finding directly motivates the integration analysis in Section 6 and the conceptual framework proposed in Section 8.</w:t>
      </w:r>
    </w:p>
    <w:p w14:paraId="0DC7FCD5" w14:textId="77777777" w:rsidR="00B85822" w:rsidRDefault="00000000" w:rsidP="000600B3">
      <w:pPr>
        <w:pStyle w:val="Heading1"/>
        <w:spacing w:line="360" w:lineRule="auto"/>
        <w:jc w:val="both"/>
      </w:pPr>
      <w:r>
        <w:t>6. End-to-End System Integration</w:t>
      </w:r>
    </w:p>
    <w:p w14:paraId="4C3B31BF" w14:textId="77777777" w:rsidR="00B85822" w:rsidRDefault="00000000" w:rsidP="000600B3">
      <w:pPr>
        <w:pStyle w:val="Heading2"/>
        <w:spacing w:line="360" w:lineRule="auto"/>
        <w:jc w:val="both"/>
      </w:pPr>
      <w:r>
        <w:t>6.1 The State of Integration: Evidence and Gaps</w:t>
      </w:r>
    </w:p>
    <w:p w14:paraId="15F05956" w14:textId="77777777" w:rsidR="00B85822" w:rsidRPr="00F56A6F" w:rsidRDefault="00000000" w:rsidP="000600B3">
      <w:pPr>
        <w:spacing w:before="200" w:after="60" w:line="360" w:lineRule="auto"/>
        <w:rPr>
          <w:i/>
          <w:iCs/>
        </w:rPr>
      </w:pPr>
      <w:r w:rsidRPr="00F56A6F">
        <w:rPr>
          <w:b/>
          <w:bCs/>
          <w:i/>
          <w:iCs/>
          <w:sz w:val="20"/>
          <w:szCs w:val="20"/>
        </w:rPr>
        <w:t>Table 6: Summary of End-to-End Integration Studies by Integration Type (n=25)</w:t>
      </w:r>
    </w:p>
    <w:tbl>
      <w:tblPr>
        <w:tblStyle w:val="TableGrid"/>
        <w:tblW w:w="936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ook w:val="0000" w:firstRow="0" w:lastRow="0" w:firstColumn="0" w:lastColumn="0" w:noHBand="0" w:noVBand="0"/>
      </w:tblPr>
      <w:tblGrid>
        <w:gridCol w:w="1558"/>
        <w:gridCol w:w="721"/>
        <w:gridCol w:w="1544"/>
        <w:gridCol w:w="1842"/>
        <w:gridCol w:w="1843"/>
        <w:gridCol w:w="1852"/>
      </w:tblGrid>
      <w:tr w:rsidR="00C26415" w14:paraId="77EF158D" w14:textId="77777777" w:rsidTr="00F56A6F">
        <w:tc>
          <w:tcPr>
            <w:tcW w:w="1558" w:type="dxa"/>
            <w:shd w:val="clear" w:color="auto" w:fill="D9E2F3"/>
            <w:tcMar>
              <w:top w:w="60" w:type="dxa"/>
              <w:left w:w="80" w:type="dxa"/>
              <w:bottom w:w="60" w:type="dxa"/>
              <w:right w:w="80" w:type="dxa"/>
            </w:tcMar>
          </w:tcPr>
          <w:p w14:paraId="409FEFC4" w14:textId="77777777" w:rsidR="00C26415" w:rsidRDefault="00000000" w:rsidP="00F56A6F">
            <w:pPr>
              <w:spacing w:line="360" w:lineRule="auto"/>
              <w:jc w:val="left"/>
            </w:pPr>
            <w:r>
              <w:rPr>
                <w:b/>
                <w:bCs/>
                <w:sz w:val="18"/>
                <w:szCs w:val="18"/>
              </w:rPr>
              <w:t>Integration Type</w:t>
            </w:r>
          </w:p>
        </w:tc>
        <w:tc>
          <w:tcPr>
            <w:tcW w:w="721" w:type="dxa"/>
            <w:shd w:val="clear" w:color="auto" w:fill="D9E2F3"/>
            <w:tcMar>
              <w:top w:w="60" w:type="dxa"/>
              <w:left w:w="80" w:type="dxa"/>
              <w:bottom w:w="60" w:type="dxa"/>
              <w:right w:w="80" w:type="dxa"/>
            </w:tcMar>
          </w:tcPr>
          <w:p w14:paraId="52BDFC88" w14:textId="77777777" w:rsidR="00C26415" w:rsidRDefault="00000000" w:rsidP="00F56A6F">
            <w:pPr>
              <w:spacing w:line="360" w:lineRule="auto"/>
              <w:jc w:val="left"/>
            </w:pPr>
            <w:r>
              <w:rPr>
                <w:b/>
                <w:bCs/>
                <w:sz w:val="18"/>
                <w:szCs w:val="18"/>
              </w:rPr>
              <w:t>Studies (n)</w:t>
            </w:r>
          </w:p>
        </w:tc>
        <w:tc>
          <w:tcPr>
            <w:tcW w:w="1544" w:type="dxa"/>
            <w:shd w:val="clear" w:color="auto" w:fill="D9E2F3"/>
            <w:tcMar>
              <w:top w:w="60" w:type="dxa"/>
              <w:left w:w="80" w:type="dxa"/>
              <w:bottom w:w="60" w:type="dxa"/>
              <w:right w:w="80" w:type="dxa"/>
            </w:tcMar>
          </w:tcPr>
          <w:p w14:paraId="5D8DCE70" w14:textId="77777777" w:rsidR="00C26415" w:rsidRDefault="00000000" w:rsidP="00F56A6F">
            <w:pPr>
              <w:spacing w:line="360" w:lineRule="auto"/>
              <w:jc w:val="left"/>
            </w:pPr>
            <w:r>
              <w:rPr>
                <w:b/>
                <w:bCs/>
                <w:sz w:val="18"/>
                <w:szCs w:val="18"/>
              </w:rPr>
              <w:t>Sectors Covered</w:t>
            </w:r>
          </w:p>
        </w:tc>
        <w:tc>
          <w:tcPr>
            <w:tcW w:w="1842" w:type="dxa"/>
            <w:shd w:val="clear" w:color="auto" w:fill="D9E2F3"/>
            <w:tcMar>
              <w:top w:w="60" w:type="dxa"/>
              <w:left w:w="80" w:type="dxa"/>
              <w:bottom w:w="60" w:type="dxa"/>
              <w:right w:w="80" w:type="dxa"/>
            </w:tcMar>
          </w:tcPr>
          <w:p w14:paraId="24358125" w14:textId="77777777" w:rsidR="00C26415" w:rsidRDefault="00000000" w:rsidP="00F56A6F">
            <w:pPr>
              <w:spacing w:line="360" w:lineRule="auto"/>
              <w:jc w:val="left"/>
            </w:pPr>
            <w:r>
              <w:rPr>
                <w:b/>
                <w:bCs/>
                <w:sz w:val="18"/>
                <w:szCs w:val="18"/>
              </w:rPr>
              <w:t>Components Linked</w:t>
            </w:r>
          </w:p>
        </w:tc>
        <w:tc>
          <w:tcPr>
            <w:tcW w:w="1843" w:type="dxa"/>
            <w:shd w:val="clear" w:color="auto" w:fill="D9E2F3"/>
            <w:tcMar>
              <w:top w:w="60" w:type="dxa"/>
              <w:left w:w="80" w:type="dxa"/>
              <w:bottom w:w="60" w:type="dxa"/>
              <w:right w:w="80" w:type="dxa"/>
            </w:tcMar>
          </w:tcPr>
          <w:p w14:paraId="33A835D8" w14:textId="77777777" w:rsidR="00C26415" w:rsidRDefault="00000000" w:rsidP="00F56A6F">
            <w:pPr>
              <w:spacing w:line="360" w:lineRule="auto"/>
              <w:jc w:val="left"/>
            </w:pPr>
            <w:r>
              <w:rPr>
                <w:b/>
                <w:bCs/>
                <w:sz w:val="18"/>
                <w:szCs w:val="18"/>
              </w:rPr>
              <w:t>Degree of Integration</w:t>
            </w:r>
          </w:p>
        </w:tc>
        <w:tc>
          <w:tcPr>
            <w:tcW w:w="1852" w:type="dxa"/>
            <w:shd w:val="clear" w:color="auto" w:fill="D9E2F3"/>
            <w:tcMar>
              <w:top w:w="60" w:type="dxa"/>
              <w:left w:w="80" w:type="dxa"/>
              <w:bottom w:w="60" w:type="dxa"/>
              <w:right w:w="80" w:type="dxa"/>
            </w:tcMar>
          </w:tcPr>
          <w:p w14:paraId="57266B4C" w14:textId="77777777" w:rsidR="00C26415" w:rsidRDefault="00000000" w:rsidP="00F56A6F">
            <w:pPr>
              <w:spacing w:line="360" w:lineRule="auto"/>
              <w:jc w:val="left"/>
            </w:pPr>
            <w:r>
              <w:rPr>
                <w:b/>
                <w:bCs/>
                <w:sz w:val="18"/>
                <w:szCs w:val="18"/>
              </w:rPr>
              <w:t>Key Gap</w:t>
            </w:r>
          </w:p>
        </w:tc>
      </w:tr>
      <w:tr w:rsidR="00C26415" w14:paraId="35FF60BA" w14:textId="77777777" w:rsidTr="00F56A6F">
        <w:tc>
          <w:tcPr>
            <w:tcW w:w="1558" w:type="dxa"/>
            <w:tcMar>
              <w:top w:w="60" w:type="dxa"/>
              <w:left w:w="80" w:type="dxa"/>
              <w:bottom w:w="60" w:type="dxa"/>
              <w:right w:w="80" w:type="dxa"/>
            </w:tcMar>
          </w:tcPr>
          <w:p w14:paraId="2A1AC559" w14:textId="77777777" w:rsidR="00C26415" w:rsidRDefault="00000000" w:rsidP="00F56A6F">
            <w:pPr>
              <w:spacing w:line="360" w:lineRule="auto"/>
              <w:jc w:val="left"/>
            </w:pPr>
            <w:r>
              <w:rPr>
                <w:sz w:val="18"/>
                <w:szCs w:val="18"/>
              </w:rPr>
              <w:t>IoT + BIM (construction carbon)</w:t>
            </w:r>
          </w:p>
        </w:tc>
        <w:tc>
          <w:tcPr>
            <w:tcW w:w="721" w:type="dxa"/>
            <w:tcMar>
              <w:top w:w="60" w:type="dxa"/>
              <w:left w:w="80" w:type="dxa"/>
              <w:bottom w:w="60" w:type="dxa"/>
              <w:right w:w="80" w:type="dxa"/>
            </w:tcMar>
          </w:tcPr>
          <w:p w14:paraId="6011BC60" w14:textId="77777777" w:rsidR="00C26415" w:rsidRDefault="00000000" w:rsidP="00F56A6F">
            <w:pPr>
              <w:spacing w:line="360" w:lineRule="auto"/>
              <w:jc w:val="left"/>
            </w:pPr>
            <w:r>
              <w:rPr>
                <w:sz w:val="18"/>
                <w:szCs w:val="18"/>
              </w:rPr>
              <w:t>6</w:t>
            </w:r>
          </w:p>
        </w:tc>
        <w:tc>
          <w:tcPr>
            <w:tcW w:w="1544" w:type="dxa"/>
            <w:tcMar>
              <w:top w:w="60" w:type="dxa"/>
              <w:left w:w="80" w:type="dxa"/>
              <w:bottom w:w="60" w:type="dxa"/>
              <w:right w:w="80" w:type="dxa"/>
            </w:tcMar>
          </w:tcPr>
          <w:p w14:paraId="23748EEF" w14:textId="77777777" w:rsidR="00C26415" w:rsidRDefault="00000000" w:rsidP="00F56A6F">
            <w:pPr>
              <w:spacing w:line="360" w:lineRule="auto"/>
              <w:jc w:val="left"/>
            </w:pPr>
            <w:r>
              <w:rPr>
                <w:sz w:val="18"/>
                <w:szCs w:val="18"/>
              </w:rPr>
              <w:t>Buildings, construction</w:t>
            </w:r>
          </w:p>
        </w:tc>
        <w:tc>
          <w:tcPr>
            <w:tcW w:w="1842" w:type="dxa"/>
            <w:tcMar>
              <w:top w:w="60" w:type="dxa"/>
              <w:left w:w="80" w:type="dxa"/>
              <w:bottom w:w="60" w:type="dxa"/>
              <w:right w:w="80" w:type="dxa"/>
            </w:tcMar>
          </w:tcPr>
          <w:p w14:paraId="499C3B6B" w14:textId="77777777" w:rsidR="00C26415" w:rsidRDefault="00000000" w:rsidP="00F56A6F">
            <w:pPr>
              <w:spacing w:line="360" w:lineRule="auto"/>
              <w:jc w:val="left"/>
            </w:pPr>
            <w:r>
              <w:rPr>
                <w:sz w:val="18"/>
                <w:szCs w:val="18"/>
              </w:rPr>
              <w:t>Sensor data + BIM model + carbon tracker</w:t>
            </w:r>
          </w:p>
        </w:tc>
        <w:tc>
          <w:tcPr>
            <w:tcW w:w="1843" w:type="dxa"/>
            <w:tcMar>
              <w:top w:w="60" w:type="dxa"/>
              <w:left w:w="80" w:type="dxa"/>
              <w:bottom w:w="60" w:type="dxa"/>
              <w:right w:w="80" w:type="dxa"/>
            </w:tcMar>
          </w:tcPr>
          <w:p w14:paraId="09A0547C" w14:textId="77777777" w:rsidR="00C26415" w:rsidRDefault="00000000" w:rsidP="00F56A6F">
            <w:pPr>
              <w:spacing w:line="360" w:lineRule="auto"/>
              <w:jc w:val="left"/>
            </w:pPr>
            <w:r>
              <w:rPr>
                <w:sz w:val="18"/>
                <w:szCs w:val="18"/>
              </w:rPr>
              <w:t>Partial: monitoring to project-level accounting</w:t>
            </w:r>
          </w:p>
        </w:tc>
        <w:tc>
          <w:tcPr>
            <w:tcW w:w="1852" w:type="dxa"/>
            <w:tcMar>
              <w:top w:w="60" w:type="dxa"/>
              <w:left w:w="80" w:type="dxa"/>
              <w:bottom w:w="60" w:type="dxa"/>
              <w:right w:w="80" w:type="dxa"/>
            </w:tcMar>
          </w:tcPr>
          <w:p w14:paraId="66D5E000" w14:textId="77777777" w:rsidR="00C26415" w:rsidRDefault="00000000" w:rsidP="00F56A6F">
            <w:pPr>
              <w:spacing w:line="360" w:lineRule="auto"/>
              <w:jc w:val="left"/>
            </w:pPr>
            <w:r>
              <w:rPr>
                <w:sz w:val="18"/>
                <w:szCs w:val="18"/>
              </w:rPr>
              <w:t>No regulatory MRV output generated</w:t>
            </w:r>
          </w:p>
        </w:tc>
      </w:tr>
      <w:tr w:rsidR="00C26415" w14:paraId="1200D823" w14:textId="77777777" w:rsidTr="00F56A6F">
        <w:tc>
          <w:tcPr>
            <w:tcW w:w="1558" w:type="dxa"/>
            <w:tcMar>
              <w:top w:w="60" w:type="dxa"/>
              <w:left w:w="80" w:type="dxa"/>
              <w:bottom w:w="60" w:type="dxa"/>
              <w:right w:w="80" w:type="dxa"/>
            </w:tcMar>
          </w:tcPr>
          <w:p w14:paraId="212E9BA9" w14:textId="77777777" w:rsidR="00C26415" w:rsidRDefault="00000000" w:rsidP="00F56A6F">
            <w:pPr>
              <w:spacing w:line="360" w:lineRule="auto"/>
              <w:jc w:val="left"/>
            </w:pPr>
            <w:r>
              <w:rPr>
                <w:sz w:val="18"/>
                <w:szCs w:val="18"/>
              </w:rPr>
              <w:t>AI + energy management</w:t>
            </w:r>
          </w:p>
        </w:tc>
        <w:tc>
          <w:tcPr>
            <w:tcW w:w="721" w:type="dxa"/>
            <w:tcMar>
              <w:top w:w="60" w:type="dxa"/>
              <w:left w:w="80" w:type="dxa"/>
              <w:bottom w:w="60" w:type="dxa"/>
              <w:right w:w="80" w:type="dxa"/>
            </w:tcMar>
          </w:tcPr>
          <w:p w14:paraId="14165EF1" w14:textId="77777777" w:rsidR="00C26415" w:rsidRDefault="00000000" w:rsidP="00F56A6F">
            <w:pPr>
              <w:spacing w:line="360" w:lineRule="auto"/>
              <w:jc w:val="left"/>
            </w:pPr>
            <w:r>
              <w:rPr>
                <w:sz w:val="18"/>
                <w:szCs w:val="18"/>
              </w:rPr>
              <w:t>5</w:t>
            </w:r>
          </w:p>
        </w:tc>
        <w:tc>
          <w:tcPr>
            <w:tcW w:w="1544" w:type="dxa"/>
            <w:tcMar>
              <w:top w:w="60" w:type="dxa"/>
              <w:left w:w="80" w:type="dxa"/>
              <w:bottom w:w="60" w:type="dxa"/>
              <w:right w:w="80" w:type="dxa"/>
            </w:tcMar>
          </w:tcPr>
          <w:p w14:paraId="3944EE09" w14:textId="77777777" w:rsidR="00C26415" w:rsidRDefault="00000000" w:rsidP="00F56A6F">
            <w:pPr>
              <w:spacing w:line="360" w:lineRule="auto"/>
              <w:jc w:val="left"/>
            </w:pPr>
            <w:r>
              <w:rPr>
                <w:sz w:val="18"/>
                <w:szCs w:val="18"/>
              </w:rPr>
              <w:t>Buildings, smart grids</w:t>
            </w:r>
          </w:p>
        </w:tc>
        <w:tc>
          <w:tcPr>
            <w:tcW w:w="1842" w:type="dxa"/>
            <w:tcMar>
              <w:top w:w="60" w:type="dxa"/>
              <w:left w:w="80" w:type="dxa"/>
              <w:bottom w:w="60" w:type="dxa"/>
              <w:right w:w="80" w:type="dxa"/>
            </w:tcMar>
          </w:tcPr>
          <w:p w14:paraId="246CA8BC" w14:textId="77777777" w:rsidR="00C26415" w:rsidRDefault="00000000" w:rsidP="00F56A6F">
            <w:pPr>
              <w:spacing w:line="360" w:lineRule="auto"/>
              <w:jc w:val="left"/>
            </w:pPr>
            <w:r>
              <w:rPr>
                <w:sz w:val="18"/>
                <w:szCs w:val="18"/>
              </w:rPr>
              <w:t>ML forecasting + energy monitoring</w:t>
            </w:r>
          </w:p>
        </w:tc>
        <w:tc>
          <w:tcPr>
            <w:tcW w:w="1843" w:type="dxa"/>
            <w:tcMar>
              <w:top w:w="60" w:type="dxa"/>
              <w:left w:w="80" w:type="dxa"/>
              <w:bottom w:w="60" w:type="dxa"/>
              <w:right w:w="80" w:type="dxa"/>
            </w:tcMar>
          </w:tcPr>
          <w:p w14:paraId="7792097D" w14:textId="77777777" w:rsidR="00C26415" w:rsidRDefault="00000000" w:rsidP="00F56A6F">
            <w:pPr>
              <w:spacing w:line="360" w:lineRule="auto"/>
              <w:jc w:val="left"/>
            </w:pPr>
            <w:r>
              <w:rPr>
                <w:sz w:val="18"/>
                <w:szCs w:val="18"/>
              </w:rPr>
              <w:t>Partial: forecasting from operational data</w:t>
            </w:r>
          </w:p>
        </w:tc>
        <w:tc>
          <w:tcPr>
            <w:tcW w:w="1852" w:type="dxa"/>
            <w:tcMar>
              <w:top w:w="60" w:type="dxa"/>
              <w:left w:w="80" w:type="dxa"/>
              <w:bottom w:w="60" w:type="dxa"/>
              <w:right w:w="80" w:type="dxa"/>
            </w:tcMar>
          </w:tcPr>
          <w:p w14:paraId="3882EE68" w14:textId="77777777" w:rsidR="00C26415" w:rsidRDefault="00000000" w:rsidP="00F56A6F">
            <w:pPr>
              <w:spacing w:line="360" w:lineRule="auto"/>
              <w:jc w:val="left"/>
            </w:pPr>
            <w:r>
              <w:rPr>
                <w:sz w:val="18"/>
                <w:szCs w:val="18"/>
              </w:rPr>
              <w:t>Disconnected from formal MRV frameworks</w:t>
            </w:r>
          </w:p>
        </w:tc>
      </w:tr>
      <w:tr w:rsidR="00C26415" w14:paraId="1A5F3E09" w14:textId="77777777" w:rsidTr="00F56A6F">
        <w:tc>
          <w:tcPr>
            <w:tcW w:w="1558" w:type="dxa"/>
            <w:tcMar>
              <w:top w:w="60" w:type="dxa"/>
              <w:left w:w="80" w:type="dxa"/>
              <w:bottom w:w="60" w:type="dxa"/>
              <w:right w:w="80" w:type="dxa"/>
            </w:tcMar>
          </w:tcPr>
          <w:p w14:paraId="45706DB6" w14:textId="77777777" w:rsidR="00C26415" w:rsidRDefault="00000000" w:rsidP="00F56A6F">
            <w:pPr>
              <w:spacing w:line="360" w:lineRule="auto"/>
              <w:jc w:val="left"/>
            </w:pPr>
            <w:r>
              <w:rPr>
                <w:sz w:val="18"/>
                <w:szCs w:val="18"/>
              </w:rPr>
              <w:t>Blockchain + MRV verification</w:t>
            </w:r>
          </w:p>
        </w:tc>
        <w:tc>
          <w:tcPr>
            <w:tcW w:w="721" w:type="dxa"/>
            <w:tcMar>
              <w:top w:w="60" w:type="dxa"/>
              <w:left w:w="80" w:type="dxa"/>
              <w:bottom w:w="60" w:type="dxa"/>
              <w:right w:w="80" w:type="dxa"/>
            </w:tcMar>
          </w:tcPr>
          <w:p w14:paraId="052DC566" w14:textId="77777777" w:rsidR="00C26415" w:rsidRDefault="00000000" w:rsidP="00F56A6F">
            <w:pPr>
              <w:spacing w:line="360" w:lineRule="auto"/>
              <w:jc w:val="left"/>
            </w:pPr>
            <w:r>
              <w:rPr>
                <w:sz w:val="18"/>
                <w:szCs w:val="18"/>
              </w:rPr>
              <w:t>5</w:t>
            </w:r>
          </w:p>
        </w:tc>
        <w:tc>
          <w:tcPr>
            <w:tcW w:w="1544" w:type="dxa"/>
            <w:tcMar>
              <w:top w:w="60" w:type="dxa"/>
              <w:left w:w="80" w:type="dxa"/>
              <w:bottom w:w="60" w:type="dxa"/>
              <w:right w:w="80" w:type="dxa"/>
            </w:tcMar>
          </w:tcPr>
          <w:p w14:paraId="47FA8B35" w14:textId="77777777" w:rsidR="00C26415" w:rsidRDefault="00000000" w:rsidP="00F56A6F">
            <w:pPr>
              <w:spacing w:line="360" w:lineRule="auto"/>
              <w:jc w:val="left"/>
            </w:pPr>
            <w:r>
              <w:rPr>
                <w:sz w:val="18"/>
                <w:szCs w:val="18"/>
              </w:rPr>
              <w:t>Carbon markets, buildings</w:t>
            </w:r>
          </w:p>
        </w:tc>
        <w:tc>
          <w:tcPr>
            <w:tcW w:w="1842" w:type="dxa"/>
            <w:tcMar>
              <w:top w:w="60" w:type="dxa"/>
              <w:left w:w="80" w:type="dxa"/>
              <w:bottom w:w="60" w:type="dxa"/>
              <w:right w:w="80" w:type="dxa"/>
            </w:tcMar>
          </w:tcPr>
          <w:p w14:paraId="71BB5016" w14:textId="77777777" w:rsidR="00C26415" w:rsidRDefault="00000000" w:rsidP="00F56A6F">
            <w:pPr>
              <w:spacing w:line="360" w:lineRule="auto"/>
              <w:jc w:val="left"/>
            </w:pPr>
            <w:r>
              <w:rPr>
                <w:sz w:val="18"/>
                <w:szCs w:val="18"/>
              </w:rPr>
              <w:t>Digital ledger + audit trail + credit registry</w:t>
            </w:r>
          </w:p>
        </w:tc>
        <w:tc>
          <w:tcPr>
            <w:tcW w:w="1843" w:type="dxa"/>
            <w:tcMar>
              <w:top w:w="60" w:type="dxa"/>
              <w:left w:w="80" w:type="dxa"/>
              <w:bottom w:w="60" w:type="dxa"/>
              <w:right w:w="80" w:type="dxa"/>
            </w:tcMar>
          </w:tcPr>
          <w:p w14:paraId="39FC420C" w14:textId="77777777" w:rsidR="00C26415" w:rsidRDefault="00000000" w:rsidP="00F56A6F">
            <w:pPr>
              <w:spacing w:line="360" w:lineRule="auto"/>
              <w:jc w:val="left"/>
            </w:pPr>
            <w:r>
              <w:rPr>
                <w:sz w:val="18"/>
                <w:szCs w:val="18"/>
              </w:rPr>
              <w:t>Partial: verification layer only</w:t>
            </w:r>
          </w:p>
        </w:tc>
        <w:tc>
          <w:tcPr>
            <w:tcW w:w="1852" w:type="dxa"/>
            <w:tcMar>
              <w:top w:w="60" w:type="dxa"/>
              <w:left w:w="80" w:type="dxa"/>
              <w:bottom w:w="60" w:type="dxa"/>
              <w:right w:w="80" w:type="dxa"/>
            </w:tcMar>
          </w:tcPr>
          <w:p w14:paraId="1D7E891F" w14:textId="77777777" w:rsidR="00C26415" w:rsidRDefault="00000000" w:rsidP="00F56A6F">
            <w:pPr>
              <w:spacing w:line="360" w:lineRule="auto"/>
              <w:jc w:val="left"/>
            </w:pPr>
            <w:r>
              <w:rPr>
                <w:sz w:val="18"/>
                <w:szCs w:val="18"/>
              </w:rPr>
              <w:t>Data submission not compelled by technology</w:t>
            </w:r>
          </w:p>
        </w:tc>
      </w:tr>
      <w:tr w:rsidR="00C26415" w14:paraId="60CF12C4" w14:textId="77777777" w:rsidTr="00F56A6F">
        <w:tc>
          <w:tcPr>
            <w:tcW w:w="1558" w:type="dxa"/>
            <w:tcMar>
              <w:top w:w="60" w:type="dxa"/>
              <w:left w:w="80" w:type="dxa"/>
              <w:bottom w:w="60" w:type="dxa"/>
              <w:right w:w="80" w:type="dxa"/>
            </w:tcMar>
          </w:tcPr>
          <w:p w14:paraId="52DB9597" w14:textId="77777777" w:rsidR="00C26415" w:rsidRDefault="00000000" w:rsidP="00F56A6F">
            <w:pPr>
              <w:spacing w:line="360" w:lineRule="auto"/>
              <w:jc w:val="left"/>
            </w:pPr>
            <w:r>
              <w:rPr>
                <w:sz w:val="18"/>
                <w:szCs w:val="18"/>
              </w:rPr>
              <w:t>AIoT (sensor + embedded AI)</w:t>
            </w:r>
          </w:p>
        </w:tc>
        <w:tc>
          <w:tcPr>
            <w:tcW w:w="721" w:type="dxa"/>
            <w:tcMar>
              <w:top w:w="60" w:type="dxa"/>
              <w:left w:w="80" w:type="dxa"/>
              <w:bottom w:w="60" w:type="dxa"/>
              <w:right w:w="80" w:type="dxa"/>
            </w:tcMar>
          </w:tcPr>
          <w:p w14:paraId="4D06B625" w14:textId="77777777" w:rsidR="00C26415" w:rsidRDefault="00000000" w:rsidP="00F56A6F">
            <w:pPr>
              <w:spacing w:line="360" w:lineRule="auto"/>
              <w:jc w:val="left"/>
            </w:pPr>
            <w:r>
              <w:rPr>
                <w:sz w:val="18"/>
                <w:szCs w:val="18"/>
              </w:rPr>
              <w:t>4</w:t>
            </w:r>
          </w:p>
        </w:tc>
        <w:tc>
          <w:tcPr>
            <w:tcW w:w="1544" w:type="dxa"/>
            <w:tcMar>
              <w:top w:w="60" w:type="dxa"/>
              <w:left w:w="80" w:type="dxa"/>
              <w:bottom w:w="60" w:type="dxa"/>
              <w:right w:w="80" w:type="dxa"/>
            </w:tcMar>
          </w:tcPr>
          <w:p w14:paraId="15867FB0" w14:textId="77777777" w:rsidR="00C26415" w:rsidRDefault="00000000" w:rsidP="00F56A6F">
            <w:pPr>
              <w:spacing w:line="360" w:lineRule="auto"/>
              <w:jc w:val="left"/>
            </w:pPr>
            <w:r>
              <w:rPr>
                <w:sz w:val="18"/>
                <w:szCs w:val="18"/>
              </w:rPr>
              <w:t>Smart cities, urban environments</w:t>
            </w:r>
          </w:p>
        </w:tc>
        <w:tc>
          <w:tcPr>
            <w:tcW w:w="1842" w:type="dxa"/>
            <w:tcMar>
              <w:top w:w="60" w:type="dxa"/>
              <w:left w:w="80" w:type="dxa"/>
              <w:bottom w:w="60" w:type="dxa"/>
              <w:right w:w="80" w:type="dxa"/>
            </w:tcMar>
          </w:tcPr>
          <w:p w14:paraId="63DD3909" w14:textId="77777777" w:rsidR="00C26415" w:rsidRDefault="00000000" w:rsidP="00F56A6F">
            <w:pPr>
              <w:spacing w:line="360" w:lineRule="auto"/>
              <w:jc w:val="left"/>
            </w:pPr>
            <w:r>
              <w:rPr>
                <w:sz w:val="18"/>
                <w:szCs w:val="18"/>
              </w:rPr>
              <w:t>Distributed sensing + edge AI + dashboards</w:t>
            </w:r>
          </w:p>
        </w:tc>
        <w:tc>
          <w:tcPr>
            <w:tcW w:w="1843" w:type="dxa"/>
            <w:tcMar>
              <w:top w:w="60" w:type="dxa"/>
              <w:left w:w="80" w:type="dxa"/>
              <w:bottom w:w="60" w:type="dxa"/>
              <w:right w:w="80" w:type="dxa"/>
            </w:tcMar>
          </w:tcPr>
          <w:p w14:paraId="38E1EDA7" w14:textId="77777777" w:rsidR="00C26415" w:rsidRDefault="00000000" w:rsidP="00F56A6F">
            <w:pPr>
              <w:spacing w:line="360" w:lineRule="auto"/>
              <w:jc w:val="left"/>
            </w:pPr>
            <w:r>
              <w:rPr>
                <w:sz w:val="18"/>
                <w:szCs w:val="18"/>
              </w:rPr>
              <w:t>Partial: monitoring + analytics, no accounting</w:t>
            </w:r>
          </w:p>
        </w:tc>
        <w:tc>
          <w:tcPr>
            <w:tcW w:w="1852" w:type="dxa"/>
            <w:tcMar>
              <w:top w:w="60" w:type="dxa"/>
              <w:left w:w="80" w:type="dxa"/>
              <w:bottom w:w="60" w:type="dxa"/>
              <w:right w:w="80" w:type="dxa"/>
            </w:tcMar>
          </w:tcPr>
          <w:p w14:paraId="4E670246" w14:textId="77777777" w:rsidR="00C26415" w:rsidRDefault="00000000" w:rsidP="00F56A6F">
            <w:pPr>
              <w:spacing w:line="360" w:lineRule="auto"/>
              <w:jc w:val="left"/>
            </w:pPr>
            <w:r>
              <w:rPr>
                <w:sz w:val="18"/>
                <w:szCs w:val="18"/>
              </w:rPr>
              <w:t>Interoperability and data translation unsolved</w:t>
            </w:r>
          </w:p>
        </w:tc>
      </w:tr>
      <w:tr w:rsidR="00C26415" w14:paraId="327E93C7" w14:textId="77777777" w:rsidTr="00F56A6F">
        <w:tc>
          <w:tcPr>
            <w:tcW w:w="1558" w:type="dxa"/>
            <w:tcMar>
              <w:top w:w="60" w:type="dxa"/>
              <w:left w:w="80" w:type="dxa"/>
              <w:bottom w:w="60" w:type="dxa"/>
              <w:right w:w="80" w:type="dxa"/>
            </w:tcMar>
          </w:tcPr>
          <w:p w14:paraId="030FD328" w14:textId="77777777" w:rsidR="00C26415" w:rsidRDefault="00000000" w:rsidP="00F56A6F">
            <w:pPr>
              <w:spacing w:line="360" w:lineRule="auto"/>
              <w:jc w:val="left"/>
            </w:pPr>
            <w:r>
              <w:rPr>
                <w:sz w:val="18"/>
                <w:szCs w:val="18"/>
              </w:rPr>
              <w:t>IoT + AI + blockchain (near full-chain)</w:t>
            </w:r>
          </w:p>
        </w:tc>
        <w:tc>
          <w:tcPr>
            <w:tcW w:w="721" w:type="dxa"/>
            <w:tcMar>
              <w:top w:w="60" w:type="dxa"/>
              <w:left w:w="80" w:type="dxa"/>
              <w:bottom w:w="60" w:type="dxa"/>
              <w:right w:w="80" w:type="dxa"/>
            </w:tcMar>
          </w:tcPr>
          <w:p w14:paraId="112452DE" w14:textId="77777777" w:rsidR="00C26415" w:rsidRDefault="00000000" w:rsidP="00F56A6F">
            <w:pPr>
              <w:spacing w:line="360" w:lineRule="auto"/>
              <w:jc w:val="left"/>
            </w:pPr>
            <w:r>
              <w:rPr>
                <w:sz w:val="18"/>
                <w:szCs w:val="18"/>
              </w:rPr>
              <w:t>3</w:t>
            </w:r>
          </w:p>
        </w:tc>
        <w:tc>
          <w:tcPr>
            <w:tcW w:w="1544" w:type="dxa"/>
            <w:tcMar>
              <w:top w:w="60" w:type="dxa"/>
              <w:left w:w="80" w:type="dxa"/>
              <w:bottom w:w="60" w:type="dxa"/>
              <w:right w:w="80" w:type="dxa"/>
            </w:tcMar>
          </w:tcPr>
          <w:p w14:paraId="398BBE02" w14:textId="77777777" w:rsidR="00C26415" w:rsidRDefault="00000000" w:rsidP="00F56A6F">
            <w:pPr>
              <w:spacing w:line="360" w:lineRule="auto"/>
              <w:jc w:val="left"/>
            </w:pPr>
            <w:r>
              <w:rPr>
                <w:sz w:val="18"/>
                <w:szCs w:val="18"/>
              </w:rPr>
              <w:t>Construction, carbon sequestration, GHG tracking</w:t>
            </w:r>
          </w:p>
        </w:tc>
        <w:tc>
          <w:tcPr>
            <w:tcW w:w="1842" w:type="dxa"/>
            <w:tcMar>
              <w:top w:w="60" w:type="dxa"/>
              <w:left w:w="80" w:type="dxa"/>
              <w:bottom w:w="60" w:type="dxa"/>
              <w:right w:w="80" w:type="dxa"/>
            </w:tcMar>
          </w:tcPr>
          <w:p w14:paraId="4105156A" w14:textId="77777777" w:rsidR="00C26415" w:rsidRDefault="00000000" w:rsidP="00F56A6F">
            <w:pPr>
              <w:spacing w:line="360" w:lineRule="auto"/>
              <w:jc w:val="left"/>
            </w:pPr>
            <w:r>
              <w:rPr>
                <w:sz w:val="18"/>
                <w:szCs w:val="18"/>
              </w:rPr>
              <w:t>Sensors + ML + ledger + reporting interface</w:t>
            </w:r>
          </w:p>
        </w:tc>
        <w:tc>
          <w:tcPr>
            <w:tcW w:w="1843" w:type="dxa"/>
            <w:tcMar>
              <w:top w:w="60" w:type="dxa"/>
              <w:left w:w="80" w:type="dxa"/>
              <w:bottom w:w="60" w:type="dxa"/>
              <w:right w:w="80" w:type="dxa"/>
            </w:tcMar>
          </w:tcPr>
          <w:p w14:paraId="7B13504E" w14:textId="77777777" w:rsidR="00C26415" w:rsidRDefault="00000000" w:rsidP="00F56A6F">
            <w:pPr>
              <w:spacing w:line="360" w:lineRule="auto"/>
              <w:jc w:val="left"/>
            </w:pPr>
            <w:r>
              <w:rPr>
                <w:sz w:val="18"/>
                <w:szCs w:val="18"/>
              </w:rPr>
              <w:t>Closest to end-to-end; still pilot-scale</w:t>
            </w:r>
          </w:p>
        </w:tc>
        <w:tc>
          <w:tcPr>
            <w:tcW w:w="1852" w:type="dxa"/>
            <w:tcMar>
              <w:top w:w="60" w:type="dxa"/>
              <w:left w:w="80" w:type="dxa"/>
              <w:bottom w:w="60" w:type="dxa"/>
              <w:right w:w="80" w:type="dxa"/>
            </w:tcMar>
          </w:tcPr>
          <w:p w14:paraId="2EFCC782" w14:textId="77777777" w:rsidR="00C26415" w:rsidRDefault="00000000" w:rsidP="00F56A6F">
            <w:pPr>
              <w:spacing w:line="360" w:lineRule="auto"/>
              <w:jc w:val="left"/>
            </w:pPr>
            <w:r>
              <w:rPr>
                <w:sz w:val="18"/>
                <w:szCs w:val="18"/>
              </w:rPr>
              <w:t>No regulatory-accepted accounting output demonstrated</w:t>
            </w:r>
          </w:p>
        </w:tc>
      </w:tr>
      <w:tr w:rsidR="00C26415" w14:paraId="3D2DC669" w14:textId="77777777" w:rsidTr="00F56A6F">
        <w:tc>
          <w:tcPr>
            <w:tcW w:w="1558" w:type="dxa"/>
            <w:tcMar>
              <w:top w:w="60" w:type="dxa"/>
              <w:left w:w="80" w:type="dxa"/>
              <w:bottom w:w="60" w:type="dxa"/>
              <w:right w:w="80" w:type="dxa"/>
            </w:tcMar>
          </w:tcPr>
          <w:p w14:paraId="3CF8130F" w14:textId="77777777" w:rsidR="00C26415" w:rsidRDefault="00000000" w:rsidP="00F56A6F">
            <w:pPr>
              <w:spacing w:line="360" w:lineRule="auto"/>
              <w:jc w:val="left"/>
            </w:pPr>
            <w:r>
              <w:rPr>
                <w:sz w:val="18"/>
                <w:szCs w:val="18"/>
              </w:rPr>
              <w:t>Supply chain carbon traceability</w:t>
            </w:r>
          </w:p>
        </w:tc>
        <w:tc>
          <w:tcPr>
            <w:tcW w:w="721" w:type="dxa"/>
            <w:tcMar>
              <w:top w:w="60" w:type="dxa"/>
              <w:left w:w="80" w:type="dxa"/>
              <w:bottom w:w="60" w:type="dxa"/>
              <w:right w:w="80" w:type="dxa"/>
            </w:tcMar>
          </w:tcPr>
          <w:p w14:paraId="13FFF128" w14:textId="77777777" w:rsidR="00C26415" w:rsidRDefault="00000000" w:rsidP="00F56A6F">
            <w:pPr>
              <w:spacing w:line="360" w:lineRule="auto"/>
              <w:jc w:val="left"/>
            </w:pPr>
            <w:r>
              <w:rPr>
                <w:sz w:val="18"/>
                <w:szCs w:val="18"/>
              </w:rPr>
              <w:t>2</w:t>
            </w:r>
          </w:p>
        </w:tc>
        <w:tc>
          <w:tcPr>
            <w:tcW w:w="1544" w:type="dxa"/>
            <w:tcMar>
              <w:top w:w="60" w:type="dxa"/>
              <w:left w:w="80" w:type="dxa"/>
              <w:bottom w:w="60" w:type="dxa"/>
              <w:right w:w="80" w:type="dxa"/>
            </w:tcMar>
          </w:tcPr>
          <w:p w14:paraId="5CD342AD" w14:textId="77777777" w:rsidR="00C26415" w:rsidRDefault="00000000" w:rsidP="00F56A6F">
            <w:pPr>
              <w:spacing w:line="360" w:lineRule="auto"/>
              <w:jc w:val="left"/>
            </w:pPr>
            <w:r>
              <w:rPr>
                <w:sz w:val="18"/>
                <w:szCs w:val="18"/>
              </w:rPr>
              <w:t>Industrial supply chains</w:t>
            </w:r>
          </w:p>
        </w:tc>
        <w:tc>
          <w:tcPr>
            <w:tcW w:w="1842" w:type="dxa"/>
            <w:tcMar>
              <w:top w:w="60" w:type="dxa"/>
              <w:left w:w="80" w:type="dxa"/>
              <w:bottom w:w="60" w:type="dxa"/>
              <w:right w:w="80" w:type="dxa"/>
            </w:tcMar>
          </w:tcPr>
          <w:p w14:paraId="2FB1DB10" w14:textId="77777777" w:rsidR="00C26415" w:rsidRDefault="00000000" w:rsidP="00F56A6F">
            <w:pPr>
              <w:spacing w:line="360" w:lineRule="auto"/>
              <w:jc w:val="left"/>
            </w:pPr>
            <w:r>
              <w:rPr>
                <w:sz w:val="18"/>
                <w:szCs w:val="18"/>
              </w:rPr>
              <w:t>IoT data + blockchain traceability</w:t>
            </w:r>
          </w:p>
        </w:tc>
        <w:tc>
          <w:tcPr>
            <w:tcW w:w="1843" w:type="dxa"/>
            <w:tcMar>
              <w:top w:w="60" w:type="dxa"/>
              <w:left w:w="80" w:type="dxa"/>
              <w:bottom w:w="60" w:type="dxa"/>
              <w:right w:w="80" w:type="dxa"/>
            </w:tcMar>
          </w:tcPr>
          <w:p w14:paraId="552DC416" w14:textId="77777777" w:rsidR="00C26415" w:rsidRDefault="00000000" w:rsidP="00F56A6F">
            <w:pPr>
              <w:spacing w:line="360" w:lineRule="auto"/>
              <w:jc w:val="left"/>
            </w:pPr>
            <w:r>
              <w:rPr>
                <w:sz w:val="18"/>
                <w:szCs w:val="18"/>
              </w:rPr>
              <w:t>Partial: traceability without full accounting</w:t>
            </w:r>
          </w:p>
        </w:tc>
        <w:tc>
          <w:tcPr>
            <w:tcW w:w="1852" w:type="dxa"/>
            <w:tcMar>
              <w:top w:w="60" w:type="dxa"/>
              <w:left w:w="80" w:type="dxa"/>
              <w:bottom w:w="60" w:type="dxa"/>
              <w:right w:w="80" w:type="dxa"/>
            </w:tcMar>
          </w:tcPr>
          <w:p w14:paraId="57C86093" w14:textId="77777777" w:rsidR="00C26415" w:rsidRDefault="00000000" w:rsidP="00F56A6F">
            <w:pPr>
              <w:spacing w:line="360" w:lineRule="auto"/>
              <w:jc w:val="left"/>
            </w:pPr>
            <w:r>
              <w:rPr>
                <w:sz w:val="18"/>
                <w:szCs w:val="18"/>
              </w:rPr>
              <w:t>Data privacy and cross-org sharing barriers</w:t>
            </w:r>
          </w:p>
        </w:tc>
      </w:tr>
    </w:tbl>
    <w:p w14:paraId="1B87D332" w14:textId="77777777" w:rsidR="000C66BA" w:rsidRPr="000C66BA" w:rsidRDefault="000C66BA" w:rsidP="000C66BA">
      <w:pPr>
        <w:pStyle w:val="Heading2"/>
        <w:spacing w:line="360" w:lineRule="auto"/>
        <w:jc w:val="both"/>
        <w:rPr>
          <w:b w:val="0"/>
          <w:bCs w:val="0"/>
          <w:color w:val="auto"/>
        </w:rPr>
      </w:pPr>
      <w:r w:rsidRPr="000C66BA">
        <w:rPr>
          <w:b w:val="0"/>
          <w:bCs w:val="0"/>
          <w:color w:val="auto"/>
        </w:rPr>
        <w:lastRenderedPageBreak/>
        <w:t>The integration of IoT, AI, and carbon accounting systems remains limited and uneven across sectors. While IoT systems enable high-resolution data collection and AI supports emissions estimation and forecasting, these components are rarely integrated into formal carbon accounting frameworks (Körner et al., 2025; Brown &amp; MacAskill, 2025). This fragmentation constrains the development of continuous, verifiable carbon monitoring systems.</w:t>
      </w:r>
    </w:p>
    <w:p w14:paraId="44F2DD4E" w14:textId="77777777" w:rsidR="000C66BA" w:rsidRPr="000C66BA" w:rsidRDefault="000C66BA" w:rsidP="000C66BA">
      <w:pPr>
        <w:pStyle w:val="Heading2"/>
        <w:spacing w:line="360" w:lineRule="auto"/>
        <w:jc w:val="both"/>
        <w:rPr>
          <w:b w:val="0"/>
          <w:bCs w:val="0"/>
          <w:color w:val="auto"/>
        </w:rPr>
      </w:pPr>
      <w:r w:rsidRPr="000C66BA">
        <w:rPr>
          <w:b w:val="0"/>
          <w:bCs w:val="0"/>
          <w:color w:val="auto"/>
        </w:rPr>
        <w:t>Current implementations are largely confined to isolated use cases. Building energy systems and smart city applications dominate, where IoT sensors generate operational data and AI models optimise performance or estimate emissions (Ajala et al., 2024; Ene Yalcın et al., 2025). In contrast, sectors such as agriculture, manufacturing, and carbon dioxide removal remain reliant on fragmented or hybrid data inputs, reflecting structural limitations in both data infrastructure and methodological standardisation (Perosa et al., 2023; Clarkson et al., 2024).</w:t>
      </w:r>
    </w:p>
    <w:p w14:paraId="5D7C9FB5" w14:textId="7B1BC5C8" w:rsidR="00A56D13" w:rsidRDefault="000C66BA" w:rsidP="000C66BA">
      <w:pPr>
        <w:pStyle w:val="Heading2"/>
        <w:spacing w:line="360" w:lineRule="auto"/>
        <w:jc w:val="both"/>
        <w:rPr>
          <w:b w:val="0"/>
          <w:bCs w:val="0"/>
          <w:color w:val="auto"/>
        </w:rPr>
      </w:pPr>
      <w:r w:rsidRPr="000C66BA">
        <w:rPr>
          <w:b w:val="0"/>
          <w:bCs w:val="0"/>
          <w:color w:val="auto"/>
        </w:rPr>
        <w:t>A critical limitation is the persistent exclusion of real-time IoT data from carbon accounting processes. Emissions outputs are typically derived from aggregated or historical datasets, which limits responsiveness and prevents continuous verification (Körner et al., 2025; Li et al., 2024). This disconnection represents a fundamental barrier to the development of fully digital carbon accounting systems.</w:t>
      </w:r>
      <w:r>
        <w:rPr>
          <w:b w:val="0"/>
          <w:bCs w:val="0"/>
          <w:color w:val="auto"/>
        </w:rPr>
        <w:t xml:space="preserve"> </w:t>
      </w:r>
      <w:r w:rsidR="00A56D13" w:rsidRPr="00A56D13">
        <w:rPr>
          <w:b w:val="0"/>
          <w:bCs w:val="0"/>
          <w:color w:val="auto"/>
        </w:rPr>
        <w:t>Agricultural and ecosystem integration studies are largely absent, representing a critical gap given the complexity of biological carbon accounting and the importance of land-use emissions in national greenhouse gas inventories.</w:t>
      </w:r>
    </w:p>
    <w:p w14:paraId="58B60FCD" w14:textId="193D3DE8" w:rsidR="00B85822" w:rsidRDefault="00000000" w:rsidP="000600B3">
      <w:pPr>
        <w:pStyle w:val="Heading2"/>
        <w:spacing w:line="360" w:lineRule="auto"/>
        <w:jc w:val="both"/>
      </w:pPr>
      <w:r>
        <w:t>6.2 Technical Barriers: Interoperability, Data Translation, and Architecture</w:t>
      </w:r>
    </w:p>
    <w:p w14:paraId="7C33932D" w14:textId="77777777" w:rsidR="003C6C91" w:rsidRPr="003C6C91" w:rsidRDefault="003C6C91" w:rsidP="003C6C91">
      <w:pPr>
        <w:pStyle w:val="Heading2"/>
        <w:spacing w:line="360" w:lineRule="auto"/>
        <w:jc w:val="both"/>
        <w:rPr>
          <w:b w:val="0"/>
          <w:bCs w:val="0"/>
          <w:color w:val="auto"/>
        </w:rPr>
      </w:pPr>
      <w:r w:rsidRPr="003C6C91">
        <w:rPr>
          <w:b w:val="0"/>
          <w:bCs w:val="0"/>
          <w:color w:val="auto"/>
        </w:rPr>
        <w:t>Technical fragmentation remains a central barrier to integrating IoT, AI, and carbon accounting systems. Existing solutions are typically developed in isolation, resulting in incompatible data formats, architectures, and communication protocols that prevent seamless data exchange (Woo et al., 2021; Merlo et al., 2025). This fragmentation directly constrains the operational integration of sensing, modelling, and reporting layers.</w:t>
      </w:r>
    </w:p>
    <w:p w14:paraId="229EB9F5" w14:textId="77777777" w:rsidR="003C6C91" w:rsidRPr="003C6C91" w:rsidRDefault="003C6C91" w:rsidP="003C6C91">
      <w:pPr>
        <w:pStyle w:val="Heading2"/>
        <w:spacing w:line="360" w:lineRule="auto"/>
        <w:jc w:val="both"/>
        <w:rPr>
          <w:b w:val="0"/>
          <w:bCs w:val="0"/>
          <w:color w:val="auto"/>
        </w:rPr>
      </w:pPr>
      <w:r w:rsidRPr="003C6C91">
        <w:rPr>
          <w:b w:val="0"/>
          <w:bCs w:val="0"/>
          <w:color w:val="auto"/>
        </w:rPr>
        <w:t xml:space="preserve">A critical challenge lies in translating raw sensor outputs into accounting-compatible data. While IoT systems generate high-frequency, granular measurements, carbon accounting frameworks require standardised emissions factors, clearly defined system boundaries, and validated calculation methodologies (Li et al., 2024; Brown &amp; MacAskill, 2025). The absence of consistent </w:t>
      </w:r>
      <w:r w:rsidRPr="003C6C91">
        <w:rPr>
          <w:b w:val="0"/>
          <w:bCs w:val="0"/>
          <w:color w:val="auto"/>
        </w:rPr>
        <w:lastRenderedPageBreak/>
        <w:t>data transformation pipelines creates a structural disconnect between what is measured and what can be formally reported.</w:t>
      </w:r>
    </w:p>
    <w:p w14:paraId="387E46C6" w14:textId="77777777" w:rsidR="003C6C91" w:rsidRPr="003C6C91" w:rsidRDefault="003C6C91" w:rsidP="003C6C91">
      <w:pPr>
        <w:pStyle w:val="Heading2"/>
        <w:spacing w:line="360" w:lineRule="auto"/>
        <w:jc w:val="both"/>
        <w:rPr>
          <w:b w:val="0"/>
          <w:bCs w:val="0"/>
          <w:color w:val="auto"/>
        </w:rPr>
      </w:pPr>
      <w:r w:rsidRPr="003C6C91">
        <w:rPr>
          <w:b w:val="0"/>
          <w:bCs w:val="0"/>
          <w:color w:val="auto"/>
        </w:rPr>
        <w:t>This gap is not purely technical but methodological. Current accounting frameworks are not designed to ingest continuous data streams, which limits the usability of real-time inputs even where sensing infrastructure exists (Körner et al., 2025). As a result, much of the potential value of IoT-enabled monitoring remains unrealised within formal carbon accounting systems.</w:t>
      </w:r>
    </w:p>
    <w:p w14:paraId="5B2A6963" w14:textId="77777777" w:rsidR="003C6C91" w:rsidRDefault="003C6C91" w:rsidP="003C6C91">
      <w:pPr>
        <w:pStyle w:val="Heading2"/>
        <w:spacing w:line="360" w:lineRule="auto"/>
        <w:jc w:val="both"/>
        <w:rPr>
          <w:b w:val="0"/>
          <w:bCs w:val="0"/>
          <w:color w:val="auto"/>
        </w:rPr>
      </w:pPr>
      <w:r w:rsidRPr="003C6C91">
        <w:rPr>
          <w:b w:val="0"/>
          <w:bCs w:val="0"/>
          <w:color w:val="auto"/>
        </w:rPr>
        <w:t>Scalability further constrains integration. Most implementations remain at pilot or localised scales, with limited evidence of deployment across complex, multi-system environments (Körner et al., 2025). As systems scale, challenges related to data volume, processing requirements, and cross-platform coordination become increasingly pronounced, reinforcing the persistence of fragmented system architectures.</w:t>
      </w:r>
    </w:p>
    <w:p w14:paraId="6C9A9CC0" w14:textId="2FCCB437" w:rsidR="008F5093" w:rsidRDefault="00000000" w:rsidP="003C6C91">
      <w:pPr>
        <w:pStyle w:val="Heading2"/>
        <w:spacing w:line="360" w:lineRule="auto"/>
      </w:pPr>
      <w:r>
        <w:t>6.3 Governance and Institutional Barriers to Integration</w:t>
      </w:r>
    </w:p>
    <w:p w14:paraId="5841AB85" w14:textId="77777777" w:rsidR="009A2CF4" w:rsidRPr="009A2CF4" w:rsidRDefault="009A2CF4" w:rsidP="009A2CF4">
      <w:pPr>
        <w:pStyle w:val="Heading2"/>
        <w:spacing w:line="360" w:lineRule="auto"/>
        <w:jc w:val="both"/>
        <w:rPr>
          <w:b w:val="0"/>
          <w:bCs w:val="0"/>
          <w:color w:val="auto"/>
        </w:rPr>
      </w:pPr>
      <w:r w:rsidRPr="009A2CF4">
        <w:rPr>
          <w:b w:val="0"/>
          <w:bCs w:val="0"/>
          <w:color w:val="auto"/>
        </w:rPr>
        <w:t>Governance constraints play a decisive role in limiting system integration. Data ownership, access rights, and accountability for errors remain unresolved across many digital carbon systems, particularly in multi-actor contexts such as supply chains and cross-jurisdictional reporting (Thornbush &amp; Govind, 2025; Woo et al., 2021). These ambiguities reduce trust in digitally generated emissions data and complicate verification processes.</w:t>
      </w:r>
    </w:p>
    <w:p w14:paraId="33AFAAB5" w14:textId="77777777" w:rsidR="009A2CF4" w:rsidRPr="009A2CF4" w:rsidRDefault="009A2CF4" w:rsidP="009A2CF4">
      <w:pPr>
        <w:pStyle w:val="Heading2"/>
        <w:spacing w:line="360" w:lineRule="auto"/>
        <w:jc w:val="both"/>
        <w:rPr>
          <w:b w:val="0"/>
          <w:bCs w:val="0"/>
          <w:color w:val="auto"/>
        </w:rPr>
      </w:pPr>
      <w:r w:rsidRPr="009A2CF4">
        <w:rPr>
          <w:b w:val="0"/>
          <w:bCs w:val="0"/>
          <w:color w:val="auto"/>
        </w:rPr>
        <w:t>A more fundamental limitation is the misalignment between technological capability and regulatory frameworks. While IoT and AI systems enable continuous, high-resolution monitoring, existing carbon accounting standards remain structured around periodic, aggregated reporting (Brown &amp; MacAskill, 2025; Körner et al., 2025). This creates a structural barrier to incorporating real-time data into formal MRV systems, even where technical feasibility has been demonstrated.</w:t>
      </w:r>
    </w:p>
    <w:p w14:paraId="015B7B6C" w14:textId="77777777" w:rsidR="009A2CF4" w:rsidRPr="009A2CF4" w:rsidRDefault="009A2CF4" w:rsidP="009A2CF4">
      <w:pPr>
        <w:pStyle w:val="Heading2"/>
        <w:spacing w:line="360" w:lineRule="auto"/>
        <w:jc w:val="both"/>
        <w:rPr>
          <w:b w:val="0"/>
          <w:bCs w:val="0"/>
          <w:color w:val="auto"/>
        </w:rPr>
      </w:pPr>
      <w:r w:rsidRPr="009A2CF4">
        <w:rPr>
          <w:b w:val="0"/>
          <w:bCs w:val="0"/>
          <w:color w:val="auto"/>
        </w:rPr>
        <w:t>These governance challenges are particularly evident in resource-constrained contexts such as Zimbabwe. Despite the potential for digital monitoring systems to improve emissions tracking, implementation is constrained by limited digital infrastructure, fragmented institutional coordination, and insufficient regulatory support. In such contexts, data collection systems are often incomplete or inconsistent, and the absence of clear governance frameworks further limits the credibility and usability of emissions data.</w:t>
      </w:r>
    </w:p>
    <w:p w14:paraId="1F0B36D3" w14:textId="77777777" w:rsidR="009A2CF4" w:rsidRPr="009A2CF4" w:rsidRDefault="009A2CF4" w:rsidP="009A2CF4">
      <w:pPr>
        <w:pStyle w:val="Heading2"/>
        <w:spacing w:line="360" w:lineRule="auto"/>
        <w:jc w:val="both"/>
        <w:rPr>
          <w:b w:val="0"/>
          <w:bCs w:val="0"/>
          <w:color w:val="auto"/>
        </w:rPr>
      </w:pPr>
      <w:r w:rsidRPr="009A2CF4">
        <w:rPr>
          <w:b w:val="0"/>
          <w:bCs w:val="0"/>
          <w:color w:val="auto"/>
        </w:rPr>
        <w:lastRenderedPageBreak/>
        <w:t>This reflects a broader structural issue rather than a purely local constraint. Institutional capacity, including technical expertise, regulatory alignment, and data governance structures, directly shapes the feasibility of integrating IoT and AI into carbon accounting systems (Thornbush &amp; Govind, 2025). As a result, disparities in institutional readiness reinforce global inequalities in carbon monitoring, verification, and reporting capabilities.</w:t>
      </w:r>
    </w:p>
    <w:p w14:paraId="375A1455" w14:textId="77777777" w:rsidR="009A2CF4" w:rsidRDefault="009A2CF4" w:rsidP="009A2CF4">
      <w:pPr>
        <w:pStyle w:val="Heading2"/>
        <w:spacing w:line="360" w:lineRule="auto"/>
        <w:jc w:val="both"/>
        <w:rPr>
          <w:b w:val="0"/>
          <w:bCs w:val="0"/>
          <w:color w:val="auto"/>
        </w:rPr>
      </w:pPr>
      <w:r w:rsidRPr="009A2CF4">
        <w:rPr>
          <w:b w:val="0"/>
          <w:bCs w:val="0"/>
          <w:color w:val="auto"/>
        </w:rPr>
        <w:t>Taken together, these governance barriers do not simply delay integration; they define its limits. Without regulatory recognition of real-time data and clear accountability structures, integration will remain partial, with the most advanced systems concentrated in contexts with strong institutional capacity.</w:t>
      </w:r>
    </w:p>
    <w:p w14:paraId="471F9329" w14:textId="1C31A380" w:rsidR="00662F77" w:rsidRDefault="00662F77" w:rsidP="009A2CF4">
      <w:pPr>
        <w:pStyle w:val="Heading2"/>
        <w:spacing w:line="360" w:lineRule="auto"/>
        <w:jc w:val="both"/>
      </w:pPr>
      <w:r>
        <w:t>6.4 Emerging Integration Pathways</w:t>
      </w:r>
    </w:p>
    <w:p w14:paraId="12389081" w14:textId="139008F9" w:rsidR="00B24ED9" w:rsidRPr="00B24ED9" w:rsidRDefault="00B24ED9" w:rsidP="00B24ED9">
      <w:pPr>
        <w:pStyle w:val="Heading1"/>
        <w:spacing w:line="360" w:lineRule="auto"/>
        <w:jc w:val="both"/>
        <w:rPr>
          <w:b w:val="0"/>
          <w:bCs w:val="0"/>
          <w:color w:val="auto"/>
          <w:sz w:val="24"/>
          <w:szCs w:val="24"/>
        </w:rPr>
      </w:pPr>
      <w:r w:rsidRPr="00B24ED9">
        <w:rPr>
          <w:b w:val="0"/>
          <w:bCs w:val="0"/>
          <w:color w:val="auto"/>
          <w:sz w:val="24"/>
          <w:szCs w:val="24"/>
        </w:rPr>
        <w:t>Despite these constraints, the reviewed literature identifies several concrete</w:t>
      </w:r>
      <w:r>
        <w:rPr>
          <w:b w:val="0"/>
          <w:bCs w:val="0"/>
          <w:color w:val="auto"/>
          <w:sz w:val="24"/>
          <w:szCs w:val="24"/>
        </w:rPr>
        <w:t xml:space="preserve">, </w:t>
      </w:r>
      <w:r w:rsidRPr="00B24ED9">
        <w:rPr>
          <w:b w:val="0"/>
          <w:bCs w:val="0"/>
          <w:color w:val="auto"/>
          <w:sz w:val="24"/>
          <w:szCs w:val="24"/>
        </w:rPr>
        <w:t>though still uneven</w:t>
      </w:r>
      <w:r>
        <w:rPr>
          <w:b w:val="0"/>
          <w:bCs w:val="0"/>
          <w:color w:val="auto"/>
          <w:sz w:val="24"/>
          <w:szCs w:val="24"/>
        </w:rPr>
        <w:t xml:space="preserve">, </w:t>
      </w:r>
      <w:r w:rsidRPr="00B24ED9">
        <w:rPr>
          <w:b w:val="0"/>
          <w:bCs w:val="0"/>
          <w:color w:val="auto"/>
          <w:sz w:val="24"/>
          <w:szCs w:val="24"/>
        </w:rPr>
        <w:t>pathways toward more fully integrated digital carbon management systems. Importantly, while the technical direction of travel is increasingly clear, the reviewer notes that most proposed pathways remain partial, sector-specific, and insufficiently validated across diverse governance and infrastructure contexts.</w:t>
      </w:r>
    </w:p>
    <w:p w14:paraId="37BCD23E" w14:textId="77777777" w:rsidR="00B24ED9" w:rsidRPr="00B24ED9" w:rsidRDefault="00B24ED9" w:rsidP="00B24ED9">
      <w:pPr>
        <w:pStyle w:val="Heading1"/>
        <w:spacing w:line="360" w:lineRule="auto"/>
        <w:jc w:val="both"/>
        <w:rPr>
          <w:b w:val="0"/>
          <w:bCs w:val="0"/>
          <w:color w:val="auto"/>
          <w:sz w:val="24"/>
          <w:szCs w:val="24"/>
        </w:rPr>
      </w:pPr>
      <w:r w:rsidRPr="00B24ED9">
        <w:rPr>
          <w:b w:val="0"/>
          <w:bCs w:val="0"/>
          <w:color w:val="auto"/>
          <w:sz w:val="24"/>
          <w:szCs w:val="24"/>
        </w:rPr>
        <w:t>At the architectural level, AIoT platforms that combine distributed IoT sensing with embedded AI analytics represent the most technically mature near-term integration pathway. Bibri et al. (2024) provide a broad architectural framework for AIoT-enabled urban carbon governance, while Alahi et al. (2023) demonstrate AIoT integration across energy management, air quality, and urban emissions monitoring in smart city environments. Lanfranchi and Cesaroni (2025), synthesising evidence from 160 studies, identify integrated AIoT systems as the dominant emerging model for both organisational and urban carbon management. However, from a reviewer perspective, these frameworks remain largely conceptual or confined to technologically advanced urban settings. There is limited evidence of their operationalisation in infrastructure-constrained environments, and the absence of sector-specific technical standards continues to inhibit real-world deployment.</w:t>
      </w:r>
    </w:p>
    <w:p w14:paraId="14866EED" w14:textId="77777777" w:rsidR="00B24ED9" w:rsidRPr="00B24ED9" w:rsidRDefault="00B24ED9" w:rsidP="00B24ED9">
      <w:pPr>
        <w:pStyle w:val="Heading1"/>
        <w:spacing w:line="360" w:lineRule="auto"/>
        <w:jc w:val="both"/>
        <w:rPr>
          <w:b w:val="0"/>
          <w:bCs w:val="0"/>
          <w:color w:val="auto"/>
          <w:sz w:val="24"/>
          <w:szCs w:val="24"/>
        </w:rPr>
      </w:pPr>
      <w:r w:rsidRPr="00B24ED9">
        <w:rPr>
          <w:b w:val="0"/>
          <w:bCs w:val="0"/>
          <w:color w:val="auto"/>
          <w:sz w:val="24"/>
          <w:szCs w:val="24"/>
        </w:rPr>
        <w:t xml:space="preserve">At the data integration layer, more concrete progress is evident, particularly in closing the “sensor-to-ledger” gap. Peng et al. (2024) demonstrate within the power sector that AI models can automate the translation of real-time electricity monitoring data into carbon accounting outputs, effectively </w:t>
      </w:r>
      <w:r w:rsidRPr="00B24ED9">
        <w:rPr>
          <w:b w:val="0"/>
          <w:bCs w:val="0"/>
          <w:color w:val="auto"/>
          <w:sz w:val="24"/>
          <w:szCs w:val="24"/>
        </w:rPr>
        <w:lastRenderedPageBreak/>
        <w:t>linking measurement with reporting within a defined system boundary. Similarly, Hasan et al. (2025) show that integrating IoT ground sensors with satellite data using AI reduces emissions reporting latency from 24 hours to 1 hour, while improving spatial resolution from 30 to 10 metres. These findings are highly relevant for national emissions inventory systems and regulatory MRV applications.</w:t>
      </w:r>
    </w:p>
    <w:p w14:paraId="11FDB8CD" w14:textId="77777777" w:rsidR="00B24ED9" w:rsidRPr="00B24ED9" w:rsidRDefault="00B24ED9" w:rsidP="00B24ED9">
      <w:pPr>
        <w:pStyle w:val="Heading1"/>
        <w:spacing w:line="360" w:lineRule="auto"/>
        <w:jc w:val="both"/>
        <w:rPr>
          <w:b w:val="0"/>
          <w:bCs w:val="0"/>
          <w:color w:val="auto"/>
          <w:sz w:val="24"/>
          <w:szCs w:val="24"/>
        </w:rPr>
      </w:pPr>
      <w:r w:rsidRPr="00B24ED9">
        <w:rPr>
          <w:b w:val="0"/>
          <w:bCs w:val="0"/>
          <w:color w:val="auto"/>
          <w:sz w:val="24"/>
          <w:szCs w:val="24"/>
        </w:rPr>
        <w:t>However, the reviewer emphasises that these advances remain sectorally bounded—primarily to electricity systems and national-scale inventory management. Their transferability to other high-emission sectors such as agriculture, transport, or informal industrial activities is not yet demonstrated. Furthermore, scaling these approaches will require the development of standardised data models capable of harmonising heterogeneous sensor outputs with the requirements of diverse accounting frameworks. Without such standardisation, integration risks remaining fragmented and non-comparable across systems.</w:t>
      </w:r>
    </w:p>
    <w:p w14:paraId="2833ACEE" w14:textId="77777777" w:rsidR="00B24ED9" w:rsidRPr="00B24ED9" w:rsidRDefault="00B24ED9" w:rsidP="00B24ED9">
      <w:pPr>
        <w:pStyle w:val="Heading1"/>
        <w:spacing w:line="360" w:lineRule="auto"/>
        <w:jc w:val="both"/>
        <w:rPr>
          <w:b w:val="0"/>
          <w:bCs w:val="0"/>
          <w:color w:val="auto"/>
          <w:sz w:val="24"/>
          <w:szCs w:val="24"/>
        </w:rPr>
      </w:pPr>
      <w:r w:rsidRPr="00B24ED9">
        <w:rPr>
          <w:b w:val="0"/>
          <w:bCs w:val="0"/>
          <w:color w:val="auto"/>
          <w:sz w:val="24"/>
          <w:szCs w:val="24"/>
        </w:rPr>
        <w:t>At the governance level, the literature increasingly recognises that technical integration alone is insufficient for regulatory adoption. Körner et al. (2025) argue that digital MRV systems will only achieve compliance legitimacy when supported by formal certification frameworks that clearly define the technical standards sensor-derived data must meet. Merlo et al. (2025) further suggest that hybrid governance models—combining blockchain-based data infrastructures with regulatory oversight and independent verification—offer a more viable pathway to institutional trust than purely technology-driven solutions.</w:t>
      </w:r>
    </w:p>
    <w:p w14:paraId="367482F6" w14:textId="77777777" w:rsidR="00B24ED9" w:rsidRPr="00B24ED9" w:rsidRDefault="00B24ED9" w:rsidP="00B24ED9">
      <w:pPr>
        <w:pStyle w:val="Heading1"/>
        <w:spacing w:line="360" w:lineRule="auto"/>
        <w:jc w:val="both"/>
        <w:rPr>
          <w:b w:val="0"/>
          <w:bCs w:val="0"/>
          <w:color w:val="auto"/>
          <w:sz w:val="24"/>
          <w:szCs w:val="24"/>
        </w:rPr>
      </w:pPr>
      <w:r w:rsidRPr="00B24ED9">
        <w:rPr>
          <w:b w:val="0"/>
          <w:bCs w:val="0"/>
          <w:color w:val="auto"/>
          <w:sz w:val="24"/>
          <w:szCs w:val="24"/>
        </w:rPr>
        <w:t>From a reviewer standpoint, this highlights a critical gap: progress in integration is not only a technical challenge but also an institutional one. Achieving meaningful adoption will require coordinated advances across standardisation bodies, regulatory institutions, and technical system developers. The literature suggests that without such alignment, even technically robust systems may fail to gain acceptance within formal carbon accounting and compliance regimes.</w:t>
      </w:r>
    </w:p>
    <w:p w14:paraId="5D7522C4" w14:textId="77777777" w:rsidR="00B24ED9" w:rsidRDefault="00B24ED9" w:rsidP="00B24ED9">
      <w:pPr>
        <w:pStyle w:val="Heading1"/>
        <w:spacing w:line="360" w:lineRule="auto"/>
        <w:jc w:val="both"/>
        <w:rPr>
          <w:b w:val="0"/>
          <w:bCs w:val="0"/>
          <w:color w:val="auto"/>
          <w:sz w:val="24"/>
          <w:szCs w:val="24"/>
        </w:rPr>
      </w:pPr>
      <w:r w:rsidRPr="00B24ED9">
        <w:rPr>
          <w:b w:val="0"/>
          <w:bCs w:val="0"/>
          <w:color w:val="auto"/>
          <w:sz w:val="24"/>
          <w:szCs w:val="24"/>
        </w:rPr>
        <w:t xml:space="preserve">Overall, while the evidence supports that viable integration pathways are emerging, the reviewer concludes that these remain incomplete. Current developments demonstrate proof-of-concept rather than fully scalable solutions, and future progress will depend on simultaneous advancements </w:t>
      </w:r>
      <w:r w:rsidRPr="00B24ED9">
        <w:rPr>
          <w:b w:val="0"/>
          <w:bCs w:val="0"/>
          <w:color w:val="auto"/>
          <w:sz w:val="24"/>
          <w:szCs w:val="24"/>
        </w:rPr>
        <w:lastRenderedPageBreak/>
        <w:t>in technical architecture, cross-sector validation, data standardisation, and governance frameworks.</w:t>
      </w:r>
    </w:p>
    <w:p w14:paraId="73BF73D6" w14:textId="10887174" w:rsidR="00B85822" w:rsidRDefault="00000000" w:rsidP="00B24ED9">
      <w:pPr>
        <w:pStyle w:val="Heading1"/>
        <w:spacing w:line="360" w:lineRule="auto"/>
        <w:jc w:val="both"/>
      </w:pPr>
      <w:r>
        <w:t>7. Research Gaps</w:t>
      </w:r>
    </w:p>
    <w:p w14:paraId="12CBBF19" w14:textId="77777777" w:rsidR="004018DC" w:rsidRPr="004018DC" w:rsidRDefault="004018DC" w:rsidP="000600B3">
      <w:pPr>
        <w:pStyle w:val="Heading1"/>
        <w:spacing w:line="360" w:lineRule="auto"/>
        <w:jc w:val="both"/>
        <w:rPr>
          <w:b w:val="0"/>
          <w:bCs w:val="0"/>
          <w:color w:val="auto"/>
          <w:sz w:val="24"/>
          <w:szCs w:val="24"/>
        </w:rPr>
      </w:pPr>
      <w:r>
        <w:rPr>
          <w:b w:val="0"/>
          <w:bCs w:val="0"/>
          <w:color w:val="auto"/>
          <w:sz w:val="24"/>
          <w:szCs w:val="24"/>
        </w:rPr>
        <w:t>The synthesis of evidence across the four thematic areas reveals six principal research gaps that define the current frontier of digital carbon management research. These gaps are not independent: they are structurally interconnected, and progress on each is necessary for the field to advance from fragmented technological development to integrated operational carbon governance.</w:t>
      </w:r>
    </w:p>
    <w:p w14:paraId="2D6EE5BE" w14:textId="77777777" w:rsidR="004018DC" w:rsidRPr="004018DC" w:rsidRDefault="004018DC" w:rsidP="000600B3">
      <w:pPr>
        <w:pStyle w:val="Heading2"/>
        <w:spacing w:line="360" w:lineRule="auto"/>
        <w:jc w:val="both"/>
      </w:pPr>
      <w:r>
        <w:t>Gap 1: The sensor-to-accounting translation layer.</w:t>
      </w:r>
    </w:p>
    <w:p w14:paraId="127084B1" w14:textId="36D0F28B" w:rsidR="004018DC" w:rsidRPr="004018DC" w:rsidRDefault="004018DC" w:rsidP="000600B3">
      <w:pPr>
        <w:pStyle w:val="Heading1"/>
        <w:spacing w:line="360" w:lineRule="auto"/>
        <w:jc w:val="both"/>
        <w:rPr>
          <w:b w:val="0"/>
          <w:bCs w:val="0"/>
          <w:color w:val="auto"/>
          <w:sz w:val="24"/>
          <w:szCs w:val="24"/>
        </w:rPr>
      </w:pPr>
      <w:r>
        <w:rPr>
          <w:b w:val="0"/>
          <w:bCs w:val="0"/>
          <w:color w:val="auto"/>
          <w:sz w:val="24"/>
          <w:szCs w:val="24"/>
        </w:rPr>
        <w:t>Despite widespread deployment of IoT sensor networks for environmental monitoring, most reviewed systems are designed to collect and transmit physical measurements</w:t>
      </w:r>
      <w:r w:rsidR="00925F22">
        <w:rPr>
          <w:b w:val="0"/>
          <w:bCs w:val="0"/>
          <w:color w:val="auto"/>
          <w:sz w:val="24"/>
          <w:szCs w:val="24"/>
        </w:rPr>
        <w:t xml:space="preserve"> </w:t>
      </w:r>
      <w:r>
        <w:rPr>
          <w:b w:val="0"/>
          <w:bCs w:val="0"/>
          <w:color w:val="auto"/>
          <w:sz w:val="24"/>
          <w:szCs w:val="24"/>
        </w:rPr>
        <w:t>without providing mechanisms to translate these outputs into standardised carbon accounting indicators. This translation layer, which must convert raw sensor readings into emission estimates using validated emission factors, defined accounting boundaries, and uncertainty quantification, is the most under addressed technical problem in the integrated carbon management literature (Ma et al., 2022; Marquez-Zepeda et al., 2025; Li et al., 2025). No reviewed study presents a generalisable, validated technical solution for automating this translation across diverse sensor types and accounting frameworks. At the architectural level, this is where the integration ambition of the field collapses: a system can have a perfectly working sensor layer and a perfectly working forecasting layer and still produce no carbon accounting output, because the translation between them is treated as a downstream concern rather than as the core architectural problem.</w:t>
      </w:r>
    </w:p>
    <w:p w14:paraId="019F258A" w14:textId="77777777" w:rsidR="004018DC" w:rsidRPr="004018DC" w:rsidRDefault="004018DC" w:rsidP="000600B3">
      <w:pPr>
        <w:pStyle w:val="Heading2"/>
        <w:spacing w:line="360" w:lineRule="auto"/>
        <w:jc w:val="both"/>
      </w:pPr>
      <w:r>
        <w:t>Gap 2: Disconnection between AI forecasting models and live IoT data streams.</w:t>
      </w:r>
    </w:p>
    <w:p w14:paraId="2CE9BF4E" w14:textId="09FF879C" w:rsidR="00C414D6" w:rsidRDefault="00C414D6" w:rsidP="000600B3">
      <w:pPr>
        <w:pStyle w:val="Heading2"/>
        <w:spacing w:line="360" w:lineRule="auto"/>
        <w:jc w:val="both"/>
        <w:rPr>
          <w:b w:val="0"/>
          <w:bCs w:val="0"/>
          <w:color w:val="auto"/>
        </w:rPr>
      </w:pPr>
      <w:r w:rsidRPr="00C414D6">
        <w:rPr>
          <w:b w:val="0"/>
          <w:bCs w:val="0"/>
          <w:color w:val="auto"/>
        </w:rPr>
        <w:t xml:space="preserve">The machine learning and deep learning models reviewed demonstrate strong predictive performance on historical emissions datasets, but most are not connected to real-time monitoring infrastructure. Only a minority of reviewed studies, including Zhu et al. (2023) and Marquez-Zepeda et al. (2025): demonstrate AI models trained and validated on live IoT sensor data. This disconnection means that even the most accurate AI forecasting models operate on data that is, by design, retrospective, limiting their utility for continuous or near-real-time carbon oversight. </w:t>
      </w:r>
      <w:r w:rsidRPr="00C414D6">
        <w:rPr>
          <w:b w:val="0"/>
          <w:bCs w:val="0"/>
          <w:color w:val="auto"/>
        </w:rPr>
        <w:lastRenderedPageBreak/>
        <w:t xml:space="preserve">Research is needed on AI architectures specifically designed to handle the noise, high frequency, and incompleteness characteristics of live sensor streams (Kumari &amp; Singh, 2023; Ajala et al., 2025). When deployed, this affects the system because a model trained on clean, aggregated inventory data behaves differently when exposed to raw sensor outputs — the gap is not just one of data freshness, it is one of data shape, and bridging it is a research </w:t>
      </w:r>
      <w:r w:rsidR="00925F22" w:rsidRPr="00C414D6">
        <w:rPr>
          <w:b w:val="0"/>
          <w:bCs w:val="0"/>
          <w:color w:val="auto"/>
        </w:rPr>
        <w:t>problem</w:t>
      </w:r>
      <w:r w:rsidRPr="00C414D6">
        <w:rPr>
          <w:b w:val="0"/>
          <w:bCs w:val="0"/>
          <w:color w:val="auto"/>
        </w:rPr>
        <w:t>.</w:t>
      </w:r>
    </w:p>
    <w:p w14:paraId="48D2E926" w14:textId="429A1A24" w:rsidR="004018DC" w:rsidRPr="004018DC" w:rsidRDefault="004018DC" w:rsidP="000600B3">
      <w:pPr>
        <w:pStyle w:val="Heading2"/>
        <w:spacing w:line="360" w:lineRule="auto"/>
        <w:jc w:val="both"/>
      </w:pPr>
      <w:r>
        <w:t>Gap 3: End-to-end integration from monitoring to verified accounting.</w:t>
      </w:r>
    </w:p>
    <w:p w14:paraId="76AC3D50" w14:textId="77777777" w:rsidR="00C414D6" w:rsidRDefault="00C414D6" w:rsidP="000600B3">
      <w:pPr>
        <w:pStyle w:val="Heading2"/>
        <w:spacing w:line="360" w:lineRule="auto"/>
        <w:jc w:val="both"/>
        <w:rPr>
          <w:b w:val="0"/>
          <w:bCs w:val="0"/>
          <w:color w:val="auto"/>
        </w:rPr>
      </w:pPr>
      <w:r w:rsidRPr="00C414D6">
        <w:rPr>
          <w:b w:val="0"/>
          <w:bCs w:val="0"/>
          <w:color w:val="auto"/>
        </w:rPr>
        <w:t>Current carbon accounting and MRV frameworks largely operate on periodically aggregated, manually compiled activity data rather than continuous digital data streams. Despite emerging research on digital MRV systems and blockchain-based carbon management platforms, no reviewed study presents empirical evidence of a deployed system that fully connects real-time IoT monitoring, through AI analytics, to a formally verified carbon accounting output recognised by a regulatory body (Pourrahmani et al., 2025; Körner et al., 2025). The scalability of pilot-scale integrations to national or global carbon market contexts has not been empirically demonstrated.</w:t>
      </w:r>
    </w:p>
    <w:p w14:paraId="6BAF00C9" w14:textId="77CFB6FF" w:rsidR="004018DC" w:rsidRPr="004018DC" w:rsidRDefault="004018DC" w:rsidP="000600B3">
      <w:pPr>
        <w:pStyle w:val="Heading2"/>
        <w:spacing w:line="360" w:lineRule="auto"/>
        <w:jc w:val="both"/>
      </w:pPr>
      <w:r>
        <w:t>Gap 4: Regulatory acceptance of sensor-derived emissions data.</w:t>
      </w:r>
    </w:p>
    <w:p w14:paraId="33BE03CD" w14:textId="77777777" w:rsidR="004018DC" w:rsidRPr="004018DC" w:rsidRDefault="004018DC" w:rsidP="000600B3">
      <w:pPr>
        <w:pStyle w:val="Heading1"/>
        <w:spacing w:line="360" w:lineRule="auto"/>
        <w:jc w:val="both"/>
        <w:rPr>
          <w:b w:val="0"/>
          <w:bCs w:val="0"/>
          <w:color w:val="auto"/>
          <w:sz w:val="24"/>
          <w:szCs w:val="24"/>
        </w:rPr>
      </w:pPr>
      <w:r>
        <w:rPr>
          <w:b w:val="0"/>
          <w:bCs w:val="0"/>
          <w:color w:val="auto"/>
          <w:sz w:val="24"/>
          <w:szCs w:val="24"/>
        </w:rPr>
        <w:t>Carbon compliance frameworks currently require emissions data reported through prescribed activity-based methodologies using standardised emission factors. For IoT-derived monitoring data to serve as a primary input to formal carbon accounting, regulatory frameworks must specify the calibration standards, data quality requirements, and verification protocols that sensor-derived data must satisfy. This regulatory gap is identified by Song et al. (2025) and Körner et al. (2025) as a principal barrier to scaling digital MRV, but the reviewed academic literature does not document a resolved regulatory pathway in any jurisdiction. Development of sensor certification standards and regulatory acceptance frameworks for digital emissions data represents an urgent governance research priority.</w:t>
      </w:r>
    </w:p>
    <w:p w14:paraId="1BA48ECA" w14:textId="77777777" w:rsidR="004018DC" w:rsidRPr="004018DC" w:rsidRDefault="004018DC" w:rsidP="000600B3">
      <w:pPr>
        <w:pStyle w:val="Heading2"/>
        <w:spacing w:line="360" w:lineRule="auto"/>
        <w:jc w:val="both"/>
      </w:pPr>
      <w:r>
        <w:t>Gap 5: Geographic equity and Sub-Saharan African data deficit.</w:t>
      </w:r>
    </w:p>
    <w:p w14:paraId="0BE5084A" w14:textId="77777777" w:rsidR="005878EB" w:rsidRDefault="005878EB" w:rsidP="000600B3">
      <w:pPr>
        <w:pStyle w:val="Heading2"/>
        <w:spacing w:line="360" w:lineRule="auto"/>
        <w:jc w:val="both"/>
        <w:rPr>
          <w:b w:val="0"/>
          <w:bCs w:val="0"/>
          <w:color w:val="auto"/>
        </w:rPr>
      </w:pPr>
      <w:r w:rsidRPr="005878EB">
        <w:rPr>
          <w:b w:val="0"/>
          <w:bCs w:val="0"/>
          <w:color w:val="auto"/>
        </w:rPr>
        <w:t xml:space="preserve">The reviewed literature is geographically concentrated in China, Europe, and North America, with Sub-Saharan Africa, including Zimbabwe, virtually absent from the indexed evidence base on IoT carbon monitoring, AI emission forecasting, and digital MRV. This absence reflects structural </w:t>
      </w:r>
      <w:r w:rsidRPr="005878EB">
        <w:rPr>
          <w:b w:val="0"/>
          <w:bCs w:val="0"/>
          <w:color w:val="auto"/>
        </w:rPr>
        <w:lastRenderedPageBreak/>
        <w:t>deficits in research infrastructure, in database indexing of regional journals, and in IoT deployment capacity, rather than a lack of need for emissions monitoring. In Zimbabwe, national emissions data is mainly held by the Environmental Management Agency (EMA) and the Zimbabwe National Statistics Agency (ZIMSTAT), and rarely surfaces in peer-reviewed indexed publications. The consequence is twofold: first, IoT and AI systems developed and validated on high-income country datasets cannot be assumed transferable to Zimbabwean industrial, agricultural, or urban emission contexts without substantial empirical validation; second, the policy-relevant evidence base for Zimbabwe's Nationally Determined Contribution (NDC) implementation and carbon governance under the Paris Agreement lacks the digital monitoring foundation that this review identifies as essential. The policy implications of this gap are significant: without locally validated digital carbon monitoring infrastructure and context-appropriate AI models, Zimbabwe's ability to credibly track progress toward its NDC commitments and to participate equitably in global carbon governance mechanisms is fundamentally compromised. This situation also shapes the local research agenda by underscoring an urgent need for empirical studies and capacity building focused on African contexts, particularly Zimbabwe. Dedicated empirical research on IoT-based carbon monitoring and AI-emission forecasting in African contexts therefore represents not only a critical academic deficit but a prerequisite for effective local policy implementation. For a system designer, this gap is felt early: a system intended for Zimbabwe cannot point to a peer-reviewed local validation study to anchor its assumptions, and this affects the system because every modelling and calibration decision then has to be defended on first principles rather than against an existing local benchmark. This reinforces the imperative for coordinated research and policy investment in the development of digital carbon monitoring infrastructure that is responsive to local realities.</w:t>
      </w:r>
    </w:p>
    <w:p w14:paraId="006F1F65" w14:textId="0B6DBC7F" w:rsidR="004018DC" w:rsidRPr="004018DC" w:rsidRDefault="004018DC" w:rsidP="000600B3">
      <w:pPr>
        <w:pStyle w:val="Heading2"/>
        <w:spacing w:line="360" w:lineRule="auto"/>
        <w:jc w:val="both"/>
      </w:pPr>
      <w:r>
        <w:t>Gap 6: Data governance, privacy, and cross-organisational sharing.</w:t>
      </w:r>
    </w:p>
    <w:p w14:paraId="1977E864" w14:textId="507C54AE" w:rsidR="004018DC" w:rsidRDefault="003E1205" w:rsidP="000600B3">
      <w:pPr>
        <w:pStyle w:val="Heading1"/>
        <w:spacing w:line="360" w:lineRule="auto"/>
        <w:jc w:val="both"/>
        <w:rPr>
          <w:b w:val="0"/>
          <w:bCs w:val="0"/>
          <w:color w:val="auto"/>
          <w:sz w:val="24"/>
          <w:szCs w:val="24"/>
        </w:rPr>
      </w:pPr>
      <w:r w:rsidRPr="003E1205">
        <w:rPr>
          <w:b w:val="0"/>
          <w:bCs w:val="0"/>
          <w:color w:val="auto"/>
          <w:sz w:val="24"/>
          <w:szCs w:val="24"/>
        </w:rPr>
        <w:t xml:space="preserve">The institutional barriers to integrated carbon management: notably, organisations' reluctance to share granular operational emissions data through digital platforms is identified across multiple reviewed studies (Brown &amp; MacAskill, 2025; Merlo et al., 2025; Xu et al., 2024) but is not systematically addressed in the literature. Research is needed on governance models that can resolve the tension between the transparency requirements of carbon accounting and the privacy and commercial sensitivity concerns of emitting organisations. This includes investigating data </w:t>
      </w:r>
      <w:r w:rsidRPr="003E1205">
        <w:rPr>
          <w:b w:val="0"/>
          <w:bCs w:val="0"/>
          <w:color w:val="auto"/>
          <w:sz w:val="24"/>
          <w:szCs w:val="24"/>
        </w:rPr>
        <w:lastRenderedPageBreak/>
        <w:t>anonymisation protocols, federated data architectures that enable carbon accounting without centralised data disclosure, and regulatory frameworks that specify minimum data-sharing obligations for participation in digital carbon markets.</w:t>
      </w:r>
    </w:p>
    <w:p w14:paraId="281AFAA7" w14:textId="77777777" w:rsidR="00B85822" w:rsidRDefault="00000000" w:rsidP="000600B3">
      <w:pPr>
        <w:pStyle w:val="Heading1"/>
        <w:spacing w:line="360" w:lineRule="auto"/>
        <w:jc w:val="both"/>
      </w:pPr>
      <w:r>
        <w:t>8. Conceptual Framework for IoT-AI Carbon Accounting</w:t>
      </w:r>
    </w:p>
    <w:p w14:paraId="196CDF21" w14:textId="77777777" w:rsidR="00882009" w:rsidRDefault="00882009" w:rsidP="000E10B9">
      <w:pPr>
        <w:spacing w:line="360" w:lineRule="auto"/>
      </w:pPr>
      <w:r>
        <w:t>The development of an integrated conceptual framework for IoT-AI carbon accounting must account not only for technological and governance considerations but also for the broader imperatives of global equity in climate governance. This framework, therefore, is designed to bridge not only the technical gaps between IoT-based data acquisition, AI-driven analytics, and MRV/accounting, but also the structural disparities that currently limit the participation and benefit of low- and middle-income regions within digitally enabled carbon management.</w:t>
      </w:r>
    </w:p>
    <w:p w14:paraId="00B8A6E5" w14:textId="77777777" w:rsidR="00882009" w:rsidRDefault="00882009" w:rsidP="000E10B9">
      <w:pPr>
        <w:spacing w:line="360" w:lineRule="auto"/>
      </w:pPr>
    </w:p>
    <w:p w14:paraId="4637F521" w14:textId="77777777" w:rsidR="00882009" w:rsidRDefault="00882009" w:rsidP="000E10B9">
      <w:pPr>
        <w:spacing w:line="360" w:lineRule="auto"/>
      </w:pPr>
      <w:r>
        <w:t>Informed by the systematic synthesis undertaken in previous sections, the framework is grounded in four design principles: continuity, verifiability, interoperability, and governance embeddedness. However, these principles are interpreted through an explicit equity lens. First, the prioritisation of continuous data flows responds to the documented risks of marginalized regions being perpetually excluded from climate governance regimes that rely on periodic and typically externally validated data. Second, verifiability is understood not only as a technical precondition for regulatory acceptance, but also as a means of fostering trust in emissions data submitted by under-resourced jurisdictions whose data quality is often unfairly scrutinized or discounted in international frameworks. Third, insisting on interoperability entails the global alignment of data standards to ensure that digital carbon management tools do not become yet another axis along which capacity and policy influence are differentially distributed. Fourth, governance embeddedness explicitly addresses the need for institutional arrangements and data governance models that support inclusive participation—particularly from regions presently lacking the technical and administrative infrastructure of high-income settings.</w:t>
      </w:r>
    </w:p>
    <w:p w14:paraId="6BC3DA50" w14:textId="77777777" w:rsidR="00882009" w:rsidRDefault="00882009" w:rsidP="000E10B9">
      <w:pPr>
        <w:spacing w:line="360" w:lineRule="auto"/>
      </w:pPr>
    </w:p>
    <w:p w14:paraId="7D6FFFFA" w14:textId="77777777" w:rsidR="00882009" w:rsidRDefault="00882009" w:rsidP="000E10B9">
      <w:pPr>
        <w:spacing w:line="360" w:lineRule="auto"/>
      </w:pPr>
      <w:r>
        <w:t xml:space="preserve">To operationalize these principles in a manner consistent with climate equity goals, the framework explicitly recognizes the importance of flexibility and adaptability for varied data environments, including those facing acute capacity and infrastructure shortages. It also highlights the need to build capacity in data-sparse regions, ensuring that local stakeholders have meaningful agency </w:t>
      </w:r>
      <w:r>
        <w:lastRenderedPageBreak/>
        <w:t>over system implementation, validation, and evolution. This approach is essential to avoid reproducing the existing asymmetries documented in the literature, where African, and specifically Sub-Saharan, contexts remain peripheral in both the production of knowledge and the design of digital carbon governance systems.</w:t>
      </w:r>
    </w:p>
    <w:p w14:paraId="3D474407" w14:textId="77777777" w:rsidR="00882009" w:rsidRDefault="00882009" w:rsidP="000E10B9">
      <w:pPr>
        <w:spacing w:line="360" w:lineRule="auto"/>
      </w:pPr>
    </w:p>
    <w:p w14:paraId="6CD8BE2A" w14:textId="7FDF86E7" w:rsidR="00882009" w:rsidRDefault="00882009" w:rsidP="000E10B9">
      <w:pPr>
        <w:spacing w:line="360" w:lineRule="auto"/>
      </w:pPr>
      <w:r>
        <w:t>Ultimately, the framework seeks to foster a more equitable digital carbon management landscape by articulating the technical and institutional requirements not just for functional system integration but for inclusive participation in global climate governance. In doing so, it positions integrated IoT-AI-MRV systems not only as technical solutions but as vehicles for addressing the entrenched inequities that currently prevent many regions from accessing the financial, technological, and policy benefits of global carbon governance mechanisms.</w:t>
      </w:r>
    </w:p>
    <w:p w14:paraId="2E055B7A" w14:textId="77777777" w:rsidR="000E10B9" w:rsidRDefault="000E10B9" w:rsidP="000E10B9">
      <w:pPr>
        <w:spacing w:line="360" w:lineRule="auto"/>
      </w:pPr>
    </w:p>
    <w:p w14:paraId="2E0EA698" w14:textId="41477177" w:rsidR="00252070" w:rsidRDefault="00252070" w:rsidP="000600B3">
      <w:pPr>
        <w:pStyle w:val="Heading2"/>
        <w:spacing w:line="360" w:lineRule="auto"/>
        <w:jc w:val="both"/>
      </w:pPr>
      <w:r>
        <w:t>8.1 Framework Rationale and Design Principles</w:t>
      </w:r>
    </w:p>
    <w:p w14:paraId="7F9AF454" w14:textId="77777777" w:rsidR="001162AD" w:rsidRPr="001162AD" w:rsidRDefault="001162AD" w:rsidP="001162AD">
      <w:pPr>
        <w:pStyle w:val="Heading2"/>
        <w:spacing w:line="360" w:lineRule="auto"/>
        <w:rPr>
          <w:b w:val="0"/>
          <w:bCs w:val="0"/>
          <w:color w:val="auto"/>
        </w:rPr>
      </w:pPr>
      <w:r w:rsidRPr="001162AD">
        <w:rPr>
          <w:b w:val="0"/>
          <w:bCs w:val="0"/>
          <w:color w:val="auto"/>
        </w:rPr>
        <w:t>The conceptual framework developed in this review synthesizes insights from the four thematic areas and six research gaps highlighted earlier. Rather than detailing rare fully integrated existing systems (as established in Section 6.1), the framework offers a structured architectural and analytical model intended to guide the design of integrated digital carbon management systems that bridge deficiencies between IoT monitoring, AI forecasting, and carbon accounting. It is underpinned by four design principles identified in the literature.</w:t>
      </w:r>
    </w:p>
    <w:p w14:paraId="18A26BEF" w14:textId="4BD1283C" w:rsidR="001162AD" w:rsidRDefault="001162AD" w:rsidP="001162AD">
      <w:pPr>
        <w:pStyle w:val="Heading2"/>
        <w:spacing w:line="360" w:lineRule="auto"/>
        <w:jc w:val="both"/>
        <w:rPr>
          <w:b w:val="0"/>
          <w:bCs w:val="0"/>
          <w:color w:val="auto"/>
        </w:rPr>
      </w:pPr>
      <w:r w:rsidRPr="001162AD">
        <w:rPr>
          <w:b w:val="0"/>
          <w:bCs w:val="0"/>
          <w:color w:val="auto"/>
        </w:rPr>
        <w:t xml:space="preserve">First, continuity: the framework is premised on continuous rather than periodic data flows, reflecting the evidence that periodic reporting cycles are a principal limitation of current carbon accounting platforms (Brown &amp; MacAskill, 2025; Körner et al., 2025). Second, verifiability: all data flows within the framework must be traceable and auditable, and must meet the calibration and quality standards required for regulatory acceptance, addressing the sensor-to-accounting translation gap identified in Gap 1 of Section 7 (Song et al., 2025). Third, interoperability: the framework assumes standardised data exchange protocols between each layer, recognising interoperability as the dominant technical barrier identified across the integration literature (Pourrahmani et al., 2025; Wu et al., 2025). Fourth, governance embeddedness: the framework treats institutional coordination, regulatory alignment, and data governance not as external </w:t>
      </w:r>
      <w:r w:rsidRPr="001162AD">
        <w:rPr>
          <w:b w:val="0"/>
          <w:bCs w:val="0"/>
          <w:color w:val="auto"/>
        </w:rPr>
        <w:lastRenderedPageBreak/>
        <w:t>conditions but as integral components of the system architecture, responding to the finding that technical integration without governance frameworks cannot achieve regulatory legitimacy (Körner et al., 2025; Merlo et al., 2025).</w:t>
      </w:r>
    </w:p>
    <w:p w14:paraId="64AC77E6" w14:textId="2C9434E4" w:rsidR="009A4FBD" w:rsidRDefault="009A4FBD" w:rsidP="001162AD">
      <w:pPr>
        <w:pStyle w:val="Heading2"/>
        <w:spacing w:line="360" w:lineRule="auto"/>
        <w:jc w:val="both"/>
      </w:pPr>
      <w:r>
        <w:t>8.2 Framework Components and Data Flows</w:t>
      </w:r>
    </w:p>
    <w:p w14:paraId="2E599988" w14:textId="41926E36" w:rsidR="00C26415" w:rsidRDefault="001162AD" w:rsidP="001162AD">
      <w:pPr>
        <w:spacing w:before="120" w:after="60" w:line="360" w:lineRule="auto"/>
        <w:jc w:val="left"/>
      </w:pPr>
      <w:r w:rsidRPr="001162AD">
        <w:t>The framework is structured around four sequential functional layers that define the pathway from data acquisition to verified carbon accounting. Each layer specifies its own inputs and outputs, with quality requirements designed to ensure data integrity and traceability as information moves through the system. Figure 2 provides an overview of the system architecture, explicitly mapping the flow of data between layers to clarify how sensor-derived measurements are progressively transformed, analysed, verified, and ultimately translated into standardised carbon accounting outputs.</w:t>
      </w:r>
    </w:p>
    <w:p w14:paraId="47195A3A" w14:textId="77777777" w:rsidR="001162AD" w:rsidRDefault="001162AD" w:rsidP="000600B3">
      <w:pPr>
        <w:spacing w:after="180" w:line="360" w:lineRule="auto"/>
        <w:jc w:val="center"/>
        <w:rPr>
          <w:i/>
          <w:iCs/>
        </w:rPr>
      </w:pPr>
    </w:p>
    <w:p w14:paraId="09028C7D" w14:textId="37D3F4EA" w:rsidR="000E10B9" w:rsidRDefault="000E10B9" w:rsidP="000600B3">
      <w:pPr>
        <w:spacing w:after="180" w:line="360" w:lineRule="auto"/>
        <w:jc w:val="center"/>
        <w:rPr>
          <w:noProof/>
        </w:rPr>
      </w:pPr>
      <w:r>
        <w:rPr>
          <w:noProof/>
        </w:rPr>
        <w:drawing>
          <wp:anchor distT="0" distB="0" distL="114300" distR="114300" simplePos="0" relativeHeight="251660288" behindDoc="0" locked="0" layoutInCell="1" allowOverlap="1" wp14:anchorId="61931D48" wp14:editId="1963E54B">
            <wp:simplePos x="0" y="0"/>
            <wp:positionH relativeFrom="margin">
              <wp:posOffset>-152400</wp:posOffset>
            </wp:positionH>
            <wp:positionV relativeFrom="paragraph">
              <wp:posOffset>19050</wp:posOffset>
            </wp:positionV>
            <wp:extent cx="6524625" cy="6200775"/>
            <wp:effectExtent l="0" t="0" r="9525" b="9525"/>
            <wp:wrapNone/>
            <wp:docPr id="201" name="Framework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FrameworkFigure2"/>
                    <pic:cNvPicPr/>
                  </pic:nvPicPr>
                  <pic:blipFill rotWithShape="1">
                    <a:blip r:embed="rId10">
                      <a:extLst>
                        <a:ext uri="{28A0092B-C50C-407E-A947-70E740481C1C}">
                          <a14:useLocalDpi xmlns:a14="http://schemas.microsoft.com/office/drawing/2010/main" val="0"/>
                        </a:ext>
                      </a:extLst>
                    </a:blip>
                    <a:srcRect l="575" t="-422" r="1129" b="22378"/>
                    <a:stretch>
                      <a:fillRect/>
                    </a:stretch>
                  </pic:blipFill>
                  <pic:spPr bwMode="auto">
                    <a:xfrm>
                      <a:off x="0" y="0"/>
                      <a:ext cx="6524625" cy="6200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745136" w14:textId="79C28E24" w:rsidR="000E10B9" w:rsidRDefault="000E10B9" w:rsidP="000600B3">
      <w:pPr>
        <w:spacing w:after="180" w:line="360" w:lineRule="auto"/>
        <w:jc w:val="center"/>
        <w:rPr>
          <w:noProof/>
        </w:rPr>
      </w:pPr>
    </w:p>
    <w:p w14:paraId="609C51CC" w14:textId="3A9D4414" w:rsidR="001162AD" w:rsidRDefault="001162AD" w:rsidP="000600B3">
      <w:pPr>
        <w:spacing w:after="180" w:line="360" w:lineRule="auto"/>
        <w:jc w:val="center"/>
        <w:rPr>
          <w:i/>
          <w:iCs/>
        </w:rPr>
      </w:pPr>
    </w:p>
    <w:p w14:paraId="74924A23" w14:textId="293A6AFC" w:rsidR="001162AD" w:rsidRDefault="001162AD" w:rsidP="000600B3">
      <w:pPr>
        <w:spacing w:after="180" w:line="360" w:lineRule="auto"/>
        <w:jc w:val="center"/>
        <w:rPr>
          <w:i/>
          <w:iCs/>
        </w:rPr>
      </w:pPr>
    </w:p>
    <w:p w14:paraId="3EB8B42B" w14:textId="404EB4C9" w:rsidR="001162AD" w:rsidRDefault="001162AD" w:rsidP="000600B3">
      <w:pPr>
        <w:spacing w:after="180" w:line="360" w:lineRule="auto"/>
        <w:jc w:val="center"/>
        <w:rPr>
          <w:i/>
          <w:iCs/>
        </w:rPr>
      </w:pPr>
    </w:p>
    <w:p w14:paraId="61736606" w14:textId="5CD253C8" w:rsidR="001162AD" w:rsidRDefault="001162AD" w:rsidP="000600B3">
      <w:pPr>
        <w:spacing w:after="180" w:line="360" w:lineRule="auto"/>
        <w:jc w:val="center"/>
        <w:rPr>
          <w:i/>
          <w:iCs/>
        </w:rPr>
      </w:pPr>
    </w:p>
    <w:p w14:paraId="7E365B53" w14:textId="77777777" w:rsidR="000E10B9" w:rsidRDefault="000E10B9" w:rsidP="000600B3">
      <w:pPr>
        <w:spacing w:after="180" w:line="360" w:lineRule="auto"/>
        <w:jc w:val="center"/>
        <w:rPr>
          <w:i/>
          <w:iCs/>
        </w:rPr>
      </w:pPr>
    </w:p>
    <w:p w14:paraId="6ED86F17" w14:textId="77777777" w:rsidR="000E10B9" w:rsidRDefault="000E10B9" w:rsidP="000600B3">
      <w:pPr>
        <w:spacing w:after="180" w:line="360" w:lineRule="auto"/>
        <w:jc w:val="center"/>
        <w:rPr>
          <w:i/>
          <w:iCs/>
        </w:rPr>
      </w:pPr>
    </w:p>
    <w:p w14:paraId="61922D6A" w14:textId="77777777" w:rsidR="000E10B9" w:rsidRDefault="000E10B9" w:rsidP="000600B3">
      <w:pPr>
        <w:spacing w:after="180" w:line="360" w:lineRule="auto"/>
        <w:jc w:val="center"/>
        <w:rPr>
          <w:i/>
          <w:iCs/>
        </w:rPr>
      </w:pPr>
    </w:p>
    <w:p w14:paraId="5827AAE4" w14:textId="77777777" w:rsidR="000E10B9" w:rsidRDefault="000E10B9" w:rsidP="000600B3">
      <w:pPr>
        <w:spacing w:after="180" w:line="360" w:lineRule="auto"/>
        <w:jc w:val="center"/>
        <w:rPr>
          <w:i/>
          <w:iCs/>
        </w:rPr>
      </w:pPr>
    </w:p>
    <w:p w14:paraId="0C5B8CA9" w14:textId="77777777" w:rsidR="000E10B9" w:rsidRDefault="000E10B9" w:rsidP="000600B3">
      <w:pPr>
        <w:spacing w:after="180" w:line="360" w:lineRule="auto"/>
        <w:jc w:val="center"/>
        <w:rPr>
          <w:i/>
          <w:iCs/>
        </w:rPr>
      </w:pPr>
    </w:p>
    <w:p w14:paraId="2119D7E0" w14:textId="77777777" w:rsidR="000E10B9" w:rsidRDefault="000E10B9" w:rsidP="000600B3">
      <w:pPr>
        <w:spacing w:after="180" w:line="360" w:lineRule="auto"/>
        <w:jc w:val="center"/>
        <w:rPr>
          <w:i/>
          <w:iCs/>
        </w:rPr>
      </w:pPr>
    </w:p>
    <w:p w14:paraId="08F137D8" w14:textId="77777777" w:rsidR="000E10B9" w:rsidRDefault="000E10B9" w:rsidP="000600B3">
      <w:pPr>
        <w:spacing w:after="180" w:line="360" w:lineRule="auto"/>
        <w:jc w:val="center"/>
        <w:rPr>
          <w:i/>
          <w:iCs/>
        </w:rPr>
      </w:pPr>
    </w:p>
    <w:p w14:paraId="45F85683" w14:textId="77777777" w:rsidR="000E10B9" w:rsidRDefault="000E10B9" w:rsidP="000600B3">
      <w:pPr>
        <w:spacing w:after="180" w:line="360" w:lineRule="auto"/>
        <w:jc w:val="center"/>
        <w:rPr>
          <w:i/>
          <w:iCs/>
        </w:rPr>
      </w:pPr>
    </w:p>
    <w:p w14:paraId="6AEAE3C9" w14:textId="23BA4C54" w:rsidR="001162AD" w:rsidRDefault="001162AD" w:rsidP="000600B3">
      <w:pPr>
        <w:spacing w:after="180" w:line="360" w:lineRule="auto"/>
        <w:jc w:val="center"/>
        <w:rPr>
          <w:i/>
          <w:iCs/>
        </w:rPr>
      </w:pPr>
    </w:p>
    <w:p w14:paraId="27ADF658" w14:textId="44E47776" w:rsidR="001162AD" w:rsidRDefault="001162AD" w:rsidP="000600B3">
      <w:pPr>
        <w:spacing w:after="180" w:line="360" w:lineRule="auto"/>
        <w:jc w:val="center"/>
        <w:rPr>
          <w:i/>
          <w:iCs/>
        </w:rPr>
      </w:pPr>
    </w:p>
    <w:p w14:paraId="6E5B4F0A" w14:textId="75F1E6D6" w:rsidR="001162AD" w:rsidRDefault="001162AD" w:rsidP="000600B3">
      <w:pPr>
        <w:spacing w:after="180" w:line="360" w:lineRule="auto"/>
        <w:jc w:val="center"/>
        <w:rPr>
          <w:i/>
          <w:iCs/>
        </w:rPr>
      </w:pPr>
    </w:p>
    <w:p w14:paraId="3E63BAD1" w14:textId="24E6E4ED" w:rsidR="00C26415" w:rsidRDefault="00000000" w:rsidP="000600B3">
      <w:pPr>
        <w:spacing w:after="180" w:line="360" w:lineRule="auto"/>
        <w:jc w:val="center"/>
      </w:pPr>
      <w:r>
        <w:rPr>
          <w:i/>
          <w:iCs/>
        </w:rPr>
        <w:t>Figure 2: Conceptual IoT-AI-MRV Framework for Integrated Digital Carbon Management</w:t>
      </w:r>
    </w:p>
    <w:p w14:paraId="78DDF3B9" w14:textId="77777777" w:rsidR="004206F0" w:rsidRDefault="00F9621F" w:rsidP="004206F0">
      <w:pPr>
        <w:pStyle w:val="Heading3"/>
        <w:rPr>
          <w:b/>
          <w:bCs/>
        </w:rPr>
      </w:pPr>
      <w:r>
        <w:t xml:space="preserve">Layer 1 — IoT Environmental Sensing. </w:t>
      </w:r>
    </w:p>
    <w:p w14:paraId="58DEE303" w14:textId="77777777" w:rsidR="004206F0" w:rsidRPr="004206F0" w:rsidRDefault="004206F0" w:rsidP="004206F0">
      <w:pPr>
        <w:pStyle w:val="Heading1"/>
        <w:spacing w:line="360" w:lineRule="auto"/>
        <w:rPr>
          <w:b w:val="0"/>
          <w:bCs w:val="0"/>
          <w:color w:val="auto"/>
          <w:sz w:val="24"/>
          <w:szCs w:val="24"/>
        </w:rPr>
      </w:pPr>
      <w:r w:rsidRPr="004206F0">
        <w:rPr>
          <w:b w:val="0"/>
          <w:bCs w:val="0"/>
          <w:color w:val="auto"/>
          <w:sz w:val="24"/>
          <w:szCs w:val="24"/>
        </w:rPr>
        <w:t>This is the foundational layer, and its importance is straightforward: nothing downstream can be trusted if the data entering the system is not trustworthy. The layer consists of distributed IoT sensor networks that continuously measure physical environmental parameters, such as CO₂ concentration, methane levels, energy consumption, temperature, and operational activity indicators. To be usable for carbon accounting rather than indicative monitoring, sensors at this layer must meet defined calibration standards and produce time-stamped, geo-referenced data streams in standardised formats. Studies such as Fay and Corcoran (2024), Zhu et al. (2023), and Ding et al. (2025) inform the technical specifications of this layer, and the wider IoT monitoring evidence reviewed in Section 3 sits behind it.</w:t>
      </w:r>
    </w:p>
    <w:p w14:paraId="79B7CA99" w14:textId="77777777" w:rsidR="004206F0" w:rsidRPr="004206F0" w:rsidRDefault="004206F0" w:rsidP="004206F0">
      <w:pPr>
        <w:pStyle w:val="Heading1"/>
        <w:spacing w:line="360" w:lineRule="auto"/>
        <w:rPr>
          <w:b w:val="0"/>
          <w:bCs w:val="0"/>
          <w:color w:val="auto"/>
          <w:sz w:val="24"/>
          <w:szCs w:val="24"/>
        </w:rPr>
      </w:pPr>
    </w:p>
    <w:p w14:paraId="263D6EBD" w14:textId="77777777" w:rsidR="004206F0" w:rsidRDefault="004206F0" w:rsidP="004206F0">
      <w:pPr>
        <w:pStyle w:val="Heading1"/>
        <w:spacing w:line="360" w:lineRule="auto"/>
        <w:jc w:val="both"/>
        <w:rPr>
          <w:b w:val="0"/>
          <w:bCs w:val="0"/>
          <w:color w:val="auto"/>
          <w:sz w:val="24"/>
          <w:szCs w:val="24"/>
        </w:rPr>
      </w:pPr>
      <w:r w:rsidRPr="004206F0">
        <w:rPr>
          <w:b w:val="0"/>
          <w:bCs w:val="0"/>
          <w:color w:val="auto"/>
          <w:sz w:val="24"/>
          <w:szCs w:val="24"/>
        </w:rPr>
        <w:t>At the implementation stage, this layer is harder to operationalise than the literature suggests. In data-sparse contexts, including most Sub-Saharan African deployment environments, site access restrictions and the absence of granular institutional data feeds frequently prevent the layer from being driven by live sensor streams as designed. Where that is the case, the layer is typically constructed from reconstructed activity signals derived from manually collected proxies such as fuel use, electricity consumption, and waste records. This still allows the upper layers to function, but it shifts the layer's quality requirement - sensor reliability and calibration consistency for regulatory-grade data, the first implementation barrier identified in Section 3.3 - from a hardware problem to a data-fidelity problem, and the framework treats both as load-bearing for what Layer 2 can subsequently claim.</w:t>
      </w:r>
    </w:p>
    <w:p w14:paraId="308157E2" w14:textId="77777777" w:rsidR="004206F0" w:rsidRDefault="00F9621F" w:rsidP="004206F0">
      <w:pPr>
        <w:pStyle w:val="Heading3"/>
      </w:pPr>
      <w:r>
        <w:lastRenderedPageBreak/>
        <w:t xml:space="preserve">Layer 2 — AI Analytics and Emission Estimation. </w:t>
      </w:r>
    </w:p>
    <w:p w14:paraId="258CEAAC" w14:textId="77777777" w:rsidR="00844D27" w:rsidRDefault="00844D27" w:rsidP="004206F0">
      <w:pPr>
        <w:pStyle w:val="Heading3"/>
        <w:rPr>
          <w:b/>
          <w:bCs/>
        </w:rPr>
      </w:pPr>
    </w:p>
    <w:p w14:paraId="667AE990" w14:textId="77777777" w:rsidR="00844D27" w:rsidRDefault="00844D27" w:rsidP="00844D27">
      <w:pPr>
        <w:spacing w:line="360" w:lineRule="auto"/>
      </w:pPr>
      <w:r>
        <w:t>The second layer is where the system becomes more than a sensor network. Its importance lies in turning raw environmental readings into actionable information: estimated emissions, detected anomalies, and forward-looking forecasts. The layer applies machine learning and deep learning models to perform three functions: anomaly detection and data quality screening, real-time emission estimation by applying validated emission factors to sensor-derived activity data, and predictive forecasting of emission trends under defined scenarios. This layer is also where Gap 2 must be closed, since the disconnection between AI forecasting and live IoT data is the structural reason most of the reviewed models, despite strong reported accuracy, remain retrospective in practice.</w:t>
      </w:r>
    </w:p>
    <w:p w14:paraId="2293411F" w14:textId="77777777" w:rsidR="00844D27" w:rsidRDefault="00844D27" w:rsidP="00844D27">
      <w:pPr>
        <w:spacing w:line="360" w:lineRule="auto"/>
      </w:pPr>
      <w:r>
        <w:t>Where Layer 1 is constructed from reconstructed activity rather than live sensor streams, Layer 2 inherits specific limitations: the noise profile of a real sensor feed is not fully reproduced, and the forecasting model effectively learns from proxy activity data rather than direct measurements. This affects the system because the predictive credibility of Layer 2 is bounded by the data realism of Layer 1 - a dependency the framework makes explicit, and one that any deployment in a data-sparse context will encounter before its forecasting accuracy can be reported with confidence.</w:t>
      </w:r>
    </w:p>
    <w:p w14:paraId="06360327" w14:textId="77777777" w:rsidR="00844D27" w:rsidRDefault="00844D27" w:rsidP="00844D27">
      <w:pPr>
        <w:spacing w:line="360" w:lineRule="auto"/>
      </w:pPr>
    </w:p>
    <w:p w14:paraId="414BD902" w14:textId="77777777" w:rsidR="00844D27" w:rsidRDefault="00844D27" w:rsidP="00844D27">
      <w:pPr>
        <w:spacing w:line="360" w:lineRule="auto"/>
      </w:pPr>
      <w:r>
        <w:t xml:space="preserve">The model choices that inform this layer are not interchangeable, and the framework treats them as a design space rather than a fixed stack. Hybrid LSTM-CNN architectures (Han et al., 2023; Hu et al., 2024) are well suited to capturing both temporal patterns and local structure in emission data; explainable AI frameworks (Chen et al., 2024; Jamei et al., 2025) matter wherever the output has to be defended to a regulator or auditor rather than just reported; and sector-specific estimation approaches, such as the electricity-based carbon accounting method of Peng et al. (2024), show that the translation from activity signal to emission value can itself be a learned function rather than a hard-coded multiplier. Edge computing, as demonstrated by Roostaei et al. (2023), reduces latency between sensing and analytics by preprocessing data closer to the source . Operationally, this is important wherever connectivity is intermittent, which is characteristic of many Sub-Saharan African deployment contexts, including Zimbabwe.The model choices that inform this layer are not interchangeable, and the framework treats them as a design space rather than a fixed stack. Hybrid LSTM-CNN architectures (Han et al., 2023; Hu et al., 2024) are well suited to capturing both temporal patterns and local structure in emission data; explainable AI frameworks </w:t>
      </w:r>
      <w:r>
        <w:lastRenderedPageBreak/>
        <w:t>(Chen et al., 2024; Jamei et al., 2025) matter wherever the output has to be defended to a regulator or auditor rather than just reported; and sector-specific estimation approaches, such as the electricity-based carbon accounting method of Peng et al. (2024), show that the translation from activity signal to emission value can itself be a learned function rather than a hard-coded multiplier. Edge computing, as demonstrated by Roostaei et al. (2023), reduces latency between sensing and analytics by preprocessing data closer to the source . Operationally, this is important wherever connectivity is intermittent, which is characteristic of many Sub-Saharan African deployment contexts, including Zimbabwe.</w:t>
      </w:r>
    </w:p>
    <w:p w14:paraId="0C655A01" w14:textId="77777777" w:rsidR="00844D27" w:rsidRDefault="00844D27" w:rsidP="00844D27">
      <w:pPr>
        <w:spacing w:line="360" w:lineRule="auto"/>
      </w:pPr>
    </w:p>
    <w:p w14:paraId="11B7B087" w14:textId="77777777" w:rsidR="00844D27" w:rsidRDefault="00F9621F" w:rsidP="00844D27">
      <w:pPr>
        <w:pStyle w:val="Heading3"/>
        <w:rPr>
          <w:b/>
          <w:bCs/>
        </w:rPr>
      </w:pPr>
      <w:r>
        <w:t>Layer 3 — MRV Translation and Verification.</w:t>
      </w:r>
    </w:p>
    <w:p w14:paraId="6954B0C1" w14:textId="77777777" w:rsidR="007A3473" w:rsidRDefault="00F9621F" w:rsidP="000600B3">
      <w:pPr>
        <w:pStyle w:val="Heading1"/>
        <w:spacing w:line="360" w:lineRule="auto"/>
        <w:jc w:val="both"/>
        <w:rPr>
          <w:b w:val="0"/>
          <w:bCs w:val="0"/>
          <w:color w:val="auto"/>
          <w:sz w:val="24"/>
          <w:szCs w:val="24"/>
        </w:rPr>
      </w:pPr>
      <w:r>
        <w:rPr>
          <w:b w:val="0"/>
          <w:bCs w:val="0"/>
          <w:color w:val="auto"/>
          <w:sz w:val="24"/>
          <w:szCs w:val="24"/>
        </w:rPr>
        <w:t xml:space="preserve"> </w:t>
      </w:r>
      <w:r w:rsidR="007A3473" w:rsidRPr="007A3473">
        <w:rPr>
          <w:b w:val="0"/>
          <w:bCs w:val="0"/>
          <w:color w:val="auto"/>
          <w:sz w:val="24"/>
          <w:szCs w:val="24"/>
        </w:rPr>
        <w:t xml:space="preserve"> If Layer 2 is where the system becomes useful, Layer 3 is where it becomes credible. Its importance is that it converts a model output into something a regulator, an auditor, or a carbon market participant can accept, and without it, even a technically perfect Layer 2 produces numbers no one is obliged to act on. This is the translation function identified as most under-addressed in Gap 1: converting AI-estimated emission quantities into CO₂-equivalent values using standardised emission factors, defined accounting boundaries, and uncertainty quantification methods consistent with applicable regulatory frameworks. Verification functions,  automated cross-checking against reference datasets, blockchain-based audit-trail generation, and independent verification triggers are embedded within this layer rather than added on after the fact, because retrofitting verification onto an unverified pipeline is what current MRV practice already does and what this framework seeks to move beyond. Körner et al. (2025), Woo et al. (2021), and Merlo et al. (2025) provide the institutional and technical foundations for this layer, and the regulatory acceptance mechanisms identified in Gap 4 -specifying how sensor-derived data is certified before it reaches the accounting output layer ,also sit here rather than in Layer 4.</w:t>
      </w:r>
    </w:p>
    <w:p w14:paraId="3F57D8CE" w14:textId="77777777" w:rsidR="007A3473" w:rsidRDefault="00F9621F" w:rsidP="007A3473">
      <w:pPr>
        <w:pStyle w:val="Heading3"/>
        <w:rPr>
          <w:b/>
          <w:bCs/>
        </w:rPr>
      </w:pPr>
      <w:r>
        <w:t xml:space="preserve">Layer 4 — Carbon Accounting Output. </w:t>
      </w:r>
    </w:p>
    <w:p w14:paraId="103F83DB" w14:textId="77777777" w:rsidR="007A3473" w:rsidRDefault="007A3473" w:rsidP="000600B3">
      <w:pPr>
        <w:pStyle w:val="Heading2"/>
        <w:spacing w:line="360" w:lineRule="auto"/>
        <w:jc w:val="both"/>
        <w:rPr>
          <w:b w:val="0"/>
          <w:bCs w:val="0"/>
          <w:color w:val="auto"/>
        </w:rPr>
      </w:pPr>
      <w:r w:rsidRPr="007A3473">
        <w:rPr>
          <w:b w:val="0"/>
          <w:bCs w:val="0"/>
          <w:color w:val="auto"/>
        </w:rPr>
        <w:t xml:space="preserve">The fourth layer is the system's interface with the outside world, and its importance is that everything below it only matters to the extent that it can be expressed here. The layer produces the standardised carbon accounting outputs that serve as the system's primary deliverables: verified greenhouse gas emission inventories expressed in CO₂-equivalent values, formatted for regulatory reporting, carbon market participation, sustainability disclosure, or internal carbon management. </w:t>
      </w:r>
      <w:r w:rsidRPr="007A3473">
        <w:rPr>
          <w:b w:val="0"/>
          <w:bCs w:val="0"/>
          <w:color w:val="auto"/>
        </w:rPr>
        <w:lastRenderedPageBreak/>
        <w:t>To be useful, this layer must interface with external platforms such as national emissions registries, carbon trading systems, and ESG reporting frameworks — which is why output format alignment, not just output accuracy, is a design concern. The integrity of outputs here is entirely dependent on the quality, completeness, and regulatory compliance of data flows through the three preceding layers, which is why the framework is presented as an end-to-end design rather than a set of layers that can be optimised in isolation. On deployment, this is also the layer where a system either earns or loses institutional trust: an output that cannot be reconciled with the registry's expected format is treated as an absent submission, regardless of how accurate the underlying estimate was.</w:t>
      </w:r>
    </w:p>
    <w:p w14:paraId="34F07A12" w14:textId="6C29877C" w:rsidR="00921A7B" w:rsidRDefault="00921A7B" w:rsidP="000600B3">
      <w:pPr>
        <w:pStyle w:val="Heading2"/>
        <w:spacing w:line="360" w:lineRule="auto"/>
        <w:jc w:val="both"/>
      </w:pPr>
      <w:r>
        <w:t>8.3 Mediating Variable: The MRV System as Integration Bridge</w:t>
      </w:r>
    </w:p>
    <w:p w14:paraId="61574531" w14:textId="77777777" w:rsidR="00FD775D" w:rsidRPr="00FD775D" w:rsidRDefault="00FD775D" w:rsidP="00FD775D">
      <w:pPr>
        <w:pStyle w:val="Heading2"/>
        <w:spacing w:line="360" w:lineRule="auto"/>
        <w:rPr>
          <w:b w:val="0"/>
          <w:bCs w:val="0"/>
          <w:color w:val="auto"/>
        </w:rPr>
      </w:pPr>
      <w:r w:rsidRPr="00FD775D">
        <w:rPr>
          <w:b w:val="0"/>
          <w:bCs w:val="0"/>
          <w:color w:val="auto"/>
        </w:rPr>
        <w:t>Within the framework, the MRV system — Layer 3 — functions not merely as a reporting mechanism but as the mediating variable between the technological inputs (IoT monitoring and AI analytics) and the governance outputs (verified carbon accounting). At the architectural level, this is the hardest part of the framework to operationalise and the most consequential: even where the AI layer performs reliably, and the sensor layer produces clean readings, without a recognised mechanism to validate those outputs, the resulting numbers cannot enter any compliance, market, or disclosure process that matters. The mediating role has three dimensions. Technically, it standardises heterogeneous sensor outputs into formats compatible with accounting systems. Institutionally, it provides the verification and audit infrastructure that gives accounting outputs regulatory legitimacy. Politically, it is the point at which the technical domain of digital monitoring meets the governance domain of carbon regulation, which is where the unresolved regulatory gaps identified in Section 7 (Gap 4) must ultimately be addressed.</w:t>
      </w:r>
    </w:p>
    <w:p w14:paraId="15C9FA64" w14:textId="55D83AE0" w:rsidR="00FD775D" w:rsidRPr="00FD775D" w:rsidRDefault="00FD775D" w:rsidP="00FD775D">
      <w:pPr>
        <w:pStyle w:val="Heading2"/>
        <w:spacing w:line="360" w:lineRule="auto"/>
        <w:rPr>
          <w:b w:val="0"/>
          <w:bCs w:val="0"/>
          <w:color w:val="auto"/>
        </w:rPr>
      </w:pPr>
      <w:r w:rsidRPr="00FD775D">
        <w:rPr>
          <w:b w:val="0"/>
          <w:bCs w:val="0"/>
          <w:color w:val="auto"/>
        </w:rPr>
        <w:t xml:space="preserve">In jurisdictions where no recognised regulatory MRV channel yet exists for sensor-derived data — a category that includes Zimbabwe, where the EMA framework does not yet specify the conditions under which digital monitoring outputs would be accepted in place of activity-based reporting — Layer 3 can only be implemented in a reduced form, as an internal verification routine that cross-checks estimates against literature emission factors and applies uncertainty bounds, rather than as a regulator-facing certification step. This is sufficient to demonstrate the architecture, but it makes explicit the point the framework already implies: improving IoT sensor accuracy or AI forecasting performance without simultaneously developing the MRV bridge will </w:t>
      </w:r>
      <w:r w:rsidRPr="00FD775D">
        <w:rPr>
          <w:b w:val="0"/>
          <w:bCs w:val="0"/>
          <w:color w:val="auto"/>
        </w:rPr>
        <w:lastRenderedPageBreak/>
        <w:t>not close the integration gap. The bottleneck in integrated digital carbon management is not mainly technological — it is the absence of a validated, regulatory-accepted MRV bridge between monitoring infrastructure and accounting frameworks.</w:t>
      </w:r>
    </w:p>
    <w:p w14:paraId="6765CD98" w14:textId="77777777" w:rsidR="00FD775D" w:rsidRDefault="00FD775D" w:rsidP="00FD775D">
      <w:pPr>
        <w:pStyle w:val="Heading2"/>
        <w:spacing w:line="360" w:lineRule="auto"/>
        <w:jc w:val="both"/>
        <w:rPr>
          <w:b w:val="0"/>
          <w:bCs w:val="0"/>
          <w:color w:val="auto"/>
        </w:rPr>
      </w:pPr>
      <w:r w:rsidRPr="00FD775D">
        <w:rPr>
          <w:b w:val="0"/>
          <w:bCs w:val="0"/>
          <w:color w:val="auto"/>
        </w:rPr>
        <w:t>This framing has direct implications for system designers: improving IoT sensor accuracy or AI forecasting performance without simultaneously developing the MRV translation layer will not close the integration gap. The bottleneck in integrated digital carbon management is not mainly technological; it is the absence of a validated, regulatory-accepted MRV bridge between monitoring infrastructure and accounting frameworks.</w:t>
      </w:r>
    </w:p>
    <w:p w14:paraId="59985410" w14:textId="38BDE0CC" w:rsidR="00E83106" w:rsidRDefault="00E83106" w:rsidP="00FD775D">
      <w:pPr>
        <w:pStyle w:val="Heading2"/>
        <w:spacing w:line="360" w:lineRule="auto"/>
        <w:jc w:val="both"/>
      </w:pPr>
      <w:r>
        <w:t>8.4 Implementation Barriers</w:t>
      </w:r>
    </w:p>
    <w:p w14:paraId="305362CD" w14:textId="77777777" w:rsidR="00FD775D" w:rsidRPr="00FD775D" w:rsidRDefault="00FD775D" w:rsidP="00FD775D">
      <w:pPr>
        <w:pStyle w:val="Heading2"/>
        <w:spacing w:line="360" w:lineRule="auto"/>
        <w:jc w:val="both"/>
        <w:rPr>
          <w:b w:val="0"/>
          <w:bCs w:val="0"/>
          <w:color w:val="auto"/>
        </w:rPr>
      </w:pPr>
      <w:r w:rsidRPr="00FD775D">
        <w:rPr>
          <w:b w:val="0"/>
          <w:bCs w:val="0"/>
          <w:color w:val="auto"/>
        </w:rPr>
        <w:t>The framework, as set out above, is designed to be implementable. In practice, four barriers consistently shape what an integrated IoT–AI–MRV system can deliver, particularly in data-sparse and regulatorily nascent contexts such as Zimbabwe. These barriers are drawn from the reviewed literature and map onto the limitations identified in Sections 3.3, 4.4, and 6.3; they are presented here in the form in which they constrain implementation, rather than as discrete technical issues.</w:t>
      </w:r>
    </w:p>
    <w:p w14:paraId="5E8B0751" w14:textId="77777777" w:rsidR="00FD775D" w:rsidRPr="00FD775D" w:rsidRDefault="00FD775D" w:rsidP="00FD775D">
      <w:pPr>
        <w:pStyle w:val="Heading2"/>
        <w:spacing w:line="360" w:lineRule="auto"/>
        <w:jc w:val="both"/>
        <w:rPr>
          <w:b w:val="0"/>
          <w:bCs w:val="0"/>
          <w:color w:val="auto"/>
        </w:rPr>
      </w:pPr>
      <w:r w:rsidRPr="00FD775D">
        <w:rPr>
          <w:b w:val="0"/>
          <w:bCs w:val="0"/>
          <w:color w:val="auto"/>
        </w:rPr>
        <w:t>The first barrier is access to reliable data, which in the literature is framed as a problem of technical interoperability between heterogeneous sensor devices, analytics platforms, and accounting frameworks (Pourrahmani et al., 2025; Wu et al., 2025). In Sub-Saharan African deployment contexts the issue appears earlier in the chain than interoperability. Continuous sensor input depends on physical access to suitable facilities, and access to high-emission sites is frequently constrained by institutional and on-site restrictions, with the consequence that systems must often operate on manually collected or estimated data rather than real-time sensor feeds. Beyond physical deployment, the institutions that hold the most relevant environmental data — waste management authorities, energy providers, and national agencies such as EMA and ZIMSTAT — do not easily release it. In some cases the records are not digitised; in others, governance and privacy restrictions block access entirely. This means that even if standardised data exchange formats existed, there would still be no upstream data to exchange. Resolving the barrier therefore requires not only open data standards, analogous to the role standardised financial reporting formats play in corporate accounting, but also institutional pathways for releasing operational and emissions data into the digital monitoring chain in the first place.</w:t>
      </w:r>
    </w:p>
    <w:p w14:paraId="02670EBD" w14:textId="38566556" w:rsidR="00FD775D" w:rsidRPr="00FD775D" w:rsidRDefault="00FD775D" w:rsidP="00FD775D">
      <w:pPr>
        <w:pStyle w:val="Heading2"/>
        <w:spacing w:line="360" w:lineRule="auto"/>
        <w:jc w:val="both"/>
        <w:rPr>
          <w:b w:val="0"/>
          <w:bCs w:val="0"/>
          <w:color w:val="auto"/>
        </w:rPr>
      </w:pPr>
      <w:r w:rsidRPr="00FD775D">
        <w:rPr>
          <w:b w:val="0"/>
          <w:bCs w:val="0"/>
          <w:color w:val="auto"/>
        </w:rPr>
        <w:lastRenderedPageBreak/>
        <w:t xml:space="preserve"> The second barrier is sensor calibration for regulatory-grade data. The reviewed literature establishes that low-cost IoT sensors, while sufficient for indicative environmental monitoring, do not reliably meet the measurement quality thresholds required for regulatory carbon accounting (Rus et al., 2025; Song et al., 2025). This barrier is visible even at small scale: low-cost devices produce inconsistent readings over time without proper recalibration, and environmental conditions — temperature swings, dust, humidity — affect those readings further in outdoor deployment. Power supply stability and connectivity for continuous transmission are additional concerns that are easy to overlook in literature written for high-infrastructure contexts but immediate in practice. This is where the limitation appears most sharply: a layer that the framework treats as a single quality requirement is, on the ground, a stack of hardware, environmental, and infrastructure issues that compound. Resolving it requires sensor certification protocols specifically tailored to carbon accounting applications — a gap that neither the sensor technology literature nor the carbon accounting standards literature has so far addressed.</w:t>
      </w:r>
    </w:p>
    <w:p w14:paraId="3F38AF4A" w14:textId="77777777" w:rsidR="00FD775D" w:rsidRPr="00FD775D" w:rsidRDefault="00FD775D" w:rsidP="00FD775D">
      <w:pPr>
        <w:pStyle w:val="Heading2"/>
        <w:spacing w:line="360" w:lineRule="auto"/>
        <w:jc w:val="both"/>
        <w:rPr>
          <w:b w:val="0"/>
          <w:bCs w:val="0"/>
          <w:color w:val="auto"/>
        </w:rPr>
      </w:pPr>
      <w:r w:rsidRPr="00FD775D">
        <w:rPr>
          <w:b w:val="0"/>
          <w:bCs w:val="0"/>
          <w:color w:val="auto"/>
        </w:rPr>
        <w:t>The third barrier is regulatory acceptance of sensor-derived data. Existing carbon compliance frameworks do not recognise IoT-derived sensor measurements as primary accounting inputs, and regulatory reform is needed to specify the conditions under which digital monitoring data may substitute for, or supplement, activity-based accounting (Körner et al., 2025; Song et al., 2025). In the Zimbabwean context, this barrier is more acute because the regulatory channel itself is still being defined: EMA has not formally incorporated digital monitoring standards into its emissions reporting requirements, so there is no certification route to design a system around even if the technical layers worked perfectly. In practice, this shapes what any implementation of the framework can claim. Without a recognised acceptance pathway, an integrated system can demonstrate the architecture and the data flow, but it cannot demonstrate that its outputs would be treated as compliant emissions data by any regulatory body — and that is a governance barrier that technical innovation alone cannot resolve.</w:t>
      </w:r>
    </w:p>
    <w:p w14:paraId="181613DD" w14:textId="77777777" w:rsidR="00FD775D" w:rsidRDefault="00FD775D" w:rsidP="00FD775D">
      <w:pPr>
        <w:pStyle w:val="Heading2"/>
        <w:spacing w:line="360" w:lineRule="auto"/>
        <w:jc w:val="both"/>
        <w:rPr>
          <w:b w:val="0"/>
          <w:bCs w:val="0"/>
          <w:color w:val="auto"/>
        </w:rPr>
      </w:pPr>
      <w:r w:rsidRPr="00FD775D">
        <w:rPr>
          <w:b w:val="0"/>
          <w:bCs w:val="0"/>
          <w:color w:val="auto"/>
        </w:rPr>
        <w:t xml:space="preserve">The fourth barrier is the translation of physical measurements into meaningful carbon values, and it is closely tied to the cross-organisational data governance problem identified in the literature (Brown &amp; MacAskill, 2025; Merlo et al., 2025; Xu et al., 2024). Where real sensor deployment is constrained for the reasons set out above, conversion models must be relied on to reconstruct what sensors would have captured, using manually collected activity inputs applied against emission </w:t>
      </w:r>
      <w:r w:rsidRPr="00FD775D">
        <w:rPr>
          <w:b w:val="0"/>
          <w:bCs w:val="0"/>
          <w:color w:val="auto"/>
        </w:rPr>
        <w:lastRenderedPageBreak/>
        <w:t>factors taken from the literature. This approach is sufficient for system development — it allows the AI layer to operate and the MRV layer to be exercised — but it introduces uncertainty compared with direct measurement, and that uncertainty propagates upward through every layer of the framework. The wider governance dimension is that even if such conversion models were validated, they would not substitute for releasing real operational data from organisations and authorities; federated data architectures and regulatory data-sharing mandates are potential mechanisms for addressing the disclosure side of this barrier, but neither has been empirically tested at scale in carbon management contexts. Taken together, these four barriers show that beyond the technical design of IoT and AI systems, practical constraints — infrastructure, data access, institutional cooperation, and the absence of a regulatory acceptance route — significantly shape what an integrated digital carbon management system can actually deliver, particularly in a context like Zimbabwe.</w:t>
      </w:r>
    </w:p>
    <w:p w14:paraId="114F09CB" w14:textId="77777777" w:rsidR="008964C0" w:rsidRDefault="008964C0" w:rsidP="00FD775D">
      <w:pPr>
        <w:pStyle w:val="Heading2"/>
        <w:spacing w:line="360" w:lineRule="auto"/>
        <w:jc w:val="both"/>
        <w:rPr>
          <w:b w:val="0"/>
          <w:bCs w:val="0"/>
          <w:color w:val="auto"/>
        </w:rPr>
      </w:pPr>
    </w:p>
    <w:p w14:paraId="3BF1AE14" w14:textId="0B8212C0" w:rsidR="0069230D" w:rsidRDefault="0069230D" w:rsidP="00FD775D">
      <w:pPr>
        <w:pStyle w:val="Heading2"/>
        <w:spacing w:line="360" w:lineRule="auto"/>
        <w:jc w:val="both"/>
      </w:pPr>
      <w:r>
        <w:t>8.5 Framework Applicability to Net-Zero and the Zimbabwe Context</w:t>
      </w:r>
    </w:p>
    <w:p w14:paraId="41B005F7" w14:textId="77777777" w:rsidR="0069230D" w:rsidRDefault="0069230D" w:rsidP="000600B3">
      <w:pPr>
        <w:spacing w:line="360" w:lineRule="auto"/>
      </w:pPr>
    </w:p>
    <w:p w14:paraId="5FDF5A22" w14:textId="77777777" w:rsidR="008964C0" w:rsidRDefault="008964C0" w:rsidP="008964C0">
      <w:pPr>
        <w:spacing w:line="360" w:lineRule="auto"/>
      </w:pPr>
      <w:r>
        <w:t>The proposed framework has direct applicability to Net-Zero implementation pathways at national and subnational levels. In principle, by enabling continuous, verified, sensor-derived carbon accounting, the framework supports the enhanced transparency requirements of the Paris Agreement's Article 13 framework, replacing annual self-reported inventories with continuously verified emission records. In carbon market contexts, Layer 3 verification infrastructure directly addresses the double-counting and data integrity risks identified by Merlo et al. (2025) and Körner et al. (2025) as current weaknesses in voluntary carbon markets. However, in practice, the conditions required for this applicability — calibrated, continuously operating sensor networks, accessible operational data, and a regulatory channel that recognises sensor-derived outputs — are exactly the conditions that are missing in the contexts where the framework is most needed.</w:t>
      </w:r>
    </w:p>
    <w:p w14:paraId="366ED075" w14:textId="62010F7B" w:rsidR="008964C0" w:rsidRDefault="008964C0" w:rsidP="008964C0">
      <w:pPr>
        <w:spacing w:line="360" w:lineRule="auto"/>
      </w:pPr>
    </w:p>
    <w:p w14:paraId="543FF171" w14:textId="77777777" w:rsidR="008964C0" w:rsidRDefault="008964C0" w:rsidP="008964C0">
      <w:pPr>
        <w:spacing w:line="360" w:lineRule="auto"/>
      </w:pPr>
      <w:r>
        <w:t xml:space="preserve">In the Zimbabwean context specifically, the framework offers a stepwise, context-sensitive pathway for building digital carbon governance infrastructure that aligns with national capabilities and constraints. As an example of practical, staged implementation, the initial phase would begin with a pilot deployment of Layer 1 IoT sensors in a selected high-emission sector, such as </w:t>
      </w:r>
      <w:r>
        <w:lastRenderedPageBreak/>
        <w:t>electricity generation at a major power plant. This pilot would focus on establishing sensor functionality, calibrating the devices for local conditions, and resolving site access and data collection challenges. Following data acquisition, a second phase would develop Layer 2 AI estimation tools using the sensor data from the pilot. For instance, locally trained machine learning models could be used to estimate emissions from monitored activities, enabling model calibration to Zimbabwe’s energy mix and operational parameters. In a third phase, Layer 3 MRV processes would be established by prototyping verification routines tailored to EMA guidelines and progressively building institutional processes for data validation and reporting that align with current regulatory expectations and NDC commitments. At each stage, practical feedback from deployment would inform refinements before extending the approach to additional sites or sectors (for example, expanding from power plants to mining operations or transport fleets). This staged, adaptive implementation reduces the risks of large-scale integration, builds technical and institutional capacity incrementally, and creates opportunities for learning and resource optimisation at each layer. By phasing pilots, AI development, and MRV alignment sequentially, the strategy supports a resilient, context-aware progression that addresses the technical, institutional, and data infrastructure barriers identified in Gap 5, while ensuring the system remains grounded in Zimbabwe’s evolving operational and regulatory realities.</w:t>
      </w:r>
    </w:p>
    <w:p w14:paraId="341E6D32" w14:textId="77777777" w:rsidR="008964C0" w:rsidRDefault="008964C0" w:rsidP="008964C0">
      <w:pPr>
        <w:spacing w:line="360" w:lineRule="auto"/>
      </w:pPr>
    </w:p>
    <w:p w14:paraId="0E4FD548" w14:textId="77777777" w:rsidR="008964C0" w:rsidRDefault="008964C0" w:rsidP="008964C0">
      <w:pPr>
        <w:spacing w:line="360" w:lineRule="auto"/>
      </w:pPr>
      <w:r>
        <w:t>However, in practice, even the first stage of this pathway is difficult. Restricted site access for sensor deployment, the unavailability of granular institutional data, and the absence of an EMA digital-monitoring acceptance route are conditions that make it clear the framework cannot be implemented as a purely technical roll-out. While the framework is theoretically applicable to the Zimbabwean context, its realisation depends on parallel progress in research-site access, institutional data release, and regulatory development. The technical roadmap is the easier half of the problem; the institutional roadmap is what determines whether the framework actually reaches operational scale.</w:t>
      </w:r>
    </w:p>
    <w:p w14:paraId="2D125701" w14:textId="77777777" w:rsidR="00B85822" w:rsidRDefault="00000000" w:rsidP="000600B3">
      <w:pPr>
        <w:pStyle w:val="Heading1"/>
        <w:spacing w:line="360" w:lineRule="auto"/>
        <w:jc w:val="both"/>
      </w:pPr>
      <w:r>
        <w:t>9. Discussion</w:t>
      </w:r>
    </w:p>
    <w:p w14:paraId="33A08912" w14:textId="77777777" w:rsidR="00B85822" w:rsidRDefault="00000000" w:rsidP="000600B3">
      <w:pPr>
        <w:pStyle w:val="Heading2"/>
        <w:spacing w:line="360" w:lineRule="auto"/>
        <w:jc w:val="both"/>
      </w:pPr>
      <w:r>
        <w:t>9.1 Summary of Main Findings</w:t>
      </w:r>
    </w:p>
    <w:p w14:paraId="1304393A" w14:textId="69AAFCFC" w:rsidR="00AD1FB8" w:rsidRPr="00AD1FB8" w:rsidRDefault="00AD1FB8" w:rsidP="00AD1FB8">
      <w:pPr>
        <w:pStyle w:val="Heading2"/>
        <w:spacing w:line="360" w:lineRule="auto"/>
        <w:jc w:val="both"/>
        <w:rPr>
          <w:b w:val="0"/>
          <w:bCs w:val="0"/>
          <w:color w:val="auto"/>
        </w:rPr>
      </w:pPr>
      <w:r>
        <w:rPr>
          <w:b w:val="0"/>
          <w:bCs w:val="0"/>
          <w:color w:val="auto"/>
        </w:rPr>
        <w:lastRenderedPageBreak/>
        <w:t>O</w:t>
      </w:r>
      <w:r w:rsidRPr="00AD1FB8">
        <w:rPr>
          <w:b w:val="0"/>
          <w:bCs w:val="0"/>
          <w:color w:val="auto"/>
        </w:rPr>
        <w:t>ne hundred peer-reviewed studies, drawn from five academic databases and covering the period 2021–2025, formed the basis of this review’s examination of how far IoT sensor networks, AI analytics, and carbon accounting frameworks have been developed and, more critically, integrated to support real-time emissions monitoring and governance. What follows is not a neat set of confirmations. The evidence points in a broadly coherent direction, but the honest summary is that the field has developed considerable technical capability that it has not yet learned to connect.</w:t>
      </w:r>
    </w:p>
    <w:p w14:paraId="24142E27" w14:textId="77777777" w:rsidR="00AD1FB8" w:rsidRPr="00AD1FB8" w:rsidRDefault="00AD1FB8" w:rsidP="00AD1FB8">
      <w:pPr>
        <w:pStyle w:val="Heading2"/>
        <w:spacing w:line="360" w:lineRule="auto"/>
        <w:jc w:val="both"/>
        <w:rPr>
          <w:b w:val="0"/>
          <w:bCs w:val="0"/>
          <w:color w:val="auto"/>
        </w:rPr>
      </w:pPr>
      <w:r w:rsidRPr="00AD1FB8">
        <w:rPr>
          <w:b w:val="0"/>
          <w:bCs w:val="0"/>
          <w:color w:val="auto"/>
        </w:rPr>
        <w:t>At the data-acquisition layer, IoT sensor networks are technically capable of delivering continuous, spatially distributed environmental data that carbon governance systems require. That capability, however, has not reliably translated into carbon accounting outputs, and both technical and governance barriers are at play. Technically, the data acquisition literature reviewed here is heavily weighted toward sensor performance studies and prototype deployments, most of them in building and indoor environments (Fay &amp; Corcoran, 2024; Marquez-Zepeda et al., 2025; Zhu et al., 2023). Sensor reliability under real-world conditions, particularly for low-cost devices deployed over extended periods, remains a genuine concern. From a governance perspective, the measurement standards required for regulatory carbon accounting are considerably more stringent than those applied in most of the reviewed deployments. The failure to distinguish clearly between data gathered for indicative monitoring and data needed for compliance-grade accounting—conflating technical adequacy with governance sufficiency—is, in my reading of this literature, the most common source of overclaim.</w:t>
      </w:r>
    </w:p>
    <w:p w14:paraId="4190B7BA" w14:textId="77777777" w:rsidR="00AD1FB8" w:rsidRPr="00AD1FB8" w:rsidRDefault="00AD1FB8" w:rsidP="00AD1FB8">
      <w:pPr>
        <w:pStyle w:val="Heading2"/>
        <w:spacing w:line="360" w:lineRule="auto"/>
        <w:jc w:val="both"/>
        <w:rPr>
          <w:b w:val="0"/>
          <w:bCs w:val="0"/>
          <w:color w:val="auto"/>
        </w:rPr>
      </w:pPr>
      <w:r w:rsidRPr="00AD1FB8">
        <w:rPr>
          <w:b w:val="0"/>
          <w:bCs w:val="0"/>
          <w:color w:val="auto"/>
        </w:rPr>
        <w:t xml:space="preserve">At the emission estimation layer, AI forecasting models, especially hybrid deep learning architectures combining LSTM, CNN, and ensemble methods, show strong predictive performance for carbon emissions across a range of sectors and geographic settings. That said, performance depends heavily on data quality, temporal resolution, validation methodology, and geographic context, and the reviewed literature is weighted heavily toward Chinese and European datasets. Whether these models transfer to data-sparse contexts, including Sub-Saharan Africa, is a question the literature raises but does not answer. Perhaps more practically significant is that most reviewed AI models are trained on historical inventory data rather than on live IoT streams. Their integration with real-time monitoring infrastructure remains, in the reviewed literature, largely theoretical. The accuracy figures reported should be understood as accuracy against </w:t>
      </w:r>
      <w:r w:rsidRPr="00AD1FB8">
        <w:rPr>
          <w:b w:val="0"/>
          <w:bCs w:val="0"/>
          <w:color w:val="auto"/>
        </w:rPr>
        <w:lastRenderedPageBreak/>
        <w:t>retrospective data. That is not the same thing as demonstrated performance in a live deployment, and the difference matters.</w:t>
      </w:r>
    </w:p>
    <w:p w14:paraId="7926009B" w14:textId="77777777" w:rsidR="00AD1FB8" w:rsidRDefault="00AD1FB8" w:rsidP="00AD1FB8">
      <w:pPr>
        <w:pStyle w:val="Heading2"/>
        <w:spacing w:line="360" w:lineRule="auto"/>
        <w:jc w:val="both"/>
        <w:rPr>
          <w:b w:val="0"/>
          <w:bCs w:val="0"/>
          <w:color w:val="auto"/>
        </w:rPr>
      </w:pPr>
      <w:r w:rsidRPr="00AD1FB8">
        <w:rPr>
          <w:b w:val="0"/>
          <w:bCs w:val="0"/>
          <w:color w:val="auto"/>
        </w:rPr>
        <w:t>At the integration layer, the connection of IoT sensing, AI forecasting, and carbon accounting verification into unified end-to-end digital systems remains rare. This, I would argue, is the most important single finding of the review. Of the twenty-five integration studies reviewed, most focus on partial integration: connecting IoT with BIM or blockchain with MRV, rather than a full chain from sensor readings to verified accounting output. Partial integration is not a stepping stone toward full integration so much as a design choice to defer the hardest part of the problem. The field will not move to operational carbon governance until end-to-end integration is treated as the design target rather than a future deliverable.</w:t>
      </w:r>
    </w:p>
    <w:p w14:paraId="5BB2ABCA" w14:textId="772247B6" w:rsidR="00191555" w:rsidRPr="00191555" w:rsidRDefault="00191555" w:rsidP="00AD1FB8">
      <w:pPr>
        <w:pStyle w:val="Heading2"/>
        <w:spacing w:line="360" w:lineRule="auto"/>
        <w:jc w:val="both"/>
      </w:pPr>
      <w:r>
        <w:t>9.2 Governance, Standardisation, and Disclosure Quality</w:t>
      </w:r>
    </w:p>
    <w:p w14:paraId="6D7DC88A" w14:textId="77777777" w:rsidR="00352B57" w:rsidRPr="00352B57" w:rsidRDefault="00352B57" w:rsidP="00352B57">
      <w:pPr>
        <w:pStyle w:val="Heading2"/>
        <w:spacing w:line="360" w:lineRule="auto"/>
        <w:jc w:val="both"/>
        <w:rPr>
          <w:b w:val="0"/>
          <w:bCs w:val="0"/>
          <w:color w:val="auto"/>
        </w:rPr>
      </w:pPr>
      <w:r w:rsidRPr="00352B57">
        <w:rPr>
          <w:b w:val="0"/>
          <w:bCs w:val="0"/>
          <w:color w:val="auto"/>
        </w:rPr>
        <w:t>Beyond the technological dimension, the reviewed literature surfaces important governance issues that are frequently underemphasised in digital carbon management research. Cordova et al. (2021) and Ong et al. (2021, 2022) report that institutional quality and internal governance structures are stronger predictors of carbon accounting effectiveness than technology adoption alone, a finding that cautions against treating digital MRV platforms as a substitute for governance reform. Brown and MacAskill (2025) identify that boundary inconsistencies and variation in disclosure quality across cities prevent meaningful cross-jurisdictional comparisons of carbon accounting data, while Traub et al. (2025) introduce the Carbon Integrity Index as a tool for assessing the completeness and transparency of corporate carbon reporting. In application, this is why a technically capable digital MRV platform can still produce non-comparable outputs: the platform enforces consistency inside its own protocol, but the protocol itself is one of several, and the choice between them is a governance act the platform cannot make.</w:t>
      </w:r>
    </w:p>
    <w:p w14:paraId="38DE7AB4" w14:textId="77777777" w:rsidR="00352B57" w:rsidRDefault="00352B57" w:rsidP="00352B57">
      <w:pPr>
        <w:pStyle w:val="Heading2"/>
        <w:spacing w:line="360" w:lineRule="auto"/>
        <w:jc w:val="both"/>
        <w:rPr>
          <w:b w:val="0"/>
          <w:bCs w:val="0"/>
          <w:color w:val="auto"/>
        </w:rPr>
      </w:pPr>
      <w:r w:rsidRPr="00352B57">
        <w:rPr>
          <w:b w:val="0"/>
          <w:bCs w:val="0"/>
          <w:color w:val="auto"/>
        </w:rPr>
        <w:t xml:space="preserve">Standardisation remains one of the most persistent unresolved problems in the field. Across the MRV literature, emission factor selection, accounting boundary definition, and verification protocols vary widely between studies, sectors, and jurisdictions. Digital systems, including blockchain platforms, can enforce consistency within a defined protocol but cannot resolve the prior question of which protocol should apply. At the implementation layer, this is the limit a system designer meets early: the technology can be specified, the data model can be standardised, </w:t>
      </w:r>
      <w:r w:rsidRPr="00352B57">
        <w:rPr>
          <w:b w:val="0"/>
          <w:bCs w:val="0"/>
          <w:color w:val="auto"/>
        </w:rPr>
        <w:lastRenderedPageBreak/>
        <w:t>and the verification can be automated, but none of that decides which emission factor set, which boundary definition, or which verification cadence is the right one for a given jurisdiction. Regulatory harmonisation, above all for cross-sector and cross-border carbon accounting, is a governance challenge that technological innovation alone cannot address.</w:t>
      </w:r>
    </w:p>
    <w:p w14:paraId="187EFFAB" w14:textId="72F4EABE" w:rsidR="00B85822" w:rsidRDefault="00000000" w:rsidP="00352B57">
      <w:pPr>
        <w:pStyle w:val="Heading2"/>
        <w:spacing w:line="360" w:lineRule="auto"/>
        <w:jc w:val="both"/>
      </w:pPr>
      <w:r>
        <w:t>9.3 Limitations</w:t>
      </w:r>
    </w:p>
    <w:p w14:paraId="1A65EA43" w14:textId="77777777" w:rsidR="00352B57" w:rsidRDefault="00352B57" w:rsidP="00352B57">
      <w:pPr>
        <w:spacing w:after="120" w:line="360" w:lineRule="auto"/>
      </w:pPr>
      <w:r>
        <w:t>This review has several limitations that bear directly on the interpretation of its findings.</w:t>
      </w:r>
    </w:p>
    <w:p w14:paraId="61D5F47E" w14:textId="7374EF54" w:rsidR="00352B57" w:rsidRDefault="00352B57" w:rsidP="00352B57">
      <w:pPr>
        <w:spacing w:after="120" w:line="360" w:lineRule="auto"/>
      </w:pPr>
      <w:r>
        <w:t>The most consequential is geographic. The included literature is overwhelmingly drawn from high-income and upper-middle-income country contexts, chiefly China, Europe, and North America, with Sub-Saharan Africa virtually absent from the evidence base. In Zimbabwe and the broader region, authentic peer-reviewed empirical data on IoT-based emissions monitoring, carbon accounting, and waste management is virtually absent from the major indexed databases, not because the research need does not exist, but because the infrastructure for producing, publishing, and indexing such research remains underdeveloped. National emissions data in Zimbabwe is held mainly by government agencies such as the Environmental Management Agency (EMA) and the Zimbabwe National Statistics Agency (ZIMSTAT), and rarely surfaces in the indexed peer-reviewed literature. This structural absence means that the findings of this review, and the IoT and AI systems it evaluates, cannot be assumed to be directly applicable to Zimbabwean industrial, agricultural, or urban emission contexts without dedicated empirical validation in those settings. This gap simultaneously represents a limitation of the current review and its strongest motivating rationale: the absence of locally grounded research is precisely the condition that makes systematic syntheses of the global literature for Zimbabwean and Sub-Saharan African application both necessary and original.</w:t>
      </w:r>
    </w:p>
    <w:p w14:paraId="7D431F11" w14:textId="77777777" w:rsidR="00352B57" w:rsidRDefault="00352B57" w:rsidP="00352B57">
      <w:pPr>
        <w:spacing w:after="120" w:line="360" w:lineRule="auto"/>
      </w:pPr>
      <w:r>
        <w:t xml:space="preserve">Beyond geographic scope, this review has four additional limitations. First, the search was restricted to five databases and English-language publications, potentially excluding relevant studies published in other languages or in regional repositories. Second, screening and data extraction were conducted by a single reviewer without a formal inter-reviewer reliability assessment, which limits the reproducibility of the selection process. Third, the heterogeneity of study methodologies, contexts, and outcome measures across the included literature precluded quantitative meta-analysis; findings are therefore synthesised narratively, and comparative conclusions should be interpreted with appropriate caution. Fourth, the 2021-2025 review period, </w:t>
      </w:r>
      <w:r>
        <w:lastRenderedPageBreak/>
        <w:t>while appropriate for capturing recent technological developments, excludes earlier foundational literature on carbon accounting and MRV that may provide additional historical context.</w:t>
      </w:r>
    </w:p>
    <w:p w14:paraId="45DD9C78" w14:textId="77777777" w:rsidR="00352B57" w:rsidRDefault="00352B57" w:rsidP="00352B57">
      <w:pPr>
        <w:spacing w:after="120" w:line="360" w:lineRule="auto"/>
      </w:pPr>
      <w:r>
        <w:t>Three further real-world limitations are worth naming explicitly, because they affect not just this review but the broader field of integrated digital carbon management research.</w:t>
      </w:r>
    </w:p>
    <w:p w14:paraId="654263AC" w14:textId="77777777" w:rsidR="00352B57" w:rsidRDefault="00352B57" w:rsidP="00352B57">
      <w:pPr>
        <w:spacing w:after="120" w:line="360" w:lineRule="auto"/>
      </w:pPr>
      <w:r>
        <w:t>A primary barrier is organisational reluctance to share emissions data, particularly within Zimbabwe's industrial sector. Zimbabwe’s Initial National Communication to the UNFCCC reports that industrial companies often withhold operational information due to competitor concerns, resulting in poorly developed emissions estimates for this sector (Government of Zimbabwe, UNFCCC Initial National Communication). This limitation persists: while the Carbon Credits Trading (General) Regulations under Statutory Instrument 48 of 2025 formalise MRV for carbon market participants, non-market emitters face no requirement to participate, and the Environmental Management Agency lacks authority to mandate disclosure of granular operational data (AB &amp; David Africa, 2025). Consequently, an integrated IoT-AI-MRV system in Zimbabwe would face institutional resistance to data sharing as a foundational and pervasive challenge.</w:t>
      </w:r>
    </w:p>
    <w:p w14:paraId="1A67BFA8" w14:textId="77777777" w:rsidR="00352B57" w:rsidRDefault="00352B57" w:rsidP="00352B57">
      <w:pPr>
        <w:spacing w:after="120" w:line="360" w:lineRule="auto"/>
      </w:pPr>
      <w:r>
        <w:t>The second is data privacy. In Zimbabwe, IoT-based emissions monitoring does not operate in a legal vacuum. The Cyber and Data Protection Act [Chapter 12:07], enacted in December 2021, governs the collection, processing, storage, and cross-border transfer of data for all public and private organisations operating in the country (Zimbabwe, 2021). The Act restricts the transfer of data outside Zimbabwe unless adequate protection is ensured in the destination country and requires data controllers to register with the Postal and Telecommunications Regulatory Authority, which serves as the Data Protection Authority (Michalsons, 2024). For an IoT carbon monitoring system that transmits sensor data to cloud-based analytics platforms, many of which are hosted outside Zimbabwe, compliance with the Act introduces legal obligations that the current integrated carbon management literature does not address. The reviewed literature treats IoT sensor data as a technical flow rather than a regulated asset, and this assumption does not hold in the Zimbabwean legal context.</w:t>
      </w:r>
    </w:p>
    <w:p w14:paraId="592936F6" w14:textId="6CA03821" w:rsidR="00B85822" w:rsidRDefault="00352B57" w:rsidP="00352B57">
      <w:pPr>
        <w:spacing w:after="120" w:line="360" w:lineRule="auto"/>
      </w:pPr>
      <w:r>
        <w:t xml:space="preserve">The third is carbon leakage, and it is particularly acute in the Zimbabwean context, given the scale of informal and artisanal economic activity. Research on Zimbabwe’s mining sector identifies widespread mineral smuggling, limited regulatory enforcement capacity, and a lack of coordinated data verification across government institutions as structural features of the sector rather than </w:t>
      </w:r>
      <w:r>
        <w:lastRenderedPageBreak/>
        <w:t>exceptions to it (ScienceDirect, 2024). A carbon monitoring system that measures emissions from registered industrial facilities cannot capture the emissions from artisanal and small-scale gold mining, which the US State Department describes as widespread and largely unmonitored, or from the large biomass energy sector, which accounts for over 65% of Zimbabwe’s energy use and is driven primarily by informal household and small-scale industrial activity (Climate Analytics, 2024). More recently, a Swedwatch investigation into a cookstove carbon project in Zimbabwe found that inflated emissions claims and a lack of community transparency were used to generate over-issued carbon credits, with fraud charges subsequently filed against the project developer (Swedwatch, 2026). This case illustrates that carbon leakage and boundary manipulation are not theoretical risks in the Zimbabwean carbon market context. They have already occurred, with material financial and reputational consequences. An IoT-AI monitoring system that cannot detect or account for these boundary conditions will produce accounting outputs that misrepresent the emission landscape it claims to describe.</w:t>
      </w:r>
    </w:p>
    <w:p w14:paraId="3648DE08" w14:textId="77777777" w:rsidR="00326461" w:rsidRDefault="00326461" w:rsidP="00352B57">
      <w:pPr>
        <w:spacing w:after="120" w:line="360" w:lineRule="auto"/>
      </w:pPr>
    </w:p>
    <w:p w14:paraId="1D2E4FBD" w14:textId="77777777" w:rsidR="00B85822" w:rsidRDefault="00000000" w:rsidP="000600B3">
      <w:pPr>
        <w:pStyle w:val="Heading2"/>
        <w:spacing w:line="360" w:lineRule="auto"/>
        <w:jc w:val="both"/>
      </w:pPr>
      <w:r>
        <w:t>9.4 Implications for Future Research</w:t>
      </w:r>
    </w:p>
    <w:p w14:paraId="1A6CEF3D" w14:textId="77777777" w:rsidR="00326461" w:rsidRDefault="00326461" w:rsidP="000600B3">
      <w:pPr>
        <w:pStyle w:val="Heading2"/>
        <w:spacing w:line="360" w:lineRule="auto"/>
        <w:jc w:val="both"/>
        <w:rPr>
          <w:b w:val="0"/>
          <w:bCs w:val="0"/>
          <w:color w:val="auto"/>
        </w:rPr>
      </w:pPr>
      <w:r w:rsidRPr="00326461">
        <w:rPr>
          <w:b w:val="0"/>
          <w:bCs w:val="0"/>
          <w:color w:val="auto"/>
        </w:rPr>
        <w:t xml:space="preserve">Future research should rigorously focus on targeted empirical validation of fully integrated digital carbon management platforms, explicitly documenting the operational performance, scalability, and regulatory alignment of systems that unite IoT sensor networks, AI-driven analytics, and carbon accounting frameworks. </w:t>
      </w:r>
    </w:p>
    <w:p w14:paraId="40590EC2" w14:textId="77777777" w:rsidR="00326461" w:rsidRDefault="00326461" w:rsidP="000600B3">
      <w:pPr>
        <w:pStyle w:val="Heading2"/>
        <w:spacing w:line="360" w:lineRule="auto"/>
        <w:jc w:val="both"/>
        <w:rPr>
          <w:b w:val="0"/>
          <w:bCs w:val="0"/>
          <w:color w:val="auto"/>
        </w:rPr>
      </w:pPr>
      <w:r w:rsidRPr="00326461">
        <w:rPr>
          <w:b w:val="0"/>
          <w:bCs w:val="0"/>
          <w:color w:val="auto"/>
        </w:rPr>
        <w:t xml:space="preserve">Priorities include not only technical engineering but also comparative field trials that benchmark platform reliability, latency, data integrity, and end-to-end reporting accuracy under variable deployment conditions. Further, advancing interoperability must go beyond generic calls for standardisation by developing, piloting, and open-sourcing sector-specific data exchange protocols and ontologies, especially those capable of handling cross-organisational and cross-jurisdictional workflows. Regarding AI, future studies should move from proof-of-concept explainable models to evidence-based evaluations of how interpretability frameworks impact stakeholder trust, auditability, and ultimate regulatory uptake of AI-generated forecasts in real-world compliance scenarios. </w:t>
      </w:r>
    </w:p>
    <w:p w14:paraId="1F53E4E7" w14:textId="77777777" w:rsidR="004478F1" w:rsidRDefault="00326461" w:rsidP="000600B3">
      <w:pPr>
        <w:pStyle w:val="Heading2"/>
        <w:spacing w:line="360" w:lineRule="auto"/>
        <w:jc w:val="both"/>
        <w:rPr>
          <w:b w:val="0"/>
          <w:bCs w:val="0"/>
          <w:color w:val="auto"/>
        </w:rPr>
      </w:pPr>
      <w:r w:rsidRPr="00326461">
        <w:rPr>
          <w:b w:val="0"/>
          <w:bCs w:val="0"/>
          <w:color w:val="auto"/>
        </w:rPr>
        <w:lastRenderedPageBreak/>
        <w:t xml:space="preserve">There is a specific need for research that tests digital MRV and integrated carbon management systems in data-sparse and infrastructure-constrained settings, deploying them in partnership with local agencies and measuring not only technical feasibility but institutional readiness, data governance, and equity impacts. Such investigations might include longitudinal studies in the Global South that systematically assess barriers to data access, calibration requirements, and the adaptation of international standards to local regulatory realities. </w:t>
      </w:r>
    </w:p>
    <w:p w14:paraId="6C9F6731" w14:textId="1259EFDE" w:rsidR="00326461" w:rsidRDefault="00326461" w:rsidP="000600B3">
      <w:pPr>
        <w:pStyle w:val="Heading2"/>
        <w:spacing w:line="360" w:lineRule="auto"/>
        <w:jc w:val="both"/>
        <w:rPr>
          <w:b w:val="0"/>
          <w:bCs w:val="0"/>
          <w:color w:val="auto"/>
        </w:rPr>
      </w:pPr>
      <w:r w:rsidRPr="00326461">
        <w:rPr>
          <w:b w:val="0"/>
          <w:bCs w:val="0"/>
          <w:color w:val="auto"/>
        </w:rPr>
        <w:t>To maximise knowledge transfer and policy relevance, multi-country research consortia involving academic institutions, regulatory agencies, and technology vendors should be established to coordinate the design, piloting, and cross-context assessment of these integrated platforms. International development agencies and climate finance organisations should establish targeted funding streams for the deployment, rigorous evaluation, and capacity-building necessary to scale digital carbon management infrastructure in regions facing critical data deficits, with clear reporting mechanisms for lessons learned and technology adaptation between contexts.</w:t>
      </w:r>
    </w:p>
    <w:p w14:paraId="2347C353" w14:textId="77777777" w:rsidR="004478F1" w:rsidRDefault="004478F1" w:rsidP="000600B3">
      <w:pPr>
        <w:pStyle w:val="Heading2"/>
        <w:spacing w:line="360" w:lineRule="auto"/>
        <w:jc w:val="both"/>
        <w:rPr>
          <w:b w:val="0"/>
          <w:bCs w:val="0"/>
          <w:color w:val="auto"/>
        </w:rPr>
      </w:pPr>
    </w:p>
    <w:p w14:paraId="1D946279" w14:textId="12734EB6" w:rsidR="00191555" w:rsidRPr="00191555" w:rsidRDefault="00191555" w:rsidP="000600B3">
      <w:pPr>
        <w:pStyle w:val="Heading2"/>
        <w:spacing w:line="360" w:lineRule="auto"/>
        <w:jc w:val="both"/>
      </w:pPr>
      <w:r>
        <w:t>9.5 Implications for Net-Zero Implementation</w:t>
      </w:r>
    </w:p>
    <w:p w14:paraId="333E0FEF" w14:textId="77777777" w:rsidR="004478F1" w:rsidRPr="004478F1" w:rsidRDefault="004478F1" w:rsidP="004478F1">
      <w:pPr>
        <w:pStyle w:val="Heading2"/>
        <w:spacing w:line="360" w:lineRule="auto"/>
        <w:jc w:val="both"/>
        <w:rPr>
          <w:b w:val="0"/>
          <w:bCs w:val="0"/>
          <w:color w:val="auto"/>
        </w:rPr>
      </w:pPr>
      <w:r w:rsidRPr="004478F1">
        <w:rPr>
          <w:b w:val="0"/>
          <w:bCs w:val="0"/>
          <w:color w:val="auto"/>
        </w:rPr>
        <w:t>The findings of this review have direct and concrete implications for Net-Zero strategy and implementation, which go beyond the generic call for "unified platforms" that characterised earlier literature in this field.</w:t>
      </w:r>
    </w:p>
    <w:p w14:paraId="6F369E75" w14:textId="77777777" w:rsidR="004478F1" w:rsidRPr="004478F1" w:rsidRDefault="004478F1" w:rsidP="004478F1">
      <w:pPr>
        <w:pStyle w:val="Heading2"/>
        <w:spacing w:line="360" w:lineRule="auto"/>
        <w:jc w:val="both"/>
        <w:rPr>
          <w:b w:val="0"/>
          <w:bCs w:val="0"/>
          <w:color w:val="auto"/>
        </w:rPr>
      </w:pPr>
      <w:r w:rsidRPr="004478F1">
        <w:rPr>
          <w:b w:val="0"/>
          <w:bCs w:val="0"/>
          <w:color w:val="auto"/>
        </w:rPr>
        <w:t>Integrated IoT-AI-MRV systems, if realised at operational scale, would improve emissions transparency by replacing periodic self-reported inventories with continuously verified sensor-derived data, reducing the risk of underreporting and enabling near-real-time national and sectoral greenhouse gas tracking. They would enable continuous verification, transforming MRV from an annual compliance exercise into an ongoing governance function, consistent with the ambition of the Paris Agreement's enhanced transparency framework. They would support carbon market integrity by providing tamper-resistant, sensor-verified emission records that strengthen the credibility of carbon credits and reduce double-counting risks, a gap that Merlo et al. (2025) and Körner et al. (2025) identify as a current weakness in voluntary carbon markets.</w:t>
      </w:r>
    </w:p>
    <w:p w14:paraId="0367ADF9" w14:textId="77777777" w:rsidR="004478F1" w:rsidRPr="004478F1" w:rsidRDefault="004478F1" w:rsidP="004478F1">
      <w:pPr>
        <w:pStyle w:val="Heading2"/>
        <w:spacing w:line="360" w:lineRule="auto"/>
        <w:jc w:val="both"/>
        <w:rPr>
          <w:b w:val="0"/>
          <w:bCs w:val="0"/>
          <w:color w:val="auto"/>
        </w:rPr>
      </w:pPr>
      <w:r w:rsidRPr="004478F1">
        <w:rPr>
          <w:b w:val="0"/>
          <w:bCs w:val="0"/>
          <w:color w:val="auto"/>
        </w:rPr>
        <w:lastRenderedPageBreak/>
        <w:t>Perhaps most practically, integrated digital systems would enable the identification of hidden emission hotspots- sources of greenhouse gas emissions frequently missed by top-down inventory approaches yet detectable through spatially distributed IoT monitoring. These hotspots can constitute a significant proportion of total emissions; for example, Xiao et al. (2025) found that unmonitored process anomalies in a factory accounted for up to 15% of previously unrecorded emissions, while Sabando-Bravo et al. (2025) demonstrated in urban network design that spatial IoT deployment revealed local hotspots contributing an additional 10–20% above baseline inventory estimates. Scaling these approaches to city and national levels could, therefore, substantially improve the accuracy of national emission inventories and strengthen the evidence base for targeted decarbonisation interventions.</w:t>
      </w:r>
    </w:p>
    <w:p w14:paraId="3AD9243E" w14:textId="77777777" w:rsidR="004478F1" w:rsidRDefault="004478F1" w:rsidP="004478F1">
      <w:pPr>
        <w:pStyle w:val="Heading2"/>
        <w:spacing w:line="360" w:lineRule="auto"/>
        <w:jc w:val="both"/>
        <w:rPr>
          <w:b w:val="0"/>
          <w:bCs w:val="0"/>
          <w:color w:val="auto"/>
        </w:rPr>
      </w:pPr>
      <w:r w:rsidRPr="004478F1">
        <w:rPr>
          <w:b w:val="0"/>
          <w:bCs w:val="0"/>
          <w:color w:val="auto"/>
        </w:rPr>
        <w:t>Finally, for sector-specific decarbonisation, the AI forecasting models reviewed in this study offer a pathway for scenario-based analysis of emission trajectories at provincial, sectoral, and facility levels. Such scenario modelling enables policymakers to rigorously evaluate the projected carbon impact of specific policy interventions before these are enacted, facilitating evidence-based decision-making and more targeted strategy selection. Hong et al. (2025) and Yang et al. (2024) demonstrate the application of this approach in Chinese provincial planning, where scenario analyses inform policy design and adjustment. By recalibrating these modeling frameworks with locally collected data, a similar evidence-to-policy linkage could be established to support Zimbabwe’s NDC implementation and emissions reduction target setting under the Paris Agreement, thus grounding national climate policies in quantitative projections of policy effects.</w:t>
      </w:r>
    </w:p>
    <w:p w14:paraId="3B13163D" w14:textId="63186B4C" w:rsidR="00B85822" w:rsidRDefault="00000000" w:rsidP="004478F1">
      <w:pPr>
        <w:pStyle w:val="Heading2"/>
        <w:spacing w:line="360" w:lineRule="auto"/>
        <w:jc w:val="both"/>
      </w:pPr>
      <w:r>
        <w:t>9.6 Conclusions</w:t>
      </w:r>
    </w:p>
    <w:p w14:paraId="7D82AC83" w14:textId="77777777" w:rsidR="00933F05" w:rsidRPr="00933F05" w:rsidRDefault="00933F05" w:rsidP="00933F05">
      <w:pPr>
        <w:pStyle w:val="Heading1"/>
        <w:spacing w:line="360" w:lineRule="auto"/>
        <w:jc w:val="both"/>
        <w:rPr>
          <w:b w:val="0"/>
          <w:bCs w:val="0"/>
          <w:color w:val="auto"/>
          <w:sz w:val="24"/>
          <w:szCs w:val="24"/>
        </w:rPr>
      </w:pPr>
      <w:r w:rsidRPr="00933F05">
        <w:rPr>
          <w:b w:val="0"/>
          <w:bCs w:val="0"/>
          <w:color w:val="auto"/>
          <w:sz w:val="24"/>
          <w:szCs w:val="24"/>
        </w:rPr>
        <w:t xml:space="preserve">This review covered 100 peer-reviewed studies spanning IoT-based carbon sensing, AI-based emissions forecasting, carbon accounting and MRV frameworks, and the integration of these domains in digital environmental management. The picture that emerges is not one of a field failing to produce good work. The individual components are, in many cases, technically impressive. What the evidence reveals, consistently and across all four thematic areas, is a field that has invested heavily in the parts and comparatively little in the joints. IoT sensor networks substantially improve the temporal and spatial resolution of emissions data, but their outputs connect only loosely to formal carbon accounting processes. Machine learning and deep learning </w:t>
      </w:r>
      <w:r w:rsidRPr="00933F05">
        <w:rPr>
          <w:b w:val="0"/>
          <w:bCs w:val="0"/>
          <w:color w:val="auto"/>
          <w:sz w:val="24"/>
          <w:szCs w:val="24"/>
        </w:rPr>
        <w:lastRenderedPageBreak/>
        <w:t>models support credible emissions prediction across diverse sectoral contexts, subject to data quality, validation rigour, and geographic applicability, but most remain structurally disconnected from live monitoring infrastructure. MRV frameworks provide the institutional backbone for converting monitored data into verifiable reports, yet they continue to operate primarily on periodic, manually compiled activity data rather than on the continuous digital streams that the monitoring layer now enables. Connecting these three domains into a functional end-to-end system, in my reading, is the central unmet challenge of this field. That is not a criticism of individual studies. It is a description of the structural gap that the next generation of research needs to close.</w:t>
      </w:r>
    </w:p>
    <w:p w14:paraId="0EAE7498" w14:textId="77777777" w:rsidR="00933F05" w:rsidRDefault="00933F05" w:rsidP="00933F05">
      <w:pPr>
        <w:pStyle w:val="Heading1"/>
        <w:spacing w:line="360" w:lineRule="auto"/>
        <w:jc w:val="both"/>
        <w:rPr>
          <w:b w:val="0"/>
          <w:bCs w:val="0"/>
          <w:color w:val="auto"/>
          <w:sz w:val="24"/>
          <w:szCs w:val="24"/>
        </w:rPr>
      </w:pPr>
      <w:r w:rsidRPr="00933F05">
        <w:rPr>
          <w:b w:val="0"/>
          <w:bCs w:val="0"/>
          <w:color w:val="auto"/>
          <w:sz w:val="24"/>
          <w:szCs w:val="24"/>
        </w:rPr>
        <w:t>The near-total absence of locally grounded IoT and AI carbon-monitoring research in Sub-Saharan Africa, particularly in Zimbabwe, is both a gap in the global literature and a practical barrier to implementing digitally enabled carbon governance in the region. It would be a mistake to read this absence as evidence of a limited need for monitoring. Peer-reviewed empirical data on Zimbabwean emissions monitoring, waste management, and carbon accounting are simply not available in major indexed databases to any meaningful degree. This is not because the work is unimportant. It is because the structural conditions for producing, publishing, and indexing research are underdeveloped. That is a consequence of global inequities in research infrastructure, and it deserves to be named as such.</w:t>
      </w:r>
    </w:p>
    <w:p w14:paraId="0E9984F0" w14:textId="69662536" w:rsidR="00933F05" w:rsidRPr="00933F05" w:rsidRDefault="00933F05" w:rsidP="00933F05">
      <w:pPr>
        <w:pStyle w:val="Heading1"/>
        <w:spacing w:line="360" w:lineRule="auto"/>
        <w:jc w:val="both"/>
        <w:rPr>
          <w:b w:val="0"/>
          <w:bCs w:val="0"/>
          <w:color w:val="auto"/>
          <w:sz w:val="24"/>
          <w:szCs w:val="24"/>
        </w:rPr>
      </w:pPr>
      <w:r w:rsidRPr="00933F05">
        <w:rPr>
          <w:b w:val="0"/>
          <w:bCs w:val="0"/>
          <w:color w:val="auto"/>
          <w:sz w:val="24"/>
          <w:szCs w:val="24"/>
        </w:rPr>
        <w:t>Addressing this gap requires dedicated investment in regional research capacity, sensor deployment, and data publication infrastructure, alongside national-level regulatory development to create the governance environment within which digital carbon monitoring can be formally recognised.</w:t>
      </w:r>
    </w:p>
    <w:p w14:paraId="55C2B7D1" w14:textId="77777777" w:rsidR="00933F05" w:rsidRDefault="00933F05" w:rsidP="00933F05">
      <w:pPr>
        <w:pStyle w:val="Heading1"/>
        <w:spacing w:line="360" w:lineRule="auto"/>
        <w:jc w:val="both"/>
        <w:rPr>
          <w:b w:val="0"/>
          <w:bCs w:val="0"/>
          <w:color w:val="auto"/>
          <w:sz w:val="24"/>
          <w:szCs w:val="24"/>
        </w:rPr>
      </w:pPr>
      <w:r w:rsidRPr="00933F05">
        <w:rPr>
          <w:b w:val="0"/>
          <w:bCs w:val="0"/>
          <w:color w:val="auto"/>
          <w:sz w:val="24"/>
          <w:szCs w:val="24"/>
        </w:rPr>
        <w:t xml:space="preserve">The IoT-AI-MRV framework proposed here offers one structured pathway toward integrated digital carbon management, applicable in principle across contexts ranging from advanced smart city deployments to the kind of sequential, capacity-building implementation that a data-sparse environment like Zimbabwe would require. Making it operational requires progress on four fronts simultaneously: standardised data exchange between monitoring, analytics, and accounting layers; sensor calibration protocols that meet regulatory-grade carbon accounting standards; regulatory reform recognising sensor-derived data as a valid input to compliance frameworks; and </w:t>
      </w:r>
      <w:r w:rsidRPr="00933F05">
        <w:rPr>
          <w:b w:val="0"/>
          <w:bCs w:val="0"/>
          <w:color w:val="auto"/>
          <w:sz w:val="24"/>
          <w:szCs w:val="24"/>
        </w:rPr>
        <w:lastRenderedPageBreak/>
        <w:t>governance models capable of resolving the cross-organisational data sharing constraints that currently make integrated deployment so difficult. None of these is a purely technical problem. Together, they define what it would actually take to build digital carbon management infrastructure that is credible, scalable, and accessible beyond high-income settings where most current research has been conducted.</w:t>
      </w:r>
    </w:p>
    <w:p w14:paraId="3804023A" w14:textId="7623C829" w:rsidR="00A54056" w:rsidRPr="00A54056" w:rsidRDefault="00A54056" w:rsidP="00933F05">
      <w:pPr>
        <w:pStyle w:val="Heading1"/>
        <w:spacing w:line="360" w:lineRule="auto"/>
        <w:jc w:val="both"/>
      </w:pPr>
      <w:r>
        <w:t>Declarations</w:t>
      </w:r>
    </w:p>
    <w:p w14:paraId="0CD64151" w14:textId="77777777" w:rsidR="00A54056" w:rsidRPr="00A54056" w:rsidRDefault="00A54056" w:rsidP="000600B3">
      <w:pPr>
        <w:pStyle w:val="Heading2"/>
        <w:spacing w:line="360" w:lineRule="auto"/>
        <w:jc w:val="both"/>
      </w:pPr>
      <w:r>
        <w:t>Ethics Approval and Consent to Participate</w:t>
      </w:r>
    </w:p>
    <w:p w14:paraId="12947687" w14:textId="77777777" w:rsidR="00A54056" w:rsidRPr="00A54056" w:rsidRDefault="00A54056" w:rsidP="000600B3">
      <w:pPr>
        <w:spacing w:line="360" w:lineRule="auto"/>
      </w:pPr>
      <w:r>
        <w:t>Not applicable. This study is a systematic review of previously published literature and did not involve human participants, animals, or primary data collection.</w:t>
      </w:r>
    </w:p>
    <w:p w14:paraId="6493D210" w14:textId="77777777" w:rsidR="00A54056" w:rsidRPr="00A54056" w:rsidRDefault="00A54056" w:rsidP="000600B3">
      <w:pPr>
        <w:pStyle w:val="Heading2"/>
        <w:spacing w:line="360" w:lineRule="auto"/>
        <w:jc w:val="both"/>
      </w:pPr>
      <w:r>
        <w:t>Consent for Publication</w:t>
      </w:r>
    </w:p>
    <w:p w14:paraId="15EE926C" w14:textId="77777777" w:rsidR="00A54056" w:rsidRPr="00A54056" w:rsidRDefault="00A54056" w:rsidP="000600B3">
      <w:pPr>
        <w:pStyle w:val="Heading1"/>
        <w:spacing w:line="360" w:lineRule="auto"/>
        <w:jc w:val="both"/>
        <w:rPr>
          <w:b w:val="0"/>
          <w:bCs w:val="0"/>
          <w:color w:val="auto"/>
          <w:sz w:val="24"/>
          <w:szCs w:val="24"/>
        </w:rPr>
      </w:pPr>
      <w:r>
        <w:rPr>
          <w:b w:val="0"/>
          <w:bCs w:val="0"/>
          <w:color w:val="auto"/>
          <w:sz w:val="24"/>
          <w:szCs w:val="24"/>
        </w:rPr>
        <w:t>Not applicable.</w:t>
      </w:r>
    </w:p>
    <w:p w14:paraId="7C73EE35" w14:textId="77777777" w:rsidR="00A54056" w:rsidRPr="00A54056" w:rsidRDefault="00A54056" w:rsidP="000600B3">
      <w:pPr>
        <w:pStyle w:val="Heading2"/>
        <w:spacing w:line="360" w:lineRule="auto"/>
        <w:jc w:val="both"/>
      </w:pPr>
      <w:r>
        <w:t>Availability of Data and Materials</w:t>
      </w:r>
    </w:p>
    <w:p w14:paraId="06865135" w14:textId="77777777" w:rsidR="00A54056" w:rsidRPr="00A54056" w:rsidRDefault="00A54056" w:rsidP="000600B3">
      <w:pPr>
        <w:spacing w:line="360" w:lineRule="auto"/>
      </w:pPr>
      <w:r>
        <w:t>This systematic review is based entirely on published, publicly available peer-reviewed literature. All included studies are properly cited. The study characteristics matrix (SUP-8082-92457555) is provided as a supplementary file accompanying this manuscript.</w:t>
      </w:r>
    </w:p>
    <w:p w14:paraId="69E60BBC" w14:textId="77777777" w:rsidR="00A54056" w:rsidRPr="00A54056" w:rsidRDefault="00A54056" w:rsidP="000600B3">
      <w:pPr>
        <w:pStyle w:val="Heading2"/>
        <w:spacing w:line="360" w:lineRule="auto"/>
        <w:jc w:val="both"/>
      </w:pPr>
      <w:r>
        <w:t>Competing Interests</w:t>
      </w:r>
    </w:p>
    <w:p w14:paraId="395D0EF4" w14:textId="77777777" w:rsidR="00A54056" w:rsidRPr="00A54056" w:rsidRDefault="00A54056" w:rsidP="000600B3">
      <w:pPr>
        <w:spacing w:line="360" w:lineRule="auto"/>
      </w:pPr>
      <w:r>
        <w:t>The author(s) declare no competing interests, financial or non-financial, that could have influenced the design, conduct, or reporting of this review.</w:t>
      </w:r>
    </w:p>
    <w:p w14:paraId="42137072" w14:textId="77777777" w:rsidR="00A54056" w:rsidRPr="00A54056" w:rsidRDefault="00A54056" w:rsidP="000600B3">
      <w:pPr>
        <w:pStyle w:val="Heading2"/>
        <w:spacing w:line="360" w:lineRule="auto"/>
        <w:jc w:val="both"/>
      </w:pPr>
      <w:r>
        <w:t>Funding</w:t>
      </w:r>
    </w:p>
    <w:p w14:paraId="7ECD9C07" w14:textId="77777777" w:rsidR="00A54056" w:rsidRPr="00A54056" w:rsidRDefault="00A54056" w:rsidP="000600B3">
      <w:pPr>
        <w:spacing w:line="360" w:lineRule="auto"/>
      </w:pPr>
      <w:r>
        <w:t>No specific funding was received to carry out this research.</w:t>
      </w:r>
    </w:p>
    <w:p w14:paraId="30E7B7D9" w14:textId="77777777" w:rsidR="00A54056" w:rsidRPr="00A54056" w:rsidRDefault="00A54056" w:rsidP="000600B3">
      <w:pPr>
        <w:pStyle w:val="Heading2"/>
        <w:spacing w:line="360" w:lineRule="auto"/>
        <w:jc w:val="both"/>
      </w:pPr>
      <w:r>
        <w:t>Authors' Contributions</w:t>
      </w:r>
    </w:p>
    <w:p w14:paraId="4484CAAF" w14:textId="77777777" w:rsidR="00A54056" w:rsidRPr="00A54056" w:rsidRDefault="00A54056" w:rsidP="000600B3">
      <w:pPr>
        <w:spacing w:line="360" w:lineRule="auto"/>
      </w:pPr>
      <w:r>
        <w:t>TC conceptualised the review and designed the search strategy. TC conducted database searches, screening and study selection. TC performed data extraction and risk of bias appraisal. TC drafted the manuscript. MG supervised and assisted in drafting the manuscript. All authors reviewed and approved the final version of the manuscript.</w:t>
      </w:r>
    </w:p>
    <w:p w14:paraId="35608706" w14:textId="77777777" w:rsidR="00A54056" w:rsidRPr="00A54056" w:rsidRDefault="00A54056" w:rsidP="000600B3">
      <w:pPr>
        <w:pStyle w:val="Heading2"/>
        <w:spacing w:line="360" w:lineRule="auto"/>
        <w:jc w:val="both"/>
      </w:pPr>
      <w:r>
        <w:lastRenderedPageBreak/>
        <w:t>Acknowledgements</w:t>
      </w:r>
    </w:p>
    <w:p w14:paraId="5328B6CA" w14:textId="77777777" w:rsidR="00A54056" w:rsidRDefault="00A54056" w:rsidP="000600B3">
      <w:pPr>
        <w:pStyle w:val="Heading1"/>
        <w:spacing w:line="360" w:lineRule="auto"/>
        <w:jc w:val="both"/>
        <w:rPr>
          <w:b w:val="0"/>
          <w:bCs w:val="0"/>
          <w:color w:val="auto"/>
          <w:sz w:val="24"/>
          <w:szCs w:val="24"/>
        </w:rPr>
      </w:pPr>
      <w:r>
        <w:rPr>
          <w:b w:val="0"/>
          <w:bCs w:val="0"/>
          <w:color w:val="auto"/>
          <w:sz w:val="24"/>
          <w:szCs w:val="24"/>
        </w:rPr>
        <w:t>Not applicable.</w:t>
      </w:r>
    </w:p>
    <w:p w14:paraId="5BF93368" w14:textId="77777777" w:rsidR="00B85822" w:rsidRPr="00A54056" w:rsidRDefault="00000000" w:rsidP="000600B3">
      <w:pPr>
        <w:pStyle w:val="Heading1"/>
        <w:spacing w:line="360" w:lineRule="auto"/>
        <w:jc w:val="both"/>
      </w:pPr>
      <w:r>
        <w:t>References</w:t>
      </w:r>
    </w:p>
    <w:p w14:paraId="0235F653" w14:textId="77777777" w:rsidR="00A6037F" w:rsidRDefault="00A6037F" w:rsidP="000600B3">
      <w:pPr>
        <w:spacing w:after="120" w:line="360" w:lineRule="auto"/>
      </w:pPr>
      <w:r>
        <w:t>Ajala, O., Adeoye, O., Salami, A., Adebayo, T., &amp; Hassan, S. (2025). Comparative machine learning approaches for forecasting daily carbon emissions across major economies. Environmental Science and Pollution Research. https://doi.org/10.1007/s11356-024-35764-8</w:t>
      </w:r>
    </w:p>
    <w:p w14:paraId="6B3783F3" w14:textId="77777777" w:rsidR="00A6037F" w:rsidRDefault="00A6037F" w:rsidP="000600B3">
      <w:pPr>
        <w:spacing w:after="120" w:line="360" w:lineRule="auto"/>
      </w:pPr>
      <w:r>
        <w:t>Angelotti, F., Hamada, E., Magalhães, E. E., &amp; Ghini, R. (2024). Climate change impacts on plant diseases and implications for agriculture. Plants, 13(17), 2447.</w:t>
      </w:r>
    </w:p>
    <w:p w14:paraId="4BCDEB27" w14:textId="77777777" w:rsidR="00A6037F" w:rsidRDefault="00A6037F" w:rsidP="000600B3">
      <w:pPr>
        <w:spacing w:after="120" w:line="360" w:lineRule="auto"/>
      </w:pPr>
      <w:r>
        <w:t>Arun, S., Kumar, P., &amp; Sharma, V. (2024). Deep learning-based IoT system for energy monitoring in existing buildings. Case Studies in Thermal Engineering, 55, 104867.</w:t>
      </w:r>
    </w:p>
    <w:p w14:paraId="35C31AE6" w14:textId="77777777" w:rsidR="00A6037F" w:rsidRDefault="00A6037F" w:rsidP="000600B3">
      <w:pPr>
        <w:spacing w:after="120" w:line="360" w:lineRule="auto"/>
      </w:pPr>
      <w:r>
        <w:t>Batjes, N. H., Ceschia, E., Heuvelink, G., Demenois, J., le Maire, G., Cardinael, R., Arias-Navarro, C., &amp; van Egmond, F. (2024). A modular framework for soil organic carbon monitoring, reporting and verification. Carbon Management, 15(1), 2410812.</w:t>
      </w:r>
    </w:p>
    <w:p w14:paraId="18EBBA55" w14:textId="77777777" w:rsidR="00A6037F" w:rsidRDefault="00A6037F" w:rsidP="000600B3">
      <w:pPr>
        <w:spacing w:after="120" w:line="360" w:lineRule="auto"/>
      </w:pPr>
      <w:r>
        <w:t>Brown, M., &amp; MacAskill, S. (2025). Advancing city-level carbon accounting and governance using digital carbon management platforms. Sustainable Cities and Society, 106, 106677.</w:t>
      </w:r>
    </w:p>
    <w:p w14:paraId="2657FB03" w14:textId="77777777" w:rsidR="00A6037F" w:rsidRDefault="00A6037F" w:rsidP="000600B3">
      <w:pPr>
        <w:spacing w:after="120" w:line="360" w:lineRule="auto"/>
      </w:pPr>
      <w:r>
        <w:t>Chakraborty, S., &amp; Newton, A. C. (2021). Climate change, plant diseases and food security: An overview. Plant Pathology, 70(5), 1023–1032.</w:t>
      </w:r>
    </w:p>
    <w:p w14:paraId="18457B68" w14:textId="77777777" w:rsidR="00A6037F" w:rsidRDefault="00A6037F" w:rsidP="000600B3">
      <w:pPr>
        <w:spacing w:after="120" w:line="360" w:lineRule="auto"/>
      </w:pPr>
      <w:r>
        <w:t>Chen, J., Guo, H., Zhang, Y., Wu, Z., &amp; Yang, F. (2024). Explainable deep learning framework for building carbon emission forecasting. Energy and Buildings, 307, 114159.</w:t>
      </w:r>
    </w:p>
    <w:p w14:paraId="3C9C0C0A" w14:textId="77777777" w:rsidR="00A6037F" w:rsidRDefault="00A6037F" w:rsidP="000600B3">
      <w:pPr>
        <w:spacing w:after="120" w:line="360" w:lineRule="auto"/>
      </w:pPr>
      <w:r>
        <w:t>Chen, Y., Chen, Z., &amp; Guo, Y. (2025). Provincial carbon emission peak prediction using STIRPAT and GA-BiLSTM hybrid modeling. Sustainability, 17(15), 6819.</w:t>
      </w:r>
    </w:p>
    <w:p w14:paraId="4986AB82" w14:textId="77777777" w:rsidR="00A6037F" w:rsidRDefault="00A6037F" w:rsidP="000600B3">
      <w:pPr>
        <w:spacing w:after="120" w:line="360" w:lineRule="auto"/>
      </w:pPr>
      <w:r>
        <w:t>Cordova, C., Zorio-Grima, A., &amp; Merello, P. (2021). Carbon accounting systems and governance factors influencing carbon performance in emerging economies. Corporate Governance, 21(6), 1241–1259.</w:t>
      </w:r>
    </w:p>
    <w:p w14:paraId="4E6E65D4" w14:textId="77777777" w:rsidR="00A6037F" w:rsidRDefault="00A6037F" w:rsidP="000600B3">
      <w:pPr>
        <w:spacing w:after="120" w:line="360" w:lineRule="auto"/>
      </w:pPr>
      <w:r>
        <w:t>Dadallage, D., Kim, D., Park, S., &amp; Lee, H. (2025). Real-time greenhouse gas monitoring system for dairy farming using IoT sensor networks. Journal of Dairy Science, 108(2), 862–874.</w:t>
      </w:r>
    </w:p>
    <w:p w14:paraId="7C455A6B" w14:textId="77777777" w:rsidR="00A6037F" w:rsidRDefault="00A6037F" w:rsidP="000600B3">
      <w:pPr>
        <w:spacing w:after="120" w:line="360" w:lineRule="auto"/>
      </w:pPr>
      <w:r>
        <w:lastRenderedPageBreak/>
        <w:t>Das, A. (2025). Artificial intelligence enabled smart buildings for energy efficiency and carbon reduction: A review. Energy and Buildings, 318, 114356.</w:t>
      </w:r>
    </w:p>
    <w:p w14:paraId="0BAAA400" w14:textId="77777777" w:rsidR="00A6037F" w:rsidRDefault="00A6037F" w:rsidP="000600B3">
      <w:pPr>
        <w:spacing w:after="120" w:line="360" w:lineRule="auto"/>
      </w:pPr>
      <w:r>
        <w:t>Di Gilio, A., Palmisani, J., Pulimeno, M., Cerino, F., Cacace, M., Miani, A., &amp; de Gennaro, G. (2021). CO₂ concentration monitoring in educational buildings as a strategic tool for environmental surveillance. Environmental Research, 202, 111560.</w:t>
      </w:r>
    </w:p>
    <w:p w14:paraId="2C62417C" w14:textId="77777777" w:rsidR="00A6037F" w:rsidRDefault="00A6037F" w:rsidP="000600B3">
      <w:pPr>
        <w:spacing w:after="120" w:line="360" w:lineRule="auto"/>
      </w:pPr>
      <w:r>
        <w:t>Ene Yalcın, S. (2024). Machine learning approaches for forecasting sectoral greenhouse gas emissions in Turkey. Systems, 12(12), 528.</w:t>
      </w:r>
    </w:p>
    <w:p w14:paraId="5076EF56" w14:textId="77777777" w:rsidR="00A6037F" w:rsidRDefault="00A6037F" w:rsidP="000600B3">
      <w:pPr>
        <w:spacing w:after="120" w:line="360" w:lineRule="auto"/>
      </w:pPr>
      <w:r>
        <w:t>Fay, C., &amp; Corcoran, B. (2024). Green IoT event detection for carbon-emission monitoring in sensor networks. Sensors, 24(1), 162.</w:t>
      </w:r>
    </w:p>
    <w:p w14:paraId="7DC8A668" w14:textId="77777777" w:rsidR="00A6037F" w:rsidRDefault="00A6037F" w:rsidP="000600B3">
      <w:pPr>
        <w:spacing w:after="120" w:line="360" w:lineRule="auto"/>
      </w:pPr>
      <w:r>
        <w:t>Franco, S., Melica, G., Treville, A., Baldi, S., Pisoni, E., Bertoldi, P., &amp; Thiel, C. (2022). Machine learning forecasting of greenhouse gas emissions in cities. Sustainable Cities and Society, 83, 104114.</w:t>
      </w:r>
    </w:p>
    <w:p w14:paraId="15A4E0C4" w14:textId="77777777" w:rsidR="00A6037F" w:rsidRDefault="00A6037F" w:rsidP="000600B3">
      <w:pPr>
        <w:spacing w:after="120" w:line="360" w:lineRule="auto"/>
      </w:pPr>
      <w:r>
        <w:t>Gabriel, M., Smith, J., Turner, D., &amp; Adams, R. (2024). Real-time CO₂ monitoring and behavioural interventions in residential buildings. Building and Environment, 248, 112040.</w:t>
      </w:r>
    </w:p>
    <w:p w14:paraId="714F71C7" w14:textId="77777777" w:rsidR="00A6037F" w:rsidRDefault="00A6037F" w:rsidP="000600B3">
      <w:pPr>
        <w:spacing w:after="120" w:line="360" w:lineRule="auto"/>
      </w:pPr>
      <w:r>
        <w:t>Gryech, I., Benlahmar, E., Zine-Dine, K., &amp; Hajar, M. (2024). Artificial intelligence approaches for environmental sustainability. Sustainability, 16(5), 2147.</w:t>
      </w:r>
    </w:p>
    <w:p w14:paraId="0FCCD070" w14:textId="77777777" w:rsidR="00A6037F" w:rsidRDefault="00A6037F" w:rsidP="000600B3">
      <w:pPr>
        <w:spacing w:after="120" w:line="360" w:lineRule="auto"/>
      </w:pPr>
      <w:r>
        <w:t>Han, J., Cui, Y., Xu, H., Wang, Y., &amp; Guo, Q. (2023). Hybrid CNN–LSTM deep learning model for provincial carbon emission forecasting. Sustainability, 15(18), 13934.</w:t>
      </w:r>
    </w:p>
    <w:p w14:paraId="3F6516F4" w14:textId="77777777" w:rsidR="00A6037F" w:rsidRDefault="00A6037F" w:rsidP="000600B3">
      <w:pPr>
        <w:spacing w:after="120" w:line="360" w:lineRule="auto"/>
      </w:pPr>
      <w:r>
        <w:t>He, L., Luo, L., Shamsuddin, A., &amp; Tang, Q. (2022). Corporate carbon accounting: A literature review of recent developments and future research directions. Accounting &amp; Finance, 62(1), 261–294.</w:t>
      </w:r>
    </w:p>
    <w:p w14:paraId="242E664F" w14:textId="77777777" w:rsidR="00A6037F" w:rsidRDefault="00A6037F" w:rsidP="000600B3">
      <w:pPr>
        <w:spacing w:after="120" w:line="360" w:lineRule="auto"/>
      </w:pPr>
      <w:r>
        <w:t>Hu, L., Wang, Q., Yang, X., &amp; Yang, J. (2024). PSO-LSTM hybrid model for forecasting building sector carbon emissions. Energies, 17(17), 4379.</w:t>
      </w:r>
    </w:p>
    <w:p w14:paraId="2317AC1C" w14:textId="77777777" w:rsidR="00A6037F" w:rsidRDefault="00A6037F" w:rsidP="000600B3">
      <w:pPr>
        <w:spacing w:after="120" w:line="360" w:lineRule="auto"/>
      </w:pPr>
      <w:r>
        <w:t>Jamei, E., Yaqoob, N., Farooque, A., Ali, M., Malik, A., Esau, T., &amp; Hu, B. (2025). Explainable artificial intelligence for predicting agricultural greenhouse gas emissions. Agricultural Technology, 7, 100709.</w:t>
      </w:r>
    </w:p>
    <w:p w14:paraId="5E32659E" w14:textId="77777777" w:rsidR="00A6037F" w:rsidRDefault="00A6037F" w:rsidP="000600B3">
      <w:pPr>
        <w:spacing w:after="120" w:line="360" w:lineRule="auto"/>
      </w:pPr>
      <w:r>
        <w:t>Kim, Y., Lee, J., Park, S., &amp; Choi, H. (2023). Occupancy estimation using IoT sensor data and machine learning for ventilation control. Sensors, 23(2), 585.</w:t>
      </w:r>
    </w:p>
    <w:p w14:paraId="4E71481F" w14:textId="77777777" w:rsidR="00A6037F" w:rsidRDefault="00A6037F" w:rsidP="000600B3">
      <w:pPr>
        <w:spacing w:after="120" w:line="360" w:lineRule="auto"/>
      </w:pPr>
      <w:r>
        <w:lastRenderedPageBreak/>
        <w:t xml:space="preserve">Kitchenham, B., Budgen, D., &amp; Brereton, P. (2021). Evidence-based software engineering: A systematic literature review update. </w:t>
      </w:r>
      <w:r>
        <w:rPr>
          <w:i/>
          <w:iCs/>
        </w:rPr>
        <w:t>Information and Software Technology</w:t>
      </w:r>
      <w:r>
        <w:t xml:space="preserve">, </w:t>
      </w:r>
      <w:r>
        <w:rPr>
          <w:i/>
          <w:iCs/>
        </w:rPr>
        <w:t>132</w:t>
      </w:r>
      <w:r>
        <w:t>, 106498. doi.org</w:t>
      </w:r>
    </w:p>
    <w:p w14:paraId="6AE8B26A" w14:textId="77777777" w:rsidR="00A6037F" w:rsidRDefault="00A6037F" w:rsidP="000600B3">
      <w:pPr>
        <w:spacing w:after="120" w:line="360" w:lineRule="auto"/>
      </w:pPr>
      <w:r>
        <w:t>Knapp, J., Stevenson, H., Renforth, P., et al. (2023). Multiproxy methods for measurement, reporting and verification of enhanced rock weathering carbon removal. Environmental Science &amp; Technology, 57(18), 6910–6920.</w:t>
      </w:r>
    </w:p>
    <w:p w14:paraId="7C116E96" w14:textId="77777777" w:rsidR="00A6037F" w:rsidRDefault="00A6037F" w:rsidP="000600B3">
      <w:pPr>
        <w:spacing w:after="120" w:line="360" w:lineRule="auto"/>
      </w:pPr>
      <w:r>
        <w:t>Kong, X., Song, Y., &amp; Yang, L. (2022). Two-stage feature selection and optimized extreme learning machine for carbon emission prediction. Environmental Science and Pollution Research, 29, 61428–61441.</w:t>
      </w:r>
    </w:p>
    <w:p w14:paraId="43CC67DA" w14:textId="77777777" w:rsidR="00A6037F" w:rsidRDefault="00A6037F" w:rsidP="000600B3">
      <w:pPr>
        <w:spacing w:after="120" w:line="360" w:lineRule="auto"/>
      </w:pPr>
      <w:r>
        <w:t>Körner, M., Leinauer, C., Ströher, J., &amp; Strüke r, J. (2025). Digital MRV systems for decarbonization and climate governance. Business &amp; Information Systems Engineering, 67(2), 193–208.</w:t>
      </w:r>
    </w:p>
    <w:p w14:paraId="13B8FDAD" w14:textId="77777777" w:rsidR="00A6037F" w:rsidRDefault="00A6037F" w:rsidP="000600B3">
      <w:pPr>
        <w:spacing w:after="120" w:line="360" w:lineRule="auto"/>
      </w:pPr>
      <w:r>
        <w:t>Kumari, S., &amp; Singh, A. (2023). Time-series machine learning models for forecasting carbon emissions in India. Environmental Science and Pollution Research, 30, 57321–57336.</w:t>
      </w:r>
    </w:p>
    <w:p w14:paraId="3AE88368" w14:textId="77777777" w:rsidR="00A6037F" w:rsidRDefault="00A6037F" w:rsidP="000600B3">
      <w:pPr>
        <w:spacing w:after="120" w:line="360" w:lineRule="auto"/>
      </w:pPr>
      <w:r>
        <w:t>Kuncoro, E., Amaris, A., &amp; Permana, D. (2022). Development of a wireless IoT node for monitoring carbon dioxide concentration in indoor environments. Applied Sciences, 12(21), 10784.</w:t>
      </w:r>
    </w:p>
    <w:p w14:paraId="0505F10B" w14:textId="77777777" w:rsidR="00A6037F" w:rsidRDefault="00A6037F" w:rsidP="000600B3">
      <w:pPr>
        <w:spacing w:after="120" w:line="360" w:lineRule="auto"/>
      </w:pPr>
      <w:r>
        <w:t>Lahlali, R., et al. (2024). Effects of climate change on plant pathogens and host–pathogen interactions. Plant Stress, 13, 100293.</w:t>
      </w:r>
    </w:p>
    <w:p w14:paraId="4FFCF8AE" w14:textId="77777777" w:rsidR="00A6037F" w:rsidRDefault="00A6037F" w:rsidP="000600B3">
      <w:pPr>
        <w:spacing w:after="120" w:line="360" w:lineRule="auto"/>
      </w:pPr>
      <w:r>
        <w:t>Li, Y., Jiang, Z., Lin, H., Chen, X., Weng, Z., &amp; Jim, C. (2025). BIM–IoT integrated platform for real-time carbon emission monitoring in prefabricated construction. Resources, Conservation and Recycling, 210, 108122.</w:t>
      </w:r>
    </w:p>
    <w:p w14:paraId="36DD0234" w14:textId="77777777" w:rsidR="00A6037F" w:rsidRDefault="00A6037F" w:rsidP="000600B3">
      <w:pPr>
        <w:spacing w:after="120" w:line="360" w:lineRule="auto"/>
      </w:pPr>
      <w:r>
        <w:t>Li, Y., Yang, X., Du, L., Liu, H., Zhang, Z., Yang, J., Zhang, Q., &amp; Liu, Y. (2024). Carbon accounting approaches in the electricity sector. Applied Energy, 356, 122681.</w:t>
      </w:r>
    </w:p>
    <w:p w14:paraId="57AA5A4F" w14:textId="77777777" w:rsidR="00A6037F" w:rsidRDefault="00A6037F" w:rsidP="000600B3">
      <w:pPr>
        <w:spacing w:after="120" w:line="360" w:lineRule="auto"/>
      </w:pPr>
      <w:r>
        <w:t>Li, Z., Fei, Y., Du, X., Ong, C., &amp; Arisian, S. (2024). Near real-time carbon accounting framework for maritime transport emissions. Transportation Research Part E, 185, 103724.</w:t>
      </w:r>
    </w:p>
    <w:p w14:paraId="3D57653C" w14:textId="77777777" w:rsidR="00A6037F" w:rsidRDefault="00A6037F" w:rsidP="000600B3">
      <w:pPr>
        <w:spacing w:after="120" w:line="360" w:lineRule="auto"/>
      </w:pPr>
      <w:r>
        <w:t>Li, Z., Shi, H., Li, Y., Xiao, X., Song, Y., Zhang, Z., Wang, J., Gu, Y., Liu, Z., &amp; Lai, C. (2024). Real-time carbon neutrality management system based on Modelx and MRV frameworks. Applied Energy, 362, 123763.</w:t>
      </w:r>
    </w:p>
    <w:p w14:paraId="5CD39526" w14:textId="77777777" w:rsidR="00A6037F" w:rsidRDefault="00A6037F" w:rsidP="000600B3">
      <w:pPr>
        <w:spacing w:after="120" w:line="360" w:lineRule="auto"/>
      </w:pPr>
      <w:r>
        <w:lastRenderedPageBreak/>
        <w:t>Luo, L., &amp; Tang, Q. (2021). Corporate climate risk awareness and the effectiveness of carbon accounting systems. Accounting &amp; Finance, 61(3), 4017–4043.</w:t>
      </w:r>
    </w:p>
    <w:p w14:paraId="3C0DB14A" w14:textId="77777777" w:rsidR="00A6037F" w:rsidRDefault="00A6037F" w:rsidP="000600B3">
      <w:pPr>
        <w:spacing w:after="120" w:line="360" w:lineRule="auto"/>
      </w:pPr>
      <w:r>
        <w:t>Luo, L., Shen, L., Liang, X., Sun, Y., &amp; Dong, X. (2024). Blockchain-enabled carbon monitoring and reporting system for solar photovoltaic projects. Journal of Cleaner Production, 430, 143456.</w:t>
      </w:r>
    </w:p>
    <w:p w14:paraId="74573F98" w14:textId="77777777" w:rsidR="00A6037F" w:rsidRDefault="00A6037F" w:rsidP="000600B3">
      <w:pPr>
        <w:spacing w:after="120" w:line="360" w:lineRule="auto"/>
      </w:pPr>
      <w:r>
        <w:t>Ma, Y., Zhou, J., &amp; Liu, Z. (2022). Internet of Things based environmental monitoring systems for smart cities. Sensors, 22(12), 4561.</w:t>
      </w:r>
    </w:p>
    <w:p w14:paraId="522F90A5" w14:textId="77777777" w:rsidR="00A6037F" w:rsidRDefault="00A6037F" w:rsidP="000600B3">
      <w:pPr>
        <w:spacing w:after="120" w:line="360" w:lineRule="auto"/>
      </w:pPr>
      <w:r>
        <w:t>Marquez-Zepeda, I., Rodriguez-Castro, R., &amp; Hernandez-Gomez, P. (2025). Low-cost IoT system with machine learning for indoor CO₂ concentration prediction. Mathematical and Computational Applications, 30(2), 36.</w:t>
      </w:r>
    </w:p>
    <w:p w14:paraId="05CCEF79" w14:textId="77777777" w:rsidR="00A6037F" w:rsidRDefault="00A6037F" w:rsidP="000600B3">
      <w:pPr>
        <w:spacing w:after="120" w:line="360" w:lineRule="auto"/>
      </w:pPr>
      <w:r>
        <w:t>Merlo, P., Mendonça, T., Santos, L., Carvalho, F., Guerra, J., &amp; Brandão, R. (2025). Blockchain applications in carbon markets and MRV systems. Carbon Footprints and Climate Change, 4(1), 260.</w:t>
      </w:r>
    </w:p>
    <w:p w14:paraId="220BAD28" w14:textId="77777777" w:rsidR="00A6037F" w:rsidRDefault="00A6037F" w:rsidP="000600B3">
      <w:pPr>
        <w:spacing w:after="120" w:line="360" w:lineRule="auto"/>
      </w:pPr>
      <w:r>
        <w:t>Mota, J., Fernandes, L., Pereira, M., &amp; Silva, R. (2025). IoT architecture for indoor air-quality monitoring using ESP32 and cloud data platforms. Sensors, 25(6), 1683.</w:t>
      </w:r>
    </w:p>
    <w:p w14:paraId="34FE93D9" w14:textId="77777777" w:rsidR="00A6037F" w:rsidRDefault="00A6037F" w:rsidP="000600B3">
      <w:pPr>
        <w:spacing w:after="120" w:line="360" w:lineRule="auto"/>
      </w:pPr>
      <w:r>
        <w:t>Ong, T., Kasbun, N., Teh, B., Muhamad, N., &amp; Javeed, S. (2021). Carbon accounting systems and carbon governance. Journal of Environmental Accounting and Management, 9(2), 145–158.</w:t>
      </w:r>
    </w:p>
    <w:p w14:paraId="257ACE24" w14:textId="77777777" w:rsidR="00A6037F" w:rsidRDefault="00A6037F" w:rsidP="000600B3">
      <w:pPr>
        <w:spacing w:after="120" w:line="360" w:lineRule="auto"/>
      </w:pPr>
      <w:r>
        <w:t>Page, M. J., McKenzie, J. E., Bossuyt, P. M., et al. (2021). The PRISMA 2020 statement: An updated guideline for reporting systematic reviews. BMJ, 372, n71.</w:t>
      </w:r>
    </w:p>
    <w:p w14:paraId="7342FA8A" w14:textId="77777777" w:rsidR="00A6037F" w:rsidRDefault="00A6037F" w:rsidP="000600B3">
      <w:pPr>
        <w:spacing w:after="120" w:line="360" w:lineRule="auto"/>
      </w:pPr>
      <w:r>
        <w:t>Perosa, A., Newton, P., Gil, J., et al. (2023). Monitoring, reporting and verification for low-carbon agriculture programs in Brazil. Environmental Science &amp; Policy, 141, 250–259.</w:t>
      </w:r>
    </w:p>
    <w:p w14:paraId="6B927A90" w14:textId="77777777" w:rsidR="00A6037F" w:rsidRDefault="00A6037F" w:rsidP="000600B3">
      <w:pPr>
        <w:spacing w:after="120" w:line="360" w:lineRule="auto"/>
      </w:pPr>
      <w:r>
        <w:t>Popescu, D., Stoican, F., Stamatescu, I., Ichim, L., &amp; Dragana, C. (2024). IoT-based smart environmental monitoring platform for greenhouse gas detection. Sensors, 24(9), 2847.</w:t>
      </w:r>
    </w:p>
    <w:p w14:paraId="6D74DF05" w14:textId="77777777" w:rsidR="00A6037F" w:rsidRDefault="00A6037F" w:rsidP="000600B3">
      <w:pPr>
        <w:spacing w:after="120" w:line="360" w:lineRule="auto"/>
      </w:pPr>
      <w:r>
        <w:t>Pourrahmani, E., Seifi, A., &amp; Salehi, F. (2025). Integration of IoT, AI and blockchain technologies for carbon sequestration monitoring systems. Journal of Environmental Management, 360, 120726.</w:t>
      </w:r>
    </w:p>
    <w:p w14:paraId="379CB4A2" w14:textId="77777777" w:rsidR="00A6037F" w:rsidRDefault="00A6037F" w:rsidP="000600B3">
      <w:pPr>
        <w:spacing w:after="120" w:line="360" w:lineRule="auto"/>
      </w:pPr>
      <w:r>
        <w:t>Reershemius, J., Kelland, M., Kantola, I., et al. (2023). Soil-based mass balance method for MRV of carbon sequestration in agricultural soils. Environmental Science &amp; Technology, 57(17), 6421–6430.</w:t>
      </w:r>
    </w:p>
    <w:p w14:paraId="11CA8166" w14:textId="77777777" w:rsidR="00A6037F" w:rsidRDefault="00A6037F" w:rsidP="000600B3">
      <w:pPr>
        <w:spacing w:after="120" w:line="360" w:lineRule="auto"/>
      </w:pPr>
      <w:r>
        <w:lastRenderedPageBreak/>
        <w:t>Rosenzweig, C., et al. (2020). Climate change and food systems: Impacts and adaptation. Global Food Security, 25, 100349.</w:t>
      </w:r>
    </w:p>
    <w:p w14:paraId="20D2D1AA" w14:textId="77777777" w:rsidR="00A6037F" w:rsidRDefault="00A6037F" w:rsidP="000600B3">
      <w:pPr>
        <w:spacing w:after="120" w:line="360" w:lineRule="auto"/>
      </w:pPr>
      <w:r>
        <w:t xml:space="preserve">Shah, M., et al. (2025). AI-driven predictive analytics for carbon emission reduction and anomaly detection in industrial settings. </w:t>
      </w:r>
      <w:r>
        <w:rPr>
          <w:i/>
          <w:iCs/>
        </w:rPr>
        <w:t>Journal of Environmental Management</w:t>
      </w:r>
      <w:r>
        <w:t>, 374, 121-135.</w:t>
      </w:r>
    </w:p>
    <w:p w14:paraId="52C235A8" w14:textId="77777777" w:rsidR="00A6037F" w:rsidRDefault="00A6037F" w:rsidP="000600B3">
      <w:pPr>
        <w:spacing w:after="120" w:line="360" w:lineRule="auto"/>
      </w:pPr>
      <w:r>
        <w:t>Singh, B. K., Delgado-Baquerizo, M., Egidi, E., &amp; Adler, P. B. (2023). Climate change impacts on plant pathogens, food security and ecosystems. Nature Reviews Microbiology, 21, 673–688.</w:t>
      </w:r>
    </w:p>
    <w:p w14:paraId="7F915222" w14:textId="77777777" w:rsidR="00A6037F" w:rsidRDefault="00A6037F" w:rsidP="000600B3">
      <w:pPr>
        <w:spacing w:after="120" w:line="360" w:lineRule="auto"/>
      </w:pPr>
      <w:r>
        <w:t>Skelsey, P., et al. (2020). Climate change impacts on plant disease epidemiology. Annual Review of Phytopathology, 58, 399–418.</w:t>
      </w:r>
    </w:p>
    <w:p w14:paraId="0508D5F8" w14:textId="77777777" w:rsidR="00A6037F" w:rsidRDefault="00A6037F" w:rsidP="000600B3">
      <w:pPr>
        <w:spacing w:after="120" w:line="360" w:lineRule="auto"/>
      </w:pPr>
      <w:r>
        <w:t>Skendžić, S., et al. (2021). The impact of climate change on agricultural insect pests. Insects, 12(5), 440.</w:t>
      </w:r>
    </w:p>
    <w:p w14:paraId="3F05490F" w14:textId="77777777" w:rsidR="00A6037F" w:rsidRDefault="00A6037F" w:rsidP="000600B3">
      <w:pPr>
        <w:spacing w:after="120" w:line="360" w:lineRule="auto"/>
      </w:pPr>
      <w:r>
        <w:t>Thornbush, M., &amp; Govind, K. (2025). Measurement, reporting and verification frameworks in dryland carbon trading systems. Sustainability, 17(24), 11001.</w:t>
      </w:r>
    </w:p>
    <w:p w14:paraId="48D0A69B" w14:textId="77777777" w:rsidR="00A6037F" w:rsidRDefault="00A6037F" w:rsidP="000600B3">
      <w:pPr>
        <w:spacing w:after="120" w:line="360" w:lineRule="auto"/>
      </w:pPr>
      <w:r>
        <w:t>Traub, C., Morillas, L., Gil, J., Álvarez, M., &amp; Martínez, A. (2025). Carbon integrity index for evaluating transparency in corporate carbon reporting. Sustainability, 17(17), 7628.</w:t>
      </w:r>
    </w:p>
    <w:p w14:paraId="07946034" w14:textId="77777777" w:rsidR="00A6037F" w:rsidRDefault="00A6037F" w:rsidP="000600B3">
      <w:pPr>
        <w:spacing w:after="120" w:line="360" w:lineRule="auto"/>
      </w:pPr>
      <w:r>
        <w:t>van Baaren, J., et al. (2025). Climate monitoring and reporting frameworks in environmental governance. Environmental Policy and Governance, 35(1), 15–29.</w:t>
      </w:r>
    </w:p>
    <w:p w14:paraId="623B60D6" w14:textId="77777777" w:rsidR="00A6037F" w:rsidRDefault="00A6037F" w:rsidP="000600B3">
      <w:pPr>
        <w:spacing w:after="120" w:line="360" w:lineRule="auto"/>
      </w:pPr>
      <w:r>
        <w:t>Wang, X., Tan, Y., Yu, L., Yu, H., Wang, J., &amp; Zhou, K. (2025). Deep hybrid extreme learning machine for building carbon emission forecasting. Energy Reports, 11, 214–226.</w:t>
      </w:r>
    </w:p>
    <w:p w14:paraId="1AFEE98E" w14:textId="77777777" w:rsidR="00A6037F" w:rsidRDefault="00A6037F" w:rsidP="000600B3">
      <w:pPr>
        <w:spacing w:after="120" w:line="360" w:lineRule="auto"/>
      </w:pPr>
      <w:r>
        <w:t xml:space="preserve">Wepprich, T., et al. (2025). </w:t>
      </w:r>
      <w:r>
        <w:rPr>
          <w:i/>
          <w:iCs/>
        </w:rPr>
        <w:t>Standardizing MRV frameworks for the voluntary carbon market: Challenges and opportunities for data interoperability</w:t>
      </w:r>
      <w:r>
        <w:t>. World Bank Climate Finance Knowledge Note Series</w:t>
      </w:r>
    </w:p>
    <w:p w14:paraId="4052B112" w14:textId="77777777" w:rsidR="00A6037F" w:rsidRDefault="00A6037F" w:rsidP="000600B3">
      <w:pPr>
        <w:spacing w:after="120" w:line="360" w:lineRule="auto"/>
      </w:pPr>
      <w:r>
        <w:t xml:space="preserve">van Baaren, J., et al. (2025). Digital Measuring, Reporting, and Verification (DMRV) for Decarbonization: A Review of Regulatory and Market Frameworks. Business &amp; Information Systems Engineering, 67(5), 753-765. </w:t>
      </w:r>
    </w:p>
    <w:p w14:paraId="3F5FDA21" w14:textId="77777777" w:rsidR="00A6037F" w:rsidRDefault="00A6037F" w:rsidP="000600B3">
      <w:pPr>
        <w:spacing w:after="120" w:line="360" w:lineRule="auto"/>
      </w:pPr>
      <w:r>
        <w:t>Wolf, S., Chang, H., Kantola, I., et al. (2024). Improving MRV methods for enhanced rock weathering carbon removal projects. Global Change Biology, 30(2), e17031.</w:t>
      </w:r>
    </w:p>
    <w:p w14:paraId="5B3FEE9E" w14:textId="77777777" w:rsidR="00A6037F" w:rsidRDefault="00A6037F" w:rsidP="000600B3">
      <w:pPr>
        <w:spacing w:after="120" w:line="360" w:lineRule="auto"/>
      </w:pPr>
      <w:r>
        <w:lastRenderedPageBreak/>
        <w:t>Woo, A., Fatima, T., Kibert, C., Newman, P., Tian, H., &amp; Srinivasan, R. (2021). Blockchain-based monitoring, reporting and verification systems for building carbon markets. Building and Environment, 205, 108199.</w:t>
      </w:r>
    </w:p>
    <w:p w14:paraId="3EB1F9F1" w14:textId="77777777" w:rsidR="00A6037F" w:rsidRDefault="00A6037F" w:rsidP="000600B3">
      <w:pPr>
        <w:spacing w:after="120" w:line="360" w:lineRule="auto"/>
      </w:pPr>
      <w:r>
        <w:t>Wu, X., Gao, Y., &amp; Li, Z. (2025). Real-time carbon monitoring technologies in the architecture, engineering and construction sector. Journal of Cleaner Production, 452, 141517.</w:t>
      </w:r>
    </w:p>
    <w:p w14:paraId="4CCE6486" w14:textId="77777777" w:rsidR="00A6037F" w:rsidRDefault="00A6037F" w:rsidP="000600B3">
      <w:pPr>
        <w:spacing w:after="120" w:line="360" w:lineRule="auto"/>
      </w:pPr>
      <w:r>
        <w:t xml:space="preserve">Xia, Q., Zhang, P., Huang, W., &amp; Chiu, T. K. F. (2025). The impact of generative AI on environmental monitoring and sustainability: A pattern mining approach. </w:t>
      </w:r>
      <w:r>
        <w:rPr>
          <w:i/>
          <w:iCs/>
        </w:rPr>
        <w:t>Asia Pacific Journal of Education</w:t>
      </w:r>
      <w:r>
        <w:t>, 45(2), 253-270. doi.org</w:t>
      </w:r>
    </w:p>
    <w:p w14:paraId="24F33795" w14:textId="77777777" w:rsidR="00A6037F" w:rsidRDefault="00A6037F" w:rsidP="000600B3">
      <w:pPr>
        <w:spacing w:after="120" w:line="360" w:lineRule="auto"/>
      </w:pPr>
      <w:r>
        <w:t>Xiao, H., Ghafoorpoor Yazdi, P., &amp; Thiede, S. (2025). Dynamic carbon mapping in smart factories using IoT sensor networks. Procedia CIRP, 122, 191–196.</w:t>
      </w:r>
    </w:p>
    <w:p w14:paraId="21A80CDF" w14:textId="77777777" w:rsidR="00A6037F" w:rsidRDefault="00A6037F" w:rsidP="000600B3">
      <w:pPr>
        <w:spacing w:after="120" w:line="360" w:lineRule="auto"/>
      </w:pPr>
      <w:r>
        <w:t>Xu, Y., Tao, Y., Das, M., Kwok, C., Liu, H., Kuan, S., Lau, T., &amp; Cheng, J. (2024). Blockchain-enabled carbon management framework for construction supply chains. Automation in Construction, 160, 102242.</w:t>
      </w:r>
    </w:p>
    <w:p w14:paraId="47029443" w14:textId="77777777" w:rsidR="00A6037F" w:rsidRDefault="00A6037F" w:rsidP="000600B3">
      <w:pPr>
        <w:spacing w:after="120" w:line="360" w:lineRule="auto"/>
      </w:pPr>
      <w:r>
        <w:t>Yan, B., Zhang, Y., Sun, X., &amp; Wang, Z. (2023). Convolutional neural networks for predicting operational carbon emissions during residential building design. Journal of Building Engineering, 74, 106994.</w:t>
      </w:r>
    </w:p>
    <w:p w14:paraId="48FEB298" w14:textId="77777777" w:rsidR="00A6037F" w:rsidRDefault="00A6037F" w:rsidP="000600B3">
      <w:pPr>
        <w:spacing w:after="120" w:line="360" w:lineRule="auto"/>
      </w:pPr>
      <w:r>
        <w:t>Yang, H., Chen, Y., Ke, L., He, J., Li, Z., Liu, F., &amp; Li, S. (2024). Random forest-based prediction of regional carbon emissions using scenario analysis. Sustainability, 16(23), 10450.</w:t>
      </w:r>
    </w:p>
    <w:p w14:paraId="6E164C67" w14:textId="77777777" w:rsidR="00A6037F" w:rsidRDefault="00A6037F" w:rsidP="000600B3">
      <w:pPr>
        <w:spacing w:after="120" w:line="360" w:lineRule="auto"/>
      </w:pPr>
      <w:r>
        <w:t>Yang, J. (2025). Artificial intelligence applications for carbon management in smart energy systems. Energy Reports, 11, 3612–3624.</w:t>
      </w:r>
    </w:p>
    <w:p w14:paraId="687E0DCB" w14:textId="77777777" w:rsidR="00A6037F" w:rsidRDefault="00A6037F" w:rsidP="000600B3">
      <w:pPr>
        <w:spacing w:after="120" w:line="360" w:lineRule="auto"/>
      </w:pPr>
      <w:r>
        <w:t>Yao, Y., &amp; Zhang, Y. (2025). Integrating life cycle assessment into MRV frameworks for carbon dioxide removal systems. Environmental Science &amp; Technology, 59(1), 117–125.</w:t>
      </w:r>
    </w:p>
    <w:p w14:paraId="46E400AF" w14:textId="77777777" w:rsidR="00A6037F" w:rsidRDefault="00A6037F" w:rsidP="000600B3">
      <w:pPr>
        <w:spacing w:after="120" w:line="360" w:lineRule="auto"/>
      </w:pPr>
      <w:r>
        <w:t>Zhao, X., Kou, P., Wang, Y., He, J., Xiong, J., Liu, H., &amp; Cui, Q. (2022). Machine learning prediction of carbon emissions in the Yellow River Basin using factor analysis. Sustainability, 14(10), 6153.</w:t>
      </w:r>
    </w:p>
    <w:p w14:paraId="33FB0E8B" w14:textId="77777777" w:rsidR="00A6037F" w:rsidRDefault="00A6037F" w:rsidP="000600B3">
      <w:pPr>
        <w:spacing w:after="120" w:line="360" w:lineRule="auto"/>
      </w:pPr>
      <w:r>
        <w:t>Zhu, Y., Al-Ahmed, A., Shakir, M., &amp; Olszewska, J. (2023). IoT-based carbon dioxide monitoring and prediction using LSTM networks. Electronics, 12(1), 107.</w:t>
      </w:r>
    </w:p>
    <w:p w14:paraId="4169C396" w14:textId="77777777" w:rsidR="00A6037F" w:rsidRDefault="00A6037F" w:rsidP="000600B3">
      <w:pPr>
        <w:spacing w:after="120" w:line="360" w:lineRule="auto"/>
      </w:pPr>
      <w:r>
        <w:lastRenderedPageBreak/>
        <w:t>AB &amp; David Africa. (2025). Zimbabwe’s Carbon Trading (General) Regulations Statutory Instrument 48 of 2025: A new dawn in climate action and market opportunities. Retrieved from https://abdavid.com</w:t>
      </w:r>
    </w:p>
    <w:p w14:paraId="11812A36" w14:textId="77777777" w:rsidR="00A6037F" w:rsidRDefault="00A6037F" w:rsidP="000600B3">
      <w:pPr>
        <w:spacing w:after="120" w:line="360" w:lineRule="auto"/>
      </w:pPr>
      <w:r>
        <w:t>Climate Analytics. (2024). Zimbabwe: Current situation. 1.5°C National Pathway Explorer. Retrieved from https://1p5ndc-pathways.climateanalytics.org/countries/zimbabwe/current-situation</w:t>
      </w:r>
    </w:p>
    <w:p w14:paraId="233D0F7E" w14:textId="77777777" w:rsidR="00A6037F" w:rsidRDefault="00A6037F" w:rsidP="000600B3">
      <w:pPr>
        <w:spacing w:after="120" w:line="360" w:lineRule="auto"/>
      </w:pPr>
      <w:r>
        <w:t>Government of Zimbabwe. (n.d.). Zimbabwe’s Initial National Communication to the United Nations Framework Convention on Climate Change. UNFCCC. Retrieved from https://unfccc.int/sites/default/files/resource/zimnc1.pdf</w:t>
      </w:r>
    </w:p>
    <w:p w14:paraId="78881F40" w14:textId="77777777" w:rsidR="00A6037F" w:rsidRDefault="00A6037F" w:rsidP="000600B3">
      <w:pPr>
        <w:spacing w:after="120" w:line="360" w:lineRule="auto"/>
      </w:pPr>
      <w:r>
        <w:t>Michalsons. (2024). Zimbabwe’s Cyber and Data Protection Act: Overview. Retrieved from https://www.michalsons.com/blog/zimbabwes-cyber-and-data-protection-act-overview/78795</w:t>
      </w:r>
    </w:p>
    <w:p w14:paraId="1923C939" w14:textId="77777777" w:rsidR="00A6037F" w:rsidRDefault="00A6037F" w:rsidP="000600B3">
      <w:pPr>
        <w:spacing w:after="120" w:line="360" w:lineRule="auto"/>
      </w:pPr>
      <w:r>
        <w:t>Swedwatch. (2026). Shortsighted and unjust carbon projects: A Zimbabwe case study. Retrieved from https://swedwatch.org/themes/shortsighted-and-unjust-carbon-projects-a-zimbabwe-case-study/</w:t>
      </w:r>
    </w:p>
    <w:p w14:paraId="0CEB43A3" w14:textId="77777777" w:rsidR="00A6037F" w:rsidRDefault="00A6037F" w:rsidP="000600B3">
      <w:pPr>
        <w:spacing w:after="120" w:line="360" w:lineRule="auto"/>
      </w:pPr>
      <w:r>
        <w:t>Zimbabwe. (2021). Cyber and Data Protection Act [Chapter 12:07]. Government of Zimbabwe. Retrieved from https://zimlii.org/akn/zw/act/2021/5/eng@2022-03-11</w:t>
      </w:r>
    </w:p>
    <w:p w14:paraId="388E72F9" w14:textId="77777777" w:rsidR="00B85822" w:rsidRDefault="00B85822" w:rsidP="000600B3">
      <w:pPr>
        <w:spacing w:after="120" w:line="360" w:lineRule="auto"/>
      </w:pPr>
    </w:p>
    <w:sectPr w:rsidR="00B85822" w:rsidSect="00AE00C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6C321" w14:textId="77777777" w:rsidR="00016A8E" w:rsidRDefault="00016A8E" w:rsidP="003420AC">
      <w:r>
        <w:separator/>
      </w:r>
    </w:p>
  </w:endnote>
  <w:endnote w:type="continuationSeparator" w:id="0">
    <w:p w14:paraId="4BA49715" w14:textId="77777777" w:rsidR="00016A8E" w:rsidRDefault="00016A8E" w:rsidP="0034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3127" w14:textId="77777777" w:rsidR="003420AC" w:rsidRDefault="00342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E729" w14:textId="77777777" w:rsidR="003420AC" w:rsidRDefault="003420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8D7C" w14:textId="77777777" w:rsidR="003420AC" w:rsidRDefault="00342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3F75E" w14:textId="77777777" w:rsidR="00016A8E" w:rsidRDefault="00016A8E" w:rsidP="003420AC">
      <w:r>
        <w:separator/>
      </w:r>
    </w:p>
  </w:footnote>
  <w:footnote w:type="continuationSeparator" w:id="0">
    <w:p w14:paraId="4CFFA0C2" w14:textId="77777777" w:rsidR="00016A8E" w:rsidRDefault="00016A8E" w:rsidP="0034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DABC" w14:textId="77777777" w:rsidR="003420AC" w:rsidRDefault="00342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6548" w14:textId="77777777" w:rsidR="003420AC" w:rsidRDefault="003420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E270" w14:textId="77777777" w:rsidR="003420AC" w:rsidRDefault="00342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F7E6F"/>
    <w:multiLevelType w:val="multilevel"/>
    <w:tmpl w:val="8C30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72516"/>
    <w:multiLevelType w:val="hybridMultilevel"/>
    <w:tmpl w:val="D0AE3BF6"/>
    <w:lvl w:ilvl="0" w:tplc="B592509C">
      <w:start w:val="1"/>
      <w:numFmt w:val="bullet"/>
      <w:lvlText w:val="•"/>
      <w:lvlJc w:val="left"/>
      <w:pPr>
        <w:ind w:left="720" w:hanging="360"/>
      </w:pPr>
    </w:lvl>
    <w:lvl w:ilvl="1" w:tplc="F6BE573C">
      <w:numFmt w:val="decimal"/>
      <w:lvlText w:val=""/>
      <w:lvlJc w:val="left"/>
    </w:lvl>
    <w:lvl w:ilvl="2" w:tplc="314C822C">
      <w:numFmt w:val="decimal"/>
      <w:lvlText w:val=""/>
      <w:lvlJc w:val="left"/>
    </w:lvl>
    <w:lvl w:ilvl="3" w:tplc="6E6CBFFE">
      <w:numFmt w:val="decimal"/>
      <w:lvlText w:val=""/>
      <w:lvlJc w:val="left"/>
    </w:lvl>
    <w:lvl w:ilvl="4" w:tplc="1F323986">
      <w:numFmt w:val="decimal"/>
      <w:lvlText w:val=""/>
      <w:lvlJc w:val="left"/>
    </w:lvl>
    <w:lvl w:ilvl="5" w:tplc="5700130A">
      <w:numFmt w:val="decimal"/>
      <w:lvlText w:val=""/>
      <w:lvlJc w:val="left"/>
    </w:lvl>
    <w:lvl w:ilvl="6" w:tplc="CC207F40">
      <w:numFmt w:val="decimal"/>
      <w:lvlText w:val=""/>
      <w:lvlJc w:val="left"/>
    </w:lvl>
    <w:lvl w:ilvl="7" w:tplc="2C4CBF1E">
      <w:numFmt w:val="decimal"/>
      <w:lvlText w:val=""/>
      <w:lvlJc w:val="left"/>
    </w:lvl>
    <w:lvl w:ilvl="8" w:tplc="6DDE3C7C">
      <w:numFmt w:val="decimal"/>
      <w:lvlText w:val=""/>
      <w:lvlJc w:val="left"/>
    </w:lvl>
  </w:abstractNum>
  <w:abstractNum w:abstractNumId="2" w15:restartNumberingAfterBreak="0">
    <w:nsid w:val="5C2F4E99"/>
    <w:multiLevelType w:val="multilevel"/>
    <w:tmpl w:val="FBBE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6F435E"/>
    <w:multiLevelType w:val="hybridMultilevel"/>
    <w:tmpl w:val="86FCE778"/>
    <w:lvl w:ilvl="0" w:tplc="76C6FDD6">
      <w:start w:val="1"/>
      <w:numFmt w:val="bullet"/>
      <w:lvlText w:val="●"/>
      <w:lvlJc w:val="left"/>
      <w:pPr>
        <w:ind w:left="720" w:hanging="360"/>
      </w:pPr>
    </w:lvl>
    <w:lvl w:ilvl="1" w:tplc="A3AA4174">
      <w:start w:val="1"/>
      <w:numFmt w:val="bullet"/>
      <w:lvlText w:val="○"/>
      <w:lvlJc w:val="left"/>
      <w:pPr>
        <w:ind w:left="1440" w:hanging="360"/>
      </w:pPr>
    </w:lvl>
    <w:lvl w:ilvl="2" w:tplc="6E92416C">
      <w:start w:val="1"/>
      <w:numFmt w:val="bullet"/>
      <w:lvlText w:val="■"/>
      <w:lvlJc w:val="left"/>
      <w:pPr>
        <w:ind w:left="2160" w:hanging="360"/>
      </w:pPr>
    </w:lvl>
    <w:lvl w:ilvl="3" w:tplc="38A8F6FA">
      <w:start w:val="1"/>
      <w:numFmt w:val="bullet"/>
      <w:lvlText w:val="●"/>
      <w:lvlJc w:val="left"/>
      <w:pPr>
        <w:ind w:left="2880" w:hanging="360"/>
      </w:pPr>
    </w:lvl>
    <w:lvl w:ilvl="4" w:tplc="94B6846C">
      <w:start w:val="1"/>
      <w:numFmt w:val="bullet"/>
      <w:lvlText w:val="○"/>
      <w:lvlJc w:val="left"/>
      <w:pPr>
        <w:ind w:left="3600" w:hanging="360"/>
      </w:pPr>
    </w:lvl>
    <w:lvl w:ilvl="5" w:tplc="989AE1FA">
      <w:start w:val="1"/>
      <w:numFmt w:val="bullet"/>
      <w:lvlText w:val="■"/>
      <w:lvlJc w:val="left"/>
      <w:pPr>
        <w:ind w:left="4320" w:hanging="360"/>
      </w:pPr>
    </w:lvl>
    <w:lvl w:ilvl="6" w:tplc="B450F2AC">
      <w:start w:val="1"/>
      <w:numFmt w:val="bullet"/>
      <w:lvlText w:val="●"/>
      <w:lvlJc w:val="left"/>
      <w:pPr>
        <w:ind w:left="5040" w:hanging="360"/>
      </w:pPr>
    </w:lvl>
    <w:lvl w:ilvl="7" w:tplc="33720FF0">
      <w:start w:val="1"/>
      <w:numFmt w:val="bullet"/>
      <w:lvlText w:val="●"/>
      <w:lvlJc w:val="left"/>
      <w:pPr>
        <w:ind w:left="5760" w:hanging="360"/>
      </w:pPr>
    </w:lvl>
    <w:lvl w:ilvl="8" w:tplc="EE2217CE">
      <w:start w:val="1"/>
      <w:numFmt w:val="bullet"/>
      <w:lvlText w:val="●"/>
      <w:lvlJc w:val="left"/>
      <w:pPr>
        <w:ind w:left="6480" w:hanging="360"/>
      </w:pPr>
    </w:lvl>
  </w:abstractNum>
  <w:abstractNum w:abstractNumId="4" w15:restartNumberingAfterBreak="0">
    <w:nsid w:val="7FA369BE"/>
    <w:multiLevelType w:val="hybridMultilevel"/>
    <w:tmpl w:val="CEC4DB5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16cid:durableId="1302661281">
    <w:abstractNumId w:val="3"/>
    <w:lvlOverride w:ilvl="0">
      <w:startOverride w:val="1"/>
    </w:lvlOverride>
  </w:num>
  <w:num w:numId="2" w16cid:durableId="1547790260">
    <w:abstractNumId w:val="1"/>
    <w:lvlOverride w:ilvl="0">
      <w:startOverride w:val="1"/>
    </w:lvlOverride>
  </w:num>
  <w:num w:numId="3" w16cid:durableId="1419330752">
    <w:abstractNumId w:val="0"/>
  </w:num>
  <w:num w:numId="4" w16cid:durableId="1146975771">
    <w:abstractNumId w:val="2"/>
  </w:num>
  <w:num w:numId="5" w16cid:durableId="1981837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22"/>
    <w:rsid w:val="0000010A"/>
    <w:rsid w:val="00005DD3"/>
    <w:rsid w:val="00006719"/>
    <w:rsid w:val="00016A8E"/>
    <w:rsid w:val="00032865"/>
    <w:rsid w:val="00041787"/>
    <w:rsid w:val="000600B3"/>
    <w:rsid w:val="000807C0"/>
    <w:rsid w:val="000867A6"/>
    <w:rsid w:val="0009416E"/>
    <w:rsid w:val="00094B36"/>
    <w:rsid w:val="000A4F6A"/>
    <w:rsid w:val="000C66BA"/>
    <w:rsid w:val="000C6DD6"/>
    <w:rsid w:val="000D2633"/>
    <w:rsid w:val="000E10B9"/>
    <w:rsid w:val="000F128E"/>
    <w:rsid w:val="0010018D"/>
    <w:rsid w:val="001063F6"/>
    <w:rsid w:val="001162AD"/>
    <w:rsid w:val="00120200"/>
    <w:rsid w:val="00126BB2"/>
    <w:rsid w:val="00185575"/>
    <w:rsid w:val="001865EB"/>
    <w:rsid w:val="00191555"/>
    <w:rsid w:val="001A5EA8"/>
    <w:rsid w:val="001B2A5B"/>
    <w:rsid w:val="001F5895"/>
    <w:rsid w:val="00200B65"/>
    <w:rsid w:val="00202985"/>
    <w:rsid w:val="00212209"/>
    <w:rsid w:val="002250CB"/>
    <w:rsid w:val="00232F02"/>
    <w:rsid w:val="00233E34"/>
    <w:rsid w:val="00235EB6"/>
    <w:rsid w:val="00252070"/>
    <w:rsid w:val="00262D7E"/>
    <w:rsid w:val="00265BED"/>
    <w:rsid w:val="00287169"/>
    <w:rsid w:val="002D307E"/>
    <w:rsid w:val="002D47D3"/>
    <w:rsid w:val="002D6C71"/>
    <w:rsid w:val="002E0359"/>
    <w:rsid w:val="002E2449"/>
    <w:rsid w:val="002E6B06"/>
    <w:rsid w:val="002F7D6F"/>
    <w:rsid w:val="00326461"/>
    <w:rsid w:val="003420AC"/>
    <w:rsid w:val="00343330"/>
    <w:rsid w:val="003453FF"/>
    <w:rsid w:val="00352016"/>
    <w:rsid w:val="00352B57"/>
    <w:rsid w:val="00382E74"/>
    <w:rsid w:val="003C6C91"/>
    <w:rsid w:val="003D0060"/>
    <w:rsid w:val="003E1205"/>
    <w:rsid w:val="003E34B2"/>
    <w:rsid w:val="003F6E9F"/>
    <w:rsid w:val="003F7998"/>
    <w:rsid w:val="004018DC"/>
    <w:rsid w:val="00417BAB"/>
    <w:rsid w:val="004206F0"/>
    <w:rsid w:val="00426A3B"/>
    <w:rsid w:val="00435A0E"/>
    <w:rsid w:val="004424F0"/>
    <w:rsid w:val="004478F1"/>
    <w:rsid w:val="00451DD8"/>
    <w:rsid w:val="00453CA7"/>
    <w:rsid w:val="00455B9E"/>
    <w:rsid w:val="004962E3"/>
    <w:rsid w:val="004D34B1"/>
    <w:rsid w:val="00512835"/>
    <w:rsid w:val="00526A64"/>
    <w:rsid w:val="005462DA"/>
    <w:rsid w:val="00563F61"/>
    <w:rsid w:val="00581868"/>
    <w:rsid w:val="00582FBD"/>
    <w:rsid w:val="00585E02"/>
    <w:rsid w:val="005878EB"/>
    <w:rsid w:val="00593943"/>
    <w:rsid w:val="005A69DB"/>
    <w:rsid w:val="005C2067"/>
    <w:rsid w:val="005C4E69"/>
    <w:rsid w:val="005F1785"/>
    <w:rsid w:val="005F1A30"/>
    <w:rsid w:val="005F306B"/>
    <w:rsid w:val="005F7645"/>
    <w:rsid w:val="006218BD"/>
    <w:rsid w:val="006455F8"/>
    <w:rsid w:val="00662F77"/>
    <w:rsid w:val="006647F8"/>
    <w:rsid w:val="006665D2"/>
    <w:rsid w:val="00684D78"/>
    <w:rsid w:val="0069230D"/>
    <w:rsid w:val="006A1DA9"/>
    <w:rsid w:val="006A4F4A"/>
    <w:rsid w:val="006B02B3"/>
    <w:rsid w:val="006D0B1B"/>
    <w:rsid w:val="006D1E35"/>
    <w:rsid w:val="006D307B"/>
    <w:rsid w:val="006D3BF6"/>
    <w:rsid w:val="00700514"/>
    <w:rsid w:val="0070068C"/>
    <w:rsid w:val="00722047"/>
    <w:rsid w:val="00733A0C"/>
    <w:rsid w:val="00755D20"/>
    <w:rsid w:val="00774922"/>
    <w:rsid w:val="00776CEE"/>
    <w:rsid w:val="00790CCB"/>
    <w:rsid w:val="00797D9E"/>
    <w:rsid w:val="007A0F25"/>
    <w:rsid w:val="007A3473"/>
    <w:rsid w:val="007C77D7"/>
    <w:rsid w:val="007D506E"/>
    <w:rsid w:val="007F4C8E"/>
    <w:rsid w:val="00802599"/>
    <w:rsid w:val="00807321"/>
    <w:rsid w:val="00811C2D"/>
    <w:rsid w:val="00820421"/>
    <w:rsid w:val="00821935"/>
    <w:rsid w:val="00832EAA"/>
    <w:rsid w:val="008373D0"/>
    <w:rsid w:val="00844D27"/>
    <w:rsid w:val="008474E3"/>
    <w:rsid w:val="00855636"/>
    <w:rsid w:val="00880923"/>
    <w:rsid w:val="00882009"/>
    <w:rsid w:val="00891942"/>
    <w:rsid w:val="008964C0"/>
    <w:rsid w:val="008A2A0C"/>
    <w:rsid w:val="008C5027"/>
    <w:rsid w:val="008C5606"/>
    <w:rsid w:val="008F5093"/>
    <w:rsid w:val="00910FC1"/>
    <w:rsid w:val="009145F6"/>
    <w:rsid w:val="00921A7B"/>
    <w:rsid w:val="00925F22"/>
    <w:rsid w:val="00933F05"/>
    <w:rsid w:val="009430D5"/>
    <w:rsid w:val="009445A2"/>
    <w:rsid w:val="0095189C"/>
    <w:rsid w:val="00973BD8"/>
    <w:rsid w:val="00996D07"/>
    <w:rsid w:val="009A2CF4"/>
    <w:rsid w:val="009A4FBD"/>
    <w:rsid w:val="009A5643"/>
    <w:rsid w:val="009B00E3"/>
    <w:rsid w:val="009D2562"/>
    <w:rsid w:val="009E24F2"/>
    <w:rsid w:val="009E52A6"/>
    <w:rsid w:val="00A11235"/>
    <w:rsid w:val="00A40545"/>
    <w:rsid w:val="00A45906"/>
    <w:rsid w:val="00A45E91"/>
    <w:rsid w:val="00A54056"/>
    <w:rsid w:val="00A56D13"/>
    <w:rsid w:val="00A6037F"/>
    <w:rsid w:val="00A62820"/>
    <w:rsid w:val="00A96C0F"/>
    <w:rsid w:val="00A97D82"/>
    <w:rsid w:val="00AA54BC"/>
    <w:rsid w:val="00AB5E97"/>
    <w:rsid w:val="00AC6DA9"/>
    <w:rsid w:val="00AD1FB8"/>
    <w:rsid w:val="00AD438A"/>
    <w:rsid w:val="00AD709D"/>
    <w:rsid w:val="00AD70E4"/>
    <w:rsid w:val="00AE00C9"/>
    <w:rsid w:val="00B212F2"/>
    <w:rsid w:val="00B24ED9"/>
    <w:rsid w:val="00B3285F"/>
    <w:rsid w:val="00B4309F"/>
    <w:rsid w:val="00B85822"/>
    <w:rsid w:val="00B872B5"/>
    <w:rsid w:val="00B95B99"/>
    <w:rsid w:val="00BA145C"/>
    <w:rsid w:val="00BA58AB"/>
    <w:rsid w:val="00BF48A9"/>
    <w:rsid w:val="00BF6B85"/>
    <w:rsid w:val="00C02E83"/>
    <w:rsid w:val="00C0392B"/>
    <w:rsid w:val="00C2542C"/>
    <w:rsid w:val="00C25BB1"/>
    <w:rsid w:val="00C26415"/>
    <w:rsid w:val="00C414D6"/>
    <w:rsid w:val="00C772E6"/>
    <w:rsid w:val="00C820B3"/>
    <w:rsid w:val="00C86D46"/>
    <w:rsid w:val="00C91F13"/>
    <w:rsid w:val="00C97DB3"/>
    <w:rsid w:val="00CA0A16"/>
    <w:rsid w:val="00CB0ED4"/>
    <w:rsid w:val="00CF1E28"/>
    <w:rsid w:val="00D04B0F"/>
    <w:rsid w:val="00D100D4"/>
    <w:rsid w:val="00D11C23"/>
    <w:rsid w:val="00D21C6E"/>
    <w:rsid w:val="00D34D0E"/>
    <w:rsid w:val="00D35D17"/>
    <w:rsid w:val="00D67BAC"/>
    <w:rsid w:val="00D70135"/>
    <w:rsid w:val="00D86185"/>
    <w:rsid w:val="00D86851"/>
    <w:rsid w:val="00DA289F"/>
    <w:rsid w:val="00DB3142"/>
    <w:rsid w:val="00DD0341"/>
    <w:rsid w:val="00E27BA8"/>
    <w:rsid w:val="00E320F2"/>
    <w:rsid w:val="00E431FB"/>
    <w:rsid w:val="00E442E4"/>
    <w:rsid w:val="00E4600B"/>
    <w:rsid w:val="00E83106"/>
    <w:rsid w:val="00E846B1"/>
    <w:rsid w:val="00E8497C"/>
    <w:rsid w:val="00E849AC"/>
    <w:rsid w:val="00EB5B10"/>
    <w:rsid w:val="00EC284E"/>
    <w:rsid w:val="00EE3C50"/>
    <w:rsid w:val="00F23A89"/>
    <w:rsid w:val="00F42FAE"/>
    <w:rsid w:val="00F56A6F"/>
    <w:rsid w:val="00F64B99"/>
    <w:rsid w:val="00F6609F"/>
    <w:rsid w:val="00F81B10"/>
    <w:rsid w:val="00F83B29"/>
    <w:rsid w:val="00F87FA0"/>
    <w:rsid w:val="00F92B0F"/>
    <w:rsid w:val="00F9621F"/>
    <w:rsid w:val="00FA56AC"/>
    <w:rsid w:val="00FB0554"/>
    <w:rsid w:val="00FB584B"/>
    <w:rsid w:val="00FB648F"/>
    <w:rsid w:val="00FC6CA4"/>
    <w:rsid w:val="00FC703A"/>
    <w:rsid w:val="00FD3B8E"/>
    <w:rsid w:val="00FD71AC"/>
    <w:rsid w:val="00FD775D"/>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89094"/>
  <w15:docId w15:val="{3A1E2423-93A1-4C15-97AF-6AC6DD97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Z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CEE"/>
    <w:pPr>
      <w:jc w:val="both"/>
    </w:pPr>
  </w:style>
  <w:style w:type="paragraph" w:styleId="Heading1">
    <w:name w:val="heading 1"/>
    <w:uiPriority w:val="9"/>
    <w:qFormat/>
    <w:pPr>
      <w:spacing w:before="320" w:after="120"/>
      <w:outlineLvl w:val="0"/>
    </w:pPr>
    <w:rPr>
      <w:b/>
      <w:bCs/>
      <w:color w:val="2E5090"/>
      <w:sz w:val="28"/>
      <w:szCs w:val="28"/>
    </w:rPr>
  </w:style>
  <w:style w:type="paragraph" w:styleId="Heading2">
    <w:name w:val="heading 2"/>
    <w:uiPriority w:val="9"/>
    <w:unhideWhenUsed/>
    <w:qFormat/>
    <w:pPr>
      <w:spacing w:before="240" w:after="80"/>
      <w:outlineLvl w:val="1"/>
    </w:pPr>
    <w:rPr>
      <w:b/>
      <w:bCs/>
      <w:color w:val="2E5090"/>
    </w:rPr>
  </w:style>
  <w:style w:type="paragraph" w:styleId="Heading3">
    <w:name w:val="heading 3"/>
    <w:uiPriority w:val="9"/>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8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1935"/>
    <w:rPr>
      <w:color w:val="605E5C"/>
      <w:shd w:val="clear" w:color="auto" w:fill="E1DFDD"/>
    </w:rPr>
  </w:style>
  <w:style w:type="character" w:styleId="LineNumber">
    <w:name w:val="line number"/>
    <w:basedOn w:val="DefaultParagraphFont"/>
    <w:uiPriority w:val="99"/>
    <w:semiHidden/>
    <w:unhideWhenUsed/>
    <w:rsid w:val="004424F0"/>
  </w:style>
  <w:style w:type="table" w:styleId="PlainTable1">
    <w:name w:val="Plain Table 1"/>
    <w:basedOn w:val="TableNormal"/>
    <w:uiPriority w:val="41"/>
    <w:rsid w:val="00D11C2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AE00C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E00C9"/>
    <w:rPr>
      <w:rFonts w:asciiTheme="minorHAnsi" w:eastAsiaTheme="minorEastAsia" w:hAnsiTheme="minorHAnsi" w:cstheme="minorBidi"/>
      <w:sz w:val="22"/>
      <w:szCs w:val="22"/>
      <w:lang w:val="en-US" w:eastAsia="en-US"/>
    </w:rPr>
  </w:style>
  <w:style w:type="table" w:styleId="ListTable1Light-Accent1">
    <w:name w:val="List Table 1 Light Accent 1"/>
    <w:basedOn w:val="TableNormal"/>
    <w:uiPriority w:val="46"/>
    <w:rsid w:val="00AE00C9"/>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GridLight">
    <w:name w:val="Grid Table Light"/>
    <w:basedOn w:val="TableNormal"/>
    <w:uiPriority w:val="40"/>
    <w:rsid w:val="00453CA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80259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nt-claude-response-body">
    <w:name w:val="font-claude-response-body"/>
    <w:basedOn w:val="Normal"/>
    <w:rsid w:val="007F4C8E"/>
    <w:pPr>
      <w:spacing w:before="100" w:beforeAutospacing="1" w:after="100" w:afterAutospacing="1"/>
    </w:pPr>
  </w:style>
  <w:style w:type="character" w:styleId="Emphasis">
    <w:name w:val="Emphasis"/>
    <w:basedOn w:val="DefaultParagraphFont"/>
    <w:uiPriority w:val="20"/>
    <w:qFormat/>
    <w:rsid w:val="007F4C8E"/>
    <w:rPr>
      <w:i/>
      <w:iCs/>
    </w:rPr>
  </w:style>
  <w:style w:type="character" w:styleId="Strong">
    <w:name w:val="Strong"/>
    <w:basedOn w:val="DefaultParagraphFont"/>
    <w:uiPriority w:val="22"/>
    <w:qFormat/>
    <w:rsid w:val="007F4C8E"/>
    <w:rPr>
      <w:b/>
      <w:bCs/>
    </w:rPr>
  </w:style>
  <w:style w:type="paragraph" w:styleId="Header">
    <w:name w:val="header"/>
    <w:basedOn w:val="Normal"/>
    <w:link w:val="HeaderChar"/>
    <w:uiPriority w:val="99"/>
    <w:unhideWhenUsed/>
    <w:rsid w:val="003420AC"/>
    <w:pPr>
      <w:tabs>
        <w:tab w:val="center" w:pos="4680"/>
        <w:tab w:val="right" w:pos="9360"/>
      </w:tabs>
    </w:pPr>
  </w:style>
  <w:style w:type="character" w:customStyle="1" w:styleId="HeaderChar">
    <w:name w:val="Header Char"/>
    <w:basedOn w:val="DefaultParagraphFont"/>
    <w:link w:val="Header"/>
    <w:uiPriority w:val="99"/>
    <w:rsid w:val="003420AC"/>
  </w:style>
  <w:style w:type="paragraph" w:styleId="Footer">
    <w:name w:val="footer"/>
    <w:basedOn w:val="Normal"/>
    <w:link w:val="FooterChar"/>
    <w:uiPriority w:val="99"/>
    <w:unhideWhenUsed/>
    <w:rsid w:val="003420AC"/>
    <w:pPr>
      <w:tabs>
        <w:tab w:val="center" w:pos="4680"/>
        <w:tab w:val="right" w:pos="9360"/>
      </w:tabs>
    </w:pPr>
  </w:style>
  <w:style w:type="character" w:customStyle="1" w:styleId="FooterChar">
    <w:name w:val="Footer Char"/>
    <w:basedOn w:val="DefaultParagraphFont"/>
    <w:link w:val="Footer"/>
    <w:uiPriority w:val="99"/>
    <w:rsid w:val="00342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60" row="1">
    <wetp:webextensionref xmlns:r="http://schemas.openxmlformats.org/officeDocument/2006/relationships" r:id="rId1"/>
  </wetp:taskpane>
  <wetp:taskpane dockstate="right" visibility="0" width="438"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DE81688-8CD9-4B74-8ADA-E91E58CD02D4}">
  <we:reference id="wa200010453" version="1.0.0.1" store="en-US" storeType="OMEX"/>
  <we:alternateReferences>
    <we:reference id="WA200010453" version="1.0.0.1" store="WA200010453" storeType="OMEX"/>
  </we:alternateReferences>
  <we:properties>
    <we:property name="claude.fileId" value="&quot;01005d31-6d7d-48e6-a519-2afed4dbdb0a&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BD085E4B-30D0-44FC-89F8-822FD8F40BD4}">
  <we:reference id="WA200005669" version="2.0.0.0" store="Omex"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growing urgency of climate change mitigation has increased pressure to develop reliable systems capable of monitoring and predicting carbon emissions. Conventional carbon accounting methods based on manual reporting and periodic environmental assessments frequently produce delayed and incomplete emissions data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D234ED-D4F2-423B-93DF-6815A52DE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2832</TotalTime>
  <Pages>54</Pages>
  <Words>17383</Words>
  <Characters>99085</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Internet of Things and Artificial Intelligence for Carbon Emissions Monitoring and Forecasting</vt:lpstr>
    </vt:vector>
  </TitlesOfParts>
  <Company/>
  <LinksUpToDate>false</LinksUpToDate>
  <CharactersWithSpaces>116236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of Things and Artificial Intelligence for Carbon Emissions Monitoring and Forecasting</dc:title>
  <dc:subject>A SYSTEMATIC REVIEW OF SMART ENVIRONMENTAL ACCOUNTING SYSTEMS</dc:subject>
  <dc:creator>Un-named</dc:creator>
  <cp:lastModifiedBy>Chisale</cp:lastModifiedBy>
  <cp:revision>23</cp:revision>
  <dcterms:created xsi:type="dcterms:W3CDTF">2026-05-29T07:16:00Z</dcterms:created>
  <dcterms:modified xsi:type="dcterms:W3CDTF">2026-05-31T13:23:00Z</dcterms:modified>
</cp:coreProperties>
</file>