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683A" w14:textId="73051524" w:rsidR="00EC1B16" w:rsidRPr="003B0DCC" w:rsidRDefault="00F24E1C">
      <w:pPr>
        <w:spacing w:before="240" w:after="60"/>
        <w:jc w:val="center"/>
        <w:rPr>
          <w:rFonts w:ascii="Times New Roman" w:hAnsi="Times New Roman" w:cs="Times New Roman"/>
          <w:sz w:val="32"/>
          <w:szCs w:val="32"/>
        </w:rPr>
      </w:pPr>
      <w:r w:rsidRPr="003B0DCC">
        <w:rPr>
          <w:rFonts w:ascii="Times New Roman" w:hAnsi="Times New Roman" w:cs="Times New Roman"/>
          <w:b/>
          <w:bCs/>
          <w:sz w:val="32"/>
          <w:szCs w:val="32"/>
        </w:rPr>
        <w:t>Seismic Performance of Reinforced Concrete High-Rise Buildings</w:t>
      </w:r>
    </w:p>
    <w:p w14:paraId="5048D80D" w14:textId="1BE9BE47" w:rsidR="00EC1B16" w:rsidRPr="003B0DCC" w:rsidRDefault="00F24E1C" w:rsidP="00F24E1C">
      <w:pPr>
        <w:spacing w:after="60"/>
        <w:jc w:val="center"/>
        <w:rPr>
          <w:rFonts w:ascii="Times New Roman" w:hAnsi="Times New Roman" w:cs="Times New Roman"/>
          <w:b/>
          <w:bCs/>
          <w:sz w:val="32"/>
          <w:szCs w:val="32"/>
        </w:rPr>
      </w:pPr>
      <w:r w:rsidRPr="003B0DCC">
        <w:rPr>
          <w:rFonts w:ascii="Times New Roman" w:hAnsi="Times New Roman" w:cs="Times New Roman"/>
          <w:b/>
          <w:bCs/>
          <w:sz w:val="32"/>
          <w:szCs w:val="32"/>
        </w:rPr>
        <w:t/>
      </w:r>
      <w:r w:rsidRPr="003B0DCC">
        <w:rPr>
          <w:rFonts w:ascii="Times New Roman" w:hAnsi="Times New Roman" w:cs="Times New Roman"/>
          <w:i/>
          <w:iCs/>
          <w:sz w:val="32"/>
          <w:szCs w:val="32"/>
        </w:rPr>
        <w:t xml:space="preserve"/>
      </w:r>
      <w:r w:rsidRPr="003B0DCC">
        <w:rPr>
          <w:rFonts w:ascii="Times New Roman" w:hAnsi="Times New Roman" w:cs="Times New Roman"/>
          <w:b/>
          <w:bCs/>
          <w:sz w:val="32"/>
          <w:szCs w:val="32"/>
        </w:rPr>
        <w:t/>
      </w:r>
    </w:p>
    <w:p w14:paraId="4D101DBE" w14:textId="77777777" w:rsidR="003B0DCC" w:rsidRPr="003B0DCC" w:rsidRDefault="003B0DCC" w:rsidP="003B0DCC">
      <w:pPr>
        <w:jc w:val="center"/>
      </w:pPr>
      <w:r w:rsidRPr="003B0DCC">
        <w:t/>
      </w:r>
    </w:p>
    <w:p w14:paraId="7E51E48D" w14:textId="77777777" w:rsidR="003B0DCC" w:rsidRPr="003B0DCC" w:rsidRDefault="003B0DCC" w:rsidP="003B0DCC">
      <w:pPr>
        <w:jc w:val="center"/>
      </w:pPr>
      <w:r w:rsidRPr="003B0DCC">
        <w:t/>
      </w:r>
    </w:p>
    <w:p w14:paraId="26B9EFF5" w14:textId="77777777" w:rsidR="003B0DCC" w:rsidRPr="003B0DCC" w:rsidRDefault="003B0DCC" w:rsidP="003B0DCC">
      <w:pPr>
        <w:jc w:val="center"/>
      </w:pPr>
      <w:r w:rsidRPr="003B0DCC">
        <w:t/>
      </w:r>
    </w:p>
    <w:p w14:paraId="463751DC" w14:textId="77777777" w:rsidR="003B0DCC" w:rsidRPr="003B0DCC" w:rsidRDefault="003B0DCC" w:rsidP="003B0DCC">
      <w:pPr>
        <w:jc w:val="center"/>
      </w:pPr>
      <w:r w:rsidRPr="003B0DCC">
        <w:t xml:space="preserve"/>
      </w:r>
      <w:proofErr w:type="spellStart"/>
      <w:r w:rsidRPr="003B0DCC">
        <w:t/>
      </w:r>
      <w:proofErr w:type="spellEnd"/>
      <w:r w:rsidRPr="003B0DCC">
        <w:t xml:space="preserve"/>
      </w:r>
    </w:p>
    <w:p w14:paraId="534C462E" w14:textId="77777777" w:rsidR="003B0DCC" w:rsidRPr="003B0DCC" w:rsidRDefault="003B0DCC" w:rsidP="003B0DCC">
      <w:pPr>
        <w:jc w:val="center"/>
        <w:rPr>
          <w:rFonts w:ascii="Courier New" w:hAnsi="Courier New" w:cs="Courier New"/>
        </w:rPr>
      </w:pPr>
      <w:r w:rsidRPr="003B0DCC">
        <w:rPr>
          <w:rFonts w:ascii="Courier New" w:hAnsi="Courier New" w:cs="Courier New"/>
        </w:rPr>
        <w:t/>
      </w:r>
    </w:p>
    <w:p w14:paraId="55DCA5D7" w14:textId="77777777" w:rsidR="00EC1B16" w:rsidRPr="003B0DCC" w:rsidRDefault="00EC1B16">
      <w:pPr>
        <w:pBdr>
          <w:bottom w:val="single" w:sz="12" w:space="2" w:color="1F4E79"/>
        </w:pBdr>
      </w:pPr>
    </w:p>
    <w:p w14:paraId="0CD30F63" w14:textId="77777777" w:rsidR="00EC1B16" w:rsidRPr="003B0DCC" w:rsidRDefault="00EC1B16">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C1B16" w:rsidRPr="003B0DCC" w14:paraId="5254BB85" w14:textId="77777777" w:rsidTr="003B0DCC">
        <w:tblPrEx>
          <w:tblCellMar>
            <w:top w:w="0" w:type="dxa"/>
            <w:bottom w:w="0" w:type="dxa"/>
          </w:tblCellMar>
        </w:tblPrEx>
        <w:tc>
          <w:tcPr>
            <w:tcW w:w="9360" w:type="dxa"/>
            <w:tcBorders>
              <w:top w:val="single" w:sz="8" w:space="0" w:color="1F4E79"/>
              <w:left w:val="single" w:sz="8" w:space="0" w:color="1F4E79"/>
              <w:bottom w:val="single" w:sz="8" w:space="0" w:color="1F4E79"/>
              <w:right w:val="single" w:sz="8" w:space="0" w:color="1F4E79"/>
            </w:tcBorders>
            <w:tcMar>
              <w:top w:w="140" w:type="dxa"/>
              <w:left w:w="200" w:type="dxa"/>
              <w:bottom w:w="140" w:type="dxa"/>
              <w:right w:w="200" w:type="dxa"/>
            </w:tcMar>
          </w:tcPr>
          <w:p w14:paraId="1801FA1F" w14:textId="77777777" w:rsidR="00EC1B16" w:rsidRPr="003B0DCC" w:rsidRDefault="00000000">
            <w:pPr>
              <w:spacing w:after="80"/>
            </w:pPr>
            <w:r w:rsidRPr="003B0DCC">
              <w:rPr>
                <w:b/>
                <w:bCs/>
              </w:rPr>
              <w:t>ABSTRACT</w:t>
            </w:r>
          </w:p>
          <w:p w14:paraId="1EE530BC" w14:textId="77777777" w:rsidR="00EC1B16" w:rsidRPr="003B0DCC" w:rsidRDefault="00000000">
            <w:pPr>
              <w:spacing w:after="80" w:line="340" w:lineRule="auto"/>
              <w:jc w:val="both"/>
            </w:pPr>
            <w:r w:rsidRPr="003B0DCC">
              <w:rPr>
                <w:sz w:val="20"/>
                <w:szCs w:val="20"/>
              </w:rPr>
              <w:t>This paper presents a critical review of a comprehensive study on the seismic performance of a 22-storey (G+21) reinforced concrete high-rise building in India's Seismic Zone V, as documented in the M.E. dissertation of Sheetal Dwivedi (</w:t>
            </w:r>
            <w:proofErr w:type="spellStart"/>
            <w:r w:rsidRPr="003B0DCC">
              <w:rPr>
                <w:sz w:val="20"/>
                <w:szCs w:val="20"/>
              </w:rPr>
              <w:t>Enrollment</w:t>
            </w:r>
            <w:proofErr w:type="spellEnd"/>
            <w:r w:rsidRPr="003B0DCC">
              <w:rPr>
                <w:sz w:val="20"/>
                <w:szCs w:val="20"/>
              </w:rPr>
              <w:t xml:space="preserve"> No. 0101CE23ME14) under the supervision of Dr. Saleem Akhtar at the University Institute of Technology (UIT), RGPV, Bhopal (2025–2026). The study employed the Equivalent Static Method as per IS 1893 (Part 1):2016, using ETABS finite element software to evaluate five structural configurations: (</w:t>
            </w:r>
            <w:proofErr w:type="spellStart"/>
            <w:r w:rsidRPr="003B0DCC">
              <w:rPr>
                <w:sz w:val="20"/>
                <w:szCs w:val="20"/>
              </w:rPr>
              <w:t>i</w:t>
            </w:r>
            <w:proofErr w:type="spellEnd"/>
            <w:r w:rsidRPr="003B0DCC">
              <w:rPr>
                <w:sz w:val="20"/>
                <w:szCs w:val="20"/>
              </w:rPr>
              <w:t>) bare Special Moment Resisting Frame (SMRF), (ii) five distributed shear wall cores with 15% functional openings, (iii) eight perimeter cores with 15% openings, (iv) five solid cores without openings, and (v) eight solid perimeter cores. Key findings indicate that shear walls reduce lateral displacements by 56–75% and fundamental natural periods by up to 53% compared to bare frames. The optimal configuration—eight solid perimeter cores—achieved a top-floor displacement of merely 62.1 mm versus 248.5 mm for the bare frame. Functional openings of 15% wall area caused 20–25% stiffness reduction and 18–22% displacement increase, yet remained within code-permissible limits when provided with appropriate diagonal corner reinforcement. Perimeter-placed eight-core configurations outperformed five-core distributed layouts by 28–30% in drift control through enhanced torsional resistance. This review synthesises the study's methodology, findings, limitations, and future research directions, providing critical commentary on its contributions to seismic structural engineering practice in India.</w:t>
            </w:r>
          </w:p>
          <w:p w14:paraId="598B5BFC" w14:textId="77777777" w:rsidR="00EC1B16" w:rsidRPr="003B0DCC" w:rsidRDefault="00000000">
            <w:pPr>
              <w:spacing w:before="80"/>
            </w:pPr>
            <w:r w:rsidRPr="003B0DCC">
              <w:rPr>
                <w:b/>
                <w:bCs/>
                <w:sz w:val="20"/>
                <w:szCs w:val="20"/>
              </w:rPr>
              <w:t xml:space="preserve">Keywords: </w:t>
            </w:r>
            <w:r w:rsidRPr="003B0DCC">
              <w:rPr>
                <w:i/>
                <w:iCs/>
                <w:sz w:val="20"/>
                <w:szCs w:val="20"/>
              </w:rPr>
              <w:t>Seismic analysis, reinforced concrete, shear walls, openings in shear walls, ETABS, IS 1893:2016, Zone V, lateral displacement, inter-storey drift, equivalent static method, perimeter cores, structural performance.</w:t>
            </w:r>
          </w:p>
        </w:tc>
      </w:tr>
    </w:tbl>
    <w:p w14:paraId="17AAC984" w14:textId="77777777" w:rsidR="00EC1B16" w:rsidRPr="003B0DCC" w:rsidRDefault="00EC1B16">
      <w:pPr>
        <w:spacing w:after="200"/>
      </w:pPr>
    </w:p>
    <w:p w14:paraId="0E018B86" w14:textId="77777777" w:rsidR="00EC1B16" w:rsidRPr="003B0DCC" w:rsidRDefault="00000000">
      <w:pPr>
        <w:pStyle w:val="Heading1"/>
        <w:pBdr>
          <w:bottom w:val="single" w:sz="6" w:space="4" w:color="1F4E79"/>
        </w:pBdr>
        <w:rPr>
          <w:color w:val="auto"/>
        </w:rPr>
      </w:pPr>
      <w:r w:rsidRPr="003B0DCC">
        <w:rPr>
          <w:color w:val="auto"/>
        </w:rPr>
        <w:t>1. INTRODUCTION</w:t>
      </w:r>
    </w:p>
    <w:p w14:paraId="6C523A7D" w14:textId="77777777" w:rsidR="00EC1B16" w:rsidRPr="003B0DCC" w:rsidRDefault="00000000">
      <w:pPr>
        <w:spacing w:before="80" w:after="100" w:line="360" w:lineRule="auto"/>
        <w:jc w:val="both"/>
      </w:pPr>
      <w:r w:rsidRPr="003B0DCC">
        <w:t xml:space="preserve">India ranks among the world's most seismically vulnerable nations, owing to its </w:t>
      </w:r>
      <w:proofErr w:type="spellStart"/>
      <w:r w:rsidRPr="003B0DCC">
        <w:t>geotectonic</w:t>
      </w:r>
      <w:proofErr w:type="spellEnd"/>
      <w:r w:rsidRPr="003B0DCC">
        <w:t xml:space="preserve"> position at the convergence of the Indian and Eurasian tectonic plates. The Bureau of Indian Standards (BIS) classifies seismic hazard across five zones (II–V) under IS 1893 (Part 1):2016, with Seismic Zone V—encompassing Jammu &amp; Kashmir, northeastern states, and parts of Gujarat—carrying the highest zone factor Z = 0.36. Catastrophic events such as the Bhuj earthquake (Mw 7.7, 2001), Kashmir earthquake </w:t>
      </w:r>
      <w:r w:rsidRPr="003B0DCC">
        <w:lastRenderedPageBreak/>
        <w:t>(Mw 7.6, 2005), and Nepal earthquake (Mw 7.8, 2015) have repeatedly demonstrated the life-safety and economic consequences of inadequate seismic design, particularly in reinforced concrete (RC) high-rise buildings.</w:t>
      </w:r>
    </w:p>
    <w:p w14:paraId="299AD110" w14:textId="77777777" w:rsidR="00EC1B16" w:rsidRPr="003B0DCC" w:rsidRDefault="00000000">
      <w:pPr>
        <w:spacing w:before="80" w:after="100" w:line="360" w:lineRule="auto"/>
        <w:jc w:val="both"/>
      </w:pPr>
      <w:r w:rsidRPr="003B0DCC">
        <w:t>Rapid urbanisation across Indian metropolitan centres has triggered a surge in high-rise construction driven by land scarcity and demographic growth. Buildings exceeding 20–30 storeys are increasingly common; however, taller structures amplify seismic vulnerabilities through extended natural periods, concentrated mass, and increased overturning moments. Conventional moment-resisting frames, which rely on beam-column rigidity alone, frequently prove insufficient for tall buildings in high-seismic zones, producing excessive lateral drifts that violate serviceability and safety criteria.</w:t>
      </w:r>
    </w:p>
    <w:p w14:paraId="33530BD6" w14:textId="77777777" w:rsidR="00EC1B16" w:rsidRPr="003B0DCC" w:rsidRDefault="00000000">
      <w:pPr>
        <w:spacing w:before="80" w:after="100" w:line="360" w:lineRule="auto"/>
        <w:jc w:val="both"/>
      </w:pPr>
      <w:r w:rsidRPr="003B0DCC">
        <w:t>Shear walls—vertical RC plate elements extending from foundation to roof—represent the most widely adopted lateral force-resisting system for medium- to high-rise structures. They offer exceptional in-plane stiffness, reducing lateral displacements by 60–80% compared to bare frames, shortening fundamental periods, and improving torsional resistance when distributed along building perimeters. Nevertheless, architectural and functional requirements routinely necessitate openings in shear walls for corridors, windows, elevator shafts, and mechanical ducts. These perforations disrupt force flow continuity, introduce stress concentrations at opening corners, reduce effective stiffness by 20–50%, and may shift failure modes from ductile flexural yielding to brittle shear failure if not properly detailed.</w:t>
      </w:r>
    </w:p>
    <w:p w14:paraId="13F9CCFD" w14:textId="77777777" w:rsidR="00EC1B16" w:rsidRPr="003B0DCC" w:rsidRDefault="00000000">
      <w:pPr>
        <w:spacing w:before="80" w:after="100" w:line="360" w:lineRule="auto"/>
        <w:jc w:val="both"/>
      </w:pPr>
      <w:r w:rsidRPr="003B0DCC">
        <w:t>The dissertation under review—authored by Sheetal Dwivedi and supervised by Dr. Saleem Akhtar at UIT-RGPV, Bhopal—addresses a critical engineering design question: how do different shear wall configurations, with and without functional openings, affect the seismic response of a representative 22-storey RC building in Zone V? The study systematically compares five structural configurations using ETABS software and the IS 1893:2016 Equivalent Static Method, quantifying performance across multiple seismic indicators: fundamental period, base shear, lateral displacement, inter-storey drift, and lateral stiffness.</w:t>
      </w:r>
    </w:p>
    <w:p w14:paraId="7139BAE2" w14:textId="77777777" w:rsidR="00EC1B16" w:rsidRPr="003B0DCC" w:rsidRDefault="00000000">
      <w:pPr>
        <w:spacing w:before="80" w:after="100" w:line="360" w:lineRule="auto"/>
        <w:jc w:val="both"/>
      </w:pPr>
      <w:r w:rsidRPr="003B0DCC">
        <w:t>This review paper critically evaluates the study's objectives, methodology, key findings, practical implications, and limitations. It situates the research within the existing body of knowledge and identifies directions for future investigation.</w:t>
      </w:r>
    </w:p>
    <w:p w14:paraId="4EC35A0D" w14:textId="77777777" w:rsidR="00EC1B16" w:rsidRPr="003B0DCC" w:rsidRDefault="00EC1B16">
      <w:pPr>
        <w:spacing w:after="120"/>
      </w:pPr>
    </w:p>
    <w:p w14:paraId="37627891" w14:textId="77777777" w:rsidR="00EC1B16" w:rsidRPr="003B0DCC" w:rsidRDefault="00000000">
      <w:pPr>
        <w:pStyle w:val="Heading1"/>
        <w:pBdr>
          <w:bottom w:val="single" w:sz="6" w:space="4" w:color="1F4E79"/>
        </w:pBdr>
        <w:rPr>
          <w:color w:val="auto"/>
        </w:rPr>
      </w:pPr>
      <w:r w:rsidRPr="003B0DCC">
        <w:rPr>
          <w:color w:val="auto"/>
        </w:rPr>
        <w:t>2. BACKGROUND AND LITERATURE CONTEXT</w:t>
      </w:r>
    </w:p>
    <w:p w14:paraId="57B83654" w14:textId="77777777" w:rsidR="00EC1B16" w:rsidRPr="003B0DCC" w:rsidRDefault="00000000">
      <w:pPr>
        <w:pStyle w:val="Heading2"/>
        <w:rPr>
          <w:color w:val="auto"/>
        </w:rPr>
      </w:pPr>
      <w:r w:rsidRPr="003B0DCC">
        <w:rPr>
          <w:color w:val="auto"/>
        </w:rPr>
        <w:t>2.1 Seismic Behaviour of Shear Walls</w:t>
      </w:r>
    </w:p>
    <w:p w14:paraId="510924AF" w14:textId="77777777" w:rsidR="00EC1B16" w:rsidRPr="003B0DCC" w:rsidRDefault="00000000">
      <w:pPr>
        <w:spacing w:before="80" w:after="100" w:line="360" w:lineRule="auto"/>
        <w:jc w:val="both"/>
      </w:pPr>
      <w:r w:rsidRPr="003B0DCC">
        <w:t xml:space="preserve">Shear walls act as vertical cantilever beams fixed at the foundation, attracting and dissipating seismic inertial forces through in-plane bending and shear mechanisms. In dual systems (shear walls combined with moment-resisting frames), walls typically resist 70–90% of lateral forces in the elastic range, </w:t>
      </w:r>
      <w:r w:rsidRPr="003B0DCC">
        <w:lastRenderedPageBreak/>
        <w:t>providing an efficient and reliable lateral load path. Key advantages include substantial reductions in lateral displacements and inter-storey drifts, improved torsional balance through perimeter placement, and enhanced ductility when boundary elements are confined in accordance with IS 13920:2016.</w:t>
      </w:r>
    </w:p>
    <w:p w14:paraId="66D12430" w14:textId="77777777" w:rsidR="00EC1B16" w:rsidRPr="003B0DCC" w:rsidRDefault="00000000">
      <w:pPr>
        <w:pStyle w:val="Heading2"/>
        <w:rPr>
          <w:color w:val="auto"/>
        </w:rPr>
      </w:pPr>
      <w:r w:rsidRPr="003B0DCC">
        <w:rPr>
          <w:color w:val="auto"/>
        </w:rPr>
        <w:t>2.2 Effect of Openings on Shear Wall Performance</w:t>
      </w:r>
    </w:p>
    <w:p w14:paraId="006644BF" w14:textId="77777777" w:rsidR="00EC1B16" w:rsidRPr="003B0DCC" w:rsidRDefault="00000000">
      <w:pPr>
        <w:spacing w:before="80" w:after="100" w:line="360" w:lineRule="auto"/>
        <w:jc w:val="both"/>
      </w:pPr>
      <w:r w:rsidRPr="003B0DCC">
        <w:t xml:space="preserve">The literature consistently demonstrates that openings in shear walls, while often architecturally unavoidable, significantly impair structural performance. </w:t>
      </w:r>
      <w:proofErr w:type="spellStart"/>
      <w:r w:rsidRPr="003B0DCC">
        <w:t>Mosoarca</w:t>
      </w:r>
      <w:proofErr w:type="spellEnd"/>
      <w:r w:rsidRPr="003B0DCC">
        <w:t xml:space="preserve"> (2013) examined walls with regular and staggered openings following earthquakes between 2009–2011, finding that staggered arrangements produced ductile inclined-crack failure modes with 15–25% smaller horizontal displacements and higher load-carrying capacity compared to regular (uniform) opening patterns. Ali and Wight (1991) tested four walls with staggered door openings under cyclic loading, observing ductile flexural behaviour at 1.0% drift and shear-compression failures at 1.5% drift adjacent to openings, confirming that opening proximity to wall boundaries accelerates failure.</w:t>
      </w:r>
    </w:p>
    <w:p w14:paraId="6E67F7CD" w14:textId="77777777" w:rsidR="00EC1B16" w:rsidRPr="003B0DCC" w:rsidRDefault="00000000">
      <w:pPr>
        <w:spacing w:before="80" w:after="100" w:line="360" w:lineRule="auto"/>
        <w:jc w:val="both"/>
      </w:pPr>
      <w:r w:rsidRPr="003B0DCC">
        <w:t>Xu et al. (2023) conducted quasi-static tests on squat RC walls with openings, demonstrating that shear strength and stiffness degradation is proportional to opening area and inversely related to opening distance from wall boundaries. Hosseini et al. (2019) showed that mid-span openings are most detrimental due to disruption of diagonal compression struts. Chowdhury et al. (2012) used ETABS linear elastic analysis on six-storey frame-shear wall buildings, finding that displacement increases proportionally with opening area and that in-plane loading direction is more critical than out-of-plane. Bush et al. (2022) compared staggered opening geometries in a 10-storey Zone V building, concluding that square and rectangular staggered openings provide optimal performance among perforated configurations.</w:t>
      </w:r>
    </w:p>
    <w:p w14:paraId="259A57F4" w14:textId="77777777" w:rsidR="00EC1B16" w:rsidRPr="003B0DCC" w:rsidRDefault="00000000">
      <w:pPr>
        <w:pStyle w:val="Heading2"/>
        <w:rPr>
          <w:color w:val="auto"/>
        </w:rPr>
      </w:pPr>
      <w:r w:rsidRPr="003B0DCC">
        <w:rPr>
          <w:color w:val="auto"/>
        </w:rPr>
        <w:t>2.3 Research Gaps Addressed by the Reviewed Study</w:t>
      </w:r>
    </w:p>
    <w:p w14:paraId="2D2D03D5" w14:textId="77777777" w:rsidR="00EC1B16" w:rsidRPr="003B0DCC" w:rsidRDefault="00000000">
      <w:pPr>
        <w:spacing w:before="80" w:after="100" w:line="360" w:lineRule="auto"/>
        <w:jc w:val="both"/>
      </w:pPr>
      <w:r w:rsidRPr="003B0DCC">
        <w:t>Despite extensive prior work, several gaps persisted in the literature at the time of this study: (</w:t>
      </w:r>
      <w:proofErr w:type="spellStart"/>
      <w:r w:rsidRPr="003B0DCC">
        <w:t>i</w:t>
      </w:r>
      <w:proofErr w:type="spellEnd"/>
      <w:r w:rsidRPr="003B0DCC">
        <w:t>) limited systematic comparisons of multiple integrated 3D building configurations varying wall quantity, placement strategy, and opening presence simultaneously under consistent analytical frameworks; (ii) insufficient investigation of practical ~15% opening ratios in 20–25 storey buildings under Indian code provisions; (iii) scarce quantitative data for Zone V high-rise buildings combining multiple performance parameters in a single study; and (iv) inadequate practical design guidance balancing structural performance with architectural functionality. The reviewed dissertation directly addresses these deficiencies.</w:t>
      </w:r>
    </w:p>
    <w:p w14:paraId="32F8D434" w14:textId="77777777" w:rsidR="00EC1B16" w:rsidRPr="003B0DCC" w:rsidRDefault="00EC1B16">
      <w:pPr>
        <w:spacing w:after="120"/>
      </w:pPr>
    </w:p>
    <w:p w14:paraId="0EF18FDB" w14:textId="77777777" w:rsidR="00EC1B16" w:rsidRPr="003B0DCC" w:rsidRDefault="00000000">
      <w:pPr>
        <w:pStyle w:val="Heading1"/>
        <w:pBdr>
          <w:bottom w:val="single" w:sz="6" w:space="4" w:color="1F4E79"/>
        </w:pBdr>
        <w:rPr>
          <w:color w:val="auto"/>
        </w:rPr>
      </w:pPr>
      <w:r w:rsidRPr="003B0DCC">
        <w:rPr>
          <w:color w:val="auto"/>
        </w:rPr>
        <w:t>3. REVIEW OF METHODOLOGY</w:t>
      </w:r>
    </w:p>
    <w:p w14:paraId="64288A8A" w14:textId="77777777" w:rsidR="00EC1B16" w:rsidRPr="003B0DCC" w:rsidRDefault="00000000">
      <w:pPr>
        <w:pStyle w:val="Heading2"/>
        <w:rPr>
          <w:color w:val="auto"/>
        </w:rPr>
      </w:pPr>
      <w:r w:rsidRPr="003B0DCC">
        <w:rPr>
          <w:color w:val="auto"/>
        </w:rPr>
        <w:t>3.1 Building Configuration and Geometry</w:t>
      </w:r>
    </w:p>
    <w:p w14:paraId="0257C301" w14:textId="77777777" w:rsidR="00EC1B16" w:rsidRPr="003B0DCC" w:rsidRDefault="00000000">
      <w:pPr>
        <w:spacing w:before="80" w:after="100" w:line="360" w:lineRule="auto"/>
        <w:jc w:val="both"/>
      </w:pPr>
      <w:r w:rsidRPr="003B0DCC">
        <w:lastRenderedPageBreak/>
        <w:t>The study selected a representative 22-storey (G+21) RC building with a regular 36 m × 36 m square plan and 66 m total height (22 × 3.0 m uniform storey height). The regular geometry—with a 9×9 bay arrangement at 4.0 m spacing creating 100 columns and 40 beams per floor—is appropriate for the Equivalent Static Method, which is valid for buildings without plan or vertical irregularities. The selection of a regular high-rise in Zone V is well-motivated by India's high-rise construction boom in seismically active regions.</w:t>
      </w:r>
    </w:p>
    <w:p w14:paraId="7BE09BEE" w14:textId="77777777" w:rsidR="00EC1B16" w:rsidRPr="003B0DCC" w:rsidRDefault="00000000">
      <w:pPr>
        <w:pStyle w:val="Heading2"/>
        <w:rPr>
          <w:color w:val="auto"/>
        </w:rPr>
      </w:pPr>
      <w:r w:rsidRPr="003B0DCC">
        <w:rPr>
          <w:color w:val="auto"/>
        </w:rPr>
        <w:t>3.2 Structural Configurations</w:t>
      </w:r>
    </w:p>
    <w:p w14:paraId="72CAFDDC" w14:textId="77777777" w:rsidR="00EC1B16" w:rsidRPr="003B0DCC" w:rsidRDefault="00000000">
      <w:pPr>
        <w:spacing w:before="80" w:after="100" w:line="360" w:lineRule="auto"/>
        <w:jc w:val="both"/>
      </w:pPr>
      <w:r w:rsidRPr="003B0DCC">
        <w:t>Five configurations were systematically examined to isolate the individual effects of wall quantity, placement strategy, and opening presence:</w:t>
      </w:r>
    </w:p>
    <w:p w14:paraId="7079D030" w14:textId="77777777" w:rsidR="00EC1B16" w:rsidRPr="003B0DCC" w:rsidRDefault="00EC1B16">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200"/>
        <w:gridCol w:w="2000"/>
        <w:gridCol w:w="1980"/>
        <w:gridCol w:w="1980"/>
      </w:tblGrid>
      <w:tr w:rsidR="00EC1B16" w:rsidRPr="003B0DCC" w14:paraId="4AF97BBD" w14:textId="77777777">
        <w:tblPrEx>
          <w:tblCellMar>
            <w:top w:w="0" w:type="dxa"/>
            <w:bottom w:w="0" w:type="dxa"/>
          </w:tblCellMar>
        </w:tblPrEx>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0C34B79A" w14:textId="77777777" w:rsidR="00EC1B16" w:rsidRPr="003B0DCC" w:rsidRDefault="00000000">
            <w:pPr>
              <w:jc w:val="center"/>
            </w:pPr>
            <w:r w:rsidRPr="003B0DCC">
              <w:rPr>
                <w:b/>
                <w:bCs/>
                <w:sz w:val="20"/>
                <w:szCs w:val="20"/>
              </w:rPr>
              <w:t>Case</w:t>
            </w:r>
          </w:p>
        </w:tc>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D7453A7" w14:textId="77777777" w:rsidR="00EC1B16" w:rsidRPr="003B0DCC" w:rsidRDefault="00000000">
            <w:pPr>
              <w:jc w:val="center"/>
            </w:pPr>
            <w:r w:rsidRPr="003B0DCC">
              <w:rPr>
                <w:b/>
                <w:bCs/>
                <w:sz w:val="20"/>
                <w:szCs w:val="20"/>
              </w:rPr>
              <w:t>Description</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2BA1D29" w14:textId="77777777" w:rsidR="00EC1B16" w:rsidRPr="003B0DCC" w:rsidRDefault="00000000">
            <w:pPr>
              <w:jc w:val="center"/>
            </w:pPr>
            <w:r w:rsidRPr="003B0DCC">
              <w:rPr>
                <w:b/>
                <w:bCs/>
                <w:sz w:val="20"/>
                <w:szCs w:val="20"/>
              </w:rPr>
              <w:t>Walls/Floor</w:t>
            </w:r>
          </w:p>
        </w:tc>
        <w:tc>
          <w:tcPr>
            <w:tcW w:w="19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8FD9286" w14:textId="77777777" w:rsidR="00EC1B16" w:rsidRPr="003B0DCC" w:rsidRDefault="00000000">
            <w:pPr>
              <w:jc w:val="center"/>
            </w:pPr>
            <w:r w:rsidRPr="003B0DCC">
              <w:rPr>
                <w:b/>
                <w:bCs/>
                <w:sz w:val="20"/>
                <w:szCs w:val="20"/>
              </w:rPr>
              <w:t>Seismic Wt. (</w:t>
            </w:r>
            <w:proofErr w:type="spellStart"/>
            <w:r w:rsidRPr="003B0DCC">
              <w:rPr>
                <w:b/>
                <w:bCs/>
                <w:sz w:val="20"/>
                <w:szCs w:val="20"/>
              </w:rPr>
              <w:t>kN</w:t>
            </w:r>
            <w:proofErr w:type="spellEnd"/>
            <w:r w:rsidRPr="003B0DCC">
              <w:rPr>
                <w:b/>
                <w:bCs/>
                <w:sz w:val="20"/>
                <w:szCs w:val="20"/>
              </w:rPr>
              <w:t>)</w:t>
            </w:r>
          </w:p>
        </w:tc>
        <w:tc>
          <w:tcPr>
            <w:tcW w:w="19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2EAF659" w14:textId="77777777" w:rsidR="00EC1B16" w:rsidRPr="003B0DCC" w:rsidRDefault="00000000">
            <w:pPr>
              <w:jc w:val="center"/>
            </w:pPr>
            <w:r w:rsidRPr="003B0DCC">
              <w:rPr>
                <w:b/>
                <w:bCs/>
                <w:sz w:val="20"/>
                <w:szCs w:val="20"/>
              </w:rPr>
              <w:t>Period (s)</w:t>
            </w:r>
          </w:p>
        </w:tc>
      </w:tr>
      <w:tr w:rsidR="00EC1B16" w:rsidRPr="003B0DCC" w14:paraId="68A1048B" w14:textId="77777777">
        <w:tblPrEx>
          <w:tblCellMar>
            <w:top w:w="0" w:type="dxa"/>
            <w:bottom w:w="0" w:type="dxa"/>
          </w:tblCellMar>
        </w:tblPrEx>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00CDF78" w14:textId="77777777" w:rsidR="00EC1B16" w:rsidRPr="003B0DCC" w:rsidRDefault="00000000">
            <w:pPr>
              <w:jc w:val="center"/>
            </w:pPr>
            <w:r w:rsidRPr="003B0DCC">
              <w:rPr>
                <w:sz w:val="20"/>
                <w:szCs w:val="20"/>
              </w:rPr>
              <w:t>1</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68E5E851" w14:textId="77777777" w:rsidR="00EC1B16" w:rsidRPr="003B0DCC" w:rsidRDefault="00000000">
            <w:r w:rsidRPr="003B0DCC">
              <w:rPr>
                <w:sz w:val="20"/>
                <w:szCs w:val="20"/>
              </w:rPr>
              <w:t>Bare SMRF Frame</w:t>
            </w:r>
          </w:p>
        </w:tc>
        <w:tc>
          <w:tcPr>
            <w:tcW w:w="20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70E5094" w14:textId="77777777" w:rsidR="00EC1B16" w:rsidRPr="003B0DCC" w:rsidRDefault="00000000">
            <w:pPr>
              <w:jc w:val="center"/>
            </w:pPr>
            <w:r w:rsidRPr="003B0DCC">
              <w:rPr>
                <w:sz w:val="20"/>
                <w:szCs w:val="20"/>
              </w:rPr>
              <w:t>0</w:t>
            </w:r>
          </w:p>
        </w:tc>
        <w:tc>
          <w:tcPr>
            <w:tcW w:w="198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B361FD8" w14:textId="77777777" w:rsidR="00EC1B16" w:rsidRPr="003B0DCC" w:rsidRDefault="00000000">
            <w:pPr>
              <w:jc w:val="center"/>
            </w:pPr>
            <w:r w:rsidRPr="003B0DCC">
              <w:rPr>
                <w:sz w:val="20"/>
                <w:szCs w:val="20"/>
              </w:rPr>
              <w:t>2,19,384</w:t>
            </w:r>
          </w:p>
        </w:tc>
        <w:tc>
          <w:tcPr>
            <w:tcW w:w="198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67098C1" w14:textId="77777777" w:rsidR="00EC1B16" w:rsidRPr="003B0DCC" w:rsidRDefault="00000000">
            <w:pPr>
              <w:jc w:val="center"/>
            </w:pPr>
            <w:r w:rsidRPr="003B0DCC">
              <w:rPr>
                <w:sz w:val="20"/>
                <w:szCs w:val="20"/>
              </w:rPr>
              <w:t>1.81</w:t>
            </w:r>
          </w:p>
        </w:tc>
      </w:tr>
      <w:tr w:rsidR="00EC1B16" w:rsidRPr="003B0DCC" w14:paraId="60C822AA" w14:textId="77777777">
        <w:tblPrEx>
          <w:tblCellMar>
            <w:top w:w="0" w:type="dxa"/>
            <w:bottom w:w="0" w:type="dxa"/>
          </w:tblCellMar>
        </w:tblPrEx>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04383FF0" w14:textId="77777777" w:rsidR="00EC1B16" w:rsidRPr="003B0DCC" w:rsidRDefault="00000000">
            <w:pPr>
              <w:jc w:val="center"/>
            </w:pPr>
            <w:r w:rsidRPr="003B0DCC">
              <w:rPr>
                <w:sz w:val="20"/>
                <w:szCs w:val="20"/>
              </w:rPr>
              <w:t>2</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7CF97BD4" w14:textId="77777777" w:rsidR="00EC1B16" w:rsidRPr="003B0DCC" w:rsidRDefault="00000000">
            <w:r w:rsidRPr="003B0DCC">
              <w:rPr>
                <w:sz w:val="20"/>
                <w:szCs w:val="20"/>
              </w:rPr>
              <w:t>5 Distributed Cores + Openings (15%)</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0A106336" w14:textId="77777777" w:rsidR="00EC1B16" w:rsidRPr="003B0DCC" w:rsidRDefault="00000000">
            <w:pPr>
              <w:jc w:val="center"/>
            </w:pPr>
            <w:r w:rsidRPr="003B0DCC">
              <w:rPr>
                <w:sz w:val="20"/>
                <w:szCs w:val="20"/>
              </w:rPr>
              <w:t>20</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31BAD760" w14:textId="77777777" w:rsidR="00EC1B16" w:rsidRPr="003B0DCC" w:rsidRDefault="00000000">
            <w:pPr>
              <w:jc w:val="center"/>
            </w:pPr>
            <w:r w:rsidRPr="003B0DCC">
              <w:rPr>
                <w:sz w:val="20"/>
                <w:szCs w:val="20"/>
              </w:rPr>
              <w:t>2,47,434</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67E53FA9" w14:textId="77777777" w:rsidR="00EC1B16" w:rsidRPr="003B0DCC" w:rsidRDefault="00000000">
            <w:pPr>
              <w:jc w:val="center"/>
            </w:pPr>
            <w:r w:rsidRPr="003B0DCC">
              <w:rPr>
                <w:sz w:val="20"/>
                <w:szCs w:val="20"/>
              </w:rPr>
              <w:t>1.10</w:t>
            </w:r>
          </w:p>
        </w:tc>
      </w:tr>
      <w:tr w:rsidR="00EC1B16" w:rsidRPr="003B0DCC" w14:paraId="34F6544E" w14:textId="77777777">
        <w:tblPrEx>
          <w:tblCellMar>
            <w:top w:w="0" w:type="dxa"/>
            <w:bottom w:w="0" w:type="dxa"/>
          </w:tblCellMar>
        </w:tblPrEx>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8E6BFA7" w14:textId="77777777" w:rsidR="00EC1B16" w:rsidRPr="003B0DCC" w:rsidRDefault="00000000">
            <w:pPr>
              <w:jc w:val="center"/>
            </w:pPr>
            <w:r w:rsidRPr="003B0DCC">
              <w:rPr>
                <w:sz w:val="20"/>
                <w:szCs w:val="20"/>
              </w:rPr>
              <w:t>3</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47535916" w14:textId="77777777" w:rsidR="00EC1B16" w:rsidRPr="003B0DCC" w:rsidRDefault="00000000">
            <w:r w:rsidRPr="003B0DCC">
              <w:rPr>
                <w:sz w:val="20"/>
                <w:szCs w:val="20"/>
              </w:rPr>
              <w:t>8 Perimeter Cores + Openings (15%)</w:t>
            </w:r>
          </w:p>
        </w:tc>
        <w:tc>
          <w:tcPr>
            <w:tcW w:w="200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38D7EBA" w14:textId="77777777" w:rsidR="00EC1B16" w:rsidRPr="003B0DCC" w:rsidRDefault="00000000">
            <w:pPr>
              <w:jc w:val="center"/>
            </w:pPr>
            <w:r w:rsidRPr="003B0DCC">
              <w:rPr>
                <w:sz w:val="20"/>
                <w:szCs w:val="20"/>
              </w:rPr>
              <w:t>32</w:t>
            </w:r>
          </w:p>
        </w:tc>
        <w:tc>
          <w:tcPr>
            <w:tcW w:w="198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6438853" w14:textId="77777777" w:rsidR="00EC1B16" w:rsidRPr="003B0DCC" w:rsidRDefault="00000000">
            <w:pPr>
              <w:jc w:val="center"/>
            </w:pPr>
            <w:r w:rsidRPr="003B0DCC">
              <w:rPr>
                <w:sz w:val="20"/>
                <w:szCs w:val="20"/>
              </w:rPr>
              <w:t>2,64,264</w:t>
            </w:r>
          </w:p>
        </w:tc>
        <w:tc>
          <w:tcPr>
            <w:tcW w:w="198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27D1C16E" w14:textId="77777777" w:rsidR="00EC1B16" w:rsidRPr="003B0DCC" w:rsidRDefault="00000000">
            <w:pPr>
              <w:jc w:val="center"/>
            </w:pPr>
            <w:r w:rsidRPr="003B0DCC">
              <w:rPr>
                <w:sz w:val="20"/>
                <w:szCs w:val="20"/>
              </w:rPr>
              <w:t>0.95</w:t>
            </w:r>
          </w:p>
        </w:tc>
      </w:tr>
      <w:tr w:rsidR="00EC1B16" w:rsidRPr="003B0DCC" w14:paraId="67AE4F79" w14:textId="77777777">
        <w:tblPrEx>
          <w:tblCellMar>
            <w:top w:w="0" w:type="dxa"/>
            <w:bottom w:w="0" w:type="dxa"/>
          </w:tblCellMar>
        </w:tblPrEx>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690D08C7" w14:textId="77777777" w:rsidR="00EC1B16" w:rsidRPr="003B0DCC" w:rsidRDefault="00000000">
            <w:pPr>
              <w:jc w:val="center"/>
            </w:pPr>
            <w:r w:rsidRPr="003B0DCC">
              <w:rPr>
                <w:sz w:val="20"/>
                <w:szCs w:val="20"/>
              </w:rPr>
              <w:t>4</w:t>
            </w:r>
          </w:p>
        </w:tc>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3416AF55" w14:textId="77777777" w:rsidR="00EC1B16" w:rsidRPr="003B0DCC" w:rsidRDefault="00000000">
            <w:r w:rsidRPr="003B0DCC">
              <w:rPr>
                <w:sz w:val="20"/>
                <w:szCs w:val="20"/>
              </w:rPr>
              <w:t>5 Solid Cores (No Openings)</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65511F13" w14:textId="77777777" w:rsidR="00EC1B16" w:rsidRPr="003B0DCC" w:rsidRDefault="00000000">
            <w:pPr>
              <w:jc w:val="center"/>
            </w:pPr>
            <w:r w:rsidRPr="003B0DCC">
              <w:rPr>
                <w:sz w:val="20"/>
                <w:szCs w:val="20"/>
              </w:rPr>
              <w:t>20</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74221BE1" w14:textId="77777777" w:rsidR="00EC1B16" w:rsidRPr="003B0DCC" w:rsidRDefault="00000000">
            <w:pPr>
              <w:jc w:val="center"/>
            </w:pPr>
            <w:r w:rsidRPr="003B0DCC">
              <w:rPr>
                <w:sz w:val="20"/>
                <w:szCs w:val="20"/>
              </w:rPr>
              <w:t>2,52,384</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vAlign w:val="center"/>
          </w:tcPr>
          <w:p w14:paraId="5B9469DE" w14:textId="77777777" w:rsidR="00EC1B16" w:rsidRPr="003B0DCC" w:rsidRDefault="00000000">
            <w:pPr>
              <w:jc w:val="center"/>
            </w:pPr>
            <w:r w:rsidRPr="003B0DCC">
              <w:rPr>
                <w:sz w:val="20"/>
                <w:szCs w:val="20"/>
              </w:rPr>
              <w:t>0.99</w:t>
            </w:r>
          </w:p>
        </w:tc>
      </w:tr>
      <w:tr w:rsidR="00EC1B16" w:rsidRPr="003B0DCC" w14:paraId="7B964850" w14:textId="77777777">
        <w:tblPrEx>
          <w:tblCellMar>
            <w:top w:w="0" w:type="dxa"/>
            <w:bottom w:w="0" w:type="dxa"/>
          </w:tblCellMar>
        </w:tblPrEx>
        <w:tc>
          <w:tcPr>
            <w:tcW w:w="12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252BCF64" w14:textId="77777777" w:rsidR="00EC1B16" w:rsidRPr="003B0DCC" w:rsidRDefault="00000000">
            <w:pPr>
              <w:jc w:val="center"/>
            </w:pPr>
            <w:r w:rsidRPr="003B0DCC">
              <w:rPr>
                <w:sz w:val="20"/>
                <w:szCs w:val="20"/>
              </w:rPr>
              <w:t>5</w:t>
            </w:r>
          </w:p>
        </w:tc>
        <w:tc>
          <w:tcPr>
            <w:tcW w:w="22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1CC00187" w14:textId="77777777" w:rsidR="00EC1B16" w:rsidRPr="003B0DCC" w:rsidRDefault="00000000">
            <w:r w:rsidRPr="003B0DCC">
              <w:rPr>
                <w:sz w:val="20"/>
                <w:szCs w:val="20"/>
              </w:rPr>
              <w:t>8 Solid Perimeter Cores (Optimal)</w:t>
            </w:r>
          </w:p>
        </w:tc>
        <w:tc>
          <w:tcPr>
            <w:tcW w:w="20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0D07557D" w14:textId="77777777" w:rsidR="00EC1B16" w:rsidRPr="003B0DCC" w:rsidRDefault="00000000">
            <w:pPr>
              <w:jc w:val="center"/>
            </w:pPr>
            <w:r w:rsidRPr="003B0DCC">
              <w:rPr>
                <w:sz w:val="20"/>
                <w:szCs w:val="20"/>
              </w:rPr>
              <w:t>32</w:t>
            </w:r>
          </w:p>
        </w:tc>
        <w:tc>
          <w:tcPr>
            <w:tcW w:w="198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6D674DC9" w14:textId="77777777" w:rsidR="00EC1B16" w:rsidRPr="003B0DCC" w:rsidRDefault="00000000">
            <w:pPr>
              <w:jc w:val="center"/>
            </w:pPr>
            <w:r w:rsidRPr="003B0DCC">
              <w:rPr>
                <w:sz w:val="20"/>
                <w:szCs w:val="20"/>
              </w:rPr>
              <w:t>2,72,184</w:t>
            </w:r>
          </w:p>
        </w:tc>
        <w:tc>
          <w:tcPr>
            <w:tcW w:w="198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2F200CC2" w14:textId="77777777" w:rsidR="00EC1B16" w:rsidRPr="003B0DCC" w:rsidRDefault="00000000">
            <w:pPr>
              <w:jc w:val="center"/>
            </w:pPr>
            <w:r w:rsidRPr="003B0DCC">
              <w:rPr>
                <w:sz w:val="20"/>
                <w:szCs w:val="20"/>
              </w:rPr>
              <w:t>0.85</w:t>
            </w:r>
          </w:p>
        </w:tc>
      </w:tr>
    </w:tbl>
    <w:p w14:paraId="4F611D19" w14:textId="77777777" w:rsidR="00EC1B16" w:rsidRPr="003B0DCC" w:rsidRDefault="00EC1B16">
      <w:pPr>
        <w:spacing w:after="80"/>
      </w:pPr>
    </w:p>
    <w:p w14:paraId="5BA6219F" w14:textId="77777777" w:rsidR="00EC1B16" w:rsidRPr="003B0DCC" w:rsidRDefault="00000000">
      <w:pPr>
        <w:spacing w:before="40" w:after="120"/>
        <w:jc w:val="center"/>
      </w:pPr>
      <w:r w:rsidRPr="003B0DCC">
        <w:rPr>
          <w:i/>
          <w:iCs/>
          <w:sz w:val="18"/>
          <w:szCs w:val="18"/>
        </w:rPr>
        <w:t>Table 1: Structural Configurations Analysed</w:t>
      </w:r>
    </w:p>
    <w:p w14:paraId="0F64ACED" w14:textId="77777777" w:rsidR="00EC1B16" w:rsidRPr="003B0DCC" w:rsidRDefault="00000000">
      <w:pPr>
        <w:spacing w:before="80" w:after="100" w:line="360" w:lineRule="auto"/>
        <w:jc w:val="both"/>
      </w:pPr>
      <w:r w:rsidRPr="003B0DCC">
        <w:t>This systematic variation enables direct isolation of opening effects (Case 2 vs. Case 4; Case 3 vs. Case 5) and placement effects (5-core vs. 8-perimeter-core for both opening and solid wall groups). The approach is methodologically sound and constitutes one of the study's primary strengths.</w:t>
      </w:r>
    </w:p>
    <w:p w14:paraId="244AC39C" w14:textId="77777777" w:rsidR="00EC1B16" w:rsidRPr="003B0DCC" w:rsidRDefault="00000000">
      <w:pPr>
        <w:pStyle w:val="Heading2"/>
        <w:rPr>
          <w:color w:val="auto"/>
        </w:rPr>
      </w:pPr>
      <w:r w:rsidRPr="003B0DCC">
        <w:rPr>
          <w:color w:val="auto"/>
        </w:rPr>
        <w:t>3.3 Material Properties and Loading</w:t>
      </w:r>
    </w:p>
    <w:p w14:paraId="633F0466" w14:textId="77777777" w:rsidR="00EC1B16" w:rsidRPr="003B0DCC" w:rsidRDefault="00000000">
      <w:pPr>
        <w:spacing w:before="80" w:after="100" w:line="360" w:lineRule="auto"/>
        <w:jc w:val="both"/>
      </w:pPr>
      <w:r w:rsidRPr="003B0DCC">
        <w:t>All structural elements used M30 grade concrete (</w:t>
      </w:r>
      <w:proofErr w:type="spellStart"/>
      <w:r w:rsidRPr="003B0DCC">
        <w:t>fck</w:t>
      </w:r>
      <w:proofErr w:type="spellEnd"/>
      <w:r w:rsidRPr="003B0DCC">
        <w:t xml:space="preserve"> = 30 N/mm², </w:t>
      </w:r>
      <w:proofErr w:type="spellStart"/>
      <w:r w:rsidRPr="003B0DCC">
        <w:t>Ec</w:t>
      </w:r>
      <w:proofErr w:type="spellEnd"/>
      <w:r w:rsidRPr="003B0DCC">
        <w:t xml:space="preserve"> = 27,386 N/mm²) and Fe500 steel reinforcement (</w:t>
      </w:r>
      <w:proofErr w:type="spellStart"/>
      <w:r w:rsidRPr="003B0DCC">
        <w:t>fy</w:t>
      </w:r>
      <w:proofErr w:type="spellEnd"/>
      <w:r w:rsidRPr="003B0DCC">
        <w:t xml:space="preserve"> = 500 N/mm²), conforming to IS 456:2000 and IS 1786:2008 respectively. These are appropriate choices for Special Moment Resisting Frames in Zone V, providing adequate strength while maintaining reasonable ductility. Dead loads were automatically computed by ETABS based on member volumes, with additional dead loads of 1.5 </w:t>
      </w:r>
      <w:proofErr w:type="spellStart"/>
      <w:r w:rsidRPr="003B0DCC">
        <w:t>kN</w:t>
      </w:r>
      <w:proofErr w:type="spellEnd"/>
      <w:r w:rsidRPr="003B0DCC">
        <w:t xml:space="preserve">/m² for finishes and partitions. Live loads of 3.0 </w:t>
      </w:r>
      <w:proofErr w:type="spellStart"/>
      <w:r w:rsidRPr="003B0DCC">
        <w:t>kN</w:t>
      </w:r>
      <w:proofErr w:type="spellEnd"/>
      <w:r w:rsidRPr="003B0DCC">
        <w:t xml:space="preserve">/m² (floors) and 1.5 </w:t>
      </w:r>
      <w:proofErr w:type="spellStart"/>
      <w:r w:rsidRPr="003B0DCC">
        <w:t>kN</w:t>
      </w:r>
      <w:proofErr w:type="spellEnd"/>
      <w:r w:rsidRPr="003B0DCC">
        <w:t>/m² (roof) conform to IS 875 (Part 2):1987. Seismic weight was computed per IS 1893:2016 Clause 7.4.2 (full dead load + 25% live load).</w:t>
      </w:r>
    </w:p>
    <w:p w14:paraId="039896E6" w14:textId="77777777" w:rsidR="00EC1B16" w:rsidRPr="003B0DCC" w:rsidRDefault="00000000">
      <w:pPr>
        <w:pStyle w:val="Heading2"/>
        <w:rPr>
          <w:color w:val="auto"/>
        </w:rPr>
      </w:pPr>
      <w:r w:rsidRPr="003B0DCC">
        <w:rPr>
          <w:color w:val="auto"/>
        </w:rPr>
        <w:t>3.4 Seismic Analysis Approach</w:t>
      </w:r>
    </w:p>
    <w:p w14:paraId="0FE1A0DE" w14:textId="77777777" w:rsidR="00EC1B16" w:rsidRPr="003B0DCC" w:rsidRDefault="00000000">
      <w:pPr>
        <w:spacing w:before="80" w:after="100" w:line="360" w:lineRule="auto"/>
        <w:jc w:val="both"/>
      </w:pPr>
      <w:r w:rsidRPr="003B0DCC">
        <w:t>The Equivalent Static Method (ESM) per IS 1893:2016 was employed, yielding design horizontal seismic coefficient Ah = (Z/</w:t>
      </w:r>
      <w:proofErr w:type="gramStart"/>
      <w:r w:rsidRPr="003B0DCC">
        <w:t>2)(</w:t>
      </w:r>
      <w:proofErr w:type="gramEnd"/>
      <w:r w:rsidRPr="003B0DCC">
        <w:t>I/</w:t>
      </w:r>
      <w:proofErr w:type="gramStart"/>
      <w:r w:rsidRPr="003B0DCC">
        <w:t>R)(</w:t>
      </w:r>
      <w:proofErr w:type="gramEnd"/>
      <w:r w:rsidRPr="003B0DCC">
        <w:t>Sa/g) = (0.36/</w:t>
      </w:r>
      <w:proofErr w:type="gramStart"/>
      <w:r w:rsidRPr="003B0DCC">
        <w:t>2)(</w:t>
      </w:r>
      <w:proofErr w:type="gramEnd"/>
      <w:r w:rsidRPr="003B0DCC">
        <w:t>1.0/5.</w:t>
      </w:r>
      <w:proofErr w:type="gramStart"/>
      <w:r w:rsidRPr="003B0DCC">
        <w:t>0)(</w:t>
      </w:r>
      <w:proofErr w:type="gramEnd"/>
      <w:r w:rsidRPr="003B0DCC">
        <w:t xml:space="preserve">2.5) = 0.09 uniformly across all configurations. </w:t>
      </w:r>
      <w:r w:rsidRPr="003B0DCC">
        <w:lastRenderedPageBreak/>
        <w:t xml:space="preserve">Fundamental periods were determined using IS 1893:2016 empirical formulas: Ta = 0.075h^0.75 = 1.81 s for the bare frame, and Ta = 0.09h/√d = 0.99 s base value for solid shear wall buildings, with adjustments of 10–12% for opening-induced stiffness reductions. Base shear </w:t>
      </w:r>
      <w:proofErr w:type="spellStart"/>
      <w:r w:rsidRPr="003B0DCC">
        <w:t>Vb</w:t>
      </w:r>
      <w:proofErr w:type="spellEnd"/>
      <w:r w:rsidRPr="003B0DCC">
        <w:t xml:space="preserve"> = Ah × W was distributed along height by Clause 7.7.1's height-squared weighting, and drift limits were verified against the 0.004h = 12 mm threshold of Clause 7.11.1.</w:t>
      </w:r>
    </w:p>
    <w:p w14:paraId="5DE517AC" w14:textId="77777777" w:rsidR="00EC1B16" w:rsidRPr="003B0DCC" w:rsidRDefault="00000000">
      <w:pPr>
        <w:spacing w:before="80" w:after="100" w:line="360" w:lineRule="auto"/>
        <w:jc w:val="both"/>
      </w:pPr>
      <w:r w:rsidRPr="003B0DCC">
        <w:t>ETABS three-dimensional finite element models were developed with shell elements (4-node thin) at 500 mm × 500 mm general mesh (refined to 250 mm near openings), frame elements for beams and columns, rigid diaphragms at all floor levels, and fixed base conditions. Openings were modelled via area-subtraction technique with refined mesh at opening perimeters and corners. Model complexity ranged from 8,160 elements (Case 1) to 17,000 elements (Case 3).</w:t>
      </w:r>
    </w:p>
    <w:p w14:paraId="38CA1613" w14:textId="77777777" w:rsidR="00EC1B16" w:rsidRPr="003B0DCC" w:rsidRDefault="00000000">
      <w:pPr>
        <w:pStyle w:val="Heading2"/>
        <w:rPr>
          <w:color w:val="auto"/>
        </w:rPr>
      </w:pPr>
      <w:r w:rsidRPr="003B0DCC">
        <w:rPr>
          <w:color w:val="auto"/>
        </w:rPr>
        <w:t>3.5 Critical Assessment of Methodology</w:t>
      </w:r>
    </w:p>
    <w:p w14:paraId="3BBDA2A8" w14:textId="77777777" w:rsidR="00EC1B16" w:rsidRPr="003B0DCC" w:rsidRDefault="00000000">
      <w:pPr>
        <w:spacing w:before="80" w:after="100" w:line="360" w:lineRule="auto"/>
        <w:jc w:val="both"/>
      </w:pPr>
      <w:r w:rsidRPr="003B0DCC">
        <w:t>The methodology is overall well-structured and internally consistent, enabling valid comparative analysis. However, several limitations warrant acknowledgement. The ESM neglects higher-mode contributions, which can be significant for 66 m buildings in Zone V, where IS 1893:2016 itself recommends dynamic analysis. The linear elastic assumption excludes concrete cracking, reinforcement yielding, and progressive damage, precluding assessment of ductility demands and collapse mechanisms. The fixed-base condition ignores soil-structure interaction effects—which can elongate periods by 5–15% on medium soils, potentially shifting spectral demands. Only a single opening size (15% wall area) and one building geometry are examined, limiting generalisability. The study acknowledges these limitations candidly, which strengthens its academic credibility.</w:t>
      </w:r>
    </w:p>
    <w:p w14:paraId="7515D301" w14:textId="77777777" w:rsidR="00EC1B16" w:rsidRPr="003B0DCC" w:rsidRDefault="00EC1B16">
      <w:pPr>
        <w:spacing w:after="120"/>
      </w:pPr>
    </w:p>
    <w:p w14:paraId="614CD49B" w14:textId="77777777" w:rsidR="00EC1B16" w:rsidRPr="003B0DCC" w:rsidRDefault="00000000">
      <w:pPr>
        <w:pStyle w:val="Heading1"/>
        <w:pBdr>
          <w:bottom w:val="single" w:sz="6" w:space="4" w:color="1F4E79"/>
        </w:pBdr>
        <w:rPr>
          <w:color w:val="auto"/>
        </w:rPr>
      </w:pPr>
      <w:r w:rsidRPr="003B0DCC">
        <w:rPr>
          <w:color w:val="auto"/>
        </w:rPr>
        <w:t>4. CRITICAL REVIEW OF KEY FINDINGS</w:t>
      </w:r>
    </w:p>
    <w:p w14:paraId="5B853944" w14:textId="77777777" w:rsidR="00EC1B16" w:rsidRPr="003B0DCC" w:rsidRDefault="00000000">
      <w:pPr>
        <w:pStyle w:val="Heading2"/>
        <w:rPr>
          <w:color w:val="auto"/>
        </w:rPr>
      </w:pPr>
      <w:r w:rsidRPr="003B0DCC">
        <w:rPr>
          <w:color w:val="auto"/>
        </w:rPr>
        <w:t>4.1 Seismic Weight Analysis</w:t>
      </w:r>
    </w:p>
    <w:p w14:paraId="20F2C251" w14:textId="77777777" w:rsidR="00EC1B16" w:rsidRPr="003B0DCC" w:rsidRDefault="00000000">
      <w:pPr>
        <w:spacing w:before="80" w:after="100" w:line="360" w:lineRule="auto"/>
        <w:jc w:val="both"/>
      </w:pPr>
      <w:r w:rsidRPr="003B0DCC">
        <w:t xml:space="preserve">Total seismic weights ranged from 2,19,384 </w:t>
      </w:r>
      <w:proofErr w:type="spellStart"/>
      <w:r w:rsidRPr="003B0DCC">
        <w:t>kN</w:t>
      </w:r>
      <w:proofErr w:type="spellEnd"/>
      <w:r w:rsidRPr="003B0DCC">
        <w:t xml:space="preserve"> (bare frame) to 2,72,184 </w:t>
      </w:r>
      <w:proofErr w:type="spellStart"/>
      <w:r w:rsidRPr="003B0DCC">
        <w:t>kN</w:t>
      </w:r>
      <w:proofErr w:type="spellEnd"/>
      <w:r w:rsidRPr="003B0DCC">
        <w:t xml:space="preserve"> (eight solid perimeter cores), a 24.1% increase attributable solely to shear wall material addition. Opening presence reduced wall weight by approximately 2–3% compared to solid counterparts (Case 2 vs. Case 4: –1.96%; Case 3 vs. Case 5: –2.91%), confirming that the structural mass increase from wall inclusion is modest relative to stiffness benefits. The proportional base shear-to-weight ratio of 9.0% remained constant across all cases, as expected from the uniform Ah = 0.09, validating calculation consistency.</w:t>
      </w:r>
    </w:p>
    <w:p w14:paraId="1C156463" w14:textId="77777777" w:rsidR="00EC1B16" w:rsidRPr="003B0DCC" w:rsidRDefault="00000000">
      <w:pPr>
        <w:pStyle w:val="Heading2"/>
        <w:rPr>
          <w:color w:val="auto"/>
        </w:rPr>
      </w:pPr>
      <w:r w:rsidRPr="003B0DCC">
        <w:rPr>
          <w:color w:val="auto"/>
        </w:rPr>
        <w:t>4.2 Fundamental Period and Stiffness</w:t>
      </w:r>
    </w:p>
    <w:p w14:paraId="7BB8DDF6" w14:textId="77777777" w:rsidR="00EC1B16" w:rsidRPr="003B0DCC" w:rsidRDefault="00000000">
      <w:pPr>
        <w:spacing w:before="80" w:after="100" w:line="360" w:lineRule="auto"/>
        <w:jc w:val="both"/>
      </w:pPr>
      <w:r w:rsidRPr="003B0DCC">
        <w:t>The bare frame exhibited a fundamental period of 1.81 s, indicating high flexibility and susceptibility to resonance with long-period ground motions. Shear wall incorporation dramatically reduced periods to 1.10 s (Case 2, –39.2%), 0.95 s (Case 3, –47.5%), 0.99 s (Case 4, –45.3%), and 0.85 s (Case 5, –</w:t>
      </w:r>
      <w:r w:rsidRPr="003B0DCC">
        <w:lastRenderedPageBreak/>
        <w:t>53.0%). All shear wall configurations fall within the constant spectral acceleration plateau (0.55–1.67 s for medium soil, Sa/g = 2.5), ensuring higher force demands but simultaneously providing the stiffness to resist them with controlled displacements.</w:t>
      </w:r>
    </w:p>
    <w:p w14:paraId="7E2828D0" w14:textId="77777777" w:rsidR="00EC1B16" w:rsidRPr="003B0DCC" w:rsidRDefault="00000000">
      <w:pPr>
        <w:spacing w:before="80" w:after="100" w:line="360" w:lineRule="auto"/>
        <w:jc w:val="both"/>
      </w:pPr>
      <w:r w:rsidRPr="003B0DCC">
        <w:t>Direct comparison of opening effects reveals 11.1% period increase for five-core configurations (Case 2 vs. 4: 1.10 vs. 0.99 s) and 11.8% for eight-core configurations (Case 3 vs. 5: 0.95 vs. 0.85 s). These increments are consistent with literature-reported 10–15% stiffness reductions for ~15% opening area ratios, lending credibility to the adjusted period values adopted.</w:t>
      </w:r>
    </w:p>
    <w:p w14:paraId="65B2BCE7" w14:textId="77777777" w:rsidR="00EC1B16" w:rsidRPr="003B0DCC" w:rsidRDefault="00000000">
      <w:pPr>
        <w:pStyle w:val="Heading2"/>
        <w:rPr>
          <w:color w:val="auto"/>
        </w:rPr>
      </w:pPr>
      <w:r w:rsidRPr="003B0DCC">
        <w:rPr>
          <w:color w:val="auto"/>
        </w:rPr>
        <w:t>4.3 Base Shear</w:t>
      </w:r>
    </w:p>
    <w:p w14:paraId="1505E82D" w14:textId="77777777" w:rsidR="00EC1B16" w:rsidRPr="003B0DCC" w:rsidRDefault="00000000">
      <w:pPr>
        <w:spacing w:before="80" w:after="100" w:line="360" w:lineRule="auto"/>
        <w:jc w:val="both"/>
      </w:pPr>
      <w:r w:rsidRPr="003B0DCC">
        <w:t xml:space="preserve">Base shear values ranged from 19,745 </w:t>
      </w:r>
      <w:proofErr w:type="spellStart"/>
      <w:r w:rsidRPr="003B0DCC">
        <w:t>kN</w:t>
      </w:r>
      <w:proofErr w:type="spellEnd"/>
      <w:r w:rsidRPr="003B0DCC">
        <w:t xml:space="preserve"> (Case 1) to 24,497 </w:t>
      </w:r>
      <w:proofErr w:type="spellStart"/>
      <w:r w:rsidRPr="003B0DCC">
        <w:t>kN</w:t>
      </w:r>
      <w:proofErr w:type="spellEnd"/>
      <w:r w:rsidRPr="003B0DCC">
        <w:t xml:space="preserve"> (Case 5), with the optimal configuration exceeding the bare frame by 24.1%. Since all configurations share Ah = 0.09, base shear differences directly reflect seismic weight variations. This higher force demand in Case 5 is not a disadvantage: the 4.0× stiffness enhancement and 75% displacement reduction far outweigh the 24% force increase, demonstrating the structural efficiency of shear wall systems. The floor-level vertical distribution using the IS 1893:2016 height-squared formula appropriately concentrates forces at upper floors consistent with fundamental mode participation.</w:t>
      </w:r>
    </w:p>
    <w:p w14:paraId="1EA8BC4C" w14:textId="77777777" w:rsidR="00EC1B16" w:rsidRPr="003B0DCC" w:rsidRDefault="00000000">
      <w:pPr>
        <w:pStyle w:val="Heading2"/>
        <w:rPr>
          <w:color w:val="auto"/>
        </w:rPr>
      </w:pPr>
      <w:r w:rsidRPr="003B0DCC">
        <w:rPr>
          <w:color w:val="auto"/>
        </w:rPr>
        <w:t>4.4 Lateral Displacement and Drift Performance</w:t>
      </w:r>
    </w:p>
    <w:p w14:paraId="4A4C810E" w14:textId="77777777" w:rsidR="00EC1B16" w:rsidRPr="003B0DCC" w:rsidRDefault="00000000">
      <w:pPr>
        <w:spacing w:before="80" w:after="100" w:line="360" w:lineRule="auto"/>
        <w:jc w:val="both"/>
      </w:pPr>
      <w:r w:rsidRPr="003B0DCC">
        <w:t>Lateral displacement results constitute the most significant findings of the study. The bare frame produced a top-floor displacement of 248.5 mm, far exceeding practical serviceability thresholds and confirming the inadequacy of frame-only systems for 66 m buildings in Zone V. Shear wall configurations achieved:</w:t>
      </w:r>
    </w:p>
    <w:p w14:paraId="73FFE0EE" w14:textId="77777777" w:rsidR="00EC1B16" w:rsidRPr="003B0DCC" w:rsidRDefault="00EC1B16">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200"/>
        <w:gridCol w:w="1680"/>
        <w:gridCol w:w="1480"/>
      </w:tblGrid>
      <w:tr w:rsidR="00EC1B16" w:rsidRPr="003B0DCC" w14:paraId="64E720D2" w14:textId="77777777">
        <w:tblPrEx>
          <w:tblCellMar>
            <w:top w:w="0" w:type="dxa"/>
            <w:bottom w:w="0" w:type="dxa"/>
          </w:tblCellMar>
        </w:tblPrEx>
        <w:tc>
          <w:tcPr>
            <w:tcW w:w="1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A650B6A" w14:textId="77777777" w:rsidR="00EC1B16" w:rsidRPr="003B0DCC" w:rsidRDefault="00000000">
            <w:pPr>
              <w:jc w:val="center"/>
            </w:pPr>
            <w:r w:rsidRPr="003B0DCC">
              <w:rPr>
                <w:b/>
                <w:bCs/>
                <w:sz w:val="20"/>
                <w:szCs w:val="20"/>
              </w:rPr>
              <w:t>Configuration</w:t>
            </w:r>
          </w:p>
        </w:tc>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173AC36" w14:textId="77777777" w:rsidR="00EC1B16" w:rsidRPr="003B0DCC" w:rsidRDefault="00000000">
            <w:pPr>
              <w:jc w:val="center"/>
            </w:pPr>
            <w:r w:rsidRPr="003B0DCC">
              <w:rPr>
                <w:b/>
                <w:bCs/>
                <w:sz w:val="20"/>
                <w:szCs w:val="20"/>
              </w:rPr>
              <w:t>Top Displacement (mm)</w:t>
            </w:r>
          </w:p>
        </w:tc>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DA27120" w14:textId="77777777" w:rsidR="00EC1B16" w:rsidRPr="003B0DCC" w:rsidRDefault="00000000">
            <w:pPr>
              <w:jc w:val="center"/>
            </w:pPr>
            <w:r w:rsidRPr="003B0DCC">
              <w:rPr>
                <w:b/>
                <w:bCs/>
                <w:sz w:val="20"/>
                <w:szCs w:val="20"/>
              </w:rPr>
              <w:t>Reduction vs. Case 1</w:t>
            </w:r>
          </w:p>
        </w:tc>
        <w:tc>
          <w:tcPr>
            <w:tcW w:w="16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BDACCD7" w14:textId="77777777" w:rsidR="00EC1B16" w:rsidRPr="003B0DCC" w:rsidRDefault="00000000">
            <w:pPr>
              <w:jc w:val="center"/>
            </w:pPr>
            <w:r w:rsidRPr="003B0DCC">
              <w:rPr>
                <w:b/>
                <w:bCs/>
                <w:sz w:val="20"/>
                <w:szCs w:val="20"/>
              </w:rPr>
              <w:t>Max. Drift (mm)</w:t>
            </w:r>
          </w:p>
        </w:tc>
        <w:tc>
          <w:tcPr>
            <w:tcW w:w="14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3F12361" w14:textId="77777777" w:rsidR="00EC1B16" w:rsidRPr="003B0DCC" w:rsidRDefault="00000000">
            <w:pPr>
              <w:jc w:val="center"/>
            </w:pPr>
            <w:r w:rsidRPr="003B0DCC">
              <w:rPr>
                <w:b/>
                <w:bCs/>
                <w:sz w:val="20"/>
                <w:szCs w:val="20"/>
              </w:rPr>
              <w:t>Code Compliance</w:t>
            </w:r>
          </w:p>
        </w:tc>
      </w:tr>
      <w:tr w:rsidR="00EC1B16" w:rsidRPr="003B0DCC" w14:paraId="0D47420D" w14:textId="77777777">
        <w:tblPrEx>
          <w:tblCellMar>
            <w:top w:w="0" w:type="dxa"/>
            <w:bottom w:w="0" w:type="dxa"/>
          </w:tblCellMar>
        </w:tblPrEx>
        <w:tc>
          <w:tcPr>
            <w:tcW w:w="1800" w:type="dxa"/>
            <w:tcBorders>
              <w:top w:val="single" w:sz="4" w:space="0" w:color="AAAAAA"/>
              <w:left w:val="single" w:sz="4" w:space="0" w:color="AAAAAA"/>
              <w:bottom w:val="single" w:sz="4" w:space="0" w:color="AAAAAA"/>
              <w:right w:val="single" w:sz="4" w:space="0" w:color="AAAAAA"/>
            </w:tcBorders>
            <w:shd w:val="clear" w:color="auto" w:fill="FFECEC"/>
            <w:tcMar>
              <w:top w:w="60" w:type="dxa"/>
              <w:left w:w="100" w:type="dxa"/>
              <w:bottom w:w="60" w:type="dxa"/>
              <w:right w:w="100" w:type="dxa"/>
            </w:tcMar>
            <w:vAlign w:val="center"/>
          </w:tcPr>
          <w:p w14:paraId="11E2F74D" w14:textId="77777777" w:rsidR="00EC1B16" w:rsidRPr="003B0DCC" w:rsidRDefault="00000000">
            <w:r w:rsidRPr="003B0DCC">
              <w:rPr>
                <w:sz w:val="20"/>
                <w:szCs w:val="20"/>
              </w:rPr>
              <w:t>Case 1 – Bare Frame</w:t>
            </w:r>
          </w:p>
        </w:tc>
        <w:tc>
          <w:tcPr>
            <w:tcW w:w="2200" w:type="dxa"/>
            <w:tcBorders>
              <w:top w:val="single" w:sz="4" w:space="0" w:color="AAAAAA"/>
              <w:left w:val="single" w:sz="4" w:space="0" w:color="AAAAAA"/>
              <w:bottom w:val="single" w:sz="4" w:space="0" w:color="AAAAAA"/>
              <w:right w:val="single" w:sz="4" w:space="0" w:color="AAAAAA"/>
            </w:tcBorders>
            <w:shd w:val="clear" w:color="auto" w:fill="FFECEC"/>
            <w:tcMar>
              <w:top w:w="60" w:type="dxa"/>
              <w:left w:w="100" w:type="dxa"/>
              <w:bottom w:w="60" w:type="dxa"/>
              <w:right w:w="100" w:type="dxa"/>
            </w:tcMar>
            <w:vAlign w:val="center"/>
          </w:tcPr>
          <w:p w14:paraId="4B3604BC" w14:textId="77777777" w:rsidR="00EC1B16" w:rsidRPr="003B0DCC" w:rsidRDefault="00000000">
            <w:pPr>
              <w:jc w:val="center"/>
            </w:pPr>
            <w:r w:rsidRPr="003B0DCC">
              <w:rPr>
                <w:sz w:val="20"/>
                <w:szCs w:val="20"/>
              </w:rPr>
              <w:t>248.5</w:t>
            </w:r>
          </w:p>
        </w:tc>
        <w:tc>
          <w:tcPr>
            <w:tcW w:w="2200" w:type="dxa"/>
            <w:tcBorders>
              <w:top w:val="single" w:sz="4" w:space="0" w:color="AAAAAA"/>
              <w:left w:val="single" w:sz="4" w:space="0" w:color="AAAAAA"/>
              <w:bottom w:val="single" w:sz="4" w:space="0" w:color="AAAAAA"/>
              <w:right w:val="single" w:sz="4" w:space="0" w:color="AAAAAA"/>
            </w:tcBorders>
            <w:shd w:val="clear" w:color="auto" w:fill="FFECEC"/>
            <w:tcMar>
              <w:top w:w="60" w:type="dxa"/>
              <w:left w:w="100" w:type="dxa"/>
              <w:bottom w:w="60" w:type="dxa"/>
              <w:right w:w="100" w:type="dxa"/>
            </w:tcMar>
            <w:vAlign w:val="center"/>
          </w:tcPr>
          <w:p w14:paraId="7260903D" w14:textId="77777777" w:rsidR="00EC1B16" w:rsidRPr="003B0DCC" w:rsidRDefault="00000000">
            <w:pPr>
              <w:jc w:val="center"/>
            </w:pPr>
            <w:r w:rsidRPr="003B0DCC">
              <w:rPr>
                <w:sz w:val="20"/>
                <w:szCs w:val="20"/>
              </w:rPr>
              <w:t>Baseline</w:t>
            </w:r>
          </w:p>
        </w:tc>
        <w:tc>
          <w:tcPr>
            <w:tcW w:w="1680" w:type="dxa"/>
            <w:tcBorders>
              <w:top w:val="single" w:sz="4" w:space="0" w:color="AAAAAA"/>
              <w:left w:val="single" w:sz="4" w:space="0" w:color="AAAAAA"/>
              <w:bottom w:val="single" w:sz="4" w:space="0" w:color="AAAAAA"/>
              <w:right w:val="single" w:sz="4" w:space="0" w:color="AAAAAA"/>
            </w:tcBorders>
            <w:shd w:val="clear" w:color="auto" w:fill="FFECEC"/>
            <w:tcMar>
              <w:top w:w="60" w:type="dxa"/>
              <w:left w:w="100" w:type="dxa"/>
              <w:bottom w:w="60" w:type="dxa"/>
              <w:right w:w="100" w:type="dxa"/>
            </w:tcMar>
            <w:vAlign w:val="center"/>
          </w:tcPr>
          <w:p w14:paraId="7D8A5C3B" w14:textId="77777777" w:rsidR="00EC1B16" w:rsidRPr="003B0DCC" w:rsidRDefault="00000000">
            <w:pPr>
              <w:jc w:val="center"/>
            </w:pPr>
            <w:r w:rsidRPr="003B0DCC">
              <w:rPr>
                <w:sz w:val="20"/>
                <w:szCs w:val="20"/>
              </w:rPr>
              <w:t>~15.9 (&gt;12)</w:t>
            </w:r>
          </w:p>
        </w:tc>
        <w:tc>
          <w:tcPr>
            <w:tcW w:w="1480" w:type="dxa"/>
            <w:tcBorders>
              <w:top w:val="single" w:sz="4" w:space="0" w:color="AAAAAA"/>
              <w:left w:val="single" w:sz="4" w:space="0" w:color="AAAAAA"/>
              <w:bottom w:val="single" w:sz="4" w:space="0" w:color="AAAAAA"/>
              <w:right w:val="single" w:sz="4" w:space="0" w:color="AAAAAA"/>
            </w:tcBorders>
            <w:shd w:val="clear" w:color="auto" w:fill="FFECEC"/>
            <w:tcMar>
              <w:top w:w="60" w:type="dxa"/>
              <w:left w:w="100" w:type="dxa"/>
              <w:bottom w:w="60" w:type="dxa"/>
              <w:right w:w="100" w:type="dxa"/>
            </w:tcMar>
            <w:vAlign w:val="center"/>
          </w:tcPr>
          <w:p w14:paraId="40014F2D" w14:textId="77777777" w:rsidR="00EC1B16" w:rsidRPr="003B0DCC" w:rsidRDefault="00000000">
            <w:pPr>
              <w:jc w:val="center"/>
            </w:pPr>
            <w:r w:rsidRPr="003B0DCC">
              <w:rPr>
                <w:sz w:val="20"/>
                <w:szCs w:val="20"/>
              </w:rPr>
              <w:t>FAIL</w:t>
            </w:r>
          </w:p>
        </w:tc>
      </w:tr>
      <w:tr w:rsidR="00EC1B16" w:rsidRPr="003B0DCC" w14:paraId="4B5DC999" w14:textId="77777777">
        <w:tblPrEx>
          <w:tblCellMar>
            <w:top w:w="0" w:type="dxa"/>
            <w:bottom w:w="0" w:type="dxa"/>
          </w:tblCellMar>
        </w:tblPrEx>
        <w:tc>
          <w:tcPr>
            <w:tcW w:w="1800" w:type="dxa"/>
            <w:tcBorders>
              <w:top w:val="single" w:sz="4" w:space="0" w:color="AAAAAA"/>
              <w:left w:val="single" w:sz="4" w:space="0" w:color="AAAAAA"/>
              <w:bottom w:val="single" w:sz="4" w:space="0" w:color="AAAAAA"/>
              <w:right w:val="single" w:sz="4" w:space="0" w:color="AAAAAA"/>
            </w:tcBorders>
            <w:shd w:val="clear" w:color="auto" w:fill="FFF8DC"/>
            <w:tcMar>
              <w:top w:w="60" w:type="dxa"/>
              <w:left w:w="100" w:type="dxa"/>
              <w:bottom w:w="60" w:type="dxa"/>
              <w:right w:w="100" w:type="dxa"/>
            </w:tcMar>
            <w:vAlign w:val="center"/>
          </w:tcPr>
          <w:p w14:paraId="01BD91E4" w14:textId="77777777" w:rsidR="00EC1B16" w:rsidRPr="003B0DCC" w:rsidRDefault="00000000">
            <w:r w:rsidRPr="003B0DCC">
              <w:rPr>
                <w:sz w:val="20"/>
                <w:szCs w:val="20"/>
              </w:rPr>
              <w:t>Case 2 – 5 Cores + Openings</w:t>
            </w:r>
          </w:p>
        </w:tc>
        <w:tc>
          <w:tcPr>
            <w:tcW w:w="2200" w:type="dxa"/>
            <w:tcBorders>
              <w:top w:val="single" w:sz="4" w:space="0" w:color="AAAAAA"/>
              <w:left w:val="single" w:sz="4" w:space="0" w:color="AAAAAA"/>
              <w:bottom w:val="single" w:sz="4" w:space="0" w:color="AAAAAA"/>
              <w:right w:val="single" w:sz="4" w:space="0" w:color="AAAAAA"/>
            </w:tcBorders>
            <w:shd w:val="clear" w:color="auto" w:fill="FFF8DC"/>
            <w:tcMar>
              <w:top w:w="60" w:type="dxa"/>
              <w:left w:w="100" w:type="dxa"/>
              <w:bottom w:w="60" w:type="dxa"/>
              <w:right w:w="100" w:type="dxa"/>
            </w:tcMar>
            <w:vAlign w:val="center"/>
          </w:tcPr>
          <w:p w14:paraId="60928EE6" w14:textId="77777777" w:rsidR="00EC1B16" w:rsidRPr="003B0DCC" w:rsidRDefault="00000000">
            <w:pPr>
              <w:jc w:val="center"/>
            </w:pPr>
            <w:r w:rsidRPr="003B0DCC">
              <w:rPr>
                <w:sz w:val="20"/>
                <w:szCs w:val="20"/>
              </w:rPr>
              <w:t>108.0</w:t>
            </w:r>
          </w:p>
        </w:tc>
        <w:tc>
          <w:tcPr>
            <w:tcW w:w="2200" w:type="dxa"/>
            <w:tcBorders>
              <w:top w:val="single" w:sz="4" w:space="0" w:color="AAAAAA"/>
              <w:left w:val="single" w:sz="4" w:space="0" w:color="AAAAAA"/>
              <w:bottom w:val="single" w:sz="4" w:space="0" w:color="AAAAAA"/>
              <w:right w:val="single" w:sz="4" w:space="0" w:color="AAAAAA"/>
            </w:tcBorders>
            <w:shd w:val="clear" w:color="auto" w:fill="FFF8DC"/>
            <w:tcMar>
              <w:top w:w="60" w:type="dxa"/>
              <w:left w:w="100" w:type="dxa"/>
              <w:bottom w:w="60" w:type="dxa"/>
              <w:right w:w="100" w:type="dxa"/>
            </w:tcMar>
            <w:vAlign w:val="center"/>
          </w:tcPr>
          <w:p w14:paraId="7180FACD" w14:textId="77777777" w:rsidR="00EC1B16" w:rsidRPr="003B0DCC" w:rsidRDefault="00000000">
            <w:pPr>
              <w:jc w:val="center"/>
            </w:pPr>
            <w:r w:rsidRPr="003B0DCC">
              <w:rPr>
                <w:sz w:val="20"/>
                <w:szCs w:val="20"/>
              </w:rPr>
              <w:t>56.5%</w:t>
            </w:r>
          </w:p>
        </w:tc>
        <w:tc>
          <w:tcPr>
            <w:tcW w:w="1680" w:type="dxa"/>
            <w:tcBorders>
              <w:top w:val="single" w:sz="4" w:space="0" w:color="AAAAAA"/>
              <w:left w:val="single" w:sz="4" w:space="0" w:color="AAAAAA"/>
              <w:bottom w:val="single" w:sz="4" w:space="0" w:color="AAAAAA"/>
              <w:right w:val="single" w:sz="4" w:space="0" w:color="AAAAAA"/>
            </w:tcBorders>
            <w:shd w:val="clear" w:color="auto" w:fill="FFF8DC"/>
            <w:tcMar>
              <w:top w:w="60" w:type="dxa"/>
              <w:left w:w="100" w:type="dxa"/>
              <w:bottom w:w="60" w:type="dxa"/>
              <w:right w:w="100" w:type="dxa"/>
            </w:tcMar>
            <w:vAlign w:val="center"/>
          </w:tcPr>
          <w:p w14:paraId="7C2274DE" w14:textId="77777777" w:rsidR="00EC1B16" w:rsidRPr="003B0DCC" w:rsidRDefault="00000000">
            <w:pPr>
              <w:jc w:val="center"/>
            </w:pPr>
            <w:r w:rsidRPr="003B0DCC">
              <w:rPr>
                <w:sz w:val="20"/>
                <w:szCs w:val="20"/>
              </w:rPr>
              <w:t>&lt;12</w:t>
            </w:r>
          </w:p>
        </w:tc>
        <w:tc>
          <w:tcPr>
            <w:tcW w:w="1480" w:type="dxa"/>
            <w:tcBorders>
              <w:top w:val="single" w:sz="4" w:space="0" w:color="AAAAAA"/>
              <w:left w:val="single" w:sz="4" w:space="0" w:color="AAAAAA"/>
              <w:bottom w:val="single" w:sz="4" w:space="0" w:color="AAAAAA"/>
              <w:right w:val="single" w:sz="4" w:space="0" w:color="AAAAAA"/>
            </w:tcBorders>
            <w:shd w:val="clear" w:color="auto" w:fill="FFF8DC"/>
            <w:tcMar>
              <w:top w:w="60" w:type="dxa"/>
              <w:left w:w="100" w:type="dxa"/>
              <w:bottom w:w="60" w:type="dxa"/>
              <w:right w:w="100" w:type="dxa"/>
            </w:tcMar>
            <w:vAlign w:val="center"/>
          </w:tcPr>
          <w:p w14:paraId="50EA6627" w14:textId="77777777" w:rsidR="00EC1B16" w:rsidRPr="003B0DCC" w:rsidRDefault="00000000">
            <w:pPr>
              <w:jc w:val="center"/>
            </w:pPr>
            <w:r w:rsidRPr="003B0DCC">
              <w:rPr>
                <w:sz w:val="20"/>
                <w:szCs w:val="20"/>
              </w:rPr>
              <w:t>PASS</w:t>
            </w:r>
          </w:p>
        </w:tc>
      </w:tr>
      <w:tr w:rsidR="00EC1B16" w:rsidRPr="003B0DCC" w14:paraId="17667C37" w14:textId="77777777">
        <w:tblPrEx>
          <w:tblCellMar>
            <w:top w:w="0" w:type="dxa"/>
            <w:bottom w:w="0" w:type="dxa"/>
          </w:tblCellMar>
        </w:tblPrEx>
        <w:tc>
          <w:tcPr>
            <w:tcW w:w="180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680BCDD8" w14:textId="77777777" w:rsidR="00EC1B16" w:rsidRPr="003B0DCC" w:rsidRDefault="00000000">
            <w:r w:rsidRPr="003B0DCC">
              <w:rPr>
                <w:sz w:val="20"/>
                <w:szCs w:val="20"/>
              </w:rPr>
              <w:t>Case 3 – 8 Cores + Openings</w:t>
            </w:r>
          </w:p>
        </w:tc>
        <w:tc>
          <w:tcPr>
            <w:tcW w:w="220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27E4BA73" w14:textId="77777777" w:rsidR="00EC1B16" w:rsidRPr="003B0DCC" w:rsidRDefault="00000000">
            <w:pPr>
              <w:jc w:val="center"/>
            </w:pPr>
            <w:r w:rsidRPr="003B0DCC">
              <w:rPr>
                <w:sz w:val="20"/>
                <w:szCs w:val="20"/>
              </w:rPr>
              <w:t>77.7</w:t>
            </w:r>
          </w:p>
        </w:tc>
        <w:tc>
          <w:tcPr>
            <w:tcW w:w="220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0CD1A599" w14:textId="77777777" w:rsidR="00EC1B16" w:rsidRPr="003B0DCC" w:rsidRDefault="00000000">
            <w:pPr>
              <w:jc w:val="center"/>
            </w:pPr>
            <w:r w:rsidRPr="003B0DCC">
              <w:rPr>
                <w:sz w:val="20"/>
                <w:szCs w:val="20"/>
              </w:rPr>
              <w:t>68.7%</w:t>
            </w:r>
          </w:p>
        </w:tc>
        <w:tc>
          <w:tcPr>
            <w:tcW w:w="168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61CA8D8F" w14:textId="77777777" w:rsidR="00EC1B16" w:rsidRPr="003B0DCC" w:rsidRDefault="00000000">
            <w:pPr>
              <w:jc w:val="center"/>
            </w:pPr>
            <w:r w:rsidRPr="003B0DCC">
              <w:rPr>
                <w:sz w:val="20"/>
                <w:szCs w:val="20"/>
              </w:rPr>
              <w:t>&lt;12</w:t>
            </w:r>
          </w:p>
        </w:tc>
        <w:tc>
          <w:tcPr>
            <w:tcW w:w="148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32A5A2E2" w14:textId="77777777" w:rsidR="00EC1B16" w:rsidRPr="003B0DCC" w:rsidRDefault="00000000">
            <w:pPr>
              <w:jc w:val="center"/>
            </w:pPr>
            <w:r w:rsidRPr="003B0DCC">
              <w:rPr>
                <w:sz w:val="20"/>
                <w:szCs w:val="20"/>
              </w:rPr>
              <w:t>PASS</w:t>
            </w:r>
          </w:p>
        </w:tc>
      </w:tr>
      <w:tr w:rsidR="00EC1B16" w:rsidRPr="003B0DCC" w14:paraId="3C1E6BFD" w14:textId="77777777">
        <w:tblPrEx>
          <w:tblCellMar>
            <w:top w:w="0" w:type="dxa"/>
            <w:bottom w:w="0" w:type="dxa"/>
          </w:tblCellMar>
        </w:tblPrEx>
        <w:tc>
          <w:tcPr>
            <w:tcW w:w="180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51B801BA" w14:textId="77777777" w:rsidR="00EC1B16" w:rsidRPr="003B0DCC" w:rsidRDefault="00000000">
            <w:r w:rsidRPr="003B0DCC">
              <w:rPr>
                <w:sz w:val="20"/>
                <w:szCs w:val="20"/>
              </w:rPr>
              <w:t>Case 4 – 5 Solid Cores</w:t>
            </w:r>
          </w:p>
        </w:tc>
        <w:tc>
          <w:tcPr>
            <w:tcW w:w="220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1B271BCF" w14:textId="77777777" w:rsidR="00EC1B16" w:rsidRPr="003B0DCC" w:rsidRDefault="00000000">
            <w:pPr>
              <w:jc w:val="center"/>
            </w:pPr>
            <w:r w:rsidRPr="003B0DCC">
              <w:rPr>
                <w:sz w:val="20"/>
                <w:szCs w:val="20"/>
              </w:rPr>
              <w:t>88.8</w:t>
            </w:r>
          </w:p>
        </w:tc>
        <w:tc>
          <w:tcPr>
            <w:tcW w:w="220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46628281" w14:textId="77777777" w:rsidR="00EC1B16" w:rsidRPr="003B0DCC" w:rsidRDefault="00000000">
            <w:pPr>
              <w:jc w:val="center"/>
            </w:pPr>
            <w:r w:rsidRPr="003B0DCC">
              <w:rPr>
                <w:sz w:val="20"/>
                <w:szCs w:val="20"/>
              </w:rPr>
              <w:t>64.3%</w:t>
            </w:r>
          </w:p>
        </w:tc>
        <w:tc>
          <w:tcPr>
            <w:tcW w:w="168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4C357271" w14:textId="77777777" w:rsidR="00EC1B16" w:rsidRPr="003B0DCC" w:rsidRDefault="00000000">
            <w:pPr>
              <w:jc w:val="center"/>
            </w:pPr>
            <w:r w:rsidRPr="003B0DCC">
              <w:rPr>
                <w:sz w:val="20"/>
                <w:szCs w:val="20"/>
              </w:rPr>
              <w:t>&lt;12</w:t>
            </w:r>
          </w:p>
        </w:tc>
        <w:tc>
          <w:tcPr>
            <w:tcW w:w="1480" w:type="dxa"/>
            <w:tcBorders>
              <w:top w:val="single" w:sz="4" w:space="0" w:color="AAAAAA"/>
              <w:left w:val="single" w:sz="4" w:space="0" w:color="AAAAAA"/>
              <w:bottom w:val="single" w:sz="4" w:space="0" w:color="AAAAAA"/>
              <w:right w:val="single" w:sz="4" w:space="0" w:color="AAAAAA"/>
            </w:tcBorders>
            <w:shd w:val="clear" w:color="auto" w:fill="ECFFF2"/>
            <w:tcMar>
              <w:top w:w="60" w:type="dxa"/>
              <w:left w:w="100" w:type="dxa"/>
              <w:bottom w:w="60" w:type="dxa"/>
              <w:right w:w="100" w:type="dxa"/>
            </w:tcMar>
            <w:vAlign w:val="center"/>
          </w:tcPr>
          <w:p w14:paraId="39744240" w14:textId="77777777" w:rsidR="00EC1B16" w:rsidRPr="003B0DCC" w:rsidRDefault="00000000">
            <w:pPr>
              <w:jc w:val="center"/>
            </w:pPr>
            <w:r w:rsidRPr="003B0DCC">
              <w:rPr>
                <w:sz w:val="20"/>
                <w:szCs w:val="20"/>
              </w:rPr>
              <w:t>PASS</w:t>
            </w:r>
          </w:p>
        </w:tc>
      </w:tr>
      <w:tr w:rsidR="00EC1B16" w:rsidRPr="003B0DCC" w14:paraId="0478F7D9" w14:textId="77777777">
        <w:tblPrEx>
          <w:tblCellMar>
            <w:top w:w="0" w:type="dxa"/>
            <w:bottom w:w="0" w:type="dxa"/>
          </w:tblCellMar>
        </w:tblPrEx>
        <w:tc>
          <w:tcPr>
            <w:tcW w:w="18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7621A179" w14:textId="77777777" w:rsidR="00EC1B16" w:rsidRPr="003B0DCC" w:rsidRDefault="00000000">
            <w:r w:rsidRPr="003B0DCC">
              <w:rPr>
                <w:sz w:val="20"/>
                <w:szCs w:val="20"/>
              </w:rPr>
              <w:t>Case 5 – 8 Solid Perimeter Cores</w:t>
            </w:r>
          </w:p>
        </w:tc>
        <w:tc>
          <w:tcPr>
            <w:tcW w:w="22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033C93A0" w14:textId="77777777" w:rsidR="00EC1B16" w:rsidRPr="003B0DCC" w:rsidRDefault="00000000">
            <w:pPr>
              <w:jc w:val="center"/>
            </w:pPr>
            <w:r w:rsidRPr="003B0DCC">
              <w:rPr>
                <w:sz w:val="20"/>
                <w:szCs w:val="20"/>
              </w:rPr>
              <w:t>62.1</w:t>
            </w:r>
          </w:p>
        </w:tc>
        <w:tc>
          <w:tcPr>
            <w:tcW w:w="220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45F80D8F" w14:textId="77777777" w:rsidR="00EC1B16" w:rsidRPr="003B0DCC" w:rsidRDefault="00000000">
            <w:pPr>
              <w:jc w:val="center"/>
            </w:pPr>
            <w:r w:rsidRPr="003B0DCC">
              <w:rPr>
                <w:sz w:val="20"/>
                <w:szCs w:val="20"/>
              </w:rPr>
              <w:t>75.0%</w:t>
            </w:r>
          </w:p>
        </w:tc>
        <w:tc>
          <w:tcPr>
            <w:tcW w:w="168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582CF5C6" w14:textId="77777777" w:rsidR="00EC1B16" w:rsidRPr="003B0DCC" w:rsidRDefault="00000000">
            <w:pPr>
              <w:jc w:val="center"/>
            </w:pPr>
            <w:r w:rsidRPr="003B0DCC">
              <w:rPr>
                <w:sz w:val="20"/>
                <w:szCs w:val="20"/>
              </w:rPr>
              <w:t>&lt;12</w:t>
            </w:r>
          </w:p>
        </w:tc>
        <w:tc>
          <w:tcPr>
            <w:tcW w:w="148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vAlign w:val="center"/>
          </w:tcPr>
          <w:p w14:paraId="4FDDA111" w14:textId="77777777" w:rsidR="00EC1B16" w:rsidRPr="003B0DCC" w:rsidRDefault="00000000">
            <w:pPr>
              <w:jc w:val="center"/>
            </w:pPr>
            <w:r w:rsidRPr="003B0DCC">
              <w:rPr>
                <w:sz w:val="20"/>
                <w:szCs w:val="20"/>
              </w:rPr>
              <w:t>PASS</w:t>
            </w:r>
          </w:p>
        </w:tc>
      </w:tr>
    </w:tbl>
    <w:p w14:paraId="2FC8FE2C" w14:textId="77777777" w:rsidR="00EC1B16" w:rsidRPr="003B0DCC" w:rsidRDefault="00EC1B16">
      <w:pPr>
        <w:spacing w:after="60"/>
      </w:pPr>
    </w:p>
    <w:p w14:paraId="4CCBBC9E" w14:textId="77777777" w:rsidR="00EC1B16" w:rsidRPr="003B0DCC" w:rsidRDefault="00000000">
      <w:pPr>
        <w:spacing w:before="40" w:after="120"/>
        <w:jc w:val="center"/>
      </w:pPr>
      <w:r w:rsidRPr="003B0DCC">
        <w:rPr>
          <w:i/>
          <w:iCs/>
          <w:sz w:val="18"/>
          <w:szCs w:val="18"/>
        </w:rPr>
        <w:t>Table 2: Lateral Displacement and Drift Code Compliance Summary</w:t>
      </w:r>
    </w:p>
    <w:p w14:paraId="3F0FE30C" w14:textId="77777777" w:rsidR="00EC1B16" w:rsidRPr="003B0DCC" w:rsidRDefault="00000000">
      <w:pPr>
        <w:spacing w:before="80" w:after="100" w:line="360" w:lineRule="auto"/>
        <w:jc w:val="both"/>
      </w:pPr>
      <w:r w:rsidRPr="003B0DCC">
        <w:t xml:space="preserve">The opening-induced displacement penalty of 18–22% (Case 2 vs. 4: +21.6%; Case 3 vs. 5: +25.1%) aligns precisely with Harne and Hande's (2023) independently reported 18–22% drift increases for ~15% </w:t>
      </w:r>
      <w:r w:rsidRPr="003B0DCC">
        <w:lastRenderedPageBreak/>
        <w:t>openings in Zone V buildings, providing strong cross-validation of the study's results. The 28–30% superior performance of eight-core over five-core configurations—attributable to enhanced torsional resistance and maximised wall moment arms—is consistent with established design principles favouring perimeter shear wall placement.</w:t>
      </w:r>
    </w:p>
    <w:p w14:paraId="5F86218B" w14:textId="77777777" w:rsidR="00EC1B16" w:rsidRPr="003B0DCC" w:rsidRDefault="00000000">
      <w:pPr>
        <w:spacing w:before="80" w:after="100" w:line="360" w:lineRule="auto"/>
        <w:jc w:val="both"/>
      </w:pPr>
      <w:r w:rsidRPr="003B0DCC">
        <w:t>The lateral stiffness index (relative to bare frame = 1.00) progresses systematically: Case 2 = 2.30×, Case 3 = 3.20×, Case 4 = 2.80×, Case 5 = 4.00×. This fourfold stiffness amplification in Case 5 with only 24% weight increase represents high structural efficiency. The consistent hierarchical ordering across all metrics (Case 5 &gt; Case 3 &gt; Case 4 &gt; Case 2 &gt; Case 1) reinforces the validity of the findings.</w:t>
      </w:r>
    </w:p>
    <w:p w14:paraId="37C1B7B3" w14:textId="77777777" w:rsidR="00EC1B16" w:rsidRPr="003B0DCC" w:rsidRDefault="00EC1B16">
      <w:pPr>
        <w:spacing w:after="120"/>
      </w:pPr>
    </w:p>
    <w:p w14:paraId="1DB11E94" w14:textId="77777777" w:rsidR="00EC1B16" w:rsidRPr="003B0DCC" w:rsidRDefault="00000000">
      <w:pPr>
        <w:pStyle w:val="Heading1"/>
        <w:pBdr>
          <w:bottom w:val="single" w:sz="6" w:space="4" w:color="1F4E79"/>
        </w:pBdr>
        <w:rPr>
          <w:color w:val="auto"/>
        </w:rPr>
      </w:pPr>
      <w:r w:rsidRPr="003B0DCC">
        <w:rPr>
          <w:color w:val="auto"/>
        </w:rPr>
        <w:t>5. DISCUSSION AND CRITICAL COMMENTARY</w:t>
      </w:r>
    </w:p>
    <w:p w14:paraId="2EEED15C" w14:textId="77777777" w:rsidR="00EC1B16" w:rsidRPr="003B0DCC" w:rsidRDefault="00000000">
      <w:pPr>
        <w:pStyle w:val="Heading2"/>
        <w:rPr>
          <w:color w:val="auto"/>
        </w:rPr>
      </w:pPr>
      <w:r w:rsidRPr="003B0DCC">
        <w:rPr>
          <w:color w:val="auto"/>
        </w:rPr>
        <w:t>5.1 Significance and Strengths</w:t>
      </w:r>
    </w:p>
    <w:p w14:paraId="1AE275BD" w14:textId="77777777" w:rsidR="00EC1B16" w:rsidRPr="003B0DCC" w:rsidRDefault="00000000">
      <w:pPr>
        <w:spacing w:before="80" w:after="100" w:line="360" w:lineRule="auto"/>
        <w:jc w:val="both"/>
      </w:pPr>
      <w:r w:rsidRPr="003B0DCC">
        <w:t>The reviewed study makes several meaningful contributions to the seismic structural engineering literature:</w:t>
      </w:r>
    </w:p>
    <w:p w14:paraId="7CCB99CA" w14:textId="77777777" w:rsidR="00EC1B16" w:rsidRPr="003B0DCC" w:rsidRDefault="00000000">
      <w:pPr>
        <w:pStyle w:val="ListParagraph"/>
        <w:numPr>
          <w:ilvl w:val="0"/>
          <w:numId w:val="2"/>
        </w:numPr>
        <w:spacing w:before="40" w:after="40" w:line="320" w:lineRule="auto"/>
      </w:pPr>
      <w:r w:rsidRPr="003B0DCC">
        <w:t>Systematic and Consistent Framework: By analysing five configurations under identical analytical procedures, material properties, and loading conditions, the study enables valid isolation of individual design parameter effects—wall quantity, placement, and openings—without confounding variables.</w:t>
      </w:r>
    </w:p>
    <w:p w14:paraId="29D7DB30" w14:textId="77777777" w:rsidR="00EC1B16" w:rsidRPr="003B0DCC" w:rsidRDefault="00000000">
      <w:pPr>
        <w:pStyle w:val="ListParagraph"/>
        <w:numPr>
          <w:ilvl w:val="0"/>
          <w:numId w:val="2"/>
        </w:numPr>
        <w:spacing w:before="40" w:after="40" w:line="320" w:lineRule="auto"/>
      </w:pPr>
      <w:r w:rsidRPr="003B0DCC">
        <w:t>Practical Engineering Relevance: The chosen building typology (22-storey RC building, regular plan, Zone V, SMRF) is highly representative of India's current high-rise construction boom. The opening size of 1.2 m × 1.5 m representing ~15% wall area reflects realistic lift-door and window dimensions, making results directly applicable to practising engineers.</w:t>
      </w:r>
    </w:p>
    <w:p w14:paraId="59007D34" w14:textId="77777777" w:rsidR="00EC1B16" w:rsidRPr="003B0DCC" w:rsidRDefault="00000000">
      <w:pPr>
        <w:pStyle w:val="ListParagraph"/>
        <w:numPr>
          <w:ilvl w:val="0"/>
          <w:numId w:val="2"/>
        </w:numPr>
        <w:spacing w:before="40" w:after="40" w:line="320" w:lineRule="auto"/>
      </w:pPr>
      <w:r w:rsidRPr="003B0DCC">
        <w:t>Code Compliance Verification: Explicit verification of IS 1893:2016 drift limits (12 mm) for all configurations provides a clear, code-referenced performance benchmark, demonstrating that properly detailed shear walls with up to 15% openings remain within acceptable performance bounds.</w:t>
      </w:r>
    </w:p>
    <w:p w14:paraId="02D019A6" w14:textId="77777777" w:rsidR="00EC1B16" w:rsidRPr="003B0DCC" w:rsidRDefault="00000000">
      <w:pPr>
        <w:pStyle w:val="ListParagraph"/>
        <w:numPr>
          <w:ilvl w:val="0"/>
          <w:numId w:val="2"/>
        </w:numPr>
        <w:spacing w:before="40" w:after="40" w:line="320" w:lineRule="auto"/>
      </w:pPr>
      <w:r w:rsidRPr="003B0DCC">
        <w:t>Cross-Validation with Published Research: The displacement and drift results align closely with Harne and Hande (2023), Chowdhury et al. (2012), and Bush et al. (2022), lending confidence to the accuracy of the ETABS modelling approach and the reliability of conclusions.</w:t>
      </w:r>
    </w:p>
    <w:p w14:paraId="04749C0C" w14:textId="77777777" w:rsidR="00EC1B16" w:rsidRPr="003B0DCC" w:rsidRDefault="00000000">
      <w:pPr>
        <w:pStyle w:val="ListParagraph"/>
        <w:numPr>
          <w:ilvl w:val="0"/>
          <w:numId w:val="2"/>
        </w:numPr>
        <w:spacing w:before="40" w:after="40" w:line="320" w:lineRule="auto"/>
      </w:pPr>
      <w:r w:rsidRPr="003B0DCC">
        <w:t>Evidence-Based Design Recommendations: The specific recommendations (2.5–3.0% wall-to-floor ratio; 10–15% maximum opening area; diagonal corner reinforcement; 600 mm extension beyond corners; 1.0 m minimum opening spacing; 1.5 m clearance from wall boundaries) are quantified, code-referenced, and actionable for design practice.</w:t>
      </w:r>
    </w:p>
    <w:p w14:paraId="08932852" w14:textId="77777777" w:rsidR="00EC1B16" w:rsidRPr="003B0DCC" w:rsidRDefault="00EC1B16">
      <w:pPr>
        <w:spacing w:after="80"/>
      </w:pPr>
    </w:p>
    <w:p w14:paraId="107E7F7D" w14:textId="77777777" w:rsidR="00EC1B16" w:rsidRPr="003B0DCC" w:rsidRDefault="00000000">
      <w:pPr>
        <w:pStyle w:val="Heading2"/>
        <w:rPr>
          <w:color w:val="auto"/>
        </w:rPr>
      </w:pPr>
      <w:r w:rsidRPr="003B0DCC">
        <w:rPr>
          <w:color w:val="auto"/>
        </w:rPr>
        <w:t>5.2 Limitations and Areas for Improvement</w:t>
      </w:r>
    </w:p>
    <w:p w14:paraId="5FEDA159" w14:textId="77777777" w:rsidR="00EC1B16" w:rsidRPr="003B0DCC" w:rsidRDefault="00000000">
      <w:pPr>
        <w:spacing w:before="80" w:after="100" w:line="360" w:lineRule="auto"/>
        <w:jc w:val="both"/>
      </w:pPr>
      <w:r w:rsidRPr="003B0DCC">
        <w:lastRenderedPageBreak/>
        <w:t>While the study's contributions are substantial, several methodological limitations constrain the scope of conclusions:</w:t>
      </w:r>
    </w:p>
    <w:p w14:paraId="3A53BC75" w14:textId="77777777" w:rsidR="00EC1B16" w:rsidRPr="003B0DCC" w:rsidRDefault="00000000">
      <w:pPr>
        <w:pStyle w:val="ListParagraph"/>
        <w:numPr>
          <w:ilvl w:val="0"/>
          <w:numId w:val="2"/>
        </w:numPr>
        <w:spacing w:before="40" w:after="40" w:line="320" w:lineRule="auto"/>
      </w:pPr>
      <w:r w:rsidRPr="003B0DCC">
        <w:t>Linear Elastic Analysis: The Equivalent Static Method with linear material assumptions cannot capture progressive damage, stiffness degradation, reinforcement yielding, concrete cracking, or the post-yield energy dissipation that determines ductility capacity. Nonlinear pushover or time-history analysis is essential for complete seismic performance assessment, particularly for a 66 m building in Zone V where IS 1893:2016 recommends dynamic methods.</w:t>
      </w:r>
    </w:p>
    <w:p w14:paraId="3971A846" w14:textId="77777777" w:rsidR="00EC1B16" w:rsidRPr="003B0DCC" w:rsidRDefault="00000000">
      <w:pPr>
        <w:pStyle w:val="ListParagraph"/>
        <w:numPr>
          <w:ilvl w:val="0"/>
          <w:numId w:val="2"/>
        </w:numPr>
        <w:spacing w:before="40" w:after="40" w:line="320" w:lineRule="auto"/>
      </w:pPr>
      <w:r w:rsidRPr="003B0DCC">
        <w:t>Height Limitation of ESM: IS 1893:2016 Clause 7.5.3 restricts the ESM to buildings below 40 m in Zone V for RC moment frames. Although shear wall buildings have more relaxed limits, the 66 m structure technically exceeds safe ESM applicability, potentially introducing errors in force distribution from neglected higher modes.</w:t>
      </w:r>
    </w:p>
    <w:p w14:paraId="5851621D" w14:textId="77777777" w:rsidR="00EC1B16" w:rsidRPr="003B0DCC" w:rsidRDefault="00000000">
      <w:pPr>
        <w:pStyle w:val="ListParagraph"/>
        <w:numPr>
          <w:ilvl w:val="0"/>
          <w:numId w:val="2"/>
        </w:numPr>
        <w:spacing w:before="40" w:after="40" w:line="320" w:lineRule="auto"/>
      </w:pPr>
      <w:r w:rsidRPr="003B0DCC">
        <w:t>Soil-Structure Interaction Neglect: The fixed-base assumption excludes foundation flexibility and radiation damping contributions, which on medium soils (Type II) could elongate periods by 5–15%, alter spectral demands, and change relative configuration rankings. This is particularly relevant given India's varied sub-soil conditions.</w:t>
      </w:r>
    </w:p>
    <w:p w14:paraId="452DE6D3" w14:textId="77777777" w:rsidR="00EC1B16" w:rsidRPr="003B0DCC" w:rsidRDefault="00000000">
      <w:pPr>
        <w:pStyle w:val="ListParagraph"/>
        <w:numPr>
          <w:ilvl w:val="0"/>
          <w:numId w:val="2"/>
        </w:numPr>
        <w:spacing w:before="40" w:after="40" w:line="320" w:lineRule="auto"/>
      </w:pPr>
      <w:r w:rsidRPr="003B0DCC">
        <w:t>Single Opening Configuration: Examining only one opening size (15% area) and uniform distribution limits generalisability. Staggered openings—which literature consistently shows outperform regular uniform arrangements by 15–25%—were not investigated, despite being architecturally common.</w:t>
      </w:r>
    </w:p>
    <w:p w14:paraId="0CFD02E6" w14:textId="77777777" w:rsidR="00EC1B16" w:rsidRPr="003B0DCC" w:rsidRDefault="00000000">
      <w:pPr>
        <w:pStyle w:val="ListParagraph"/>
        <w:numPr>
          <w:ilvl w:val="0"/>
          <w:numId w:val="2"/>
        </w:numPr>
        <w:spacing w:before="40" w:after="40" w:line="320" w:lineRule="auto"/>
      </w:pPr>
      <w:r w:rsidRPr="003B0DCC">
        <w:t>No Experimental Validation: The study relies entirely on computational predictions without physical testing of scaled models or specimen-level validation. While ETABS is a well-validated industry tool, confirmation of failure modes, crack patterns, and actual displacement profiles under real seismic records would substantially strengthen confidence.</w:t>
      </w:r>
    </w:p>
    <w:p w14:paraId="6164E7A7" w14:textId="77777777" w:rsidR="00EC1B16" w:rsidRPr="003B0DCC" w:rsidRDefault="00000000">
      <w:pPr>
        <w:pStyle w:val="ListParagraph"/>
        <w:numPr>
          <w:ilvl w:val="0"/>
          <w:numId w:val="2"/>
        </w:numPr>
        <w:spacing w:before="40" w:after="40" w:line="320" w:lineRule="auto"/>
      </w:pPr>
      <w:r w:rsidRPr="003B0DCC">
        <w:t>Absence of Bidirectional Seismic Loading and Torsional Assessment: The study analyses lateral forces unidirectionally. Bidirectional ground motion can amplify torsional demands, particularly for the five-core distributed configurations (Cases 2 and 4) where asymmetric wall layouts may create plan eccentricities not captured by the ESM's simplified approach.</w:t>
      </w:r>
    </w:p>
    <w:p w14:paraId="7717D10C" w14:textId="77777777" w:rsidR="00EC1B16" w:rsidRPr="003B0DCC" w:rsidRDefault="00EC1B16">
      <w:pPr>
        <w:spacing w:after="80"/>
      </w:pPr>
    </w:p>
    <w:p w14:paraId="67BBC254" w14:textId="77777777" w:rsidR="00EC1B16" w:rsidRPr="003B0DCC" w:rsidRDefault="00000000">
      <w:pPr>
        <w:pStyle w:val="Heading2"/>
        <w:rPr>
          <w:color w:val="auto"/>
        </w:rPr>
      </w:pPr>
      <w:r w:rsidRPr="003B0DCC">
        <w:rPr>
          <w:color w:val="auto"/>
        </w:rPr>
        <w:t>5.3 Comparison with Related Studies</w:t>
      </w:r>
    </w:p>
    <w:p w14:paraId="291AEBDB" w14:textId="77777777" w:rsidR="00EC1B16" w:rsidRPr="003B0DCC" w:rsidRDefault="00000000">
      <w:pPr>
        <w:spacing w:before="80" w:after="100" w:line="360" w:lineRule="auto"/>
        <w:jc w:val="both"/>
      </w:pPr>
      <w:r w:rsidRPr="003B0DCC">
        <w:t>The reviewed study's findings are contextualised against key prior works:</w:t>
      </w:r>
    </w:p>
    <w:p w14:paraId="08D6F426" w14:textId="77777777" w:rsidR="00EC1B16" w:rsidRPr="003B0DCC" w:rsidRDefault="00000000">
      <w:pPr>
        <w:pStyle w:val="ListParagraph"/>
        <w:numPr>
          <w:ilvl w:val="0"/>
          <w:numId w:val="2"/>
        </w:numPr>
        <w:spacing w:before="40" w:after="40" w:line="320" w:lineRule="auto"/>
      </w:pPr>
      <w:r w:rsidRPr="003B0DCC">
        <w:t>vs. Naresh Kumar Varma and Praveen Kumar (2021): Both studies confirm superior performance of shear walls over bare frames, with corner placement outperforming centre-bay positioning. The reviewed study extends findings to a taller building (22 vs. 8–10 storeys) with systematic core quantity variation.</w:t>
      </w:r>
    </w:p>
    <w:p w14:paraId="39610323" w14:textId="77777777" w:rsidR="00EC1B16" w:rsidRPr="003B0DCC" w:rsidRDefault="00000000">
      <w:pPr>
        <w:pStyle w:val="ListParagraph"/>
        <w:numPr>
          <w:ilvl w:val="0"/>
          <w:numId w:val="2"/>
        </w:numPr>
        <w:spacing w:before="40" w:after="40" w:line="320" w:lineRule="auto"/>
      </w:pPr>
      <w:r w:rsidRPr="003B0DCC">
        <w:t>vs. Bush et al. (2022): Both use ETABS for Zone V buildings. Bush et al. found staggered openings superior to uniform; the reviewed study used only uniform openings but systematically varied core count and placement, providing complementary insights.</w:t>
      </w:r>
    </w:p>
    <w:p w14:paraId="59C22B6E" w14:textId="77777777" w:rsidR="00EC1B16" w:rsidRPr="003B0DCC" w:rsidRDefault="00000000">
      <w:pPr>
        <w:pStyle w:val="ListParagraph"/>
        <w:numPr>
          <w:ilvl w:val="0"/>
          <w:numId w:val="2"/>
        </w:numPr>
        <w:spacing w:before="40" w:after="40" w:line="320" w:lineRule="auto"/>
      </w:pPr>
      <w:r w:rsidRPr="003B0DCC">
        <w:lastRenderedPageBreak/>
        <w:t xml:space="preserve">vs. Harne and Hande (2023): Exceptional agreement in the 18–22% drift increase from ~15% openings </w:t>
      </w:r>
      <w:proofErr w:type="gramStart"/>
      <w:r w:rsidRPr="003B0DCC">
        <w:t>validates</w:t>
      </w:r>
      <w:proofErr w:type="gramEnd"/>
      <w:r w:rsidRPr="003B0DCC">
        <w:t xml:space="preserve"> the reviewed study's core opening-effect quantification. Both recommend limiting openings to 15–20% in Zone V high-rise buildings.</w:t>
      </w:r>
    </w:p>
    <w:p w14:paraId="09091360" w14:textId="77777777" w:rsidR="00EC1B16" w:rsidRPr="003B0DCC" w:rsidRDefault="00000000">
      <w:pPr>
        <w:pStyle w:val="ListParagraph"/>
        <w:numPr>
          <w:ilvl w:val="0"/>
          <w:numId w:val="2"/>
        </w:numPr>
        <w:spacing w:before="40" w:after="40" w:line="320" w:lineRule="auto"/>
      </w:pPr>
      <w:r w:rsidRPr="003B0DCC">
        <w:t xml:space="preserve">vs. </w:t>
      </w:r>
      <w:proofErr w:type="spellStart"/>
      <w:r w:rsidRPr="003B0DCC">
        <w:t>Mosoarca</w:t>
      </w:r>
      <w:proofErr w:type="spellEnd"/>
      <w:r w:rsidRPr="003B0DCC">
        <w:t xml:space="preserve"> (2013): The reviewed study corroborates that 15% opening area produces manageable degradation accommodatable through proper detailing, consistent with </w:t>
      </w:r>
      <w:proofErr w:type="spellStart"/>
      <w:r w:rsidRPr="003B0DCC">
        <w:t>Mosoarca's</w:t>
      </w:r>
      <w:proofErr w:type="spellEnd"/>
      <w:r w:rsidRPr="003B0DCC">
        <w:t xml:space="preserve"> post-earthquake observations of walls with properly reinforced openings surviving without collapse.</w:t>
      </w:r>
    </w:p>
    <w:p w14:paraId="3C38F961" w14:textId="77777777" w:rsidR="00EC1B16" w:rsidRPr="003B0DCC" w:rsidRDefault="00EC1B16">
      <w:pPr>
        <w:spacing w:after="120"/>
      </w:pPr>
    </w:p>
    <w:p w14:paraId="70C3DE38" w14:textId="77777777" w:rsidR="00EC1B16" w:rsidRPr="003B0DCC" w:rsidRDefault="00000000">
      <w:pPr>
        <w:pStyle w:val="Heading1"/>
        <w:pBdr>
          <w:bottom w:val="single" w:sz="6" w:space="4" w:color="1F4E79"/>
        </w:pBdr>
        <w:rPr>
          <w:color w:val="auto"/>
        </w:rPr>
      </w:pPr>
      <w:r w:rsidRPr="003B0DCC">
        <w:rPr>
          <w:color w:val="auto"/>
        </w:rPr>
        <w:t>6. CONCLUSIONS</w:t>
      </w:r>
    </w:p>
    <w:p w14:paraId="2530FE56" w14:textId="77777777" w:rsidR="00EC1B16" w:rsidRPr="003B0DCC" w:rsidRDefault="00000000">
      <w:pPr>
        <w:spacing w:before="80" w:after="100" w:line="360" w:lineRule="auto"/>
        <w:jc w:val="both"/>
      </w:pPr>
      <w:r w:rsidRPr="003B0DCC">
        <w:t>The reviewed dissertation provides a rigorous, well-organised, and practically relevant comparative study of shear wall configurations for a 22-storey RC building in India's highest seismic hazard zone. The following conclusions emerge from this critical review:</w:t>
      </w:r>
    </w:p>
    <w:p w14:paraId="6399E39C" w14:textId="77777777" w:rsidR="00EC1B16" w:rsidRPr="003B0DCC" w:rsidRDefault="00EC1B16">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C1B16" w:rsidRPr="003B0DCC" w14:paraId="05F13D7A" w14:textId="77777777">
        <w:tblPrEx>
          <w:tblCellMar>
            <w:top w:w="0" w:type="dxa"/>
            <w:bottom w:w="0" w:type="dxa"/>
          </w:tblCellMar>
        </w:tblPrEx>
        <w:tc>
          <w:tcPr>
            <w:tcW w:w="9360" w:type="dxa"/>
            <w:tcBorders>
              <w:top w:val="single" w:sz="8" w:space="0" w:color="1F4E79"/>
              <w:left w:val="single" w:sz="8" w:space="0" w:color="1F4E79"/>
              <w:bottom w:val="single" w:sz="8" w:space="0" w:color="1F4E79"/>
              <w:right w:val="single" w:sz="8" w:space="0" w:color="1F4E79"/>
            </w:tcBorders>
            <w:shd w:val="clear" w:color="auto" w:fill="F0F5FF"/>
            <w:tcMar>
              <w:top w:w="120" w:type="dxa"/>
              <w:left w:w="200" w:type="dxa"/>
              <w:bottom w:w="120" w:type="dxa"/>
              <w:right w:w="200" w:type="dxa"/>
            </w:tcMar>
          </w:tcPr>
          <w:p w14:paraId="21BDC49F" w14:textId="77777777" w:rsidR="00EC1B16" w:rsidRPr="003B0DCC" w:rsidRDefault="00000000">
            <w:pPr>
              <w:spacing w:after="60"/>
            </w:pPr>
            <w:r w:rsidRPr="003B0DCC">
              <w:rPr>
                <w:b/>
                <w:bCs/>
              </w:rPr>
              <w:t>Principal Conclusions of the Review</w:t>
            </w:r>
          </w:p>
          <w:p w14:paraId="082CBF4A" w14:textId="77777777" w:rsidR="00EC1B16" w:rsidRPr="003B0DCC" w:rsidRDefault="00000000">
            <w:pPr>
              <w:pStyle w:val="ListParagraph"/>
              <w:numPr>
                <w:ilvl w:val="0"/>
                <w:numId w:val="3"/>
              </w:numPr>
              <w:spacing w:before="40" w:after="40"/>
            </w:pPr>
            <w:r w:rsidRPr="003B0DCC">
              <w:rPr>
                <w:sz w:val="21"/>
                <w:szCs w:val="21"/>
              </w:rPr>
              <w:t>Shear walls are essential for RC buildings exceeding 60 m height in Seismic Zone V. Bare SMRF frames alone produce displacements (248.5 mm) far exceeding acceptable limits, while all shear wall configurations comply with IS 1893:2016 drift criteria.</w:t>
            </w:r>
          </w:p>
          <w:p w14:paraId="37B31DD9" w14:textId="77777777" w:rsidR="00EC1B16" w:rsidRPr="003B0DCC" w:rsidRDefault="00000000">
            <w:pPr>
              <w:pStyle w:val="ListParagraph"/>
              <w:numPr>
                <w:ilvl w:val="0"/>
                <w:numId w:val="3"/>
              </w:numPr>
              <w:spacing w:before="40" w:after="40"/>
            </w:pPr>
            <w:r w:rsidRPr="003B0DCC">
              <w:rPr>
                <w:sz w:val="21"/>
                <w:szCs w:val="21"/>
              </w:rPr>
              <w:t>Functional openings of 15% wall area increase lateral displacements by 18–22% and reduce stiffness by 20–25%, but remain within code-permissible limits when provided with diagonal corner reinforcement (minimum 4–12 mm bars at 45°, extending 600 mm beyond corners) and perimeter reinforcement cages.</w:t>
            </w:r>
          </w:p>
          <w:p w14:paraId="6D8CEEDD" w14:textId="77777777" w:rsidR="00EC1B16" w:rsidRPr="003B0DCC" w:rsidRDefault="00000000">
            <w:pPr>
              <w:pStyle w:val="ListParagraph"/>
              <w:numPr>
                <w:ilvl w:val="0"/>
                <w:numId w:val="3"/>
              </w:numPr>
              <w:spacing w:before="40" w:after="40"/>
            </w:pPr>
            <w:r w:rsidRPr="003B0DCC">
              <w:rPr>
                <w:sz w:val="21"/>
                <w:szCs w:val="21"/>
              </w:rPr>
              <w:t>Perimeter placement of eight shear wall cores outperforms five distributed cores by 28–30% in drift control, owing to maximised torsional resistance, distributed lateral load paths, and greater moment arm between opposing walls.</w:t>
            </w:r>
          </w:p>
          <w:p w14:paraId="52B476BD" w14:textId="77777777" w:rsidR="00EC1B16" w:rsidRPr="003B0DCC" w:rsidRDefault="00000000">
            <w:pPr>
              <w:pStyle w:val="ListParagraph"/>
              <w:numPr>
                <w:ilvl w:val="0"/>
                <w:numId w:val="3"/>
              </w:numPr>
              <w:spacing w:before="40" w:after="40"/>
            </w:pPr>
            <w:r w:rsidRPr="003B0DCC">
              <w:rPr>
                <w:sz w:val="21"/>
                <w:szCs w:val="21"/>
              </w:rPr>
              <w:t>The optimal configuration—eight solid perimeter cores—achieves 4.0× baseline lateral stiffness and 75% displacement reduction with only 24% weight increase, representing highly efficient structural material utilisation.</w:t>
            </w:r>
          </w:p>
          <w:p w14:paraId="703C2492" w14:textId="77777777" w:rsidR="00EC1B16" w:rsidRPr="003B0DCC" w:rsidRDefault="00000000">
            <w:pPr>
              <w:pStyle w:val="ListParagraph"/>
              <w:numPr>
                <w:ilvl w:val="0"/>
                <w:numId w:val="3"/>
              </w:numPr>
              <w:spacing w:before="40" w:after="40"/>
            </w:pPr>
            <w:r w:rsidRPr="003B0DCC">
              <w:rPr>
                <w:sz w:val="21"/>
                <w:szCs w:val="21"/>
              </w:rPr>
              <w:t xml:space="preserve">Design recommendations of 2.5–3.0% wall-to-floor area ratio, perimeter core distribution, and opening size limitation to 10–15% of wall panel area </w:t>
            </w:r>
            <w:proofErr w:type="gramStart"/>
            <w:r w:rsidRPr="003B0DCC">
              <w:rPr>
                <w:sz w:val="21"/>
                <w:szCs w:val="21"/>
              </w:rPr>
              <w:t>are</w:t>
            </w:r>
            <w:proofErr w:type="gramEnd"/>
            <w:r w:rsidRPr="003B0DCC">
              <w:rPr>
                <w:sz w:val="21"/>
                <w:szCs w:val="21"/>
              </w:rPr>
              <w:t xml:space="preserve"> well-supported by findings and consistent with the broader literature.</w:t>
            </w:r>
          </w:p>
          <w:p w14:paraId="4E53F52A" w14:textId="77777777" w:rsidR="00EC1B16" w:rsidRPr="003B0DCC" w:rsidRDefault="00000000">
            <w:pPr>
              <w:pStyle w:val="ListParagraph"/>
              <w:numPr>
                <w:ilvl w:val="0"/>
                <w:numId w:val="3"/>
              </w:numPr>
              <w:spacing w:before="40"/>
            </w:pPr>
            <w:r w:rsidRPr="003B0DCC">
              <w:rPr>
                <w:sz w:val="21"/>
                <w:szCs w:val="21"/>
              </w:rPr>
              <w:t>The study's reliance on linear elastic ESM is a notable limitation; future research should incorporate nonlinear time-history analysis, parametric variation of opening sizes (5–30%), soil-structure interaction, staggered opening geometries, and irregular building plans to extend the applicability of findings.</w:t>
            </w:r>
          </w:p>
        </w:tc>
      </w:tr>
    </w:tbl>
    <w:p w14:paraId="12D03668" w14:textId="77777777" w:rsidR="00EC1B16" w:rsidRPr="003B0DCC" w:rsidRDefault="00EC1B16">
      <w:pPr>
        <w:spacing w:after="200"/>
      </w:pPr>
    </w:p>
    <w:p w14:paraId="58C3F963" w14:textId="77777777" w:rsidR="00EC1B16" w:rsidRPr="003B0DCC" w:rsidRDefault="00000000">
      <w:pPr>
        <w:pStyle w:val="Heading1"/>
        <w:pBdr>
          <w:bottom w:val="single" w:sz="6" w:space="4" w:color="1F4E79"/>
        </w:pBdr>
        <w:rPr>
          <w:color w:val="auto"/>
        </w:rPr>
      </w:pPr>
      <w:r w:rsidRPr="003B0DCC">
        <w:rPr>
          <w:color w:val="auto"/>
        </w:rPr>
        <w:t>7. RECOMMENDATIONS FOR FUTURE RESEARCH</w:t>
      </w:r>
    </w:p>
    <w:p w14:paraId="71434159" w14:textId="77777777" w:rsidR="00EC1B16" w:rsidRPr="003B0DCC" w:rsidRDefault="00000000">
      <w:pPr>
        <w:spacing w:before="80" w:after="100" w:line="360" w:lineRule="auto"/>
        <w:jc w:val="both"/>
      </w:pPr>
      <w:r w:rsidRPr="003B0DCC">
        <w:t>Building on the reviewed study's foundation, the following priority areas are identified for future investigation:</w:t>
      </w:r>
    </w:p>
    <w:p w14:paraId="3C2EF33C" w14:textId="77777777" w:rsidR="00EC1B16" w:rsidRPr="003B0DCC" w:rsidRDefault="00000000">
      <w:pPr>
        <w:pStyle w:val="ListParagraph"/>
        <w:numPr>
          <w:ilvl w:val="0"/>
          <w:numId w:val="2"/>
        </w:numPr>
        <w:spacing w:before="40" w:after="40" w:line="320" w:lineRule="auto"/>
      </w:pPr>
      <w:r w:rsidRPr="003B0DCC">
        <w:t xml:space="preserve">Nonlinear time-history analyses using suites of spectrum-compatible ground motion records, evaluating inelastic deformation demands, energy dissipation characteristics, damage </w:t>
      </w:r>
      <w:r w:rsidRPr="003B0DCC">
        <w:lastRenderedPageBreak/>
        <w:t>progression, and collapse fragility under realistic Zone V earthquake scenarios including near-fault pulse effects.</w:t>
      </w:r>
    </w:p>
    <w:p w14:paraId="70362108" w14:textId="77777777" w:rsidR="00EC1B16" w:rsidRPr="003B0DCC" w:rsidRDefault="00000000">
      <w:pPr>
        <w:pStyle w:val="ListParagraph"/>
        <w:numPr>
          <w:ilvl w:val="0"/>
          <w:numId w:val="2"/>
        </w:numPr>
        <w:spacing w:before="40" w:after="40" w:line="320" w:lineRule="auto"/>
      </w:pPr>
      <w:r w:rsidRPr="003B0DCC">
        <w:t>Parametric studies varying opening sizes from 5% to 30% of wall area, opening positions (centred, edge-proximate, staggered vertically), and number of openings per wall panel to establish comprehensive performance envelopes for design guidance.</w:t>
      </w:r>
    </w:p>
    <w:p w14:paraId="679E20BF" w14:textId="77777777" w:rsidR="00EC1B16" w:rsidRPr="003B0DCC" w:rsidRDefault="00000000">
      <w:pPr>
        <w:pStyle w:val="ListParagraph"/>
        <w:numPr>
          <w:ilvl w:val="0"/>
          <w:numId w:val="2"/>
        </w:numPr>
        <w:spacing w:before="40" w:after="40" w:line="320" w:lineRule="auto"/>
      </w:pPr>
      <w:r w:rsidRPr="003B0DCC">
        <w:t>Incorporation of soil-structure interaction through spring-dashpot or direct soil-domain models, quantifying period elongation and modified damping on soft to medium soils typical of Indian urban centres including Bhopal, Delhi-NCR, and Mumbai.</w:t>
      </w:r>
    </w:p>
    <w:p w14:paraId="385B2E82" w14:textId="77777777" w:rsidR="00EC1B16" w:rsidRPr="003B0DCC" w:rsidRDefault="00000000">
      <w:pPr>
        <w:pStyle w:val="ListParagraph"/>
        <w:numPr>
          <w:ilvl w:val="0"/>
          <w:numId w:val="2"/>
        </w:numPr>
        <w:spacing w:before="40" w:after="40" w:line="320" w:lineRule="auto"/>
      </w:pPr>
      <w:r w:rsidRPr="003B0DCC">
        <w:t>Analysis of irregular building configurations (L-shaped, T-shaped, stepped plans) where torsional complexities from asymmetric shear wall placement create additional seismic demands not captured by regular-plan studies.</w:t>
      </w:r>
    </w:p>
    <w:p w14:paraId="1D13F304" w14:textId="77777777" w:rsidR="00EC1B16" w:rsidRPr="003B0DCC" w:rsidRDefault="00000000">
      <w:pPr>
        <w:pStyle w:val="ListParagraph"/>
        <w:numPr>
          <w:ilvl w:val="0"/>
          <w:numId w:val="2"/>
        </w:numPr>
        <w:spacing w:before="40" w:after="40" w:line="320" w:lineRule="auto"/>
      </w:pPr>
      <w:r w:rsidRPr="003B0DCC">
        <w:t>Experimental validation through scaled physical model testing or full-scale wall specimen tests to confirm predicted failure modes, crack propagation patterns, and energy dissipation characteristics computed by ETABS.</w:t>
      </w:r>
    </w:p>
    <w:p w14:paraId="215EA65D" w14:textId="77777777" w:rsidR="00EC1B16" w:rsidRPr="003B0DCC" w:rsidRDefault="00000000">
      <w:pPr>
        <w:pStyle w:val="ListParagraph"/>
        <w:numPr>
          <w:ilvl w:val="0"/>
          <w:numId w:val="2"/>
        </w:numPr>
        <w:spacing w:before="40" w:after="40" w:line="320" w:lineRule="auto"/>
      </w:pPr>
      <w:r w:rsidRPr="003B0DCC">
        <w:t>Development of probabilistic fragility curves and seismic loss assessments for each configuration, enabling performance-based decision-making quantifying expected losses across hazard return periods, supporting cost-benefit optimisation of shear wall design.</w:t>
      </w:r>
    </w:p>
    <w:p w14:paraId="47210352" w14:textId="77777777" w:rsidR="00EC1B16" w:rsidRPr="003B0DCC" w:rsidRDefault="00000000">
      <w:pPr>
        <w:pStyle w:val="ListParagraph"/>
        <w:numPr>
          <w:ilvl w:val="0"/>
          <w:numId w:val="2"/>
        </w:numPr>
        <w:spacing w:before="40" w:after="40" w:line="320" w:lineRule="auto"/>
      </w:pPr>
      <w:r w:rsidRPr="003B0DCC">
        <w:t>Investigation of staggered opening configurations—which literature consistently reports as 15–25% superior to uniform openings—for equivalent building typologies, directly extending the reviewed study's scope.</w:t>
      </w:r>
    </w:p>
    <w:p w14:paraId="588929D8" w14:textId="77777777" w:rsidR="00EC1B16" w:rsidRPr="003B0DCC" w:rsidRDefault="00EC1B16">
      <w:pPr>
        <w:spacing w:after="120"/>
      </w:pPr>
    </w:p>
    <w:p w14:paraId="21172122" w14:textId="77777777" w:rsidR="00EC1B16" w:rsidRPr="003B0DCC" w:rsidRDefault="00000000">
      <w:pPr>
        <w:pStyle w:val="Heading1"/>
        <w:pBdr>
          <w:bottom w:val="single" w:sz="6" w:space="4" w:color="1F4E79"/>
        </w:pBdr>
        <w:rPr>
          <w:color w:val="auto"/>
        </w:rPr>
      </w:pPr>
      <w:r w:rsidRPr="003B0DCC">
        <w:rPr>
          <w:color w:val="auto"/>
        </w:rPr>
        <w:t>8. REFERENCES</w:t>
      </w:r>
    </w:p>
    <w:p w14:paraId="0F5ECAC7" w14:textId="77777777" w:rsidR="00EC1B16" w:rsidRPr="003B0DCC" w:rsidRDefault="00000000">
      <w:pPr>
        <w:spacing w:before="60" w:after="60"/>
      </w:pPr>
      <w:r w:rsidRPr="003B0DCC">
        <w:rPr>
          <w:sz w:val="20"/>
          <w:szCs w:val="20"/>
        </w:rPr>
        <w:t>[1</w:t>
      </w:r>
      <w:proofErr w:type="gramStart"/>
      <w:r w:rsidRPr="003B0DCC">
        <w:rPr>
          <w:sz w:val="20"/>
          <w:szCs w:val="20"/>
        </w:rPr>
        <w:t>]  Sheetal</w:t>
      </w:r>
      <w:proofErr w:type="gramEnd"/>
      <w:r w:rsidRPr="003B0DCC">
        <w:rPr>
          <w:sz w:val="20"/>
          <w:szCs w:val="20"/>
        </w:rPr>
        <w:t xml:space="preserve"> Dwivedi and Dr. Saleem Akhtar, "Seismic Analysis of Reinforced Concrete Structures Using Shear Walls with and Without Openings: Comparative Performance Evaluation for High-Rise Buildings in Seismic Zone V," International Journal of Scientific Development and Research (IJSDR), vol. 11, Issue 3, pp. a538–a549, March 2026.</w:t>
      </w:r>
    </w:p>
    <w:p w14:paraId="4295FB53" w14:textId="77777777" w:rsidR="00EC1B16" w:rsidRPr="003B0DCC" w:rsidRDefault="00000000">
      <w:pPr>
        <w:spacing w:before="40" w:after="60"/>
      </w:pPr>
      <w:r w:rsidRPr="003B0DCC">
        <w:rPr>
          <w:sz w:val="20"/>
          <w:szCs w:val="20"/>
        </w:rPr>
        <w:t>[2</w:t>
      </w:r>
      <w:proofErr w:type="gramStart"/>
      <w:r w:rsidRPr="003B0DCC">
        <w:rPr>
          <w:sz w:val="20"/>
          <w:szCs w:val="20"/>
        </w:rPr>
        <w:t>]  Bureau</w:t>
      </w:r>
      <w:proofErr w:type="gramEnd"/>
      <w:r w:rsidRPr="003B0DCC">
        <w:rPr>
          <w:sz w:val="20"/>
          <w:szCs w:val="20"/>
        </w:rPr>
        <w:t xml:space="preserve"> of Indian Standards, IS 1893 (Part 1):2016 – Criteria for Earthquake Resistant Design of Structures, Part 1: General Provisions and Buildings, New Delhi, India, 2016.</w:t>
      </w:r>
    </w:p>
    <w:p w14:paraId="0ED7807D" w14:textId="77777777" w:rsidR="00EC1B16" w:rsidRPr="003B0DCC" w:rsidRDefault="00000000">
      <w:pPr>
        <w:spacing w:before="40" w:after="60"/>
      </w:pPr>
      <w:r w:rsidRPr="003B0DCC">
        <w:rPr>
          <w:sz w:val="20"/>
          <w:szCs w:val="20"/>
        </w:rPr>
        <w:t>[3</w:t>
      </w:r>
      <w:proofErr w:type="gramStart"/>
      <w:r w:rsidRPr="003B0DCC">
        <w:rPr>
          <w:sz w:val="20"/>
          <w:szCs w:val="20"/>
        </w:rPr>
        <w:t>]  Bureau</w:t>
      </w:r>
      <w:proofErr w:type="gramEnd"/>
      <w:r w:rsidRPr="003B0DCC">
        <w:rPr>
          <w:sz w:val="20"/>
          <w:szCs w:val="20"/>
        </w:rPr>
        <w:t xml:space="preserve"> of Indian Standards, IS 13920:2016 – Ductile Design and Detailing of Reinforced Concrete Structures Subjected to Seismic Forces, New Delhi, India, 2016.</w:t>
      </w:r>
    </w:p>
    <w:p w14:paraId="7C68ED02" w14:textId="77777777" w:rsidR="00EC1B16" w:rsidRPr="003B0DCC" w:rsidRDefault="00000000">
      <w:pPr>
        <w:spacing w:before="40" w:after="60"/>
      </w:pPr>
      <w:r w:rsidRPr="003B0DCC">
        <w:rPr>
          <w:sz w:val="20"/>
          <w:szCs w:val="20"/>
        </w:rPr>
        <w:t>[4</w:t>
      </w:r>
      <w:proofErr w:type="gramStart"/>
      <w:r w:rsidRPr="003B0DCC">
        <w:rPr>
          <w:sz w:val="20"/>
          <w:szCs w:val="20"/>
        </w:rPr>
        <w:t>]  M.</w:t>
      </w:r>
      <w:proofErr w:type="gramEnd"/>
      <w:r w:rsidRPr="003B0DCC">
        <w:rPr>
          <w:sz w:val="20"/>
          <w:szCs w:val="20"/>
        </w:rPr>
        <w:t xml:space="preserve"> </w:t>
      </w:r>
      <w:proofErr w:type="spellStart"/>
      <w:r w:rsidRPr="003B0DCC">
        <w:rPr>
          <w:sz w:val="20"/>
          <w:szCs w:val="20"/>
        </w:rPr>
        <w:t>Mosoarca</w:t>
      </w:r>
      <w:proofErr w:type="spellEnd"/>
      <w:r w:rsidRPr="003B0DCC">
        <w:rPr>
          <w:sz w:val="20"/>
          <w:szCs w:val="20"/>
        </w:rPr>
        <w:t>, "Failure analysis of RC shear walls with staggered openings under seismic loads," Engineering Failure Analysis, vol. 41, pp. 48–64, 2013.</w:t>
      </w:r>
    </w:p>
    <w:p w14:paraId="60596F5E" w14:textId="77777777" w:rsidR="00EC1B16" w:rsidRPr="003B0DCC" w:rsidRDefault="00000000">
      <w:pPr>
        <w:spacing w:before="40" w:after="60"/>
      </w:pPr>
      <w:r w:rsidRPr="003B0DCC">
        <w:rPr>
          <w:sz w:val="20"/>
          <w:szCs w:val="20"/>
        </w:rPr>
        <w:t>[5</w:t>
      </w:r>
      <w:proofErr w:type="gramStart"/>
      <w:r w:rsidRPr="003B0DCC">
        <w:rPr>
          <w:sz w:val="20"/>
          <w:szCs w:val="20"/>
        </w:rPr>
        <w:t>]  A.</w:t>
      </w:r>
      <w:proofErr w:type="gramEnd"/>
      <w:r w:rsidRPr="003B0DCC">
        <w:rPr>
          <w:sz w:val="20"/>
          <w:szCs w:val="20"/>
        </w:rPr>
        <w:t xml:space="preserve"> Ali and J. K. Wight, "RC structural walls with staggered door openings," Journal of Structural Engineering, vol. 117, no. 5, pp. 1514–1531, 1991.</w:t>
      </w:r>
    </w:p>
    <w:p w14:paraId="62125CE9" w14:textId="77777777" w:rsidR="00EC1B16" w:rsidRPr="003B0DCC" w:rsidRDefault="00000000">
      <w:pPr>
        <w:spacing w:before="40" w:after="60"/>
      </w:pPr>
      <w:r w:rsidRPr="003B0DCC">
        <w:rPr>
          <w:sz w:val="20"/>
          <w:szCs w:val="20"/>
        </w:rPr>
        <w:t>[6</w:t>
      </w:r>
      <w:proofErr w:type="gramStart"/>
      <w:r w:rsidRPr="003B0DCC">
        <w:rPr>
          <w:sz w:val="20"/>
          <w:szCs w:val="20"/>
        </w:rPr>
        <w:t>]  G.</w:t>
      </w:r>
      <w:proofErr w:type="gramEnd"/>
      <w:r w:rsidRPr="003B0DCC">
        <w:rPr>
          <w:sz w:val="20"/>
          <w:szCs w:val="20"/>
        </w:rPr>
        <w:t xml:space="preserve"> Xu et al., "Quasi-static tests of squat reinforced concrete shear walls with openings," Engineering Structures, vol. 293, 116666, 2023.</w:t>
      </w:r>
    </w:p>
    <w:p w14:paraId="758348D5" w14:textId="77777777" w:rsidR="00EC1B16" w:rsidRPr="003B0DCC" w:rsidRDefault="00000000">
      <w:pPr>
        <w:spacing w:before="40" w:after="60"/>
      </w:pPr>
      <w:r w:rsidRPr="003B0DCC">
        <w:rPr>
          <w:sz w:val="20"/>
          <w:szCs w:val="20"/>
        </w:rPr>
        <w:t>[7</w:t>
      </w:r>
      <w:proofErr w:type="gramStart"/>
      <w:r w:rsidRPr="003B0DCC">
        <w:rPr>
          <w:sz w:val="20"/>
          <w:szCs w:val="20"/>
        </w:rPr>
        <w:t>]  S.</w:t>
      </w:r>
      <w:proofErr w:type="gramEnd"/>
      <w:r w:rsidRPr="003B0DCC">
        <w:rPr>
          <w:sz w:val="20"/>
          <w:szCs w:val="20"/>
        </w:rPr>
        <w:t xml:space="preserve"> A. Hosseini, A. </w:t>
      </w:r>
      <w:proofErr w:type="spellStart"/>
      <w:r w:rsidRPr="003B0DCC">
        <w:rPr>
          <w:sz w:val="20"/>
          <w:szCs w:val="20"/>
        </w:rPr>
        <w:t>Kheyroddin</w:t>
      </w:r>
      <w:proofErr w:type="spellEnd"/>
      <w:r w:rsidRPr="003B0DCC">
        <w:rPr>
          <w:sz w:val="20"/>
          <w:szCs w:val="20"/>
        </w:rPr>
        <w:t xml:space="preserve">, and M. </w:t>
      </w:r>
      <w:proofErr w:type="spellStart"/>
      <w:r w:rsidRPr="003B0DCC">
        <w:rPr>
          <w:sz w:val="20"/>
          <w:szCs w:val="20"/>
        </w:rPr>
        <w:t>Mastali</w:t>
      </w:r>
      <w:proofErr w:type="spellEnd"/>
      <w:r w:rsidRPr="003B0DCC">
        <w:rPr>
          <w:sz w:val="20"/>
          <w:szCs w:val="20"/>
        </w:rPr>
        <w:t xml:space="preserve">, "An experimental investigation into the impacts of eccentric openings on the in-plane </w:t>
      </w:r>
      <w:proofErr w:type="spellStart"/>
      <w:r w:rsidRPr="003B0DCC">
        <w:rPr>
          <w:sz w:val="20"/>
          <w:szCs w:val="20"/>
        </w:rPr>
        <w:t>behavior</w:t>
      </w:r>
      <w:proofErr w:type="spellEnd"/>
      <w:r w:rsidRPr="003B0DCC">
        <w:rPr>
          <w:sz w:val="20"/>
          <w:szCs w:val="20"/>
        </w:rPr>
        <w:t xml:space="preserve"> of squat RC shear walls," Engineering Structures, vol. 197, 109410, 2019.</w:t>
      </w:r>
    </w:p>
    <w:p w14:paraId="488E0CB0" w14:textId="77777777" w:rsidR="00EC1B16" w:rsidRPr="003B0DCC" w:rsidRDefault="00000000">
      <w:pPr>
        <w:spacing w:before="40" w:after="60"/>
      </w:pPr>
      <w:r w:rsidRPr="003B0DCC">
        <w:rPr>
          <w:sz w:val="20"/>
          <w:szCs w:val="20"/>
        </w:rPr>
        <w:t>[8</w:t>
      </w:r>
      <w:proofErr w:type="gramStart"/>
      <w:r w:rsidRPr="003B0DCC">
        <w:rPr>
          <w:sz w:val="20"/>
          <w:szCs w:val="20"/>
        </w:rPr>
        <w:t>]  R.</w:t>
      </w:r>
      <w:proofErr w:type="gramEnd"/>
      <w:r w:rsidRPr="003B0DCC">
        <w:rPr>
          <w:sz w:val="20"/>
          <w:szCs w:val="20"/>
        </w:rPr>
        <w:t xml:space="preserve"> C. Bush, A. I. </w:t>
      </w:r>
      <w:proofErr w:type="spellStart"/>
      <w:r w:rsidRPr="003B0DCC">
        <w:rPr>
          <w:sz w:val="20"/>
          <w:szCs w:val="20"/>
        </w:rPr>
        <w:t>Shirkol</w:t>
      </w:r>
      <w:proofErr w:type="spellEnd"/>
      <w:r w:rsidRPr="003B0DCC">
        <w:rPr>
          <w:sz w:val="20"/>
          <w:szCs w:val="20"/>
        </w:rPr>
        <w:t>, J. S. Sruthi, and A. Kumar, "Study of seismic analysis of asymmetric building with different shapes of staggered openings and without openings in shear wall," Materials Today: Proceedings, vol. 64, pp. 964–969, 2022.</w:t>
      </w:r>
    </w:p>
    <w:p w14:paraId="0C8998C7" w14:textId="77777777" w:rsidR="00EC1B16" w:rsidRPr="003B0DCC" w:rsidRDefault="00000000">
      <w:pPr>
        <w:spacing w:before="40" w:after="60"/>
      </w:pPr>
      <w:r w:rsidRPr="003B0DCC">
        <w:rPr>
          <w:sz w:val="20"/>
          <w:szCs w:val="20"/>
        </w:rPr>
        <w:t>[9</w:t>
      </w:r>
      <w:proofErr w:type="gramStart"/>
      <w:r w:rsidRPr="003B0DCC">
        <w:rPr>
          <w:sz w:val="20"/>
          <w:szCs w:val="20"/>
        </w:rPr>
        <w:t>]  M.</w:t>
      </w:r>
      <w:proofErr w:type="gramEnd"/>
      <w:r w:rsidRPr="003B0DCC">
        <w:rPr>
          <w:sz w:val="20"/>
          <w:szCs w:val="20"/>
        </w:rPr>
        <w:t xml:space="preserve"> S. Chowdhury, M. Hussain, M. A. Islam, and S. Zaman, "Effects of openings in shear wall on seismic response of structures," International Journal of Computer Applications, vol. 59, no. 1, pp. 31–38, 2012.</w:t>
      </w:r>
    </w:p>
    <w:p w14:paraId="15B6BFCB" w14:textId="77777777" w:rsidR="00EC1B16" w:rsidRPr="003B0DCC" w:rsidRDefault="00000000">
      <w:pPr>
        <w:spacing w:before="40" w:after="60"/>
      </w:pPr>
      <w:r w:rsidRPr="003B0DCC">
        <w:rPr>
          <w:sz w:val="20"/>
          <w:szCs w:val="20"/>
        </w:rPr>
        <w:lastRenderedPageBreak/>
        <w:t>[10] V. Naresh Kumar Varma and U. Praveen Kumar, "Seismic response on multi-storied building having shear walls with and without openings," Materials Today: Proceedings, vol. 37, Part 2, pp. 801–805, 2021.</w:t>
      </w:r>
    </w:p>
    <w:p w14:paraId="1EE89CC0" w14:textId="77777777" w:rsidR="00EC1B16" w:rsidRPr="003B0DCC" w:rsidRDefault="00000000">
      <w:pPr>
        <w:spacing w:before="40" w:after="60"/>
      </w:pPr>
      <w:r w:rsidRPr="003B0DCC">
        <w:rPr>
          <w:sz w:val="20"/>
          <w:szCs w:val="20"/>
        </w:rPr>
        <w:t xml:space="preserve">[11] V. R. Harne and R. Hande, "Seismic performance of </w:t>
      </w:r>
      <w:proofErr w:type="gramStart"/>
      <w:r w:rsidRPr="003B0DCC">
        <w:rPr>
          <w:sz w:val="20"/>
          <w:szCs w:val="20"/>
        </w:rPr>
        <w:t>high rise</w:t>
      </w:r>
      <w:proofErr w:type="gramEnd"/>
      <w:r w:rsidRPr="003B0DCC">
        <w:rPr>
          <w:sz w:val="20"/>
          <w:szCs w:val="20"/>
        </w:rPr>
        <w:t xml:space="preserve"> building having a shear wall with opening and without opening," IOP Conf. Series: Earth and Environmental Science, vol. 1193, p. 012017, 2023.</w:t>
      </w:r>
    </w:p>
    <w:p w14:paraId="5CD22899" w14:textId="77777777" w:rsidR="00EC1B16" w:rsidRPr="003B0DCC" w:rsidRDefault="00000000">
      <w:pPr>
        <w:spacing w:before="40" w:after="60"/>
      </w:pPr>
      <w:r w:rsidRPr="003B0DCC">
        <w:rPr>
          <w:sz w:val="20"/>
          <w:szCs w:val="20"/>
        </w:rPr>
        <w:t xml:space="preserve">[12] T. Y. </w:t>
      </w:r>
      <w:proofErr w:type="spellStart"/>
      <w:r w:rsidRPr="003B0DCC">
        <w:rPr>
          <w:sz w:val="20"/>
          <w:szCs w:val="20"/>
        </w:rPr>
        <w:t>Altiok</w:t>
      </w:r>
      <w:proofErr w:type="spellEnd"/>
      <w:r w:rsidRPr="003B0DCC">
        <w:rPr>
          <w:sz w:val="20"/>
          <w:szCs w:val="20"/>
        </w:rPr>
        <w:t>, K. Cetin, and A. Demir, "Effect of shear wall opening and reinforcement around opening on the structural strengthening," Bulletin of Earthquake Engineering, 2025.</w:t>
      </w:r>
    </w:p>
    <w:p w14:paraId="056C4DED" w14:textId="77777777" w:rsidR="00EC1B16" w:rsidRPr="003B0DCC" w:rsidRDefault="00000000">
      <w:pPr>
        <w:spacing w:before="40" w:after="60"/>
      </w:pPr>
      <w:r w:rsidRPr="003B0DCC">
        <w:rPr>
          <w:sz w:val="20"/>
          <w:szCs w:val="20"/>
        </w:rPr>
        <w:t xml:space="preserve">[13] F. Abdoos, M. Gholhaki, and A. </w:t>
      </w:r>
      <w:proofErr w:type="spellStart"/>
      <w:r w:rsidRPr="003B0DCC">
        <w:rPr>
          <w:sz w:val="20"/>
          <w:szCs w:val="20"/>
        </w:rPr>
        <w:t>Kheyroddin</w:t>
      </w:r>
      <w:proofErr w:type="spellEnd"/>
      <w:r w:rsidRPr="003B0DCC">
        <w:rPr>
          <w:sz w:val="20"/>
          <w:szCs w:val="20"/>
        </w:rPr>
        <w:t xml:space="preserve">, "Cyclic </w:t>
      </w:r>
      <w:proofErr w:type="spellStart"/>
      <w:r w:rsidRPr="003B0DCC">
        <w:rPr>
          <w:sz w:val="20"/>
          <w:szCs w:val="20"/>
        </w:rPr>
        <w:t>behavior</w:t>
      </w:r>
      <w:proofErr w:type="spellEnd"/>
      <w:r w:rsidRPr="003B0DCC">
        <w:rPr>
          <w:sz w:val="20"/>
          <w:szCs w:val="20"/>
        </w:rPr>
        <w:t xml:space="preserve"> of the reinforced concrete shear walls with opening retrofitted with steel plate," Structural Concrete, vol. 25, no. 5, pp. 3305–3328, 2024.</w:t>
      </w:r>
    </w:p>
    <w:p w14:paraId="26F6367F" w14:textId="77777777" w:rsidR="00EC1B16" w:rsidRPr="003B0DCC" w:rsidRDefault="00000000">
      <w:pPr>
        <w:spacing w:before="40" w:after="60"/>
      </w:pPr>
      <w:r w:rsidRPr="003B0DCC">
        <w:rPr>
          <w:sz w:val="20"/>
          <w:szCs w:val="20"/>
        </w:rPr>
        <w:t>[14] Computers and Structures Inc., ETABS: Extended Three-Dimensional Analysis of Building Systems – Analysis Reference Manual, Berkeley, CA, 2020.</w:t>
      </w:r>
    </w:p>
    <w:p w14:paraId="4E955EDB" w14:textId="77777777" w:rsidR="00EC1B16" w:rsidRPr="003B0DCC" w:rsidRDefault="00000000">
      <w:pPr>
        <w:spacing w:before="40" w:after="60"/>
      </w:pPr>
      <w:r w:rsidRPr="003B0DCC">
        <w:rPr>
          <w:sz w:val="20"/>
          <w:szCs w:val="20"/>
        </w:rPr>
        <w:t>[15] Bureau of Indian Standards, IS 456:2000 – Plain and Reinforced Concrete – Code of Practice, New Delhi, India, 2000.</w:t>
      </w:r>
    </w:p>
    <w:p w14:paraId="5364E4A7" w14:textId="77777777" w:rsidR="00EC1B16" w:rsidRPr="003B0DCC" w:rsidRDefault="00EC1B16">
      <w:pPr>
        <w:spacing w:after="240"/>
      </w:pPr>
    </w:p>
    <w:sectPr w:rsidR="00EC1B16" w:rsidRPr="003B0DCC">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FA39" w14:textId="77777777" w:rsidR="000B0A56" w:rsidRDefault="000B0A56">
      <w:r>
        <w:separator/>
      </w:r>
    </w:p>
  </w:endnote>
  <w:endnote w:type="continuationSeparator" w:id="0">
    <w:p w14:paraId="020E7C11" w14:textId="77777777" w:rsidR="000B0A56" w:rsidRDefault="000B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82BF" w14:textId="77777777" w:rsidR="000B0A56" w:rsidRDefault="000B0A56">
      <w:r>
        <w:separator/>
      </w:r>
    </w:p>
  </w:footnote>
  <w:footnote w:type="continuationSeparator" w:id="0">
    <w:p w14:paraId="2547CF2D" w14:textId="77777777" w:rsidR="000B0A56" w:rsidRDefault="000B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31CD"/>
    <w:multiLevelType w:val="hybridMultilevel"/>
    <w:tmpl w:val="CC6CF202"/>
    <w:lvl w:ilvl="0" w:tplc="D0BE86E8">
      <w:start w:val="1"/>
      <w:numFmt w:val="bullet"/>
      <w:lvlText w:val="●"/>
      <w:lvlJc w:val="left"/>
      <w:pPr>
        <w:ind w:left="720" w:hanging="360"/>
      </w:pPr>
    </w:lvl>
    <w:lvl w:ilvl="1" w:tplc="07D6FAC6">
      <w:start w:val="1"/>
      <w:numFmt w:val="bullet"/>
      <w:lvlText w:val="○"/>
      <w:lvlJc w:val="left"/>
      <w:pPr>
        <w:ind w:left="1440" w:hanging="360"/>
      </w:pPr>
    </w:lvl>
    <w:lvl w:ilvl="2" w:tplc="30FC8F3A">
      <w:start w:val="1"/>
      <w:numFmt w:val="bullet"/>
      <w:lvlText w:val="■"/>
      <w:lvlJc w:val="left"/>
      <w:pPr>
        <w:ind w:left="2160" w:hanging="360"/>
      </w:pPr>
    </w:lvl>
    <w:lvl w:ilvl="3" w:tplc="2C843184">
      <w:start w:val="1"/>
      <w:numFmt w:val="bullet"/>
      <w:lvlText w:val="●"/>
      <w:lvlJc w:val="left"/>
      <w:pPr>
        <w:ind w:left="2880" w:hanging="360"/>
      </w:pPr>
    </w:lvl>
    <w:lvl w:ilvl="4" w:tplc="17BCFA8A">
      <w:start w:val="1"/>
      <w:numFmt w:val="bullet"/>
      <w:lvlText w:val="○"/>
      <w:lvlJc w:val="left"/>
      <w:pPr>
        <w:ind w:left="3600" w:hanging="360"/>
      </w:pPr>
    </w:lvl>
    <w:lvl w:ilvl="5" w:tplc="4D3C7F7E">
      <w:start w:val="1"/>
      <w:numFmt w:val="bullet"/>
      <w:lvlText w:val="■"/>
      <w:lvlJc w:val="left"/>
      <w:pPr>
        <w:ind w:left="4320" w:hanging="360"/>
      </w:pPr>
    </w:lvl>
    <w:lvl w:ilvl="6" w:tplc="7B8ADB02">
      <w:start w:val="1"/>
      <w:numFmt w:val="bullet"/>
      <w:lvlText w:val="●"/>
      <w:lvlJc w:val="left"/>
      <w:pPr>
        <w:ind w:left="5040" w:hanging="360"/>
      </w:pPr>
    </w:lvl>
    <w:lvl w:ilvl="7" w:tplc="8980729E">
      <w:start w:val="1"/>
      <w:numFmt w:val="bullet"/>
      <w:lvlText w:val="●"/>
      <w:lvlJc w:val="left"/>
      <w:pPr>
        <w:ind w:left="5760" w:hanging="360"/>
      </w:pPr>
    </w:lvl>
    <w:lvl w:ilvl="8" w:tplc="779E6C38">
      <w:start w:val="1"/>
      <w:numFmt w:val="bullet"/>
      <w:lvlText w:val="●"/>
      <w:lvlJc w:val="left"/>
      <w:pPr>
        <w:ind w:left="6480" w:hanging="360"/>
      </w:pPr>
    </w:lvl>
  </w:abstractNum>
  <w:abstractNum w:abstractNumId="1" w15:restartNumberingAfterBreak="0">
    <w:nsid w:val="4BDA3FA9"/>
    <w:multiLevelType w:val="hybridMultilevel"/>
    <w:tmpl w:val="04269084"/>
    <w:lvl w:ilvl="0" w:tplc="88A24A08">
      <w:start w:val="1"/>
      <w:numFmt w:val="bullet"/>
      <w:lvlText w:val="•"/>
      <w:lvlJc w:val="left"/>
      <w:pPr>
        <w:ind w:left="720" w:hanging="360"/>
      </w:pPr>
    </w:lvl>
    <w:lvl w:ilvl="1" w:tplc="9146C874">
      <w:start w:val="1"/>
      <w:numFmt w:val="bullet"/>
      <w:lvlText w:val="◦"/>
      <w:lvlJc w:val="left"/>
      <w:pPr>
        <w:ind w:left="1080" w:hanging="360"/>
      </w:pPr>
    </w:lvl>
    <w:lvl w:ilvl="2" w:tplc="B702377A">
      <w:numFmt w:val="decimal"/>
      <w:lvlText w:val=""/>
      <w:lvlJc w:val="left"/>
    </w:lvl>
    <w:lvl w:ilvl="3" w:tplc="950E9FE2">
      <w:numFmt w:val="decimal"/>
      <w:lvlText w:val=""/>
      <w:lvlJc w:val="left"/>
    </w:lvl>
    <w:lvl w:ilvl="4" w:tplc="293EB764">
      <w:numFmt w:val="decimal"/>
      <w:lvlText w:val=""/>
      <w:lvlJc w:val="left"/>
    </w:lvl>
    <w:lvl w:ilvl="5" w:tplc="0B260C50">
      <w:numFmt w:val="decimal"/>
      <w:lvlText w:val=""/>
      <w:lvlJc w:val="left"/>
    </w:lvl>
    <w:lvl w:ilvl="6" w:tplc="BDB0B228">
      <w:numFmt w:val="decimal"/>
      <w:lvlText w:val=""/>
      <w:lvlJc w:val="left"/>
    </w:lvl>
    <w:lvl w:ilvl="7" w:tplc="45E6E4EC">
      <w:numFmt w:val="decimal"/>
      <w:lvlText w:val=""/>
      <w:lvlJc w:val="left"/>
    </w:lvl>
    <w:lvl w:ilvl="8" w:tplc="AE7A2F10">
      <w:numFmt w:val="decimal"/>
      <w:lvlText w:val=""/>
      <w:lvlJc w:val="left"/>
    </w:lvl>
  </w:abstractNum>
  <w:abstractNum w:abstractNumId="2" w15:restartNumberingAfterBreak="0">
    <w:nsid w:val="78163013"/>
    <w:multiLevelType w:val="hybridMultilevel"/>
    <w:tmpl w:val="ED5C6190"/>
    <w:lvl w:ilvl="0" w:tplc="31784882">
      <w:start w:val="1"/>
      <w:numFmt w:val="decimal"/>
      <w:lvlText w:val="%1."/>
      <w:lvlJc w:val="left"/>
      <w:pPr>
        <w:ind w:left="720" w:hanging="360"/>
      </w:pPr>
    </w:lvl>
    <w:lvl w:ilvl="1" w:tplc="F982B130">
      <w:numFmt w:val="decimal"/>
      <w:lvlText w:val=""/>
      <w:lvlJc w:val="left"/>
    </w:lvl>
    <w:lvl w:ilvl="2" w:tplc="1D36ED26">
      <w:numFmt w:val="decimal"/>
      <w:lvlText w:val=""/>
      <w:lvlJc w:val="left"/>
    </w:lvl>
    <w:lvl w:ilvl="3" w:tplc="5EBA78A4">
      <w:numFmt w:val="decimal"/>
      <w:lvlText w:val=""/>
      <w:lvlJc w:val="left"/>
    </w:lvl>
    <w:lvl w:ilvl="4" w:tplc="8918F836">
      <w:numFmt w:val="decimal"/>
      <w:lvlText w:val=""/>
      <w:lvlJc w:val="left"/>
    </w:lvl>
    <w:lvl w:ilvl="5" w:tplc="DF28C4E0">
      <w:numFmt w:val="decimal"/>
      <w:lvlText w:val=""/>
      <w:lvlJc w:val="left"/>
    </w:lvl>
    <w:lvl w:ilvl="6" w:tplc="56C2C334">
      <w:numFmt w:val="decimal"/>
      <w:lvlText w:val=""/>
      <w:lvlJc w:val="left"/>
    </w:lvl>
    <w:lvl w:ilvl="7" w:tplc="5BECCCBE">
      <w:numFmt w:val="decimal"/>
      <w:lvlText w:val=""/>
      <w:lvlJc w:val="left"/>
    </w:lvl>
    <w:lvl w:ilvl="8" w:tplc="410CF38E">
      <w:numFmt w:val="decimal"/>
      <w:lvlText w:val=""/>
      <w:lvlJc w:val="left"/>
    </w:lvl>
  </w:abstractNum>
  <w:num w:numId="1" w16cid:durableId="1573202122">
    <w:abstractNumId w:val="0"/>
    <w:lvlOverride w:ilvl="0">
      <w:startOverride w:val="1"/>
    </w:lvlOverride>
  </w:num>
  <w:num w:numId="2" w16cid:durableId="571737472">
    <w:abstractNumId w:val="1"/>
    <w:lvlOverride w:ilvl="0">
      <w:startOverride w:val="1"/>
    </w:lvlOverride>
  </w:num>
  <w:num w:numId="3" w16cid:durableId="139299675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16"/>
    <w:rsid w:val="000B0A56"/>
    <w:rsid w:val="00323FD5"/>
    <w:rsid w:val="003B0DCC"/>
    <w:rsid w:val="00661759"/>
    <w:rsid w:val="00B84CC3"/>
    <w:rsid w:val="00EC1B16"/>
    <w:rsid w:val="00F24E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B719"/>
  <w15:docId w15:val="{947082CA-4961-48D2-9885-3EF851B0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28"/>
      <w:szCs w:val="28"/>
    </w:rPr>
  </w:style>
  <w:style w:type="paragraph" w:styleId="Heading2">
    <w:name w:val="heading 2"/>
    <w:uiPriority w:val="9"/>
    <w:unhideWhenUsed/>
    <w:qFormat/>
    <w:pPr>
      <w:spacing w:before="240" w:after="80"/>
      <w:outlineLvl w:val="1"/>
    </w:pPr>
    <w:rPr>
      <w:b/>
      <w:bCs/>
      <w:color w:val="2E74B5"/>
      <w:sz w:val="24"/>
      <w:szCs w:val="24"/>
    </w:rPr>
  </w:style>
  <w:style w:type="paragraph" w:styleId="Heading3">
    <w:name w:val="heading 3"/>
    <w:uiPriority w:val="9"/>
    <w:semiHidden/>
    <w:unhideWhenUsed/>
    <w:qFormat/>
    <w:pPr>
      <w:spacing w:before="180" w:after="60"/>
      <w:outlineLvl w:val="2"/>
    </w:pPr>
    <w:rPr>
      <w:b/>
      <w:bCs/>
      <w:color w:val="55555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61759"/>
    <w:pPr>
      <w:tabs>
        <w:tab w:val="center" w:pos="4513"/>
        <w:tab w:val="right" w:pos="9026"/>
      </w:tabs>
    </w:pPr>
  </w:style>
  <w:style w:type="character" w:customStyle="1" w:styleId="HeaderChar">
    <w:name w:val="Header Char"/>
    <w:basedOn w:val="DefaultParagraphFont"/>
    <w:link w:val="Header"/>
    <w:uiPriority w:val="99"/>
    <w:rsid w:val="00661759"/>
  </w:style>
  <w:style w:type="paragraph" w:styleId="Footer">
    <w:name w:val="footer"/>
    <w:basedOn w:val="Normal"/>
    <w:link w:val="FooterChar"/>
    <w:uiPriority w:val="99"/>
    <w:unhideWhenUsed/>
    <w:rsid w:val="00661759"/>
    <w:pPr>
      <w:tabs>
        <w:tab w:val="center" w:pos="4513"/>
        <w:tab w:val="right" w:pos="9026"/>
      </w:tabs>
    </w:pPr>
  </w:style>
  <w:style w:type="character" w:customStyle="1" w:styleId="FooterChar">
    <w:name w:val="Footer Char"/>
    <w:basedOn w:val="DefaultParagraphFont"/>
    <w:link w:val="Footer"/>
    <w:uiPriority w:val="99"/>
    <w:rsid w:val="0066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pushpendra singh palash</cp:lastModifiedBy>
  <cp:revision>4</cp:revision>
  <dcterms:created xsi:type="dcterms:W3CDTF">2026-05-27T05:31:00Z</dcterms:created>
  <dcterms:modified xsi:type="dcterms:W3CDTF">2026-06-28T07:01:00Z</dcterms:modified>
</cp:coreProperties>
</file>