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D909A" w14:textId="0EF41137" w:rsidR="0096021B" w:rsidRPr="00D55EE0" w:rsidRDefault="0096021B" w:rsidP="00D55EE0">
      <w:pPr>
        <w:pStyle w:val="Heading1"/>
        <w:jc w:val="both"/>
        <w:rPr>
          <w:color w:val="auto"/>
        </w:rPr>
      </w:pPr>
      <w:bookmarkStart w:id="0" w:name="abstract"/>
      <w:r w:rsidRPr="00D55EE0">
        <w:rPr>
          <w:color w:val="auto"/>
        </w:rPr>
        <w:t xml:space="preserve">Design and In Silico Evaluation of a Multi-Strain Multi-Epitope Vaccine Against Ebola Virus Using Immunoinformatics, Structural </w:t>
      </w:r>
      <w:r w:rsidR="00D3152E">
        <w:rPr>
          <w:color w:val="auto"/>
        </w:rPr>
        <w:t>Modelling,</w:t>
      </w:r>
      <w:r w:rsidRPr="00D55EE0">
        <w:rPr>
          <w:color w:val="auto"/>
        </w:rPr>
        <w:t xml:space="preserve"> and Molecular Dynamics Simulation</w:t>
      </w:r>
    </w:p>
    <w:p w14:paraId="48FF4575" w14:textId="640E4E4C" w:rsidR="0096021B" w:rsidRPr="00D55EE0" w:rsidRDefault="0096021B" w:rsidP="00D55EE0">
      <w:pPr>
        <w:pStyle w:val="BodyText"/>
        <w:jc w:val="both"/>
      </w:pPr>
      <w:r w:rsidRPr="00D55EE0">
        <w:t/>
      </w:r>
      <w:r w:rsidR="00130015" w:rsidRPr="00130015">
        <w:rPr>
          <w:vertAlign w:val="superscript"/>
        </w:rPr>
        <w:t/>
      </w:r>
    </w:p>
    <w:p w14:paraId="0FC38873" w14:textId="760E3304" w:rsidR="0096021B" w:rsidRDefault="00130015" w:rsidP="00D55EE0">
      <w:pPr>
        <w:pStyle w:val="BodyText"/>
        <w:jc w:val="both"/>
      </w:pPr>
      <w:r w:rsidRPr="00130015">
        <w:rPr>
          <w:vertAlign w:val="superscript"/>
        </w:rPr>
        <w:t/>
      </w:r>
      <w:r w:rsidR="0096021B" w:rsidRPr="00D55EE0">
        <w:t/>
      </w:r>
    </w:p>
    <w:p w14:paraId="7E2990E4" w14:textId="072BD554" w:rsidR="00B35797" w:rsidRDefault="00B35797" w:rsidP="00D55EE0">
      <w:pPr>
        <w:pStyle w:val="BodyText"/>
        <w:jc w:val="both"/>
      </w:pPr>
      <w:r>
        <w:rPr>
          <w:noProof/>
        </w:rPr>
        <w:drawing>
          <wp:inline distT="0" distB="0" distL="0" distR="0" wp14:anchorId="6DF750E7" wp14:editId="56F1B8E8">
            <wp:extent cx="5943600" cy="1862455"/>
            <wp:effectExtent l="19050" t="19050" r="19050" b="23495"/>
            <wp:docPr id="137127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862455"/>
                    </a:xfrm>
                    <a:prstGeom prst="rect">
                      <a:avLst/>
                    </a:prstGeom>
                    <a:noFill/>
                    <a:ln>
                      <a:solidFill>
                        <a:schemeClr val="tx1"/>
                      </a:solidFill>
                    </a:ln>
                  </pic:spPr>
                </pic:pic>
              </a:graphicData>
            </a:graphic>
          </wp:inline>
        </w:drawing>
      </w:r>
    </w:p>
    <w:p w14:paraId="005B3D77" w14:textId="01CE61EF" w:rsidR="00B35797" w:rsidRPr="00D55EE0" w:rsidRDefault="00B35797" w:rsidP="00D55EE0">
      <w:pPr>
        <w:pStyle w:val="BodyText"/>
        <w:jc w:val="both"/>
      </w:pPr>
      <w:r>
        <w:t/>
      </w:r>
    </w:p>
    <w:p w14:paraId="707477BE" w14:textId="0AB111BB" w:rsidR="003B0413" w:rsidRPr="00D55EE0" w:rsidRDefault="00000000" w:rsidP="00D55EE0">
      <w:pPr>
        <w:pStyle w:val="Heading1"/>
        <w:jc w:val="both"/>
        <w:rPr>
          <w:color w:val="auto"/>
        </w:rPr>
      </w:pPr>
      <w:r w:rsidRPr="00D55EE0">
        <w:rPr>
          <w:color w:val="auto"/>
        </w:rPr>
        <w:t>Abstract</w:t>
      </w:r>
    </w:p>
    <w:p w14:paraId="3F22A1DF" w14:textId="77777777" w:rsidR="003B0413" w:rsidRPr="00D55EE0" w:rsidRDefault="00000000" w:rsidP="00D55EE0">
      <w:pPr>
        <w:pStyle w:val="FirstParagraph"/>
        <w:jc w:val="both"/>
      </w:pPr>
      <w:r w:rsidRPr="00D55EE0">
        <w:t>Ebola virus disease remains one of the most severe viral hemorrhagic fevers, characterized by high mortality rates and recurrent outbreaks in Africa. The continuous emergence of genetically diverse Ebola virus strains necessitates the development of broadly protective and effective vaccine candidates. In the present study, an immunoinformatics-driven approach was employed to design a multi-epitope vaccine targeting glycoproteins from three clinically significant Ebola virus strains: Zaire, Sudan, and Bundibugyo.</w:t>
      </w:r>
    </w:p>
    <w:p w14:paraId="2EA8BD82" w14:textId="77777777" w:rsidR="003B0413" w:rsidRPr="00D55EE0" w:rsidRDefault="00000000" w:rsidP="00D55EE0">
      <w:pPr>
        <w:pStyle w:val="BodyText"/>
        <w:jc w:val="both"/>
      </w:pPr>
      <w:r w:rsidRPr="00D55EE0">
        <w:t>Initially, the glycoprotein sequences were analyzed for physicochemical properties, antigenicity, and allergenicity. Conserved cytotoxic T-lymphocyte (CTL), helper T-lymphocyte (HTL), and B-cell epitopes were predicted and screened based on antigenicity, allergenicity, toxicity, conservancy, and solubility parameters. Selected epitopes were assembled into a multi-epitope vaccine construct using appropriate linkers, while human β-defensin-3 was incorporated as an adjuvant to enhance immunogenicity.</w:t>
      </w:r>
    </w:p>
    <w:p w14:paraId="1A7AE15F" w14:textId="77777777" w:rsidR="003B0413" w:rsidRPr="00D55EE0" w:rsidRDefault="00000000" w:rsidP="00D55EE0">
      <w:pPr>
        <w:pStyle w:val="BodyText"/>
        <w:jc w:val="both"/>
      </w:pPr>
      <w:r w:rsidRPr="00D55EE0">
        <w:t xml:space="preserve">The final vaccine construct demonstrated strong antigenic potential with a VaxiJen score of 0.6853 and was predicted to be non-allergenic and non-toxic. Structural modeling and refinement generated a reliable tertiary structure, which was further validated through </w:t>
      </w:r>
      <w:r w:rsidRPr="00D55EE0">
        <w:lastRenderedPageBreak/>
        <w:t xml:space="preserve">ProSA-web, ERRAT, PROCHECK, and MolProbity analyses. Protein–protein interaction analysis revealed stable receptor binding characterized by a favorable interface area (3487.5 Å²), solvation free energy gain (−14.5 kcal/mol), and 15 hydrogen bonds. Codon optimization for </w:t>
      </w:r>
      <w:r w:rsidRPr="00D55EE0">
        <w:rPr>
          <w:i/>
          <w:iCs/>
        </w:rPr>
        <w:t>Escherichia coli</w:t>
      </w:r>
      <w:r w:rsidRPr="00D55EE0">
        <w:t xml:space="preserve"> K12 yielded a Codon Adaptation Index (CAI) of 0.9572 and a GC content of 52.95%, indicating high expression potential. Furthermore, molecular dynamics simulations confirmed structural stability, compactness, and conformational integrity of the vaccine construct throughout the simulation period.</w:t>
      </w:r>
    </w:p>
    <w:p w14:paraId="7724B560" w14:textId="77777777" w:rsidR="003B0413" w:rsidRPr="00D55EE0" w:rsidRDefault="00000000" w:rsidP="00D55EE0">
      <w:pPr>
        <w:pStyle w:val="BodyText"/>
        <w:jc w:val="both"/>
      </w:pPr>
      <w:r w:rsidRPr="00D55EE0">
        <w:t>Overall, the designed multi-epitope vaccine exhibited promising immunogenic, structural, and expression-related characteristics, suggesting its potential as a candidate vaccine against multiple Ebola virus strains. Nevertheless, experimental validation through in vitro and in vivo studies is required to confirm its efficacy and safety.</w:t>
      </w:r>
    </w:p>
    <w:p w14:paraId="564F2919" w14:textId="77777777" w:rsidR="003B0413" w:rsidRPr="00D55EE0" w:rsidRDefault="00000000" w:rsidP="00D55EE0">
      <w:pPr>
        <w:pStyle w:val="BodyText"/>
        <w:jc w:val="both"/>
      </w:pPr>
      <w:r w:rsidRPr="00D55EE0">
        <w:rPr>
          <w:b/>
          <w:bCs/>
        </w:rPr>
        <w:t>Keywords:</w:t>
      </w:r>
      <w:r w:rsidRPr="00D55EE0">
        <w:t xml:space="preserve"> Ebola virus; Multi-epitope vaccine; Immunoinformatics; Glycoprotein; CTL epitopes; HTL epitopes; B-cell epitopes; Molecular docking; Molecular dynamics simulation; Codon optimization; Vaccine design.</w:t>
      </w:r>
      <w:bookmarkEnd w:id="0"/>
    </w:p>
    <w:p w14:paraId="513688C1" w14:textId="77777777" w:rsidR="004B1CD7" w:rsidRPr="00D55EE0" w:rsidRDefault="004B1CD7" w:rsidP="00D55EE0">
      <w:pPr>
        <w:pStyle w:val="Heading1"/>
        <w:jc w:val="both"/>
        <w:rPr>
          <w:color w:val="auto"/>
        </w:rPr>
      </w:pPr>
      <w:bookmarkStart w:id="1" w:name="introduction"/>
      <w:r w:rsidRPr="00D55EE0">
        <w:rPr>
          <w:color w:val="auto"/>
        </w:rPr>
        <w:t>1. Introduction</w:t>
      </w:r>
    </w:p>
    <w:p w14:paraId="34292CFB" w14:textId="4D7E2460" w:rsidR="004B1CD7" w:rsidRPr="00D55EE0" w:rsidRDefault="004B1CD7" w:rsidP="00D55EE0">
      <w:pPr>
        <w:pStyle w:val="FirstParagraph"/>
        <w:jc w:val="both"/>
      </w:pPr>
      <w:r w:rsidRPr="00D55EE0">
        <w:t xml:space="preserve">Ebola virus disease (EVD) is a severe and often fatal hemorrhagic fever caused by viruses belonging to the genus </w:t>
      </w:r>
      <w:r w:rsidRPr="00D55EE0">
        <w:rPr>
          <w:i/>
          <w:iCs/>
        </w:rPr>
        <w:t>Ebolavirus</w:t>
      </w:r>
      <w:r w:rsidRPr="00D55EE0">
        <w:t xml:space="preserve"> within the family </w:t>
      </w:r>
      <w:r w:rsidRPr="00D55EE0">
        <w:rPr>
          <w:i/>
          <w:iCs/>
        </w:rPr>
        <w:t>Filoviridae</w:t>
      </w:r>
      <w:r w:rsidRPr="00D55EE0">
        <w:t>. Since its first recognized outbreak in 1976 in Central Africa, Ebola virus has remained a significant global public health concern due to its high case fatality rates, rapid human-to-human transmission, and potential to cause widespread epidemics</w:t>
      </w:r>
      <w:r w:rsidR="006711AD">
        <w:t>[1]</w:t>
      </w:r>
      <w:r w:rsidRPr="00D55EE0">
        <w:t>. Clinical manifestations of EVD range from fever, fatigue, and gastrointestinal symptoms to severe hemorrhage, multi-organ failure, and death. Among the known Ebola virus species, Zaire ebolavirus, Sudan ebolavirus, and Bundibugyo ebolavirus have been responsible for several major outbreaks and continue to pose substantial health risks in endemic regions</w:t>
      </w:r>
      <w:r w:rsidR="006711AD">
        <w:t>[2]</w:t>
      </w:r>
      <w:r w:rsidRPr="00D55EE0">
        <w:t>.</w:t>
      </w:r>
    </w:p>
    <w:p w14:paraId="2AAF5CFF" w14:textId="50D362D0" w:rsidR="004B1CD7" w:rsidRPr="00D55EE0" w:rsidRDefault="004B1CD7" w:rsidP="00D55EE0">
      <w:pPr>
        <w:pStyle w:val="BodyText"/>
        <w:jc w:val="both"/>
      </w:pPr>
      <w:r w:rsidRPr="00D55EE0">
        <w:t>Although considerable progress has been made in Ebola vaccine development, several challenges remain</w:t>
      </w:r>
      <w:r w:rsidR="00F3661F">
        <w:t>[3]</w:t>
      </w:r>
      <w:r w:rsidRPr="00D55EE0">
        <w:t>. Existing vaccine strategies often focus on a limited number of viral strains and may not provide broad-spectrum protection against genetically diverse Ebola viruses. Furthermore, conventional vaccine development is time-consuming, costly, and dependent on extensive laboratory experimentation</w:t>
      </w:r>
      <w:r w:rsidR="00F3661F">
        <w:t>[16]</w:t>
      </w:r>
      <w:r w:rsidRPr="00D55EE0">
        <w:t>. The continuous emergence of viral variants highlights the need for innovative vaccine design approaches capable of providing cross-protective immunity against multiple Ebola virus species</w:t>
      </w:r>
      <w:r w:rsidR="00F3661F">
        <w:t>[20]</w:t>
      </w:r>
      <w:r w:rsidRPr="00D55EE0">
        <w:t>.</w:t>
      </w:r>
    </w:p>
    <w:p w14:paraId="248F64E0" w14:textId="77777777" w:rsidR="004B1CD7" w:rsidRPr="00D55EE0" w:rsidRDefault="004B1CD7" w:rsidP="00D55EE0">
      <w:pPr>
        <w:pStyle w:val="BodyText"/>
        <w:jc w:val="both"/>
      </w:pPr>
      <w:r w:rsidRPr="00D55EE0">
        <w:t>The viral glycoprotein (GP) plays a crucial role in host-cell attachment, membrane fusion, and viral entry, making it one of the most attractive targets for vaccine development. As the only surface-exposed structural protein of Ebola virus, GP is readily recognized by the host immune system and contains multiple immunodominant epitopes capable of stimulating both humoral and cellular immune responses. Consequently, glycoprotein-based vaccine strategies have attracted considerable attention in recent years.</w:t>
      </w:r>
    </w:p>
    <w:p w14:paraId="2C1DAEBB" w14:textId="2251BC2C" w:rsidR="004B1CD7" w:rsidRPr="00D55EE0" w:rsidRDefault="004B1CD7" w:rsidP="00D55EE0">
      <w:pPr>
        <w:pStyle w:val="BodyText"/>
        <w:jc w:val="both"/>
      </w:pPr>
      <w:r w:rsidRPr="00D55EE0">
        <w:lastRenderedPageBreak/>
        <w:t xml:space="preserve">Advances in immunoinformatics and computational vaccinology have </w:t>
      </w:r>
      <w:r w:rsidR="009C1832">
        <w:t>revolutionised vaccine design by enabling the rapid identification of antigenic epitopes and the rational construction of multi-epitope vaccines [24-25]</w:t>
      </w:r>
      <w:r w:rsidRPr="00D55EE0">
        <w:t xml:space="preserve">. These approaches integrate epitope prediction, antigenicity assessment, allergenicity screening, structural </w:t>
      </w:r>
      <w:r w:rsidR="009C1832">
        <w:t>modelling, molecular docking, and molecular dynamics simulations to identify promising vaccine candidates while significantly reducing development time and cost[26-28]</w:t>
      </w:r>
      <w:r w:rsidRPr="00D55EE0">
        <w:t>. Multi-epitope vaccines are particularly advantageous because they combine carefully selected B-cell and T-cell epitopes capable of eliciting comprehensive immune responses while minimizing unwanted antigenic components</w:t>
      </w:r>
      <w:r w:rsidR="009C1832">
        <w:t>[29]</w:t>
      </w:r>
      <w:r w:rsidRPr="00D55EE0">
        <w:t>.</w:t>
      </w:r>
    </w:p>
    <w:p w14:paraId="09C50F1C" w14:textId="77777777" w:rsidR="004B1CD7" w:rsidRDefault="004B1CD7" w:rsidP="00D55EE0">
      <w:pPr>
        <w:pStyle w:val="BodyText"/>
        <w:jc w:val="both"/>
      </w:pPr>
      <w:r w:rsidRPr="00D55EE0">
        <w:t>In the present study, a multi-strain multi-epitope vaccine candidate was designed against Ebola virus using an integrated immunoinformatics framework. Glycoprotein sequences from Zaire, Sudan, and Bundibugyo Ebola virus strains were analyzed to identify conserved, antigenic, non-allergenic, and non-toxic cytotoxic T-lymphocyte (CTL), helper T-lymphocyte (HTL), and B-cell epitopes. Selected epitopes were assembled into a chimeric vaccine construct incorporating β-defensin-3 as an adjuvant. The designed vaccine was subsequently evaluated through antigenicity and allergenicity analyses, tertiary structure prediction, structural refinement, validation, protein–protein interaction analysis, codon optimization, and molecular dynamics simulation. The objective of this study was to develop and computationally validate a promising broad-spectrum multi-epitope vaccine candidate capable of eliciting effective immune responses against multiple Ebola virus strains.</w:t>
      </w:r>
    </w:p>
    <w:p w14:paraId="26C4E447" w14:textId="68CD6407" w:rsidR="00B35797" w:rsidRDefault="00B35797" w:rsidP="00D55EE0">
      <w:pPr>
        <w:pStyle w:val="BodyText"/>
        <w:jc w:val="both"/>
      </w:pPr>
      <w:r>
        <w:rPr>
          <w:noProof/>
        </w:rPr>
        <w:drawing>
          <wp:inline distT="0" distB="0" distL="0" distR="0" wp14:anchorId="1B291995" wp14:editId="658FC126">
            <wp:extent cx="5943600" cy="2148840"/>
            <wp:effectExtent l="19050" t="19050" r="19050" b="22860"/>
            <wp:docPr id="136257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48840"/>
                    </a:xfrm>
                    <a:prstGeom prst="rect">
                      <a:avLst/>
                    </a:prstGeom>
                    <a:noFill/>
                    <a:ln>
                      <a:solidFill>
                        <a:schemeClr val="tx1"/>
                      </a:solidFill>
                    </a:ln>
                  </pic:spPr>
                </pic:pic>
              </a:graphicData>
            </a:graphic>
          </wp:inline>
        </w:drawing>
      </w:r>
    </w:p>
    <w:p w14:paraId="1D1D4A4F" w14:textId="276336B8" w:rsidR="00FE0D4A" w:rsidRPr="00D55EE0" w:rsidRDefault="00FE0D4A" w:rsidP="00D55EE0">
      <w:pPr>
        <w:pStyle w:val="BodyText"/>
        <w:jc w:val="both"/>
      </w:pPr>
      <w:r>
        <w:t>Figure 2: Schematic diagram for Methodology</w:t>
      </w:r>
    </w:p>
    <w:p w14:paraId="13254914" w14:textId="77777777" w:rsidR="00C771C3" w:rsidRPr="00D55EE0" w:rsidRDefault="00C771C3" w:rsidP="00D55EE0">
      <w:pPr>
        <w:pStyle w:val="Heading3"/>
        <w:jc w:val="both"/>
        <w:rPr>
          <w:color w:val="auto"/>
        </w:rPr>
      </w:pPr>
      <w:bookmarkStart w:id="2" w:name="materials-and-methods"/>
      <w:bookmarkEnd w:id="1"/>
      <w:r w:rsidRPr="00D55EE0">
        <w:rPr>
          <w:color w:val="auto"/>
        </w:rPr>
        <w:t>2. Materials and Methods</w:t>
      </w:r>
    </w:p>
    <w:p w14:paraId="187130DA" w14:textId="77777777" w:rsidR="00C771C3" w:rsidRPr="00D55EE0" w:rsidRDefault="00C771C3" w:rsidP="00D55EE0">
      <w:pPr>
        <w:pStyle w:val="Heading4"/>
        <w:jc w:val="both"/>
        <w:rPr>
          <w:color w:val="auto"/>
        </w:rPr>
      </w:pPr>
      <w:bookmarkStart w:id="3" w:name="X8dd886042c7cf86c9c49e47f97048646e505adc"/>
      <w:r w:rsidRPr="00D55EE0">
        <w:rPr>
          <w:color w:val="auto"/>
        </w:rPr>
        <w:t>2.1 Retrieval of Ebola Virus Glycoprotein Sequences</w:t>
      </w:r>
    </w:p>
    <w:p w14:paraId="496BD198" w14:textId="77777777" w:rsidR="00C771C3" w:rsidRPr="00D55EE0" w:rsidRDefault="00C771C3" w:rsidP="00D55EE0">
      <w:pPr>
        <w:pStyle w:val="FirstParagraph"/>
        <w:jc w:val="both"/>
      </w:pPr>
      <w:r w:rsidRPr="00D55EE0">
        <w:t xml:space="preserve">The glycoprotein (GP) sequences of three clinically important Ebola virus species, namely Zaire ebolavirus (Mayinga-76 strain), Sudan ebolavirus, and Bundibugyo ebolavirus, were retrieved from the UniProt/NCBI protein databases in FASTA format. The GP protein was selected as the vaccine target because it is the major surface-exposed antigen involved in </w:t>
      </w:r>
      <w:r w:rsidRPr="00D55EE0">
        <w:lastRenderedPageBreak/>
        <w:t>host-cell attachment and viral entry. The retrieved sequences were subjected to subsequent bioinformatics analyses for physicochemical characterization, allergenicity assessment, epitope prediction, and vaccine design.</w:t>
      </w:r>
    </w:p>
    <w:p w14:paraId="4854891D" w14:textId="77777777" w:rsidR="00C771C3" w:rsidRPr="00D55EE0" w:rsidRDefault="00C771C3" w:rsidP="00D55EE0">
      <w:pPr>
        <w:pStyle w:val="Heading4"/>
        <w:jc w:val="both"/>
        <w:rPr>
          <w:color w:val="auto"/>
        </w:rPr>
      </w:pPr>
      <w:bookmarkStart w:id="4" w:name="Xd055791dae9606c36ceea419bbd36b82776b915"/>
      <w:bookmarkEnd w:id="3"/>
      <w:r w:rsidRPr="00D55EE0">
        <w:rPr>
          <w:color w:val="auto"/>
        </w:rPr>
        <w:t>2.2 Physicochemical Characterization of Target Proteins</w:t>
      </w:r>
    </w:p>
    <w:p w14:paraId="6E1CEFA7" w14:textId="77777777" w:rsidR="00C771C3" w:rsidRPr="00D55EE0" w:rsidRDefault="00C771C3" w:rsidP="00D55EE0">
      <w:pPr>
        <w:pStyle w:val="FirstParagraph"/>
        <w:jc w:val="both"/>
      </w:pPr>
      <w:r w:rsidRPr="00D55EE0">
        <w:t>The physicochemical properties of the selected glycoproteins were evaluated using the ProtParam tool available through the ExPASy server. Parameters including molecular weight, theoretical isoelectric point (pI), amino acid composition, instability index, aliphatic index, estimated half-life, and grand average hydropathicity (GRAVY) were determined.</w:t>
      </w:r>
    </w:p>
    <w:p w14:paraId="6722DCDE" w14:textId="77777777" w:rsidR="00C771C3" w:rsidRPr="00D55EE0" w:rsidRDefault="00C771C3" w:rsidP="00D55EE0">
      <w:pPr>
        <w:pStyle w:val="BodyText"/>
        <w:jc w:val="both"/>
      </w:pPr>
      <w:r w:rsidRPr="00D55EE0">
        <w:t>The Zaire glycoprotein contained 676 amino acids with a molecular weight of 74.46 kDa and an instability index of 38.36, indicating a stable protein. The Sudan glycoprotein also consisted of 676 amino acids but exhibited an instability index of 41.60, suggesting instability. The Bundibugyo glycoprotein contained 676 amino acids and demonstrated an instability index of 36.61, indicating structural stability. These analyses were utilized to identify suitable antigenic candidates for subsequent vaccine design.</w:t>
      </w:r>
    </w:p>
    <w:p w14:paraId="3F800C96" w14:textId="77777777" w:rsidR="00C771C3" w:rsidRPr="00D55EE0" w:rsidRDefault="00C771C3" w:rsidP="00D55EE0">
      <w:pPr>
        <w:pStyle w:val="Heading4"/>
        <w:jc w:val="both"/>
        <w:rPr>
          <w:color w:val="auto"/>
        </w:rPr>
      </w:pPr>
      <w:bookmarkStart w:id="5" w:name="allergenicity-assessment"/>
      <w:bookmarkEnd w:id="4"/>
      <w:r w:rsidRPr="00D55EE0">
        <w:rPr>
          <w:color w:val="auto"/>
        </w:rPr>
        <w:t>2.3 Allergenicity Assessment</w:t>
      </w:r>
    </w:p>
    <w:p w14:paraId="2E6FAB76" w14:textId="77777777" w:rsidR="00C771C3" w:rsidRPr="00D55EE0" w:rsidRDefault="00C771C3" w:rsidP="00D55EE0">
      <w:pPr>
        <w:pStyle w:val="FirstParagraph"/>
        <w:jc w:val="both"/>
      </w:pPr>
      <w:r w:rsidRPr="00D55EE0">
        <w:t xml:space="preserve">To ensure the safety of the selected antigens, allergenicity prediction was performed using the AllerTOP v2.1 server. The glycoprotein sequences from Zaire, Sudan, and Bundibugyo Ebola virus strains were individually analyzed. All three proteins were predicted as probable non-allergens, indicating their suitability for inclusion in vaccine development. The allergenicity assessment served as an important preliminary filter prior to epitope selection and vaccine construction. </w:t>
      </w:r>
    </w:p>
    <w:p w14:paraId="0D11A6F6" w14:textId="77777777" w:rsidR="00C771C3" w:rsidRPr="00D55EE0" w:rsidRDefault="00C771C3" w:rsidP="00D55EE0">
      <w:pPr>
        <w:pStyle w:val="Heading4"/>
        <w:jc w:val="both"/>
        <w:rPr>
          <w:color w:val="auto"/>
        </w:rPr>
      </w:pPr>
      <w:bookmarkStart w:id="6" w:name="X5a8cbd73409420e09583dd4795c17bad5491291"/>
      <w:r w:rsidRPr="00D55EE0">
        <w:rPr>
          <w:color w:val="auto"/>
        </w:rPr>
        <w:t>2.4 Prediction and Screening of Cytotoxic T-Lymphocyte (CTL) Epitopes</w:t>
      </w:r>
    </w:p>
    <w:p w14:paraId="793EDDB7" w14:textId="77777777" w:rsidR="00C771C3" w:rsidRPr="00D55EE0" w:rsidRDefault="00C771C3" w:rsidP="00D55EE0">
      <w:pPr>
        <w:pStyle w:val="FirstParagraph"/>
        <w:jc w:val="both"/>
      </w:pPr>
      <w:r w:rsidRPr="00D55EE0">
        <w:t>Cytotoxic T-lymphocyte (CTL) epitopes were predicted from the glycoprotein sequences of Zaire, Sudan, and Bundibugyo Ebola virus strains using the Immune Epitope Database (IEDB) MHC-I binding prediction tool. Nine-mer peptides exhibiting strong binding affinity toward prevalent HLA class I alleles were selected based on percentile rank values. Candidate epitopes were further evaluated for antigenicity using the VaxiJen server, allergenicity using AllerTOP v2.1, toxicity using ToxinPred, sequence conservancy, and predicted solubility using SoluProt. Only epitopes demonstrating high antigenicity, complete conservancy, non-allergenicity, and non-toxicity were retained for vaccine construction.</w:t>
      </w:r>
    </w:p>
    <w:p w14:paraId="7BCCB814" w14:textId="77777777" w:rsidR="00C771C3" w:rsidRPr="00D55EE0" w:rsidRDefault="00C771C3" w:rsidP="00D55EE0">
      <w:pPr>
        <w:pStyle w:val="Heading4"/>
        <w:jc w:val="both"/>
        <w:rPr>
          <w:color w:val="auto"/>
        </w:rPr>
      </w:pPr>
      <w:bookmarkStart w:id="7" w:name="Xc6c55d7cce82de6bad23e1a6f85487c32d2e524"/>
      <w:bookmarkEnd w:id="6"/>
      <w:r w:rsidRPr="00D55EE0">
        <w:rPr>
          <w:color w:val="auto"/>
        </w:rPr>
        <w:t>2.5 Prediction and Screening of Helper T-Lymphocyte (HTL) Epitopes</w:t>
      </w:r>
    </w:p>
    <w:p w14:paraId="77BEC82E" w14:textId="77777777" w:rsidR="00C771C3" w:rsidRPr="00D55EE0" w:rsidRDefault="00C771C3" w:rsidP="00D55EE0">
      <w:pPr>
        <w:pStyle w:val="FirstParagraph"/>
        <w:jc w:val="both"/>
      </w:pPr>
      <w:r w:rsidRPr="00D55EE0">
        <w:t>Helper T-lymphocyte (HTL) epitopes were identified using the IEDB MHC-II binding prediction server against representative HLA-DRB1 alleles. Fifteen-mer peptides displaying favorable percentile ranks were selected for further analysis. Antigenicity, allergenicity, toxicity, sequence conservancy, and solubility were assessed using VaxiJen, AllerTOP, ToxinPred, Conservancy Analysis, and SoluProt, respectively. Only highly antigenic, non-</w:t>
      </w:r>
      <w:r w:rsidRPr="00D55EE0">
        <w:lastRenderedPageBreak/>
        <w:t>allergenic, non-toxic, and conserved HTL epitopes were selected for incorporation into the final vaccine construct.</w:t>
      </w:r>
    </w:p>
    <w:p w14:paraId="6D1282B8" w14:textId="77777777" w:rsidR="00C771C3" w:rsidRPr="00D55EE0" w:rsidRDefault="00C771C3" w:rsidP="00D55EE0">
      <w:pPr>
        <w:pStyle w:val="Heading4"/>
        <w:jc w:val="both"/>
        <w:rPr>
          <w:color w:val="auto"/>
        </w:rPr>
      </w:pPr>
      <w:bookmarkStart w:id="8" w:name="X88a2d863e0cbb49ad9e6b1298b25c8d700bafb0"/>
      <w:bookmarkEnd w:id="7"/>
      <w:r w:rsidRPr="00D55EE0">
        <w:rPr>
          <w:color w:val="auto"/>
        </w:rPr>
        <w:t>2.6 Prediction and Screening of Linear B-Cell Epitopes</w:t>
      </w:r>
    </w:p>
    <w:p w14:paraId="7A2DD057" w14:textId="77777777" w:rsidR="00C771C3" w:rsidRPr="00D55EE0" w:rsidRDefault="00C771C3" w:rsidP="00D55EE0">
      <w:pPr>
        <w:pStyle w:val="FirstParagraph"/>
        <w:jc w:val="both"/>
      </w:pPr>
      <w:r w:rsidRPr="00D55EE0">
        <w:t>Linear B-cell epitopes were predicted from the Ebola virus glycoprotein sequences and screened based on epitope score, antigenicity, allergenicity, toxicity, conservancy, and solubility characteristics. Candidate epitopes with favorable immunological properties and complete sequence conservancy were selected. Overlapping and redundant epitopes were removed to ensure maximum immunogenic coverage while maintaining construct compactness.</w:t>
      </w:r>
    </w:p>
    <w:p w14:paraId="4A9E916A" w14:textId="77777777" w:rsidR="00C771C3" w:rsidRPr="00D55EE0" w:rsidRDefault="00C771C3" w:rsidP="00D55EE0">
      <w:pPr>
        <w:pStyle w:val="Heading4"/>
        <w:jc w:val="both"/>
        <w:rPr>
          <w:color w:val="auto"/>
        </w:rPr>
      </w:pPr>
      <w:bookmarkStart w:id="9" w:name="multi-epitope-vaccine-construction"/>
      <w:bookmarkEnd w:id="8"/>
      <w:r w:rsidRPr="00D55EE0">
        <w:rPr>
          <w:color w:val="auto"/>
        </w:rPr>
        <w:t>2.7 Multi-Epitope Vaccine Construction</w:t>
      </w:r>
    </w:p>
    <w:p w14:paraId="403D7A6E" w14:textId="77777777" w:rsidR="00C771C3" w:rsidRPr="00D55EE0" w:rsidRDefault="00C771C3" w:rsidP="00D55EE0">
      <w:pPr>
        <w:pStyle w:val="FirstParagraph"/>
        <w:jc w:val="both"/>
      </w:pPr>
      <w:r w:rsidRPr="00D55EE0">
        <w:t>The final multi-epitope vaccine construct was designed by assembling selected CTL, HTL, and B-cell epitopes derived from Zaire, Sudan, and Bundibugyo Ebola virus strains. Human β-defensin-3 was incorporated at the N-terminus as an adjuvant to enhance immune stimulation. The adjuvant was linked to the first epitope using the rigid EAAAK linker.</w:t>
      </w:r>
    </w:p>
    <w:p w14:paraId="118EAF85" w14:textId="77777777" w:rsidR="00C771C3" w:rsidRPr="00D55EE0" w:rsidRDefault="00C771C3" w:rsidP="00D55EE0">
      <w:pPr>
        <w:pStyle w:val="BodyText"/>
        <w:jc w:val="both"/>
      </w:pPr>
      <w:r w:rsidRPr="00D55EE0">
        <w:t>HTL epitopes were joined using GPGPG linkers to facilitate efficient antigen processing and presentation through MHC-II pathways. CTL epitopes were connected using AAY linkers to improve proteasomal cleavage and MHC-I presentation. B-cell epitopes were linked using KK linkers to preserve epitope accessibility and flexibility. The final construct comprised 298 amino acids and included a C-terminal hexahistidine tag to facilitate future recombinant expression and purification.</w:t>
      </w:r>
    </w:p>
    <w:p w14:paraId="29F047D3" w14:textId="77777777" w:rsidR="00C771C3" w:rsidRPr="00D55EE0" w:rsidRDefault="00C771C3" w:rsidP="00D55EE0">
      <w:pPr>
        <w:pStyle w:val="Heading4"/>
        <w:jc w:val="both"/>
        <w:rPr>
          <w:color w:val="auto"/>
        </w:rPr>
      </w:pPr>
      <w:bookmarkStart w:id="10" w:name="evaluation-of-the-vaccine-construct"/>
      <w:bookmarkEnd w:id="9"/>
      <w:r w:rsidRPr="00D55EE0">
        <w:rPr>
          <w:color w:val="auto"/>
        </w:rPr>
        <w:t>2.8 Evaluation of the Vaccine Construct</w:t>
      </w:r>
    </w:p>
    <w:p w14:paraId="02004093" w14:textId="77777777" w:rsidR="00C771C3" w:rsidRPr="00D55EE0" w:rsidRDefault="00C771C3" w:rsidP="00D55EE0">
      <w:pPr>
        <w:pStyle w:val="FirstParagraph"/>
        <w:jc w:val="both"/>
      </w:pPr>
      <w:r w:rsidRPr="00D55EE0">
        <w:t>The assembled vaccine sequence was subjected to antigenicity, allergenicity, toxicity, and physicochemical analyses. Antigenicity was evaluated using the VaxiJen server, while allergenicity and toxicity were assessed using AllerTOP v2.1 and ToxinPred, respectively. Physicochemical characteristics, including molecular weight, theoretical isoelectric point, instability index, aliphatic index, and grand average hydropathicity (GRAVY), were determined using the ExPASy ProtParam tool. These analyses were performed to ensure the safety, stability, and immunogenic potential of the final vaccine construct prior to structural modeling and downstream analyses.</w:t>
      </w:r>
    </w:p>
    <w:bookmarkEnd w:id="10"/>
    <w:p w14:paraId="1E256F13" w14:textId="77777777" w:rsidR="00C771C3" w:rsidRPr="00D55EE0" w:rsidRDefault="00C771C3" w:rsidP="00D55EE0">
      <w:pPr>
        <w:pStyle w:val="BodyText"/>
        <w:jc w:val="both"/>
      </w:pPr>
    </w:p>
    <w:p w14:paraId="1D22DC29" w14:textId="77777777" w:rsidR="00C771C3" w:rsidRPr="00D55EE0" w:rsidRDefault="00C771C3" w:rsidP="00D55EE0">
      <w:pPr>
        <w:pStyle w:val="Heading4"/>
        <w:jc w:val="both"/>
        <w:rPr>
          <w:color w:val="auto"/>
        </w:rPr>
      </w:pPr>
      <w:bookmarkStart w:id="11" w:name="X840f59438849b321f8b435d3f81a0db594f5199"/>
      <w:r w:rsidRPr="00D55EE0">
        <w:rPr>
          <w:color w:val="auto"/>
        </w:rPr>
        <w:t>2.9 Antigenicity Evaluation of the Multi-Epitope Vaccine</w:t>
      </w:r>
    </w:p>
    <w:p w14:paraId="5D64C378" w14:textId="77777777" w:rsidR="00C771C3" w:rsidRPr="00D55EE0" w:rsidRDefault="00C771C3" w:rsidP="00D55EE0">
      <w:pPr>
        <w:pStyle w:val="FirstParagraph"/>
        <w:jc w:val="both"/>
      </w:pPr>
      <w:r w:rsidRPr="00D55EE0">
        <w:t>The antigenic potential of the final multi-epitope vaccine construct was assessed using the VaxiJen v2.0 server employing the virus model with a threshold value of 0.4. VaxiJen predicts protective antigens based on auto-cross covariance transformation of protein sequences without relying on sequence alignment. Vaccine constructs exhibiting antigenicity scores above the threshold were considered probable protective antigens and suitable for further structural and immunological analyses.</w:t>
      </w:r>
    </w:p>
    <w:p w14:paraId="7DABC3BB" w14:textId="77777777" w:rsidR="00C771C3" w:rsidRPr="00D55EE0" w:rsidRDefault="00C771C3" w:rsidP="00D55EE0">
      <w:pPr>
        <w:pStyle w:val="Heading4"/>
        <w:jc w:val="both"/>
        <w:rPr>
          <w:color w:val="auto"/>
        </w:rPr>
      </w:pPr>
      <w:bookmarkStart w:id="12" w:name="X2cecb8577502e2726880e21f6052a6bdd6abe32"/>
      <w:bookmarkEnd w:id="11"/>
      <w:r w:rsidRPr="00D55EE0">
        <w:rPr>
          <w:color w:val="auto"/>
        </w:rPr>
        <w:lastRenderedPageBreak/>
        <w:t>2.10 Tertiary Structure Modeling of the Vaccine Construct</w:t>
      </w:r>
    </w:p>
    <w:p w14:paraId="4180E7C7" w14:textId="77777777" w:rsidR="00C771C3" w:rsidRPr="00D55EE0" w:rsidRDefault="00C771C3" w:rsidP="00D55EE0">
      <w:pPr>
        <w:pStyle w:val="FirstParagraph"/>
        <w:jc w:val="both"/>
      </w:pPr>
      <w:r w:rsidRPr="00D55EE0">
        <w:t>The three-dimensional structure of the designed vaccine construct was generated using an automated protein structure prediction platform. The resulting tertiary structure model was selected based on model quality parameters and was subsequently subjected to refinement to improve stereochemical properties and structural accuracy.</w:t>
      </w:r>
    </w:p>
    <w:p w14:paraId="0948871A" w14:textId="77777777" w:rsidR="00C771C3" w:rsidRPr="00D55EE0" w:rsidRDefault="00C771C3" w:rsidP="00D55EE0">
      <w:pPr>
        <w:pStyle w:val="Heading4"/>
        <w:jc w:val="both"/>
        <w:rPr>
          <w:color w:val="auto"/>
        </w:rPr>
      </w:pPr>
      <w:bookmarkStart w:id="13" w:name="structural-refinement"/>
      <w:bookmarkEnd w:id="12"/>
      <w:r w:rsidRPr="00D55EE0">
        <w:rPr>
          <w:color w:val="auto"/>
        </w:rPr>
        <w:t>2.11 Structural Refinement</w:t>
      </w:r>
    </w:p>
    <w:p w14:paraId="3E73A0B3" w14:textId="77777777" w:rsidR="00C771C3" w:rsidRPr="00D55EE0" w:rsidRDefault="00C771C3" w:rsidP="00D55EE0">
      <w:pPr>
        <w:pStyle w:val="FirstParagraph"/>
        <w:jc w:val="both"/>
      </w:pPr>
      <w:r w:rsidRPr="00D55EE0">
        <w:t>The predicted vaccine structure was refined using the GalaxyRefine server. Refinement was performed through repeated side-chain rebuilding and molecular dynamics relaxation procedures. Multiple refined models were generated, and their quality was assessed using Global Distance Test High Accuracy (GDT-HA), Root Mean Square Deviation (RMSD), MolProbity score, clash score, percentage of poor rotamers, and Ramachandran favored residues.</w:t>
      </w:r>
    </w:p>
    <w:p w14:paraId="74E8CBF7" w14:textId="77777777" w:rsidR="00C771C3" w:rsidRPr="00D55EE0" w:rsidRDefault="00C771C3" w:rsidP="00D55EE0">
      <w:pPr>
        <w:pStyle w:val="BodyText"/>
        <w:jc w:val="both"/>
      </w:pPr>
      <w:r w:rsidRPr="00D55EE0">
        <w:t>The refined model exhibiting the most favorable stereochemical characteristics and lowest structural errors was selected for subsequent validation, docking, and molecular dynamics simulation studies.</w:t>
      </w:r>
    </w:p>
    <w:p w14:paraId="21E5B3E0" w14:textId="77777777" w:rsidR="00C771C3" w:rsidRPr="00D55EE0" w:rsidRDefault="00C771C3" w:rsidP="00D55EE0">
      <w:pPr>
        <w:pStyle w:val="Heading4"/>
        <w:jc w:val="both"/>
        <w:rPr>
          <w:color w:val="auto"/>
        </w:rPr>
      </w:pPr>
      <w:bookmarkStart w:id="14" w:name="structural-validation"/>
      <w:bookmarkEnd w:id="13"/>
      <w:r w:rsidRPr="00D55EE0">
        <w:rPr>
          <w:color w:val="auto"/>
        </w:rPr>
        <w:t>2.12 Structural Validation</w:t>
      </w:r>
    </w:p>
    <w:p w14:paraId="043256A5" w14:textId="77777777" w:rsidR="00C771C3" w:rsidRPr="00D55EE0" w:rsidRDefault="00C771C3" w:rsidP="00D55EE0">
      <w:pPr>
        <w:pStyle w:val="FirstParagraph"/>
        <w:jc w:val="both"/>
      </w:pPr>
      <w:r w:rsidRPr="00D55EE0">
        <w:t xml:space="preserve">The refined vaccine model was subjected to structural validation using multiple complementary tools. Ramachandran plot analysis was performed to evaluate backbone conformational quality, while MolProbity was used to assess overall stereochemical correctness. Additional validation was conducted using ERRAT and ProSA-web to determine non-bonded atomic interactions and overall model quality. Structures exhibiting high percentages of residues in favored regions together with acceptable quality scores were considered reliable for downstream analyses. </w:t>
      </w:r>
    </w:p>
    <w:p w14:paraId="1A32A93F" w14:textId="77777777" w:rsidR="00C771C3" w:rsidRPr="00D55EE0" w:rsidRDefault="00C771C3" w:rsidP="00D55EE0">
      <w:pPr>
        <w:pStyle w:val="Heading4"/>
        <w:jc w:val="both"/>
        <w:rPr>
          <w:color w:val="auto"/>
        </w:rPr>
      </w:pPr>
      <w:bookmarkStart w:id="15" w:name="X18c95d00758d22f4c687fb876016cac8ec024dc"/>
      <w:r w:rsidRPr="00D55EE0">
        <w:rPr>
          <w:color w:val="auto"/>
        </w:rPr>
        <w:t>2.13 Protein–Protein Docking and Interface Analysis</w:t>
      </w:r>
    </w:p>
    <w:p w14:paraId="6B4F6535" w14:textId="77777777" w:rsidR="001E238C" w:rsidRPr="001E238C" w:rsidRDefault="001E238C" w:rsidP="001E238C">
      <w:pPr>
        <w:pStyle w:val="Heading4"/>
        <w:jc w:val="both"/>
        <w:rPr>
          <w:i w:val="0"/>
          <w:iCs w:val="0"/>
          <w:color w:val="auto"/>
          <w:lang w:val="en-IN"/>
        </w:rPr>
      </w:pPr>
      <w:bookmarkStart w:id="16" w:name="molecular-dynamics-simulation"/>
      <w:bookmarkEnd w:id="15"/>
      <w:r w:rsidRPr="001E238C">
        <w:rPr>
          <w:i w:val="0"/>
          <w:iCs w:val="0"/>
          <w:color w:val="auto"/>
          <w:lang w:val="en-IN"/>
        </w:rPr>
        <w:t>The refined vaccine model and immune receptor structure were subjected to protein–protein docking. The best docked complex was selected based on docking score and interaction characteristics. PISA was subsequently employed to analyze interface area, buried surface area, hydrogen bonding interactions, and free energy of association.</w:t>
      </w:r>
    </w:p>
    <w:p w14:paraId="5151E85A" w14:textId="77777777" w:rsidR="00C771C3" w:rsidRPr="00D55EE0" w:rsidRDefault="00C771C3" w:rsidP="00D55EE0">
      <w:pPr>
        <w:pStyle w:val="Heading4"/>
        <w:jc w:val="both"/>
        <w:rPr>
          <w:color w:val="auto"/>
        </w:rPr>
      </w:pPr>
      <w:r w:rsidRPr="00D55EE0">
        <w:rPr>
          <w:color w:val="auto"/>
        </w:rPr>
        <w:t>2.14 Molecular Dynamics Simulation</w:t>
      </w:r>
    </w:p>
    <w:p w14:paraId="4E4BA6C7" w14:textId="77777777" w:rsidR="00C771C3" w:rsidRPr="00D55EE0" w:rsidRDefault="00C771C3" w:rsidP="00D55EE0">
      <w:pPr>
        <w:pStyle w:val="FirstParagraph"/>
        <w:jc w:val="both"/>
      </w:pPr>
      <w:r w:rsidRPr="00D55EE0">
        <w:t>To investigate the structural stability and dynamic behavior of the vaccine construct, molecular dynamics (MD) simulation was performed using the GROMACS simulation package. Following energy minimization, equilibration was carried out under constant volume (NVT) and constant pressure (NPT) conditions. The production MD simulation was subsequently conducted in an explicit solvent environment.</w:t>
      </w:r>
    </w:p>
    <w:p w14:paraId="4749F137" w14:textId="77777777" w:rsidR="00C771C3" w:rsidRPr="00D55EE0" w:rsidRDefault="00C771C3" w:rsidP="00D55EE0">
      <w:pPr>
        <w:pStyle w:val="BodyText"/>
        <w:jc w:val="both"/>
      </w:pPr>
      <w:r w:rsidRPr="00D55EE0">
        <w:t xml:space="preserve">Trajectory analyses were performed using built-in GROMACS utilities. Structural stability was evaluated through Root Mean Square Deviation (RMSD) analysis, while residue-wise flexibility was assessed using Root Mean Square Fluctuation (RMSF). Compactness of the protein structure was examined through Radius of Gyration (Rg) analysis. Solvent </w:t>
      </w:r>
      <w:r w:rsidRPr="00D55EE0">
        <w:lastRenderedPageBreak/>
        <w:t>accessibility was determined using Solvent Accessible Surface Area (SASA) calculations, and structural integrity was further assessed by monitoring intermolecular and intramolecular hydrogen bonds throughout the simulation period.</w:t>
      </w:r>
    </w:p>
    <w:p w14:paraId="7AB7AB69" w14:textId="77777777" w:rsidR="00C771C3" w:rsidRPr="00D55EE0" w:rsidRDefault="00C771C3" w:rsidP="00D55EE0">
      <w:pPr>
        <w:pStyle w:val="BodyText"/>
        <w:jc w:val="both"/>
      </w:pPr>
      <w:r w:rsidRPr="00D55EE0">
        <w:t>The generated trajectories and energy profiles were analyzed to determine the conformational stability and suitability of the vaccine construct for downstream biological applications.</w:t>
      </w:r>
    </w:p>
    <w:p w14:paraId="28E56BF6" w14:textId="77777777" w:rsidR="001D6A36" w:rsidRPr="00D55EE0" w:rsidRDefault="001D6A36" w:rsidP="00D55EE0">
      <w:pPr>
        <w:pStyle w:val="Heading1"/>
        <w:jc w:val="both"/>
        <w:rPr>
          <w:color w:val="auto"/>
        </w:rPr>
      </w:pPr>
      <w:bookmarkStart w:id="17" w:name="results-and-discussion"/>
      <w:bookmarkEnd w:id="16"/>
      <w:r w:rsidRPr="00D55EE0">
        <w:rPr>
          <w:color w:val="auto"/>
        </w:rPr>
        <w:t>3. Results and Discussion</w:t>
      </w:r>
    </w:p>
    <w:p w14:paraId="046B8BDF" w14:textId="77777777" w:rsidR="001D6A36" w:rsidRPr="00D55EE0" w:rsidRDefault="001D6A36" w:rsidP="00D55EE0">
      <w:pPr>
        <w:pStyle w:val="Heading2"/>
        <w:jc w:val="both"/>
        <w:rPr>
          <w:color w:val="auto"/>
        </w:rPr>
      </w:pPr>
      <w:bookmarkStart w:id="18" w:name="Xafbc918520bbf35460b4babf633832fae3b90c0"/>
      <w:r w:rsidRPr="00D55EE0">
        <w:rPr>
          <w:color w:val="auto"/>
        </w:rPr>
        <w:t>3.1 Physicochemical Analysis of Ebola Virus Glycoproteins</w:t>
      </w:r>
    </w:p>
    <w:p w14:paraId="2CE192C6" w14:textId="77777777" w:rsidR="001D6A36" w:rsidRPr="00D55EE0" w:rsidRDefault="001D6A36" w:rsidP="00D55EE0">
      <w:pPr>
        <w:pStyle w:val="FirstParagraph"/>
        <w:jc w:val="both"/>
      </w:pPr>
      <w:r w:rsidRPr="00D55EE0">
        <w:t>The glycoprotein (GP) sequences of Zaire, Sudan, and Bundibugyo Ebola virus strains were analyzed using the ExPASy ProtParam server to determine their physicochemical properties. All three proteins consisted of 676 amino acids. The molecular weights were calculated as 74.46 kDa, 74.99 kDa, and 75.62 kDa for Zaire, Sudan, and Bundibugyo strains, respectively.</w:t>
      </w:r>
    </w:p>
    <w:p w14:paraId="64C88893" w14:textId="77777777" w:rsidR="001D6A36" w:rsidRPr="00D55EE0" w:rsidRDefault="001D6A36" w:rsidP="00D55EE0">
      <w:pPr>
        <w:pStyle w:val="BodyText"/>
        <w:jc w:val="both"/>
      </w:pPr>
      <w:r w:rsidRPr="00D55EE0">
        <w:t>The instability index revealed that the Zaire (38.36) and Bundibugyo (36.61) glycoproteins were stable, whereas the Sudan glycoprotein exhibited an instability index of 41.60, suggesting structural instability. The aliphatic indices ranged from 75.77 to 80.52, indicating favorable thermostability. Negative GRAVY values observed for all proteins demonstrated their hydrophilic nature, which is advantageous for immune recognition and vaccine development.</w:t>
      </w:r>
    </w:p>
    <w:p w14:paraId="7C2C56A6" w14:textId="77777777" w:rsidR="001D6A36" w:rsidRDefault="001D6A36" w:rsidP="00D55EE0">
      <w:pPr>
        <w:pStyle w:val="BodyText"/>
        <w:jc w:val="both"/>
      </w:pPr>
      <w:r w:rsidRPr="00D55EE0">
        <w:t>These findings confirmed that the selected glycoproteins possessed suitable physicochemical characteristics for downstream immunoinformatics analyses.</w:t>
      </w:r>
    </w:p>
    <w:tbl>
      <w:tblPr>
        <w:tblStyle w:val="Table"/>
        <w:tblW w:w="0" w:type="auto"/>
        <w:tblLook w:val="0020" w:firstRow="1" w:lastRow="0" w:firstColumn="0" w:lastColumn="0" w:noHBand="0" w:noVBand="0"/>
      </w:tblPr>
      <w:tblGrid>
        <w:gridCol w:w="2588"/>
        <w:gridCol w:w="1126"/>
        <w:gridCol w:w="1238"/>
        <w:gridCol w:w="1803"/>
      </w:tblGrid>
      <w:tr w:rsidR="00222C80" w14:paraId="150FA250"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7B75009D" w14:textId="77777777" w:rsidR="00222C80" w:rsidRDefault="00222C80" w:rsidP="00E10937">
            <w:pPr>
              <w:pStyle w:val="Compact"/>
            </w:pPr>
            <w:r>
              <w:t>Parameter</w:t>
            </w:r>
          </w:p>
        </w:tc>
        <w:tc>
          <w:tcPr>
            <w:tcW w:w="0" w:type="auto"/>
          </w:tcPr>
          <w:p w14:paraId="52A58D61" w14:textId="77777777" w:rsidR="00222C80" w:rsidRDefault="00222C80" w:rsidP="00E10937">
            <w:pPr>
              <w:pStyle w:val="Compact"/>
            </w:pPr>
            <w:r>
              <w:t>Zaire GP</w:t>
            </w:r>
          </w:p>
        </w:tc>
        <w:tc>
          <w:tcPr>
            <w:tcW w:w="0" w:type="auto"/>
          </w:tcPr>
          <w:p w14:paraId="342DB64E" w14:textId="77777777" w:rsidR="00222C80" w:rsidRDefault="00222C80" w:rsidP="00E10937">
            <w:pPr>
              <w:pStyle w:val="Compact"/>
            </w:pPr>
            <w:r>
              <w:t>Sudan GP</w:t>
            </w:r>
          </w:p>
        </w:tc>
        <w:tc>
          <w:tcPr>
            <w:tcW w:w="0" w:type="auto"/>
          </w:tcPr>
          <w:p w14:paraId="58B78FAC" w14:textId="77777777" w:rsidR="00222C80" w:rsidRDefault="00222C80" w:rsidP="00E10937">
            <w:pPr>
              <w:pStyle w:val="Compact"/>
            </w:pPr>
            <w:r>
              <w:t>Bundibugyo GP</w:t>
            </w:r>
          </w:p>
        </w:tc>
      </w:tr>
      <w:tr w:rsidR="00222C80" w14:paraId="12469223" w14:textId="77777777" w:rsidTr="00E10937">
        <w:tc>
          <w:tcPr>
            <w:tcW w:w="0" w:type="auto"/>
          </w:tcPr>
          <w:p w14:paraId="13D28EF6" w14:textId="77777777" w:rsidR="00222C80" w:rsidRDefault="00222C80" w:rsidP="00E10937">
            <w:pPr>
              <w:pStyle w:val="Compact"/>
            </w:pPr>
            <w:r>
              <w:t>Amino acids</w:t>
            </w:r>
          </w:p>
        </w:tc>
        <w:tc>
          <w:tcPr>
            <w:tcW w:w="0" w:type="auto"/>
          </w:tcPr>
          <w:p w14:paraId="0FC33A2D" w14:textId="77777777" w:rsidR="00222C80" w:rsidRDefault="00222C80" w:rsidP="00E10937">
            <w:pPr>
              <w:pStyle w:val="Compact"/>
            </w:pPr>
            <w:r>
              <w:t>676</w:t>
            </w:r>
          </w:p>
        </w:tc>
        <w:tc>
          <w:tcPr>
            <w:tcW w:w="0" w:type="auto"/>
          </w:tcPr>
          <w:p w14:paraId="4F9B9CC6" w14:textId="77777777" w:rsidR="00222C80" w:rsidRDefault="00222C80" w:rsidP="00E10937">
            <w:pPr>
              <w:pStyle w:val="Compact"/>
            </w:pPr>
            <w:r>
              <w:t>676</w:t>
            </w:r>
          </w:p>
        </w:tc>
        <w:tc>
          <w:tcPr>
            <w:tcW w:w="0" w:type="auto"/>
          </w:tcPr>
          <w:p w14:paraId="1FDA3C43" w14:textId="77777777" w:rsidR="00222C80" w:rsidRDefault="00222C80" w:rsidP="00E10937">
            <w:pPr>
              <w:pStyle w:val="Compact"/>
            </w:pPr>
            <w:r>
              <w:t>676</w:t>
            </w:r>
          </w:p>
        </w:tc>
      </w:tr>
      <w:tr w:rsidR="00222C80" w14:paraId="3746E9FB" w14:textId="77777777" w:rsidTr="00E10937">
        <w:tc>
          <w:tcPr>
            <w:tcW w:w="0" w:type="auto"/>
          </w:tcPr>
          <w:p w14:paraId="3860FA3E" w14:textId="77777777" w:rsidR="00222C80" w:rsidRDefault="00222C80" w:rsidP="00E10937">
            <w:pPr>
              <w:pStyle w:val="Compact"/>
            </w:pPr>
            <w:r>
              <w:t>Molecular weight (kDa)</w:t>
            </w:r>
          </w:p>
        </w:tc>
        <w:tc>
          <w:tcPr>
            <w:tcW w:w="0" w:type="auto"/>
          </w:tcPr>
          <w:p w14:paraId="7B6CF8D5" w14:textId="77777777" w:rsidR="00222C80" w:rsidRDefault="00222C80" w:rsidP="00E10937">
            <w:pPr>
              <w:pStyle w:val="Compact"/>
            </w:pPr>
            <w:r>
              <w:t>74.46</w:t>
            </w:r>
          </w:p>
        </w:tc>
        <w:tc>
          <w:tcPr>
            <w:tcW w:w="0" w:type="auto"/>
          </w:tcPr>
          <w:p w14:paraId="1E92FB31" w14:textId="77777777" w:rsidR="00222C80" w:rsidRDefault="00222C80" w:rsidP="00E10937">
            <w:pPr>
              <w:pStyle w:val="Compact"/>
            </w:pPr>
            <w:r>
              <w:t>74.99</w:t>
            </w:r>
          </w:p>
        </w:tc>
        <w:tc>
          <w:tcPr>
            <w:tcW w:w="0" w:type="auto"/>
          </w:tcPr>
          <w:p w14:paraId="07BB4B5D" w14:textId="77777777" w:rsidR="00222C80" w:rsidRDefault="00222C80" w:rsidP="00E10937">
            <w:pPr>
              <w:pStyle w:val="Compact"/>
            </w:pPr>
            <w:r>
              <w:t>75.62</w:t>
            </w:r>
          </w:p>
        </w:tc>
      </w:tr>
      <w:tr w:rsidR="00222C80" w14:paraId="05D38C66" w14:textId="77777777" w:rsidTr="00E10937">
        <w:tc>
          <w:tcPr>
            <w:tcW w:w="0" w:type="auto"/>
          </w:tcPr>
          <w:p w14:paraId="368B08B1" w14:textId="77777777" w:rsidR="00222C80" w:rsidRDefault="00222C80" w:rsidP="00E10937">
            <w:pPr>
              <w:pStyle w:val="Compact"/>
            </w:pPr>
            <w:r>
              <w:t>Instability Index</w:t>
            </w:r>
          </w:p>
        </w:tc>
        <w:tc>
          <w:tcPr>
            <w:tcW w:w="0" w:type="auto"/>
          </w:tcPr>
          <w:p w14:paraId="0ED94539" w14:textId="77777777" w:rsidR="00222C80" w:rsidRDefault="00222C80" w:rsidP="00E10937">
            <w:pPr>
              <w:pStyle w:val="Compact"/>
            </w:pPr>
            <w:r>
              <w:t>38.36</w:t>
            </w:r>
          </w:p>
        </w:tc>
        <w:tc>
          <w:tcPr>
            <w:tcW w:w="0" w:type="auto"/>
          </w:tcPr>
          <w:p w14:paraId="404143CB" w14:textId="77777777" w:rsidR="00222C80" w:rsidRDefault="00222C80" w:rsidP="00E10937">
            <w:pPr>
              <w:pStyle w:val="Compact"/>
            </w:pPr>
            <w:r>
              <w:t>41.60</w:t>
            </w:r>
          </w:p>
        </w:tc>
        <w:tc>
          <w:tcPr>
            <w:tcW w:w="0" w:type="auto"/>
          </w:tcPr>
          <w:p w14:paraId="22D2A368" w14:textId="77777777" w:rsidR="00222C80" w:rsidRDefault="00222C80" w:rsidP="00E10937">
            <w:pPr>
              <w:pStyle w:val="Compact"/>
            </w:pPr>
            <w:r>
              <w:t>36.61</w:t>
            </w:r>
          </w:p>
        </w:tc>
      </w:tr>
      <w:tr w:rsidR="00222C80" w14:paraId="53EC80F3" w14:textId="77777777" w:rsidTr="00E10937">
        <w:tc>
          <w:tcPr>
            <w:tcW w:w="0" w:type="auto"/>
          </w:tcPr>
          <w:p w14:paraId="1FBDE0B3" w14:textId="77777777" w:rsidR="00222C80" w:rsidRDefault="00222C80" w:rsidP="00E10937">
            <w:pPr>
              <w:pStyle w:val="Compact"/>
            </w:pPr>
            <w:r>
              <w:t>Stability Prediction</w:t>
            </w:r>
          </w:p>
        </w:tc>
        <w:tc>
          <w:tcPr>
            <w:tcW w:w="0" w:type="auto"/>
          </w:tcPr>
          <w:p w14:paraId="5261FCFB" w14:textId="77777777" w:rsidR="00222C80" w:rsidRDefault="00222C80" w:rsidP="00E10937">
            <w:pPr>
              <w:pStyle w:val="Compact"/>
            </w:pPr>
            <w:r>
              <w:t>Stable</w:t>
            </w:r>
          </w:p>
        </w:tc>
        <w:tc>
          <w:tcPr>
            <w:tcW w:w="0" w:type="auto"/>
          </w:tcPr>
          <w:p w14:paraId="14330DBE" w14:textId="77777777" w:rsidR="00222C80" w:rsidRDefault="00222C80" w:rsidP="00E10937">
            <w:pPr>
              <w:pStyle w:val="Compact"/>
            </w:pPr>
            <w:r>
              <w:t>Unstable</w:t>
            </w:r>
          </w:p>
        </w:tc>
        <w:tc>
          <w:tcPr>
            <w:tcW w:w="0" w:type="auto"/>
          </w:tcPr>
          <w:p w14:paraId="05A2DC5D" w14:textId="77777777" w:rsidR="00222C80" w:rsidRDefault="00222C80" w:rsidP="00E10937">
            <w:pPr>
              <w:pStyle w:val="Compact"/>
            </w:pPr>
            <w:r>
              <w:t>Stable</w:t>
            </w:r>
          </w:p>
        </w:tc>
      </w:tr>
      <w:tr w:rsidR="00222C80" w14:paraId="26CFDEE7" w14:textId="77777777" w:rsidTr="00E10937">
        <w:tc>
          <w:tcPr>
            <w:tcW w:w="0" w:type="auto"/>
          </w:tcPr>
          <w:p w14:paraId="331BC7B7" w14:textId="77777777" w:rsidR="00222C80" w:rsidRDefault="00222C80" w:rsidP="00E10937">
            <w:pPr>
              <w:pStyle w:val="Compact"/>
            </w:pPr>
            <w:r>
              <w:t>Aliphatic Index</w:t>
            </w:r>
          </w:p>
        </w:tc>
        <w:tc>
          <w:tcPr>
            <w:tcW w:w="0" w:type="auto"/>
          </w:tcPr>
          <w:p w14:paraId="4BC97E5D" w14:textId="77777777" w:rsidR="00222C80" w:rsidRDefault="00222C80" w:rsidP="00E10937">
            <w:pPr>
              <w:pStyle w:val="Compact"/>
            </w:pPr>
            <w:r>
              <w:t>75.77</w:t>
            </w:r>
          </w:p>
        </w:tc>
        <w:tc>
          <w:tcPr>
            <w:tcW w:w="0" w:type="auto"/>
          </w:tcPr>
          <w:p w14:paraId="0C01892F" w14:textId="77777777" w:rsidR="00222C80" w:rsidRDefault="00222C80" w:rsidP="00E10937">
            <w:pPr>
              <w:pStyle w:val="Compact"/>
            </w:pPr>
            <w:r>
              <w:t>80.52</w:t>
            </w:r>
          </w:p>
        </w:tc>
        <w:tc>
          <w:tcPr>
            <w:tcW w:w="0" w:type="auto"/>
          </w:tcPr>
          <w:p w14:paraId="31F889EC" w14:textId="77777777" w:rsidR="00222C80" w:rsidRDefault="00222C80" w:rsidP="00E10937">
            <w:pPr>
              <w:pStyle w:val="Compact"/>
            </w:pPr>
            <w:r>
              <w:t>78.94</w:t>
            </w:r>
          </w:p>
        </w:tc>
      </w:tr>
      <w:tr w:rsidR="00222C80" w14:paraId="0A1F3E26" w14:textId="77777777" w:rsidTr="00E10937">
        <w:tc>
          <w:tcPr>
            <w:tcW w:w="0" w:type="auto"/>
          </w:tcPr>
          <w:p w14:paraId="0FA7184A" w14:textId="77777777" w:rsidR="00222C80" w:rsidRDefault="00222C80" w:rsidP="00E10937">
            <w:pPr>
              <w:pStyle w:val="Compact"/>
            </w:pPr>
            <w:r>
              <w:t>GRAVY</w:t>
            </w:r>
          </w:p>
        </w:tc>
        <w:tc>
          <w:tcPr>
            <w:tcW w:w="0" w:type="auto"/>
          </w:tcPr>
          <w:p w14:paraId="185B9698" w14:textId="77777777" w:rsidR="00222C80" w:rsidRDefault="00222C80" w:rsidP="00E10937">
            <w:pPr>
              <w:pStyle w:val="Compact"/>
            </w:pPr>
            <w:r>
              <w:t>Negative</w:t>
            </w:r>
          </w:p>
        </w:tc>
        <w:tc>
          <w:tcPr>
            <w:tcW w:w="0" w:type="auto"/>
          </w:tcPr>
          <w:p w14:paraId="0CACF22E" w14:textId="77777777" w:rsidR="00222C80" w:rsidRDefault="00222C80" w:rsidP="00E10937">
            <w:pPr>
              <w:pStyle w:val="Compact"/>
            </w:pPr>
            <w:r>
              <w:t>Negative</w:t>
            </w:r>
          </w:p>
        </w:tc>
        <w:tc>
          <w:tcPr>
            <w:tcW w:w="0" w:type="auto"/>
          </w:tcPr>
          <w:p w14:paraId="61D38196" w14:textId="77777777" w:rsidR="00222C80" w:rsidRDefault="00222C80" w:rsidP="00E10937">
            <w:pPr>
              <w:pStyle w:val="Compact"/>
            </w:pPr>
            <w:r>
              <w:t>Negative</w:t>
            </w:r>
          </w:p>
        </w:tc>
      </w:tr>
    </w:tbl>
    <w:p w14:paraId="2DFA47AD" w14:textId="77777777" w:rsidR="00222C80" w:rsidRPr="001D47F4" w:rsidRDefault="00222C80" w:rsidP="00222C80">
      <w:pPr>
        <w:pStyle w:val="FirstParagraph"/>
      </w:pPr>
      <w:r w:rsidRPr="001D47F4">
        <w:t>Table 1. Physicochemical properties of Ebola virus glycoproteins predicted using ExPASy ProtParam.</w:t>
      </w:r>
    </w:p>
    <w:p w14:paraId="1F53756E" w14:textId="77777777" w:rsidR="00222C80" w:rsidRPr="00D55EE0" w:rsidRDefault="00222C80" w:rsidP="00D55EE0">
      <w:pPr>
        <w:pStyle w:val="BodyText"/>
        <w:jc w:val="both"/>
      </w:pPr>
    </w:p>
    <w:p w14:paraId="7D2ADF0E" w14:textId="77777777" w:rsidR="001D6A36" w:rsidRPr="00D55EE0" w:rsidRDefault="001D6A36" w:rsidP="00D55EE0">
      <w:pPr>
        <w:pStyle w:val="Heading2"/>
        <w:jc w:val="both"/>
        <w:rPr>
          <w:color w:val="auto"/>
        </w:rPr>
      </w:pPr>
      <w:bookmarkStart w:id="19" w:name="X49cbb4d7f88c73d9c2fd14aa6e6a97abbf9f1d4"/>
      <w:bookmarkEnd w:id="18"/>
      <w:r w:rsidRPr="00D55EE0">
        <w:rPr>
          <w:color w:val="auto"/>
        </w:rPr>
        <w:t>3.2 Antigenicity and Allergenicity Assessment</w:t>
      </w:r>
    </w:p>
    <w:p w14:paraId="70BC0DF9" w14:textId="77777777" w:rsidR="001D6A36" w:rsidRPr="00D55EE0" w:rsidRDefault="001D6A36" w:rsidP="00D55EE0">
      <w:pPr>
        <w:pStyle w:val="FirstParagraph"/>
        <w:jc w:val="both"/>
      </w:pPr>
      <w:r w:rsidRPr="00D55EE0">
        <w:t xml:space="preserve">AllerTOP v2.1 analysis classified the glycoproteins of Zaire, Sudan, and Bundibugyo Ebola virus strains as probable non-allergens. The absence of allergenic characteristics is a </w:t>
      </w:r>
      <w:r w:rsidRPr="00D55EE0">
        <w:lastRenderedPageBreak/>
        <w:t>desirable feature for vaccine development because it minimizes the possibility of adverse hypersensitivity reactions following administration.</w:t>
      </w:r>
    </w:p>
    <w:p w14:paraId="79710D41" w14:textId="77777777" w:rsidR="001D6A36" w:rsidRPr="00D55EE0" w:rsidRDefault="001D6A36" w:rsidP="00D55EE0">
      <w:pPr>
        <w:pStyle w:val="BodyText"/>
        <w:jc w:val="both"/>
      </w:pPr>
      <w:r w:rsidRPr="00D55EE0">
        <w:t>The non-allergenic nature of all three target proteins supported their suitability for epitope prediction and subsequent vaccine construction.</w:t>
      </w:r>
    </w:p>
    <w:p w14:paraId="5304A243" w14:textId="77777777" w:rsidR="001D6A36" w:rsidRPr="00D55EE0" w:rsidRDefault="001D6A36" w:rsidP="00D55EE0">
      <w:pPr>
        <w:pStyle w:val="Heading2"/>
        <w:jc w:val="both"/>
        <w:rPr>
          <w:color w:val="auto"/>
        </w:rPr>
      </w:pPr>
      <w:bookmarkStart w:id="20" w:name="prediction-and-selection-of-ctl-epitopes"/>
      <w:bookmarkEnd w:id="19"/>
      <w:r w:rsidRPr="00D55EE0">
        <w:rPr>
          <w:color w:val="auto"/>
        </w:rPr>
        <w:t>3.3 Prediction and Selection of CTL Epitopes</w:t>
      </w:r>
    </w:p>
    <w:p w14:paraId="73D1C765" w14:textId="77777777" w:rsidR="001D6A36" w:rsidRPr="00D55EE0" w:rsidRDefault="001D6A36" w:rsidP="00D55EE0">
      <w:pPr>
        <w:pStyle w:val="FirstParagraph"/>
        <w:jc w:val="both"/>
      </w:pPr>
      <w:r w:rsidRPr="00D55EE0">
        <w:t>CTL epitopes were predicted using the IEDB MHC-I binding prediction platform. Candidate 9-mer peptides were screened based on binding affinity, antigenicity, allergenicity, toxicity, conservancy, and solubility.</w:t>
      </w:r>
    </w:p>
    <w:p w14:paraId="51DB57F0" w14:textId="77777777" w:rsidR="001D6A36" w:rsidRPr="00D55EE0" w:rsidRDefault="001D6A36" w:rsidP="00D55EE0">
      <w:pPr>
        <w:pStyle w:val="BodyText"/>
        <w:jc w:val="both"/>
      </w:pPr>
      <w:r w:rsidRPr="00D55EE0">
        <w:t>Several epitopes demonstrated strong immunogenic potential and were therefore selected for vaccine construction. Representative CTL epitopes included RTFSILNRK, TTIGEWAFW, TYVQLESRF, NTIAGVAGL, GFRSGVPPK, RTYTILNRK, ILGSLGLRK, and KAIDFLLRR. These epitopes exhibited favorable antigenic properties and broad sequence conservancy among the selected Ebola virus strains.</w:t>
      </w:r>
    </w:p>
    <w:p w14:paraId="66C981E7" w14:textId="77777777" w:rsidR="001D6A36" w:rsidRDefault="001D6A36" w:rsidP="00D55EE0">
      <w:pPr>
        <w:pStyle w:val="BodyText"/>
        <w:jc w:val="both"/>
      </w:pPr>
      <w:r w:rsidRPr="00D55EE0">
        <w:t>The inclusion of highly conserved CTL epitopes was expected to stimulate robust CD8+ T-cell responses capable of eliminating infected host cells.</w:t>
      </w:r>
    </w:p>
    <w:tbl>
      <w:tblPr>
        <w:tblStyle w:val="Table"/>
        <w:tblW w:w="0" w:type="auto"/>
        <w:tblLook w:val="0020" w:firstRow="1" w:lastRow="0" w:firstColumn="0" w:lastColumn="0" w:noHBand="0" w:noVBand="0"/>
      </w:tblPr>
      <w:tblGrid>
        <w:gridCol w:w="903"/>
        <w:gridCol w:w="1518"/>
        <w:gridCol w:w="1366"/>
      </w:tblGrid>
      <w:tr w:rsidR="00222C80" w14:paraId="021161B8"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2843FF94" w14:textId="77777777" w:rsidR="00222C80" w:rsidRDefault="00222C80" w:rsidP="00E10937">
            <w:pPr>
              <w:pStyle w:val="Compact"/>
            </w:pPr>
            <w:r>
              <w:t>Sl. No.</w:t>
            </w:r>
          </w:p>
        </w:tc>
        <w:tc>
          <w:tcPr>
            <w:tcW w:w="0" w:type="auto"/>
          </w:tcPr>
          <w:p w14:paraId="53B08AFC" w14:textId="77777777" w:rsidR="00222C80" w:rsidRDefault="00222C80" w:rsidP="00E10937">
            <w:pPr>
              <w:pStyle w:val="Compact"/>
            </w:pPr>
            <w:r>
              <w:t>CTL Epitope</w:t>
            </w:r>
          </w:p>
        </w:tc>
        <w:tc>
          <w:tcPr>
            <w:tcW w:w="0" w:type="auto"/>
          </w:tcPr>
          <w:p w14:paraId="36D0C48F" w14:textId="77777777" w:rsidR="00222C80" w:rsidRDefault="00222C80" w:rsidP="00E10937">
            <w:pPr>
              <w:pStyle w:val="Compact"/>
            </w:pPr>
            <w:r>
              <w:t>Length (aa)</w:t>
            </w:r>
          </w:p>
        </w:tc>
      </w:tr>
      <w:tr w:rsidR="00222C80" w14:paraId="28765880" w14:textId="77777777" w:rsidTr="00E10937">
        <w:tc>
          <w:tcPr>
            <w:tcW w:w="0" w:type="auto"/>
          </w:tcPr>
          <w:p w14:paraId="6FDE730F" w14:textId="77777777" w:rsidR="00222C80" w:rsidRDefault="00222C80" w:rsidP="00E10937">
            <w:pPr>
              <w:pStyle w:val="Compact"/>
            </w:pPr>
            <w:r>
              <w:t>1</w:t>
            </w:r>
          </w:p>
        </w:tc>
        <w:tc>
          <w:tcPr>
            <w:tcW w:w="0" w:type="auto"/>
          </w:tcPr>
          <w:p w14:paraId="43F0EE87" w14:textId="77777777" w:rsidR="00222C80" w:rsidRDefault="00222C80" w:rsidP="00E10937">
            <w:pPr>
              <w:pStyle w:val="Compact"/>
            </w:pPr>
            <w:r>
              <w:t>RTFSILNRK</w:t>
            </w:r>
          </w:p>
        </w:tc>
        <w:tc>
          <w:tcPr>
            <w:tcW w:w="0" w:type="auto"/>
          </w:tcPr>
          <w:p w14:paraId="0CFB86FD" w14:textId="77777777" w:rsidR="00222C80" w:rsidRDefault="00222C80" w:rsidP="00E10937">
            <w:pPr>
              <w:pStyle w:val="Compact"/>
            </w:pPr>
            <w:r>
              <w:t>9</w:t>
            </w:r>
          </w:p>
        </w:tc>
      </w:tr>
      <w:tr w:rsidR="00222C80" w14:paraId="2F0FE919" w14:textId="77777777" w:rsidTr="00E10937">
        <w:tc>
          <w:tcPr>
            <w:tcW w:w="0" w:type="auto"/>
          </w:tcPr>
          <w:p w14:paraId="5F2DF001" w14:textId="77777777" w:rsidR="00222C80" w:rsidRDefault="00222C80" w:rsidP="00E10937">
            <w:pPr>
              <w:pStyle w:val="Compact"/>
            </w:pPr>
            <w:r>
              <w:t>2</w:t>
            </w:r>
          </w:p>
        </w:tc>
        <w:tc>
          <w:tcPr>
            <w:tcW w:w="0" w:type="auto"/>
          </w:tcPr>
          <w:p w14:paraId="005D3779" w14:textId="77777777" w:rsidR="00222C80" w:rsidRDefault="00222C80" w:rsidP="00E10937">
            <w:pPr>
              <w:pStyle w:val="Compact"/>
            </w:pPr>
            <w:r>
              <w:t>TTIGEWAFW</w:t>
            </w:r>
          </w:p>
        </w:tc>
        <w:tc>
          <w:tcPr>
            <w:tcW w:w="0" w:type="auto"/>
          </w:tcPr>
          <w:p w14:paraId="1325E005" w14:textId="77777777" w:rsidR="00222C80" w:rsidRDefault="00222C80" w:rsidP="00E10937">
            <w:pPr>
              <w:pStyle w:val="Compact"/>
            </w:pPr>
            <w:r>
              <w:t>9</w:t>
            </w:r>
          </w:p>
        </w:tc>
      </w:tr>
      <w:tr w:rsidR="00222C80" w14:paraId="7DF279A8" w14:textId="77777777" w:rsidTr="00E10937">
        <w:tc>
          <w:tcPr>
            <w:tcW w:w="0" w:type="auto"/>
          </w:tcPr>
          <w:p w14:paraId="106E3EA8" w14:textId="77777777" w:rsidR="00222C80" w:rsidRDefault="00222C80" w:rsidP="00E10937">
            <w:pPr>
              <w:pStyle w:val="Compact"/>
            </w:pPr>
            <w:r>
              <w:t>3</w:t>
            </w:r>
          </w:p>
        </w:tc>
        <w:tc>
          <w:tcPr>
            <w:tcW w:w="0" w:type="auto"/>
          </w:tcPr>
          <w:p w14:paraId="70665F29" w14:textId="77777777" w:rsidR="00222C80" w:rsidRDefault="00222C80" w:rsidP="00E10937">
            <w:pPr>
              <w:pStyle w:val="Compact"/>
            </w:pPr>
            <w:r>
              <w:t>TYVQLESRF</w:t>
            </w:r>
          </w:p>
        </w:tc>
        <w:tc>
          <w:tcPr>
            <w:tcW w:w="0" w:type="auto"/>
          </w:tcPr>
          <w:p w14:paraId="225DA793" w14:textId="77777777" w:rsidR="00222C80" w:rsidRDefault="00222C80" w:rsidP="00E10937">
            <w:pPr>
              <w:pStyle w:val="Compact"/>
            </w:pPr>
            <w:r>
              <w:t>9</w:t>
            </w:r>
          </w:p>
        </w:tc>
      </w:tr>
      <w:tr w:rsidR="00222C80" w14:paraId="7141EF95" w14:textId="77777777" w:rsidTr="00E10937">
        <w:tc>
          <w:tcPr>
            <w:tcW w:w="0" w:type="auto"/>
          </w:tcPr>
          <w:p w14:paraId="5A321844" w14:textId="77777777" w:rsidR="00222C80" w:rsidRDefault="00222C80" w:rsidP="00E10937">
            <w:pPr>
              <w:pStyle w:val="Compact"/>
            </w:pPr>
            <w:r>
              <w:t>4</w:t>
            </w:r>
          </w:p>
        </w:tc>
        <w:tc>
          <w:tcPr>
            <w:tcW w:w="0" w:type="auto"/>
          </w:tcPr>
          <w:p w14:paraId="4ED9DAD1" w14:textId="77777777" w:rsidR="00222C80" w:rsidRDefault="00222C80" w:rsidP="00E10937">
            <w:pPr>
              <w:pStyle w:val="Compact"/>
            </w:pPr>
            <w:r>
              <w:t>NTIAGVAGL</w:t>
            </w:r>
          </w:p>
        </w:tc>
        <w:tc>
          <w:tcPr>
            <w:tcW w:w="0" w:type="auto"/>
          </w:tcPr>
          <w:p w14:paraId="16AC7645" w14:textId="77777777" w:rsidR="00222C80" w:rsidRDefault="00222C80" w:rsidP="00E10937">
            <w:pPr>
              <w:pStyle w:val="Compact"/>
            </w:pPr>
            <w:r>
              <w:t>9</w:t>
            </w:r>
          </w:p>
        </w:tc>
      </w:tr>
      <w:tr w:rsidR="00222C80" w14:paraId="69A229DD" w14:textId="77777777" w:rsidTr="00E10937">
        <w:tc>
          <w:tcPr>
            <w:tcW w:w="0" w:type="auto"/>
          </w:tcPr>
          <w:p w14:paraId="09912204" w14:textId="77777777" w:rsidR="00222C80" w:rsidRDefault="00222C80" w:rsidP="00E10937">
            <w:pPr>
              <w:pStyle w:val="Compact"/>
            </w:pPr>
            <w:r>
              <w:t>5</w:t>
            </w:r>
          </w:p>
        </w:tc>
        <w:tc>
          <w:tcPr>
            <w:tcW w:w="0" w:type="auto"/>
          </w:tcPr>
          <w:p w14:paraId="1FD2A2BC" w14:textId="77777777" w:rsidR="00222C80" w:rsidRDefault="00222C80" w:rsidP="00E10937">
            <w:pPr>
              <w:pStyle w:val="Compact"/>
            </w:pPr>
            <w:r>
              <w:t>GFRSGVPPK</w:t>
            </w:r>
          </w:p>
        </w:tc>
        <w:tc>
          <w:tcPr>
            <w:tcW w:w="0" w:type="auto"/>
          </w:tcPr>
          <w:p w14:paraId="6EB9D15F" w14:textId="77777777" w:rsidR="00222C80" w:rsidRDefault="00222C80" w:rsidP="00E10937">
            <w:pPr>
              <w:pStyle w:val="Compact"/>
            </w:pPr>
            <w:r>
              <w:t>9</w:t>
            </w:r>
          </w:p>
        </w:tc>
      </w:tr>
      <w:tr w:rsidR="00222C80" w14:paraId="676EFD0A" w14:textId="77777777" w:rsidTr="00E10937">
        <w:tc>
          <w:tcPr>
            <w:tcW w:w="0" w:type="auto"/>
          </w:tcPr>
          <w:p w14:paraId="0D2CE2F9" w14:textId="77777777" w:rsidR="00222C80" w:rsidRDefault="00222C80" w:rsidP="00E10937">
            <w:pPr>
              <w:pStyle w:val="Compact"/>
            </w:pPr>
            <w:r>
              <w:t>6</w:t>
            </w:r>
          </w:p>
        </w:tc>
        <w:tc>
          <w:tcPr>
            <w:tcW w:w="0" w:type="auto"/>
          </w:tcPr>
          <w:p w14:paraId="0E0C1C36" w14:textId="77777777" w:rsidR="00222C80" w:rsidRDefault="00222C80" w:rsidP="00E10937">
            <w:pPr>
              <w:pStyle w:val="Compact"/>
            </w:pPr>
            <w:r>
              <w:t>RTYTILNRK</w:t>
            </w:r>
          </w:p>
        </w:tc>
        <w:tc>
          <w:tcPr>
            <w:tcW w:w="0" w:type="auto"/>
          </w:tcPr>
          <w:p w14:paraId="01A30E7A" w14:textId="77777777" w:rsidR="00222C80" w:rsidRDefault="00222C80" w:rsidP="00E10937">
            <w:pPr>
              <w:pStyle w:val="Compact"/>
            </w:pPr>
            <w:r>
              <w:t>9</w:t>
            </w:r>
          </w:p>
        </w:tc>
      </w:tr>
      <w:tr w:rsidR="00222C80" w14:paraId="3DB72A4E" w14:textId="77777777" w:rsidTr="00E10937">
        <w:tc>
          <w:tcPr>
            <w:tcW w:w="0" w:type="auto"/>
          </w:tcPr>
          <w:p w14:paraId="27EE549C" w14:textId="77777777" w:rsidR="00222C80" w:rsidRDefault="00222C80" w:rsidP="00E10937">
            <w:pPr>
              <w:pStyle w:val="Compact"/>
            </w:pPr>
            <w:r>
              <w:t>7</w:t>
            </w:r>
          </w:p>
        </w:tc>
        <w:tc>
          <w:tcPr>
            <w:tcW w:w="0" w:type="auto"/>
          </w:tcPr>
          <w:p w14:paraId="7D3099CB" w14:textId="77777777" w:rsidR="00222C80" w:rsidRDefault="00222C80" w:rsidP="00E10937">
            <w:pPr>
              <w:pStyle w:val="Compact"/>
            </w:pPr>
            <w:r>
              <w:t>ILGSLGLRK</w:t>
            </w:r>
          </w:p>
        </w:tc>
        <w:tc>
          <w:tcPr>
            <w:tcW w:w="0" w:type="auto"/>
          </w:tcPr>
          <w:p w14:paraId="4C88F8A2" w14:textId="77777777" w:rsidR="00222C80" w:rsidRDefault="00222C80" w:rsidP="00E10937">
            <w:pPr>
              <w:pStyle w:val="Compact"/>
            </w:pPr>
            <w:r>
              <w:t>9</w:t>
            </w:r>
          </w:p>
        </w:tc>
      </w:tr>
      <w:tr w:rsidR="00222C80" w14:paraId="48B7475B" w14:textId="77777777" w:rsidTr="00E10937">
        <w:tc>
          <w:tcPr>
            <w:tcW w:w="0" w:type="auto"/>
          </w:tcPr>
          <w:p w14:paraId="36DEC8CE" w14:textId="77777777" w:rsidR="00222C80" w:rsidRDefault="00222C80" w:rsidP="00E10937">
            <w:pPr>
              <w:pStyle w:val="Compact"/>
            </w:pPr>
            <w:r>
              <w:t>8</w:t>
            </w:r>
          </w:p>
        </w:tc>
        <w:tc>
          <w:tcPr>
            <w:tcW w:w="0" w:type="auto"/>
          </w:tcPr>
          <w:p w14:paraId="1BCA51D7" w14:textId="77777777" w:rsidR="00222C80" w:rsidRDefault="00222C80" w:rsidP="00E10937">
            <w:pPr>
              <w:pStyle w:val="Compact"/>
            </w:pPr>
            <w:r>
              <w:t>KAIDFLLRR</w:t>
            </w:r>
          </w:p>
        </w:tc>
        <w:tc>
          <w:tcPr>
            <w:tcW w:w="0" w:type="auto"/>
          </w:tcPr>
          <w:p w14:paraId="3BB27820" w14:textId="77777777" w:rsidR="00222C80" w:rsidRDefault="00222C80" w:rsidP="00E10937">
            <w:pPr>
              <w:pStyle w:val="Compact"/>
            </w:pPr>
            <w:r>
              <w:t>9</w:t>
            </w:r>
          </w:p>
        </w:tc>
      </w:tr>
    </w:tbl>
    <w:p w14:paraId="49E61B05" w14:textId="77777777" w:rsidR="00222C80" w:rsidRDefault="00222C80" w:rsidP="00222C80">
      <w:pPr>
        <w:pStyle w:val="BodyText"/>
      </w:pPr>
      <w:r>
        <w:t>Table 2. Selected CTL epitopes incorporated into the vaccine construct.</w:t>
      </w:r>
    </w:p>
    <w:p w14:paraId="1DBB464E" w14:textId="77777777" w:rsidR="00222C80" w:rsidRPr="00D55EE0" w:rsidRDefault="00222C80" w:rsidP="00D55EE0">
      <w:pPr>
        <w:pStyle w:val="BodyText"/>
        <w:jc w:val="both"/>
      </w:pPr>
    </w:p>
    <w:p w14:paraId="43455172" w14:textId="77777777" w:rsidR="001D6A36" w:rsidRPr="00D55EE0" w:rsidRDefault="001D6A36" w:rsidP="00D55EE0">
      <w:pPr>
        <w:pStyle w:val="Heading2"/>
        <w:jc w:val="both"/>
        <w:rPr>
          <w:color w:val="auto"/>
        </w:rPr>
      </w:pPr>
      <w:bookmarkStart w:id="21" w:name="prediction-and-selection-of-htl-epitopes"/>
      <w:bookmarkEnd w:id="20"/>
      <w:r w:rsidRPr="00D55EE0">
        <w:rPr>
          <w:color w:val="auto"/>
        </w:rPr>
        <w:t>3.4 Prediction and Selection of HTL Epitopes</w:t>
      </w:r>
    </w:p>
    <w:p w14:paraId="55524AF2" w14:textId="77777777" w:rsidR="001D6A36" w:rsidRPr="00D55EE0" w:rsidRDefault="001D6A36" w:rsidP="00D55EE0">
      <w:pPr>
        <w:pStyle w:val="FirstParagraph"/>
        <w:jc w:val="both"/>
      </w:pPr>
      <w:r w:rsidRPr="00D55EE0">
        <w:t>HTL epitopes were predicted against representative HLA-DRB1 alleles using the IEDB MHC-II prediction server. Fifteen-mer peptides displaying strong binding affinity and favorable immunological characteristics were selected.</w:t>
      </w:r>
    </w:p>
    <w:p w14:paraId="5111F929" w14:textId="77777777" w:rsidR="001D6A36" w:rsidRPr="00D55EE0" w:rsidRDefault="001D6A36" w:rsidP="00D55EE0">
      <w:pPr>
        <w:pStyle w:val="BodyText"/>
        <w:jc w:val="both"/>
      </w:pPr>
      <w:r w:rsidRPr="00D55EE0">
        <w:t>Representative HTL epitopes included WVIILFQRTFSIPLG, PDGIRGFPRCRYVHK, and QETITETTATIIGTN. These epitopes demonstrated high antigenicity while remaining non-allergenic and non-toxic.</w:t>
      </w:r>
    </w:p>
    <w:p w14:paraId="39906C2B" w14:textId="77777777" w:rsidR="001D6A36" w:rsidRDefault="001D6A36" w:rsidP="00D55EE0">
      <w:pPr>
        <w:pStyle w:val="BodyText"/>
        <w:jc w:val="both"/>
      </w:pPr>
      <w:r w:rsidRPr="00D55EE0">
        <w:lastRenderedPageBreak/>
        <w:t>Helper T-cell activation plays a critical role in orchestrating adaptive immune responses by promoting cytokine secretion and supporting both cellular and humoral immunity. Therefore, incorporation of these HTL epitopes was expected to improve vaccine efficacy.</w:t>
      </w:r>
    </w:p>
    <w:tbl>
      <w:tblPr>
        <w:tblStyle w:val="Table"/>
        <w:tblW w:w="0" w:type="auto"/>
        <w:tblLook w:val="0020" w:firstRow="1" w:lastRow="0" w:firstColumn="0" w:lastColumn="0" w:noHBand="0" w:noVBand="0"/>
      </w:tblPr>
      <w:tblGrid>
        <w:gridCol w:w="903"/>
        <w:gridCol w:w="2365"/>
        <w:gridCol w:w="1366"/>
      </w:tblGrid>
      <w:tr w:rsidR="00EB1890" w14:paraId="13FCD013"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2E4060F0" w14:textId="77777777" w:rsidR="00EB1890" w:rsidRDefault="00EB1890" w:rsidP="00E10937">
            <w:pPr>
              <w:pStyle w:val="Compact"/>
            </w:pPr>
            <w:r>
              <w:t>Sl. No.</w:t>
            </w:r>
          </w:p>
        </w:tc>
        <w:tc>
          <w:tcPr>
            <w:tcW w:w="0" w:type="auto"/>
          </w:tcPr>
          <w:p w14:paraId="76D391B4" w14:textId="77777777" w:rsidR="00EB1890" w:rsidRDefault="00EB1890" w:rsidP="00E10937">
            <w:pPr>
              <w:pStyle w:val="Compact"/>
            </w:pPr>
            <w:r>
              <w:t>HTL Epitope</w:t>
            </w:r>
          </w:p>
        </w:tc>
        <w:tc>
          <w:tcPr>
            <w:tcW w:w="0" w:type="auto"/>
          </w:tcPr>
          <w:p w14:paraId="2D89A146" w14:textId="77777777" w:rsidR="00EB1890" w:rsidRDefault="00EB1890" w:rsidP="00E10937">
            <w:pPr>
              <w:pStyle w:val="Compact"/>
            </w:pPr>
            <w:r>
              <w:t>Length (aa)</w:t>
            </w:r>
          </w:p>
        </w:tc>
      </w:tr>
      <w:tr w:rsidR="00EB1890" w14:paraId="5B16415D" w14:textId="77777777" w:rsidTr="00E10937">
        <w:tc>
          <w:tcPr>
            <w:tcW w:w="0" w:type="auto"/>
          </w:tcPr>
          <w:p w14:paraId="64C733FB" w14:textId="77777777" w:rsidR="00EB1890" w:rsidRDefault="00EB1890" w:rsidP="00E10937">
            <w:pPr>
              <w:pStyle w:val="Compact"/>
            </w:pPr>
            <w:r>
              <w:t>1</w:t>
            </w:r>
          </w:p>
        </w:tc>
        <w:tc>
          <w:tcPr>
            <w:tcW w:w="0" w:type="auto"/>
          </w:tcPr>
          <w:p w14:paraId="4921FE2C" w14:textId="77777777" w:rsidR="00EB1890" w:rsidRDefault="00EB1890" w:rsidP="00E10937">
            <w:pPr>
              <w:pStyle w:val="Compact"/>
            </w:pPr>
            <w:r>
              <w:t>WVIILFQRTFSIPLG</w:t>
            </w:r>
          </w:p>
        </w:tc>
        <w:tc>
          <w:tcPr>
            <w:tcW w:w="0" w:type="auto"/>
          </w:tcPr>
          <w:p w14:paraId="3820BD98" w14:textId="77777777" w:rsidR="00EB1890" w:rsidRDefault="00EB1890" w:rsidP="00E10937">
            <w:pPr>
              <w:pStyle w:val="Compact"/>
            </w:pPr>
            <w:r>
              <w:t>15</w:t>
            </w:r>
          </w:p>
        </w:tc>
      </w:tr>
      <w:tr w:rsidR="00EB1890" w14:paraId="25D41703" w14:textId="77777777" w:rsidTr="00E10937">
        <w:tc>
          <w:tcPr>
            <w:tcW w:w="0" w:type="auto"/>
          </w:tcPr>
          <w:p w14:paraId="7FD6821F" w14:textId="77777777" w:rsidR="00EB1890" w:rsidRDefault="00EB1890" w:rsidP="00E10937">
            <w:pPr>
              <w:pStyle w:val="Compact"/>
            </w:pPr>
            <w:r>
              <w:t>2</w:t>
            </w:r>
          </w:p>
        </w:tc>
        <w:tc>
          <w:tcPr>
            <w:tcW w:w="0" w:type="auto"/>
          </w:tcPr>
          <w:p w14:paraId="634ACA55" w14:textId="77777777" w:rsidR="00EB1890" w:rsidRDefault="00EB1890" w:rsidP="00E10937">
            <w:pPr>
              <w:pStyle w:val="Compact"/>
            </w:pPr>
            <w:r>
              <w:t>PDGIRGFPRCRYVHK</w:t>
            </w:r>
          </w:p>
        </w:tc>
        <w:tc>
          <w:tcPr>
            <w:tcW w:w="0" w:type="auto"/>
          </w:tcPr>
          <w:p w14:paraId="47410E72" w14:textId="77777777" w:rsidR="00EB1890" w:rsidRDefault="00EB1890" w:rsidP="00E10937">
            <w:pPr>
              <w:pStyle w:val="Compact"/>
            </w:pPr>
            <w:r>
              <w:t>15</w:t>
            </w:r>
          </w:p>
        </w:tc>
      </w:tr>
      <w:tr w:rsidR="00EB1890" w14:paraId="54112237" w14:textId="77777777" w:rsidTr="00E10937">
        <w:tc>
          <w:tcPr>
            <w:tcW w:w="0" w:type="auto"/>
          </w:tcPr>
          <w:p w14:paraId="5483A1A2" w14:textId="77777777" w:rsidR="00EB1890" w:rsidRDefault="00EB1890" w:rsidP="00E10937">
            <w:pPr>
              <w:pStyle w:val="Compact"/>
            </w:pPr>
            <w:r>
              <w:t>3</w:t>
            </w:r>
          </w:p>
        </w:tc>
        <w:tc>
          <w:tcPr>
            <w:tcW w:w="0" w:type="auto"/>
          </w:tcPr>
          <w:p w14:paraId="58DCB1FF" w14:textId="77777777" w:rsidR="00EB1890" w:rsidRDefault="00EB1890" w:rsidP="00E10937">
            <w:pPr>
              <w:pStyle w:val="Compact"/>
            </w:pPr>
            <w:r>
              <w:t>QETITETTATIIGTN</w:t>
            </w:r>
          </w:p>
        </w:tc>
        <w:tc>
          <w:tcPr>
            <w:tcW w:w="0" w:type="auto"/>
          </w:tcPr>
          <w:p w14:paraId="25A55DED" w14:textId="77777777" w:rsidR="00EB1890" w:rsidRDefault="00EB1890" w:rsidP="00E10937">
            <w:pPr>
              <w:pStyle w:val="Compact"/>
            </w:pPr>
            <w:r>
              <w:t>15</w:t>
            </w:r>
          </w:p>
        </w:tc>
      </w:tr>
    </w:tbl>
    <w:p w14:paraId="67425755" w14:textId="77777777" w:rsidR="00EB1890" w:rsidRDefault="00EB1890" w:rsidP="00EB1890">
      <w:pPr>
        <w:pStyle w:val="BodyText"/>
      </w:pPr>
      <w:r>
        <w:t>Table 3. Selected HTL epitopes incorporated into the vaccine construct.</w:t>
      </w:r>
    </w:p>
    <w:p w14:paraId="3A7C1912" w14:textId="77777777" w:rsidR="00EB1890" w:rsidRPr="00D55EE0" w:rsidRDefault="00EB1890" w:rsidP="00D55EE0">
      <w:pPr>
        <w:pStyle w:val="BodyText"/>
        <w:jc w:val="both"/>
      </w:pPr>
    </w:p>
    <w:p w14:paraId="312D7087" w14:textId="77777777" w:rsidR="001D6A36" w:rsidRPr="00D55EE0" w:rsidRDefault="001D6A36" w:rsidP="00D55EE0">
      <w:pPr>
        <w:pStyle w:val="Heading2"/>
        <w:jc w:val="both"/>
        <w:rPr>
          <w:color w:val="auto"/>
        </w:rPr>
      </w:pPr>
      <w:bookmarkStart w:id="22" w:name="X9f675e94ff866e8b9b50051b5acd1becf046f17"/>
      <w:bookmarkEnd w:id="21"/>
      <w:r w:rsidRPr="00D55EE0">
        <w:rPr>
          <w:color w:val="auto"/>
        </w:rPr>
        <w:t>3.5 Prediction and Selection of B-Cell Epitopes</w:t>
      </w:r>
    </w:p>
    <w:p w14:paraId="3742B9CB" w14:textId="77777777" w:rsidR="001D6A36" w:rsidRPr="00D55EE0" w:rsidRDefault="001D6A36" w:rsidP="00D55EE0">
      <w:pPr>
        <w:pStyle w:val="FirstParagraph"/>
        <w:jc w:val="both"/>
      </w:pPr>
      <w:r w:rsidRPr="00D55EE0">
        <w:t>Linear B-cell epitope prediction identified several antigenic regions capable of eliciting antibody-mediated immune responses.</w:t>
      </w:r>
    </w:p>
    <w:p w14:paraId="15DE76EB" w14:textId="77777777" w:rsidR="001D6A36" w:rsidRPr="00D55EE0" w:rsidRDefault="001D6A36" w:rsidP="00D55EE0">
      <w:pPr>
        <w:pStyle w:val="BodyText"/>
        <w:jc w:val="both"/>
      </w:pPr>
      <w:r w:rsidRPr="00D55EE0">
        <w:t>Selected B-cell epitopes included TLQVSDVDKLVCRDKLSSTNQL, WGFRSGVPPKVVNYEAGEWAENC, LEVTEIDQLVCKDHLASTDQ, ENCYNLDIKKADGSECL, and NFTKTLSSEELSVILVPRAQDP.</w:t>
      </w:r>
    </w:p>
    <w:p w14:paraId="1284C481" w14:textId="77777777" w:rsidR="001D6A36" w:rsidRDefault="001D6A36" w:rsidP="00D55EE0">
      <w:pPr>
        <w:pStyle w:val="BodyText"/>
        <w:jc w:val="both"/>
      </w:pPr>
      <w:r w:rsidRPr="00D55EE0">
        <w:t>These epitopes demonstrated favorable antigenicity, non-allergenicity, non-toxicity, and sequence conservancy. Inclusion of B-cell epitopes within the vaccine construct was intended to facilitate the generation of neutralizing antibodies against Ebola virus glycoproteins.</w:t>
      </w:r>
    </w:p>
    <w:tbl>
      <w:tblPr>
        <w:tblStyle w:val="Table"/>
        <w:tblW w:w="0" w:type="auto"/>
        <w:tblLook w:val="0020" w:firstRow="1" w:lastRow="0" w:firstColumn="0" w:lastColumn="0" w:noHBand="0" w:noVBand="0"/>
      </w:tblPr>
      <w:tblGrid>
        <w:gridCol w:w="903"/>
        <w:gridCol w:w="3715"/>
      </w:tblGrid>
      <w:tr w:rsidR="002A1B91" w14:paraId="6F11B2C4"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348A13D3" w14:textId="77777777" w:rsidR="002A1B91" w:rsidRDefault="002A1B91" w:rsidP="00E10937">
            <w:pPr>
              <w:pStyle w:val="Compact"/>
            </w:pPr>
            <w:r>
              <w:t>Sl. No.</w:t>
            </w:r>
          </w:p>
        </w:tc>
        <w:tc>
          <w:tcPr>
            <w:tcW w:w="0" w:type="auto"/>
          </w:tcPr>
          <w:p w14:paraId="30274F15" w14:textId="77777777" w:rsidR="002A1B91" w:rsidRDefault="002A1B91" w:rsidP="00E10937">
            <w:pPr>
              <w:pStyle w:val="Compact"/>
            </w:pPr>
            <w:r>
              <w:t>B-cell Epitope</w:t>
            </w:r>
          </w:p>
        </w:tc>
      </w:tr>
      <w:tr w:rsidR="002A1B91" w14:paraId="1B127880" w14:textId="77777777" w:rsidTr="00E10937">
        <w:tc>
          <w:tcPr>
            <w:tcW w:w="0" w:type="auto"/>
          </w:tcPr>
          <w:p w14:paraId="1503F6C0" w14:textId="77777777" w:rsidR="002A1B91" w:rsidRDefault="002A1B91" w:rsidP="00E10937">
            <w:pPr>
              <w:pStyle w:val="Compact"/>
            </w:pPr>
            <w:r>
              <w:t>1</w:t>
            </w:r>
          </w:p>
        </w:tc>
        <w:tc>
          <w:tcPr>
            <w:tcW w:w="0" w:type="auto"/>
          </w:tcPr>
          <w:p w14:paraId="541DECCE" w14:textId="77777777" w:rsidR="002A1B91" w:rsidRDefault="002A1B91" w:rsidP="00E10937">
            <w:pPr>
              <w:pStyle w:val="Compact"/>
            </w:pPr>
            <w:r>
              <w:t>TLQVSDVDKLVCRDKLSSTNQL</w:t>
            </w:r>
          </w:p>
        </w:tc>
      </w:tr>
      <w:tr w:rsidR="002A1B91" w14:paraId="377BA552" w14:textId="77777777" w:rsidTr="00E10937">
        <w:tc>
          <w:tcPr>
            <w:tcW w:w="0" w:type="auto"/>
          </w:tcPr>
          <w:p w14:paraId="2EA57BED" w14:textId="77777777" w:rsidR="002A1B91" w:rsidRDefault="002A1B91" w:rsidP="00E10937">
            <w:pPr>
              <w:pStyle w:val="Compact"/>
            </w:pPr>
            <w:r>
              <w:t>2</w:t>
            </w:r>
          </w:p>
        </w:tc>
        <w:tc>
          <w:tcPr>
            <w:tcW w:w="0" w:type="auto"/>
          </w:tcPr>
          <w:p w14:paraId="1D8FFA22" w14:textId="77777777" w:rsidR="002A1B91" w:rsidRDefault="002A1B91" w:rsidP="00E10937">
            <w:pPr>
              <w:pStyle w:val="Compact"/>
            </w:pPr>
            <w:r>
              <w:t>WGFRSGVPPKVVNYEAGEWAENC</w:t>
            </w:r>
          </w:p>
        </w:tc>
      </w:tr>
      <w:tr w:rsidR="002A1B91" w14:paraId="4E704504" w14:textId="77777777" w:rsidTr="00E10937">
        <w:tc>
          <w:tcPr>
            <w:tcW w:w="0" w:type="auto"/>
          </w:tcPr>
          <w:p w14:paraId="1D8212C2" w14:textId="77777777" w:rsidR="002A1B91" w:rsidRDefault="002A1B91" w:rsidP="00E10937">
            <w:pPr>
              <w:pStyle w:val="Compact"/>
            </w:pPr>
            <w:r>
              <w:t>3</w:t>
            </w:r>
          </w:p>
        </w:tc>
        <w:tc>
          <w:tcPr>
            <w:tcW w:w="0" w:type="auto"/>
          </w:tcPr>
          <w:p w14:paraId="22165965" w14:textId="77777777" w:rsidR="002A1B91" w:rsidRDefault="002A1B91" w:rsidP="00E10937">
            <w:pPr>
              <w:pStyle w:val="Compact"/>
            </w:pPr>
            <w:r>
              <w:t>LEVTEIDQLVCKDHLASTDQ</w:t>
            </w:r>
          </w:p>
        </w:tc>
      </w:tr>
      <w:tr w:rsidR="002A1B91" w14:paraId="0A60C166" w14:textId="77777777" w:rsidTr="00E10937">
        <w:tc>
          <w:tcPr>
            <w:tcW w:w="0" w:type="auto"/>
          </w:tcPr>
          <w:p w14:paraId="441495AD" w14:textId="77777777" w:rsidR="002A1B91" w:rsidRDefault="002A1B91" w:rsidP="00E10937">
            <w:pPr>
              <w:pStyle w:val="Compact"/>
            </w:pPr>
            <w:r>
              <w:t>4</w:t>
            </w:r>
          </w:p>
        </w:tc>
        <w:tc>
          <w:tcPr>
            <w:tcW w:w="0" w:type="auto"/>
          </w:tcPr>
          <w:p w14:paraId="64BEE4EA" w14:textId="77777777" w:rsidR="002A1B91" w:rsidRDefault="002A1B91" w:rsidP="00E10937">
            <w:pPr>
              <w:pStyle w:val="Compact"/>
            </w:pPr>
            <w:r>
              <w:t>ENCYNLDIKKADGSECL</w:t>
            </w:r>
          </w:p>
        </w:tc>
      </w:tr>
      <w:tr w:rsidR="002A1B91" w14:paraId="082824BC" w14:textId="77777777" w:rsidTr="00E10937">
        <w:tc>
          <w:tcPr>
            <w:tcW w:w="0" w:type="auto"/>
          </w:tcPr>
          <w:p w14:paraId="3CE8181B" w14:textId="77777777" w:rsidR="002A1B91" w:rsidRDefault="002A1B91" w:rsidP="00E10937">
            <w:pPr>
              <w:pStyle w:val="Compact"/>
            </w:pPr>
            <w:r>
              <w:t>5</w:t>
            </w:r>
          </w:p>
        </w:tc>
        <w:tc>
          <w:tcPr>
            <w:tcW w:w="0" w:type="auto"/>
          </w:tcPr>
          <w:p w14:paraId="2EF1AA89" w14:textId="77777777" w:rsidR="002A1B91" w:rsidRDefault="002A1B91" w:rsidP="00E10937">
            <w:pPr>
              <w:pStyle w:val="Compact"/>
            </w:pPr>
            <w:r>
              <w:t>NFTKTLSSEELSVILVPRAQDP</w:t>
            </w:r>
          </w:p>
        </w:tc>
      </w:tr>
    </w:tbl>
    <w:p w14:paraId="5AD89EB4" w14:textId="77777777" w:rsidR="002A1B91" w:rsidRDefault="002A1B91" w:rsidP="002A1B91">
      <w:pPr>
        <w:pStyle w:val="BodyText"/>
      </w:pPr>
      <w:r>
        <w:t>Table 4. Selected B-cell epitopes incorporated into the vaccine construct.</w:t>
      </w:r>
    </w:p>
    <w:p w14:paraId="4CBF572B" w14:textId="77777777" w:rsidR="002A1B91" w:rsidRPr="00D55EE0" w:rsidRDefault="002A1B91" w:rsidP="00D55EE0">
      <w:pPr>
        <w:pStyle w:val="BodyText"/>
        <w:jc w:val="both"/>
      </w:pPr>
    </w:p>
    <w:p w14:paraId="03517699" w14:textId="77777777" w:rsidR="001D6A36" w:rsidRPr="00D55EE0" w:rsidRDefault="001D6A36" w:rsidP="00D55EE0">
      <w:pPr>
        <w:pStyle w:val="Heading2"/>
        <w:jc w:val="both"/>
        <w:rPr>
          <w:color w:val="auto"/>
        </w:rPr>
      </w:pPr>
      <w:bookmarkStart w:id="23" w:name="Xc98f946dcf4812e7f580fc3a091825e97110189"/>
      <w:bookmarkEnd w:id="22"/>
      <w:r w:rsidRPr="00D55EE0">
        <w:rPr>
          <w:color w:val="auto"/>
        </w:rPr>
        <w:t>3.6 Construction of the Multi-Epitope Vaccine</w:t>
      </w:r>
    </w:p>
    <w:p w14:paraId="673F8413" w14:textId="77777777" w:rsidR="001D6A36" w:rsidRPr="00D55EE0" w:rsidRDefault="001D6A36" w:rsidP="00D55EE0">
      <w:pPr>
        <w:pStyle w:val="FirstParagraph"/>
        <w:jc w:val="both"/>
      </w:pPr>
      <w:r w:rsidRPr="00D55EE0">
        <w:t>A multi-epitope vaccine was designed by integrating selected CTL, HTL, and B-cell epitopes from the three Ebola virus strains. Human β-defensin-3 was incorporated as an adjuvant at the N-terminus to enhance immunogenicity.</w:t>
      </w:r>
    </w:p>
    <w:p w14:paraId="0ABACB76" w14:textId="77777777" w:rsidR="001D6A36" w:rsidRPr="00D55EE0" w:rsidRDefault="001D6A36" w:rsidP="00D55EE0">
      <w:pPr>
        <w:pStyle w:val="BodyText"/>
        <w:jc w:val="both"/>
      </w:pPr>
      <w:r w:rsidRPr="00D55EE0">
        <w:t xml:space="preserve">Appropriate linkers were utilized to preserve epitope functionality and facilitate antigen processing. The EAAAK linker connected the adjuvant to the vaccine construct, GPGPG </w:t>
      </w:r>
      <w:r w:rsidRPr="00D55EE0">
        <w:lastRenderedPageBreak/>
        <w:t>linkers joined HTL epitopes, AAY linkers connected CTL epitopes, and KK linkers separated B-cell epitopes.</w:t>
      </w:r>
    </w:p>
    <w:p w14:paraId="3B1C3054" w14:textId="77777777" w:rsidR="001D6A36" w:rsidRPr="00D55EE0" w:rsidRDefault="001D6A36" w:rsidP="00D55EE0">
      <w:pPr>
        <w:pStyle w:val="BodyText"/>
        <w:jc w:val="both"/>
      </w:pPr>
      <w:r w:rsidRPr="00D55EE0">
        <w:t>The final construct consisted of approximately 298 amino acids and represented a rationally designed vaccine candidate targeting multiple immune pathways.</w:t>
      </w:r>
    </w:p>
    <w:p w14:paraId="4376E4C7" w14:textId="00734E5B" w:rsidR="001D6A36" w:rsidRPr="00D55EE0" w:rsidRDefault="001D6A36" w:rsidP="00D55EE0">
      <w:pPr>
        <w:jc w:val="both"/>
      </w:pPr>
    </w:p>
    <w:p w14:paraId="43336D1A" w14:textId="77777777" w:rsidR="001D6A36" w:rsidRPr="00D55EE0" w:rsidRDefault="001D6A36" w:rsidP="00D55EE0">
      <w:pPr>
        <w:pStyle w:val="Heading2"/>
        <w:jc w:val="both"/>
        <w:rPr>
          <w:color w:val="auto"/>
        </w:rPr>
      </w:pPr>
      <w:bookmarkStart w:id="24" w:name="X7a00e5379a1bc8f164c6f7ac665122ece4cad2e"/>
      <w:bookmarkEnd w:id="23"/>
      <w:r w:rsidRPr="00D55EE0">
        <w:rPr>
          <w:color w:val="auto"/>
        </w:rPr>
        <w:t>3.7 Antigenicity Assessment of the Vaccine Construct</w:t>
      </w:r>
    </w:p>
    <w:p w14:paraId="26ED4AE0" w14:textId="77777777" w:rsidR="001D6A36" w:rsidRPr="00D55EE0" w:rsidRDefault="001D6A36" w:rsidP="00D55EE0">
      <w:pPr>
        <w:pStyle w:val="FirstParagraph"/>
        <w:jc w:val="both"/>
      </w:pPr>
      <w:r w:rsidRPr="00D55EE0">
        <w:t>The final vaccine sequence was evaluated using the VaxiJen server. The construct achieved an antigenicity score of 0.6853, exceeding the threshold value of 0.4 and classifying it as a probable antigen.</w:t>
      </w:r>
    </w:p>
    <w:p w14:paraId="785E3156" w14:textId="77777777" w:rsidR="001D6A36" w:rsidRPr="00D55EE0" w:rsidRDefault="001D6A36" w:rsidP="00D55EE0">
      <w:pPr>
        <w:pStyle w:val="BodyText"/>
        <w:jc w:val="both"/>
      </w:pPr>
      <w:r w:rsidRPr="00D55EE0">
        <w:t>This result indicated that the vaccine construct retained strong immunogenic potential after epitope assembly and linker incorporation. The high antigenicity score supported further structural and functional analyses.</w:t>
      </w:r>
    </w:p>
    <w:p w14:paraId="5097B8C3" w14:textId="62919DC6" w:rsidR="001D6A36" w:rsidRPr="00D55EE0" w:rsidRDefault="001D6A36" w:rsidP="00D55EE0">
      <w:pPr>
        <w:jc w:val="both"/>
      </w:pPr>
    </w:p>
    <w:p w14:paraId="6797E8E1" w14:textId="77777777" w:rsidR="001D6A36" w:rsidRPr="00D55EE0" w:rsidRDefault="001D6A36" w:rsidP="00D55EE0">
      <w:pPr>
        <w:pStyle w:val="Heading2"/>
        <w:jc w:val="both"/>
        <w:rPr>
          <w:color w:val="auto"/>
        </w:rPr>
      </w:pPr>
      <w:bookmarkStart w:id="25" w:name="structural-modeling-and-refinement"/>
      <w:bookmarkEnd w:id="24"/>
      <w:r w:rsidRPr="00D55EE0">
        <w:rPr>
          <w:color w:val="auto"/>
        </w:rPr>
        <w:t>3.8 Structural Modeling and Refinement</w:t>
      </w:r>
    </w:p>
    <w:p w14:paraId="49CDE9FC" w14:textId="77777777" w:rsidR="001D6A36" w:rsidRPr="00D55EE0" w:rsidRDefault="001D6A36" w:rsidP="00D55EE0">
      <w:pPr>
        <w:pStyle w:val="FirstParagraph"/>
        <w:jc w:val="both"/>
      </w:pPr>
      <w:r w:rsidRPr="00D55EE0">
        <w:t>The tertiary structure of the vaccine construct was generated and subsequently refined using the GalaxyRefine server. Five refined models were produced and compared using multiple quality parameters.</w:t>
      </w:r>
    </w:p>
    <w:p w14:paraId="7B96581D" w14:textId="77777777" w:rsidR="001D6A36" w:rsidRPr="00D55EE0" w:rsidRDefault="001D6A36" w:rsidP="00D55EE0">
      <w:pPr>
        <w:pStyle w:val="BodyText"/>
        <w:jc w:val="both"/>
      </w:pPr>
      <w:r w:rsidRPr="00D55EE0">
        <w:t>Among the generated structures, Model 2 demonstrated the most favorable characteristics, including a MolProbity score of 0.838 and a clash score of 1.2. The refined model also exhibited excellent stereochemical properties and was selected for subsequent validation and docking analyses.</w:t>
      </w:r>
    </w:p>
    <w:p w14:paraId="51BF3C22" w14:textId="77777777" w:rsidR="001D6A36" w:rsidRPr="00D55EE0" w:rsidRDefault="001D6A36" w:rsidP="00D55EE0">
      <w:pPr>
        <w:pStyle w:val="BodyText"/>
        <w:jc w:val="both"/>
      </w:pPr>
      <w:r w:rsidRPr="00D55EE0">
        <w:t>Structural refinement significantly improved model geometry and reduced steric conflicts, enhancing overall model reliability.</w:t>
      </w:r>
    </w:p>
    <w:p w14:paraId="3072B7E6" w14:textId="075E8EEC" w:rsidR="001D6A36" w:rsidRPr="00D55EE0" w:rsidRDefault="001D6A36" w:rsidP="00D55EE0">
      <w:pPr>
        <w:jc w:val="both"/>
      </w:pPr>
    </w:p>
    <w:bookmarkEnd w:id="25"/>
    <w:p w14:paraId="3C05BA56" w14:textId="77777777" w:rsidR="001D6A36" w:rsidRPr="00D55EE0" w:rsidRDefault="001D6A36" w:rsidP="00D55EE0">
      <w:pPr>
        <w:pStyle w:val="Heading2"/>
        <w:jc w:val="both"/>
        <w:rPr>
          <w:color w:val="auto"/>
        </w:rPr>
      </w:pPr>
      <w:r w:rsidRPr="00D55EE0">
        <w:rPr>
          <w:color w:val="auto"/>
        </w:rPr>
        <w:t>3.9 Structural Validation of the Refined Vaccine Model</w:t>
      </w:r>
    </w:p>
    <w:p w14:paraId="42CA4F88" w14:textId="77777777" w:rsidR="001D6A36" w:rsidRPr="00D55EE0" w:rsidRDefault="001D6A36" w:rsidP="00D55EE0">
      <w:pPr>
        <w:pStyle w:val="FirstParagraph"/>
        <w:jc w:val="both"/>
      </w:pPr>
      <w:r w:rsidRPr="00D55EE0">
        <w:t>The selected refined structure underwent comprehensive validation using ProSA-web, ERRAT, PROCHECK, and MolProbity.</w:t>
      </w:r>
    </w:p>
    <w:p w14:paraId="6659E986" w14:textId="77777777" w:rsidR="001D6A36" w:rsidRPr="00D55EE0" w:rsidRDefault="001D6A36" w:rsidP="00D55EE0">
      <w:pPr>
        <w:pStyle w:val="BodyText"/>
        <w:jc w:val="both"/>
      </w:pPr>
      <w:r w:rsidRPr="00D55EE0">
        <w:t>ProSA analysis yielded a Z-score of −0.05, indicating compatibility with experimentally determined protein structures of similar size. ERRAT analysis produced an overall quality factor of 77.5, supporting structural reliability.</w:t>
      </w:r>
    </w:p>
    <w:p w14:paraId="2260A0B5" w14:textId="77777777" w:rsidR="001D6A36" w:rsidRPr="00D55EE0" w:rsidRDefault="001D6A36" w:rsidP="00D55EE0">
      <w:pPr>
        <w:pStyle w:val="BodyText"/>
        <w:jc w:val="both"/>
      </w:pPr>
      <w:r w:rsidRPr="00D55EE0">
        <w:t xml:space="preserve">PROCHECK Ramachandran analysis demonstrated that 98.1% of residues occupied core regions, while no residues were detected within disallowed regions. MolProbity evaluation </w:t>
      </w:r>
      <w:r w:rsidRPr="00D55EE0">
        <w:lastRenderedPageBreak/>
        <w:t>further confirmed model quality, with 99.4% of residues located in favored regions and no Ramachandran outliers observed.</w:t>
      </w:r>
    </w:p>
    <w:p w14:paraId="70021039" w14:textId="77777777" w:rsidR="001D6A36" w:rsidRPr="00D55EE0" w:rsidRDefault="001D6A36" w:rsidP="00D55EE0">
      <w:pPr>
        <w:pStyle w:val="BodyText"/>
        <w:jc w:val="both"/>
      </w:pPr>
      <w:r w:rsidRPr="00D55EE0">
        <w:t>Collectively, these validation results confirmed the structural integrity and suitability of the vaccine model for receptor interaction studies.</w:t>
      </w:r>
    </w:p>
    <w:tbl>
      <w:tblPr>
        <w:tblStyle w:val="Table"/>
        <w:tblW w:w="0" w:type="auto"/>
        <w:tblLook w:val="0020" w:firstRow="1" w:lastRow="0" w:firstColumn="0" w:lastColumn="0" w:noHBand="0" w:noVBand="0"/>
      </w:tblPr>
      <w:tblGrid>
        <w:gridCol w:w="1757"/>
        <w:gridCol w:w="3086"/>
        <w:gridCol w:w="1039"/>
      </w:tblGrid>
      <w:tr w:rsidR="00F17169" w14:paraId="4ADD84F1"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7B613005" w14:textId="77777777" w:rsidR="00F17169" w:rsidRDefault="00F17169" w:rsidP="00E10937">
            <w:pPr>
              <w:pStyle w:val="Compact"/>
            </w:pPr>
            <w:r>
              <w:t>Validation Tool</w:t>
            </w:r>
          </w:p>
        </w:tc>
        <w:tc>
          <w:tcPr>
            <w:tcW w:w="0" w:type="auto"/>
          </w:tcPr>
          <w:p w14:paraId="5A7C1A97" w14:textId="77777777" w:rsidR="00F17169" w:rsidRDefault="00F17169" w:rsidP="00E10937">
            <w:pPr>
              <w:pStyle w:val="Compact"/>
            </w:pPr>
            <w:r>
              <w:t>Parameter</w:t>
            </w:r>
          </w:p>
        </w:tc>
        <w:tc>
          <w:tcPr>
            <w:tcW w:w="0" w:type="auto"/>
          </w:tcPr>
          <w:p w14:paraId="6614E68C" w14:textId="77777777" w:rsidR="00F17169" w:rsidRDefault="00F17169" w:rsidP="00E10937">
            <w:pPr>
              <w:pStyle w:val="Compact"/>
            </w:pPr>
            <w:r>
              <w:t>Result</w:t>
            </w:r>
          </w:p>
        </w:tc>
      </w:tr>
      <w:tr w:rsidR="00F17169" w14:paraId="1EC85F78" w14:textId="77777777" w:rsidTr="00E10937">
        <w:tc>
          <w:tcPr>
            <w:tcW w:w="0" w:type="auto"/>
          </w:tcPr>
          <w:p w14:paraId="2F41E399" w14:textId="77777777" w:rsidR="00F17169" w:rsidRDefault="00F17169" w:rsidP="00E10937">
            <w:pPr>
              <w:pStyle w:val="Compact"/>
            </w:pPr>
            <w:r>
              <w:t>VaxiJen</w:t>
            </w:r>
          </w:p>
        </w:tc>
        <w:tc>
          <w:tcPr>
            <w:tcW w:w="0" w:type="auto"/>
          </w:tcPr>
          <w:p w14:paraId="0DC53A74" w14:textId="77777777" w:rsidR="00F17169" w:rsidRDefault="00F17169" w:rsidP="00E10937">
            <w:pPr>
              <w:pStyle w:val="Compact"/>
            </w:pPr>
            <w:r>
              <w:t>Antigenicity Score</w:t>
            </w:r>
          </w:p>
        </w:tc>
        <w:tc>
          <w:tcPr>
            <w:tcW w:w="0" w:type="auto"/>
          </w:tcPr>
          <w:p w14:paraId="62602DC2" w14:textId="77777777" w:rsidR="00F17169" w:rsidRDefault="00F17169" w:rsidP="00E10937">
            <w:pPr>
              <w:pStyle w:val="Compact"/>
            </w:pPr>
            <w:r>
              <w:t>0.6853</w:t>
            </w:r>
          </w:p>
        </w:tc>
      </w:tr>
      <w:tr w:rsidR="00F17169" w14:paraId="499E18AE" w14:textId="77777777" w:rsidTr="00E10937">
        <w:tc>
          <w:tcPr>
            <w:tcW w:w="0" w:type="auto"/>
          </w:tcPr>
          <w:p w14:paraId="080338F7" w14:textId="77777777" w:rsidR="00F17169" w:rsidRDefault="00F17169" w:rsidP="00E10937">
            <w:pPr>
              <w:pStyle w:val="Compact"/>
            </w:pPr>
            <w:r>
              <w:t>GalaxyRefine</w:t>
            </w:r>
          </w:p>
        </w:tc>
        <w:tc>
          <w:tcPr>
            <w:tcW w:w="0" w:type="auto"/>
          </w:tcPr>
          <w:p w14:paraId="7EAD224F" w14:textId="77777777" w:rsidR="00F17169" w:rsidRDefault="00F17169" w:rsidP="00E10937">
            <w:pPr>
              <w:pStyle w:val="Compact"/>
            </w:pPr>
            <w:r>
              <w:t>Selected Model</w:t>
            </w:r>
          </w:p>
        </w:tc>
        <w:tc>
          <w:tcPr>
            <w:tcW w:w="0" w:type="auto"/>
          </w:tcPr>
          <w:p w14:paraId="530A34F2" w14:textId="77777777" w:rsidR="00F17169" w:rsidRDefault="00F17169" w:rsidP="00E10937">
            <w:pPr>
              <w:pStyle w:val="Compact"/>
            </w:pPr>
            <w:r>
              <w:t>Model 2</w:t>
            </w:r>
          </w:p>
        </w:tc>
      </w:tr>
      <w:tr w:rsidR="00F17169" w14:paraId="69E9D32D" w14:textId="77777777" w:rsidTr="00E10937">
        <w:tc>
          <w:tcPr>
            <w:tcW w:w="0" w:type="auto"/>
          </w:tcPr>
          <w:p w14:paraId="5125B336" w14:textId="77777777" w:rsidR="00F17169" w:rsidRDefault="00F17169" w:rsidP="00E10937">
            <w:pPr>
              <w:pStyle w:val="Compact"/>
            </w:pPr>
            <w:r>
              <w:t>GalaxyRefine</w:t>
            </w:r>
          </w:p>
        </w:tc>
        <w:tc>
          <w:tcPr>
            <w:tcW w:w="0" w:type="auto"/>
          </w:tcPr>
          <w:p w14:paraId="2E58FCF4" w14:textId="77777777" w:rsidR="00F17169" w:rsidRDefault="00F17169" w:rsidP="00E10937">
            <w:pPr>
              <w:pStyle w:val="Compact"/>
            </w:pPr>
            <w:r>
              <w:t>MolProbity Score</w:t>
            </w:r>
          </w:p>
        </w:tc>
        <w:tc>
          <w:tcPr>
            <w:tcW w:w="0" w:type="auto"/>
          </w:tcPr>
          <w:p w14:paraId="26ECEA6B" w14:textId="77777777" w:rsidR="00F17169" w:rsidRDefault="00F17169" w:rsidP="00E10937">
            <w:pPr>
              <w:pStyle w:val="Compact"/>
            </w:pPr>
            <w:r>
              <w:t>0.838</w:t>
            </w:r>
          </w:p>
        </w:tc>
      </w:tr>
      <w:tr w:rsidR="00F17169" w14:paraId="260864F1" w14:textId="77777777" w:rsidTr="00E10937">
        <w:tc>
          <w:tcPr>
            <w:tcW w:w="0" w:type="auto"/>
          </w:tcPr>
          <w:p w14:paraId="4A574A0D" w14:textId="77777777" w:rsidR="00F17169" w:rsidRDefault="00F17169" w:rsidP="00E10937">
            <w:pPr>
              <w:pStyle w:val="Compact"/>
            </w:pPr>
            <w:r>
              <w:t>GalaxyRefine</w:t>
            </w:r>
          </w:p>
        </w:tc>
        <w:tc>
          <w:tcPr>
            <w:tcW w:w="0" w:type="auto"/>
          </w:tcPr>
          <w:p w14:paraId="11C0B35C" w14:textId="77777777" w:rsidR="00F17169" w:rsidRDefault="00F17169" w:rsidP="00E10937">
            <w:pPr>
              <w:pStyle w:val="Compact"/>
            </w:pPr>
            <w:r>
              <w:t>Clash Score</w:t>
            </w:r>
          </w:p>
        </w:tc>
        <w:tc>
          <w:tcPr>
            <w:tcW w:w="0" w:type="auto"/>
          </w:tcPr>
          <w:p w14:paraId="28AD93B6" w14:textId="77777777" w:rsidR="00F17169" w:rsidRDefault="00F17169" w:rsidP="00E10937">
            <w:pPr>
              <w:pStyle w:val="Compact"/>
            </w:pPr>
            <w:r>
              <w:t>1.2</w:t>
            </w:r>
          </w:p>
        </w:tc>
      </w:tr>
      <w:tr w:rsidR="00F17169" w14:paraId="2B791E32" w14:textId="77777777" w:rsidTr="00E10937">
        <w:tc>
          <w:tcPr>
            <w:tcW w:w="0" w:type="auto"/>
          </w:tcPr>
          <w:p w14:paraId="2B153164" w14:textId="77777777" w:rsidR="00F17169" w:rsidRDefault="00F17169" w:rsidP="00E10937">
            <w:pPr>
              <w:pStyle w:val="Compact"/>
            </w:pPr>
            <w:r>
              <w:t>GalaxyRefine</w:t>
            </w:r>
          </w:p>
        </w:tc>
        <w:tc>
          <w:tcPr>
            <w:tcW w:w="0" w:type="auto"/>
          </w:tcPr>
          <w:p w14:paraId="671499E0" w14:textId="77777777" w:rsidR="00F17169" w:rsidRDefault="00F17169" w:rsidP="00E10937">
            <w:pPr>
              <w:pStyle w:val="Compact"/>
            </w:pPr>
            <w:r>
              <w:t>Ramachandran Favored (%)</w:t>
            </w:r>
          </w:p>
        </w:tc>
        <w:tc>
          <w:tcPr>
            <w:tcW w:w="0" w:type="auto"/>
          </w:tcPr>
          <w:p w14:paraId="1C600A55" w14:textId="77777777" w:rsidR="00F17169" w:rsidRDefault="00F17169" w:rsidP="00E10937">
            <w:pPr>
              <w:pStyle w:val="Compact"/>
            </w:pPr>
            <w:r>
              <w:t>99.0</w:t>
            </w:r>
          </w:p>
        </w:tc>
      </w:tr>
      <w:tr w:rsidR="00F17169" w14:paraId="6CB3D44A" w14:textId="77777777" w:rsidTr="00E10937">
        <w:tc>
          <w:tcPr>
            <w:tcW w:w="0" w:type="auto"/>
          </w:tcPr>
          <w:p w14:paraId="60882A4C" w14:textId="77777777" w:rsidR="00F17169" w:rsidRDefault="00F17169" w:rsidP="00E10937">
            <w:pPr>
              <w:pStyle w:val="Compact"/>
            </w:pPr>
            <w:r>
              <w:t>ProSA-web</w:t>
            </w:r>
          </w:p>
        </w:tc>
        <w:tc>
          <w:tcPr>
            <w:tcW w:w="0" w:type="auto"/>
          </w:tcPr>
          <w:p w14:paraId="62CB800C" w14:textId="77777777" w:rsidR="00F17169" w:rsidRDefault="00F17169" w:rsidP="00E10937">
            <w:pPr>
              <w:pStyle w:val="Compact"/>
            </w:pPr>
            <w:r>
              <w:t>Z-score</w:t>
            </w:r>
          </w:p>
        </w:tc>
        <w:tc>
          <w:tcPr>
            <w:tcW w:w="0" w:type="auto"/>
          </w:tcPr>
          <w:p w14:paraId="33FC2F6A" w14:textId="77777777" w:rsidR="00F17169" w:rsidRDefault="00F17169" w:rsidP="00E10937">
            <w:pPr>
              <w:pStyle w:val="Compact"/>
            </w:pPr>
            <w:r>
              <w:t>-0.05</w:t>
            </w:r>
          </w:p>
        </w:tc>
      </w:tr>
      <w:tr w:rsidR="00F17169" w14:paraId="5CA4EBB6" w14:textId="77777777" w:rsidTr="00E10937">
        <w:tc>
          <w:tcPr>
            <w:tcW w:w="0" w:type="auto"/>
          </w:tcPr>
          <w:p w14:paraId="49E41278" w14:textId="77777777" w:rsidR="00F17169" w:rsidRDefault="00F17169" w:rsidP="00E10937">
            <w:pPr>
              <w:pStyle w:val="Compact"/>
            </w:pPr>
            <w:r>
              <w:t>ERRAT</w:t>
            </w:r>
          </w:p>
        </w:tc>
        <w:tc>
          <w:tcPr>
            <w:tcW w:w="0" w:type="auto"/>
          </w:tcPr>
          <w:p w14:paraId="4DA55B89" w14:textId="77777777" w:rsidR="00F17169" w:rsidRDefault="00F17169" w:rsidP="00E10937">
            <w:pPr>
              <w:pStyle w:val="Compact"/>
            </w:pPr>
            <w:r>
              <w:t>Quality Factor</w:t>
            </w:r>
          </w:p>
        </w:tc>
        <w:tc>
          <w:tcPr>
            <w:tcW w:w="0" w:type="auto"/>
          </w:tcPr>
          <w:p w14:paraId="5BB57DB8" w14:textId="77777777" w:rsidR="00F17169" w:rsidRDefault="00F17169" w:rsidP="00E10937">
            <w:pPr>
              <w:pStyle w:val="Compact"/>
            </w:pPr>
            <w:r>
              <w:t>77.5</w:t>
            </w:r>
          </w:p>
        </w:tc>
      </w:tr>
      <w:tr w:rsidR="00F17169" w14:paraId="26F7820E" w14:textId="77777777" w:rsidTr="00E10937">
        <w:tc>
          <w:tcPr>
            <w:tcW w:w="0" w:type="auto"/>
          </w:tcPr>
          <w:p w14:paraId="3DF3863A" w14:textId="77777777" w:rsidR="00F17169" w:rsidRDefault="00F17169" w:rsidP="00E10937">
            <w:pPr>
              <w:pStyle w:val="Compact"/>
            </w:pPr>
            <w:r>
              <w:t>PROCHECK</w:t>
            </w:r>
          </w:p>
        </w:tc>
        <w:tc>
          <w:tcPr>
            <w:tcW w:w="0" w:type="auto"/>
          </w:tcPr>
          <w:p w14:paraId="42712222" w14:textId="77777777" w:rsidR="00F17169" w:rsidRDefault="00F17169" w:rsidP="00E10937">
            <w:pPr>
              <w:pStyle w:val="Compact"/>
            </w:pPr>
            <w:r>
              <w:t>Core Region (%)</w:t>
            </w:r>
          </w:p>
        </w:tc>
        <w:tc>
          <w:tcPr>
            <w:tcW w:w="0" w:type="auto"/>
          </w:tcPr>
          <w:p w14:paraId="09373BA3" w14:textId="77777777" w:rsidR="00F17169" w:rsidRDefault="00F17169" w:rsidP="00E10937">
            <w:pPr>
              <w:pStyle w:val="Compact"/>
            </w:pPr>
            <w:r>
              <w:t>98.1</w:t>
            </w:r>
          </w:p>
        </w:tc>
      </w:tr>
      <w:tr w:rsidR="00F17169" w14:paraId="3B87C66E" w14:textId="77777777" w:rsidTr="00E10937">
        <w:tc>
          <w:tcPr>
            <w:tcW w:w="0" w:type="auto"/>
          </w:tcPr>
          <w:p w14:paraId="00452284" w14:textId="77777777" w:rsidR="00F17169" w:rsidRDefault="00F17169" w:rsidP="00E10937">
            <w:pPr>
              <w:pStyle w:val="Compact"/>
            </w:pPr>
            <w:r>
              <w:t>PROCHECK</w:t>
            </w:r>
          </w:p>
        </w:tc>
        <w:tc>
          <w:tcPr>
            <w:tcW w:w="0" w:type="auto"/>
          </w:tcPr>
          <w:p w14:paraId="7749C3BE" w14:textId="77777777" w:rsidR="00F17169" w:rsidRDefault="00F17169" w:rsidP="00E10937">
            <w:pPr>
              <w:pStyle w:val="Compact"/>
            </w:pPr>
            <w:r>
              <w:t>Allowed Region (%)</w:t>
            </w:r>
          </w:p>
        </w:tc>
        <w:tc>
          <w:tcPr>
            <w:tcW w:w="0" w:type="auto"/>
          </w:tcPr>
          <w:p w14:paraId="63E74D27" w14:textId="77777777" w:rsidR="00F17169" w:rsidRDefault="00F17169" w:rsidP="00E10937">
            <w:pPr>
              <w:pStyle w:val="Compact"/>
            </w:pPr>
            <w:r>
              <w:t>1.2</w:t>
            </w:r>
          </w:p>
        </w:tc>
      </w:tr>
      <w:tr w:rsidR="00F17169" w14:paraId="5B18A262" w14:textId="77777777" w:rsidTr="00E10937">
        <w:tc>
          <w:tcPr>
            <w:tcW w:w="0" w:type="auto"/>
          </w:tcPr>
          <w:p w14:paraId="62D44E10" w14:textId="77777777" w:rsidR="00F17169" w:rsidRDefault="00F17169" w:rsidP="00E10937">
            <w:pPr>
              <w:pStyle w:val="Compact"/>
            </w:pPr>
            <w:r>
              <w:t>PROCHECK</w:t>
            </w:r>
          </w:p>
        </w:tc>
        <w:tc>
          <w:tcPr>
            <w:tcW w:w="0" w:type="auto"/>
          </w:tcPr>
          <w:p w14:paraId="05C3AF6E" w14:textId="77777777" w:rsidR="00F17169" w:rsidRDefault="00F17169" w:rsidP="00E10937">
            <w:pPr>
              <w:pStyle w:val="Compact"/>
            </w:pPr>
            <w:r>
              <w:t>Generously Allowed (%)</w:t>
            </w:r>
          </w:p>
        </w:tc>
        <w:tc>
          <w:tcPr>
            <w:tcW w:w="0" w:type="auto"/>
          </w:tcPr>
          <w:p w14:paraId="3F2DCCDA" w14:textId="77777777" w:rsidR="00F17169" w:rsidRDefault="00F17169" w:rsidP="00E10937">
            <w:pPr>
              <w:pStyle w:val="Compact"/>
            </w:pPr>
            <w:r>
              <w:t>0.8</w:t>
            </w:r>
          </w:p>
        </w:tc>
      </w:tr>
      <w:tr w:rsidR="00F17169" w14:paraId="5D298AB0" w14:textId="77777777" w:rsidTr="00E10937">
        <w:tc>
          <w:tcPr>
            <w:tcW w:w="0" w:type="auto"/>
          </w:tcPr>
          <w:p w14:paraId="5B1A659D" w14:textId="77777777" w:rsidR="00F17169" w:rsidRDefault="00F17169" w:rsidP="00E10937">
            <w:pPr>
              <w:pStyle w:val="Compact"/>
            </w:pPr>
            <w:r>
              <w:t>PROCHECK</w:t>
            </w:r>
          </w:p>
        </w:tc>
        <w:tc>
          <w:tcPr>
            <w:tcW w:w="0" w:type="auto"/>
          </w:tcPr>
          <w:p w14:paraId="1EB913F9" w14:textId="77777777" w:rsidR="00F17169" w:rsidRDefault="00F17169" w:rsidP="00E10937">
            <w:pPr>
              <w:pStyle w:val="Compact"/>
            </w:pPr>
            <w:r>
              <w:t>Disallowed Region (%)</w:t>
            </w:r>
          </w:p>
        </w:tc>
        <w:tc>
          <w:tcPr>
            <w:tcW w:w="0" w:type="auto"/>
          </w:tcPr>
          <w:p w14:paraId="3D400C6D" w14:textId="77777777" w:rsidR="00F17169" w:rsidRDefault="00F17169" w:rsidP="00E10937">
            <w:pPr>
              <w:pStyle w:val="Compact"/>
            </w:pPr>
            <w:r>
              <w:t>0.0</w:t>
            </w:r>
          </w:p>
        </w:tc>
      </w:tr>
      <w:tr w:rsidR="00F17169" w14:paraId="4A10CB72" w14:textId="77777777" w:rsidTr="00E10937">
        <w:tc>
          <w:tcPr>
            <w:tcW w:w="0" w:type="auto"/>
          </w:tcPr>
          <w:p w14:paraId="1DBA5AA8" w14:textId="77777777" w:rsidR="00F17169" w:rsidRDefault="00F17169" w:rsidP="00E10937">
            <w:pPr>
              <w:pStyle w:val="Compact"/>
            </w:pPr>
            <w:r>
              <w:t>MolProbity</w:t>
            </w:r>
          </w:p>
        </w:tc>
        <w:tc>
          <w:tcPr>
            <w:tcW w:w="0" w:type="auto"/>
          </w:tcPr>
          <w:p w14:paraId="113494E8" w14:textId="77777777" w:rsidR="00F17169" w:rsidRDefault="00F17169" w:rsidP="00E10937">
            <w:pPr>
              <w:pStyle w:val="Compact"/>
            </w:pPr>
            <w:r>
              <w:t>Favored Residues (%)</w:t>
            </w:r>
          </w:p>
        </w:tc>
        <w:tc>
          <w:tcPr>
            <w:tcW w:w="0" w:type="auto"/>
          </w:tcPr>
          <w:p w14:paraId="294152C3" w14:textId="77777777" w:rsidR="00F17169" w:rsidRDefault="00F17169" w:rsidP="00E10937">
            <w:pPr>
              <w:pStyle w:val="Compact"/>
            </w:pPr>
            <w:r>
              <w:t>99.4</w:t>
            </w:r>
          </w:p>
        </w:tc>
      </w:tr>
      <w:tr w:rsidR="00F17169" w14:paraId="29210759" w14:textId="77777777" w:rsidTr="00E10937">
        <w:tc>
          <w:tcPr>
            <w:tcW w:w="0" w:type="auto"/>
          </w:tcPr>
          <w:p w14:paraId="0159AEA2" w14:textId="77777777" w:rsidR="00F17169" w:rsidRDefault="00F17169" w:rsidP="00E10937">
            <w:pPr>
              <w:pStyle w:val="Compact"/>
            </w:pPr>
            <w:r>
              <w:t>MolProbity</w:t>
            </w:r>
          </w:p>
        </w:tc>
        <w:tc>
          <w:tcPr>
            <w:tcW w:w="0" w:type="auto"/>
          </w:tcPr>
          <w:p w14:paraId="688D24A3" w14:textId="77777777" w:rsidR="00F17169" w:rsidRDefault="00F17169" w:rsidP="00E10937">
            <w:pPr>
              <w:pStyle w:val="Compact"/>
            </w:pPr>
            <w:r>
              <w:t>Clashscore</w:t>
            </w:r>
          </w:p>
        </w:tc>
        <w:tc>
          <w:tcPr>
            <w:tcW w:w="0" w:type="auto"/>
          </w:tcPr>
          <w:p w14:paraId="09C36C5E" w14:textId="77777777" w:rsidR="00F17169" w:rsidRDefault="00F17169" w:rsidP="00E10937">
            <w:pPr>
              <w:pStyle w:val="Compact"/>
            </w:pPr>
            <w:r>
              <w:t>1.44</w:t>
            </w:r>
          </w:p>
        </w:tc>
      </w:tr>
    </w:tbl>
    <w:p w14:paraId="47728C8C" w14:textId="77777777" w:rsidR="00F17169" w:rsidRDefault="00F17169" w:rsidP="00F17169">
      <w:pPr>
        <w:pStyle w:val="FirstParagraph"/>
      </w:pPr>
      <w:r>
        <w:t>Table 5. Structural validation statistics of the refined vaccine model.</w:t>
      </w:r>
    </w:p>
    <w:p w14:paraId="1A355E0F" w14:textId="519DB871" w:rsidR="001D6A36" w:rsidRPr="00D55EE0" w:rsidRDefault="001D6A36" w:rsidP="00D55EE0">
      <w:pPr>
        <w:jc w:val="both"/>
      </w:pPr>
    </w:p>
    <w:p w14:paraId="0C6628F7" w14:textId="77777777" w:rsidR="001D6A36" w:rsidRPr="00D55EE0" w:rsidRDefault="001D6A36" w:rsidP="00D55EE0">
      <w:pPr>
        <w:pStyle w:val="Heading2"/>
        <w:jc w:val="both"/>
        <w:rPr>
          <w:color w:val="auto"/>
        </w:rPr>
      </w:pPr>
      <w:bookmarkStart w:id="26" w:name="proteinprotein-interface-analysis"/>
      <w:r w:rsidRPr="00D55EE0">
        <w:rPr>
          <w:color w:val="auto"/>
        </w:rPr>
        <w:t>3.10 Protein–Protein Interface Analysis</w:t>
      </w:r>
    </w:p>
    <w:p w14:paraId="463E3218" w14:textId="77777777" w:rsidR="001D6A36" w:rsidRPr="00D55EE0" w:rsidRDefault="001D6A36" w:rsidP="00D55EE0">
      <w:pPr>
        <w:pStyle w:val="FirstParagraph"/>
        <w:jc w:val="both"/>
      </w:pPr>
      <w:r w:rsidRPr="00D55EE0">
        <w:t>The vaccine-receptor complex was analyzed using the PISA server to investigate interface characteristics and interaction stability.</w:t>
      </w:r>
    </w:p>
    <w:p w14:paraId="5B149C8E" w14:textId="77777777" w:rsidR="001D6A36" w:rsidRPr="00D55EE0" w:rsidRDefault="001D6A36" w:rsidP="00D55EE0">
      <w:pPr>
        <w:pStyle w:val="BodyText"/>
        <w:jc w:val="both"/>
      </w:pPr>
      <w:r w:rsidRPr="00D55EE0">
        <w:t>The complex exhibited an interface area of 3487.5 Å² and a total buried surface area of 6974.9 Å². The calculated solvation free energy gain (ΔiG) was −14.5 kcal/mol, indicating favorable binding.</w:t>
      </w:r>
    </w:p>
    <w:p w14:paraId="40C6EB9F" w14:textId="77777777" w:rsidR="001D6A36" w:rsidRPr="00D55EE0" w:rsidRDefault="001D6A36" w:rsidP="00D55EE0">
      <w:pPr>
        <w:pStyle w:val="BodyText"/>
        <w:jc w:val="both"/>
      </w:pPr>
      <w:r w:rsidRPr="00D55EE0">
        <w:t>Fifteen hydrogen bonds were identified at the interaction interface, whereas no salt bridges or disulfide bonds were detected. The dissociation energy of 5.0 kcal/mol further supported the stability of the complex.</w:t>
      </w:r>
    </w:p>
    <w:p w14:paraId="2A4A0C27" w14:textId="77777777" w:rsidR="001D6A36" w:rsidRPr="00D55EE0" w:rsidRDefault="001D6A36" w:rsidP="00D55EE0">
      <w:pPr>
        <w:pStyle w:val="BodyText"/>
        <w:jc w:val="both"/>
      </w:pPr>
      <w:r w:rsidRPr="00D55EE0">
        <w:t>These observations suggest effective receptor recognition and stable intermolecular interactions, highlighting the immunological relevance of the designed vaccine candidate.</w:t>
      </w:r>
    </w:p>
    <w:p w14:paraId="75C10264" w14:textId="2AB9B68C" w:rsidR="001D6A36" w:rsidRPr="00D55EE0" w:rsidRDefault="001D6A36" w:rsidP="00D55EE0">
      <w:pPr>
        <w:jc w:val="both"/>
      </w:pPr>
    </w:p>
    <w:p w14:paraId="0885A873" w14:textId="77777777" w:rsidR="001D6A36" w:rsidRPr="00D55EE0" w:rsidRDefault="001D6A36" w:rsidP="00D55EE0">
      <w:pPr>
        <w:pStyle w:val="Heading2"/>
        <w:jc w:val="both"/>
        <w:rPr>
          <w:color w:val="auto"/>
        </w:rPr>
      </w:pPr>
      <w:bookmarkStart w:id="27" w:name="X93b68e195ad4699f69badeae89f341ef0e0cc3f"/>
      <w:bookmarkEnd w:id="26"/>
      <w:r w:rsidRPr="00D55EE0">
        <w:rPr>
          <w:color w:val="auto"/>
        </w:rPr>
        <w:lastRenderedPageBreak/>
        <w:t>3.11 Codon Optimization of the Vaccine Construct</w:t>
      </w:r>
    </w:p>
    <w:p w14:paraId="0A9BE978" w14:textId="77777777" w:rsidR="001D6A36" w:rsidRPr="00D55EE0" w:rsidRDefault="001D6A36" w:rsidP="00D55EE0">
      <w:pPr>
        <w:pStyle w:val="FirstParagraph"/>
        <w:jc w:val="both"/>
      </w:pPr>
      <w:r w:rsidRPr="00D55EE0">
        <w:t>To facilitate recombinant expression, the vaccine sequence was optimized using the JCat server for Escherichia coli K12.</w:t>
      </w:r>
    </w:p>
    <w:p w14:paraId="1A586215" w14:textId="77777777" w:rsidR="001D6A36" w:rsidRPr="00D55EE0" w:rsidRDefault="001D6A36" w:rsidP="00D55EE0">
      <w:pPr>
        <w:pStyle w:val="BodyText"/>
        <w:jc w:val="both"/>
      </w:pPr>
      <w:r w:rsidRPr="00D55EE0">
        <w:t>The optimized construct achieved a Codon Adaptation Index (CAI) of 0.9572 and a GC content of 52.95%. Both values fall within the recommended ranges for efficient heterologous expression.</w:t>
      </w:r>
    </w:p>
    <w:p w14:paraId="4BB79007" w14:textId="77777777" w:rsidR="001D6A36" w:rsidRPr="00D55EE0" w:rsidRDefault="001D6A36" w:rsidP="00D55EE0">
      <w:pPr>
        <w:pStyle w:val="BodyText"/>
        <w:jc w:val="both"/>
      </w:pPr>
      <w:r w:rsidRPr="00D55EE0">
        <w:t>These findings indicate that the optimized gene possesses favorable translational characteristics and may be efficiently expressed in bacterial expression systems for future experimental studies.</w:t>
      </w:r>
    </w:p>
    <w:p w14:paraId="5C1D328F" w14:textId="319CD720" w:rsidR="001D6A36" w:rsidRPr="00D55EE0" w:rsidRDefault="001D6A36" w:rsidP="00D55EE0">
      <w:pPr>
        <w:jc w:val="both"/>
      </w:pPr>
    </w:p>
    <w:p w14:paraId="672985DE" w14:textId="77777777" w:rsidR="001D6A36" w:rsidRPr="00D55EE0" w:rsidRDefault="001D6A36" w:rsidP="00D55EE0">
      <w:pPr>
        <w:pStyle w:val="Heading2"/>
        <w:jc w:val="both"/>
        <w:rPr>
          <w:color w:val="auto"/>
        </w:rPr>
      </w:pPr>
      <w:bookmarkStart w:id="28" w:name="molecular-dynamics-simulation-analysis"/>
      <w:bookmarkEnd w:id="27"/>
      <w:r w:rsidRPr="00D55EE0">
        <w:rPr>
          <w:color w:val="auto"/>
        </w:rPr>
        <w:t>3.12 Molecular Dynamics Simulation Analysis</w:t>
      </w:r>
    </w:p>
    <w:p w14:paraId="3F018165" w14:textId="77777777" w:rsidR="001D6A36" w:rsidRPr="00D55EE0" w:rsidRDefault="001D6A36" w:rsidP="00D55EE0">
      <w:pPr>
        <w:pStyle w:val="FirstParagraph"/>
        <w:jc w:val="both"/>
      </w:pPr>
      <w:r w:rsidRPr="00D55EE0">
        <w:t>The structural stability of the vaccine construct was further evaluated through molecular dynamics simulation using GROMACS.</w:t>
      </w:r>
    </w:p>
    <w:p w14:paraId="37CDE12D" w14:textId="77777777" w:rsidR="001D6A36" w:rsidRPr="00D55EE0" w:rsidRDefault="001D6A36" w:rsidP="00D55EE0">
      <w:pPr>
        <w:pStyle w:val="BodyText"/>
        <w:jc w:val="both"/>
      </w:pPr>
      <w:r w:rsidRPr="00D55EE0">
        <w:t>RMSD analysis demonstrated stabilization of the structure following initial equilibration, indicating maintenance of structural integrity throughout the simulation period. RMSF analysis revealed limited residue fluctuations, suggesting a stable structural framework with localized flexibility primarily within loop regions.</w:t>
      </w:r>
    </w:p>
    <w:p w14:paraId="70443AE2" w14:textId="77777777" w:rsidR="001D6A36" w:rsidRPr="00D55EE0" w:rsidRDefault="001D6A36" w:rsidP="00D55EE0">
      <w:pPr>
        <w:pStyle w:val="BodyText"/>
        <w:jc w:val="both"/>
      </w:pPr>
      <w:r w:rsidRPr="00D55EE0">
        <w:t>Radius of gyration analysis produced an average value of approximately 3.50 nm and a final value of 3.44 nm, indicating preservation of structural compactness. Hydrogen-bond analysis revealed an average of approximately 495 hydrogen bonds, with 482 hydrogen bonds retained at the end of the simulation.</w:t>
      </w:r>
    </w:p>
    <w:p w14:paraId="0493F182" w14:textId="77777777" w:rsidR="001D6A36" w:rsidRPr="00D55EE0" w:rsidRDefault="001D6A36" w:rsidP="00D55EE0">
      <w:pPr>
        <w:pStyle w:val="BodyText"/>
        <w:jc w:val="both"/>
      </w:pPr>
      <w:r w:rsidRPr="00D55EE0">
        <w:t>SASA analysis yielded an average value of approximately 516.96 nm² and a final value of 493.88 nm². The stable SASA profile indicated maintenance of the folded conformation without significant structural collapse.</w:t>
      </w:r>
    </w:p>
    <w:p w14:paraId="3AA4B004" w14:textId="77777777" w:rsidR="001D6A36" w:rsidRDefault="001D6A36" w:rsidP="00D55EE0">
      <w:pPr>
        <w:pStyle w:val="BodyText"/>
        <w:jc w:val="both"/>
      </w:pPr>
      <w:r w:rsidRPr="00D55EE0">
        <w:t>Overall, molecular dynamics simulations demonstrated that the designed vaccine construct remained structurally stable, compact, and conformationally robust throughout the simulation period, supporting its suitability as a promising multi-epitope Ebola vaccine candidate.</w:t>
      </w:r>
    </w:p>
    <w:p w14:paraId="35049124" w14:textId="77777777" w:rsidR="00F17169" w:rsidRDefault="00F17169" w:rsidP="00D55EE0">
      <w:pPr>
        <w:pStyle w:val="BodyText"/>
        <w:jc w:val="both"/>
      </w:pPr>
    </w:p>
    <w:p w14:paraId="50853BA9" w14:textId="77777777" w:rsidR="00F17169" w:rsidRDefault="00F17169" w:rsidP="00D55EE0">
      <w:pPr>
        <w:pStyle w:val="BodyText"/>
        <w:jc w:val="both"/>
      </w:pPr>
    </w:p>
    <w:p w14:paraId="3D1E67BF" w14:textId="77777777" w:rsidR="00F17169" w:rsidRDefault="00F17169" w:rsidP="00D55EE0">
      <w:pPr>
        <w:pStyle w:val="BodyText"/>
        <w:jc w:val="both"/>
      </w:pPr>
    </w:p>
    <w:p w14:paraId="6814E19A" w14:textId="77777777" w:rsidR="00F17169" w:rsidRDefault="00F17169" w:rsidP="00D55EE0">
      <w:pPr>
        <w:pStyle w:val="BodyText"/>
        <w:jc w:val="both"/>
      </w:pPr>
    </w:p>
    <w:p w14:paraId="53B8AFB3" w14:textId="77777777" w:rsidR="00F17169" w:rsidRDefault="00F17169" w:rsidP="00D55EE0">
      <w:pPr>
        <w:pStyle w:val="BodyText"/>
        <w:jc w:val="both"/>
      </w:pPr>
    </w:p>
    <w:tbl>
      <w:tblPr>
        <w:tblStyle w:val="Table"/>
        <w:tblW w:w="0" w:type="auto"/>
        <w:tblLook w:val="0020" w:firstRow="1" w:lastRow="0" w:firstColumn="0" w:lastColumn="0" w:noHBand="0" w:noVBand="0"/>
      </w:tblPr>
      <w:tblGrid>
        <w:gridCol w:w="3447"/>
        <w:gridCol w:w="3118"/>
      </w:tblGrid>
      <w:tr w:rsidR="00F17169" w14:paraId="5D412F6B" w14:textId="77777777" w:rsidTr="00E10937">
        <w:trPr>
          <w:cnfStyle w:val="100000000000" w:firstRow="1" w:lastRow="0" w:firstColumn="0" w:lastColumn="0" w:oddVBand="0" w:evenVBand="0" w:oddHBand="0" w:evenHBand="0" w:firstRowFirstColumn="0" w:firstRowLastColumn="0" w:lastRowFirstColumn="0" w:lastRowLastColumn="0"/>
          <w:tblHeader/>
        </w:trPr>
        <w:tc>
          <w:tcPr>
            <w:tcW w:w="0" w:type="auto"/>
          </w:tcPr>
          <w:p w14:paraId="5F7849EB" w14:textId="77777777" w:rsidR="00F17169" w:rsidRDefault="00F17169" w:rsidP="00E10937">
            <w:pPr>
              <w:pStyle w:val="Compact"/>
            </w:pPr>
            <w:r>
              <w:lastRenderedPageBreak/>
              <w:t>Parameter</w:t>
            </w:r>
          </w:p>
        </w:tc>
        <w:tc>
          <w:tcPr>
            <w:tcW w:w="0" w:type="auto"/>
          </w:tcPr>
          <w:p w14:paraId="24B8B695" w14:textId="77777777" w:rsidR="00F17169" w:rsidRDefault="00F17169" w:rsidP="00E10937">
            <w:pPr>
              <w:pStyle w:val="Compact"/>
            </w:pPr>
            <w:r>
              <w:t>Observation</w:t>
            </w:r>
          </w:p>
        </w:tc>
      </w:tr>
      <w:tr w:rsidR="00F17169" w14:paraId="00A21A32" w14:textId="77777777" w:rsidTr="00E10937">
        <w:tc>
          <w:tcPr>
            <w:tcW w:w="0" w:type="auto"/>
          </w:tcPr>
          <w:p w14:paraId="28C50C0A" w14:textId="77777777" w:rsidR="00F17169" w:rsidRDefault="00F17169" w:rsidP="00E10937">
            <w:pPr>
              <w:pStyle w:val="Compact"/>
            </w:pPr>
            <w:r>
              <w:t>RMSD</w:t>
            </w:r>
          </w:p>
        </w:tc>
        <w:tc>
          <w:tcPr>
            <w:tcW w:w="0" w:type="auto"/>
          </w:tcPr>
          <w:p w14:paraId="2A6BB240" w14:textId="77777777" w:rsidR="00F17169" w:rsidRDefault="00F17169" w:rsidP="00E10937">
            <w:pPr>
              <w:pStyle w:val="Compact"/>
            </w:pPr>
            <w:r>
              <w:t>Stable after equilibration</w:t>
            </w:r>
          </w:p>
        </w:tc>
      </w:tr>
      <w:tr w:rsidR="00F17169" w14:paraId="3EE30415" w14:textId="77777777" w:rsidTr="00E10937">
        <w:tc>
          <w:tcPr>
            <w:tcW w:w="0" w:type="auto"/>
          </w:tcPr>
          <w:p w14:paraId="65D39494" w14:textId="77777777" w:rsidR="00F17169" w:rsidRDefault="00F17169" w:rsidP="00E10937">
            <w:pPr>
              <w:pStyle w:val="Compact"/>
            </w:pPr>
            <w:r>
              <w:t>RMSF</w:t>
            </w:r>
          </w:p>
        </w:tc>
        <w:tc>
          <w:tcPr>
            <w:tcW w:w="0" w:type="auto"/>
          </w:tcPr>
          <w:p w14:paraId="00F7D640" w14:textId="77777777" w:rsidR="00F17169" w:rsidRDefault="00F17169" w:rsidP="00E10937">
            <w:pPr>
              <w:pStyle w:val="Compact"/>
            </w:pPr>
            <w:r>
              <w:t>Limited residue fluctuations</w:t>
            </w:r>
          </w:p>
        </w:tc>
      </w:tr>
      <w:tr w:rsidR="00F17169" w14:paraId="0DF816E1" w14:textId="77777777" w:rsidTr="00E10937">
        <w:tc>
          <w:tcPr>
            <w:tcW w:w="0" w:type="auto"/>
          </w:tcPr>
          <w:p w14:paraId="26206143" w14:textId="77777777" w:rsidR="00F17169" w:rsidRDefault="00F17169" w:rsidP="00E10937">
            <w:pPr>
              <w:pStyle w:val="Compact"/>
            </w:pPr>
            <w:r>
              <w:t>Average Radius of Gyration (Rg)</w:t>
            </w:r>
          </w:p>
        </w:tc>
        <w:tc>
          <w:tcPr>
            <w:tcW w:w="0" w:type="auto"/>
          </w:tcPr>
          <w:p w14:paraId="43401F28" w14:textId="77777777" w:rsidR="00F17169" w:rsidRDefault="00F17169" w:rsidP="00E10937">
            <w:pPr>
              <w:pStyle w:val="Compact"/>
            </w:pPr>
            <w:r>
              <w:t>3.50 nm</w:t>
            </w:r>
          </w:p>
        </w:tc>
      </w:tr>
      <w:tr w:rsidR="00F17169" w14:paraId="2ED2304B" w14:textId="77777777" w:rsidTr="00E10937">
        <w:tc>
          <w:tcPr>
            <w:tcW w:w="0" w:type="auto"/>
          </w:tcPr>
          <w:p w14:paraId="019264F2" w14:textId="77777777" w:rsidR="00F17169" w:rsidRDefault="00F17169" w:rsidP="00E10937">
            <w:pPr>
              <w:pStyle w:val="Compact"/>
            </w:pPr>
            <w:r>
              <w:t>Final Radius of Gyration (Rg)</w:t>
            </w:r>
          </w:p>
        </w:tc>
        <w:tc>
          <w:tcPr>
            <w:tcW w:w="0" w:type="auto"/>
          </w:tcPr>
          <w:p w14:paraId="68375C06" w14:textId="77777777" w:rsidR="00F17169" w:rsidRDefault="00F17169" w:rsidP="00E10937">
            <w:pPr>
              <w:pStyle w:val="Compact"/>
            </w:pPr>
            <w:r>
              <w:t>3.44 nm</w:t>
            </w:r>
          </w:p>
        </w:tc>
      </w:tr>
      <w:tr w:rsidR="00F17169" w14:paraId="1ADE2488" w14:textId="77777777" w:rsidTr="00E10937">
        <w:tc>
          <w:tcPr>
            <w:tcW w:w="0" w:type="auto"/>
          </w:tcPr>
          <w:p w14:paraId="50937194" w14:textId="77777777" w:rsidR="00F17169" w:rsidRDefault="00F17169" w:rsidP="00E10937">
            <w:pPr>
              <w:pStyle w:val="Compact"/>
            </w:pPr>
            <w:r>
              <w:t>Average Hydrogen Bonds</w:t>
            </w:r>
          </w:p>
        </w:tc>
        <w:tc>
          <w:tcPr>
            <w:tcW w:w="0" w:type="auto"/>
          </w:tcPr>
          <w:p w14:paraId="43792DC8" w14:textId="77777777" w:rsidR="00F17169" w:rsidRDefault="00F17169" w:rsidP="00E10937">
            <w:pPr>
              <w:pStyle w:val="Compact"/>
            </w:pPr>
            <w:r>
              <w:t>495</w:t>
            </w:r>
          </w:p>
        </w:tc>
      </w:tr>
      <w:tr w:rsidR="00F17169" w14:paraId="09732A3A" w14:textId="77777777" w:rsidTr="00E10937">
        <w:tc>
          <w:tcPr>
            <w:tcW w:w="0" w:type="auto"/>
          </w:tcPr>
          <w:p w14:paraId="572C24D6" w14:textId="77777777" w:rsidR="00F17169" w:rsidRDefault="00F17169" w:rsidP="00E10937">
            <w:pPr>
              <w:pStyle w:val="Compact"/>
            </w:pPr>
            <w:r>
              <w:t>Final Hydrogen Bonds</w:t>
            </w:r>
          </w:p>
        </w:tc>
        <w:tc>
          <w:tcPr>
            <w:tcW w:w="0" w:type="auto"/>
          </w:tcPr>
          <w:p w14:paraId="538DFEC2" w14:textId="77777777" w:rsidR="00F17169" w:rsidRDefault="00F17169" w:rsidP="00E10937">
            <w:pPr>
              <w:pStyle w:val="Compact"/>
            </w:pPr>
            <w:r>
              <w:t>482</w:t>
            </w:r>
          </w:p>
        </w:tc>
      </w:tr>
      <w:tr w:rsidR="00F17169" w14:paraId="654DA948" w14:textId="77777777" w:rsidTr="00E10937">
        <w:tc>
          <w:tcPr>
            <w:tcW w:w="0" w:type="auto"/>
          </w:tcPr>
          <w:p w14:paraId="2227AD11" w14:textId="77777777" w:rsidR="00F17169" w:rsidRDefault="00F17169" w:rsidP="00E10937">
            <w:pPr>
              <w:pStyle w:val="Compact"/>
            </w:pPr>
            <w:r>
              <w:t>Average SASA</w:t>
            </w:r>
          </w:p>
        </w:tc>
        <w:tc>
          <w:tcPr>
            <w:tcW w:w="0" w:type="auto"/>
          </w:tcPr>
          <w:p w14:paraId="67272F47" w14:textId="77777777" w:rsidR="00F17169" w:rsidRDefault="00F17169" w:rsidP="00E10937">
            <w:pPr>
              <w:pStyle w:val="Compact"/>
            </w:pPr>
            <w:r>
              <w:t>516.96 nm²</w:t>
            </w:r>
          </w:p>
        </w:tc>
      </w:tr>
      <w:tr w:rsidR="00F17169" w14:paraId="7448B19F" w14:textId="77777777" w:rsidTr="00E10937">
        <w:tc>
          <w:tcPr>
            <w:tcW w:w="0" w:type="auto"/>
          </w:tcPr>
          <w:p w14:paraId="6F641DF9" w14:textId="77777777" w:rsidR="00F17169" w:rsidRDefault="00F17169" w:rsidP="00E10937">
            <w:pPr>
              <w:pStyle w:val="Compact"/>
            </w:pPr>
            <w:r>
              <w:t>Final SASA</w:t>
            </w:r>
          </w:p>
        </w:tc>
        <w:tc>
          <w:tcPr>
            <w:tcW w:w="0" w:type="auto"/>
          </w:tcPr>
          <w:p w14:paraId="6EDECC18" w14:textId="77777777" w:rsidR="00F17169" w:rsidRDefault="00F17169" w:rsidP="00E10937">
            <w:pPr>
              <w:pStyle w:val="Compact"/>
            </w:pPr>
            <w:r>
              <w:t>493.88 nm²</w:t>
            </w:r>
          </w:p>
        </w:tc>
      </w:tr>
      <w:tr w:rsidR="00F17169" w14:paraId="74A0A50C" w14:textId="77777777" w:rsidTr="00E10937">
        <w:tc>
          <w:tcPr>
            <w:tcW w:w="0" w:type="auto"/>
          </w:tcPr>
          <w:p w14:paraId="23D3192C" w14:textId="77777777" w:rsidR="00F17169" w:rsidRDefault="00F17169" w:rsidP="00E10937">
            <w:pPr>
              <w:pStyle w:val="Compact"/>
            </w:pPr>
            <w:r>
              <w:t>Overall Structural Stability</w:t>
            </w:r>
          </w:p>
        </w:tc>
        <w:tc>
          <w:tcPr>
            <w:tcW w:w="0" w:type="auto"/>
          </w:tcPr>
          <w:p w14:paraId="747982ED" w14:textId="77777777" w:rsidR="00F17169" w:rsidRDefault="00F17169" w:rsidP="00E10937">
            <w:pPr>
              <w:pStyle w:val="Compact"/>
            </w:pPr>
            <w:r>
              <w:t>Stable</w:t>
            </w:r>
          </w:p>
        </w:tc>
      </w:tr>
    </w:tbl>
    <w:p w14:paraId="044DE290" w14:textId="77777777" w:rsidR="00F17169" w:rsidRDefault="00F17169" w:rsidP="00F17169">
      <w:pPr>
        <w:pStyle w:val="BodyText"/>
      </w:pPr>
      <w:r>
        <w:t>Table 6. Molecular dynamics simulation summary of the vaccine construct.</w:t>
      </w:r>
    </w:p>
    <w:p w14:paraId="6CED35E9" w14:textId="77777777" w:rsidR="00F17169" w:rsidRPr="00D55EE0" w:rsidRDefault="00F17169" w:rsidP="00D55EE0">
      <w:pPr>
        <w:pStyle w:val="BodyText"/>
        <w:jc w:val="both"/>
      </w:pPr>
    </w:p>
    <w:p w14:paraId="3510B6AB" w14:textId="77777777" w:rsidR="004D476C" w:rsidRPr="00D55EE0" w:rsidRDefault="004D476C" w:rsidP="00D55EE0">
      <w:pPr>
        <w:pStyle w:val="Heading1"/>
        <w:jc w:val="both"/>
        <w:rPr>
          <w:color w:val="auto"/>
        </w:rPr>
      </w:pPr>
      <w:bookmarkStart w:id="29" w:name="conclusion"/>
      <w:bookmarkEnd w:id="17"/>
      <w:bookmarkEnd w:id="28"/>
      <w:r w:rsidRPr="00D55EE0">
        <w:rPr>
          <w:color w:val="auto"/>
        </w:rPr>
        <w:t>4. Conclusion</w:t>
      </w:r>
    </w:p>
    <w:p w14:paraId="5D3C88D3" w14:textId="77777777" w:rsidR="004D476C" w:rsidRPr="00D55EE0" w:rsidRDefault="004D476C" w:rsidP="00D55EE0">
      <w:pPr>
        <w:pStyle w:val="FirstParagraph"/>
        <w:jc w:val="both"/>
      </w:pPr>
      <w:r w:rsidRPr="00D55EE0">
        <w:t>In the present study, a multi-epitope vaccine candidate was successfully designed against Ebola virus using a comprehensive immunoinformatics and structural bioinformatics approach. Glycoprotein sequences from Zaire, Sudan, and Bundibugyo Ebola virus strains were utilized to identify highly conserved, antigenic, non-allergenic, and non-toxic CTL, HTL, and B-cell epitopes. These epitopes were assembled into a chimeric vaccine construct using appropriate linkers and the immunostimulatory adjuvant β-defensin-3.</w:t>
      </w:r>
    </w:p>
    <w:p w14:paraId="7659E429" w14:textId="77777777" w:rsidR="004D476C" w:rsidRPr="00D55EE0" w:rsidRDefault="004D476C" w:rsidP="00D55EE0">
      <w:pPr>
        <w:pStyle w:val="BodyText"/>
        <w:jc w:val="both"/>
      </w:pPr>
      <w:r w:rsidRPr="00D55EE0">
        <w:t xml:space="preserve">The designed vaccine exhibited favorable antigenicity, physicochemical stability, and structural characteristics. Tertiary structure modeling, refinement, and validation confirmed the reliability of the vaccine model, with excellent stereochemical quality and acceptable structural validation scores. Protein–protein interaction analysis demonstrated stable binding between the vaccine construct and the immune receptor, supported by favorable interface parameters and hydrogen-bond interactions. Furthermore, codon optimization indicated efficient expression potential in </w:t>
      </w:r>
      <w:r w:rsidRPr="00D55EE0">
        <w:rPr>
          <w:i/>
          <w:iCs/>
        </w:rPr>
        <w:t>Escherichia coli</w:t>
      </w:r>
      <w:r w:rsidRPr="00D55EE0">
        <w:t xml:space="preserve"> K12, while molecular dynamics simulations confirmed structural stability, compactness, and conformational integrity throughout the simulation period.</w:t>
      </w:r>
    </w:p>
    <w:p w14:paraId="7192ED1B" w14:textId="77777777" w:rsidR="004D476C" w:rsidRDefault="004D476C" w:rsidP="00D55EE0">
      <w:pPr>
        <w:pStyle w:val="BodyText"/>
        <w:jc w:val="both"/>
      </w:pPr>
      <w:r w:rsidRPr="00D55EE0">
        <w:t>Collectively, these findings suggest that the proposed multi-epitope Ebola vaccine possesses promising immunogenic and structural properties and may serve as a potential vaccine candidate against multiple Ebola virus strains. However, further validation through in vitro, in vivo, and clinical investigations is necessary to confirm its safety, immunogenicity, and protective efficacy before practical application.</w:t>
      </w:r>
    </w:p>
    <w:p w14:paraId="0951E1DC" w14:textId="77777777" w:rsidR="00CE52F1" w:rsidRDefault="00CE52F1" w:rsidP="00D55EE0">
      <w:pPr>
        <w:pStyle w:val="BodyText"/>
        <w:jc w:val="both"/>
      </w:pPr>
    </w:p>
    <w:p w14:paraId="3DC4719E" w14:textId="77777777" w:rsidR="00CE52F1" w:rsidRDefault="00CE52F1" w:rsidP="00D55EE0">
      <w:pPr>
        <w:pStyle w:val="BodyText"/>
        <w:jc w:val="both"/>
      </w:pPr>
    </w:p>
    <w:p w14:paraId="0D30E373" w14:textId="1E45ED40" w:rsidR="00CE52F1" w:rsidRPr="00CE52F1" w:rsidRDefault="00CE52F1" w:rsidP="00D55EE0">
      <w:pPr>
        <w:pStyle w:val="BodyText"/>
        <w:jc w:val="both"/>
        <w:rPr>
          <w:sz w:val="40"/>
          <w:szCs w:val="40"/>
        </w:rPr>
      </w:pPr>
      <w:r w:rsidRPr="00CE52F1">
        <w:rPr>
          <w:sz w:val="40"/>
          <w:szCs w:val="40"/>
        </w:rPr>
        <w:lastRenderedPageBreak/>
        <w:t>Acknowledgement</w:t>
      </w:r>
    </w:p>
    <w:bookmarkEnd w:id="29"/>
    <w:p w14:paraId="3F966649" w14:textId="4A9E8E78" w:rsidR="00C771C3" w:rsidRPr="00D55EE0" w:rsidRDefault="007B70D9" w:rsidP="00D55EE0">
      <w:pPr>
        <w:pStyle w:val="BodyText"/>
        <w:jc w:val="both"/>
      </w:pPr>
      <w:r>
        <w:t xml:space="preserve">I am </w:t>
      </w:r>
      <w:r w:rsidR="00123BCF">
        <w:t>deeply grateful to Prof. Dr Hammad Saleem, from Karachi, Pakistan, for teaching me how</w:t>
      </w:r>
      <w:r>
        <w:t xml:space="preserve"> to prepare Vaccines.  </w:t>
      </w:r>
      <w:r w:rsidR="00CE52F1">
        <w:t>I am highly glad to be guided by ChatGPT (AI). Also, I am thankful to my institution</w:t>
      </w:r>
      <w:r>
        <w:t xml:space="preserve">, Sri Shakthi Institute of Engineering and Technology. Moreover, the Blessings of my parents, teachers and </w:t>
      </w:r>
      <w:r w:rsidR="00123BCF">
        <w:t>the</w:t>
      </w:r>
      <w:r>
        <w:t xml:space="preserve"> </w:t>
      </w:r>
      <w:r w:rsidR="00123BCF">
        <w:t>Lord Jesus Christ</w:t>
      </w:r>
      <w:r>
        <w:t xml:space="preserve"> have encouraged me to complete the paper.</w:t>
      </w:r>
    </w:p>
    <w:p w14:paraId="799B1A09" w14:textId="77777777" w:rsidR="005E7BC6" w:rsidRPr="00D55EE0" w:rsidRDefault="005E7BC6" w:rsidP="00D55EE0">
      <w:pPr>
        <w:pStyle w:val="Heading1"/>
        <w:jc w:val="both"/>
        <w:rPr>
          <w:color w:val="auto"/>
        </w:rPr>
      </w:pPr>
      <w:bookmarkStart w:id="30" w:name="references"/>
      <w:bookmarkEnd w:id="14"/>
      <w:r w:rsidRPr="00D55EE0">
        <w:rPr>
          <w:color w:val="auto"/>
        </w:rPr>
        <w:t>References</w:t>
      </w:r>
    </w:p>
    <w:p w14:paraId="4E42BD03" w14:textId="77777777" w:rsidR="005E7BC6" w:rsidRPr="00D55EE0" w:rsidRDefault="005E7BC6" w:rsidP="00D55EE0">
      <w:pPr>
        <w:numPr>
          <w:ilvl w:val="0"/>
          <w:numId w:val="2"/>
        </w:numPr>
        <w:jc w:val="both"/>
      </w:pPr>
      <w:r w:rsidRPr="00D55EE0">
        <w:t xml:space="preserve">Feldmann H, Geisbert TW. Ebola haemorrhagic fever. </w:t>
      </w:r>
      <w:r w:rsidRPr="00D55EE0">
        <w:rPr>
          <w:i/>
          <w:iCs/>
        </w:rPr>
        <w:t>Lancet</w:t>
      </w:r>
      <w:r w:rsidRPr="00D55EE0">
        <w:t>. 2011;377(9768):849–862.</w:t>
      </w:r>
    </w:p>
    <w:p w14:paraId="7159EBBC" w14:textId="77777777" w:rsidR="005E7BC6" w:rsidRPr="00D55EE0" w:rsidRDefault="005E7BC6" w:rsidP="00D55EE0">
      <w:pPr>
        <w:numPr>
          <w:ilvl w:val="0"/>
          <w:numId w:val="2"/>
        </w:numPr>
        <w:jc w:val="both"/>
      </w:pPr>
      <w:r w:rsidRPr="00D55EE0">
        <w:t xml:space="preserve">Kuhn JH, Amarasinghe GK, Perry DL, et al. ICTV Virus Taxonomy Profile: Filoviridae. </w:t>
      </w:r>
      <w:r w:rsidRPr="00D55EE0">
        <w:rPr>
          <w:i/>
          <w:iCs/>
        </w:rPr>
        <w:t>J Gen Virol</w:t>
      </w:r>
      <w:r w:rsidRPr="00D55EE0">
        <w:t>. 2019;100(6):911–912.</w:t>
      </w:r>
    </w:p>
    <w:p w14:paraId="21B58EB9" w14:textId="77777777" w:rsidR="005E7BC6" w:rsidRPr="00D55EE0" w:rsidRDefault="005E7BC6" w:rsidP="00D55EE0">
      <w:pPr>
        <w:numPr>
          <w:ilvl w:val="0"/>
          <w:numId w:val="2"/>
        </w:numPr>
        <w:jc w:val="both"/>
      </w:pPr>
      <w:r w:rsidRPr="00D55EE0">
        <w:t xml:space="preserve">Henao-Restrepo AM, Camacho A, Longini IM, et al. Efficacy and effectiveness of an rVSV-vectored vaccine in preventing Ebola virus disease. </w:t>
      </w:r>
      <w:r w:rsidRPr="00D55EE0">
        <w:rPr>
          <w:i/>
          <w:iCs/>
        </w:rPr>
        <w:t>Lancet</w:t>
      </w:r>
      <w:r w:rsidRPr="00D55EE0">
        <w:t>. 2017;389(10068):505–518.</w:t>
      </w:r>
    </w:p>
    <w:p w14:paraId="4D3119C3" w14:textId="77777777" w:rsidR="005E7BC6" w:rsidRPr="00D55EE0" w:rsidRDefault="005E7BC6" w:rsidP="00D55EE0">
      <w:pPr>
        <w:numPr>
          <w:ilvl w:val="0"/>
          <w:numId w:val="2"/>
        </w:numPr>
        <w:jc w:val="both"/>
      </w:pPr>
      <w:r w:rsidRPr="00D55EE0">
        <w:t xml:space="preserve">Vita R, Mahajan S, Overton JA, et al. The Immune Epitope Database (IEDB): 2018 update. </w:t>
      </w:r>
      <w:r w:rsidRPr="00D55EE0">
        <w:rPr>
          <w:i/>
          <w:iCs/>
        </w:rPr>
        <w:t>Nucleic Acids Res</w:t>
      </w:r>
      <w:r w:rsidRPr="00D55EE0">
        <w:t>. 2019;47(D1):D339–D343.</w:t>
      </w:r>
    </w:p>
    <w:p w14:paraId="6FB61D69" w14:textId="77777777" w:rsidR="005E7BC6" w:rsidRPr="00D55EE0" w:rsidRDefault="005E7BC6" w:rsidP="00D55EE0">
      <w:pPr>
        <w:numPr>
          <w:ilvl w:val="0"/>
          <w:numId w:val="2"/>
        </w:numPr>
        <w:jc w:val="both"/>
      </w:pPr>
      <w:r w:rsidRPr="00D55EE0">
        <w:t xml:space="preserve">Doytchinova IA, Flower DR. VaxiJen: a server for prediction of protective antigens, tumour antigens and subunit vaccines. </w:t>
      </w:r>
      <w:r w:rsidRPr="00D55EE0">
        <w:rPr>
          <w:i/>
          <w:iCs/>
        </w:rPr>
        <w:t>BMC Bioinformatics</w:t>
      </w:r>
      <w:r w:rsidRPr="00D55EE0">
        <w:t>. 2007;8:4.</w:t>
      </w:r>
    </w:p>
    <w:p w14:paraId="3893419A" w14:textId="77777777" w:rsidR="005E7BC6" w:rsidRPr="00D55EE0" w:rsidRDefault="005E7BC6" w:rsidP="00D55EE0">
      <w:pPr>
        <w:numPr>
          <w:ilvl w:val="0"/>
          <w:numId w:val="2"/>
        </w:numPr>
        <w:jc w:val="both"/>
      </w:pPr>
      <w:r w:rsidRPr="00D55EE0">
        <w:t xml:space="preserve">Dimitrov I, Bangov I, Flower DR, Doytchinova I. AllerTOP v.2—a server for in silico prediction of allergens. </w:t>
      </w:r>
      <w:r w:rsidRPr="00D55EE0">
        <w:rPr>
          <w:i/>
          <w:iCs/>
        </w:rPr>
        <w:t>J Mol Model</w:t>
      </w:r>
      <w:r w:rsidRPr="00D55EE0">
        <w:t>. 2014;20(6):2278.</w:t>
      </w:r>
    </w:p>
    <w:p w14:paraId="04487F8D" w14:textId="77777777" w:rsidR="005E7BC6" w:rsidRPr="00D55EE0" w:rsidRDefault="005E7BC6" w:rsidP="00D55EE0">
      <w:pPr>
        <w:numPr>
          <w:ilvl w:val="0"/>
          <w:numId w:val="2"/>
        </w:numPr>
        <w:jc w:val="both"/>
      </w:pPr>
      <w:r w:rsidRPr="00D55EE0">
        <w:t xml:space="preserve">Gupta S, Kapoor P, Chaudhary K, et al. In silico approach for predicting toxicity of peptides and proteins. </w:t>
      </w:r>
      <w:r w:rsidRPr="00D55EE0">
        <w:rPr>
          <w:i/>
          <w:iCs/>
        </w:rPr>
        <w:t>PLoS One</w:t>
      </w:r>
      <w:r w:rsidRPr="00D55EE0">
        <w:t>. 2013;8(9):e73957.</w:t>
      </w:r>
    </w:p>
    <w:p w14:paraId="6C51E616" w14:textId="77777777" w:rsidR="005E7BC6" w:rsidRPr="00D55EE0" w:rsidRDefault="005E7BC6" w:rsidP="00D55EE0">
      <w:pPr>
        <w:numPr>
          <w:ilvl w:val="0"/>
          <w:numId w:val="2"/>
        </w:numPr>
        <w:jc w:val="both"/>
      </w:pPr>
      <w:r w:rsidRPr="00D55EE0">
        <w:t xml:space="preserve">Gasteiger E, Hoogland C, Gattiker A, et al. Protein identification and analysis tools on the ExPASy server. In: </w:t>
      </w:r>
      <w:r w:rsidRPr="00D55EE0">
        <w:rPr>
          <w:i/>
          <w:iCs/>
        </w:rPr>
        <w:t>The Proteomics Protocols Handbook</w:t>
      </w:r>
      <w:r w:rsidRPr="00D55EE0">
        <w:t>. Humana Press; 2005:571–607.</w:t>
      </w:r>
    </w:p>
    <w:p w14:paraId="1CF4DE18" w14:textId="77777777" w:rsidR="005E7BC6" w:rsidRPr="00D55EE0" w:rsidRDefault="005E7BC6" w:rsidP="00D55EE0">
      <w:pPr>
        <w:numPr>
          <w:ilvl w:val="0"/>
          <w:numId w:val="2"/>
        </w:numPr>
        <w:jc w:val="both"/>
      </w:pPr>
      <w:r w:rsidRPr="00D55EE0">
        <w:t xml:space="preserve">Ko J, Park H, Heo L, Seok C. GalaxyWEB server for protein structure prediction and refinement. </w:t>
      </w:r>
      <w:r w:rsidRPr="00D55EE0">
        <w:rPr>
          <w:i/>
          <w:iCs/>
        </w:rPr>
        <w:t>Nucleic Acids Res</w:t>
      </w:r>
      <w:r w:rsidRPr="00D55EE0">
        <w:t>. 2012;40(Web Server issue):W294–W297.</w:t>
      </w:r>
    </w:p>
    <w:p w14:paraId="78F8FB2F" w14:textId="77777777" w:rsidR="005E7BC6" w:rsidRPr="00D55EE0" w:rsidRDefault="005E7BC6" w:rsidP="00D55EE0">
      <w:pPr>
        <w:numPr>
          <w:ilvl w:val="0"/>
          <w:numId w:val="2"/>
        </w:numPr>
        <w:jc w:val="both"/>
      </w:pPr>
      <w:r w:rsidRPr="00D55EE0">
        <w:t xml:space="preserve">Wiederstein M, Sippl MJ. ProSA-web: interactive web service for recognition of errors in three-dimensional structures of proteins. </w:t>
      </w:r>
      <w:r w:rsidRPr="00D55EE0">
        <w:rPr>
          <w:i/>
          <w:iCs/>
        </w:rPr>
        <w:t>Nucleic Acids Res</w:t>
      </w:r>
      <w:r w:rsidRPr="00D55EE0">
        <w:t>. 2007;35(Web Server issue):W407–W410.</w:t>
      </w:r>
    </w:p>
    <w:p w14:paraId="02C92A52" w14:textId="77777777" w:rsidR="005E7BC6" w:rsidRPr="00D55EE0" w:rsidRDefault="005E7BC6" w:rsidP="00D55EE0">
      <w:pPr>
        <w:numPr>
          <w:ilvl w:val="0"/>
          <w:numId w:val="2"/>
        </w:numPr>
        <w:jc w:val="both"/>
      </w:pPr>
      <w:r w:rsidRPr="00D55EE0">
        <w:t xml:space="preserve">Laskowski RA, MacArthur MW, Moss DS, Thornton JM. PROCHECK: a program to check the stereochemical quality of protein structures. </w:t>
      </w:r>
      <w:r w:rsidRPr="00D55EE0">
        <w:rPr>
          <w:i/>
          <w:iCs/>
        </w:rPr>
        <w:t>J Appl Crystallogr</w:t>
      </w:r>
      <w:r w:rsidRPr="00D55EE0">
        <w:t>. 1993;26(2):283–291.</w:t>
      </w:r>
    </w:p>
    <w:p w14:paraId="7A694328" w14:textId="77777777" w:rsidR="005E7BC6" w:rsidRPr="00D55EE0" w:rsidRDefault="005E7BC6" w:rsidP="00D55EE0">
      <w:pPr>
        <w:numPr>
          <w:ilvl w:val="0"/>
          <w:numId w:val="2"/>
        </w:numPr>
        <w:jc w:val="both"/>
      </w:pPr>
      <w:r w:rsidRPr="00D55EE0">
        <w:lastRenderedPageBreak/>
        <w:t xml:space="preserve">Chen VB, Arendall WB III, Headd JJ, et al. MolProbity: all-atom structure validation for macromolecular crystallography. </w:t>
      </w:r>
      <w:r w:rsidRPr="00D55EE0">
        <w:rPr>
          <w:i/>
          <w:iCs/>
        </w:rPr>
        <w:t>Acta Crystallogr D Biol Crystallogr</w:t>
      </w:r>
      <w:r w:rsidRPr="00D55EE0">
        <w:t>. 2010;66(Pt 1):12–21.</w:t>
      </w:r>
    </w:p>
    <w:p w14:paraId="33425EA7" w14:textId="77777777" w:rsidR="005E7BC6" w:rsidRPr="00D55EE0" w:rsidRDefault="005E7BC6" w:rsidP="00D55EE0">
      <w:pPr>
        <w:numPr>
          <w:ilvl w:val="0"/>
          <w:numId w:val="2"/>
        </w:numPr>
        <w:jc w:val="both"/>
      </w:pPr>
      <w:r w:rsidRPr="00D55EE0">
        <w:t xml:space="preserve">Krissinel E, Henrick K. Inference of macromolecular assemblies from crystalline state. </w:t>
      </w:r>
      <w:r w:rsidRPr="00D55EE0">
        <w:rPr>
          <w:i/>
          <w:iCs/>
        </w:rPr>
        <w:t>J Mol Biol</w:t>
      </w:r>
      <w:r w:rsidRPr="00D55EE0">
        <w:t>. 2007;372(3):774–797.</w:t>
      </w:r>
    </w:p>
    <w:p w14:paraId="143606A9" w14:textId="77777777" w:rsidR="005E7BC6" w:rsidRPr="00D55EE0" w:rsidRDefault="005E7BC6" w:rsidP="00D55EE0">
      <w:pPr>
        <w:numPr>
          <w:ilvl w:val="0"/>
          <w:numId w:val="2"/>
        </w:numPr>
        <w:jc w:val="both"/>
      </w:pPr>
      <w:r w:rsidRPr="00D55EE0">
        <w:t xml:space="preserve">Grote A, Hiller K, Scheer M, et al. JCat: a novel tool to adapt codon usage of a target gene to its potential expression host. </w:t>
      </w:r>
      <w:r w:rsidRPr="00D55EE0">
        <w:rPr>
          <w:i/>
          <w:iCs/>
        </w:rPr>
        <w:t>Nucleic Acids Res</w:t>
      </w:r>
      <w:r w:rsidRPr="00D55EE0">
        <w:t>. 2005;33(Web Server issue):W526–W531.</w:t>
      </w:r>
    </w:p>
    <w:p w14:paraId="77AA3AA3" w14:textId="77777777" w:rsidR="005E7BC6" w:rsidRPr="00D55EE0" w:rsidRDefault="005E7BC6" w:rsidP="00D55EE0">
      <w:pPr>
        <w:numPr>
          <w:ilvl w:val="0"/>
          <w:numId w:val="2"/>
        </w:numPr>
        <w:jc w:val="both"/>
      </w:pPr>
      <w:r w:rsidRPr="00D55EE0">
        <w:t xml:space="preserve">Abraham MJ, Murtola T, Schulz R, et al. GROMACS: High performance molecular simulations through multi-level parallelism from laptops to supercomputers. </w:t>
      </w:r>
      <w:r w:rsidRPr="00D55EE0">
        <w:rPr>
          <w:i/>
          <w:iCs/>
        </w:rPr>
        <w:t>SoftwareX</w:t>
      </w:r>
      <w:r w:rsidRPr="00D55EE0">
        <w:t>. 2015;1–2:19–25.</w:t>
      </w:r>
    </w:p>
    <w:p w14:paraId="589876B9" w14:textId="77777777" w:rsidR="005E7BC6" w:rsidRPr="00D55EE0" w:rsidRDefault="005E7BC6" w:rsidP="00D55EE0">
      <w:pPr>
        <w:numPr>
          <w:ilvl w:val="0"/>
          <w:numId w:val="3"/>
        </w:numPr>
        <w:jc w:val="both"/>
      </w:pPr>
      <w:r w:rsidRPr="00D55EE0">
        <w:t xml:space="preserve">Malik S, Gupta N, Shukla R, et al. Ebola Virus Disease Vaccines: Development, Current Perspectives and Challenges. </w:t>
      </w:r>
      <w:r w:rsidRPr="00D55EE0">
        <w:rPr>
          <w:i/>
          <w:iCs/>
        </w:rPr>
        <w:t>Vaccines</w:t>
      </w:r>
      <w:r w:rsidRPr="00D55EE0">
        <w:t>. 2023;11(2):268.</w:t>
      </w:r>
    </w:p>
    <w:p w14:paraId="6C0F8C9E" w14:textId="77777777" w:rsidR="005E7BC6" w:rsidRPr="00D55EE0" w:rsidRDefault="005E7BC6" w:rsidP="00D55EE0">
      <w:pPr>
        <w:numPr>
          <w:ilvl w:val="0"/>
          <w:numId w:val="3"/>
        </w:numPr>
        <w:jc w:val="both"/>
      </w:pPr>
      <w:r w:rsidRPr="00D55EE0">
        <w:t xml:space="preserve">Alizadeh M, Amini E, Khoei SG, et al. Designing a novel multi-epitope vaccine against Ebola virus using immunoinformatics and reverse vaccinology approaches. </w:t>
      </w:r>
      <w:r w:rsidRPr="00D55EE0">
        <w:rPr>
          <w:i/>
          <w:iCs/>
        </w:rPr>
        <w:t>Scientific Reports</w:t>
      </w:r>
      <w:r w:rsidRPr="00D55EE0">
        <w:t>. 2022;12:7602.</w:t>
      </w:r>
    </w:p>
    <w:p w14:paraId="2B927B71" w14:textId="77777777" w:rsidR="005E7BC6" w:rsidRPr="00D55EE0" w:rsidRDefault="005E7BC6" w:rsidP="00D55EE0">
      <w:pPr>
        <w:numPr>
          <w:ilvl w:val="0"/>
          <w:numId w:val="3"/>
        </w:numPr>
        <w:jc w:val="both"/>
      </w:pPr>
      <w:r w:rsidRPr="00D55EE0">
        <w:t xml:space="preserve">Khan MA, Hossain MU, Rakib-Uz-Zaman SM, Morshed MN. Epitope-based peptide vaccine design and target site depiction against Ebola viruses: an immunoinformatics study. </w:t>
      </w:r>
      <w:r w:rsidRPr="00D55EE0">
        <w:rPr>
          <w:i/>
          <w:iCs/>
        </w:rPr>
        <w:t>F1000Research</w:t>
      </w:r>
      <w:r w:rsidRPr="00D55EE0">
        <w:t>. 2015;4:365.</w:t>
      </w:r>
    </w:p>
    <w:p w14:paraId="2D966336" w14:textId="77777777" w:rsidR="005E7BC6" w:rsidRPr="00D55EE0" w:rsidRDefault="005E7BC6" w:rsidP="00D55EE0">
      <w:pPr>
        <w:numPr>
          <w:ilvl w:val="0"/>
          <w:numId w:val="3"/>
        </w:numPr>
        <w:jc w:val="both"/>
      </w:pPr>
      <w:r w:rsidRPr="00D55EE0">
        <w:t xml:space="preserve">Henao-Restrepo AM, Longini IM, Egger M, et al. Efficacy and effectiveness of an rVSV-vectored vaccine in preventing Ebola virus disease: final results from the Guinea ring vaccination trial. </w:t>
      </w:r>
      <w:r w:rsidRPr="00D55EE0">
        <w:rPr>
          <w:i/>
          <w:iCs/>
        </w:rPr>
        <w:t>Lancet</w:t>
      </w:r>
      <w:r w:rsidRPr="00D55EE0">
        <w:t>. 2017;389:505–518.</w:t>
      </w:r>
    </w:p>
    <w:p w14:paraId="7D68DB31" w14:textId="77777777" w:rsidR="005E7BC6" w:rsidRPr="00D55EE0" w:rsidRDefault="005E7BC6" w:rsidP="00D55EE0">
      <w:pPr>
        <w:numPr>
          <w:ilvl w:val="0"/>
          <w:numId w:val="3"/>
        </w:numPr>
        <w:jc w:val="both"/>
      </w:pPr>
      <w:r w:rsidRPr="00D55EE0">
        <w:t xml:space="preserve">Regules JA, Beigel JH, Paolino KM, et al. A recombinant vesicular stomatitis virus Ebola vaccine. </w:t>
      </w:r>
      <w:r w:rsidRPr="00D55EE0">
        <w:rPr>
          <w:i/>
          <w:iCs/>
        </w:rPr>
        <w:t>New England Journal of Medicine</w:t>
      </w:r>
      <w:r w:rsidRPr="00D55EE0">
        <w:t>. 2017;376:330–341.</w:t>
      </w:r>
    </w:p>
    <w:p w14:paraId="3AADD911" w14:textId="77777777" w:rsidR="005E7BC6" w:rsidRPr="00D55EE0" w:rsidRDefault="005E7BC6" w:rsidP="00D55EE0">
      <w:pPr>
        <w:numPr>
          <w:ilvl w:val="0"/>
          <w:numId w:val="3"/>
        </w:numPr>
        <w:jc w:val="both"/>
      </w:pPr>
      <w:r w:rsidRPr="00D55EE0">
        <w:t xml:space="preserve">Kennedy SB, Bolay F, Kieh M, et al. Phase 2 placebo-controlled trial of two vaccines to prevent Ebola in Liberia. </w:t>
      </w:r>
      <w:r w:rsidRPr="00D55EE0">
        <w:rPr>
          <w:i/>
          <w:iCs/>
        </w:rPr>
        <w:t>New England Journal of Medicine</w:t>
      </w:r>
      <w:r w:rsidRPr="00D55EE0">
        <w:t>. 2017;377:1438–1447.</w:t>
      </w:r>
    </w:p>
    <w:p w14:paraId="3A6D3B2A" w14:textId="77777777" w:rsidR="005E7BC6" w:rsidRPr="00D55EE0" w:rsidRDefault="005E7BC6" w:rsidP="00D55EE0">
      <w:pPr>
        <w:numPr>
          <w:ilvl w:val="0"/>
          <w:numId w:val="3"/>
        </w:numPr>
        <w:jc w:val="both"/>
      </w:pPr>
      <w:r w:rsidRPr="00D55EE0">
        <w:t xml:space="preserve">Marzi A, Feldmann H. Ebola virus vaccines: an overview of current approaches. </w:t>
      </w:r>
      <w:r w:rsidRPr="00D55EE0">
        <w:rPr>
          <w:i/>
          <w:iCs/>
        </w:rPr>
        <w:t>Expert Review of Vaccines</w:t>
      </w:r>
      <w:r w:rsidRPr="00D55EE0">
        <w:t>. 2014;13(4):521–531.</w:t>
      </w:r>
    </w:p>
    <w:p w14:paraId="0B8399DF" w14:textId="77777777" w:rsidR="005E7BC6" w:rsidRPr="00D55EE0" w:rsidRDefault="005E7BC6" w:rsidP="00D55EE0">
      <w:pPr>
        <w:numPr>
          <w:ilvl w:val="0"/>
          <w:numId w:val="3"/>
        </w:numPr>
        <w:jc w:val="both"/>
      </w:pPr>
      <w:r w:rsidRPr="00D55EE0">
        <w:t xml:space="preserve">Basmenj ER, Pajhouh SR, Fallah AE, et al. Computational epitope-based vaccine design with bioinformatics approaches: a review. </w:t>
      </w:r>
      <w:r w:rsidRPr="00D55EE0">
        <w:rPr>
          <w:i/>
          <w:iCs/>
        </w:rPr>
        <w:t>Heliyon</w:t>
      </w:r>
      <w:r w:rsidRPr="00D55EE0">
        <w:t>. 2025.</w:t>
      </w:r>
    </w:p>
    <w:p w14:paraId="52B2AACC" w14:textId="77777777" w:rsidR="005E7BC6" w:rsidRPr="00D55EE0" w:rsidRDefault="005E7BC6" w:rsidP="00D55EE0">
      <w:pPr>
        <w:numPr>
          <w:ilvl w:val="0"/>
          <w:numId w:val="3"/>
        </w:numPr>
        <w:jc w:val="both"/>
      </w:pPr>
      <w:r w:rsidRPr="00D55EE0">
        <w:t xml:space="preserve">De Groot AS, Rappuoli R. Genome-derived vaccines. </w:t>
      </w:r>
      <w:r w:rsidRPr="00D55EE0">
        <w:rPr>
          <w:i/>
          <w:iCs/>
        </w:rPr>
        <w:t>Expert Review of Vaccines</w:t>
      </w:r>
      <w:r w:rsidRPr="00D55EE0">
        <w:t>. 2004;3(1):59–76.</w:t>
      </w:r>
    </w:p>
    <w:p w14:paraId="2B4F2316" w14:textId="77777777" w:rsidR="005E7BC6" w:rsidRPr="00D55EE0" w:rsidRDefault="005E7BC6" w:rsidP="00D55EE0">
      <w:pPr>
        <w:numPr>
          <w:ilvl w:val="0"/>
          <w:numId w:val="3"/>
        </w:numPr>
        <w:jc w:val="both"/>
      </w:pPr>
      <w:r w:rsidRPr="00D55EE0">
        <w:t xml:space="preserve">Flower DR. Immunoinformatics and the in silico prediction of immunogenicity. </w:t>
      </w:r>
      <w:r w:rsidRPr="00D55EE0">
        <w:rPr>
          <w:i/>
          <w:iCs/>
        </w:rPr>
        <w:t>Current Pharmaceutical Design</w:t>
      </w:r>
      <w:r w:rsidRPr="00D55EE0">
        <w:t>. 2008;14(26):2679–2683.</w:t>
      </w:r>
    </w:p>
    <w:p w14:paraId="1601C7B4" w14:textId="77777777" w:rsidR="005E7BC6" w:rsidRPr="00D55EE0" w:rsidRDefault="005E7BC6" w:rsidP="00D55EE0">
      <w:pPr>
        <w:numPr>
          <w:ilvl w:val="0"/>
          <w:numId w:val="3"/>
        </w:numPr>
        <w:jc w:val="both"/>
      </w:pPr>
      <w:r w:rsidRPr="00D55EE0">
        <w:lastRenderedPageBreak/>
        <w:t xml:space="preserve">Tomar N, De RK. Immunoinformatics: an integrated scenario. </w:t>
      </w:r>
      <w:r w:rsidRPr="00D55EE0">
        <w:rPr>
          <w:i/>
          <w:iCs/>
        </w:rPr>
        <w:t>Immunology</w:t>
      </w:r>
      <w:r w:rsidRPr="00D55EE0">
        <w:t>. 2010;131(2):153–168.</w:t>
      </w:r>
    </w:p>
    <w:p w14:paraId="5D570D85" w14:textId="77777777" w:rsidR="005E7BC6" w:rsidRPr="00D55EE0" w:rsidRDefault="005E7BC6" w:rsidP="00D55EE0">
      <w:pPr>
        <w:numPr>
          <w:ilvl w:val="0"/>
          <w:numId w:val="3"/>
        </w:numPr>
        <w:jc w:val="both"/>
      </w:pPr>
      <w:r w:rsidRPr="00D55EE0">
        <w:t xml:space="preserve">He Y, Xiang Z. Bioinformatics analysis of vaccine targets and vaccine design. </w:t>
      </w:r>
      <w:r w:rsidRPr="00D55EE0">
        <w:rPr>
          <w:i/>
          <w:iCs/>
        </w:rPr>
        <w:t>Journal of Biomedical Biotechnology</w:t>
      </w:r>
      <w:r w:rsidRPr="00D55EE0">
        <w:t>. 2013;2013:864806.</w:t>
      </w:r>
    </w:p>
    <w:p w14:paraId="6FAE8BF1" w14:textId="77777777" w:rsidR="005E7BC6" w:rsidRPr="00D55EE0" w:rsidRDefault="005E7BC6" w:rsidP="00D55EE0">
      <w:pPr>
        <w:numPr>
          <w:ilvl w:val="0"/>
          <w:numId w:val="3"/>
        </w:numPr>
        <w:jc w:val="both"/>
      </w:pPr>
      <w:r w:rsidRPr="00D55EE0">
        <w:t xml:space="preserve">Rappuoli R. Reverse vaccinology: a genome-based approach to vaccine development. </w:t>
      </w:r>
      <w:r w:rsidRPr="00D55EE0">
        <w:rPr>
          <w:i/>
          <w:iCs/>
        </w:rPr>
        <w:t>Vaccine</w:t>
      </w:r>
      <w:r w:rsidRPr="00D55EE0">
        <w:t>. 2001;19(17–19):2688–2691.</w:t>
      </w:r>
    </w:p>
    <w:p w14:paraId="163B9A95" w14:textId="77777777" w:rsidR="005E7BC6" w:rsidRPr="00D55EE0" w:rsidRDefault="005E7BC6" w:rsidP="00D55EE0">
      <w:pPr>
        <w:numPr>
          <w:ilvl w:val="0"/>
          <w:numId w:val="3"/>
        </w:numPr>
        <w:jc w:val="both"/>
      </w:pPr>
      <w:r w:rsidRPr="00D55EE0">
        <w:t xml:space="preserve">Sette A, Rappuoli R. Reverse vaccinology: developing vaccines in the era of genomics. </w:t>
      </w:r>
      <w:r w:rsidRPr="00D55EE0">
        <w:rPr>
          <w:i/>
          <w:iCs/>
        </w:rPr>
        <w:t>Immunity</w:t>
      </w:r>
      <w:r w:rsidRPr="00D55EE0">
        <w:t>. 2010;33(4):530–541.</w:t>
      </w:r>
    </w:p>
    <w:p w14:paraId="07A60DB0" w14:textId="77777777" w:rsidR="005E7BC6" w:rsidRPr="00D55EE0" w:rsidRDefault="005E7BC6" w:rsidP="00D55EE0">
      <w:pPr>
        <w:numPr>
          <w:ilvl w:val="0"/>
          <w:numId w:val="3"/>
        </w:numPr>
        <w:jc w:val="both"/>
      </w:pPr>
      <w:bookmarkStart w:id="31" w:name="additional-references-1630"/>
      <w:r w:rsidRPr="00D55EE0">
        <w:t xml:space="preserve">Poland GA, Ovsyannikova IG, Kennedy RB. Personalized vaccinology: a review. </w:t>
      </w:r>
      <w:r w:rsidRPr="00D55EE0">
        <w:rPr>
          <w:i/>
          <w:iCs/>
        </w:rPr>
        <w:t>Vaccine</w:t>
      </w:r>
      <w:r w:rsidRPr="00D55EE0">
        <w:t>. 2018;36(36):5350–5357.</w:t>
      </w:r>
      <w:bookmarkEnd w:id="31"/>
    </w:p>
    <w:bookmarkEnd w:id="30"/>
    <w:p w14:paraId="0867DE53" w14:textId="77777777" w:rsidR="005E7BC6" w:rsidRPr="00D55EE0" w:rsidRDefault="005E7BC6" w:rsidP="00D55EE0">
      <w:pPr>
        <w:ind w:left="720"/>
        <w:jc w:val="both"/>
      </w:pPr>
    </w:p>
    <w:p w14:paraId="07DED55D" w14:textId="77777777" w:rsidR="00C771C3" w:rsidRPr="00D55EE0" w:rsidRDefault="00C771C3" w:rsidP="00D55EE0">
      <w:pPr>
        <w:pStyle w:val="BodyText"/>
        <w:jc w:val="both"/>
      </w:pPr>
    </w:p>
    <w:bookmarkEnd w:id="2"/>
    <w:bookmarkEnd w:id="5"/>
    <w:p w14:paraId="0AAC1845" w14:textId="77777777" w:rsidR="00C771C3" w:rsidRPr="00D55EE0" w:rsidRDefault="00C771C3" w:rsidP="00D55EE0">
      <w:pPr>
        <w:pStyle w:val="BodyText"/>
        <w:jc w:val="both"/>
      </w:pPr>
    </w:p>
    <w:p w14:paraId="1B48C191" w14:textId="77777777" w:rsidR="004B1CD7" w:rsidRPr="00D55EE0" w:rsidRDefault="004B1CD7" w:rsidP="00D55EE0">
      <w:pPr>
        <w:pStyle w:val="BodyText"/>
        <w:jc w:val="both"/>
      </w:pPr>
    </w:p>
    <w:sectPr w:rsidR="004B1CD7" w:rsidRPr="00D55EE0">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57C5E7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B1E673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994116"/>
    <w:multiLevelType w:val="multilevel"/>
    <w:tmpl w:val="DF64A28C"/>
    <w:lvl w:ilvl="0">
      <w:start w:val="16"/>
      <w:numFmt w:val="decimal"/>
      <w:lvlText w:val="%1."/>
      <w:lvlJc w:val="left"/>
      <w:pPr>
        <w:ind w:left="720" w:hanging="360"/>
      </w:pPr>
    </w:lvl>
    <w:lvl w:ilvl="1">
      <w:start w:val="16"/>
      <w:numFmt w:val="decimal"/>
      <w:lvlText w:val="%2."/>
      <w:lvlJc w:val="left"/>
      <w:pPr>
        <w:ind w:left="1440" w:hanging="360"/>
      </w:pPr>
    </w:lvl>
    <w:lvl w:ilvl="2">
      <w:start w:val="16"/>
      <w:numFmt w:val="decimal"/>
      <w:lvlText w:val="%3."/>
      <w:lvlJc w:val="left"/>
      <w:pPr>
        <w:ind w:left="2160" w:hanging="360"/>
      </w:pPr>
    </w:lvl>
    <w:lvl w:ilvl="3">
      <w:start w:val="16"/>
      <w:numFmt w:val="decimal"/>
      <w:lvlText w:val="%4."/>
      <w:lvlJc w:val="left"/>
      <w:pPr>
        <w:ind w:left="2880" w:hanging="360"/>
      </w:pPr>
    </w:lvl>
    <w:lvl w:ilvl="4">
      <w:start w:val="16"/>
      <w:numFmt w:val="decimal"/>
      <w:lvlText w:val="%5."/>
      <w:lvlJc w:val="left"/>
      <w:pPr>
        <w:ind w:left="3600" w:hanging="360"/>
      </w:pPr>
    </w:lvl>
    <w:lvl w:ilvl="5">
      <w:start w:val="16"/>
      <w:numFmt w:val="decimal"/>
      <w:lvlText w:val="%6."/>
      <w:lvlJc w:val="left"/>
      <w:pPr>
        <w:ind w:left="4320" w:hanging="360"/>
      </w:pPr>
    </w:lvl>
    <w:lvl w:ilvl="6">
      <w:start w:val="16"/>
      <w:numFmt w:val="decimal"/>
      <w:lvlText w:val="%7."/>
      <w:lvlJc w:val="left"/>
      <w:pPr>
        <w:ind w:left="5040" w:hanging="360"/>
      </w:pPr>
    </w:lvl>
    <w:lvl w:ilvl="7">
      <w:start w:val="16"/>
      <w:numFmt w:val="decimal"/>
      <w:lvlText w:val="%8."/>
      <w:lvlJc w:val="left"/>
      <w:pPr>
        <w:ind w:left="5760" w:hanging="360"/>
      </w:pPr>
    </w:lvl>
    <w:lvl w:ilvl="8">
      <w:start w:val="16"/>
      <w:numFmt w:val="decimal"/>
      <w:lvlText w:val="%9."/>
      <w:lvlJc w:val="left"/>
      <w:pPr>
        <w:ind w:left="6480" w:hanging="360"/>
      </w:pPr>
    </w:lvl>
  </w:abstractNum>
  <w:num w:numId="1" w16cid:durableId="818573521">
    <w:abstractNumId w:val="0"/>
  </w:num>
  <w:num w:numId="2" w16cid:durableId="2695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7435700">
    <w:abstractNumId w:val="2"/>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413"/>
    <w:rsid w:val="000128D4"/>
    <w:rsid w:val="000254FE"/>
    <w:rsid w:val="00123BCF"/>
    <w:rsid w:val="00130015"/>
    <w:rsid w:val="001C214E"/>
    <w:rsid w:val="001D47F4"/>
    <w:rsid w:val="001D6A36"/>
    <w:rsid w:val="001E238C"/>
    <w:rsid w:val="00222C80"/>
    <w:rsid w:val="002A1B91"/>
    <w:rsid w:val="002D530F"/>
    <w:rsid w:val="00317229"/>
    <w:rsid w:val="00346566"/>
    <w:rsid w:val="003A030C"/>
    <w:rsid w:val="003B0413"/>
    <w:rsid w:val="003B43D1"/>
    <w:rsid w:val="004B1CD7"/>
    <w:rsid w:val="004D476C"/>
    <w:rsid w:val="005E7BC6"/>
    <w:rsid w:val="00601FFA"/>
    <w:rsid w:val="006711AD"/>
    <w:rsid w:val="00701D79"/>
    <w:rsid w:val="007B70D9"/>
    <w:rsid w:val="00926D32"/>
    <w:rsid w:val="0094194A"/>
    <w:rsid w:val="009443B8"/>
    <w:rsid w:val="0096021B"/>
    <w:rsid w:val="009A6C7B"/>
    <w:rsid w:val="009C1832"/>
    <w:rsid w:val="00B35797"/>
    <w:rsid w:val="00B90528"/>
    <w:rsid w:val="00BF63C3"/>
    <w:rsid w:val="00C771C3"/>
    <w:rsid w:val="00CE52F1"/>
    <w:rsid w:val="00D3152E"/>
    <w:rsid w:val="00D33105"/>
    <w:rsid w:val="00D55EE0"/>
    <w:rsid w:val="00DB4E52"/>
    <w:rsid w:val="00DC4319"/>
    <w:rsid w:val="00EB1890"/>
    <w:rsid w:val="00F07B82"/>
    <w:rsid w:val="00F17169"/>
    <w:rsid w:val="00F3661F"/>
    <w:rsid w:val="00FB1447"/>
    <w:rsid w:val="00FE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5CD28"/>
  <w15:docId w15:val="{A7516B16-9BFF-41E8-8860-B521D2AB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4912</Words>
  <Characters>28004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BTNK k</dc:creator>
  <cp:keywords/>
  <cp:lastModifiedBy>BTNK k</cp:lastModifiedBy>
  <cp:revision>131</cp:revision>
  <dcterms:created xsi:type="dcterms:W3CDTF">2026-06-24T17:19:00Z</dcterms:created>
  <dcterms:modified xsi:type="dcterms:W3CDTF">2026-06-25T02:19:00Z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d78671c1-0742-4c2b-894e-e2ee95feed48</vt:lpwstr>
  </property>
</Properties>
</file>